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5B1871">
      <w:pPr>
        <w:spacing w:line="360" w:lineRule="auto"/>
        <w:jc w:val="center"/>
        <w:rPr>
          <w:rFonts w:hint="eastAsia" w:ascii="方正小标宋简体" w:hAnsi="宋体" w:eastAsia="方正小标宋简体"/>
          <w:b/>
          <w:bCs/>
          <w:color w:val="auto"/>
          <w:sz w:val="28"/>
          <w:szCs w:val="28"/>
          <w:highlight w:val="none"/>
          <w:lang w:eastAsia="zh-CN"/>
        </w:rPr>
      </w:pPr>
    </w:p>
    <w:p w14:paraId="66FF5989">
      <w:pPr>
        <w:spacing w:line="360" w:lineRule="auto"/>
        <w:jc w:val="center"/>
        <w:rPr>
          <w:rFonts w:hint="eastAsia" w:ascii="方正小标宋简体" w:hAnsi="宋体" w:eastAsia="方正小标宋简体"/>
          <w:b/>
          <w:bCs/>
          <w:color w:val="auto"/>
          <w:sz w:val="52"/>
          <w:szCs w:val="52"/>
          <w:highlight w:val="none"/>
          <w:lang w:eastAsia="zh-CN"/>
        </w:rPr>
      </w:pPr>
      <w:r>
        <w:rPr>
          <w:rFonts w:hint="eastAsia" w:ascii="方正小标宋简体" w:hAnsi="宋体" w:eastAsia="方正小标宋简体"/>
          <w:b/>
          <w:bCs/>
          <w:color w:val="auto"/>
          <w:sz w:val="52"/>
          <w:szCs w:val="52"/>
          <w:highlight w:val="none"/>
          <w:lang w:eastAsia="zh-CN"/>
        </w:rPr>
        <w:t>广西城建咨询设计有限公司</w:t>
      </w:r>
    </w:p>
    <w:p w14:paraId="7DFD9524">
      <w:pPr>
        <w:spacing w:line="360" w:lineRule="auto"/>
        <w:jc w:val="center"/>
        <w:rPr>
          <w:rFonts w:hint="eastAsia" w:ascii="方正小标宋简体" w:hAnsi="宋体" w:eastAsia="方正小标宋简体"/>
          <w:b/>
          <w:bCs/>
          <w:color w:val="auto"/>
          <w:sz w:val="24"/>
          <w:szCs w:val="24"/>
          <w:highlight w:val="none"/>
          <w:lang w:eastAsia="zh-CN"/>
        </w:rPr>
      </w:pPr>
    </w:p>
    <w:p w14:paraId="0BCE4400">
      <w:pPr>
        <w:spacing w:line="360" w:lineRule="auto"/>
        <w:jc w:val="center"/>
        <w:rPr>
          <w:rFonts w:ascii="方正小标宋简体" w:hAnsi="方正小标宋简体" w:eastAsia="方正小标宋简体" w:cs="方正小标宋简体"/>
          <w:b/>
          <w:color w:val="auto"/>
          <w:sz w:val="44"/>
          <w:szCs w:val="44"/>
          <w:highlight w:val="none"/>
        </w:rPr>
      </w:pPr>
      <w:r>
        <w:rPr>
          <w:rFonts w:ascii="仿宋_GB2312" w:hAnsi="宋体" w:eastAsia="仿宋_GB2312"/>
          <w:color w:val="auto"/>
          <w:sz w:val="30"/>
          <w:szCs w:val="72"/>
          <w:highlight w:val="none"/>
        </w:rPr>
        <w:drawing>
          <wp:inline distT="0" distB="0" distL="114300" distR="114300">
            <wp:extent cx="2038350" cy="2038350"/>
            <wp:effectExtent l="0" t="0" r="0" b="0"/>
            <wp:docPr id="1" name="图片 1" descr="8b826f1a8bb481c2c9f180695e85a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8b826f1a8bb481c2c9f180695e85af2"/>
                    <pic:cNvPicPr>
                      <a:picLocks noChangeAspect="1"/>
                    </pic:cNvPicPr>
                  </pic:nvPicPr>
                  <pic:blipFill>
                    <a:blip r:embed="rId10"/>
                    <a:stretch>
                      <a:fillRect/>
                    </a:stretch>
                  </pic:blipFill>
                  <pic:spPr>
                    <a:xfrm>
                      <a:off x="0" y="0"/>
                      <a:ext cx="2038350" cy="2038350"/>
                    </a:xfrm>
                    <a:prstGeom prst="rect">
                      <a:avLst/>
                    </a:prstGeom>
                    <a:noFill/>
                    <a:ln>
                      <a:noFill/>
                    </a:ln>
                  </pic:spPr>
                </pic:pic>
              </a:graphicData>
            </a:graphic>
          </wp:inline>
        </w:drawing>
      </w:r>
    </w:p>
    <w:p w14:paraId="03288717">
      <w:pPr>
        <w:pStyle w:val="64"/>
        <w:rPr>
          <w:color w:val="auto"/>
          <w:highlight w:val="none"/>
        </w:rPr>
      </w:pPr>
    </w:p>
    <w:p w14:paraId="413921B1">
      <w:pPr>
        <w:keepNext w:val="0"/>
        <w:keepLines w:val="0"/>
        <w:pageBreakBefore w:val="0"/>
        <w:widowControl w:val="0"/>
        <w:kinsoku/>
        <w:wordWrap/>
        <w:overflowPunct/>
        <w:topLinePunct w:val="0"/>
        <w:autoSpaceDE/>
        <w:autoSpaceDN/>
        <w:bidi w:val="0"/>
        <w:adjustRightInd/>
        <w:snapToGrid w:val="0"/>
        <w:spacing w:line="360" w:lineRule="auto"/>
        <w:jc w:val="center"/>
        <w:textAlignment w:val="auto"/>
        <w:rPr>
          <w:rFonts w:ascii="华文新魏" w:hAnsi="宋体" w:eastAsia="华文新魏"/>
          <w:b/>
          <w:bCs/>
          <w:color w:val="auto"/>
          <w:sz w:val="84"/>
          <w:szCs w:val="84"/>
          <w:highlight w:val="none"/>
        </w:rPr>
      </w:pPr>
      <w:r>
        <w:rPr>
          <w:rFonts w:hint="eastAsia" w:ascii="华文新魏" w:hAnsi="宋体" w:eastAsia="华文新魏"/>
          <w:b/>
          <w:bCs/>
          <w:color w:val="auto"/>
          <w:sz w:val="84"/>
          <w:szCs w:val="84"/>
          <w:highlight w:val="none"/>
        </w:rPr>
        <w:t>竞争性磋商文件</w:t>
      </w:r>
    </w:p>
    <w:p w14:paraId="5540B0EA">
      <w:pPr>
        <w:snapToGrid w:val="0"/>
        <w:spacing w:beforeLines="50" w:line="360" w:lineRule="auto"/>
        <w:jc w:val="center"/>
        <w:rPr>
          <w:rFonts w:ascii="仿宋_GB2312" w:hAnsi="宋体" w:eastAsia="仿宋_GB2312"/>
          <w:b/>
          <w:color w:val="auto"/>
          <w:sz w:val="30"/>
          <w:szCs w:val="72"/>
          <w:highlight w:val="none"/>
        </w:rPr>
      </w:pPr>
      <w:r>
        <w:rPr>
          <w:rFonts w:hint="eastAsia" w:ascii="仿宋_GB2312" w:hAnsi="宋体" w:eastAsia="仿宋_GB2312"/>
          <w:b/>
          <w:color w:val="auto"/>
          <w:sz w:val="48"/>
          <w:szCs w:val="48"/>
          <w:highlight w:val="none"/>
        </w:rPr>
        <w:t>（全流程电子化采购）</w:t>
      </w:r>
    </w:p>
    <w:p w14:paraId="7226A51D">
      <w:pPr>
        <w:pStyle w:val="24"/>
        <w:snapToGrid w:val="0"/>
        <w:spacing w:line="360" w:lineRule="auto"/>
        <w:ind w:firstLine="904" w:firstLineChars="300"/>
        <w:rPr>
          <w:rFonts w:hint="eastAsia" w:ascii="仿宋_GB2312" w:hAnsi="宋体" w:eastAsia="仿宋_GB2312"/>
          <w:b/>
          <w:bCs/>
          <w:color w:val="auto"/>
          <w:sz w:val="30"/>
          <w:szCs w:val="30"/>
          <w:highlight w:val="none"/>
        </w:rPr>
      </w:pPr>
    </w:p>
    <w:p w14:paraId="05B29CA4">
      <w:pPr>
        <w:pStyle w:val="24"/>
        <w:snapToGrid w:val="0"/>
        <w:spacing w:line="360" w:lineRule="auto"/>
        <w:ind w:firstLine="904" w:firstLineChars="300"/>
        <w:rPr>
          <w:rFonts w:hint="eastAsia" w:ascii="仿宋_GB2312" w:hAnsi="宋体" w:eastAsia="仿宋_GB2312"/>
          <w:b/>
          <w:bCs/>
          <w:color w:val="auto"/>
          <w:sz w:val="30"/>
          <w:szCs w:val="30"/>
          <w:highlight w:val="none"/>
          <w:lang w:eastAsia="zh-CN"/>
        </w:rPr>
      </w:pPr>
      <w:r>
        <w:rPr>
          <w:rFonts w:hint="eastAsia" w:ascii="仿宋_GB2312" w:hAnsi="宋体" w:eastAsia="仿宋_GB2312"/>
          <w:b/>
          <w:bCs/>
          <w:color w:val="auto"/>
          <w:sz w:val="30"/>
          <w:szCs w:val="30"/>
          <w:highlight w:val="none"/>
        </w:rPr>
        <w:t>项目</w:t>
      </w:r>
      <w:r>
        <w:rPr>
          <w:rFonts w:hint="eastAsia" w:ascii="仿宋_GB2312" w:hAnsi="宋体" w:eastAsia="仿宋_GB2312" w:cs="Courier New"/>
          <w:b/>
          <w:bCs/>
          <w:color w:val="auto"/>
          <w:w w:val="95"/>
          <w:sz w:val="30"/>
          <w:szCs w:val="30"/>
          <w:highlight w:val="none"/>
        </w:rPr>
        <w:t>名称</w:t>
      </w:r>
      <w:r>
        <w:rPr>
          <w:rFonts w:hint="eastAsia" w:ascii="仿宋_GB2312" w:hAnsi="宋体" w:eastAsia="仿宋_GB2312"/>
          <w:b/>
          <w:bCs/>
          <w:color w:val="auto"/>
          <w:sz w:val="30"/>
          <w:szCs w:val="30"/>
          <w:highlight w:val="none"/>
        </w:rPr>
        <w:t>：</w:t>
      </w:r>
      <w:r>
        <w:rPr>
          <w:rFonts w:hint="eastAsia" w:ascii="仿宋_GB2312" w:hAnsi="宋体" w:eastAsia="仿宋_GB2312"/>
          <w:b/>
          <w:bCs/>
          <w:color w:val="auto"/>
          <w:sz w:val="30"/>
          <w:szCs w:val="30"/>
          <w:highlight w:val="none"/>
          <w:lang w:eastAsia="zh-CN"/>
        </w:rPr>
        <w:t>广西警察学院五合、仙葫校区教学楼新增电缆及</w:t>
      </w:r>
      <w:bookmarkStart w:id="739" w:name="_GoBack"/>
      <w:bookmarkEnd w:id="739"/>
      <w:r>
        <w:rPr>
          <w:rFonts w:hint="eastAsia" w:ascii="仿宋_GB2312" w:hAnsi="宋体" w:eastAsia="仿宋_GB2312"/>
          <w:b/>
          <w:bCs/>
          <w:color w:val="auto"/>
          <w:sz w:val="30"/>
          <w:szCs w:val="30"/>
          <w:highlight w:val="none"/>
          <w:lang w:eastAsia="zh-CN"/>
        </w:rPr>
        <w:t>五合校区变压器扩容项目</w:t>
      </w:r>
    </w:p>
    <w:p w14:paraId="10668138">
      <w:pPr>
        <w:snapToGrid w:val="0"/>
        <w:spacing w:line="360" w:lineRule="auto"/>
        <w:ind w:firstLine="859" w:firstLineChars="300"/>
        <w:rPr>
          <w:rFonts w:hint="eastAsia" w:ascii="仿宋_GB2312" w:hAnsi="宋体" w:eastAsia="仿宋_GB2312"/>
          <w:color w:val="auto"/>
          <w:sz w:val="30"/>
          <w:szCs w:val="72"/>
          <w:highlight w:val="none"/>
          <w:u w:val="none"/>
          <w:lang w:eastAsia="zh-CN"/>
        </w:rPr>
      </w:pPr>
      <w:r>
        <w:rPr>
          <w:rFonts w:hint="eastAsia" w:ascii="仿宋_GB2312" w:hAnsi="宋体" w:eastAsia="仿宋_GB2312" w:cs="Courier New"/>
          <w:b/>
          <w:bCs/>
          <w:color w:val="auto"/>
          <w:w w:val="95"/>
          <w:sz w:val="30"/>
          <w:szCs w:val="30"/>
          <w:highlight w:val="none"/>
          <w:u w:val="none"/>
        </w:rPr>
        <w:t>项目</w:t>
      </w:r>
      <w:r>
        <w:rPr>
          <w:rFonts w:hint="eastAsia" w:ascii="仿宋_GB2312" w:hAnsi="宋体" w:eastAsia="仿宋_GB2312"/>
          <w:b/>
          <w:bCs/>
          <w:color w:val="auto"/>
          <w:sz w:val="30"/>
          <w:szCs w:val="30"/>
          <w:highlight w:val="none"/>
          <w:u w:val="none"/>
        </w:rPr>
        <w:t>编号</w:t>
      </w:r>
      <w:r>
        <w:rPr>
          <w:rFonts w:hint="eastAsia" w:ascii="仿宋_GB2312" w:hAnsi="宋体" w:eastAsia="仿宋_GB2312" w:cs="Courier New"/>
          <w:b/>
          <w:bCs/>
          <w:color w:val="auto"/>
          <w:w w:val="95"/>
          <w:sz w:val="30"/>
          <w:szCs w:val="30"/>
          <w:highlight w:val="none"/>
          <w:u w:val="none"/>
        </w:rPr>
        <w:t>：</w:t>
      </w:r>
      <w:r>
        <w:rPr>
          <w:rFonts w:hint="eastAsia" w:ascii="仿宋_GB2312" w:hAnsi="宋体" w:eastAsia="仿宋_GB2312"/>
          <w:b/>
          <w:color w:val="auto"/>
          <w:sz w:val="30"/>
          <w:szCs w:val="48"/>
          <w:highlight w:val="none"/>
          <w:u w:val="none"/>
          <w:lang w:eastAsia="zh-CN"/>
        </w:rPr>
        <w:t>GXZC2026-C2-002919-GXCJ</w:t>
      </w:r>
    </w:p>
    <w:p w14:paraId="1F134C7E">
      <w:pPr>
        <w:pStyle w:val="24"/>
        <w:snapToGrid w:val="0"/>
        <w:spacing w:line="360" w:lineRule="auto"/>
        <w:ind w:firstLine="859" w:firstLineChars="300"/>
        <w:rPr>
          <w:rFonts w:hint="eastAsia" w:ascii="仿宋_GB2312" w:hAnsi="宋体" w:eastAsia="仿宋_GB2312"/>
          <w:b/>
          <w:bCs/>
          <w:color w:val="auto"/>
          <w:w w:val="95"/>
          <w:sz w:val="30"/>
          <w:szCs w:val="30"/>
          <w:highlight w:val="none"/>
          <w:lang w:eastAsia="zh-CN"/>
        </w:rPr>
      </w:pPr>
      <w:r>
        <w:rPr>
          <w:rFonts w:hint="eastAsia" w:ascii="仿宋_GB2312" w:hAnsi="宋体" w:eastAsia="仿宋_GB2312"/>
          <w:b/>
          <w:bCs/>
          <w:color w:val="auto"/>
          <w:w w:val="95"/>
          <w:sz w:val="30"/>
          <w:szCs w:val="30"/>
          <w:highlight w:val="none"/>
        </w:rPr>
        <w:t>采 购 人：</w:t>
      </w:r>
      <w:r>
        <w:rPr>
          <w:rFonts w:hint="eastAsia" w:ascii="仿宋_GB2312" w:hAnsi="宋体" w:eastAsia="仿宋_GB2312"/>
          <w:b/>
          <w:bCs/>
          <w:color w:val="auto"/>
          <w:w w:val="95"/>
          <w:sz w:val="30"/>
          <w:szCs w:val="30"/>
          <w:highlight w:val="none"/>
          <w:lang w:eastAsia="zh-CN"/>
        </w:rPr>
        <w:t>广西警察学院</w:t>
      </w:r>
    </w:p>
    <w:p w14:paraId="51F0CEE9">
      <w:pPr>
        <w:pStyle w:val="24"/>
        <w:snapToGrid w:val="0"/>
        <w:spacing w:line="360" w:lineRule="auto"/>
        <w:ind w:firstLine="859" w:firstLineChars="300"/>
        <w:rPr>
          <w:rFonts w:hint="eastAsia" w:ascii="仿宋_GB2312" w:hAnsi="宋体" w:eastAsia="仿宋_GB2312"/>
          <w:b/>
          <w:bCs/>
          <w:color w:val="auto"/>
          <w:w w:val="95"/>
          <w:sz w:val="30"/>
          <w:szCs w:val="30"/>
          <w:highlight w:val="none"/>
          <w:lang w:eastAsia="zh-CN"/>
        </w:rPr>
      </w:pPr>
      <w:r>
        <w:rPr>
          <w:rFonts w:hint="eastAsia" w:ascii="仿宋_GB2312" w:hAnsi="宋体" w:eastAsia="仿宋_GB2312"/>
          <w:b/>
          <w:bCs/>
          <w:color w:val="auto"/>
          <w:w w:val="95"/>
          <w:sz w:val="30"/>
          <w:szCs w:val="30"/>
          <w:highlight w:val="none"/>
        </w:rPr>
        <w:t>采购代理机构：</w:t>
      </w:r>
      <w:r>
        <w:rPr>
          <w:rFonts w:hint="eastAsia" w:ascii="仿宋_GB2312" w:hAnsi="宋体" w:eastAsia="仿宋_GB2312"/>
          <w:b/>
          <w:bCs/>
          <w:color w:val="auto"/>
          <w:w w:val="95"/>
          <w:sz w:val="30"/>
          <w:szCs w:val="30"/>
          <w:highlight w:val="none"/>
          <w:lang w:eastAsia="zh-CN"/>
        </w:rPr>
        <w:t>广西城建咨询设计有限公司</w:t>
      </w:r>
    </w:p>
    <w:p w14:paraId="74D336D2">
      <w:pPr>
        <w:pStyle w:val="24"/>
        <w:snapToGrid w:val="0"/>
        <w:spacing w:line="360" w:lineRule="auto"/>
        <w:ind w:firstLine="1125" w:firstLineChars="393"/>
        <w:rPr>
          <w:rFonts w:ascii="仿宋_GB2312" w:hAnsi="宋体" w:eastAsia="仿宋_GB2312"/>
          <w:b/>
          <w:bCs/>
          <w:color w:val="auto"/>
          <w:w w:val="95"/>
          <w:sz w:val="30"/>
          <w:szCs w:val="30"/>
          <w:highlight w:val="none"/>
        </w:rPr>
      </w:pPr>
    </w:p>
    <w:p w14:paraId="70F97F4F">
      <w:pPr>
        <w:pStyle w:val="24"/>
        <w:snapToGrid w:val="0"/>
        <w:spacing w:line="360" w:lineRule="auto"/>
        <w:jc w:val="center"/>
        <w:rPr>
          <w:rFonts w:ascii="仿宋_GB2312" w:eastAsia="仿宋_GB2312"/>
          <w:color w:val="auto"/>
          <w:szCs w:val="20"/>
          <w:highlight w:val="none"/>
        </w:rPr>
      </w:pPr>
      <w:r>
        <w:rPr>
          <w:rFonts w:ascii="仿宋_GB2312" w:hAnsi="宋体" w:eastAsia="仿宋_GB2312"/>
          <w:b/>
          <w:bCs/>
          <w:color w:val="auto"/>
          <w:w w:val="95"/>
          <w:sz w:val="30"/>
          <w:szCs w:val="30"/>
          <w:highlight w:val="none"/>
        </w:rPr>
        <w:t>202</w:t>
      </w:r>
      <w:r>
        <w:rPr>
          <w:rFonts w:hint="eastAsia" w:ascii="仿宋_GB2312" w:hAnsi="宋体" w:eastAsia="仿宋_GB2312"/>
          <w:b/>
          <w:bCs/>
          <w:color w:val="auto"/>
          <w:w w:val="95"/>
          <w:sz w:val="30"/>
          <w:szCs w:val="30"/>
          <w:highlight w:val="none"/>
          <w:lang w:val="en-US" w:eastAsia="zh-CN"/>
        </w:rPr>
        <w:t>6</w:t>
      </w:r>
      <w:r>
        <w:rPr>
          <w:rFonts w:hint="eastAsia" w:ascii="仿宋_GB2312" w:hAnsi="宋体" w:eastAsia="仿宋_GB2312"/>
          <w:b/>
          <w:bCs/>
          <w:color w:val="auto"/>
          <w:w w:val="95"/>
          <w:sz w:val="30"/>
          <w:szCs w:val="30"/>
          <w:highlight w:val="none"/>
        </w:rPr>
        <w:t>年</w:t>
      </w:r>
      <w:r>
        <w:rPr>
          <w:rFonts w:hint="eastAsia" w:ascii="仿宋_GB2312" w:hAnsi="宋体" w:eastAsia="仿宋_GB2312"/>
          <w:b/>
          <w:bCs/>
          <w:color w:val="auto"/>
          <w:w w:val="95"/>
          <w:sz w:val="30"/>
          <w:szCs w:val="30"/>
          <w:highlight w:val="none"/>
          <w:lang w:val="en-US" w:eastAsia="zh-CN"/>
        </w:rPr>
        <w:t>9</w:t>
      </w:r>
      <w:r>
        <w:rPr>
          <w:rFonts w:hint="eastAsia" w:ascii="仿宋_GB2312" w:hAnsi="宋体" w:eastAsia="仿宋_GB2312"/>
          <w:b/>
          <w:bCs/>
          <w:color w:val="auto"/>
          <w:w w:val="95"/>
          <w:sz w:val="30"/>
          <w:szCs w:val="30"/>
          <w:highlight w:val="none"/>
        </w:rPr>
        <w:t>月</w:t>
      </w:r>
    </w:p>
    <w:p w14:paraId="0B4A32F7">
      <w:pPr>
        <w:spacing w:line="360" w:lineRule="auto"/>
        <w:jc w:val="center"/>
        <w:rPr>
          <w:rFonts w:ascii="宋体" w:hAnsi="宋体"/>
          <w:b/>
          <w:color w:val="auto"/>
          <w:sz w:val="44"/>
          <w:szCs w:val="44"/>
          <w:highlight w:val="none"/>
        </w:rPr>
      </w:pPr>
      <w:r>
        <w:rPr>
          <w:rFonts w:hint="eastAsia" w:ascii="黑体" w:hAnsi="黑体" w:eastAsia="黑体" w:cs="宋体"/>
          <w:b/>
          <w:bCs/>
          <w:color w:val="auto"/>
          <w:kern w:val="0"/>
          <w:sz w:val="32"/>
          <w:szCs w:val="32"/>
          <w:highlight w:val="none"/>
        </w:rPr>
        <w:br w:type="page"/>
      </w:r>
    </w:p>
    <w:p w14:paraId="06A6AA56">
      <w:pPr>
        <w:spacing w:line="360" w:lineRule="auto"/>
        <w:jc w:val="center"/>
        <w:rPr>
          <w:rFonts w:hint="eastAsia" w:ascii="宋体" w:hAnsi="宋体"/>
          <w:b/>
          <w:color w:val="auto"/>
          <w:sz w:val="44"/>
          <w:szCs w:val="44"/>
          <w:highlight w:val="none"/>
        </w:rPr>
      </w:pPr>
    </w:p>
    <w:p w14:paraId="064B9461">
      <w:pPr>
        <w:spacing w:line="360" w:lineRule="auto"/>
        <w:jc w:val="center"/>
        <w:rPr>
          <w:rFonts w:ascii="宋体" w:hAnsi="宋体"/>
          <w:b/>
          <w:color w:val="auto"/>
          <w:sz w:val="44"/>
          <w:szCs w:val="44"/>
          <w:highlight w:val="none"/>
        </w:rPr>
      </w:pPr>
      <w:r>
        <w:rPr>
          <w:rFonts w:hint="eastAsia" w:ascii="宋体" w:hAnsi="宋体"/>
          <w:b/>
          <w:color w:val="auto"/>
          <w:sz w:val="44"/>
          <w:szCs w:val="44"/>
          <w:highlight w:val="none"/>
        </w:rPr>
        <w:t>目  录</w:t>
      </w:r>
    </w:p>
    <w:p w14:paraId="5CC67958">
      <w:pPr>
        <w:spacing w:line="400" w:lineRule="exact"/>
        <w:jc w:val="center"/>
        <w:rPr>
          <w:rFonts w:ascii="宋体" w:hAnsi="宋体"/>
          <w:b/>
          <w:color w:val="auto"/>
          <w:sz w:val="44"/>
          <w:szCs w:val="44"/>
          <w:highlight w:val="none"/>
        </w:rPr>
      </w:pPr>
    </w:p>
    <w:p w14:paraId="13E1B356">
      <w:pPr>
        <w:pStyle w:val="31"/>
        <w:tabs>
          <w:tab w:val="right" w:leader="dot" w:pos="8879"/>
        </w:tabs>
        <w:spacing w:line="480" w:lineRule="auto"/>
        <w:rPr>
          <w:color w:val="auto"/>
          <w:sz w:val="30"/>
          <w:szCs w:val="30"/>
          <w:highlight w:val="none"/>
        </w:rPr>
      </w:pPr>
      <w:r>
        <w:rPr>
          <w:rFonts w:ascii="宋体" w:hAnsi="宋体"/>
          <w:b/>
          <w:color w:val="auto"/>
          <w:sz w:val="30"/>
          <w:szCs w:val="30"/>
          <w:highlight w:val="none"/>
        </w:rPr>
        <w:fldChar w:fldCharType="begin"/>
      </w:r>
      <w:r>
        <w:rPr>
          <w:rFonts w:hint="eastAsia" w:ascii="宋体" w:hAnsi="宋体"/>
          <w:b/>
          <w:color w:val="auto"/>
          <w:sz w:val="30"/>
          <w:szCs w:val="30"/>
          <w:highlight w:val="none"/>
        </w:rPr>
        <w:instrText xml:space="preserve">TOC \o "1-3" \h \z \u</w:instrText>
      </w:r>
      <w:r>
        <w:rPr>
          <w:rFonts w:ascii="宋体" w:hAnsi="宋体"/>
          <w:b/>
          <w:color w:val="auto"/>
          <w:sz w:val="30"/>
          <w:szCs w:val="30"/>
          <w:highlight w:val="none"/>
        </w:rPr>
        <w:fldChar w:fldCharType="separate"/>
      </w:r>
      <w:r>
        <w:rPr>
          <w:rFonts w:ascii="宋体" w:hAnsi="宋体"/>
          <w:color w:val="auto"/>
          <w:sz w:val="30"/>
          <w:szCs w:val="30"/>
          <w:highlight w:val="none"/>
        </w:rPr>
        <w:fldChar w:fldCharType="begin"/>
      </w:r>
      <w:r>
        <w:rPr>
          <w:rFonts w:ascii="宋体" w:hAnsi="宋体"/>
          <w:color w:val="auto"/>
          <w:sz w:val="30"/>
          <w:szCs w:val="30"/>
          <w:highlight w:val="none"/>
        </w:rPr>
        <w:instrText xml:space="preserve"> HYPERLINK \l _Toc21835 </w:instrText>
      </w:r>
      <w:r>
        <w:rPr>
          <w:rFonts w:ascii="宋体" w:hAnsi="宋体"/>
          <w:color w:val="auto"/>
          <w:sz w:val="30"/>
          <w:szCs w:val="30"/>
          <w:highlight w:val="none"/>
        </w:rPr>
        <w:fldChar w:fldCharType="separate"/>
      </w:r>
      <w:r>
        <w:rPr>
          <w:rFonts w:hint="eastAsia"/>
          <w:color w:val="auto"/>
          <w:sz w:val="30"/>
          <w:szCs w:val="30"/>
          <w:highlight w:val="none"/>
        </w:rPr>
        <w:t>第一章</w:t>
      </w:r>
      <w:r>
        <w:rPr>
          <w:rFonts w:hint="eastAsia"/>
          <w:color w:val="auto"/>
          <w:sz w:val="30"/>
          <w:szCs w:val="30"/>
          <w:highlight w:val="none"/>
          <w:lang w:val="en-US" w:eastAsia="zh-CN"/>
        </w:rPr>
        <w:t xml:space="preserve"> </w:t>
      </w:r>
      <w:r>
        <w:rPr>
          <w:rFonts w:hint="eastAsia"/>
          <w:color w:val="auto"/>
          <w:sz w:val="30"/>
          <w:szCs w:val="30"/>
          <w:highlight w:val="none"/>
        </w:rPr>
        <w:t>竞争性磋商公告</w:t>
      </w:r>
      <w:r>
        <w:rPr>
          <w:color w:val="auto"/>
          <w:sz w:val="30"/>
          <w:szCs w:val="30"/>
          <w:highlight w:val="none"/>
        </w:rPr>
        <w:tab/>
      </w:r>
      <w:r>
        <w:rPr>
          <w:color w:val="auto"/>
          <w:sz w:val="30"/>
          <w:szCs w:val="30"/>
          <w:highlight w:val="none"/>
        </w:rPr>
        <w:fldChar w:fldCharType="begin"/>
      </w:r>
      <w:r>
        <w:rPr>
          <w:color w:val="auto"/>
          <w:sz w:val="30"/>
          <w:szCs w:val="30"/>
          <w:highlight w:val="none"/>
        </w:rPr>
        <w:instrText xml:space="preserve"> PAGEREF _Toc21835 \h </w:instrText>
      </w:r>
      <w:r>
        <w:rPr>
          <w:color w:val="auto"/>
          <w:sz w:val="30"/>
          <w:szCs w:val="30"/>
          <w:highlight w:val="none"/>
        </w:rPr>
        <w:fldChar w:fldCharType="separate"/>
      </w:r>
      <w:r>
        <w:rPr>
          <w:color w:val="auto"/>
          <w:sz w:val="30"/>
          <w:szCs w:val="30"/>
          <w:highlight w:val="none"/>
        </w:rPr>
        <w:t>2</w:t>
      </w:r>
      <w:r>
        <w:rPr>
          <w:color w:val="auto"/>
          <w:sz w:val="30"/>
          <w:szCs w:val="30"/>
          <w:highlight w:val="none"/>
        </w:rPr>
        <w:fldChar w:fldCharType="end"/>
      </w:r>
      <w:r>
        <w:rPr>
          <w:rFonts w:ascii="宋体" w:hAnsi="宋体"/>
          <w:color w:val="auto"/>
          <w:sz w:val="30"/>
          <w:szCs w:val="30"/>
          <w:highlight w:val="none"/>
        </w:rPr>
        <w:fldChar w:fldCharType="end"/>
      </w:r>
    </w:p>
    <w:p w14:paraId="1D2CB062">
      <w:pPr>
        <w:pStyle w:val="31"/>
        <w:tabs>
          <w:tab w:val="right" w:leader="dot" w:pos="8879"/>
        </w:tabs>
        <w:spacing w:line="480" w:lineRule="auto"/>
        <w:rPr>
          <w:color w:val="auto"/>
          <w:sz w:val="30"/>
          <w:szCs w:val="30"/>
          <w:highlight w:val="none"/>
        </w:rPr>
      </w:pPr>
      <w:r>
        <w:rPr>
          <w:rFonts w:ascii="宋体" w:hAnsi="宋体"/>
          <w:color w:val="auto"/>
          <w:sz w:val="30"/>
          <w:szCs w:val="30"/>
          <w:highlight w:val="none"/>
        </w:rPr>
        <w:fldChar w:fldCharType="begin"/>
      </w:r>
      <w:r>
        <w:rPr>
          <w:rFonts w:ascii="宋体" w:hAnsi="宋体"/>
          <w:color w:val="auto"/>
          <w:sz w:val="30"/>
          <w:szCs w:val="30"/>
          <w:highlight w:val="none"/>
        </w:rPr>
        <w:instrText xml:space="preserve"> HYPERLINK \l _Toc32467 </w:instrText>
      </w:r>
      <w:r>
        <w:rPr>
          <w:rFonts w:ascii="宋体" w:hAnsi="宋体"/>
          <w:color w:val="auto"/>
          <w:sz w:val="30"/>
          <w:szCs w:val="30"/>
          <w:highlight w:val="none"/>
        </w:rPr>
        <w:fldChar w:fldCharType="separate"/>
      </w:r>
      <w:r>
        <w:rPr>
          <w:rFonts w:hint="eastAsia"/>
          <w:color w:val="auto"/>
          <w:sz w:val="30"/>
          <w:szCs w:val="30"/>
          <w:highlight w:val="none"/>
        </w:rPr>
        <w:t>第二章</w:t>
      </w:r>
      <w:r>
        <w:rPr>
          <w:rFonts w:hint="eastAsia"/>
          <w:color w:val="auto"/>
          <w:sz w:val="30"/>
          <w:szCs w:val="30"/>
          <w:highlight w:val="none"/>
          <w:lang w:val="en-US" w:eastAsia="zh-CN"/>
        </w:rPr>
        <w:t xml:space="preserve"> </w:t>
      </w:r>
      <w:r>
        <w:rPr>
          <w:rFonts w:hint="eastAsia"/>
          <w:color w:val="auto"/>
          <w:sz w:val="30"/>
          <w:szCs w:val="30"/>
          <w:highlight w:val="none"/>
        </w:rPr>
        <w:t>供应商须知</w:t>
      </w:r>
      <w:r>
        <w:rPr>
          <w:color w:val="auto"/>
          <w:sz w:val="30"/>
          <w:szCs w:val="30"/>
          <w:highlight w:val="none"/>
        </w:rPr>
        <w:tab/>
      </w:r>
      <w:r>
        <w:rPr>
          <w:color w:val="auto"/>
          <w:sz w:val="30"/>
          <w:szCs w:val="30"/>
          <w:highlight w:val="none"/>
        </w:rPr>
        <w:fldChar w:fldCharType="begin"/>
      </w:r>
      <w:r>
        <w:rPr>
          <w:color w:val="auto"/>
          <w:sz w:val="30"/>
          <w:szCs w:val="30"/>
          <w:highlight w:val="none"/>
        </w:rPr>
        <w:instrText xml:space="preserve"> PAGEREF _Toc32467 \h </w:instrText>
      </w:r>
      <w:r>
        <w:rPr>
          <w:color w:val="auto"/>
          <w:sz w:val="30"/>
          <w:szCs w:val="30"/>
          <w:highlight w:val="none"/>
        </w:rPr>
        <w:fldChar w:fldCharType="separate"/>
      </w:r>
      <w:r>
        <w:rPr>
          <w:color w:val="auto"/>
          <w:sz w:val="30"/>
          <w:szCs w:val="30"/>
          <w:highlight w:val="none"/>
        </w:rPr>
        <w:t>6</w:t>
      </w:r>
      <w:r>
        <w:rPr>
          <w:color w:val="auto"/>
          <w:sz w:val="30"/>
          <w:szCs w:val="30"/>
          <w:highlight w:val="none"/>
        </w:rPr>
        <w:fldChar w:fldCharType="end"/>
      </w:r>
      <w:r>
        <w:rPr>
          <w:rFonts w:ascii="宋体" w:hAnsi="宋体"/>
          <w:color w:val="auto"/>
          <w:sz w:val="30"/>
          <w:szCs w:val="30"/>
          <w:highlight w:val="none"/>
        </w:rPr>
        <w:fldChar w:fldCharType="end"/>
      </w:r>
    </w:p>
    <w:p w14:paraId="7BD85872">
      <w:pPr>
        <w:pStyle w:val="31"/>
        <w:tabs>
          <w:tab w:val="right" w:leader="dot" w:pos="8879"/>
        </w:tabs>
        <w:spacing w:line="480" w:lineRule="auto"/>
        <w:rPr>
          <w:color w:val="auto"/>
          <w:sz w:val="30"/>
          <w:szCs w:val="30"/>
          <w:highlight w:val="none"/>
        </w:rPr>
      </w:pPr>
      <w:r>
        <w:rPr>
          <w:rFonts w:ascii="宋体" w:hAnsi="宋体"/>
          <w:color w:val="auto"/>
          <w:sz w:val="30"/>
          <w:szCs w:val="30"/>
          <w:highlight w:val="none"/>
        </w:rPr>
        <w:fldChar w:fldCharType="begin"/>
      </w:r>
      <w:r>
        <w:rPr>
          <w:rFonts w:ascii="宋体" w:hAnsi="宋体"/>
          <w:color w:val="auto"/>
          <w:sz w:val="30"/>
          <w:szCs w:val="30"/>
          <w:highlight w:val="none"/>
        </w:rPr>
        <w:instrText xml:space="preserve"> HYPERLINK \l _Toc24195 </w:instrText>
      </w:r>
      <w:r>
        <w:rPr>
          <w:rFonts w:ascii="宋体" w:hAnsi="宋体"/>
          <w:color w:val="auto"/>
          <w:sz w:val="30"/>
          <w:szCs w:val="30"/>
          <w:highlight w:val="none"/>
        </w:rPr>
        <w:fldChar w:fldCharType="separate"/>
      </w:r>
      <w:r>
        <w:rPr>
          <w:rFonts w:hint="eastAsia" w:ascii="Times New Roman" w:hAnsi="Times New Roman" w:eastAsia="宋体" w:cs="Times New Roman"/>
          <w:bCs/>
          <w:color w:val="auto"/>
          <w:kern w:val="44"/>
          <w:sz w:val="30"/>
          <w:szCs w:val="30"/>
          <w:highlight w:val="none"/>
          <w:lang w:val="en-US" w:eastAsia="zh-CN" w:bidi="ar-SA"/>
        </w:rPr>
        <w:t>第三章 采购需求</w:t>
      </w:r>
      <w:r>
        <w:rPr>
          <w:color w:val="auto"/>
          <w:sz w:val="30"/>
          <w:szCs w:val="30"/>
          <w:highlight w:val="none"/>
        </w:rPr>
        <w:tab/>
      </w:r>
      <w:r>
        <w:rPr>
          <w:color w:val="auto"/>
          <w:sz w:val="30"/>
          <w:szCs w:val="30"/>
          <w:highlight w:val="none"/>
        </w:rPr>
        <w:fldChar w:fldCharType="begin"/>
      </w:r>
      <w:r>
        <w:rPr>
          <w:color w:val="auto"/>
          <w:sz w:val="30"/>
          <w:szCs w:val="30"/>
          <w:highlight w:val="none"/>
        </w:rPr>
        <w:instrText xml:space="preserve"> PAGEREF _Toc24195 \h </w:instrText>
      </w:r>
      <w:r>
        <w:rPr>
          <w:color w:val="auto"/>
          <w:sz w:val="30"/>
          <w:szCs w:val="30"/>
          <w:highlight w:val="none"/>
        </w:rPr>
        <w:fldChar w:fldCharType="separate"/>
      </w:r>
      <w:r>
        <w:rPr>
          <w:color w:val="auto"/>
          <w:sz w:val="30"/>
          <w:szCs w:val="30"/>
          <w:highlight w:val="none"/>
        </w:rPr>
        <w:t>25</w:t>
      </w:r>
      <w:r>
        <w:rPr>
          <w:color w:val="auto"/>
          <w:sz w:val="30"/>
          <w:szCs w:val="30"/>
          <w:highlight w:val="none"/>
        </w:rPr>
        <w:fldChar w:fldCharType="end"/>
      </w:r>
      <w:r>
        <w:rPr>
          <w:rFonts w:ascii="宋体" w:hAnsi="宋体"/>
          <w:color w:val="auto"/>
          <w:sz w:val="30"/>
          <w:szCs w:val="30"/>
          <w:highlight w:val="none"/>
        </w:rPr>
        <w:fldChar w:fldCharType="end"/>
      </w:r>
    </w:p>
    <w:p w14:paraId="7B6C882B">
      <w:pPr>
        <w:pStyle w:val="31"/>
        <w:tabs>
          <w:tab w:val="right" w:leader="dot" w:pos="8879"/>
        </w:tabs>
        <w:spacing w:line="480" w:lineRule="auto"/>
        <w:rPr>
          <w:color w:val="auto"/>
          <w:sz w:val="30"/>
          <w:szCs w:val="30"/>
          <w:highlight w:val="none"/>
        </w:rPr>
      </w:pPr>
      <w:r>
        <w:rPr>
          <w:rFonts w:ascii="宋体" w:hAnsi="宋体"/>
          <w:color w:val="auto"/>
          <w:sz w:val="30"/>
          <w:szCs w:val="30"/>
          <w:highlight w:val="none"/>
        </w:rPr>
        <w:fldChar w:fldCharType="begin"/>
      </w:r>
      <w:r>
        <w:rPr>
          <w:rFonts w:ascii="宋体" w:hAnsi="宋体"/>
          <w:color w:val="auto"/>
          <w:sz w:val="30"/>
          <w:szCs w:val="30"/>
          <w:highlight w:val="none"/>
        </w:rPr>
        <w:instrText xml:space="preserve"> HYPERLINK \l _Toc29831 </w:instrText>
      </w:r>
      <w:r>
        <w:rPr>
          <w:rFonts w:ascii="宋体" w:hAnsi="宋体"/>
          <w:color w:val="auto"/>
          <w:sz w:val="30"/>
          <w:szCs w:val="30"/>
          <w:highlight w:val="none"/>
        </w:rPr>
        <w:fldChar w:fldCharType="separate"/>
      </w:r>
      <w:r>
        <w:rPr>
          <w:rFonts w:hint="eastAsia"/>
          <w:color w:val="auto"/>
          <w:sz w:val="30"/>
          <w:szCs w:val="30"/>
          <w:highlight w:val="none"/>
        </w:rPr>
        <w:t>第四章 评审程序、评审方法和评审标准</w:t>
      </w:r>
      <w:r>
        <w:rPr>
          <w:color w:val="auto"/>
          <w:sz w:val="30"/>
          <w:szCs w:val="30"/>
          <w:highlight w:val="none"/>
        </w:rPr>
        <w:tab/>
      </w:r>
      <w:r>
        <w:rPr>
          <w:color w:val="auto"/>
          <w:sz w:val="30"/>
          <w:szCs w:val="30"/>
          <w:highlight w:val="none"/>
        </w:rPr>
        <w:fldChar w:fldCharType="begin"/>
      </w:r>
      <w:r>
        <w:rPr>
          <w:color w:val="auto"/>
          <w:sz w:val="30"/>
          <w:szCs w:val="30"/>
          <w:highlight w:val="none"/>
        </w:rPr>
        <w:instrText xml:space="preserve"> PAGEREF _Toc29831 \h </w:instrText>
      </w:r>
      <w:r>
        <w:rPr>
          <w:color w:val="auto"/>
          <w:sz w:val="30"/>
          <w:szCs w:val="30"/>
          <w:highlight w:val="none"/>
        </w:rPr>
        <w:fldChar w:fldCharType="separate"/>
      </w:r>
      <w:r>
        <w:rPr>
          <w:color w:val="auto"/>
          <w:sz w:val="30"/>
          <w:szCs w:val="30"/>
          <w:highlight w:val="none"/>
        </w:rPr>
        <w:t>27</w:t>
      </w:r>
      <w:r>
        <w:rPr>
          <w:color w:val="auto"/>
          <w:sz w:val="30"/>
          <w:szCs w:val="30"/>
          <w:highlight w:val="none"/>
        </w:rPr>
        <w:fldChar w:fldCharType="end"/>
      </w:r>
      <w:r>
        <w:rPr>
          <w:rFonts w:ascii="宋体" w:hAnsi="宋体"/>
          <w:color w:val="auto"/>
          <w:sz w:val="30"/>
          <w:szCs w:val="30"/>
          <w:highlight w:val="none"/>
        </w:rPr>
        <w:fldChar w:fldCharType="end"/>
      </w:r>
    </w:p>
    <w:p w14:paraId="16855E11">
      <w:pPr>
        <w:pStyle w:val="31"/>
        <w:tabs>
          <w:tab w:val="right" w:leader="dot" w:pos="8879"/>
        </w:tabs>
        <w:spacing w:line="480" w:lineRule="auto"/>
        <w:rPr>
          <w:color w:val="auto"/>
          <w:sz w:val="30"/>
          <w:szCs w:val="30"/>
          <w:highlight w:val="none"/>
        </w:rPr>
      </w:pPr>
      <w:r>
        <w:rPr>
          <w:rFonts w:ascii="宋体" w:hAnsi="宋体"/>
          <w:color w:val="auto"/>
          <w:sz w:val="30"/>
          <w:szCs w:val="30"/>
          <w:highlight w:val="none"/>
        </w:rPr>
        <w:fldChar w:fldCharType="begin"/>
      </w:r>
      <w:r>
        <w:rPr>
          <w:rFonts w:ascii="宋体" w:hAnsi="宋体"/>
          <w:color w:val="auto"/>
          <w:sz w:val="30"/>
          <w:szCs w:val="30"/>
          <w:highlight w:val="none"/>
        </w:rPr>
        <w:instrText xml:space="preserve"> HYPERLINK \l _Toc30067 </w:instrText>
      </w:r>
      <w:r>
        <w:rPr>
          <w:rFonts w:ascii="宋体" w:hAnsi="宋体"/>
          <w:color w:val="auto"/>
          <w:sz w:val="30"/>
          <w:szCs w:val="30"/>
          <w:highlight w:val="none"/>
        </w:rPr>
        <w:fldChar w:fldCharType="separate"/>
      </w:r>
      <w:r>
        <w:rPr>
          <w:rFonts w:hint="eastAsia"/>
          <w:color w:val="auto"/>
          <w:sz w:val="30"/>
          <w:szCs w:val="30"/>
          <w:highlight w:val="none"/>
        </w:rPr>
        <w:t>第五章</w:t>
      </w:r>
      <w:r>
        <w:rPr>
          <w:rFonts w:hint="eastAsia"/>
          <w:color w:val="auto"/>
          <w:sz w:val="30"/>
          <w:szCs w:val="30"/>
          <w:highlight w:val="none"/>
          <w:lang w:val="en-US" w:eastAsia="zh-CN"/>
        </w:rPr>
        <w:t xml:space="preserve"> </w:t>
      </w:r>
      <w:r>
        <w:rPr>
          <w:rFonts w:hint="eastAsia"/>
          <w:color w:val="auto"/>
          <w:sz w:val="30"/>
          <w:szCs w:val="30"/>
          <w:highlight w:val="none"/>
        </w:rPr>
        <w:t>工程量清单及图纸</w:t>
      </w:r>
      <w:r>
        <w:rPr>
          <w:color w:val="auto"/>
          <w:sz w:val="30"/>
          <w:szCs w:val="30"/>
          <w:highlight w:val="none"/>
        </w:rPr>
        <w:tab/>
      </w:r>
      <w:r>
        <w:rPr>
          <w:color w:val="auto"/>
          <w:sz w:val="30"/>
          <w:szCs w:val="30"/>
          <w:highlight w:val="none"/>
        </w:rPr>
        <w:fldChar w:fldCharType="begin"/>
      </w:r>
      <w:r>
        <w:rPr>
          <w:color w:val="auto"/>
          <w:sz w:val="30"/>
          <w:szCs w:val="30"/>
          <w:highlight w:val="none"/>
        </w:rPr>
        <w:instrText xml:space="preserve"> PAGEREF _Toc30067 \h </w:instrText>
      </w:r>
      <w:r>
        <w:rPr>
          <w:color w:val="auto"/>
          <w:sz w:val="30"/>
          <w:szCs w:val="30"/>
          <w:highlight w:val="none"/>
        </w:rPr>
        <w:fldChar w:fldCharType="separate"/>
      </w:r>
      <w:r>
        <w:rPr>
          <w:color w:val="auto"/>
          <w:sz w:val="30"/>
          <w:szCs w:val="30"/>
          <w:highlight w:val="none"/>
        </w:rPr>
        <w:t>38</w:t>
      </w:r>
      <w:r>
        <w:rPr>
          <w:color w:val="auto"/>
          <w:sz w:val="30"/>
          <w:szCs w:val="30"/>
          <w:highlight w:val="none"/>
        </w:rPr>
        <w:fldChar w:fldCharType="end"/>
      </w:r>
      <w:r>
        <w:rPr>
          <w:rFonts w:ascii="宋体" w:hAnsi="宋体"/>
          <w:color w:val="auto"/>
          <w:sz w:val="30"/>
          <w:szCs w:val="30"/>
          <w:highlight w:val="none"/>
        </w:rPr>
        <w:fldChar w:fldCharType="end"/>
      </w:r>
    </w:p>
    <w:p w14:paraId="11B653CA">
      <w:pPr>
        <w:pStyle w:val="31"/>
        <w:tabs>
          <w:tab w:val="right" w:leader="dot" w:pos="8879"/>
        </w:tabs>
        <w:spacing w:line="480" w:lineRule="auto"/>
        <w:rPr>
          <w:color w:val="auto"/>
          <w:sz w:val="30"/>
          <w:szCs w:val="30"/>
          <w:highlight w:val="none"/>
        </w:rPr>
      </w:pPr>
      <w:r>
        <w:rPr>
          <w:rFonts w:ascii="宋体" w:hAnsi="宋体"/>
          <w:color w:val="auto"/>
          <w:sz w:val="30"/>
          <w:szCs w:val="30"/>
          <w:highlight w:val="none"/>
        </w:rPr>
        <w:fldChar w:fldCharType="begin"/>
      </w:r>
      <w:r>
        <w:rPr>
          <w:rFonts w:ascii="宋体" w:hAnsi="宋体"/>
          <w:color w:val="auto"/>
          <w:sz w:val="30"/>
          <w:szCs w:val="30"/>
          <w:highlight w:val="none"/>
        </w:rPr>
        <w:instrText xml:space="preserve"> HYPERLINK \l _Toc17207 </w:instrText>
      </w:r>
      <w:r>
        <w:rPr>
          <w:rFonts w:ascii="宋体" w:hAnsi="宋体"/>
          <w:color w:val="auto"/>
          <w:sz w:val="30"/>
          <w:szCs w:val="30"/>
          <w:highlight w:val="none"/>
        </w:rPr>
        <w:fldChar w:fldCharType="separate"/>
      </w:r>
      <w:r>
        <w:rPr>
          <w:rFonts w:hint="eastAsia"/>
          <w:color w:val="auto"/>
          <w:sz w:val="30"/>
          <w:szCs w:val="30"/>
          <w:highlight w:val="none"/>
        </w:rPr>
        <w:t>第六章</w:t>
      </w:r>
      <w:r>
        <w:rPr>
          <w:rFonts w:hint="eastAsia"/>
          <w:color w:val="auto"/>
          <w:sz w:val="30"/>
          <w:szCs w:val="30"/>
          <w:highlight w:val="none"/>
          <w:lang w:val="en-US" w:eastAsia="zh-CN"/>
        </w:rPr>
        <w:t xml:space="preserve"> </w:t>
      </w:r>
      <w:r>
        <w:rPr>
          <w:rFonts w:hint="eastAsia"/>
          <w:color w:val="auto"/>
          <w:sz w:val="30"/>
          <w:szCs w:val="30"/>
          <w:highlight w:val="none"/>
        </w:rPr>
        <w:t>响应文件格式</w:t>
      </w:r>
      <w:r>
        <w:rPr>
          <w:color w:val="auto"/>
          <w:sz w:val="30"/>
          <w:szCs w:val="30"/>
          <w:highlight w:val="none"/>
        </w:rPr>
        <w:tab/>
      </w:r>
      <w:r>
        <w:rPr>
          <w:color w:val="auto"/>
          <w:sz w:val="30"/>
          <w:szCs w:val="30"/>
          <w:highlight w:val="none"/>
        </w:rPr>
        <w:fldChar w:fldCharType="begin"/>
      </w:r>
      <w:r>
        <w:rPr>
          <w:color w:val="auto"/>
          <w:sz w:val="30"/>
          <w:szCs w:val="30"/>
          <w:highlight w:val="none"/>
        </w:rPr>
        <w:instrText xml:space="preserve"> PAGEREF _Toc17207 \h </w:instrText>
      </w:r>
      <w:r>
        <w:rPr>
          <w:color w:val="auto"/>
          <w:sz w:val="30"/>
          <w:szCs w:val="30"/>
          <w:highlight w:val="none"/>
        </w:rPr>
        <w:fldChar w:fldCharType="separate"/>
      </w:r>
      <w:r>
        <w:rPr>
          <w:color w:val="auto"/>
          <w:sz w:val="30"/>
          <w:szCs w:val="30"/>
          <w:highlight w:val="none"/>
        </w:rPr>
        <w:t>39</w:t>
      </w:r>
      <w:r>
        <w:rPr>
          <w:color w:val="auto"/>
          <w:sz w:val="30"/>
          <w:szCs w:val="30"/>
          <w:highlight w:val="none"/>
        </w:rPr>
        <w:fldChar w:fldCharType="end"/>
      </w:r>
      <w:r>
        <w:rPr>
          <w:rFonts w:ascii="宋体" w:hAnsi="宋体"/>
          <w:color w:val="auto"/>
          <w:sz w:val="30"/>
          <w:szCs w:val="30"/>
          <w:highlight w:val="none"/>
        </w:rPr>
        <w:fldChar w:fldCharType="end"/>
      </w:r>
    </w:p>
    <w:p w14:paraId="186D2060">
      <w:pPr>
        <w:pStyle w:val="31"/>
        <w:tabs>
          <w:tab w:val="right" w:leader="dot" w:pos="8879"/>
        </w:tabs>
        <w:spacing w:line="480" w:lineRule="auto"/>
        <w:rPr>
          <w:color w:val="auto"/>
          <w:sz w:val="30"/>
          <w:szCs w:val="30"/>
          <w:highlight w:val="none"/>
        </w:rPr>
      </w:pPr>
      <w:r>
        <w:rPr>
          <w:rFonts w:ascii="宋体" w:hAnsi="宋体"/>
          <w:color w:val="auto"/>
          <w:sz w:val="30"/>
          <w:szCs w:val="30"/>
          <w:highlight w:val="none"/>
        </w:rPr>
        <w:fldChar w:fldCharType="begin"/>
      </w:r>
      <w:r>
        <w:rPr>
          <w:rFonts w:ascii="宋体" w:hAnsi="宋体"/>
          <w:color w:val="auto"/>
          <w:sz w:val="30"/>
          <w:szCs w:val="30"/>
          <w:highlight w:val="none"/>
        </w:rPr>
        <w:instrText xml:space="preserve"> HYPERLINK \l _Toc23551 </w:instrText>
      </w:r>
      <w:r>
        <w:rPr>
          <w:rFonts w:ascii="宋体" w:hAnsi="宋体"/>
          <w:color w:val="auto"/>
          <w:sz w:val="30"/>
          <w:szCs w:val="30"/>
          <w:highlight w:val="none"/>
        </w:rPr>
        <w:fldChar w:fldCharType="separate"/>
      </w:r>
      <w:r>
        <w:rPr>
          <w:rFonts w:hint="eastAsia"/>
          <w:color w:val="auto"/>
          <w:sz w:val="30"/>
          <w:szCs w:val="30"/>
          <w:highlight w:val="none"/>
        </w:rPr>
        <w:t>第七章</w:t>
      </w:r>
      <w:r>
        <w:rPr>
          <w:rFonts w:hint="eastAsia"/>
          <w:color w:val="auto"/>
          <w:sz w:val="30"/>
          <w:szCs w:val="30"/>
          <w:highlight w:val="none"/>
          <w:lang w:val="en-US" w:eastAsia="zh-CN"/>
        </w:rPr>
        <w:t xml:space="preserve"> </w:t>
      </w:r>
      <w:r>
        <w:rPr>
          <w:rFonts w:hint="eastAsia"/>
          <w:color w:val="auto"/>
          <w:sz w:val="30"/>
          <w:szCs w:val="30"/>
          <w:highlight w:val="none"/>
        </w:rPr>
        <w:t>合同文本</w:t>
      </w:r>
      <w:r>
        <w:rPr>
          <w:color w:val="auto"/>
          <w:sz w:val="30"/>
          <w:szCs w:val="30"/>
          <w:highlight w:val="none"/>
        </w:rPr>
        <w:tab/>
      </w:r>
      <w:r>
        <w:rPr>
          <w:color w:val="auto"/>
          <w:sz w:val="30"/>
          <w:szCs w:val="30"/>
          <w:highlight w:val="none"/>
        </w:rPr>
        <w:fldChar w:fldCharType="begin"/>
      </w:r>
      <w:r>
        <w:rPr>
          <w:color w:val="auto"/>
          <w:sz w:val="30"/>
          <w:szCs w:val="30"/>
          <w:highlight w:val="none"/>
        </w:rPr>
        <w:instrText xml:space="preserve"> PAGEREF _Toc23551 \h </w:instrText>
      </w:r>
      <w:r>
        <w:rPr>
          <w:color w:val="auto"/>
          <w:sz w:val="30"/>
          <w:szCs w:val="30"/>
          <w:highlight w:val="none"/>
        </w:rPr>
        <w:fldChar w:fldCharType="separate"/>
      </w:r>
      <w:r>
        <w:rPr>
          <w:color w:val="auto"/>
          <w:sz w:val="30"/>
          <w:szCs w:val="30"/>
          <w:highlight w:val="none"/>
        </w:rPr>
        <w:t>71</w:t>
      </w:r>
      <w:r>
        <w:rPr>
          <w:color w:val="auto"/>
          <w:sz w:val="30"/>
          <w:szCs w:val="30"/>
          <w:highlight w:val="none"/>
        </w:rPr>
        <w:fldChar w:fldCharType="end"/>
      </w:r>
      <w:r>
        <w:rPr>
          <w:rFonts w:ascii="宋体" w:hAnsi="宋体"/>
          <w:color w:val="auto"/>
          <w:sz w:val="30"/>
          <w:szCs w:val="30"/>
          <w:highlight w:val="none"/>
        </w:rPr>
        <w:fldChar w:fldCharType="end"/>
      </w:r>
    </w:p>
    <w:p w14:paraId="2CA1F418">
      <w:pPr>
        <w:pStyle w:val="37"/>
        <w:tabs>
          <w:tab w:val="right" w:leader="dot" w:pos="8931"/>
          <w:tab w:val="clear" w:pos="8296"/>
        </w:tabs>
        <w:snapToGrid w:val="0"/>
        <w:spacing w:line="480" w:lineRule="auto"/>
        <w:ind w:left="0" w:leftChars="0"/>
        <w:rPr>
          <w:rFonts w:ascii="宋体" w:hAnsi="宋体"/>
          <w:b/>
          <w:color w:val="auto"/>
          <w:sz w:val="24"/>
          <w:highlight w:val="none"/>
        </w:rPr>
      </w:pPr>
      <w:r>
        <w:rPr>
          <w:rFonts w:ascii="宋体" w:hAnsi="宋体"/>
          <w:color w:val="auto"/>
          <w:sz w:val="30"/>
          <w:szCs w:val="30"/>
          <w:highlight w:val="none"/>
        </w:rPr>
        <w:fldChar w:fldCharType="end"/>
      </w:r>
    </w:p>
    <w:p w14:paraId="4E37B9A6">
      <w:pPr>
        <w:spacing w:line="400" w:lineRule="exact"/>
        <w:jc w:val="left"/>
        <w:rPr>
          <w:rFonts w:ascii="宋体" w:hAnsi="宋体"/>
          <w:b/>
          <w:color w:val="auto"/>
          <w:sz w:val="32"/>
          <w:szCs w:val="32"/>
          <w:highlight w:val="none"/>
        </w:rPr>
      </w:pPr>
    </w:p>
    <w:p w14:paraId="14CC9931">
      <w:pPr>
        <w:spacing w:line="400" w:lineRule="exact"/>
        <w:jc w:val="center"/>
        <w:rPr>
          <w:rFonts w:ascii="宋体" w:hAnsi="宋体"/>
          <w:b/>
          <w:color w:val="auto"/>
          <w:sz w:val="32"/>
          <w:szCs w:val="32"/>
          <w:highlight w:val="none"/>
        </w:rPr>
      </w:pPr>
    </w:p>
    <w:p w14:paraId="2374C68B">
      <w:pPr>
        <w:tabs>
          <w:tab w:val="left" w:pos="6483"/>
        </w:tabs>
        <w:spacing w:line="400" w:lineRule="exact"/>
        <w:jc w:val="left"/>
        <w:rPr>
          <w:rFonts w:hint="eastAsia" w:ascii="宋体" w:hAnsi="宋体" w:eastAsia="宋体"/>
          <w:b/>
          <w:color w:val="auto"/>
          <w:sz w:val="32"/>
          <w:szCs w:val="32"/>
          <w:highlight w:val="none"/>
          <w:lang w:eastAsia="zh-CN"/>
        </w:rPr>
      </w:pPr>
      <w:r>
        <w:rPr>
          <w:rFonts w:hint="eastAsia" w:ascii="宋体" w:hAnsi="宋体"/>
          <w:b/>
          <w:color w:val="auto"/>
          <w:sz w:val="32"/>
          <w:szCs w:val="32"/>
          <w:highlight w:val="none"/>
          <w:lang w:eastAsia="zh-CN"/>
        </w:rPr>
        <w:tab/>
      </w:r>
    </w:p>
    <w:p w14:paraId="06EE7B86">
      <w:pPr>
        <w:spacing w:line="400" w:lineRule="exact"/>
        <w:jc w:val="center"/>
        <w:rPr>
          <w:rFonts w:ascii="宋体" w:hAnsi="宋体"/>
          <w:b/>
          <w:color w:val="auto"/>
          <w:sz w:val="32"/>
          <w:szCs w:val="32"/>
          <w:highlight w:val="none"/>
        </w:rPr>
      </w:pPr>
    </w:p>
    <w:p w14:paraId="26A9240B">
      <w:pPr>
        <w:spacing w:line="400" w:lineRule="exact"/>
        <w:jc w:val="center"/>
        <w:rPr>
          <w:rFonts w:ascii="宋体" w:hAnsi="宋体"/>
          <w:b/>
          <w:color w:val="auto"/>
          <w:sz w:val="32"/>
          <w:szCs w:val="32"/>
          <w:highlight w:val="none"/>
        </w:rPr>
      </w:pPr>
    </w:p>
    <w:p w14:paraId="1D523920">
      <w:pPr>
        <w:spacing w:line="400" w:lineRule="exact"/>
        <w:rPr>
          <w:rFonts w:ascii="宋体" w:hAnsi="宋体"/>
          <w:b/>
          <w:color w:val="auto"/>
          <w:sz w:val="32"/>
          <w:szCs w:val="32"/>
          <w:highlight w:val="none"/>
        </w:rPr>
        <w:sectPr>
          <w:headerReference r:id="rId4" w:type="first"/>
          <w:footerReference r:id="rId6" w:type="first"/>
          <w:headerReference r:id="rId3" w:type="default"/>
          <w:footerReference r:id="rId5" w:type="default"/>
          <w:pgSz w:w="11906" w:h="16838"/>
          <w:pgMar w:top="1440" w:right="1440" w:bottom="1440" w:left="1587" w:header="851" w:footer="992" w:gutter="0"/>
          <w:pgNumType w:start="0"/>
          <w:cols w:space="720" w:num="1"/>
          <w:titlePg/>
          <w:docGrid w:type="lines" w:linePitch="312" w:charSpace="0"/>
        </w:sectPr>
      </w:pPr>
    </w:p>
    <w:p w14:paraId="659E8F4A">
      <w:pPr>
        <w:pStyle w:val="2"/>
        <w:keepNext/>
        <w:keepLines/>
        <w:pageBreakBefore w:val="0"/>
        <w:widowControl w:val="0"/>
        <w:kinsoku/>
        <w:wordWrap/>
        <w:overflowPunct/>
        <w:topLinePunct w:val="0"/>
        <w:autoSpaceDE/>
        <w:autoSpaceDN/>
        <w:bidi w:val="0"/>
        <w:adjustRightInd/>
        <w:snapToGrid/>
        <w:spacing w:before="0" w:after="0" w:line="480" w:lineRule="auto"/>
        <w:jc w:val="center"/>
        <w:textAlignment w:val="auto"/>
        <w:rPr>
          <w:color w:val="auto"/>
          <w:highlight w:val="none"/>
        </w:rPr>
      </w:pPr>
      <w:bookmarkStart w:id="0" w:name="_Toc21835"/>
      <w:r>
        <w:rPr>
          <w:rFonts w:hint="eastAsia"/>
          <w:color w:val="auto"/>
          <w:highlight w:val="none"/>
        </w:rPr>
        <w:t>第一章竞争性磋商公告</w:t>
      </w:r>
      <w:bookmarkEnd w:id="0"/>
    </w:p>
    <w:p w14:paraId="6B2D4D77">
      <w:pPr>
        <w:spacing w:line="400" w:lineRule="exact"/>
        <w:jc w:val="center"/>
        <w:rPr>
          <w:rFonts w:ascii="宋体" w:hAnsi="宋体"/>
          <w:b/>
          <w:bCs/>
          <w:color w:val="auto"/>
          <w:sz w:val="32"/>
          <w:szCs w:val="32"/>
          <w:highlight w:val="none"/>
        </w:rPr>
      </w:pPr>
      <w:r>
        <w:rPr>
          <w:rFonts w:hint="eastAsia" w:ascii="宋体" w:hAnsi="宋体"/>
          <w:b/>
          <w:bCs/>
          <w:color w:val="auto"/>
          <w:sz w:val="32"/>
          <w:szCs w:val="32"/>
          <w:highlight w:val="none"/>
          <w:lang w:val="en-US" w:eastAsia="zh-CN"/>
        </w:rPr>
        <w:t>广西城建咨询设计有限公司关于广西警察学院五合、仙葫校区教学楼新增电缆及五合校区变压器扩容项目的</w:t>
      </w:r>
      <w:r>
        <w:rPr>
          <w:rFonts w:hint="eastAsia" w:ascii="宋体" w:hAnsi="宋体"/>
          <w:b/>
          <w:bCs/>
          <w:color w:val="auto"/>
          <w:sz w:val="32"/>
          <w:szCs w:val="32"/>
          <w:highlight w:val="none"/>
        </w:rPr>
        <w:t>竞争性磋商公告</w:t>
      </w:r>
    </w:p>
    <w:p w14:paraId="2AEF507D">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color w:val="auto"/>
          <w:szCs w:val="21"/>
          <w:highlight w:val="none"/>
        </w:rPr>
      </w:pPr>
      <w:bookmarkStart w:id="1" w:name="_Hlk37430271"/>
      <w:r>
        <w:rPr>
          <w:rFonts w:hint="eastAsia" w:ascii="宋体" w:hAnsi="宋体"/>
          <w:color w:val="auto"/>
          <w:szCs w:val="21"/>
          <w:highlight w:val="none"/>
        </w:rPr>
        <w:t>项目概况</w:t>
      </w:r>
    </w:p>
    <w:p w14:paraId="4F39D4E3">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color w:val="auto"/>
          <w:szCs w:val="21"/>
          <w:highlight w:val="none"/>
        </w:rPr>
      </w:pPr>
      <w:r>
        <w:rPr>
          <w:rFonts w:hint="eastAsia" w:ascii="宋体" w:hAnsi="宋体"/>
          <w:color w:val="auto"/>
          <w:szCs w:val="21"/>
          <w:highlight w:val="none"/>
          <w:u w:val="single"/>
          <w:lang w:eastAsia="zh-CN"/>
        </w:rPr>
        <w:t>广西警察学院五合、仙葫校区教学楼新增电缆及五合校区变压器扩容项目</w:t>
      </w:r>
      <w:r>
        <w:rPr>
          <w:rFonts w:hint="eastAsia" w:ascii="宋体" w:hAnsi="宋体"/>
          <w:color w:val="auto"/>
          <w:szCs w:val="21"/>
          <w:highlight w:val="none"/>
        </w:rPr>
        <w:t>采购项目的潜在供应商应在</w:t>
      </w:r>
      <w:r>
        <w:rPr>
          <w:rFonts w:hint="eastAsia" w:ascii="宋体" w:hAnsi="宋体"/>
          <w:color w:val="auto"/>
          <w:szCs w:val="21"/>
          <w:highlight w:val="none"/>
          <w:lang w:eastAsia="zh-CN"/>
        </w:rPr>
        <w:t>广西政府采购云平台（https://www.gcy.zfcg.gxzf.gov.cn/）</w:t>
      </w:r>
      <w:r>
        <w:rPr>
          <w:rFonts w:hint="eastAsia" w:ascii="宋体" w:hAnsi="宋体"/>
          <w:color w:val="auto"/>
          <w:szCs w:val="21"/>
          <w:highlight w:val="none"/>
        </w:rPr>
        <w:t>获取（下载）竞争性磋商文件，并于</w:t>
      </w:r>
      <w:r>
        <w:rPr>
          <w:rFonts w:hint="eastAsia" w:ascii="宋体" w:hAnsi="宋体"/>
          <w:bCs/>
          <w:color w:val="auto"/>
          <w:szCs w:val="21"/>
          <w:highlight w:val="none"/>
          <w:u w:val="single"/>
          <w:lang w:eastAsia="zh-CN"/>
        </w:rPr>
        <w:t>2026年9月17日09时30分</w:t>
      </w:r>
      <w:r>
        <w:rPr>
          <w:rFonts w:hint="eastAsia" w:ascii="宋体" w:hAnsi="宋体"/>
          <w:bCs/>
          <w:color w:val="auto"/>
          <w:szCs w:val="21"/>
          <w:highlight w:val="none"/>
        </w:rPr>
        <w:t>（北京时间）前提交（上传）</w:t>
      </w:r>
      <w:r>
        <w:rPr>
          <w:rFonts w:hint="eastAsia" w:ascii="宋体" w:hAnsi="宋体"/>
          <w:color w:val="auto"/>
          <w:szCs w:val="21"/>
          <w:highlight w:val="none"/>
        </w:rPr>
        <w:t>响应</w:t>
      </w:r>
      <w:r>
        <w:rPr>
          <w:rFonts w:hint="eastAsia" w:ascii="宋体" w:hAnsi="宋体"/>
          <w:bCs/>
          <w:color w:val="auto"/>
          <w:szCs w:val="21"/>
          <w:highlight w:val="none"/>
        </w:rPr>
        <w:t>文件</w:t>
      </w:r>
      <w:r>
        <w:rPr>
          <w:rFonts w:hint="eastAsia" w:ascii="宋体" w:hAnsi="宋体"/>
          <w:color w:val="auto"/>
          <w:szCs w:val="21"/>
          <w:highlight w:val="none"/>
        </w:rPr>
        <w:t>。</w:t>
      </w:r>
    </w:p>
    <w:p w14:paraId="6B1E4637">
      <w:pPr>
        <w:spacing w:line="360" w:lineRule="auto"/>
        <w:rPr>
          <w:rFonts w:ascii="宋体" w:hAnsi="宋体"/>
          <w:color w:val="auto"/>
          <w:szCs w:val="21"/>
          <w:highlight w:val="none"/>
        </w:rPr>
      </w:pPr>
    </w:p>
    <w:p w14:paraId="73024B4F">
      <w:pPr>
        <w:spacing w:line="360" w:lineRule="auto"/>
        <w:ind w:firstLine="354" w:firstLineChars="147"/>
        <w:rPr>
          <w:rFonts w:ascii="黑体" w:hAnsi="黑体" w:eastAsia="黑体"/>
          <w:b/>
          <w:color w:val="auto"/>
          <w:sz w:val="24"/>
          <w:highlight w:val="none"/>
        </w:rPr>
      </w:pPr>
      <w:bookmarkStart w:id="2" w:name="_Toc71365905"/>
      <w:bookmarkStart w:id="3" w:name="_Toc28359012"/>
      <w:bookmarkStart w:id="4" w:name="_Toc35393629"/>
      <w:bookmarkStart w:id="5" w:name="_Toc35393798"/>
      <w:bookmarkStart w:id="6" w:name="_Toc28359089"/>
      <w:bookmarkStart w:id="7" w:name="_Toc44229878"/>
      <w:r>
        <w:rPr>
          <w:rFonts w:hint="eastAsia" w:ascii="黑体" w:hAnsi="黑体" w:eastAsia="黑体"/>
          <w:b/>
          <w:color w:val="auto"/>
          <w:sz w:val="24"/>
          <w:highlight w:val="none"/>
        </w:rPr>
        <w:t>一、项目基本情况</w:t>
      </w:r>
      <w:bookmarkEnd w:id="2"/>
      <w:bookmarkEnd w:id="3"/>
      <w:bookmarkEnd w:id="4"/>
      <w:bookmarkEnd w:id="5"/>
      <w:bookmarkEnd w:id="6"/>
      <w:bookmarkEnd w:id="7"/>
    </w:p>
    <w:p w14:paraId="00A21053">
      <w:pPr>
        <w:spacing w:line="360" w:lineRule="auto"/>
        <w:ind w:firstLine="420" w:firstLineChars="200"/>
        <w:rPr>
          <w:rFonts w:hint="eastAsia" w:ascii="宋体" w:hAnsi="宋体" w:eastAsia="宋体"/>
          <w:b w:val="0"/>
          <w:bCs w:val="0"/>
          <w:color w:val="auto"/>
          <w:szCs w:val="21"/>
          <w:highlight w:val="none"/>
          <w:u w:val="none"/>
          <w:lang w:eastAsia="zh-CN"/>
        </w:rPr>
      </w:pPr>
      <w:r>
        <w:rPr>
          <w:rFonts w:hint="eastAsia" w:ascii="宋体" w:hAnsi="宋体"/>
          <w:b w:val="0"/>
          <w:bCs w:val="0"/>
          <w:color w:val="auto"/>
          <w:szCs w:val="21"/>
          <w:highlight w:val="none"/>
          <w:u w:val="none"/>
        </w:rPr>
        <w:t>项目编号：</w:t>
      </w:r>
      <w:r>
        <w:rPr>
          <w:rFonts w:hint="eastAsia" w:ascii="宋体" w:hAnsi="宋体"/>
          <w:b w:val="0"/>
          <w:bCs w:val="0"/>
          <w:color w:val="auto"/>
          <w:szCs w:val="21"/>
          <w:highlight w:val="none"/>
          <w:u w:val="none"/>
          <w:lang w:eastAsia="zh-CN"/>
        </w:rPr>
        <w:t>GXZC2026-C2-002919-GXCJ</w:t>
      </w:r>
    </w:p>
    <w:p w14:paraId="7C08FD8E">
      <w:pPr>
        <w:spacing w:line="360" w:lineRule="auto"/>
        <w:ind w:firstLine="420" w:firstLineChars="200"/>
        <w:rPr>
          <w:rFonts w:hint="eastAsia" w:ascii="宋体" w:hAnsi="宋体" w:eastAsia="宋体"/>
          <w:color w:val="auto"/>
          <w:szCs w:val="21"/>
          <w:highlight w:val="none"/>
          <w:u w:val="none"/>
          <w:lang w:eastAsia="zh-CN"/>
        </w:rPr>
      </w:pPr>
      <w:r>
        <w:rPr>
          <w:rFonts w:hint="eastAsia" w:ascii="宋体" w:hAnsi="宋体"/>
          <w:color w:val="auto"/>
          <w:szCs w:val="21"/>
          <w:highlight w:val="none"/>
          <w:u w:val="none"/>
        </w:rPr>
        <w:t>项目名称：</w:t>
      </w:r>
      <w:r>
        <w:rPr>
          <w:rFonts w:hint="eastAsia" w:ascii="宋体" w:hAnsi="宋体"/>
          <w:color w:val="auto"/>
          <w:szCs w:val="21"/>
          <w:highlight w:val="none"/>
          <w:u w:val="none"/>
          <w:lang w:eastAsia="zh-CN"/>
        </w:rPr>
        <w:t>广西警察学院五合、仙葫校区教学楼新增电缆及五合校区变压器扩容项目</w:t>
      </w:r>
    </w:p>
    <w:p w14:paraId="0010A633">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采购方式：竞争性磋商</w:t>
      </w:r>
    </w:p>
    <w:p w14:paraId="19C72C8B">
      <w:pPr>
        <w:spacing w:line="360" w:lineRule="auto"/>
        <w:ind w:firstLine="420" w:firstLineChars="200"/>
        <w:rPr>
          <w:rFonts w:hint="eastAsia" w:ascii="宋体" w:hAnsi="宋体" w:eastAsia="宋体" w:cs="Times New Roman"/>
          <w:color w:val="auto"/>
          <w:szCs w:val="21"/>
          <w:highlight w:val="none"/>
          <w:lang w:eastAsia="zh-CN"/>
        </w:rPr>
      </w:pPr>
      <w:r>
        <w:rPr>
          <w:rFonts w:hint="eastAsia" w:ascii="宋体" w:hAnsi="宋体"/>
          <w:color w:val="auto"/>
          <w:szCs w:val="21"/>
          <w:highlight w:val="none"/>
        </w:rPr>
        <w:t>预算金额：1406592.72</w:t>
      </w:r>
      <w:r>
        <w:rPr>
          <w:rFonts w:hint="eastAsia" w:ascii="宋体" w:hAnsi="宋体" w:cs="Times New Roman"/>
          <w:color w:val="auto"/>
          <w:szCs w:val="21"/>
          <w:highlight w:val="none"/>
          <w:lang w:val="en-US" w:eastAsia="zh-CN"/>
        </w:rPr>
        <w:t>元</w:t>
      </w:r>
      <w:r>
        <w:rPr>
          <w:rFonts w:hint="eastAsia" w:ascii="宋体" w:hAnsi="宋体" w:eastAsia="宋体" w:cs="Times New Roman"/>
          <w:color w:val="auto"/>
          <w:szCs w:val="21"/>
          <w:highlight w:val="none"/>
        </w:rPr>
        <w:t>。</w:t>
      </w:r>
    </w:p>
    <w:p w14:paraId="1640ADBC">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采购需求：</w:t>
      </w:r>
    </w:p>
    <w:p w14:paraId="3EE8526D">
      <w:pPr>
        <w:spacing w:line="360" w:lineRule="exact"/>
        <w:ind w:left="420" w:leftChars="200"/>
        <w:rPr>
          <w:rFonts w:ascii="宋体" w:hAnsi="宋体"/>
          <w:color w:val="auto"/>
          <w:szCs w:val="21"/>
          <w:highlight w:val="none"/>
        </w:rPr>
      </w:pPr>
      <w:r>
        <w:rPr>
          <w:rFonts w:hint="eastAsia" w:ascii="宋体" w:hAnsi="宋体"/>
          <w:color w:val="auto"/>
          <w:szCs w:val="21"/>
          <w:highlight w:val="none"/>
          <w:lang w:val="en-US" w:eastAsia="zh-CN"/>
        </w:rPr>
        <w:t>分标1</w:t>
      </w:r>
      <w:r>
        <w:rPr>
          <w:rFonts w:hint="eastAsia" w:ascii="宋体" w:hAnsi="宋体"/>
          <w:color w:val="auto"/>
          <w:szCs w:val="21"/>
          <w:highlight w:val="none"/>
        </w:rPr>
        <w:br w:type="textWrapping"/>
      </w:r>
      <w:r>
        <w:rPr>
          <w:rFonts w:hint="eastAsia" w:ascii="宋体" w:hAnsi="宋体"/>
          <w:color w:val="auto"/>
          <w:szCs w:val="21"/>
          <w:highlight w:val="none"/>
        </w:rPr>
        <w:t>标项名称:</w:t>
      </w:r>
      <w:r>
        <w:rPr>
          <w:rFonts w:hint="eastAsia" w:ascii="宋体" w:hAnsi="宋体"/>
          <w:color w:val="auto"/>
          <w:szCs w:val="21"/>
          <w:highlight w:val="none"/>
          <w:lang w:eastAsia="zh-CN"/>
        </w:rPr>
        <w:t>广西警察学院五合、仙葫校区教学楼新增电缆及五合校区变压器扩容项目</w:t>
      </w:r>
      <w:r>
        <w:rPr>
          <w:rFonts w:hint="eastAsia" w:ascii="宋体" w:hAnsi="宋体"/>
          <w:color w:val="auto"/>
          <w:szCs w:val="21"/>
          <w:highlight w:val="none"/>
        </w:rPr>
        <w:br w:type="textWrapping"/>
      </w:r>
      <w:r>
        <w:rPr>
          <w:rFonts w:hint="eastAsia" w:ascii="宋体" w:hAnsi="宋体"/>
          <w:color w:val="auto"/>
          <w:szCs w:val="21"/>
          <w:highlight w:val="none"/>
        </w:rPr>
        <w:t>数量:1</w:t>
      </w:r>
      <w:r>
        <w:rPr>
          <w:rFonts w:hint="eastAsia" w:ascii="宋体" w:hAnsi="宋体"/>
          <w:color w:val="auto"/>
          <w:szCs w:val="21"/>
          <w:highlight w:val="none"/>
        </w:rPr>
        <w:br w:type="textWrapping"/>
      </w:r>
      <w:r>
        <w:rPr>
          <w:rFonts w:hint="eastAsia" w:ascii="宋体" w:hAnsi="宋体"/>
          <w:color w:val="auto"/>
          <w:szCs w:val="21"/>
          <w:highlight w:val="none"/>
        </w:rPr>
        <w:t>预算金额（元）:</w:t>
      </w:r>
      <w:r>
        <w:rPr>
          <w:rFonts w:hint="eastAsia" w:ascii="宋体" w:hAnsi="宋体"/>
          <w:color w:val="auto"/>
          <w:szCs w:val="21"/>
          <w:highlight w:val="none"/>
          <w:lang w:eastAsia="zh-CN"/>
        </w:rPr>
        <w:t>1406592.72</w:t>
      </w:r>
      <w:r>
        <w:rPr>
          <w:rFonts w:hint="eastAsia" w:ascii="宋体" w:hAnsi="宋体"/>
          <w:color w:val="auto"/>
          <w:szCs w:val="21"/>
          <w:highlight w:val="none"/>
        </w:rPr>
        <w:br w:type="textWrapping"/>
      </w:r>
      <w:r>
        <w:rPr>
          <w:rFonts w:hint="eastAsia" w:ascii="宋体" w:hAnsi="宋体"/>
          <w:color w:val="auto"/>
          <w:szCs w:val="21"/>
          <w:highlight w:val="none"/>
        </w:rPr>
        <w:t>简要规格描述或项目基本概况介绍、用途：</w:t>
      </w:r>
      <w:r>
        <w:rPr>
          <w:rFonts w:hint="eastAsia" w:ascii="宋体" w:hAnsi="宋体"/>
          <w:color w:val="auto"/>
          <w:szCs w:val="21"/>
          <w:highlight w:val="none"/>
          <w:lang w:eastAsia="zh-CN"/>
        </w:rPr>
        <w:t>广西警察学院五合、仙葫校区教学楼新增电缆及五合校区变压器扩容项目位于南宁市青秀区五合大道7号广西警察学院五合校区及军堂路6号广西警察学院仙葫校区，主要施工内容包括：新增配电线路、变压器扩容等。</w:t>
      </w:r>
      <w:r>
        <w:rPr>
          <w:rFonts w:hint="eastAsia" w:ascii="宋体" w:hAnsi="宋体"/>
          <w:color w:val="auto"/>
          <w:szCs w:val="21"/>
          <w:highlight w:val="none"/>
          <w:lang w:val="en-US" w:eastAsia="zh-CN"/>
        </w:rPr>
        <w:t>具体内容详见工程量清单及图纸。</w:t>
      </w:r>
    </w:p>
    <w:p w14:paraId="67B17FA2">
      <w:pPr>
        <w:spacing w:line="360" w:lineRule="exact"/>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最高限价（如有）：</w:t>
      </w:r>
      <w:r>
        <w:rPr>
          <w:rFonts w:hint="eastAsia" w:ascii="宋体" w:hAnsi="宋体"/>
          <w:color w:val="auto"/>
          <w:szCs w:val="21"/>
          <w:highlight w:val="none"/>
          <w:lang w:eastAsia="zh-CN"/>
        </w:rPr>
        <w:t>1406592.72</w:t>
      </w:r>
    </w:p>
    <w:p w14:paraId="5EE21DAC">
      <w:pPr>
        <w:spacing w:line="360" w:lineRule="exact"/>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合同履约期限：</w:t>
      </w:r>
      <w:r>
        <w:rPr>
          <w:rFonts w:hint="eastAsia" w:ascii="宋体" w:hAnsi="宋体"/>
          <w:color w:val="auto"/>
          <w:szCs w:val="21"/>
          <w:highlight w:val="none"/>
          <w:lang w:eastAsia="zh-CN"/>
        </w:rPr>
        <w:t>工期为30日历天</w:t>
      </w:r>
    </w:p>
    <w:p w14:paraId="58B253C3">
      <w:pPr>
        <w:spacing w:line="360" w:lineRule="exact"/>
        <w:ind w:left="420" w:leftChars="200"/>
        <w:rPr>
          <w:rFonts w:ascii="宋体" w:hAnsi="宋体"/>
          <w:color w:val="auto"/>
          <w:szCs w:val="21"/>
          <w:highlight w:val="none"/>
        </w:rPr>
      </w:pPr>
      <w:r>
        <w:rPr>
          <w:rFonts w:hint="eastAsia" w:ascii="宋体" w:hAnsi="宋体"/>
          <w:color w:val="auto"/>
          <w:szCs w:val="21"/>
          <w:highlight w:val="none"/>
        </w:rPr>
        <w:t>本标项（否）接受联合体投标</w:t>
      </w:r>
      <w:r>
        <w:rPr>
          <w:rFonts w:hint="eastAsia" w:ascii="宋体" w:hAnsi="宋体"/>
          <w:color w:val="auto"/>
          <w:szCs w:val="21"/>
          <w:highlight w:val="none"/>
        </w:rPr>
        <w:br w:type="textWrapping"/>
      </w:r>
      <w:r>
        <w:rPr>
          <w:rFonts w:hint="eastAsia" w:ascii="宋体" w:hAnsi="宋体"/>
          <w:color w:val="auto"/>
          <w:szCs w:val="21"/>
          <w:highlight w:val="none"/>
        </w:rPr>
        <w:t>备注：/</w:t>
      </w:r>
    </w:p>
    <w:p w14:paraId="3DB46B83">
      <w:pPr>
        <w:spacing w:line="360" w:lineRule="auto"/>
        <w:ind w:firstLine="354" w:firstLineChars="147"/>
        <w:rPr>
          <w:rFonts w:ascii="黑体" w:hAnsi="黑体" w:eastAsia="黑体"/>
          <w:b/>
          <w:color w:val="auto"/>
          <w:sz w:val="24"/>
          <w:highlight w:val="none"/>
        </w:rPr>
      </w:pPr>
      <w:bookmarkStart w:id="8" w:name="_Toc35393799"/>
      <w:bookmarkStart w:id="9" w:name="_Toc35393630"/>
      <w:bookmarkStart w:id="10" w:name="_Toc28359013"/>
      <w:bookmarkStart w:id="11" w:name="_Toc44229879"/>
      <w:bookmarkStart w:id="12" w:name="_Toc28359090"/>
      <w:bookmarkStart w:id="13" w:name="_Toc71365906"/>
      <w:r>
        <w:rPr>
          <w:rFonts w:hint="eastAsia" w:ascii="黑体" w:hAnsi="黑体" w:eastAsia="黑体"/>
          <w:b/>
          <w:color w:val="auto"/>
          <w:sz w:val="24"/>
          <w:highlight w:val="none"/>
        </w:rPr>
        <w:t>二、申请人的资格条件：</w:t>
      </w:r>
      <w:bookmarkEnd w:id="8"/>
      <w:bookmarkEnd w:id="9"/>
      <w:bookmarkEnd w:id="10"/>
      <w:bookmarkEnd w:id="11"/>
      <w:bookmarkEnd w:id="12"/>
      <w:bookmarkEnd w:id="13"/>
    </w:p>
    <w:p w14:paraId="02CD3E60">
      <w:pPr>
        <w:spacing w:line="360" w:lineRule="auto"/>
        <w:ind w:firstLine="420" w:firstLineChars="200"/>
        <w:rPr>
          <w:rFonts w:ascii="宋体" w:hAnsi="宋体"/>
          <w:color w:val="auto"/>
          <w:szCs w:val="21"/>
          <w:highlight w:val="none"/>
        </w:rPr>
      </w:pPr>
      <w:bookmarkStart w:id="14" w:name="_Toc35393631"/>
      <w:bookmarkStart w:id="15" w:name="_Toc28359014"/>
      <w:bookmarkStart w:id="16" w:name="_Toc44229880"/>
      <w:bookmarkStart w:id="17" w:name="_Toc35393800"/>
      <w:bookmarkStart w:id="18" w:name="_Toc28359091"/>
      <w:r>
        <w:rPr>
          <w:rFonts w:hint="eastAsia" w:ascii="宋体" w:hAnsi="宋体"/>
          <w:color w:val="auto"/>
          <w:szCs w:val="21"/>
          <w:highlight w:val="none"/>
        </w:rPr>
        <w:t>1.满足《中华人民共和国政府采购法》第二十二条规定；</w:t>
      </w:r>
    </w:p>
    <w:p w14:paraId="2229FA2D">
      <w:pPr>
        <w:spacing w:line="360" w:lineRule="auto"/>
        <w:ind w:firstLine="420" w:firstLineChars="200"/>
        <w:rPr>
          <w:rStyle w:val="58"/>
          <w:color w:val="auto"/>
          <w:highlight w:val="none"/>
        </w:rPr>
      </w:pPr>
      <w:r>
        <w:rPr>
          <w:rFonts w:ascii="宋体" w:hAnsi="宋体"/>
          <w:color w:val="auto"/>
          <w:szCs w:val="21"/>
          <w:highlight w:val="none"/>
        </w:rPr>
        <w:t>2</w:t>
      </w:r>
      <w:r>
        <w:rPr>
          <w:rFonts w:hint="eastAsia" w:ascii="宋体" w:hAnsi="宋体"/>
          <w:color w:val="auto"/>
          <w:szCs w:val="21"/>
          <w:highlight w:val="none"/>
        </w:rPr>
        <w:t>.落实政府采购政策需满足的资格要求：</w:t>
      </w:r>
      <w:r>
        <w:rPr>
          <w:rFonts w:hint="eastAsia" w:ascii="宋体" w:hAnsi="宋体"/>
          <w:color w:val="auto"/>
          <w:szCs w:val="21"/>
          <w:highlight w:val="none"/>
          <w:lang w:val="en-US" w:eastAsia="zh-CN"/>
        </w:rPr>
        <w:t>本项目为</w:t>
      </w:r>
      <w:r>
        <w:rPr>
          <w:rFonts w:hint="eastAsia" w:ascii="宋体" w:hAnsi="宋体"/>
          <w:color w:val="auto"/>
          <w:szCs w:val="21"/>
          <w:highlight w:val="none"/>
          <w:lang w:eastAsia="zh-CN"/>
        </w:rPr>
        <w:t>专门面向</w:t>
      </w:r>
      <w:r>
        <w:rPr>
          <w:rFonts w:hint="eastAsia" w:ascii="宋体" w:hAnsi="宋体"/>
          <w:color w:val="auto"/>
          <w:szCs w:val="21"/>
          <w:highlight w:val="none"/>
          <w:lang w:val="en-US" w:eastAsia="zh-CN"/>
        </w:rPr>
        <w:t>中小</w:t>
      </w:r>
      <w:r>
        <w:rPr>
          <w:rFonts w:hint="eastAsia" w:ascii="宋体" w:hAnsi="宋体"/>
          <w:color w:val="auto"/>
          <w:szCs w:val="21"/>
          <w:highlight w:val="none"/>
          <w:lang w:eastAsia="zh-CN"/>
        </w:rPr>
        <w:t>企业采购的项目，供应商应为</w:t>
      </w:r>
      <w:r>
        <w:rPr>
          <w:rFonts w:hint="eastAsia" w:ascii="宋体" w:hAnsi="宋体"/>
          <w:color w:val="auto"/>
          <w:szCs w:val="21"/>
          <w:highlight w:val="none"/>
          <w:lang w:val="en-US" w:eastAsia="zh-CN"/>
        </w:rPr>
        <w:t>中小微企业</w:t>
      </w:r>
      <w:r>
        <w:rPr>
          <w:rFonts w:hint="eastAsia" w:ascii="宋体" w:hAnsi="宋体"/>
          <w:color w:val="auto"/>
          <w:szCs w:val="21"/>
          <w:highlight w:val="none"/>
          <w:lang w:eastAsia="zh-CN"/>
        </w:rPr>
        <w:t>或监狱企业或残疾人福利性单位。</w:t>
      </w:r>
    </w:p>
    <w:p w14:paraId="0E0C464F">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3.本项目的特定资格要求</w:t>
      </w:r>
    </w:p>
    <w:p w14:paraId="131A910F">
      <w:pPr>
        <w:spacing w:line="360" w:lineRule="auto"/>
        <w:ind w:firstLine="420" w:firstLineChars="200"/>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1）供应商须具备建设行政主管部门核发的有效电力工程施工总承包三级（含）以上资质或输变电工程专业承包三级（含）以上资质；具备国家能源局（或原国家电力监管委员会）核发的有效《承装（修、试）电力设施许可证》五级（含）以上资质（注：若供应商已按2025年7月1日起施行的《承装（修、试）电力设施许可证管理办法》换领新证的，须具备有效的三级（含）以上《承装（修、试）电力设施许可证》）；并具备有效的《安全生产许可证》。</w:t>
      </w:r>
    </w:p>
    <w:p w14:paraId="2AA6BDD4">
      <w:pPr>
        <w:spacing w:line="360" w:lineRule="auto"/>
        <w:ind w:firstLine="420" w:firstLineChars="20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（2）供应商拟派的项目经理须具备机电工程专业贰级(含)以上注册建造师执业资格并具备有效的安全生产考核证书（B）类，且不得同时担任其他在建建设工程项目的项目经理。</w:t>
      </w:r>
    </w:p>
    <w:p w14:paraId="17CBF46C">
      <w:pPr>
        <w:pStyle w:val="43"/>
        <w:keepNext w:val="0"/>
        <w:keepLines w:val="0"/>
        <w:pageBreakBefore w:val="0"/>
        <w:widowControl w:val="0"/>
        <w:kinsoku/>
        <w:wordWrap/>
        <w:overflowPunct/>
        <w:topLinePunct w:val="0"/>
        <w:autoSpaceDE/>
        <w:autoSpaceDN/>
        <w:bidi w:val="0"/>
        <w:adjustRightInd/>
        <w:snapToGrid/>
        <w:ind w:left="0" w:leftChars="0" w:firstLine="420" w:firstLineChars="200"/>
        <w:textAlignment w:val="auto"/>
        <w:rPr>
          <w:rFonts w:hint="eastAsia" w:eastAsia="宋体"/>
          <w:color w:val="auto"/>
          <w:highlight w:val="none"/>
          <w:lang w:eastAsia="zh-CN"/>
        </w:rPr>
      </w:pPr>
      <w:r>
        <w:rPr>
          <w:rFonts w:hint="eastAsia"/>
          <w:color w:val="auto"/>
          <w:highlight w:val="none"/>
        </w:rPr>
        <w:t>（3）供应商拟派专职安全生产管理人员应具备有效的安全生产考核合格证书（C类），且</w:t>
      </w:r>
      <w:r>
        <w:rPr>
          <w:rFonts w:hint="eastAsia"/>
          <w:color w:val="auto"/>
          <w:highlight w:val="none"/>
          <w:lang w:val="en-US" w:eastAsia="zh-CN"/>
        </w:rPr>
        <w:t>人数</w:t>
      </w:r>
      <w:r>
        <w:rPr>
          <w:rFonts w:hint="eastAsia"/>
          <w:color w:val="auto"/>
          <w:highlight w:val="none"/>
        </w:rPr>
        <w:t>不少于1人</w:t>
      </w:r>
      <w:r>
        <w:rPr>
          <w:rFonts w:hint="eastAsia"/>
          <w:color w:val="auto"/>
          <w:highlight w:val="none"/>
          <w:lang w:eastAsia="zh-CN"/>
        </w:rPr>
        <w:t>。</w:t>
      </w:r>
    </w:p>
    <w:p w14:paraId="1A1803CA">
      <w:pPr>
        <w:spacing w:line="360" w:lineRule="auto"/>
        <w:ind w:firstLine="354" w:firstLineChars="147"/>
        <w:rPr>
          <w:rFonts w:ascii="黑体" w:hAnsi="黑体" w:eastAsia="黑体"/>
          <w:b/>
          <w:color w:val="auto"/>
          <w:sz w:val="24"/>
          <w:highlight w:val="none"/>
        </w:rPr>
      </w:pPr>
      <w:bookmarkStart w:id="19" w:name="_Toc71365907"/>
      <w:r>
        <w:rPr>
          <w:rFonts w:hint="eastAsia" w:ascii="黑体" w:hAnsi="黑体" w:eastAsia="黑体"/>
          <w:b/>
          <w:color w:val="auto"/>
          <w:sz w:val="24"/>
          <w:highlight w:val="none"/>
        </w:rPr>
        <w:t>三、获取竞争性磋商文件</w:t>
      </w:r>
      <w:bookmarkEnd w:id="14"/>
      <w:bookmarkEnd w:id="15"/>
      <w:bookmarkEnd w:id="16"/>
      <w:bookmarkEnd w:id="17"/>
      <w:bookmarkEnd w:id="18"/>
      <w:bookmarkEnd w:id="19"/>
    </w:p>
    <w:p w14:paraId="30A4C74D">
      <w:pPr>
        <w:spacing w:line="360" w:lineRule="exact"/>
        <w:ind w:firstLine="420" w:firstLineChars="200"/>
        <w:rPr>
          <w:rFonts w:ascii="宋体" w:hAnsi="宋体" w:cs="宋体"/>
          <w:bCs/>
          <w:color w:val="auto"/>
          <w:kern w:val="0"/>
          <w:szCs w:val="21"/>
          <w:highlight w:val="none"/>
        </w:rPr>
      </w:pPr>
      <w:bookmarkStart w:id="20" w:name="_Toc71365908"/>
      <w:bookmarkStart w:id="21" w:name="_Toc44229881"/>
      <w:bookmarkStart w:id="22" w:name="_Toc28359015"/>
      <w:bookmarkStart w:id="23" w:name="_Toc28359092"/>
      <w:bookmarkStart w:id="24" w:name="_Toc35393632"/>
      <w:bookmarkStart w:id="25" w:name="_Toc35393801"/>
      <w:r>
        <w:rPr>
          <w:rFonts w:hint="eastAsia" w:ascii="宋体" w:hAnsi="宋体" w:cs="宋体"/>
          <w:bCs/>
          <w:color w:val="auto"/>
          <w:kern w:val="0"/>
          <w:szCs w:val="21"/>
          <w:highlight w:val="none"/>
        </w:rPr>
        <w:t>时间：</w:t>
      </w:r>
      <w:r>
        <w:rPr>
          <w:rFonts w:ascii="宋体" w:hAnsi="宋体"/>
          <w:bCs/>
          <w:color w:val="auto"/>
          <w:szCs w:val="21"/>
          <w:highlight w:val="none"/>
          <w:u w:val="single"/>
        </w:rPr>
        <w:t>202</w:t>
      </w:r>
      <w:r>
        <w:rPr>
          <w:rFonts w:hint="eastAsia" w:ascii="宋体" w:hAnsi="宋体"/>
          <w:bCs/>
          <w:color w:val="auto"/>
          <w:szCs w:val="21"/>
          <w:highlight w:val="none"/>
          <w:u w:val="single"/>
          <w:lang w:val="en-US" w:eastAsia="zh-CN"/>
        </w:rPr>
        <w:t>6</w:t>
      </w:r>
      <w:r>
        <w:rPr>
          <w:rFonts w:hint="eastAsia" w:ascii="宋体" w:hAnsi="宋体"/>
          <w:bCs/>
          <w:color w:val="auto"/>
          <w:szCs w:val="21"/>
          <w:highlight w:val="none"/>
          <w:u w:val="single"/>
        </w:rPr>
        <w:t>年</w:t>
      </w:r>
      <w:r>
        <w:rPr>
          <w:rFonts w:hint="eastAsia" w:ascii="宋体" w:hAnsi="宋体"/>
          <w:bCs/>
          <w:color w:val="auto"/>
          <w:szCs w:val="21"/>
          <w:highlight w:val="none"/>
          <w:u w:val="single"/>
          <w:lang w:val="en-US" w:eastAsia="zh-CN"/>
        </w:rPr>
        <w:t>9</w:t>
      </w:r>
      <w:r>
        <w:rPr>
          <w:rFonts w:hint="eastAsia" w:ascii="宋体" w:hAnsi="宋体"/>
          <w:bCs/>
          <w:color w:val="auto"/>
          <w:szCs w:val="21"/>
          <w:highlight w:val="none"/>
          <w:u w:val="single"/>
        </w:rPr>
        <w:t>月</w:t>
      </w:r>
      <w:r>
        <w:rPr>
          <w:rFonts w:hint="eastAsia" w:ascii="宋体" w:hAnsi="宋体"/>
          <w:bCs/>
          <w:color w:val="auto"/>
          <w:szCs w:val="21"/>
          <w:highlight w:val="none"/>
          <w:u w:val="single"/>
          <w:lang w:val="en-US" w:eastAsia="zh-CN"/>
        </w:rPr>
        <w:t>2</w:t>
      </w:r>
      <w:r>
        <w:rPr>
          <w:rFonts w:hint="eastAsia" w:ascii="宋体" w:hAnsi="宋体"/>
          <w:bCs/>
          <w:color w:val="auto"/>
          <w:szCs w:val="21"/>
          <w:highlight w:val="none"/>
          <w:u w:val="single"/>
        </w:rPr>
        <w:t>日</w:t>
      </w:r>
      <w:r>
        <w:rPr>
          <w:rFonts w:hint="eastAsia" w:ascii="宋体" w:hAnsi="宋体" w:cs="宋体"/>
          <w:bCs/>
          <w:color w:val="auto"/>
          <w:kern w:val="0"/>
          <w:szCs w:val="21"/>
          <w:highlight w:val="none"/>
        </w:rPr>
        <w:t>至</w:t>
      </w:r>
      <w:r>
        <w:rPr>
          <w:rFonts w:ascii="宋体" w:hAnsi="宋体"/>
          <w:bCs/>
          <w:color w:val="auto"/>
          <w:szCs w:val="21"/>
          <w:highlight w:val="none"/>
          <w:u w:val="single"/>
        </w:rPr>
        <w:t>202</w:t>
      </w:r>
      <w:r>
        <w:rPr>
          <w:rFonts w:hint="eastAsia" w:ascii="宋体" w:hAnsi="宋体"/>
          <w:bCs/>
          <w:color w:val="auto"/>
          <w:szCs w:val="21"/>
          <w:highlight w:val="none"/>
          <w:u w:val="single"/>
          <w:lang w:val="en-US" w:eastAsia="zh-CN"/>
        </w:rPr>
        <w:t>6</w:t>
      </w:r>
      <w:r>
        <w:rPr>
          <w:rFonts w:hint="eastAsia" w:ascii="宋体" w:hAnsi="宋体"/>
          <w:bCs/>
          <w:color w:val="auto"/>
          <w:szCs w:val="21"/>
          <w:highlight w:val="none"/>
          <w:u w:val="single"/>
        </w:rPr>
        <w:t>年</w:t>
      </w:r>
      <w:r>
        <w:rPr>
          <w:rFonts w:hint="eastAsia" w:ascii="宋体" w:hAnsi="宋体"/>
          <w:bCs/>
          <w:color w:val="auto"/>
          <w:szCs w:val="21"/>
          <w:highlight w:val="none"/>
          <w:u w:val="single"/>
          <w:lang w:val="en-US" w:eastAsia="zh-CN"/>
        </w:rPr>
        <w:t>9</w:t>
      </w:r>
      <w:r>
        <w:rPr>
          <w:rFonts w:hint="eastAsia" w:ascii="宋体" w:hAnsi="宋体"/>
          <w:bCs/>
          <w:color w:val="auto"/>
          <w:szCs w:val="21"/>
          <w:highlight w:val="none"/>
          <w:u w:val="single"/>
        </w:rPr>
        <w:t>月</w:t>
      </w:r>
      <w:r>
        <w:rPr>
          <w:rFonts w:hint="eastAsia" w:ascii="宋体" w:hAnsi="宋体"/>
          <w:bCs/>
          <w:color w:val="auto"/>
          <w:szCs w:val="21"/>
          <w:highlight w:val="none"/>
          <w:u w:val="single"/>
          <w:lang w:val="en-US" w:eastAsia="zh-CN"/>
        </w:rPr>
        <w:t>9</w:t>
      </w:r>
      <w:r>
        <w:rPr>
          <w:rFonts w:hint="eastAsia" w:ascii="宋体" w:hAnsi="宋体"/>
          <w:bCs/>
          <w:color w:val="auto"/>
          <w:szCs w:val="21"/>
          <w:highlight w:val="none"/>
          <w:u w:val="single"/>
        </w:rPr>
        <w:t>日</w:t>
      </w:r>
      <w:r>
        <w:rPr>
          <w:rFonts w:hint="eastAsia" w:ascii="宋体" w:hAnsi="宋体" w:cs="宋体"/>
          <w:bCs/>
          <w:color w:val="auto"/>
          <w:kern w:val="0"/>
          <w:szCs w:val="21"/>
          <w:highlight w:val="none"/>
        </w:rPr>
        <w:t>，每天上午</w:t>
      </w:r>
      <w:r>
        <w:rPr>
          <w:rFonts w:ascii="宋体" w:hAnsi="宋体" w:cs="宋体"/>
          <w:bCs/>
          <w:color w:val="auto"/>
          <w:kern w:val="0"/>
          <w:szCs w:val="21"/>
          <w:highlight w:val="none"/>
          <w:u w:val="single"/>
        </w:rPr>
        <w:t>0</w:t>
      </w:r>
      <w:r>
        <w:rPr>
          <w:rFonts w:hint="eastAsia" w:ascii="宋体" w:hAnsi="宋体" w:cs="宋体"/>
          <w:bCs/>
          <w:color w:val="auto"/>
          <w:kern w:val="0"/>
          <w:szCs w:val="21"/>
          <w:highlight w:val="none"/>
          <w:u w:val="single"/>
        </w:rPr>
        <w:t>：</w:t>
      </w:r>
      <w:r>
        <w:rPr>
          <w:rFonts w:ascii="宋体" w:hAnsi="宋体" w:cs="宋体"/>
          <w:bCs/>
          <w:color w:val="auto"/>
          <w:kern w:val="0"/>
          <w:szCs w:val="21"/>
          <w:highlight w:val="none"/>
          <w:u w:val="single"/>
        </w:rPr>
        <w:t>00</w:t>
      </w:r>
      <w:r>
        <w:rPr>
          <w:rFonts w:hint="eastAsia" w:ascii="宋体" w:hAnsi="宋体" w:cs="宋体"/>
          <w:bCs/>
          <w:color w:val="auto"/>
          <w:kern w:val="0"/>
          <w:szCs w:val="21"/>
          <w:highlight w:val="none"/>
        </w:rPr>
        <w:t>至12:0</w:t>
      </w:r>
      <w:r>
        <w:rPr>
          <w:rFonts w:ascii="宋体" w:hAnsi="宋体" w:cs="宋体"/>
          <w:bCs/>
          <w:color w:val="auto"/>
          <w:kern w:val="0"/>
          <w:szCs w:val="21"/>
          <w:highlight w:val="none"/>
        </w:rPr>
        <w:t>0</w:t>
      </w:r>
      <w:r>
        <w:rPr>
          <w:rFonts w:hint="eastAsia" w:ascii="宋体" w:hAnsi="宋体" w:cs="宋体"/>
          <w:bCs/>
          <w:color w:val="auto"/>
          <w:kern w:val="0"/>
          <w:szCs w:val="21"/>
          <w:highlight w:val="none"/>
        </w:rPr>
        <w:t>，下午</w:t>
      </w:r>
      <w:r>
        <w:rPr>
          <w:rFonts w:ascii="宋体" w:hAnsi="宋体" w:cs="宋体"/>
          <w:bCs/>
          <w:color w:val="auto"/>
          <w:kern w:val="0"/>
          <w:szCs w:val="21"/>
          <w:highlight w:val="none"/>
        </w:rPr>
        <w:t>12</w:t>
      </w:r>
      <w:r>
        <w:rPr>
          <w:rFonts w:hint="eastAsia" w:ascii="宋体" w:hAnsi="宋体" w:cs="宋体"/>
          <w:bCs/>
          <w:color w:val="auto"/>
          <w:kern w:val="0"/>
          <w:szCs w:val="21"/>
          <w:highlight w:val="none"/>
        </w:rPr>
        <w:t>:0</w:t>
      </w:r>
      <w:r>
        <w:rPr>
          <w:rFonts w:ascii="宋体" w:hAnsi="宋体" w:cs="宋体"/>
          <w:bCs/>
          <w:color w:val="auto"/>
          <w:kern w:val="0"/>
          <w:szCs w:val="21"/>
          <w:highlight w:val="none"/>
        </w:rPr>
        <w:t>0</w:t>
      </w:r>
      <w:r>
        <w:rPr>
          <w:rFonts w:hint="eastAsia" w:ascii="宋体" w:hAnsi="宋体" w:cs="宋体"/>
          <w:bCs/>
          <w:color w:val="auto"/>
          <w:kern w:val="0"/>
          <w:szCs w:val="21"/>
          <w:highlight w:val="none"/>
        </w:rPr>
        <w:t>至</w:t>
      </w:r>
      <w:r>
        <w:rPr>
          <w:rFonts w:ascii="宋体" w:hAnsi="宋体" w:cs="宋体"/>
          <w:bCs/>
          <w:color w:val="auto"/>
          <w:kern w:val="0"/>
          <w:szCs w:val="21"/>
          <w:highlight w:val="none"/>
        </w:rPr>
        <w:t>23</w:t>
      </w:r>
      <w:r>
        <w:rPr>
          <w:rFonts w:hint="eastAsia" w:ascii="宋体" w:hAnsi="宋体" w:cs="宋体"/>
          <w:bCs/>
          <w:color w:val="auto"/>
          <w:kern w:val="0"/>
          <w:szCs w:val="21"/>
          <w:highlight w:val="none"/>
        </w:rPr>
        <w:t>:</w:t>
      </w:r>
      <w:r>
        <w:rPr>
          <w:rFonts w:ascii="宋体" w:hAnsi="宋体" w:cs="宋体"/>
          <w:bCs/>
          <w:color w:val="auto"/>
          <w:kern w:val="0"/>
          <w:szCs w:val="21"/>
          <w:highlight w:val="none"/>
        </w:rPr>
        <w:t>59</w:t>
      </w:r>
      <w:r>
        <w:rPr>
          <w:rFonts w:hint="eastAsia" w:ascii="宋体" w:hAnsi="宋体" w:cs="宋体"/>
          <w:bCs/>
          <w:color w:val="auto"/>
          <w:kern w:val="0"/>
          <w:szCs w:val="21"/>
          <w:highlight w:val="none"/>
        </w:rPr>
        <w:t>（北京时间）</w:t>
      </w:r>
    </w:p>
    <w:p w14:paraId="17D98130">
      <w:pPr>
        <w:spacing w:line="360" w:lineRule="exact"/>
        <w:ind w:firstLine="420" w:firstLineChars="200"/>
        <w:rPr>
          <w:rFonts w:ascii="宋体" w:hAnsi="宋体" w:cs="宋体"/>
          <w:bCs/>
          <w:color w:val="auto"/>
          <w:kern w:val="0"/>
          <w:szCs w:val="21"/>
          <w:highlight w:val="none"/>
        </w:rPr>
      </w:pPr>
      <w:r>
        <w:rPr>
          <w:rFonts w:hint="eastAsia" w:ascii="宋体" w:hAnsi="宋体" w:cs="宋体"/>
          <w:bCs/>
          <w:color w:val="auto"/>
          <w:kern w:val="0"/>
          <w:szCs w:val="21"/>
          <w:highlight w:val="none"/>
        </w:rPr>
        <w:t>地点：广西政府采购云平台（https://www.gcy.zfcg.gxzf.gov.cn/）</w:t>
      </w:r>
    </w:p>
    <w:p w14:paraId="3B68F475">
      <w:pPr>
        <w:spacing w:line="360" w:lineRule="exact"/>
        <w:ind w:firstLine="420" w:firstLineChars="200"/>
        <w:rPr>
          <w:rFonts w:ascii="Arial" w:hAnsi="Arial" w:cs="Arial"/>
          <w:color w:val="auto"/>
          <w:kern w:val="0"/>
          <w:szCs w:val="21"/>
          <w:highlight w:val="none"/>
        </w:rPr>
      </w:pPr>
      <w:r>
        <w:rPr>
          <w:rFonts w:hint="eastAsia" w:ascii="宋体" w:hAnsi="宋体"/>
          <w:color w:val="auto"/>
          <w:szCs w:val="21"/>
          <w:highlight w:val="none"/>
        </w:rPr>
        <w:t>获取方式:网上下载。本项目不发放纸质采购文件，供应商登录广西政府采购云平台https://www.gcy.zfcg.gxzf.gov.cn/在线申请获取采购文件（进入“项目采购”应用，在获取采购文件菜单中选择项目，申请获取采购文件）。</w:t>
      </w:r>
    </w:p>
    <w:p w14:paraId="75F159AB">
      <w:pPr>
        <w:snapToGrid w:val="0"/>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采购文件售价：</w:t>
      </w:r>
      <w:r>
        <w:rPr>
          <w:rFonts w:ascii="宋体" w:hAnsi="宋体"/>
          <w:color w:val="auto"/>
          <w:szCs w:val="21"/>
          <w:highlight w:val="none"/>
        </w:rPr>
        <w:t>0</w:t>
      </w:r>
      <w:r>
        <w:rPr>
          <w:rFonts w:hint="eastAsia" w:ascii="宋体" w:hAnsi="宋体"/>
          <w:color w:val="auto"/>
          <w:szCs w:val="21"/>
          <w:highlight w:val="none"/>
        </w:rPr>
        <w:t>元。</w:t>
      </w:r>
    </w:p>
    <w:p w14:paraId="3779C8D6">
      <w:pPr>
        <w:spacing w:line="360" w:lineRule="auto"/>
        <w:ind w:firstLine="354" w:firstLineChars="147"/>
        <w:rPr>
          <w:rFonts w:ascii="黑体" w:hAnsi="黑体" w:eastAsia="黑体"/>
          <w:b/>
          <w:color w:val="auto"/>
          <w:sz w:val="24"/>
          <w:highlight w:val="none"/>
        </w:rPr>
      </w:pPr>
      <w:r>
        <w:rPr>
          <w:rFonts w:hint="eastAsia" w:ascii="黑体" w:hAnsi="黑体" w:eastAsia="黑体"/>
          <w:b/>
          <w:color w:val="auto"/>
          <w:sz w:val="24"/>
          <w:highlight w:val="none"/>
        </w:rPr>
        <w:t>四、响应文件提交</w:t>
      </w:r>
      <w:bookmarkEnd w:id="20"/>
      <w:bookmarkEnd w:id="21"/>
      <w:bookmarkEnd w:id="22"/>
      <w:bookmarkEnd w:id="23"/>
      <w:bookmarkEnd w:id="24"/>
      <w:bookmarkEnd w:id="25"/>
    </w:p>
    <w:p w14:paraId="058551BD">
      <w:pPr>
        <w:spacing w:line="360" w:lineRule="exact"/>
        <w:ind w:firstLine="420" w:firstLineChars="200"/>
        <w:rPr>
          <w:rFonts w:ascii="宋体" w:hAnsi="宋体"/>
          <w:bCs/>
          <w:color w:val="auto"/>
          <w:szCs w:val="21"/>
          <w:highlight w:val="none"/>
        </w:rPr>
      </w:pPr>
      <w:bookmarkStart w:id="26" w:name="_Toc44229882"/>
      <w:bookmarkStart w:id="27" w:name="_Toc71365909"/>
      <w:bookmarkStart w:id="28" w:name="_Toc28359093"/>
      <w:bookmarkStart w:id="29" w:name="_Toc35393802"/>
      <w:bookmarkStart w:id="30" w:name="_Toc35393633"/>
      <w:bookmarkStart w:id="31" w:name="_Toc28359016"/>
      <w:r>
        <w:rPr>
          <w:rFonts w:hint="eastAsia" w:ascii="宋体" w:hAnsi="宋体"/>
          <w:color w:val="auto"/>
          <w:szCs w:val="21"/>
          <w:highlight w:val="none"/>
        </w:rPr>
        <w:t>截止时间：</w:t>
      </w:r>
      <w:r>
        <w:rPr>
          <w:rFonts w:hint="eastAsia" w:ascii="宋体" w:hAnsi="宋体"/>
          <w:bCs/>
          <w:color w:val="auto"/>
          <w:szCs w:val="21"/>
          <w:highlight w:val="none"/>
          <w:u w:val="single"/>
          <w:lang w:eastAsia="zh-CN"/>
        </w:rPr>
        <w:t>2026年9月17日09时30分</w:t>
      </w:r>
      <w:r>
        <w:rPr>
          <w:rFonts w:hint="eastAsia" w:ascii="宋体" w:hAnsi="宋体"/>
          <w:bCs/>
          <w:color w:val="auto"/>
          <w:szCs w:val="21"/>
          <w:highlight w:val="none"/>
        </w:rPr>
        <w:t>（北京时间）</w:t>
      </w:r>
    </w:p>
    <w:p w14:paraId="54282DAC">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地点：广西政府采购云平台</w:t>
      </w:r>
      <w:r>
        <w:rPr>
          <w:rFonts w:hint="eastAsia" w:ascii="宋体" w:hAnsi="宋体" w:cs="宋体"/>
          <w:bCs/>
          <w:color w:val="auto"/>
          <w:kern w:val="0"/>
          <w:szCs w:val="21"/>
          <w:highlight w:val="none"/>
        </w:rPr>
        <w:t>（https://www.gcy.zfcg.gxzf.gov.cn/）</w:t>
      </w:r>
    </w:p>
    <w:p w14:paraId="1ABF8992">
      <w:pPr>
        <w:spacing w:line="360" w:lineRule="auto"/>
        <w:ind w:firstLine="354" w:firstLineChars="147"/>
        <w:rPr>
          <w:rFonts w:ascii="黑体" w:hAnsi="黑体" w:eastAsia="黑体"/>
          <w:b/>
          <w:color w:val="auto"/>
          <w:sz w:val="24"/>
          <w:highlight w:val="none"/>
        </w:rPr>
      </w:pPr>
      <w:r>
        <w:rPr>
          <w:rFonts w:hint="eastAsia" w:ascii="黑体" w:hAnsi="黑体" w:eastAsia="黑体"/>
          <w:b/>
          <w:color w:val="auto"/>
          <w:sz w:val="24"/>
          <w:highlight w:val="none"/>
        </w:rPr>
        <w:t>五、开启</w:t>
      </w:r>
      <w:bookmarkEnd w:id="26"/>
      <w:bookmarkEnd w:id="27"/>
      <w:bookmarkEnd w:id="28"/>
      <w:bookmarkEnd w:id="29"/>
      <w:bookmarkEnd w:id="30"/>
      <w:bookmarkEnd w:id="31"/>
    </w:p>
    <w:p w14:paraId="42465CB8">
      <w:pPr>
        <w:spacing w:line="360" w:lineRule="exact"/>
        <w:ind w:firstLine="420" w:firstLineChars="200"/>
        <w:rPr>
          <w:rFonts w:ascii="宋体" w:hAnsi="宋体"/>
          <w:bCs/>
          <w:color w:val="auto"/>
          <w:szCs w:val="21"/>
          <w:highlight w:val="none"/>
          <w:u w:val="single"/>
        </w:rPr>
      </w:pPr>
      <w:bookmarkStart w:id="32" w:name="_Toc28359094"/>
      <w:bookmarkStart w:id="33" w:name="_Toc28359017"/>
      <w:bookmarkStart w:id="34" w:name="_Toc35393803"/>
      <w:bookmarkStart w:id="35" w:name="_Toc44229883"/>
      <w:bookmarkStart w:id="36" w:name="_Toc35393634"/>
      <w:bookmarkStart w:id="37" w:name="_Toc71365910"/>
      <w:r>
        <w:rPr>
          <w:rFonts w:hint="eastAsia" w:ascii="宋体" w:hAnsi="宋体"/>
          <w:color w:val="auto"/>
          <w:szCs w:val="21"/>
          <w:highlight w:val="none"/>
        </w:rPr>
        <w:t>时间：</w:t>
      </w:r>
      <w:r>
        <w:rPr>
          <w:rFonts w:hint="eastAsia" w:ascii="宋体" w:hAnsi="宋体"/>
          <w:bCs/>
          <w:color w:val="auto"/>
          <w:szCs w:val="21"/>
          <w:highlight w:val="none"/>
          <w:u w:val="single"/>
          <w:lang w:eastAsia="zh-CN"/>
        </w:rPr>
        <w:t>2026年9月17日09时30分</w:t>
      </w:r>
      <w:r>
        <w:rPr>
          <w:rFonts w:hint="eastAsia" w:ascii="宋体" w:hAnsi="宋体"/>
          <w:bCs/>
          <w:color w:val="auto"/>
          <w:szCs w:val="21"/>
          <w:highlight w:val="none"/>
        </w:rPr>
        <w:t>（北京时间）</w:t>
      </w:r>
    </w:p>
    <w:p w14:paraId="54C9F55C">
      <w:pPr>
        <w:spacing w:line="360" w:lineRule="exact"/>
        <w:ind w:firstLine="420" w:firstLineChars="200"/>
        <w:rPr>
          <w:rFonts w:ascii="宋体" w:hAnsi="宋体"/>
          <w:bCs/>
          <w:color w:val="auto"/>
          <w:szCs w:val="21"/>
          <w:highlight w:val="none"/>
          <w:u w:val="single"/>
        </w:rPr>
      </w:pPr>
      <w:r>
        <w:rPr>
          <w:rFonts w:hint="eastAsia" w:ascii="宋体" w:hAnsi="宋体"/>
          <w:color w:val="auto"/>
          <w:szCs w:val="21"/>
          <w:highlight w:val="none"/>
        </w:rPr>
        <w:t>地点：广西政府采购云平台</w:t>
      </w:r>
      <w:r>
        <w:rPr>
          <w:rFonts w:hint="eastAsia" w:ascii="宋体" w:hAnsi="宋体" w:cs="宋体"/>
          <w:bCs/>
          <w:color w:val="auto"/>
          <w:kern w:val="0"/>
          <w:szCs w:val="21"/>
          <w:highlight w:val="none"/>
        </w:rPr>
        <w:t>（https://www.gcy.zfcg.gxzf.gov.cn/）</w:t>
      </w:r>
    </w:p>
    <w:p w14:paraId="75A9894A">
      <w:pPr>
        <w:spacing w:line="360" w:lineRule="auto"/>
        <w:ind w:firstLine="354" w:firstLineChars="147"/>
        <w:rPr>
          <w:rFonts w:ascii="黑体" w:hAnsi="黑体" w:eastAsia="黑体"/>
          <w:b/>
          <w:color w:val="auto"/>
          <w:sz w:val="24"/>
          <w:highlight w:val="none"/>
        </w:rPr>
      </w:pPr>
      <w:r>
        <w:rPr>
          <w:rFonts w:hint="eastAsia" w:ascii="黑体" w:hAnsi="黑体" w:eastAsia="黑体"/>
          <w:b/>
          <w:color w:val="auto"/>
          <w:sz w:val="24"/>
          <w:highlight w:val="none"/>
        </w:rPr>
        <w:t>六、公告期限</w:t>
      </w:r>
      <w:bookmarkEnd w:id="32"/>
      <w:bookmarkEnd w:id="33"/>
      <w:bookmarkEnd w:id="34"/>
      <w:bookmarkEnd w:id="35"/>
      <w:bookmarkEnd w:id="36"/>
      <w:bookmarkEnd w:id="37"/>
    </w:p>
    <w:p w14:paraId="4BAAB42D">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自本公告发布之日起</w:t>
      </w:r>
      <w:r>
        <w:rPr>
          <w:rFonts w:hint="eastAsia" w:ascii="宋体" w:hAnsi="宋体" w:cs="宋体"/>
          <w:color w:val="auto"/>
          <w:kern w:val="0"/>
          <w:szCs w:val="21"/>
          <w:highlight w:val="none"/>
          <w:lang w:val="en-US" w:eastAsia="zh-CN"/>
        </w:rPr>
        <w:t>5</w:t>
      </w:r>
      <w:r>
        <w:rPr>
          <w:rFonts w:hint="eastAsia" w:ascii="宋体" w:hAnsi="宋体" w:cs="宋体"/>
          <w:color w:val="auto"/>
          <w:kern w:val="0"/>
          <w:szCs w:val="21"/>
          <w:highlight w:val="none"/>
        </w:rPr>
        <w:t>个工作日。</w:t>
      </w:r>
    </w:p>
    <w:p w14:paraId="7B8F3F53">
      <w:pPr>
        <w:spacing w:line="360" w:lineRule="auto"/>
        <w:ind w:firstLine="354" w:firstLineChars="147"/>
        <w:rPr>
          <w:rFonts w:ascii="黑体" w:hAnsi="黑体" w:eastAsia="黑体"/>
          <w:b/>
          <w:color w:val="auto"/>
          <w:sz w:val="24"/>
          <w:highlight w:val="none"/>
        </w:rPr>
      </w:pPr>
      <w:bookmarkStart w:id="38" w:name="_Toc35393635"/>
      <w:bookmarkStart w:id="39" w:name="_Toc44229884"/>
      <w:bookmarkStart w:id="40" w:name="_Toc71365911"/>
      <w:bookmarkStart w:id="41" w:name="_Toc35393804"/>
      <w:r>
        <w:rPr>
          <w:rFonts w:hint="eastAsia" w:ascii="黑体" w:hAnsi="黑体" w:eastAsia="黑体"/>
          <w:b/>
          <w:color w:val="auto"/>
          <w:sz w:val="24"/>
          <w:highlight w:val="none"/>
        </w:rPr>
        <w:t>七、其他补充事宜</w:t>
      </w:r>
      <w:bookmarkEnd w:id="38"/>
      <w:bookmarkEnd w:id="39"/>
      <w:bookmarkEnd w:id="40"/>
      <w:bookmarkEnd w:id="41"/>
    </w:p>
    <w:p w14:paraId="41FB0CA2">
      <w:pPr>
        <w:spacing w:line="360" w:lineRule="exact"/>
        <w:ind w:firstLine="420" w:firstLineChars="200"/>
        <w:rPr>
          <w:rFonts w:hint="eastAsia" w:ascii="宋体" w:hAnsi="宋体"/>
          <w:color w:val="auto"/>
          <w:szCs w:val="21"/>
          <w:highlight w:val="none"/>
        </w:rPr>
      </w:pPr>
      <w:bookmarkStart w:id="42" w:name="_Toc35393636"/>
      <w:bookmarkStart w:id="43" w:name="_Toc28359095"/>
      <w:bookmarkStart w:id="44" w:name="_Toc44229885"/>
      <w:bookmarkStart w:id="45" w:name="_Toc28359018"/>
      <w:bookmarkStart w:id="46" w:name="_Toc35393805"/>
      <w:r>
        <w:rPr>
          <w:rFonts w:hint="eastAsia" w:ascii="宋体" w:hAnsi="宋体"/>
          <w:color w:val="auto"/>
          <w:szCs w:val="21"/>
          <w:highlight w:val="none"/>
        </w:rPr>
        <w:t>1</w:t>
      </w:r>
      <w:r>
        <w:rPr>
          <w:rFonts w:hint="eastAsia" w:ascii="宋体" w:hAnsi="宋体"/>
          <w:color w:val="auto"/>
          <w:szCs w:val="21"/>
          <w:highlight w:val="none"/>
          <w:lang w:val="en-US" w:eastAsia="zh-CN"/>
        </w:rPr>
        <w:t>.</w:t>
      </w:r>
      <w:r>
        <w:rPr>
          <w:rFonts w:hint="eastAsia" w:ascii="宋体" w:hAnsi="宋体"/>
          <w:color w:val="auto"/>
          <w:szCs w:val="21"/>
          <w:highlight w:val="none"/>
        </w:rPr>
        <w:t>磋商保证金</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人民币</w:t>
      </w:r>
      <w:r>
        <w:rPr>
          <w:rFonts w:hint="eastAsia" w:ascii="宋体" w:hAnsi="宋体"/>
          <w:color w:val="auto"/>
          <w:szCs w:val="21"/>
          <w:highlight w:val="none"/>
          <w:lang w:eastAsia="zh-CN"/>
        </w:rPr>
        <w:t>）</w:t>
      </w:r>
      <w:r>
        <w:rPr>
          <w:rFonts w:hint="eastAsia" w:ascii="宋体" w:hAnsi="宋体"/>
          <w:color w:val="auto"/>
          <w:szCs w:val="21"/>
          <w:highlight w:val="none"/>
        </w:rPr>
        <w:t>：</w:t>
      </w:r>
      <w:r>
        <w:rPr>
          <w:rFonts w:hint="eastAsia" w:ascii="宋体" w:hAnsi="宋体"/>
          <w:color w:val="auto"/>
          <w:szCs w:val="21"/>
          <w:highlight w:val="none"/>
          <w:lang w:val="en-US" w:eastAsia="zh-CN"/>
        </w:rPr>
        <w:t>10000.00元</w:t>
      </w:r>
    </w:p>
    <w:p w14:paraId="7A82A8B2">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磋商保证金的交纳方式：</w:t>
      </w:r>
      <w:r>
        <w:rPr>
          <w:rFonts w:hint="eastAsia" w:ascii="宋体" w:hAnsi="宋体" w:cs="宋体"/>
          <w:color w:val="auto"/>
          <w:kern w:val="0"/>
          <w:szCs w:val="21"/>
          <w:highlight w:val="none"/>
        </w:rPr>
        <w:t>银行转账、支票、汇票、本票或者银行、保险机构出具的保函，禁止采用现钞方式。采用银行转账方式的，在响应文件提交截止时间前交至指定账户并且到账</w:t>
      </w:r>
      <w:r>
        <w:rPr>
          <w:rFonts w:hint="eastAsia" w:ascii="宋体" w:hAnsi="宋体"/>
          <w:color w:val="auto"/>
          <w:szCs w:val="21"/>
          <w:highlight w:val="none"/>
        </w:rPr>
        <w:t>（开户银行：</w:t>
      </w:r>
      <w:r>
        <w:rPr>
          <w:rFonts w:hint="eastAsia" w:ascii="宋体" w:hAnsi="宋体"/>
          <w:color w:val="auto"/>
          <w:szCs w:val="21"/>
          <w:highlight w:val="none"/>
          <w:lang w:eastAsia="zh-CN"/>
        </w:rPr>
        <w:t>建设银行南宁市民族大道东支行</w:t>
      </w:r>
      <w:r>
        <w:rPr>
          <w:rFonts w:hint="eastAsia" w:ascii="宋体" w:hAnsi="宋体"/>
          <w:color w:val="auto"/>
          <w:szCs w:val="21"/>
          <w:highlight w:val="none"/>
        </w:rPr>
        <w:t>，开户名称：广西城建咨询设计有限公司，银行账号：4500 1604 6530 5070 3663）。</w:t>
      </w:r>
    </w:p>
    <w:p w14:paraId="30123616">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w:t>
      </w:r>
      <w:r>
        <w:rPr>
          <w:rFonts w:hint="eastAsia" w:ascii="宋体" w:hAnsi="宋体"/>
          <w:color w:val="auto"/>
          <w:szCs w:val="21"/>
          <w:highlight w:val="none"/>
        </w:rPr>
        <w:t>发布公告的媒介：http://www.ccgp.gov.cn（中国政府采购网）、http://zfcg.gxzf.gov.cn（广西壮族自治区政府采购网）。</w:t>
      </w:r>
    </w:p>
    <w:p w14:paraId="4BDA1FD1">
      <w:pPr>
        <w:spacing w:line="360" w:lineRule="exact"/>
        <w:ind w:firstLine="420" w:firstLineChars="200"/>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3.政府采购意向公开链接：http://www.ccgp-guangxi.gov.cn/site/detail?parentId=66485&amp;articleId=fz4LmZRm3So2wDiA90+dIg==</w:t>
      </w:r>
    </w:p>
    <w:p w14:paraId="508F061D">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lang w:val="en-US" w:eastAsia="zh-CN"/>
        </w:rPr>
        <w:t>4.</w:t>
      </w:r>
      <w:r>
        <w:rPr>
          <w:rFonts w:hint="eastAsia" w:ascii="宋体" w:hAnsi="宋体"/>
          <w:color w:val="auto"/>
          <w:szCs w:val="21"/>
          <w:highlight w:val="none"/>
        </w:rPr>
        <w:t>本项目需要落实的政府采购政策</w:t>
      </w:r>
    </w:p>
    <w:p w14:paraId="63BAFFD9">
      <w:pPr>
        <w:spacing w:line="360" w:lineRule="exact"/>
        <w:ind w:firstLine="420" w:firstLineChars="200"/>
        <w:rPr>
          <w:rFonts w:ascii="宋体" w:hAnsi="宋体"/>
          <w:color w:val="auto"/>
          <w:szCs w:val="21"/>
          <w:highlight w:val="none"/>
        </w:rPr>
      </w:pPr>
      <w:r>
        <w:rPr>
          <w:rFonts w:ascii="宋体" w:hAnsi="宋体"/>
          <w:color w:val="auto"/>
          <w:szCs w:val="21"/>
          <w:highlight w:val="none"/>
        </w:rPr>
        <w:t>（1）政府采购促进中小企业发展。</w:t>
      </w:r>
    </w:p>
    <w:p w14:paraId="075FF790">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（2）政府采购支持采用本国产品的政策。</w:t>
      </w:r>
    </w:p>
    <w:p w14:paraId="2ABD7C23">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（3）强制采购节能产品；优先采购节能产品、环境标志产品。</w:t>
      </w:r>
    </w:p>
    <w:p w14:paraId="2127EBBD">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（4）政府采购促进残疾人就业政策。</w:t>
      </w:r>
    </w:p>
    <w:p w14:paraId="31515FCE">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（5）政府采购支持监狱企业发展。</w:t>
      </w:r>
    </w:p>
    <w:p w14:paraId="740CBF61">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（6）在政府采购中实施本国产品标准及相关政策。</w:t>
      </w:r>
    </w:p>
    <w:p w14:paraId="09E403F9">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lang w:val="en-US" w:eastAsia="zh-CN"/>
        </w:rPr>
        <w:t>5.</w:t>
      </w:r>
      <w:r>
        <w:rPr>
          <w:rFonts w:hint="eastAsia" w:ascii="宋体" w:hAnsi="宋体"/>
          <w:color w:val="auto"/>
          <w:szCs w:val="21"/>
          <w:highlight w:val="none"/>
        </w:rPr>
        <w:t>资格条件特别说明</w:t>
      </w:r>
    </w:p>
    <w:p w14:paraId="48FDCB06">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5B56044F">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2）对在“信用中国”网站(www.creditchina.gov.cn)、中国政府采购网(www.ccgp.gov.cn)被列入失信被执行人、重大税收违法案件当事人名单、政府采购严重违法失信行为记录名单及其他不符合《中华人民共和国政府采购法》第二十二条规定条件的供应商，不得参与政府采购活动。</w:t>
      </w:r>
    </w:p>
    <w:p w14:paraId="2C31D46E">
      <w:pPr>
        <w:spacing w:line="360" w:lineRule="exact"/>
        <w:ind w:firstLine="420" w:firstLineChars="200"/>
        <w:rPr>
          <w:rFonts w:ascii="宋体" w:hAnsi="宋体"/>
          <w:color w:val="auto"/>
          <w:szCs w:val="21"/>
          <w:highlight w:val="none"/>
        </w:rPr>
      </w:pPr>
      <w:r>
        <w:rPr>
          <w:rFonts w:hint="eastAsia" w:ascii="宋体" w:hAnsi="宋体"/>
          <w:color w:val="auto"/>
          <w:szCs w:val="21"/>
          <w:highlight w:val="none"/>
        </w:rPr>
        <w:t xml:space="preserve"> (3)已获取磋商文件的供应商不等于符合本项目的供应商资格条件。</w:t>
      </w:r>
    </w:p>
    <w:p w14:paraId="320267D5">
      <w:pPr>
        <w:spacing w:line="360" w:lineRule="exact"/>
        <w:ind w:firstLine="420" w:firstLineChars="200"/>
        <w:rPr>
          <w:rFonts w:ascii="宋体" w:hAnsi="宋体"/>
          <w:color w:val="auto"/>
          <w:szCs w:val="21"/>
          <w:highlight w:val="none"/>
        </w:rPr>
      </w:pPr>
      <w:r>
        <w:rPr>
          <w:rFonts w:hint="eastAsia" w:ascii="宋体" w:hAnsi="宋体" w:eastAsia="宋体" w:cs="Times New Roman"/>
          <w:color w:val="auto"/>
          <w:szCs w:val="21"/>
          <w:highlight w:val="none"/>
          <w:lang w:val="en-US" w:eastAsia="zh-CN"/>
        </w:rPr>
        <w:t>6.</w:t>
      </w:r>
      <w:r>
        <w:rPr>
          <w:rFonts w:hint="eastAsia" w:ascii="宋体" w:hAnsi="宋体"/>
          <w:color w:val="auto"/>
          <w:szCs w:val="21"/>
          <w:highlight w:val="none"/>
        </w:rPr>
        <w:t>广西政府采购云平台电子竞标相关事宜</w:t>
      </w:r>
    </w:p>
    <w:p w14:paraId="0FFA09A6">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（1）本项目为全流程电子化采购项目，通过广西政府采购云平台实行在线电子投标，投标人应先安装“广西政府采购云平台新版客户端”（请自行前往广西政府采购云平台进行下载），并按照本项目</w:t>
      </w:r>
      <w:r>
        <w:rPr>
          <w:rFonts w:hint="eastAsia" w:ascii="宋体" w:hAnsi="宋体"/>
          <w:color w:val="auto"/>
          <w:szCs w:val="21"/>
          <w:highlight w:val="none"/>
          <w:lang w:val="en-US" w:eastAsia="zh-CN"/>
        </w:rPr>
        <w:t>采购</w:t>
      </w:r>
      <w:r>
        <w:rPr>
          <w:rFonts w:hint="eastAsia" w:ascii="宋体" w:hAnsi="宋体"/>
          <w:color w:val="auto"/>
          <w:szCs w:val="21"/>
          <w:highlight w:val="none"/>
        </w:rPr>
        <w:t>文件和广西政府采购云平台的要求编制、加密后在投标截止时间前通过网络上传至广西政府采购云平台。</w:t>
      </w:r>
    </w:p>
    <w:p w14:paraId="76B0DEF4">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未进行网上注册并办理数字证书（CA认证）的投标人将无法参与本项目政府采购活动，投标人应当在投标截止时间前，完成电子交易平台上的CA数字证书办理及投标文件的提交（投标人可登录“广西政府采购网”，依次进入“办事服务-下载专区”或者登陆广西政府采购云平台，查看CA数字证书办理操作流程。如在操作过程中遇到问题或者需要技术支持，可拨打广西政府采购云平台服务热线获取热线服务帮助）。</w:t>
      </w:r>
    </w:p>
    <w:p w14:paraId="059E7ECE">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（3）CA证书在线解密：投标人投标时，需凭制作投标文件时用来加密的有效数字证书（CA认证）登录广西政府采购云平台电子开标大厅现场按规定时间对加密的投标文件进行解密，否则后果自负。</w:t>
      </w:r>
    </w:p>
    <w:p w14:paraId="28789580">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注：1）为确保网上操作合法、有效和安全，请投标人确保在电子投标过程中能够对相关数据电文进行加密和使用电子签章，妥善保管CA数字证书并使用有效的CA数字证书参与整个</w:t>
      </w:r>
      <w:r>
        <w:rPr>
          <w:rFonts w:hint="eastAsia" w:ascii="宋体" w:hAnsi="宋体"/>
          <w:color w:val="auto"/>
          <w:szCs w:val="21"/>
          <w:highlight w:val="none"/>
          <w:lang w:val="en-US" w:eastAsia="zh-CN"/>
        </w:rPr>
        <w:t>采购</w:t>
      </w:r>
      <w:r>
        <w:rPr>
          <w:rFonts w:hint="eastAsia" w:ascii="宋体" w:hAnsi="宋体"/>
          <w:color w:val="auto"/>
          <w:szCs w:val="21"/>
          <w:highlight w:val="none"/>
        </w:rPr>
        <w:t>活动。2）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广西政府采购云平台将予以拒收。</w:t>
      </w:r>
    </w:p>
    <w:p w14:paraId="7E441C8F">
      <w:pPr>
        <w:spacing w:line="360" w:lineRule="auto"/>
        <w:ind w:firstLine="354" w:firstLineChars="147"/>
        <w:rPr>
          <w:rFonts w:ascii="黑体" w:hAnsi="黑体" w:eastAsia="黑体"/>
          <w:b/>
          <w:color w:val="auto"/>
          <w:sz w:val="24"/>
          <w:highlight w:val="none"/>
        </w:rPr>
      </w:pPr>
      <w:r>
        <w:rPr>
          <w:rFonts w:hint="eastAsia" w:ascii="黑体" w:hAnsi="黑体" w:eastAsia="黑体"/>
          <w:b/>
          <w:color w:val="auto"/>
          <w:sz w:val="24"/>
          <w:highlight w:val="none"/>
        </w:rPr>
        <w:t>八、凡对本次采购提出询问，请按</w:t>
      </w:r>
      <w:r>
        <w:rPr>
          <w:rFonts w:ascii="黑体" w:hAnsi="黑体" w:eastAsia="黑体"/>
          <w:b/>
          <w:color w:val="auto"/>
          <w:sz w:val="24"/>
          <w:highlight w:val="none"/>
        </w:rPr>
        <w:t>以下方式</w:t>
      </w:r>
      <w:r>
        <w:rPr>
          <w:rFonts w:hint="eastAsia" w:ascii="黑体" w:hAnsi="黑体" w:eastAsia="黑体"/>
          <w:b/>
          <w:color w:val="auto"/>
          <w:sz w:val="24"/>
          <w:highlight w:val="none"/>
        </w:rPr>
        <w:t>联系。</w:t>
      </w:r>
      <w:bookmarkEnd w:id="42"/>
      <w:bookmarkEnd w:id="43"/>
      <w:bookmarkEnd w:id="44"/>
      <w:bookmarkEnd w:id="45"/>
      <w:bookmarkEnd w:id="46"/>
    </w:p>
    <w:p w14:paraId="3A13B4E7">
      <w:pPr>
        <w:spacing w:line="360" w:lineRule="auto"/>
        <w:ind w:firstLine="420" w:firstLineChars="200"/>
        <w:rPr>
          <w:rFonts w:ascii="宋体" w:hAnsi="宋体" w:cs="宋体"/>
          <w:color w:val="auto"/>
          <w:kern w:val="0"/>
          <w:szCs w:val="21"/>
          <w:highlight w:val="none"/>
        </w:rPr>
      </w:pPr>
      <w:bookmarkStart w:id="47" w:name="_Toc35393806"/>
      <w:bookmarkStart w:id="48" w:name="_Toc28359096"/>
      <w:bookmarkStart w:id="49" w:name="_Toc35393637"/>
      <w:bookmarkStart w:id="50" w:name="_Toc28359019"/>
      <w:r>
        <w:rPr>
          <w:rFonts w:hint="eastAsia" w:ascii="宋体" w:hAnsi="宋体" w:cs="宋体"/>
          <w:color w:val="auto"/>
          <w:kern w:val="0"/>
          <w:szCs w:val="21"/>
          <w:highlight w:val="none"/>
        </w:rPr>
        <w:t>1.采购人信息</w:t>
      </w:r>
      <w:bookmarkEnd w:id="47"/>
      <w:bookmarkEnd w:id="48"/>
      <w:bookmarkEnd w:id="49"/>
      <w:bookmarkEnd w:id="50"/>
    </w:p>
    <w:p w14:paraId="0FCFDB33">
      <w:pPr>
        <w:spacing w:line="360" w:lineRule="auto"/>
        <w:ind w:firstLine="420" w:firstLineChars="200"/>
        <w:jc w:val="left"/>
        <w:rPr>
          <w:rFonts w:hint="eastAsia" w:ascii="宋体" w:hAnsi="宋体" w:eastAsia="宋体" w:cs="Arial"/>
          <w:color w:val="auto"/>
          <w:szCs w:val="21"/>
          <w:highlight w:val="none"/>
          <w:lang w:eastAsia="zh-CN"/>
        </w:rPr>
      </w:pPr>
      <w:r>
        <w:rPr>
          <w:rFonts w:hint="eastAsia" w:ascii="宋体" w:hAnsi="宋体"/>
          <w:color w:val="auto"/>
          <w:szCs w:val="21"/>
          <w:highlight w:val="none"/>
        </w:rPr>
        <w:t>名    称：</w:t>
      </w:r>
      <w:r>
        <w:rPr>
          <w:rFonts w:hint="eastAsia" w:ascii="宋体" w:hAnsi="宋体" w:cs="Arial"/>
          <w:color w:val="auto"/>
          <w:szCs w:val="21"/>
          <w:highlight w:val="none"/>
          <w:lang w:eastAsia="zh-CN"/>
        </w:rPr>
        <w:t>广西警察学院</w:t>
      </w:r>
    </w:p>
    <w:p w14:paraId="643464AD">
      <w:pPr>
        <w:spacing w:line="360" w:lineRule="auto"/>
        <w:ind w:firstLine="420" w:firstLineChars="200"/>
        <w:jc w:val="left"/>
        <w:rPr>
          <w:rFonts w:hint="eastAsia" w:ascii="宋体" w:hAnsi="宋体" w:eastAsia="宋体"/>
          <w:color w:val="auto"/>
          <w:szCs w:val="21"/>
          <w:highlight w:val="none"/>
          <w:lang w:eastAsia="zh-CN"/>
        </w:rPr>
      </w:pPr>
      <w:r>
        <w:rPr>
          <w:rFonts w:hint="eastAsia" w:ascii="宋体" w:hAnsi="宋体"/>
          <w:color w:val="auto"/>
          <w:szCs w:val="21"/>
          <w:highlight w:val="none"/>
        </w:rPr>
        <w:t>地    址：</w:t>
      </w:r>
      <w:r>
        <w:rPr>
          <w:rFonts w:hint="eastAsia" w:ascii="宋体" w:hAnsi="宋体" w:cs="宋体"/>
          <w:color w:val="auto"/>
          <w:kern w:val="0"/>
          <w:szCs w:val="21"/>
          <w:highlight w:val="none"/>
          <w:lang w:eastAsia="zh-CN"/>
        </w:rPr>
        <w:t>南宁市青秀区军堂路6号</w:t>
      </w:r>
    </w:p>
    <w:p w14:paraId="27A6C3C1">
      <w:pPr>
        <w:spacing w:line="360" w:lineRule="auto"/>
        <w:ind w:firstLine="420" w:firstLineChars="200"/>
        <w:jc w:val="left"/>
        <w:rPr>
          <w:rFonts w:hint="default" w:ascii="宋体" w:hAnsi="宋体" w:eastAsia="宋体"/>
          <w:color w:val="auto"/>
          <w:szCs w:val="21"/>
          <w:highlight w:val="none"/>
          <w:lang w:val="en-US" w:eastAsia="zh-CN"/>
        </w:rPr>
      </w:pPr>
      <w:r>
        <w:rPr>
          <w:rFonts w:hint="eastAsia" w:ascii="宋体" w:hAnsi="宋体"/>
          <w:color w:val="auto"/>
          <w:szCs w:val="21"/>
          <w:highlight w:val="none"/>
        </w:rPr>
        <w:t>联系方式：</w:t>
      </w:r>
      <w:r>
        <w:rPr>
          <w:rFonts w:hint="eastAsia" w:ascii="宋体" w:hAnsi="宋体"/>
          <w:color w:val="auto"/>
          <w:szCs w:val="21"/>
          <w:highlight w:val="none"/>
          <w:lang w:val="en-US" w:eastAsia="zh-CN"/>
        </w:rPr>
        <w:t>陶老师</w:t>
      </w:r>
      <w:r>
        <w:rPr>
          <w:rFonts w:hint="eastAsia" w:ascii="宋体" w:hAnsi="宋体"/>
          <w:color w:val="auto"/>
          <w:szCs w:val="21"/>
          <w:highlight w:val="none"/>
        </w:rPr>
        <w:t>；联系电话：</w:t>
      </w:r>
      <w:r>
        <w:rPr>
          <w:rFonts w:hint="eastAsia" w:ascii="宋体" w:hAnsi="宋体"/>
          <w:color w:val="auto"/>
          <w:szCs w:val="21"/>
          <w:highlight w:val="none"/>
          <w:lang w:eastAsia="zh-CN"/>
        </w:rPr>
        <w:t>0771-5615802</w:t>
      </w:r>
    </w:p>
    <w:p w14:paraId="4F6DC36D">
      <w:pPr>
        <w:spacing w:line="360" w:lineRule="auto"/>
        <w:ind w:firstLine="420" w:firstLineChars="200"/>
        <w:rPr>
          <w:rFonts w:ascii="宋体" w:hAnsi="宋体" w:cs="宋体"/>
          <w:color w:val="auto"/>
          <w:kern w:val="0"/>
          <w:szCs w:val="21"/>
          <w:highlight w:val="none"/>
        </w:rPr>
      </w:pPr>
      <w:bookmarkStart w:id="51" w:name="_Toc28359097"/>
      <w:bookmarkStart w:id="52" w:name="_Toc35393807"/>
      <w:bookmarkStart w:id="53" w:name="_Toc35393638"/>
      <w:bookmarkStart w:id="54" w:name="_Toc28359020"/>
      <w:r>
        <w:rPr>
          <w:rFonts w:hint="eastAsia" w:ascii="宋体" w:hAnsi="宋体" w:cs="宋体"/>
          <w:color w:val="auto"/>
          <w:kern w:val="0"/>
          <w:szCs w:val="21"/>
          <w:highlight w:val="none"/>
        </w:rPr>
        <w:t>2.采购代理机构信息</w:t>
      </w:r>
      <w:bookmarkEnd w:id="51"/>
      <w:bookmarkEnd w:id="52"/>
      <w:bookmarkEnd w:id="53"/>
      <w:bookmarkEnd w:id="54"/>
    </w:p>
    <w:p w14:paraId="1E30CAD8">
      <w:pPr>
        <w:snapToGrid w:val="0"/>
        <w:spacing w:line="360" w:lineRule="auto"/>
        <w:ind w:firstLine="420" w:firstLineChars="200"/>
        <w:rPr>
          <w:rFonts w:hint="eastAsia" w:ascii="宋体" w:hAnsi="宋体" w:eastAsia="宋体" w:cs="Arial"/>
          <w:color w:val="auto"/>
          <w:szCs w:val="21"/>
          <w:highlight w:val="none"/>
          <w:lang w:eastAsia="zh-CN"/>
        </w:rPr>
      </w:pPr>
      <w:r>
        <w:rPr>
          <w:rFonts w:hint="eastAsia" w:ascii="宋体" w:hAnsi="宋体"/>
          <w:color w:val="auto"/>
          <w:szCs w:val="21"/>
          <w:highlight w:val="none"/>
        </w:rPr>
        <w:t>名    称：</w:t>
      </w:r>
      <w:r>
        <w:rPr>
          <w:rFonts w:hint="eastAsia" w:ascii="宋体" w:hAnsi="宋体" w:cs="Arial"/>
          <w:color w:val="auto"/>
          <w:szCs w:val="21"/>
          <w:highlight w:val="none"/>
          <w:lang w:eastAsia="zh-CN"/>
        </w:rPr>
        <w:t>广西城建咨询设计有限公司</w:t>
      </w:r>
    </w:p>
    <w:p w14:paraId="4FE2882E">
      <w:pPr>
        <w:spacing w:line="360" w:lineRule="auto"/>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地　　址：</w:t>
      </w:r>
      <w:r>
        <w:rPr>
          <w:rFonts w:hint="eastAsia" w:ascii="宋体" w:hAnsi="宋体"/>
          <w:bCs/>
          <w:color w:val="auto"/>
          <w:szCs w:val="21"/>
          <w:highlight w:val="none"/>
          <w:lang w:eastAsia="zh-CN"/>
        </w:rPr>
        <w:t>南宁市青秀区金湖路58号广西建设大厦三楼</w:t>
      </w:r>
    </w:p>
    <w:p w14:paraId="4BEDF2A5">
      <w:pPr>
        <w:spacing w:line="360" w:lineRule="auto"/>
        <w:ind w:firstLine="420" w:firstLineChars="200"/>
        <w:rPr>
          <w:rFonts w:hint="eastAsia" w:ascii="宋体" w:hAnsi="宋体" w:eastAsia="宋体" w:cs="Arial"/>
          <w:color w:val="auto"/>
          <w:szCs w:val="21"/>
          <w:highlight w:val="none"/>
          <w:lang w:eastAsia="zh-CN"/>
        </w:rPr>
      </w:pPr>
      <w:r>
        <w:rPr>
          <w:rFonts w:hint="eastAsia" w:ascii="宋体" w:hAnsi="宋体"/>
          <w:color w:val="auto"/>
          <w:szCs w:val="21"/>
          <w:highlight w:val="none"/>
        </w:rPr>
        <w:t>联系方式：</w:t>
      </w:r>
      <w:bookmarkStart w:id="55" w:name="_Toc28359021"/>
      <w:bookmarkStart w:id="56" w:name="_Toc28359098"/>
      <w:bookmarkStart w:id="57" w:name="_Toc35393808"/>
      <w:bookmarkStart w:id="58" w:name="_Toc35393639"/>
      <w:r>
        <w:rPr>
          <w:rFonts w:hint="eastAsia" w:ascii="宋体" w:hAnsi="宋体"/>
          <w:color w:val="auto"/>
          <w:szCs w:val="21"/>
          <w:highlight w:val="none"/>
          <w:lang w:eastAsia="zh-CN"/>
        </w:rPr>
        <w:t>廖启迪、凌良基；</w:t>
      </w:r>
      <w:r>
        <w:rPr>
          <w:rFonts w:hint="eastAsia" w:ascii="宋体" w:hAnsi="宋体" w:cs="Arial"/>
          <w:color w:val="auto"/>
          <w:szCs w:val="21"/>
          <w:highlight w:val="none"/>
          <w:lang w:eastAsia="zh-CN"/>
        </w:rPr>
        <w:t>0771-4352069</w:t>
      </w:r>
    </w:p>
    <w:p w14:paraId="33351DE7">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3.项目联系</w:t>
      </w:r>
      <w:r>
        <w:rPr>
          <w:rFonts w:ascii="宋体" w:hAnsi="宋体" w:cs="宋体"/>
          <w:color w:val="auto"/>
          <w:kern w:val="0"/>
          <w:szCs w:val="21"/>
          <w:highlight w:val="none"/>
        </w:rPr>
        <w:t>方式</w:t>
      </w:r>
      <w:bookmarkEnd w:id="55"/>
      <w:bookmarkEnd w:id="56"/>
      <w:bookmarkEnd w:id="57"/>
      <w:bookmarkEnd w:id="58"/>
    </w:p>
    <w:p w14:paraId="57EDED4E">
      <w:pPr>
        <w:pStyle w:val="24"/>
        <w:spacing w:line="360" w:lineRule="auto"/>
        <w:ind w:firstLine="420" w:firstLineChars="200"/>
        <w:rPr>
          <w:rFonts w:hint="eastAsia" w:hAnsi="宋体" w:eastAsia="宋体" w:cs="宋体"/>
          <w:color w:val="auto"/>
          <w:sz w:val="21"/>
          <w:highlight w:val="none"/>
          <w:lang w:eastAsia="zh-CN"/>
        </w:rPr>
      </w:pPr>
      <w:r>
        <w:rPr>
          <w:rFonts w:hint="eastAsia" w:hAnsi="宋体" w:cs="宋体"/>
          <w:color w:val="auto"/>
          <w:sz w:val="21"/>
          <w:highlight w:val="none"/>
        </w:rPr>
        <w:t>项目联系人：</w:t>
      </w:r>
      <w:r>
        <w:rPr>
          <w:rFonts w:hint="eastAsia" w:hAnsi="宋体" w:cs="宋体"/>
          <w:color w:val="auto"/>
          <w:sz w:val="21"/>
          <w:highlight w:val="none"/>
          <w:lang w:eastAsia="zh-CN"/>
        </w:rPr>
        <w:t>廖启迪、凌良基</w:t>
      </w:r>
    </w:p>
    <w:p w14:paraId="4C24CBB8">
      <w:pPr>
        <w:spacing w:line="360" w:lineRule="auto"/>
        <w:ind w:firstLine="420" w:firstLineChars="200"/>
        <w:rPr>
          <w:rFonts w:ascii="方正小标宋简体" w:eastAsia="方正小标宋简体"/>
          <w:color w:val="auto"/>
          <w:sz w:val="32"/>
          <w:szCs w:val="32"/>
          <w:highlight w:val="none"/>
        </w:rPr>
      </w:pPr>
      <w:r>
        <w:rPr>
          <w:rFonts w:hint="eastAsia" w:ascii="宋体" w:hAnsi="宋体" w:cs="宋体"/>
          <w:color w:val="auto"/>
          <w:kern w:val="0"/>
          <w:szCs w:val="21"/>
          <w:highlight w:val="none"/>
        </w:rPr>
        <w:t>电　　话：</w:t>
      </w:r>
      <w:bookmarkEnd w:id="1"/>
      <w:r>
        <w:rPr>
          <w:rFonts w:hint="eastAsia" w:ascii="宋体" w:hAnsi="宋体" w:cs="宋体"/>
          <w:color w:val="auto"/>
          <w:kern w:val="0"/>
          <w:szCs w:val="21"/>
          <w:highlight w:val="none"/>
          <w:lang w:eastAsia="zh-CN"/>
        </w:rPr>
        <w:t>0771-4352069</w:t>
      </w:r>
      <w:r>
        <w:rPr>
          <w:rFonts w:ascii="宋体" w:hAnsi="宋体" w:cs="Arial"/>
          <w:color w:val="auto"/>
          <w:szCs w:val="21"/>
          <w:highlight w:val="none"/>
        </w:rPr>
        <w:br w:type="page"/>
      </w:r>
    </w:p>
    <w:p w14:paraId="4819199D">
      <w:pPr>
        <w:pStyle w:val="2"/>
        <w:spacing w:before="300" w:after="300" w:line="360" w:lineRule="auto"/>
        <w:jc w:val="center"/>
        <w:rPr>
          <w:color w:val="auto"/>
          <w:highlight w:val="none"/>
        </w:rPr>
      </w:pPr>
      <w:bookmarkStart w:id="59" w:name="_Toc32467"/>
      <w:r>
        <w:rPr>
          <w:rFonts w:hint="eastAsia"/>
          <w:color w:val="auto"/>
          <w:highlight w:val="none"/>
        </w:rPr>
        <w:t>第二章供应商须知</w:t>
      </w:r>
      <w:bookmarkEnd w:id="59"/>
    </w:p>
    <w:p w14:paraId="363A5DAF">
      <w:pPr>
        <w:spacing w:line="400" w:lineRule="exact"/>
        <w:jc w:val="center"/>
        <w:rPr>
          <w:rFonts w:ascii="宋体" w:hAnsi="宋体"/>
          <w:b/>
          <w:color w:val="auto"/>
          <w:sz w:val="32"/>
          <w:szCs w:val="32"/>
          <w:highlight w:val="none"/>
        </w:rPr>
      </w:pPr>
      <w:r>
        <w:rPr>
          <w:rFonts w:hint="eastAsia" w:ascii="宋体" w:hAnsi="宋体"/>
          <w:b/>
          <w:color w:val="auto"/>
          <w:sz w:val="32"/>
          <w:szCs w:val="32"/>
          <w:highlight w:val="none"/>
        </w:rPr>
        <w:t>供应商须知前附表</w:t>
      </w:r>
    </w:p>
    <w:p w14:paraId="7D6BDF95">
      <w:pPr>
        <w:spacing w:line="400" w:lineRule="exact"/>
        <w:jc w:val="center"/>
        <w:rPr>
          <w:rFonts w:ascii="宋体" w:hAnsi="宋体"/>
          <w:b/>
          <w:color w:val="auto"/>
          <w:sz w:val="32"/>
          <w:szCs w:val="32"/>
          <w:highlight w:val="none"/>
        </w:rPr>
      </w:pPr>
    </w:p>
    <w:tbl>
      <w:tblPr>
        <w:tblStyle w:val="4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2"/>
        <w:gridCol w:w="7912"/>
      </w:tblGrid>
      <w:tr w14:paraId="1FB106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Pr>
          <w:p w14:paraId="69FCDD9F">
            <w:pPr>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条款号</w:t>
            </w:r>
          </w:p>
        </w:tc>
        <w:tc>
          <w:tcPr>
            <w:tcW w:w="7912" w:type="dxa"/>
          </w:tcPr>
          <w:p w14:paraId="3C48AB4C">
            <w:pPr>
              <w:spacing w:line="360" w:lineRule="auto"/>
              <w:jc w:val="center"/>
              <w:rPr>
                <w:rFonts w:ascii="宋体" w:hAnsi="宋体" w:cs="宋体"/>
                <w:b/>
                <w:color w:val="auto"/>
                <w:szCs w:val="21"/>
                <w:highlight w:val="none"/>
              </w:rPr>
            </w:pPr>
            <w:r>
              <w:rPr>
                <w:rFonts w:hint="eastAsia" w:ascii="宋体" w:hAnsi="宋体" w:cs="宋体"/>
                <w:b/>
                <w:color w:val="auto"/>
                <w:szCs w:val="21"/>
                <w:highlight w:val="none"/>
              </w:rPr>
              <w:t>内    容</w:t>
            </w:r>
          </w:p>
        </w:tc>
      </w:tr>
      <w:tr w14:paraId="74431C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696B1815">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w:t>
            </w:r>
          </w:p>
        </w:tc>
        <w:tc>
          <w:tcPr>
            <w:tcW w:w="7912" w:type="dxa"/>
            <w:vAlign w:val="center"/>
          </w:tcPr>
          <w:p w14:paraId="4B205E1E">
            <w:pPr>
              <w:spacing w:line="360" w:lineRule="auto"/>
              <w:rPr>
                <w:rFonts w:ascii="宋体" w:hAnsi="宋体"/>
                <w:color w:val="auto"/>
                <w:szCs w:val="21"/>
                <w:highlight w:val="none"/>
              </w:rPr>
            </w:pPr>
            <w:r>
              <w:rPr>
                <w:rFonts w:hint="eastAsia" w:ascii="宋体" w:hAnsi="宋体" w:cs="宋体"/>
                <w:bCs/>
                <w:color w:val="auto"/>
                <w:szCs w:val="21"/>
                <w:highlight w:val="none"/>
              </w:rPr>
              <w:t>1.供应商的资格条件</w:t>
            </w:r>
            <w:r>
              <w:rPr>
                <w:rFonts w:hint="eastAsia" w:ascii="宋体" w:hAnsi="宋体" w:cs="宋体"/>
                <w:color w:val="auto"/>
                <w:szCs w:val="21"/>
                <w:highlight w:val="none"/>
              </w:rPr>
              <w:t>：详见竞争性磋商公告</w:t>
            </w:r>
          </w:p>
          <w:p w14:paraId="3753BB54">
            <w:pPr>
              <w:spacing w:line="360" w:lineRule="auto"/>
              <w:rPr>
                <w:rFonts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bCs/>
                <w:color w:val="auto"/>
                <w:szCs w:val="21"/>
                <w:highlight w:val="none"/>
              </w:rPr>
              <w:t>供应商</w:t>
            </w:r>
            <w:r>
              <w:rPr>
                <w:rFonts w:hint="eastAsia" w:ascii="宋体" w:hAnsi="宋体" w:cs="宋体"/>
                <w:color w:val="auto"/>
                <w:szCs w:val="21"/>
                <w:highlight w:val="none"/>
              </w:rPr>
              <w:t>出现下列情形之一的，不得参加政府采购活动：</w:t>
            </w:r>
          </w:p>
          <w:p w14:paraId="0B2E355F">
            <w:pPr>
              <w:spacing w:line="360" w:lineRule="auto"/>
              <w:rPr>
                <w:rFonts w:ascii="宋体" w:hAnsi="宋体" w:cs="宋体"/>
                <w:color w:val="auto"/>
                <w:szCs w:val="21"/>
                <w:highlight w:val="none"/>
              </w:rPr>
            </w:pPr>
            <w:r>
              <w:rPr>
                <w:rFonts w:hint="eastAsia" w:ascii="宋体" w:hAnsi="宋体" w:cs="宋体"/>
                <w:color w:val="auto"/>
                <w:szCs w:val="21"/>
                <w:highlight w:val="none"/>
              </w:rPr>
              <w:t>2.1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6074549F">
            <w:pPr>
              <w:spacing w:line="360" w:lineRule="auto"/>
              <w:rPr>
                <w:rFonts w:ascii="宋体" w:hAnsi="宋体" w:cs="宋体"/>
                <w:color w:val="auto"/>
                <w:szCs w:val="21"/>
                <w:highlight w:val="none"/>
              </w:rPr>
            </w:pPr>
            <w:r>
              <w:rPr>
                <w:rFonts w:hint="eastAsia" w:ascii="宋体" w:hAnsi="宋体" w:cs="宋体"/>
                <w:color w:val="auto"/>
                <w:szCs w:val="21"/>
                <w:highlight w:val="none"/>
              </w:rPr>
              <w:t>2.2对在“信用中国”网站（www.creditchina.gov.cn）、中国政府采购网（www.ccgp.gov.cn）被列入失信被执行人、重大税收违法失信主体、政府采购严重违法失信行为记录名单及其他不符合《中华人民共和国政府采购法》第二十二条规定条件的供应商，不得参与政府采购活动。</w:t>
            </w:r>
          </w:p>
        </w:tc>
      </w:tr>
      <w:tr w14:paraId="049CDE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6A507BAD">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5.1</w:t>
            </w:r>
          </w:p>
        </w:tc>
        <w:tc>
          <w:tcPr>
            <w:tcW w:w="7912" w:type="dxa"/>
            <w:vAlign w:val="center"/>
          </w:tcPr>
          <w:p w14:paraId="774A62FF">
            <w:pPr>
              <w:spacing w:line="360" w:lineRule="auto"/>
              <w:rPr>
                <w:rFonts w:ascii="宋体" w:hAnsi="宋体" w:cs="宋体"/>
                <w:color w:val="auto"/>
                <w:szCs w:val="21"/>
                <w:highlight w:val="none"/>
              </w:rPr>
            </w:pPr>
            <w:r>
              <w:rPr>
                <w:rFonts w:hint="eastAsia" w:ascii="宋体" w:hAnsi="宋体" w:cs="宋体"/>
                <w:color w:val="auto"/>
                <w:szCs w:val="21"/>
                <w:highlight w:val="none"/>
              </w:rPr>
              <w:t>是否接受联合体竞标: 详见竞争性磋商公告</w:t>
            </w:r>
          </w:p>
        </w:tc>
      </w:tr>
      <w:tr w14:paraId="6786C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28AE5ECC">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5</w:t>
            </w:r>
            <w:r>
              <w:rPr>
                <w:rFonts w:ascii="宋体" w:hAnsi="宋体" w:cs="宋体"/>
                <w:color w:val="auto"/>
                <w:szCs w:val="21"/>
                <w:highlight w:val="none"/>
              </w:rPr>
              <w:t>.2</w:t>
            </w:r>
          </w:p>
        </w:tc>
        <w:tc>
          <w:tcPr>
            <w:tcW w:w="7912" w:type="dxa"/>
            <w:vAlign w:val="center"/>
          </w:tcPr>
          <w:p w14:paraId="6044B5FD">
            <w:pPr>
              <w:spacing w:line="360" w:lineRule="auto"/>
              <w:rPr>
                <w:rFonts w:ascii="宋体" w:hAnsi="宋体" w:cs="宋体"/>
                <w:color w:val="auto"/>
                <w:szCs w:val="21"/>
                <w:highlight w:val="none"/>
              </w:rPr>
            </w:pPr>
            <w:r>
              <w:rPr>
                <w:rFonts w:hint="eastAsia" w:ascii="宋体" w:hAnsi="宋体"/>
                <w:color w:val="auto"/>
                <w:szCs w:val="21"/>
                <w:highlight w:val="none"/>
              </w:rPr>
              <w:t>如接受联合体竞标，联合体竞标要求如下：</w:t>
            </w:r>
          </w:p>
          <w:p w14:paraId="399359A9">
            <w:pPr>
              <w:spacing w:line="360" w:lineRule="auto"/>
              <w:rPr>
                <w:rFonts w:ascii="宋体" w:hAnsi="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w:t>
            </w:r>
            <w:r>
              <w:rPr>
                <w:rFonts w:hint="eastAsia" w:ascii="宋体" w:hAnsi="宋体" w:cs="宋体"/>
                <w:color w:val="auto"/>
                <w:szCs w:val="21"/>
                <w:highlight w:val="none"/>
              </w:rPr>
              <w:t>两个以上供应商可以组成一个竞标联合体，以一个供应商的身份共同参加竞标。联合体竞标的，须提供《联合体竞标协议书》（格式后附）。</w:t>
            </w:r>
          </w:p>
          <w:p w14:paraId="3E909BE1">
            <w:pPr>
              <w:spacing w:line="360" w:lineRule="auto"/>
              <w:rPr>
                <w:rFonts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w:t>
            </w:r>
            <w:r>
              <w:rPr>
                <w:rFonts w:hint="eastAsia" w:ascii="宋体" w:hAnsi="宋体" w:cs="宋体"/>
                <w:color w:val="auto"/>
                <w:szCs w:val="21"/>
                <w:highlight w:val="none"/>
              </w:rPr>
              <w:t>以联合体形式参加竞标的，联合体各方均必须具备《中华人民共和国政府采购法》第二十二条第一款规定的基本条件（涉及行政许可范围的内容，联合体各方均应具备相应资质）。本项目有特殊要求规定供应商特定条件的，联合体各方中至少有一方必须符合磋商文件规定的特定条件。</w:t>
            </w:r>
          </w:p>
          <w:p w14:paraId="14357705">
            <w:pPr>
              <w:spacing w:line="360" w:lineRule="auto"/>
              <w:rPr>
                <w:rFonts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w:t>
            </w:r>
            <w:r>
              <w:rPr>
                <w:rFonts w:hint="eastAsia" w:ascii="宋体" w:hAnsi="宋体" w:cs="宋体"/>
                <w:color w:val="auto"/>
                <w:szCs w:val="21"/>
                <w:highlight w:val="none"/>
              </w:rPr>
              <w:t>联合体各方之间必须签订联合竞标协议，协议书必须明确主体方（或者牵头方）并明确约定联合体各方承担的工作和相应的责任（</w:t>
            </w:r>
            <w:r>
              <w:rPr>
                <w:rFonts w:hint="eastAsia" w:ascii="宋体" w:hAnsi="宋体" w:cs="宋体"/>
                <w:b/>
                <w:color w:val="auto"/>
                <w:szCs w:val="21"/>
                <w:highlight w:val="none"/>
              </w:rPr>
              <w:t>各方承担责任与义务的分工必须符合采购需求，否则，联合体竞标无效</w:t>
            </w:r>
            <w:r>
              <w:rPr>
                <w:rFonts w:hint="eastAsia" w:ascii="宋体" w:hAnsi="宋体" w:cs="宋体"/>
                <w:color w:val="auto"/>
                <w:szCs w:val="21"/>
                <w:highlight w:val="none"/>
              </w:rPr>
              <w:t>），并将联合竞标协议放入响应文件。联合体各方必须共同与采购人签订采购合同，就采购合同约定的事项对采购人承担连带责任。</w:t>
            </w:r>
          </w:p>
          <w:p w14:paraId="30245395">
            <w:pPr>
              <w:spacing w:line="360" w:lineRule="auto"/>
              <w:rPr>
                <w:rFonts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w:t>
            </w:r>
            <w:r>
              <w:rPr>
                <w:rFonts w:hint="eastAsia" w:ascii="宋体" w:hAnsi="宋体" w:cs="宋体"/>
                <w:color w:val="auto"/>
                <w:szCs w:val="21"/>
                <w:highlight w:val="none"/>
              </w:rPr>
              <w:t>以联合体形式参加政府采购活动的，联合体各方不得再单独参加或者与其他供应商另外组成联合体参加同一合同项下的政府采购活动。</w:t>
            </w:r>
          </w:p>
          <w:p w14:paraId="0F27CDB3">
            <w:pPr>
              <w:spacing w:line="360" w:lineRule="auto"/>
              <w:rPr>
                <w:rFonts w:ascii="宋体" w:hAnsi="宋体" w:cs="宋体"/>
                <w:color w:val="auto"/>
                <w:szCs w:val="21"/>
                <w:highlight w:val="none"/>
              </w:rPr>
            </w:pPr>
            <w:r>
              <w:rPr>
                <w:rFonts w:hint="eastAsia" w:ascii="宋体" w:hAnsi="宋体" w:cs="宋体"/>
                <w:color w:val="auto"/>
                <w:szCs w:val="21"/>
                <w:highlight w:val="none"/>
              </w:rPr>
              <w:t>5</w:t>
            </w:r>
            <w:r>
              <w:rPr>
                <w:rFonts w:ascii="宋体" w:hAnsi="宋体" w:cs="宋体"/>
                <w:color w:val="auto"/>
                <w:szCs w:val="21"/>
                <w:highlight w:val="none"/>
              </w:rPr>
              <w:t>.</w:t>
            </w:r>
            <w:r>
              <w:rPr>
                <w:rFonts w:hint="eastAsia" w:ascii="宋体" w:hAnsi="宋体" w:cs="宋体"/>
                <w:color w:val="auto"/>
                <w:szCs w:val="21"/>
                <w:highlight w:val="none"/>
              </w:rPr>
              <w:t>联合体中有同类资质的供应商按照联合体分工承担相同工作的，应当按照资质等级较低的供应商确定资质等级。</w:t>
            </w:r>
          </w:p>
          <w:p w14:paraId="66156DF3">
            <w:pPr>
              <w:spacing w:line="360" w:lineRule="auto"/>
              <w:rPr>
                <w:rFonts w:ascii="宋体" w:hAnsi="宋体" w:cs="宋体"/>
                <w:color w:val="auto"/>
                <w:szCs w:val="21"/>
                <w:highlight w:val="none"/>
              </w:rPr>
            </w:pPr>
            <w:r>
              <w:rPr>
                <w:rFonts w:hint="eastAsia" w:ascii="宋体" w:hAnsi="宋体" w:cs="宋体"/>
                <w:color w:val="auto"/>
                <w:szCs w:val="21"/>
                <w:highlight w:val="none"/>
              </w:rPr>
              <w:t>6</w:t>
            </w:r>
            <w:r>
              <w:rPr>
                <w:rFonts w:ascii="宋体" w:hAnsi="宋体" w:cs="宋体"/>
                <w:color w:val="auto"/>
                <w:szCs w:val="21"/>
                <w:highlight w:val="none"/>
              </w:rPr>
              <w:t>.</w:t>
            </w:r>
            <w:r>
              <w:rPr>
                <w:rFonts w:hint="eastAsia" w:ascii="宋体" w:hAnsi="宋体" w:cs="宋体"/>
                <w:color w:val="auto"/>
                <w:szCs w:val="21"/>
                <w:highlight w:val="none"/>
              </w:rPr>
              <w:t>联合体竞标业绩、履约能力按照联合体各方中较高的一方认定并计算（磋商文件另有规定的除外）。</w:t>
            </w:r>
          </w:p>
          <w:p w14:paraId="568C277E">
            <w:pPr>
              <w:spacing w:line="360" w:lineRule="auto"/>
              <w:rPr>
                <w:rFonts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w:t>
            </w:r>
            <w:r>
              <w:rPr>
                <w:rFonts w:hint="eastAsia" w:ascii="宋体" w:hAnsi="宋体" w:cs="宋体"/>
                <w:color w:val="auto"/>
                <w:szCs w:val="21"/>
                <w:highlight w:val="none"/>
              </w:rPr>
              <w:t>供应商为联合体的，可以由联合体中的一方或者多方共同交纳磋商保证金，其交纳的保证金对联合体各方均具有约束力。</w:t>
            </w:r>
          </w:p>
          <w:p w14:paraId="1501B66B">
            <w:pPr>
              <w:spacing w:line="360" w:lineRule="auto"/>
              <w:rPr>
                <w:rFonts w:ascii="宋体" w:hAnsi="宋体" w:cs="宋体"/>
                <w:color w:val="auto"/>
                <w:szCs w:val="21"/>
                <w:highlight w:val="none"/>
              </w:rPr>
            </w:pPr>
            <w:r>
              <w:rPr>
                <w:rFonts w:hint="eastAsia" w:ascii="宋体" w:hAnsi="宋体" w:cs="宋体"/>
                <w:color w:val="auto"/>
                <w:szCs w:val="21"/>
                <w:highlight w:val="none"/>
              </w:rPr>
              <w:t>8</w:t>
            </w:r>
            <w:r>
              <w:rPr>
                <w:rFonts w:ascii="宋体" w:hAnsi="宋体" w:cs="宋体"/>
                <w:color w:val="auto"/>
                <w:szCs w:val="21"/>
                <w:highlight w:val="none"/>
              </w:rPr>
              <w:t>.</w:t>
            </w:r>
            <w:r>
              <w:rPr>
                <w:rFonts w:hint="eastAsia" w:ascii="宋体" w:hAnsi="宋体" w:cs="宋体"/>
                <w:color w:val="auto"/>
                <w:szCs w:val="21"/>
                <w:highlight w:val="none"/>
              </w:rPr>
              <w:t>联合体各方均应按照磋商文件的规定提交资格证明文件。</w:t>
            </w:r>
          </w:p>
        </w:tc>
      </w:tr>
      <w:tr w14:paraId="1F4E4B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199C978C">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6.2</w:t>
            </w:r>
          </w:p>
        </w:tc>
        <w:tc>
          <w:tcPr>
            <w:tcW w:w="7912" w:type="dxa"/>
            <w:vAlign w:val="center"/>
          </w:tcPr>
          <w:p w14:paraId="7DE56D7D">
            <w:pPr>
              <w:pStyle w:val="16"/>
              <w:spacing w:line="360" w:lineRule="auto"/>
              <w:rPr>
                <w:rFonts w:ascii="宋体" w:hAnsi="宋体"/>
                <w:color w:val="auto"/>
                <w:szCs w:val="21"/>
                <w:highlight w:val="none"/>
              </w:rPr>
            </w:pPr>
            <w:r>
              <w:rPr>
                <w:rFonts w:ascii="仿宋_GB2312" w:hAnsi="仿宋" w:eastAsia="仿宋_GB2312"/>
                <w:color w:val="auto"/>
                <w:szCs w:val="21"/>
                <w:highlight w:val="none"/>
              </w:rPr>
              <w:sym w:font="Wingdings 2" w:char="F052"/>
            </w:r>
            <w:r>
              <w:rPr>
                <w:rFonts w:hint="eastAsia" w:ascii="宋体" w:hAnsi="宋体"/>
                <w:color w:val="auto"/>
                <w:szCs w:val="21"/>
                <w:highlight w:val="none"/>
              </w:rPr>
              <w:t>不允许分包</w:t>
            </w:r>
          </w:p>
          <w:p w14:paraId="5BA8A1C7">
            <w:pPr>
              <w:pStyle w:val="16"/>
              <w:spacing w:line="360" w:lineRule="auto"/>
              <w:rPr>
                <w:rFonts w:ascii="宋体" w:hAnsi="宋体"/>
                <w:color w:val="auto"/>
                <w:szCs w:val="21"/>
                <w:highlight w:val="none"/>
              </w:rPr>
            </w:pPr>
            <w:r>
              <w:rPr>
                <w:rFonts w:hint="eastAsia" w:ascii="宋体" w:hAnsi="宋体"/>
                <w:color w:val="auto"/>
                <w:szCs w:val="21"/>
                <w:highlight w:val="none"/>
              </w:rPr>
              <w:t>□允许分包</w:t>
            </w:r>
          </w:p>
          <w:p w14:paraId="0B73C3F1">
            <w:pPr>
              <w:pStyle w:val="16"/>
              <w:spacing w:line="360" w:lineRule="auto"/>
              <w:rPr>
                <w:rFonts w:ascii="宋体" w:hAnsi="宋体"/>
                <w:color w:val="auto"/>
                <w:szCs w:val="21"/>
                <w:highlight w:val="none"/>
                <w:u w:val="single"/>
              </w:rPr>
            </w:pPr>
            <w:r>
              <w:rPr>
                <w:rFonts w:hint="eastAsia" w:ascii="宋体" w:hAnsi="宋体"/>
                <w:color w:val="auto"/>
                <w:szCs w:val="21"/>
                <w:highlight w:val="none"/>
              </w:rPr>
              <w:t>分包内容：/。</w:t>
            </w:r>
          </w:p>
          <w:p w14:paraId="0F60ECCC">
            <w:pPr>
              <w:pStyle w:val="16"/>
              <w:spacing w:line="360" w:lineRule="auto"/>
              <w:rPr>
                <w:rFonts w:ascii="宋体" w:hAnsi="宋体"/>
                <w:color w:val="auto"/>
                <w:szCs w:val="21"/>
                <w:highlight w:val="none"/>
                <w:u w:val="single"/>
              </w:rPr>
            </w:pPr>
            <w:r>
              <w:rPr>
                <w:rFonts w:hint="eastAsia" w:ascii="宋体" w:hAnsi="宋体"/>
                <w:color w:val="auto"/>
                <w:szCs w:val="21"/>
                <w:highlight w:val="none"/>
              </w:rPr>
              <w:t>分包金额或者比例：/。</w:t>
            </w:r>
          </w:p>
          <w:p w14:paraId="1BCDD812">
            <w:pPr>
              <w:pStyle w:val="16"/>
              <w:spacing w:line="360" w:lineRule="auto"/>
              <w:rPr>
                <w:rFonts w:ascii="宋体" w:hAnsi="宋体" w:cs="宋体"/>
                <w:color w:val="auto"/>
                <w:szCs w:val="21"/>
                <w:highlight w:val="none"/>
              </w:rPr>
            </w:pPr>
            <w:r>
              <w:rPr>
                <w:rFonts w:hint="eastAsia" w:ascii="宋体" w:hAnsi="宋体"/>
                <w:color w:val="auto"/>
                <w:szCs w:val="21"/>
                <w:highlight w:val="none"/>
              </w:rPr>
              <w:t>分包供应商必须具备的资质：/。</w:t>
            </w:r>
          </w:p>
        </w:tc>
      </w:tr>
      <w:tr w14:paraId="7FBC62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57EB578D">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12.1.</w:t>
            </w:r>
            <w:r>
              <w:rPr>
                <w:rFonts w:ascii="宋体" w:hAnsi="宋体" w:cs="宋体"/>
                <w:color w:val="auto"/>
                <w:szCs w:val="21"/>
                <w:highlight w:val="none"/>
              </w:rPr>
              <w:t>1</w:t>
            </w:r>
          </w:p>
        </w:tc>
        <w:tc>
          <w:tcPr>
            <w:tcW w:w="7912" w:type="dxa"/>
            <w:vAlign w:val="center"/>
          </w:tcPr>
          <w:p w14:paraId="5E8B0D31">
            <w:pPr>
              <w:snapToGrid w:val="0"/>
              <w:spacing w:line="360" w:lineRule="auto"/>
              <w:jc w:val="left"/>
              <w:rPr>
                <w:rFonts w:ascii="宋体" w:hAnsi="宋体" w:cs="宋体"/>
                <w:b/>
                <w:color w:val="auto"/>
                <w:szCs w:val="21"/>
                <w:highlight w:val="none"/>
              </w:rPr>
            </w:pPr>
            <w:r>
              <w:rPr>
                <w:rFonts w:hint="eastAsia" w:ascii="宋体" w:hAnsi="宋体" w:cs="宋体"/>
                <w:b/>
                <w:color w:val="auto"/>
                <w:szCs w:val="21"/>
                <w:highlight w:val="none"/>
              </w:rPr>
              <w:t>资格证明文件</w:t>
            </w:r>
          </w:p>
          <w:p w14:paraId="700F2F41">
            <w:pPr>
              <w:pStyle w:val="16"/>
              <w:spacing w:line="360" w:lineRule="auto"/>
              <w:rPr>
                <w:rFonts w:ascii="宋体" w:hAnsi="宋体"/>
                <w:color w:val="auto"/>
                <w:szCs w:val="21"/>
                <w:highlight w:val="none"/>
              </w:rPr>
            </w:pPr>
            <w:r>
              <w:rPr>
                <w:rFonts w:hint="eastAsia" w:ascii="宋体" w:hAnsi="宋体" w:cs="宋体"/>
                <w:color w:val="auto"/>
                <w:szCs w:val="21"/>
                <w:highlight w:val="none"/>
              </w:rPr>
              <w:t>1.供应商为法人或者其他组织的提供其营业执照等证明文件扫描件（如营业执照或者事业单位法人证书或者执业许可证或者登记证书等）；（</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6F176EC6">
            <w:pPr>
              <w:spacing w:line="360" w:lineRule="auto"/>
              <w:contextualSpacing/>
              <w:jc w:val="left"/>
              <w:rPr>
                <w:rFonts w:ascii="宋体" w:hAnsi="宋体" w:cs="宋体"/>
                <w:color w:val="auto"/>
                <w:szCs w:val="21"/>
                <w:highlight w:val="none"/>
              </w:rPr>
            </w:pPr>
            <w:r>
              <w:rPr>
                <w:rFonts w:hint="eastAsia" w:ascii="宋体" w:hAnsi="宋体" w:cs="宋体"/>
                <w:color w:val="auto"/>
                <w:szCs w:val="21"/>
                <w:highlight w:val="none"/>
              </w:rPr>
              <w:t>2.供应商依法缴纳税收的相关材料（</w:t>
            </w:r>
            <w:r>
              <w:rPr>
                <w:rFonts w:hint="eastAsia" w:ascii="宋体" w:hAnsi="宋体" w:cs="宋体"/>
                <w:color w:val="auto"/>
                <w:szCs w:val="21"/>
                <w:highlight w:val="none"/>
                <w:lang w:val="en-US" w:eastAsia="zh-CN"/>
              </w:rPr>
              <w:t>响应文件递交截止之日前半年内任意3个月</w:t>
            </w:r>
            <w:r>
              <w:rPr>
                <w:rFonts w:hint="eastAsia" w:ascii="宋体" w:hAnsi="宋体" w:cs="宋体"/>
                <w:color w:val="auto"/>
                <w:szCs w:val="21"/>
                <w:highlight w:val="none"/>
              </w:rPr>
              <w:t>依法缴纳税收的凭据复印件；依法免税的，必须提供相应文件证明其依法免税。从成立之日起到响应文件提交截止时间止不足要求月数的，只需提供从成立之日起的依法缴纳税收相应证明文件）；（</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651A2DAF">
            <w:pPr>
              <w:spacing w:line="360" w:lineRule="auto"/>
              <w:contextualSpacing/>
              <w:jc w:val="left"/>
              <w:rPr>
                <w:rFonts w:ascii="宋体" w:hAnsi="宋体" w:cs="宋体"/>
                <w:color w:val="auto"/>
                <w:szCs w:val="21"/>
                <w:highlight w:val="none"/>
              </w:rPr>
            </w:pPr>
            <w:r>
              <w:rPr>
                <w:rFonts w:hint="eastAsia" w:ascii="宋体" w:hAnsi="宋体" w:cs="宋体"/>
                <w:color w:val="auto"/>
                <w:szCs w:val="21"/>
                <w:highlight w:val="none"/>
              </w:rPr>
              <w:t>3.供应商依法缴纳社会保障资金的相关材料[</w:t>
            </w:r>
            <w:r>
              <w:rPr>
                <w:rFonts w:hint="eastAsia" w:ascii="宋体" w:hAnsi="宋体" w:cs="宋体"/>
                <w:color w:val="auto"/>
                <w:szCs w:val="21"/>
                <w:highlight w:val="none"/>
                <w:lang w:val="en-US" w:eastAsia="zh-CN"/>
              </w:rPr>
              <w:t>响应文件递交截止之日前半年内任意3个月</w:t>
            </w:r>
            <w:r>
              <w:rPr>
                <w:rFonts w:hint="eastAsia" w:ascii="宋体" w:hAnsi="宋体" w:cs="宋体"/>
                <w:color w:val="auto"/>
                <w:szCs w:val="21"/>
                <w:highlight w:val="none"/>
              </w:rPr>
              <w:t>依法缴纳社会保障资金的缴费凭证（专用收据或者社会保险缴纳清单）复印件；依法不需要缴纳社会保障资金的，必须提供相应文件证明不需要缴纳社会保障资金。从成立之日起到响应文件提交截止时间止不足要求月数的只需提供从成立之日起的依法缴纳社会保障资金的相应证明文件]；（</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74928580">
            <w:pPr>
              <w:spacing w:line="360" w:lineRule="auto"/>
              <w:contextualSpacing/>
              <w:jc w:val="left"/>
              <w:rPr>
                <w:rFonts w:ascii="宋体" w:hAnsi="宋体" w:cs="宋体"/>
                <w:b/>
                <w:color w:val="auto"/>
                <w:szCs w:val="21"/>
                <w:highlight w:val="none"/>
              </w:rPr>
            </w:pPr>
            <w:r>
              <w:rPr>
                <w:rFonts w:hint="eastAsia" w:ascii="宋体" w:hAnsi="宋体" w:cs="宋体"/>
                <w:color w:val="auto"/>
                <w:szCs w:val="21"/>
                <w:highlight w:val="none"/>
              </w:rPr>
              <w:t>4.供应商财务状况报告（202</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年度财务报告复印件</w:t>
            </w:r>
            <w:r>
              <w:rPr>
                <w:rFonts w:ascii="宋体" w:cs="宋体"/>
                <w:color w:val="auto"/>
                <w:szCs w:val="21"/>
                <w:highlight w:val="none"/>
              </w:rPr>
              <w:t>【包括资产负债表、利润表、现金流量表】</w:t>
            </w:r>
            <w:r>
              <w:rPr>
                <w:rFonts w:hint="eastAsia" w:ascii="宋体" w:hAnsi="宋体" w:cs="宋体"/>
                <w:color w:val="auto"/>
                <w:szCs w:val="21"/>
                <w:highlight w:val="none"/>
              </w:rPr>
              <w:t>，或者银行出具的资信证明，或者中国人民银行征信中心出具的信用报告（企业竞标的提供企业信用报告，自然人竞标的提供个人信用报告）；供应商属于成立时间在规定年度之后的法人或其他组织，需提供成立之日起至响应文件提交截止时间前的月报表或银行出具的资信证明或者中国人民银行征信中心出具的企业信用报告；资信证明应在有效期内，未注明有效期的，银行出具时间至响应文件提交截止时间不超过一年）；</w:t>
            </w:r>
            <w:r>
              <w:rPr>
                <w:rFonts w:hint="eastAsia" w:ascii="宋体" w:hAnsi="宋体" w:cs="宋体"/>
                <w:bCs/>
                <w:color w:val="auto"/>
                <w:szCs w:val="21"/>
                <w:highlight w:val="none"/>
              </w:rPr>
              <w:t>（</w:t>
            </w:r>
            <w:r>
              <w:rPr>
                <w:rFonts w:hint="eastAsia" w:ascii="宋体" w:hAnsi="宋体"/>
                <w:b/>
                <w:color w:val="auto"/>
                <w:szCs w:val="21"/>
                <w:highlight w:val="none"/>
              </w:rPr>
              <w:t>必须提供</w:t>
            </w:r>
            <w:r>
              <w:rPr>
                <w:rFonts w:hint="eastAsia" w:ascii="宋体" w:hAnsi="宋体" w:cs="宋体"/>
                <w:b/>
                <w:color w:val="auto"/>
                <w:szCs w:val="21"/>
                <w:highlight w:val="none"/>
              </w:rPr>
              <w:t>，否则响应文件按无效处理</w:t>
            </w:r>
            <w:r>
              <w:rPr>
                <w:rFonts w:hint="eastAsia" w:ascii="宋体" w:hAnsi="宋体" w:cs="宋体"/>
                <w:bCs/>
                <w:color w:val="auto"/>
                <w:szCs w:val="21"/>
                <w:highlight w:val="none"/>
              </w:rPr>
              <w:t>）</w:t>
            </w:r>
          </w:p>
          <w:p w14:paraId="739313E3">
            <w:pPr>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5.供应商直接控股、管理关系信息表（格式后附）；（</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3A574D69">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6.竞标声明（格式后附）；（</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7F43812E">
            <w:pPr>
              <w:snapToGrid w:val="0"/>
              <w:spacing w:line="360" w:lineRule="auto"/>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7.提供中小企业声明函（格式后付）或残疾人福利性单位声明函（格式后付）或监狱企业证明文件。（供应商应为中小微企业，监狱企业、残疾人福利性单位视为中小微企业）</w:t>
            </w:r>
            <w:r>
              <w:rPr>
                <w:rFonts w:hint="eastAsia" w:ascii="宋体" w:hAnsi="宋体"/>
                <w:b/>
                <w:bCs/>
                <w:color w:val="auto"/>
                <w:szCs w:val="21"/>
                <w:highlight w:val="none"/>
                <w:lang w:val="en-US" w:eastAsia="zh-CN"/>
              </w:rPr>
              <w:t>（必须提供，否则响应文件按无效响应处理）</w:t>
            </w:r>
          </w:p>
          <w:p w14:paraId="1FF2FBEE">
            <w:pPr>
              <w:snapToGrid w:val="0"/>
              <w:spacing w:line="360" w:lineRule="auto"/>
              <w:jc w:val="left"/>
              <w:rPr>
                <w:rFonts w:ascii="宋体" w:hAnsi="宋体" w:cs="宋体"/>
                <w:b/>
                <w:color w:val="auto"/>
                <w:szCs w:val="21"/>
                <w:highlight w:val="none"/>
              </w:rPr>
            </w:pPr>
            <w:r>
              <w:rPr>
                <w:rFonts w:hint="eastAsia" w:ascii="宋体" w:hAnsi="宋体"/>
                <w:color w:val="auto"/>
                <w:szCs w:val="21"/>
                <w:highlight w:val="none"/>
                <w:lang w:val="en-US" w:eastAsia="zh-CN"/>
              </w:rPr>
              <w:t>8.</w:t>
            </w:r>
            <w:r>
              <w:rPr>
                <w:rFonts w:hint="eastAsia" w:ascii="宋体" w:hAnsi="宋体" w:cs="宋体"/>
                <w:b/>
                <w:color w:val="auto"/>
                <w:szCs w:val="21"/>
                <w:highlight w:val="none"/>
              </w:rPr>
              <w:t>特定</w:t>
            </w:r>
            <w:r>
              <w:rPr>
                <w:rFonts w:ascii="宋体" w:hAnsi="宋体" w:cs="宋体"/>
                <w:b/>
                <w:color w:val="auto"/>
                <w:szCs w:val="21"/>
                <w:highlight w:val="none"/>
              </w:rPr>
              <w:t>资格</w:t>
            </w:r>
            <w:r>
              <w:rPr>
                <w:rFonts w:hint="eastAsia" w:ascii="宋体" w:hAnsi="宋体" w:cs="宋体"/>
                <w:b/>
                <w:color w:val="auto"/>
                <w:szCs w:val="21"/>
                <w:highlight w:val="none"/>
              </w:rPr>
              <w:t>要求</w:t>
            </w:r>
            <w:r>
              <w:rPr>
                <w:rFonts w:ascii="宋体" w:hAnsi="宋体" w:cs="宋体"/>
                <w:b/>
                <w:color w:val="auto"/>
                <w:szCs w:val="21"/>
                <w:highlight w:val="none"/>
              </w:rPr>
              <w:t>：</w:t>
            </w:r>
            <w:r>
              <w:rPr>
                <w:rFonts w:hint="eastAsia" w:ascii="宋体" w:hAnsi="宋体"/>
                <w:b/>
                <w:color w:val="auto"/>
                <w:szCs w:val="21"/>
                <w:highlight w:val="none"/>
              </w:rPr>
              <w:t>【必须提供，否则响应文件按无效处理】</w:t>
            </w:r>
          </w:p>
          <w:p w14:paraId="163BF682">
            <w:pPr>
              <w:spacing w:line="360" w:lineRule="auto"/>
              <w:ind w:firstLine="420" w:firstLineChars="200"/>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1）供应商须具备建设行政主管部门核发的有效电力工程施工总承包三级（含）以上资质或输变电工程专业承包三级（含）以上资质；具备国家能源局（或原国家电力监管委员会）核发的有效《承装（修、试）电力设施许可证》五级（含）以上资质（注：若供应商已按2025年7月1日起施行的《承装（修、试）电力设施许可证管理办法》换领新证的，须具备有效的三级（含）以上《承装（修、试）电力设施许可证》）；并具备有效的《安全生产许可证》。</w:t>
            </w:r>
          </w:p>
          <w:p w14:paraId="7908A9AA">
            <w:pPr>
              <w:spacing w:line="360" w:lineRule="auto"/>
              <w:ind w:firstLine="420" w:firstLineChars="20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（2）供应商拟派的项目经理须具备机电工程专业贰级(含)以上注册建造师执业资格并具备有效的安全生产考核证书（B）类，且不得同时担任其他在建建设工程项目的项目经理。</w:t>
            </w:r>
          </w:p>
          <w:p w14:paraId="3FCB3480">
            <w:pPr>
              <w:pStyle w:val="43"/>
              <w:keepNext w:val="0"/>
              <w:keepLines w:val="0"/>
              <w:pageBreakBefore w:val="0"/>
              <w:widowControl w:val="0"/>
              <w:kinsoku/>
              <w:wordWrap/>
              <w:overflowPunct/>
              <w:topLinePunct w:val="0"/>
              <w:autoSpaceDE/>
              <w:autoSpaceDN/>
              <w:bidi w:val="0"/>
              <w:adjustRightInd/>
              <w:snapToGrid/>
              <w:ind w:left="0" w:leftChars="0" w:firstLine="420" w:firstLineChars="200"/>
              <w:textAlignment w:val="auto"/>
              <w:rPr>
                <w:rFonts w:hint="eastAsia" w:eastAsia="宋体"/>
                <w:color w:val="auto"/>
                <w:highlight w:val="none"/>
                <w:lang w:eastAsia="zh-CN"/>
              </w:rPr>
            </w:pPr>
            <w:r>
              <w:rPr>
                <w:rFonts w:hint="eastAsia"/>
                <w:color w:val="auto"/>
                <w:highlight w:val="none"/>
              </w:rPr>
              <w:t>（3）供应商拟派专职安全生产管理人员应具备有效的安全生产考核合格证书（C类），且</w:t>
            </w:r>
            <w:r>
              <w:rPr>
                <w:rFonts w:hint="eastAsia"/>
                <w:color w:val="auto"/>
                <w:highlight w:val="none"/>
                <w:lang w:val="en-US" w:eastAsia="zh-CN"/>
              </w:rPr>
              <w:t>人数</w:t>
            </w:r>
            <w:r>
              <w:rPr>
                <w:rFonts w:hint="eastAsia"/>
                <w:color w:val="auto"/>
                <w:highlight w:val="none"/>
              </w:rPr>
              <w:t>不少于1人</w:t>
            </w:r>
            <w:r>
              <w:rPr>
                <w:rFonts w:hint="eastAsia"/>
                <w:color w:val="auto"/>
                <w:highlight w:val="none"/>
                <w:lang w:eastAsia="zh-CN"/>
              </w:rPr>
              <w:t>。</w:t>
            </w:r>
          </w:p>
          <w:p w14:paraId="01CF450C">
            <w:pPr>
              <w:snapToGrid w:val="0"/>
              <w:spacing w:line="360" w:lineRule="auto"/>
              <w:jc w:val="left"/>
              <w:rPr>
                <w:rFonts w:ascii="宋体" w:hAnsi="宋体" w:cs="宋体"/>
                <w:color w:val="auto"/>
                <w:szCs w:val="21"/>
                <w:highlight w:val="none"/>
              </w:rPr>
            </w:pPr>
            <w:r>
              <w:rPr>
                <w:rFonts w:hint="eastAsia" w:ascii="宋体" w:hAnsi="宋体"/>
                <w:color w:val="auto"/>
                <w:szCs w:val="21"/>
                <w:highlight w:val="none"/>
                <w:lang w:val="en-US" w:eastAsia="zh-CN"/>
              </w:rPr>
              <w:t>8</w:t>
            </w:r>
            <w:r>
              <w:rPr>
                <w:rFonts w:hint="eastAsia" w:ascii="宋体" w:hAnsi="宋体"/>
                <w:color w:val="auto"/>
                <w:szCs w:val="21"/>
                <w:highlight w:val="none"/>
              </w:rPr>
              <w:t>.</w:t>
            </w:r>
            <w:r>
              <w:rPr>
                <w:rFonts w:hint="eastAsia" w:ascii="宋体" w:hAnsi="宋体" w:cs="宋体"/>
                <w:color w:val="auto"/>
                <w:szCs w:val="21"/>
                <w:highlight w:val="none"/>
              </w:rPr>
              <w:t>除磋商文件规定必须提供以外，供应商认为需要提供的其他证明材料；</w:t>
            </w:r>
          </w:p>
          <w:p w14:paraId="0C9A140A">
            <w:pPr>
              <w:snapToGrid w:val="0"/>
              <w:spacing w:line="360" w:lineRule="auto"/>
              <w:jc w:val="left"/>
              <w:rPr>
                <w:rFonts w:ascii="宋体" w:hAnsi="宋体" w:cs="宋体"/>
                <w:b/>
                <w:color w:val="auto"/>
                <w:szCs w:val="21"/>
                <w:highlight w:val="none"/>
              </w:rPr>
            </w:pPr>
            <w:r>
              <w:rPr>
                <w:rFonts w:hint="eastAsia" w:ascii="宋体" w:hAnsi="宋体" w:cs="宋体"/>
                <w:b/>
                <w:color w:val="auto"/>
                <w:szCs w:val="21"/>
                <w:highlight w:val="none"/>
              </w:rPr>
              <w:t>注：1.以上标明“必须提供”的材料属于扫描件的，必须加盖供应商</w:t>
            </w:r>
            <w:r>
              <w:rPr>
                <w:rFonts w:hint="eastAsia"/>
                <w:b/>
                <w:color w:val="auto"/>
                <w:highlight w:val="none"/>
              </w:rPr>
              <w:t>电子签章</w:t>
            </w:r>
            <w:r>
              <w:rPr>
                <w:rFonts w:hint="eastAsia" w:ascii="宋体" w:hAnsi="宋体" w:cs="宋体"/>
                <w:b/>
                <w:color w:val="auto"/>
                <w:szCs w:val="21"/>
                <w:highlight w:val="none"/>
              </w:rPr>
              <w:t>，否则响应文件按无效处理。</w:t>
            </w:r>
          </w:p>
          <w:p w14:paraId="2AC85911">
            <w:pPr>
              <w:pStyle w:val="16"/>
              <w:numPr>
                <w:ilvl w:val="0"/>
                <w:numId w:val="0"/>
              </w:numPr>
              <w:spacing w:line="360" w:lineRule="auto"/>
              <w:ind w:firstLine="422" w:firstLineChars="200"/>
              <w:rPr>
                <w:rFonts w:hint="eastAsia" w:ascii="宋体" w:hAnsi="宋体" w:cs="宋体"/>
                <w:b/>
                <w:color w:val="auto"/>
                <w:szCs w:val="21"/>
                <w:highlight w:val="none"/>
              </w:rPr>
            </w:pPr>
            <w:r>
              <w:rPr>
                <w:rFonts w:hint="eastAsia" w:ascii="宋体" w:hAnsi="宋体" w:eastAsia="宋体" w:cs="宋体"/>
                <w:b/>
                <w:color w:val="auto"/>
                <w:kern w:val="2"/>
                <w:sz w:val="21"/>
                <w:szCs w:val="21"/>
                <w:highlight w:val="none"/>
                <w:lang w:val="en-US" w:eastAsia="zh-CN" w:bidi="ar-SA"/>
              </w:rPr>
              <w:t>2.</w:t>
            </w:r>
            <w:r>
              <w:rPr>
                <w:rFonts w:hint="eastAsia" w:ascii="宋体" w:hAnsi="宋体" w:cs="宋体"/>
                <w:b/>
                <w:color w:val="auto"/>
                <w:szCs w:val="21"/>
                <w:highlight w:val="none"/>
              </w:rPr>
              <w:t>联合体竞标时，第1-</w:t>
            </w:r>
            <w:r>
              <w:rPr>
                <w:rFonts w:hint="eastAsia" w:ascii="宋体" w:hAnsi="宋体" w:cs="宋体"/>
                <w:b/>
                <w:color w:val="auto"/>
                <w:szCs w:val="21"/>
                <w:highlight w:val="none"/>
                <w:lang w:val="en-US" w:eastAsia="zh-CN"/>
              </w:rPr>
              <w:t>8</w:t>
            </w:r>
            <w:r>
              <w:rPr>
                <w:rFonts w:hint="eastAsia" w:ascii="宋体" w:hAnsi="宋体" w:cs="宋体"/>
                <w:b/>
                <w:color w:val="auto"/>
                <w:szCs w:val="21"/>
                <w:highlight w:val="none"/>
              </w:rPr>
              <w:t>项资格证明文件联合体各方均必须分别提供，</w:t>
            </w:r>
            <w:r>
              <w:rPr>
                <w:rFonts w:hint="eastAsia"/>
                <w:b/>
                <w:color w:val="auto"/>
                <w:highlight w:val="none"/>
              </w:rPr>
              <w:t>并由</w:t>
            </w:r>
            <w:r>
              <w:rPr>
                <w:rFonts w:hint="eastAsia" w:ascii="宋体" w:hAnsi="宋体" w:cs="宋体"/>
                <w:b/>
                <w:color w:val="auto"/>
                <w:szCs w:val="21"/>
                <w:highlight w:val="none"/>
              </w:rPr>
              <w:t>联合体</w:t>
            </w:r>
            <w:r>
              <w:rPr>
                <w:rFonts w:hint="eastAsia"/>
                <w:b/>
                <w:color w:val="auto"/>
                <w:highlight w:val="none"/>
              </w:rPr>
              <w:t>牵头人加盖电子签章</w:t>
            </w:r>
            <w:r>
              <w:rPr>
                <w:rFonts w:hint="eastAsia" w:ascii="宋体" w:hAnsi="宋体" w:cs="宋体"/>
                <w:b/>
                <w:color w:val="auto"/>
                <w:szCs w:val="21"/>
                <w:highlight w:val="none"/>
              </w:rPr>
              <w:t>，</w:t>
            </w:r>
            <w:r>
              <w:rPr>
                <w:rFonts w:hint="eastAsia"/>
                <w:b/>
                <w:color w:val="auto"/>
                <w:highlight w:val="none"/>
              </w:rPr>
              <w:t>规定签字</w:t>
            </w:r>
            <w:r>
              <w:rPr>
                <w:rFonts w:hint="eastAsia" w:ascii="宋体" w:hAnsi="宋体" w:cs="宋体"/>
                <w:b/>
                <w:color w:val="auto"/>
                <w:szCs w:val="21"/>
                <w:highlight w:val="none"/>
              </w:rPr>
              <w:t>处签字</w:t>
            </w:r>
            <w:r>
              <w:rPr>
                <w:rFonts w:hint="eastAsia" w:ascii="宋体" w:hAnsi="宋体"/>
                <w:b/>
                <w:bCs/>
                <w:color w:val="auto"/>
                <w:szCs w:val="21"/>
                <w:highlight w:val="none"/>
              </w:rPr>
              <w:t>（或者电子签名）</w:t>
            </w:r>
            <w:r>
              <w:rPr>
                <w:rFonts w:hint="eastAsia" w:ascii="宋体" w:hAnsi="宋体" w:cs="宋体"/>
                <w:b/>
                <w:color w:val="auto"/>
                <w:szCs w:val="21"/>
                <w:highlight w:val="none"/>
              </w:rPr>
              <w:t>，否则响应文件按无效处理。</w:t>
            </w:r>
          </w:p>
          <w:p w14:paraId="22471AF3">
            <w:pPr>
              <w:pStyle w:val="16"/>
              <w:numPr>
                <w:ilvl w:val="0"/>
                <w:numId w:val="0"/>
              </w:numPr>
              <w:spacing w:line="360" w:lineRule="auto"/>
              <w:ind w:firstLine="422" w:firstLineChars="200"/>
              <w:rPr>
                <w:rFonts w:hint="eastAsia" w:ascii="宋体" w:hAnsi="宋体" w:cs="宋体"/>
                <w:b/>
                <w:color w:val="auto"/>
                <w:szCs w:val="21"/>
                <w:highlight w:val="none"/>
              </w:rPr>
            </w:pPr>
            <w:r>
              <w:rPr>
                <w:rFonts w:hint="eastAsia" w:ascii="宋体" w:hAnsi="宋体" w:eastAsia="宋体" w:cs="宋体"/>
                <w:b/>
                <w:color w:val="auto"/>
                <w:kern w:val="2"/>
                <w:sz w:val="21"/>
                <w:szCs w:val="21"/>
                <w:highlight w:val="none"/>
                <w:lang w:val="en-US" w:eastAsia="zh-CN" w:bidi="ar-SA"/>
              </w:rPr>
              <w:t>3.</w:t>
            </w:r>
            <w:r>
              <w:rPr>
                <w:rFonts w:hint="eastAsia" w:asciiTheme="minorEastAsia" w:hAnsiTheme="minorEastAsia" w:eastAsiaTheme="minorEastAsia"/>
                <w:b/>
                <w:bCs/>
                <w:color w:val="auto"/>
                <w:szCs w:val="21"/>
                <w:highlight w:val="none"/>
              </w:rPr>
              <w:t>分公司参加竞标的，应当取得总公司授权；</w:t>
            </w:r>
          </w:p>
        </w:tc>
      </w:tr>
      <w:tr w14:paraId="36FA39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0A285114">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12.1.2</w:t>
            </w:r>
          </w:p>
        </w:tc>
        <w:tc>
          <w:tcPr>
            <w:tcW w:w="7912" w:type="dxa"/>
            <w:vAlign w:val="center"/>
          </w:tcPr>
          <w:p w14:paraId="13E5E29B">
            <w:pPr>
              <w:spacing w:line="360" w:lineRule="auto"/>
              <w:rPr>
                <w:rFonts w:ascii="宋体" w:hAnsi="宋体" w:cs="宋体"/>
                <w:color w:val="auto"/>
                <w:szCs w:val="21"/>
                <w:highlight w:val="none"/>
              </w:rPr>
            </w:pPr>
            <w:r>
              <w:rPr>
                <w:rFonts w:hint="eastAsia" w:ascii="宋体" w:hAnsi="宋体" w:cs="宋体"/>
                <w:color w:val="auto"/>
                <w:szCs w:val="21"/>
                <w:highlight w:val="none"/>
              </w:rPr>
              <w:t>报价文件</w:t>
            </w:r>
          </w:p>
          <w:p w14:paraId="7293AD35">
            <w:pPr>
              <w:spacing w:line="360" w:lineRule="auto"/>
              <w:rPr>
                <w:rFonts w:ascii="宋体" w:hAnsi="宋体" w:cs="宋体"/>
                <w:color w:val="auto"/>
                <w:szCs w:val="21"/>
                <w:highlight w:val="none"/>
              </w:rPr>
            </w:pPr>
            <w:r>
              <w:rPr>
                <w:rFonts w:hint="eastAsia" w:ascii="宋体" w:hAnsi="宋体" w:cs="宋体"/>
                <w:color w:val="auto"/>
                <w:szCs w:val="21"/>
                <w:highlight w:val="none"/>
              </w:rPr>
              <w:t>1.竞标函及竞标函附录（格式后附）；（</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635354EC">
            <w:pPr>
              <w:spacing w:line="360" w:lineRule="auto"/>
              <w:rPr>
                <w:rFonts w:ascii="宋体" w:hAnsi="宋体" w:cs="宋体"/>
                <w:color w:val="auto"/>
                <w:szCs w:val="21"/>
                <w:highlight w:val="none"/>
              </w:rPr>
            </w:pPr>
            <w:r>
              <w:rPr>
                <w:rFonts w:hint="eastAsia" w:ascii="宋体" w:hAnsi="宋体" w:cs="宋体"/>
                <w:color w:val="auto"/>
                <w:szCs w:val="21"/>
                <w:highlight w:val="none"/>
              </w:rPr>
              <w:t>2.竞标报价表（格式后附）；（</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150FB53E">
            <w:pPr>
              <w:spacing w:line="360" w:lineRule="auto"/>
              <w:rPr>
                <w:rFonts w:ascii="宋体" w:hAnsi="宋体" w:cs="宋体"/>
                <w:color w:val="auto"/>
                <w:szCs w:val="21"/>
                <w:highlight w:val="none"/>
              </w:rPr>
            </w:pPr>
            <w:r>
              <w:rPr>
                <w:rFonts w:hint="eastAsia" w:ascii="宋体" w:hAnsi="宋体" w:cs="宋体"/>
                <w:color w:val="auto"/>
                <w:szCs w:val="21"/>
                <w:highlight w:val="none"/>
              </w:rPr>
              <w:t>3.已标价工程量清单；（</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78B284D0">
            <w:pPr>
              <w:spacing w:line="360" w:lineRule="auto"/>
              <w:rPr>
                <w:color w:val="auto"/>
                <w:highlight w:val="none"/>
              </w:rPr>
            </w:pP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供应商认为需要提供的其他有关资料。</w:t>
            </w:r>
          </w:p>
        </w:tc>
      </w:tr>
      <w:tr w14:paraId="4E760F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3C209160">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12.</w:t>
            </w:r>
            <w:r>
              <w:rPr>
                <w:rFonts w:ascii="宋体" w:hAnsi="宋体" w:cs="宋体"/>
                <w:color w:val="auto"/>
                <w:szCs w:val="21"/>
                <w:highlight w:val="none"/>
              </w:rPr>
              <w:t>1</w:t>
            </w:r>
            <w:r>
              <w:rPr>
                <w:rFonts w:hint="eastAsia" w:ascii="宋体" w:hAnsi="宋体" w:cs="宋体"/>
                <w:color w:val="auto"/>
                <w:szCs w:val="21"/>
                <w:highlight w:val="none"/>
              </w:rPr>
              <w:t>.3</w:t>
            </w:r>
          </w:p>
        </w:tc>
        <w:tc>
          <w:tcPr>
            <w:tcW w:w="7912" w:type="dxa"/>
            <w:vAlign w:val="center"/>
          </w:tcPr>
          <w:p w14:paraId="50AB3555">
            <w:pPr>
              <w:spacing w:line="360" w:lineRule="auto"/>
              <w:rPr>
                <w:rFonts w:ascii="宋体" w:hAnsi="宋体" w:cs="宋体"/>
                <w:b/>
                <w:bCs/>
                <w:color w:val="auto"/>
                <w:szCs w:val="21"/>
                <w:highlight w:val="none"/>
              </w:rPr>
            </w:pPr>
            <w:r>
              <w:rPr>
                <w:rFonts w:hint="eastAsia" w:ascii="宋体" w:hAnsi="宋体" w:cs="宋体"/>
                <w:b/>
                <w:bCs/>
                <w:color w:val="auto"/>
                <w:szCs w:val="21"/>
                <w:highlight w:val="none"/>
              </w:rPr>
              <w:t>商务技术文件</w:t>
            </w:r>
          </w:p>
          <w:p w14:paraId="0833243B">
            <w:pPr>
              <w:spacing w:line="360" w:lineRule="auto"/>
              <w:rPr>
                <w:rFonts w:ascii="宋体" w:hAnsi="宋体" w:cs="宋体"/>
                <w:color w:val="auto"/>
                <w:szCs w:val="21"/>
                <w:highlight w:val="none"/>
              </w:rPr>
            </w:pPr>
            <w:r>
              <w:rPr>
                <w:rFonts w:hint="eastAsia" w:ascii="宋体" w:hAnsi="宋体" w:cs="宋体"/>
                <w:color w:val="auto"/>
                <w:szCs w:val="21"/>
                <w:highlight w:val="none"/>
              </w:rPr>
              <w:t>1.无串通竞标行为的承诺函（格式后附）；（</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0CF523CD">
            <w:pPr>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2.法定代表人身份证明书及法定代表人有效身份证正反面扫描件（格式后附）；（</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42A1850E">
            <w:pPr>
              <w:spacing w:line="360" w:lineRule="auto"/>
              <w:rPr>
                <w:rFonts w:ascii="宋体" w:hAnsi="宋体" w:cs="宋体"/>
                <w:b/>
                <w:color w:val="auto"/>
                <w:szCs w:val="21"/>
                <w:highlight w:val="none"/>
              </w:rPr>
            </w:pPr>
            <w:r>
              <w:rPr>
                <w:rFonts w:hint="eastAsia" w:ascii="宋体" w:hAnsi="宋体" w:cs="宋体"/>
                <w:color w:val="auto"/>
                <w:szCs w:val="21"/>
                <w:highlight w:val="none"/>
              </w:rPr>
              <w:t>3.授权委托书及委托代理人有效身份证正反面扫描件（格式后附）；（</w:t>
            </w:r>
            <w:r>
              <w:rPr>
                <w:rFonts w:hint="eastAsia" w:ascii="宋体" w:hAnsi="宋体" w:cs="宋体"/>
                <w:b/>
                <w:color w:val="auto"/>
                <w:szCs w:val="21"/>
                <w:highlight w:val="none"/>
              </w:rPr>
              <w:t>委托时必须提供，否则响应文件按无效处理</w:t>
            </w:r>
            <w:r>
              <w:rPr>
                <w:rFonts w:hint="eastAsia" w:ascii="宋体" w:hAnsi="宋体" w:cs="宋体"/>
                <w:color w:val="auto"/>
                <w:szCs w:val="21"/>
                <w:highlight w:val="none"/>
              </w:rPr>
              <w:t>）</w:t>
            </w:r>
          </w:p>
          <w:p w14:paraId="391FC92E">
            <w:pPr>
              <w:spacing w:line="360" w:lineRule="auto"/>
              <w:rPr>
                <w:rFonts w:ascii="宋体" w:hAnsi="宋体" w:cs="宋体"/>
                <w:color w:val="auto"/>
                <w:szCs w:val="21"/>
                <w:highlight w:val="none"/>
              </w:rPr>
            </w:pPr>
            <w:r>
              <w:rPr>
                <w:rFonts w:hint="eastAsia" w:ascii="宋体" w:hAnsi="宋体" w:cs="宋体"/>
                <w:color w:val="auto"/>
                <w:szCs w:val="21"/>
                <w:highlight w:val="none"/>
              </w:rPr>
              <w:t>4.磋商保证金提交凭证；（</w:t>
            </w:r>
            <w:r>
              <w:rPr>
                <w:rFonts w:hint="eastAsia"/>
                <w:b/>
                <w:bCs/>
                <w:color w:val="auto"/>
                <w:highlight w:val="none"/>
              </w:rPr>
              <w:t>如要求提交磋商保证金的则必须提供</w:t>
            </w:r>
            <w:r>
              <w:rPr>
                <w:rFonts w:hint="eastAsia" w:ascii="宋体" w:hAnsi="宋体" w:cs="宋体"/>
                <w:b/>
                <w:color w:val="auto"/>
                <w:szCs w:val="21"/>
                <w:highlight w:val="none"/>
              </w:rPr>
              <w:t>，否则响应文件按无效处理</w:t>
            </w:r>
            <w:r>
              <w:rPr>
                <w:rFonts w:hint="eastAsia" w:ascii="宋体" w:hAnsi="宋体" w:cs="宋体"/>
                <w:color w:val="auto"/>
                <w:szCs w:val="21"/>
                <w:highlight w:val="none"/>
              </w:rPr>
              <w:t>）</w:t>
            </w:r>
          </w:p>
          <w:p w14:paraId="60B9B43F">
            <w:pPr>
              <w:spacing w:line="360" w:lineRule="auto"/>
              <w:rPr>
                <w:rFonts w:ascii="宋体" w:hAnsi="宋体" w:cs="宋体"/>
                <w:color w:val="auto"/>
                <w:szCs w:val="21"/>
                <w:highlight w:val="none"/>
              </w:rPr>
            </w:pPr>
            <w:r>
              <w:rPr>
                <w:rFonts w:hint="eastAsia" w:ascii="宋体" w:hAnsi="宋体" w:cs="宋体"/>
                <w:color w:val="auto"/>
                <w:szCs w:val="21"/>
                <w:highlight w:val="none"/>
              </w:rPr>
              <w:t>5.施工组织设计；（</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5F9B080B">
            <w:pPr>
              <w:spacing w:line="360" w:lineRule="auto"/>
              <w:rPr>
                <w:rFonts w:ascii="宋体" w:hAnsi="宋体" w:cs="宋体"/>
                <w:color w:val="auto"/>
                <w:szCs w:val="21"/>
                <w:highlight w:val="none"/>
              </w:rPr>
            </w:pPr>
            <w:r>
              <w:rPr>
                <w:rFonts w:hint="eastAsia" w:ascii="宋体" w:hAnsi="宋体" w:cs="宋体"/>
                <w:color w:val="auto"/>
                <w:szCs w:val="21"/>
                <w:highlight w:val="none"/>
              </w:rPr>
              <w:t>6.项目管理机构配备情况表及主要人员简历表（格式后附）；（</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 xml:space="preserve">） </w:t>
            </w:r>
          </w:p>
          <w:p w14:paraId="4E4603F9">
            <w:pPr>
              <w:spacing w:line="360" w:lineRule="auto"/>
              <w:rPr>
                <w:rFonts w:ascii="宋体" w:hAnsi="宋体" w:cs="宋体"/>
                <w:color w:val="auto"/>
                <w:szCs w:val="21"/>
                <w:highlight w:val="none"/>
              </w:rPr>
            </w:pPr>
            <w:r>
              <w:rPr>
                <w:rFonts w:hint="eastAsia" w:ascii="宋体" w:hAnsi="宋体" w:cs="宋体"/>
                <w:color w:val="auto"/>
                <w:szCs w:val="21"/>
                <w:highlight w:val="none"/>
              </w:rPr>
              <w:t>7.拟分包项目情况表（格式后附）；（如有）</w:t>
            </w:r>
          </w:p>
          <w:p w14:paraId="590DA406">
            <w:pPr>
              <w:spacing w:line="360" w:lineRule="auto"/>
              <w:rPr>
                <w:rFonts w:ascii="宋体" w:hAnsi="宋体" w:cs="宋体"/>
                <w:color w:val="auto"/>
                <w:szCs w:val="21"/>
                <w:highlight w:val="none"/>
              </w:rPr>
            </w:pPr>
            <w:r>
              <w:rPr>
                <w:rFonts w:hint="eastAsia" w:ascii="宋体" w:hAnsi="宋体" w:cs="宋体"/>
                <w:color w:val="auto"/>
                <w:szCs w:val="21"/>
                <w:highlight w:val="none"/>
              </w:rPr>
              <w:t>8.供应商认为需要提供的其他有关资料。</w:t>
            </w:r>
          </w:p>
          <w:p w14:paraId="5A83901B">
            <w:pPr>
              <w:spacing w:line="360" w:lineRule="auto"/>
              <w:rPr>
                <w:rFonts w:ascii="宋体" w:hAnsi="宋体" w:cs="宋体"/>
                <w:b/>
                <w:color w:val="auto"/>
                <w:szCs w:val="21"/>
                <w:highlight w:val="none"/>
              </w:rPr>
            </w:pPr>
            <w:r>
              <w:rPr>
                <w:rFonts w:hint="eastAsia" w:ascii="宋体" w:hAnsi="宋体" w:cs="宋体"/>
                <w:b/>
                <w:color w:val="auto"/>
                <w:szCs w:val="21"/>
                <w:highlight w:val="none"/>
              </w:rPr>
              <w:t>注：以上标明“必须提供”的材料属于扫描件的，必须加盖供应商电子签章，否则响应文件按无效处理。</w:t>
            </w:r>
          </w:p>
        </w:tc>
      </w:tr>
      <w:tr w14:paraId="0147C5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69A9A298">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15.1</w:t>
            </w:r>
          </w:p>
        </w:tc>
        <w:tc>
          <w:tcPr>
            <w:tcW w:w="7912" w:type="dxa"/>
            <w:vAlign w:val="center"/>
          </w:tcPr>
          <w:p w14:paraId="0914A976">
            <w:pPr>
              <w:spacing w:line="360" w:lineRule="auto"/>
              <w:contextualSpacing/>
              <w:jc w:val="left"/>
              <w:rPr>
                <w:rFonts w:ascii="宋体" w:hAnsi="宋体"/>
                <w:color w:val="auto"/>
                <w:szCs w:val="21"/>
                <w:highlight w:val="none"/>
              </w:rPr>
            </w:pPr>
            <w:r>
              <w:rPr>
                <w:rFonts w:hint="eastAsia" w:ascii="宋体" w:hAnsi="宋体"/>
                <w:color w:val="auto"/>
                <w:szCs w:val="21"/>
                <w:highlight w:val="none"/>
              </w:rPr>
              <w:t>竞标报价应按磋商文件中“竞标报价表”及“已标价工程量清单”格式填写。</w:t>
            </w:r>
          </w:p>
        </w:tc>
      </w:tr>
      <w:tr w14:paraId="325DA2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3E2BC533">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15.2</w:t>
            </w:r>
          </w:p>
        </w:tc>
        <w:tc>
          <w:tcPr>
            <w:tcW w:w="7912" w:type="dxa"/>
            <w:vAlign w:val="center"/>
          </w:tcPr>
          <w:p w14:paraId="72288517">
            <w:pPr>
              <w:spacing w:line="360" w:lineRule="auto"/>
              <w:contextualSpacing/>
              <w:jc w:val="left"/>
              <w:rPr>
                <w:rFonts w:ascii="宋体" w:hAnsi="宋体" w:cs="宋体"/>
                <w:color w:val="auto"/>
                <w:szCs w:val="21"/>
                <w:highlight w:val="none"/>
              </w:rPr>
            </w:pPr>
            <w:r>
              <w:rPr>
                <w:rFonts w:hint="eastAsia" w:ascii="宋体" w:hAnsi="宋体"/>
                <w:color w:val="auto"/>
                <w:szCs w:val="21"/>
                <w:highlight w:val="none"/>
              </w:rPr>
              <w:t>竞标报价是履行合同的最终价格，包括了</w:t>
            </w:r>
            <w:r>
              <w:rPr>
                <w:rFonts w:hint="eastAsia" w:ascii="宋体" w:hAnsi="宋体" w:cs="宋体"/>
                <w:color w:val="auto"/>
                <w:szCs w:val="21"/>
                <w:highlight w:val="none"/>
              </w:rPr>
              <w:t>为实施和完成合同工程所需的劳务、材料、机械、质检（自检）、安装、缺陷修复、管理、保险、税费、利润等费用，以及合同明示或暗示的所有责任、义务和一般风险。</w:t>
            </w:r>
          </w:p>
        </w:tc>
      </w:tr>
      <w:tr w14:paraId="58C873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69F7260F">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15.3</w:t>
            </w:r>
          </w:p>
        </w:tc>
        <w:tc>
          <w:tcPr>
            <w:tcW w:w="7912" w:type="dxa"/>
            <w:vAlign w:val="center"/>
          </w:tcPr>
          <w:p w14:paraId="7F67D443">
            <w:pPr>
              <w:spacing w:line="360" w:lineRule="auto"/>
              <w:contextualSpacing/>
              <w:jc w:val="left"/>
              <w:rPr>
                <w:rFonts w:ascii="宋体" w:hAnsi="宋体"/>
                <w:color w:val="auto"/>
                <w:szCs w:val="21"/>
                <w:highlight w:val="none"/>
              </w:rPr>
            </w:pPr>
            <w:r>
              <w:rPr>
                <w:rFonts w:hint="eastAsia" w:cs="宋体"/>
                <w:color w:val="auto"/>
                <w:highlight w:val="none"/>
              </w:rPr>
              <w:t>本工程增值税计税方法：</w:t>
            </w:r>
            <w:r>
              <w:rPr>
                <w:rFonts w:ascii="仿宋_GB2312" w:hAnsi="仿宋" w:eastAsia="仿宋_GB2312"/>
                <w:color w:val="auto"/>
                <w:szCs w:val="21"/>
                <w:highlight w:val="none"/>
              </w:rPr>
              <w:sym w:font="Wingdings 2" w:char="F052"/>
            </w:r>
            <w:r>
              <w:rPr>
                <w:rFonts w:hint="eastAsia" w:cs="宋体"/>
                <w:color w:val="auto"/>
                <w:highlight w:val="none"/>
              </w:rPr>
              <w:t>一般计税法；□简易计税法</w:t>
            </w:r>
          </w:p>
        </w:tc>
      </w:tr>
      <w:tr w14:paraId="0B611E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18236532">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16.</w:t>
            </w:r>
            <w:r>
              <w:rPr>
                <w:rFonts w:ascii="宋体" w:hAnsi="宋体" w:cs="宋体"/>
                <w:color w:val="auto"/>
                <w:szCs w:val="21"/>
                <w:highlight w:val="none"/>
              </w:rPr>
              <w:t>2</w:t>
            </w:r>
          </w:p>
        </w:tc>
        <w:tc>
          <w:tcPr>
            <w:tcW w:w="7912" w:type="dxa"/>
            <w:vAlign w:val="center"/>
          </w:tcPr>
          <w:p w14:paraId="294BF1BB">
            <w:pPr>
              <w:pStyle w:val="12"/>
              <w:widowControl w:val="0"/>
              <w:tabs>
                <w:tab w:val="clear" w:pos="454"/>
              </w:tabs>
              <w:snapToGrid w:val="0"/>
              <w:spacing w:afterLines="0" w:line="360" w:lineRule="auto"/>
              <w:ind w:left="283" w:hanging="283" w:hangingChars="135"/>
              <w:rPr>
                <w:rFonts w:ascii="宋体" w:hAnsi="宋体" w:cs="宋体"/>
                <w:color w:val="auto"/>
                <w:kern w:val="2"/>
                <w:sz w:val="21"/>
                <w:szCs w:val="21"/>
                <w:highlight w:val="none"/>
              </w:rPr>
            </w:pPr>
            <w:r>
              <w:rPr>
                <w:rFonts w:hint="eastAsia" w:ascii="宋体" w:hAnsi="宋体" w:cs="宋体"/>
                <w:color w:val="auto"/>
                <w:kern w:val="2"/>
                <w:sz w:val="21"/>
                <w:szCs w:val="21"/>
                <w:highlight w:val="none"/>
              </w:rPr>
              <w:t>竞标有效期：自首次响应文件提交截止之日起</w:t>
            </w:r>
            <w:r>
              <w:rPr>
                <w:rFonts w:ascii="宋体" w:hAnsi="宋体" w:cs="宋体"/>
                <w:color w:val="auto"/>
                <w:kern w:val="2"/>
                <w:sz w:val="21"/>
                <w:szCs w:val="21"/>
                <w:highlight w:val="none"/>
                <w:u w:val="single"/>
              </w:rPr>
              <w:t>60</w:t>
            </w:r>
            <w:r>
              <w:rPr>
                <w:rFonts w:hint="eastAsia" w:ascii="宋体" w:hAnsi="宋体" w:cs="宋体"/>
                <w:color w:val="auto"/>
                <w:kern w:val="2"/>
                <w:sz w:val="21"/>
                <w:szCs w:val="21"/>
                <w:highlight w:val="none"/>
              </w:rPr>
              <w:t>日。</w:t>
            </w:r>
          </w:p>
        </w:tc>
      </w:tr>
      <w:tr w14:paraId="5241B5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5D2DB452">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17.1</w:t>
            </w:r>
          </w:p>
        </w:tc>
        <w:tc>
          <w:tcPr>
            <w:tcW w:w="7912" w:type="dxa"/>
            <w:vAlign w:val="center"/>
          </w:tcPr>
          <w:p w14:paraId="6474598A">
            <w:pPr>
              <w:autoSpaceDE w:val="0"/>
              <w:autoSpaceDN w:val="0"/>
              <w:snapToGrid w:val="0"/>
              <w:spacing w:line="360" w:lineRule="auto"/>
              <w:textAlignment w:val="bottom"/>
              <w:rPr>
                <w:rFonts w:ascii="宋体" w:hAnsi="宋体"/>
                <w:color w:val="auto"/>
                <w:szCs w:val="21"/>
                <w:highlight w:val="none"/>
              </w:rPr>
            </w:pPr>
            <w:r>
              <w:rPr>
                <w:rFonts w:hint="eastAsia" w:ascii="宋体" w:hAnsi="宋体"/>
                <w:color w:val="auto"/>
                <w:szCs w:val="21"/>
                <w:highlight w:val="none"/>
              </w:rPr>
              <w:t>□本项目不收取磋商保证金。</w:t>
            </w:r>
          </w:p>
          <w:p w14:paraId="06C887E7">
            <w:pPr>
              <w:snapToGrid w:val="0"/>
              <w:spacing w:line="360" w:lineRule="auto"/>
              <w:rPr>
                <w:rFonts w:ascii="宋体" w:hAnsi="宋体"/>
                <w:color w:val="auto"/>
                <w:szCs w:val="21"/>
                <w:highlight w:val="none"/>
              </w:rPr>
            </w:pPr>
            <w:r>
              <w:rPr>
                <w:rFonts w:ascii="仿宋_GB2312" w:hAnsi="仿宋" w:eastAsia="仿宋_GB2312"/>
                <w:color w:val="auto"/>
                <w:szCs w:val="21"/>
                <w:highlight w:val="none"/>
              </w:rPr>
              <w:sym w:font="Wingdings 2" w:char="F052"/>
            </w:r>
            <w:r>
              <w:rPr>
                <w:rFonts w:hint="eastAsia" w:ascii="宋体" w:hAnsi="宋体"/>
                <w:color w:val="auto"/>
                <w:szCs w:val="21"/>
                <w:highlight w:val="none"/>
              </w:rPr>
              <w:t>本项目收取磋商保证金，具体规定如下：</w:t>
            </w:r>
          </w:p>
          <w:p w14:paraId="31B670CA">
            <w:pPr>
              <w:snapToGrid w:val="0"/>
              <w:spacing w:line="360" w:lineRule="auto"/>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磋商保证金金额：10000.00元</w:t>
            </w:r>
          </w:p>
          <w:p w14:paraId="186DC8F9">
            <w:pPr>
              <w:snapToGrid w:val="0"/>
              <w:spacing w:line="360" w:lineRule="auto"/>
              <w:rPr>
                <w:rFonts w:ascii="宋体" w:hAnsi="宋体" w:cs="宋体"/>
                <w:color w:val="auto"/>
                <w:kern w:val="0"/>
                <w:szCs w:val="21"/>
                <w:highlight w:val="none"/>
              </w:rPr>
            </w:pPr>
            <w:r>
              <w:rPr>
                <w:rFonts w:hint="eastAsia" w:ascii="宋体" w:hAnsi="宋体" w:cs="宋体"/>
                <w:color w:val="auto"/>
                <w:kern w:val="0"/>
                <w:szCs w:val="21"/>
                <w:highlight w:val="none"/>
              </w:rPr>
              <w:t>磋商保证金的交纳方式：银行转账、支票、汇票、本票或者银行、保险机构出具的保函，禁止采用现钞方式。采用银行转账方式的，在响应文件提交截止时间前交至指定账户并且到账【开户银行：</w:t>
            </w:r>
            <w:r>
              <w:rPr>
                <w:rFonts w:hint="eastAsia" w:ascii="宋体" w:hAnsi="宋体" w:cs="宋体"/>
                <w:color w:val="auto"/>
                <w:kern w:val="0"/>
                <w:szCs w:val="21"/>
                <w:highlight w:val="none"/>
                <w:lang w:eastAsia="zh-CN"/>
              </w:rPr>
              <w:t>建设银行南宁市民族大道东支行</w:t>
            </w:r>
            <w:r>
              <w:rPr>
                <w:rFonts w:hint="eastAsia" w:ascii="宋体" w:hAnsi="宋体" w:cs="宋体"/>
                <w:color w:val="auto"/>
                <w:kern w:val="0"/>
                <w:szCs w:val="21"/>
                <w:highlight w:val="none"/>
              </w:rPr>
              <w:t>，开户名称：广西城建咨询设计有限公司，银行账号：4500 1604 6530 5070 3663】；采用支票、汇票、本票或者保函等方式的，在响应文件提交截止时间前，供应商必须提交单独密封的支票、汇票、本票或者保函原件。</w:t>
            </w:r>
            <w:r>
              <w:rPr>
                <w:rFonts w:hint="eastAsia" w:ascii="宋体" w:hAnsi="宋体" w:cs="宋体"/>
                <w:b/>
                <w:color w:val="auto"/>
                <w:kern w:val="0"/>
                <w:szCs w:val="21"/>
                <w:highlight w:val="none"/>
              </w:rPr>
              <w:t>否则视为无效磋商保证金。</w:t>
            </w:r>
          </w:p>
          <w:p w14:paraId="746B623F">
            <w:pPr>
              <w:snapToGrid w:val="0"/>
              <w:spacing w:line="360" w:lineRule="auto"/>
              <w:rPr>
                <w:rFonts w:ascii="宋体" w:hAnsi="宋体" w:cs="宋体"/>
                <w:b/>
                <w:color w:val="auto"/>
                <w:szCs w:val="21"/>
                <w:highlight w:val="none"/>
              </w:rPr>
            </w:pPr>
            <w:r>
              <w:rPr>
                <w:rFonts w:hint="eastAsia" w:ascii="宋体" w:hAnsi="宋体" w:cs="宋体"/>
                <w:b/>
                <w:color w:val="auto"/>
                <w:szCs w:val="21"/>
                <w:highlight w:val="none"/>
              </w:rPr>
              <w:t>相关要求：</w:t>
            </w:r>
          </w:p>
          <w:p w14:paraId="78E2B18E">
            <w:pPr>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1.磋商保证金采用银行转账交纳方式的，在响应文件提交截止时间前交至指定账户并且到账，供应商应将银行转账底单的扫描件作为磋商保证金提交凭证，放置于商务技术文件中，</w:t>
            </w:r>
            <w:r>
              <w:rPr>
                <w:rFonts w:hint="eastAsia" w:ascii="宋体" w:hAnsi="宋体" w:cs="宋体"/>
                <w:b/>
                <w:color w:val="auto"/>
                <w:szCs w:val="21"/>
                <w:highlight w:val="none"/>
              </w:rPr>
              <w:t>否则响应文件按无效处理</w:t>
            </w:r>
            <w:r>
              <w:rPr>
                <w:rFonts w:hint="eastAsia" w:ascii="宋体" w:hAnsi="宋体" w:cs="宋体"/>
                <w:color w:val="auto"/>
                <w:szCs w:val="21"/>
                <w:highlight w:val="none"/>
              </w:rPr>
              <w:t>。</w:t>
            </w:r>
          </w:p>
          <w:p w14:paraId="5B3C3FFE">
            <w:pPr>
              <w:snapToGrid w:val="0"/>
              <w:spacing w:line="360" w:lineRule="auto"/>
              <w:rPr>
                <w:rFonts w:ascii="宋体" w:hAnsi="宋体"/>
                <w:color w:val="auto"/>
                <w:szCs w:val="21"/>
                <w:highlight w:val="none"/>
              </w:rPr>
            </w:pPr>
            <w:r>
              <w:rPr>
                <w:rFonts w:hint="eastAsia" w:ascii="宋体" w:hAnsi="宋体"/>
                <w:color w:val="auto"/>
                <w:szCs w:val="21"/>
                <w:highlight w:val="none"/>
              </w:rPr>
              <w:t>2.磋商保证金采用支票、汇票、本票或者银行、保险机构出具的保函交纳方式的，供应商应将支票、汇票、本票或者银行、保险机构出具的保函的扫描件作为磋商保证金提交凭证，放置于</w:t>
            </w:r>
            <w:r>
              <w:rPr>
                <w:rFonts w:hint="eastAsia" w:ascii="宋体" w:hAnsi="宋体" w:cs="宋体"/>
                <w:color w:val="auto"/>
                <w:szCs w:val="21"/>
                <w:highlight w:val="none"/>
              </w:rPr>
              <w:t>商务技术文件</w:t>
            </w:r>
            <w:r>
              <w:rPr>
                <w:rFonts w:hint="eastAsia" w:ascii="宋体" w:hAnsi="宋体"/>
                <w:color w:val="auto"/>
                <w:szCs w:val="21"/>
                <w:highlight w:val="none"/>
              </w:rPr>
              <w:t>中，</w:t>
            </w:r>
            <w:r>
              <w:rPr>
                <w:rFonts w:hint="eastAsia" w:ascii="宋体" w:hAnsi="宋体" w:cs="宋体"/>
                <w:b/>
                <w:color w:val="auto"/>
                <w:szCs w:val="21"/>
                <w:highlight w:val="none"/>
              </w:rPr>
              <w:t>否则响应文件按无效处理</w:t>
            </w:r>
            <w:r>
              <w:rPr>
                <w:rFonts w:hint="eastAsia" w:ascii="宋体" w:hAnsi="宋体"/>
                <w:color w:val="auto"/>
                <w:szCs w:val="21"/>
                <w:highlight w:val="none"/>
              </w:rPr>
              <w:t>。供应商必须</w:t>
            </w:r>
            <w:r>
              <w:rPr>
                <w:rFonts w:hint="eastAsia"/>
                <w:color w:val="auto"/>
                <w:highlight w:val="none"/>
              </w:rPr>
              <w:t>在响应文件提交截止时间前采用现场或邮寄方式（现场提交地址：</w:t>
            </w:r>
            <w:r>
              <w:rPr>
                <w:rFonts w:hint="eastAsia"/>
                <w:color w:val="auto"/>
                <w:highlight w:val="none"/>
                <w:u w:val="single"/>
                <w:lang w:eastAsia="zh-CN"/>
              </w:rPr>
              <w:t>南宁市青秀区金湖路58号广西建设大厦三楼</w:t>
            </w:r>
            <w:r>
              <w:rPr>
                <w:rFonts w:hint="eastAsia"/>
                <w:color w:val="auto"/>
                <w:highlight w:val="none"/>
              </w:rPr>
              <w:t>；邮寄地址：</w:t>
            </w:r>
            <w:r>
              <w:rPr>
                <w:rFonts w:hint="eastAsia" w:ascii="宋体" w:hAnsi="宋体"/>
                <w:bCs/>
                <w:color w:val="auto"/>
                <w:szCs w:val="21"/>
                <w:highlight w:val="none"/>
                <w:u w:val="single"/>
                <w:lang w:eastAsia="zh-CN"/>
              </w:rPr>
              <w:t>南宁市青秀区金湖路58号广西建设大厦三楼</w:t>
            </w:r>
            <w:r>
              <w:rPr>
                <w:rFonts w:hint="eastAsia"/>
                <w:color w:val="auto"/>
                <w:highlight w:val="none"/>
              </w:rPr>
              <w:t>，收件人：</w:t>
            </w:r>
            <w:r>
              <w:rPr>
                <w:rFonts w:hint="eastAsia"/>
                <w:color w:val="auto"/>
                <w:highlight w:val="none"/>
                <w:u w:val="single"/>
                <w:lang w:eastAsia="zh-CN"/>
              </w:rPr>
              <w:t>廖启迪、凌良基</w:t>
            </w:r>
            <w:r>
              <w:rPr>
                <w:rFonts w:hint="eastAsia"/>
                <w:color w:val="auto"/>
                <w:highlight w:val="none"/>
              </w:rPr>
              <w:t>，联系方式：</w:t>
            </w:r>
            <w:r>
              <w:rPr>
                <w:rFonts w:hint="eastAsia"/>
                <w:color w:val="auto"/>
                <w:highlight w:val="none"/>
                <w:u w:val="single"/>
                <w:lang w:eastAsia="zh-CN"/>
              </w:rPr>
              <w:t>0771-4352069</w:t>
            </w:r>
            <w:r>
              <w:rPr>
                <w:rFonts w:hint="eastAsia"/>
                <w:color w:val="auto"/>
                <w:highlight w:val="none"/>
              </w:rPr>
              <w:t>）</w:t>
            </w:r>
            <w:r>
              <w:rPr>
                <w:rFonts w:hint="eastAsia" w:ascii="宋体" w:hAnsi="宋体"/>
                <w:color w:val="auto"/>
                <w:szCs w:val="21"/>
                <w:highlight w:val="none"/>
              </w:rPr>
              <w:t>将</w:t>
            </w:r>
            <w:r>
              <w:rPr>
                <w:rFonts w:hint="eastAsia" w:ascii="宋体" w:hAnsi="宋体" w:cs="宋体"/>
                <w:color w:val="auto"/>
                <w:kern w:val="0"/>
                <w:szCs w:val="21"/>
                <w:highlight w:val="none"/>
              </w:rPr>
              <w:t>单独密封的</w:t>
            </w:r>
            <w:r>
              <w:rPr>
                <w:rFonts w:hint="eastAsia" w:ascii="宋体" w:hAnsi="宋体"/>
                <w:color w:val="auto"/>
                <w:szCs w:val="21"/>
                <w:highlight w:val="none"/>
              </w:rPr>
              <w:t>支票、汇票、本票或者银行、保险机构出具的保函原件提交给采购人或者采购代理机构，由采购人或者采购代理机构向供应商出具回执（邮寄方式的除外），并妥善保管。</w:t>
            </w:r>
          </w:p>
          <w:p w14:paraId="0B4CDF68">
            <w:pPr>
              <w:snapToGrid w:val="0"/>
              <w:spacing w:line="360" w:lineRule="auto"/>
              <w:rPr>
                <w:rFonts w:ascii="宋体" w:hAnsi="宋体" w:cs="宋体"/>
                <w:b/>
                <w:color w:val="auto"/>
                <w:szCs w:val="21"/>
                <w:highlight w:val="none"/>
              </w:rPr>
            </w:pPr>
            <w:r>
              <w:rPr>
                <w:rFonts w:hint="eastAsia" w:ascii="宋体" w:hAnsi="宋体" w:cs="宋体"/>
                <w:color w:val="auto"/>
                <w:szCs w:val="21"/>
                <w:highlight w:val="none"/>
              </w:rPr>
              <w:t>3.供应商为联合体的，可以由联合体中的一方或者多方共同交纳磋商保证金，其交纳的保证金对联合体各方均具有约束力。</w:t>
            </w:r>
          </w:p>
          <w:p w14:paraId="123192F5">
            <w:pPr>
              <w:snapToGrid w:val="0"/>
              <w:spacing w:line="360" w:lineRule="auto"/>
              <w:rPr>
                <w:rFonts w:ascii="宋体" w:hAnsi="宋体" w:cs="宋体"/>
                <w:b/>
                <w:color w:val="auto"/>
                <w:szCs w:val="21"/>
                <w:highlight w:val="none"/>
              </w:rPr>
            </w:pPr>
            <w:r>
              <w:rPr>
                <w:rFonts w:hint="eastAsia" w:ascii="宋体" w:hAnsi="宋体" w:cs="宋体"/>
                <w:b/>
                <w:color w:val="auto"/>
                <w:szCs w:val="21"/>
                <w:highlight w:val="none"/>
              </w:rPr>
              <w:t xml:space="preserve">备注： </w:t>
            </w:r>
          </w:p>
          <w:p w14:paraId="1A8D057D">
            <w:pPr>
              <w:snapToGrid w:val="0"/>
              <w:spacing w:line="360" w:lineRule="auto"/>
              <w:rPr>
                <w:rFonts w:ascii="宋体" w:hAnsi="宋体" w:cs="宋体"/>
                <w:b/>
                <w:color w:val="auto"/>
                <w:szCs w:val="21"/>
                <w:highlight w:val="none"/>
              </w:rPr>
            </w:pPr>
            <w:r>
              <w:rPr>
                <w:rFonts w:hint="eastAsia" w:ascii="宋体" w:hAnsi="宋体" w:cs="宋体"/>
                <w:b/>
                <w:color w:val="auto"/>
                <w:szCs w:val="21"/>
                <w:highlight w:val="none"/>
              </w:rPr>
              <w:t>1.磋商保证金在响应文件提交截止时间后提交的，或者不按规定交纳方式交纳的，或者未足额交纳的（包含保函额度不足的），视为无效磋商保证金。</w:t>
            </w:r>
          </w:p>
          <w:p w14:paraId="751F5067">
            <w:pPr>
              <w:snapToGrid w:val="0"/>
              <w:spacing w:line="360" w:lineRule="auto"/>
              <w:rPr>
                <w:rFonts w:ascii="宋体" w:hAnsi="宋体" w:cs="宋体"/>
                <w:b/>
                <w:color w:val="auto"/>
                <w:szCs w:val="21"/>
                <w:highlight w:val="none"/>
              </w:rPr>
            </w:pPr>
            <w:r>
              <w:rPr>
                <w:rFonts w:hint="eastAsia" w:ascii="宋体" w:hAnsi="宋体" w:cs="宋体"/>
                <w:b/>
                <w:color w:val="auto"/>
                <w:szCs w:val="21"/>
                <w:highlight w:val="none"/>
              </w:rPr>
              <w:t>2.供应商采用现钞方式或者从个人账户转出的磋商保证金，视为无效磋商保证金。</w:t>
            </w:r>
          </w:p>
          <w:p w14:paraId="775F27ED">
            <w:pPr>
              <w:snapToGrid w:val="0"/>
              <w:spacing w:line="360" w:lineRule="auto"/>
              <w:rPr>
                <w:rFonts w:ascii="宋体" w:hAnsi="宋体" w:cs="宋体"/>
                <w:b/>
                <w:color w:val="auto"/>
                <w:szCs w:val="21"/>
                <w:highlight w:val="none"/>
              </w:rPr>
            </w:pPr>
            <w:r>
              <w:rPr>
                <w:rFonts w:hint="eastAsia" w:ascii="宋体" w:hAnsi="宋体" w:cs="宋体"/>
                <w:b/>
                <w:color w:val="auto"/>
                <w:szCs w:val="21"/>
                <w:highlight w:val="none"/>
              </w:rPr>
              <w:t>3.支票、汇票或者本票出现无效或者背书情形的，视为无效磋商保证金。</w:t>
            </w:r>
          </w:p>
          <w:p w14:paraId="0C104316">
            <w:pPr>
              <w:snapToGrid w:val="0"/>
              <w:spacing w:line="360" w:lineRule="auto"/>
              <w:rPr>
                <w:rFonts w:ascii="宋体" w:hAnsi="宋体" w:cs="宋体"/>
                <w:b/>
                <w:color w:val="auto"/>
                <w:szCs w:val="21"/>
                <w:highlight w:val="none"/>
              </w:rPr>
            </w:pPr>
            <w:r>
              <w:rPr>
                <w:rFonts w:hint="eastAsia" w:ascii="宋体" w:hAnsi="宋体" w:cs="宋体"/>
                <w:b/>
                <w:color w:val="auto"/>
                <w:szCs w:val="21"/>
                <w:highlight w:val="none"/>
              </w:rPr>
              <w:t>4.保函有效期低于竞标有效期的，视为无效磋商保证金。</w:t>
            </w:r>
          </w:p>
          <w:p w14:paraId="64F80D51">
            <w:pPr>
              <w:snapToGrid w:val="0"/>
              <w:spacing w:line="360" w:lineRule="auto"/>
              <w:rPr>
                <w:rFonts w:ascii="宋体" w:hAnsi="宋体" w:cs="宋体"/>
                <w:color w:val="auto"/>
                <w:szCs w:val="21"/>
                <w:highlight w:val="none"/>
              </w:rPr>
            </w:pPr>
            <w:r>
              <w:rPr>
                <w:rFonts w:hint="eastAsia" w:ascii="宋体" w:hAnsi="宋体" w:cs="宋体"/>
                <w:b/>
                <w:color w:val="auto"/>
                <w:szCs w:val="21"/>
                <w:highlight w:val="none"/>
              </w:rPr>
              <w:t>5.采用银行、保险机构出具保函的，必须为无条件保函，否则视为无效磋商保证金。</w:t>
            </w:r>
          </w:p>
        </w:tc>
      </w:tr>
      <w:tr w14:paraId="0B38A7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4D522916">
            <w:pPr>
              <w:spacing w:line="360" w:lineRule="auto"/>
              <w:jc w:val="center"/>
              <w:rPr>
                <w:rFonts w:ascii="宋体" w:hAnsi="宋体" w:cs="宋体"/>
                <w:color w:val="auto"/>
                <w:szCs w:val="21"/>
                <w:highlight w:val="none"/>
              </w:rPr>
            </w:pPr>
            <w:r>
              <w:rPr>
                <w:rFonts w:ascii="宋体" w:hAnsi="宋体" w:cs="宋体"/>
                <w:color w:val="auto"/>
                <w:szCs w:val="21"/>
                <w:highlight w:val="none"/>
              </w:rPr>
              <w:t>19</w:t>
            </w:r>
          </w:p>
        </w:tc>
        <w:tc>
          <w:tcPr>
            <w:tcW w:w="7912" w:type="dxa"/>
            <w:vAlign w:val="center"/>
          </w:tcPr>
          <w:p w14:paraId="53D1226A">
            <w:pPr>
              <w:spacing w:line="360" w:lineRule="auto"/>
              <w:rPr>
                <w:rFonts w:ascii="宋体" w:hAnsi="宋体" w:cs="宋体"/>
                <w:color w:val="auto"/>
                <w:szCs w:val="21"/>
                <w:highlight w:val="none"/>
              </w:rPr>
            </w:pPr>
            <w:r>
              <w:rPr>
                <w:rFonts w:hint="eastAsia" w:ascii="宋体" w:hAnsi="宋体"/>
                <w:color w:val="auto"/>
                <w:szCs w:val="21"/>
                <w:highlight w:val="none"/>
              </w:rPr>
              <w:t>本项目不接受</w:t>
            </w:r>
            <w:r>
              <w:rPr>
                <w:rFonts w:hint="eastAsia"/>
                <w:color w:val="auto"/>
                <w:highlight w:val="none"/>
              </w:rPr>
              <w:t>电子</w:t>
            </w:r>
            <w:r>
              <w:rPr>
                <w:rFonts w:hint="eastAsia" w:ascii="宋体" w:hAnsi="宋体"/>
                <w:color w:val="auto"/>
                <w:szCs w:val="21"/>
                <w:highlight w:val="none"/>
              </w:rPr>
              <w:t>备份响应文件</w:t>
            </w:r>
          </w:p>
        </w:tc>
      </w:tr>
      <w:tr w14:paraId="31D293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1989E6E0">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20.1</w:t>
            </w:r>
          </w:p>
        </w:tc>
        <w:tc>
          <w:tcPr>
            <w:tcW w:w="7912" w:type="dxa"/>
            <w:vAlign w:val="center"/>
          </w:tcPr>
          <w:p w14:paraId="30A1A5ED">
            <w:pPr>
              <w:spacing w:line="360" w:lineRule="auto"/>
              <w:contextualSpacing/>
              <w:jc w:val="left"/>
              <w:rPr>
                <w:rFonts w:ascii="宋体" w:hAnsi="宋体" w:cs="宋体"/>
                <w:color w:val="auto"/>
                <w:szCs w:val="21"/>
                <w:highlight w:val="none"/>
                <w:u w:val="single"/>
              </w:rPr>
            </w:pPr>
            <w:r>
              <w:rPr>
                <w:rFonts w:hint="eastAsia" w:ascii="宋体" w:hAnsi="宋体" w:cs="宋体"/>
                <w:color w:val="auto"/>
                <w:szCs w:val="21"/>
                <w:highlight w:val="none"/>
              </w:rPr>
              <w:t>响应文件提交截止时间：详见竞争性磋商公告</w:t>
            </w:r>
          </w:p>
          <w:p w14:paraId="1950599E">
            <w:pPr>
              <w:spacing w:line="360" w:lineRule="auto"/>
              <w:contextualSpacing/>
              <w:jc w:val="left"/>
              <w:rPr>
                <w:rFonts w:ascii="宋体" w:hAnsi="宋体" w:cs="宋体"/>
                <w:color w:val="auto"/>
                <w:szCs w:val="21"/>
                <w:highlight w:val="none"/>
              </w:rPr>
            </w:pPr>
            <w:r>
              <w:rPr>
                <w:rFonts w:hint="eastAsia" w:ascii="宋体" w:hAnsi="宋体" w:cs="宋体"/>
                <w:color w:val="auto"/>
                <w:szCs w:val="21"/>
                <w:highlight w:val="none"/>
              </w:rPr>
              <w:t>响应文件提交地点：详见竞争性磋商公告</w:t>
            </w:r>
          </w:p>
        </w:tc>
      </w:tr>
      <w:tr w14:paraId="3E2F39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3F87C5ED">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24.1</w:t>
            </w:r>
          </w:p>
        </w:tc>
        <w:tc>
          <w:tcPr>
            <w:tcW w:w="7912" w:type="dxa"/>
            <w:vAlign w:val="center"/>
          </w:tcPr>
          <w:p w14:paraId="091046E6">
            <w:pPr>
              <w:snapToGrid w:val="0"/>
              <w:spacing w:line="360" w:lineRule="auto"/>
              <w:jc w:val="left"/>
              <w:rPr>
                <w:rFonts w:ascii="宋体" w:hAnsi="宋体" w:cs="宋体"/>
                <w:color w:val="auto"/>
                <w:szCs w:val="21"/>
                <w:highlight w:val="none"/>
                <w:u w:val="single"/>
              </w:rPr>
            </w:pPr>
            <w:r>
              <w:rPr>
                <w:rFonts w:hint="eastAsia" w:ascii="宋体" w:hAnsi="宋体" w:cs="宋体"/>
                <w:color w:val="auto"/>
                <w:szCs w:val="21"/>
                <w:highlight w:val="none"/>
              </w:rPr>
              <w:t>磋商小组的人数：</w:t>
            </w:r>
            <w:r>
              <w:rPr>
                <w:rFonts w:ascii="宋体" w:hAnsi="宋体" w:cs="宋体"/>
                <w:color w:val="auto"/>
                <w:szCs w:val="21"/>
                <w:highlight w:val="none"/>
                <w:u w:val="single"/>
              </w:rPr>
              <w:t>3</w:t>
            </w:r>
            <w:r>
              <w:rPr>
                <w:rFonts w:hint="eastAsia" w:ascii="宋体" w:hAnsi="宋体" w:cs="宋体"/>
                <w:color w:val="auto"/>
                <w:szCs w:val="21"/>
                <w:highlight w:val="none"/>
              </w:rPr>
              <w:t>人。</w:t>
            </w:r>
          </w:p>
        </w:tc>
      </w:tr>
      <w:tr w14:paraId="20E6D7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2CE5C23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5</w:t>
            </w:r>
          </w:p>
        </w:tc>
        <w:tc>
          <w:tcPr>
            <w:tcW w:w="7912" w:type="dxa"/>
            <w:vAlign w:val="center"/>
          </w:tcPr>
          <w:p w14:paraId="0F635F66">
            <w:pPr>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首次响应文件开启时间详见“竞争性磋商公告”</w:t>
            </w:r>
          </w:p>
          <w:p w14:paraId="6C34C977">
            <w:pPr>
              <w:snapToGrid w:val="0"/>
              <w:spacing w:line="360" w:lineRule="auto"/>
              <w:jc w:val="left"/>
              <w:rPr>
                <w:rFonts w:ascii="宋体" w:hAnsi="宋体" w:cs="宋体"/>
                <w:color w:val="auto"/>
                <w:szCs w:val="21"/>
                <w:highlight w:val="none"/>
              </w:rPr>
            </w:pPr>
            <w:r>
              <w:rPr>
                <w:rFonts w:hint="eastAsia" w:ascii="宋体" w:hAnsi="宋体" w:cs="宋体"/>
                <w:color w:val="auto"/>
                <w:szCs w:val="21"/>
                <w:highlight w:val="none"/>
              </w:rPr>
              <w:t>首次响应文件解密时间：</w:t>
            </w:r>
            <w:r>
              <w:rPr>
                <w:rFonts w:hAnsi="宋体"/>
                <w:color w:val="auto"/>
                <w:highlight w:val="none"/>
                <w:u w:val="single"/>
              </w:rPr>
              <w:t>60</w:t>
            </w:r>
            <w:r>
              <w:rPr>
                <w:rFonts w:hint="eastAsia" w:hAnsi="宋体"/>
                <w:color w:val="auto"/>
                <w:highlight w:val="none"/>
              </w:rPr>
              <w:t>分钟</w:t>
            </w:r>
          </w:p>
        </w:tc>
      </w:tr>
      <w:tr w14:paraId="0F0E74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992" w:type="dxa"/>
            <w:vAlign w:val="center"/>
          </w:tcPr>
          <w:p w14:paraId="2FC8B14F">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6.3</w:t>
            </w:r>
          </w:p>
        </w:tc>
        <w:tc>
          <w:tcPr>
            <w:tcW w:w="7912" w:type="dxa"/>
            <w:vAlign w:val="center"/>
          </w:tcPr>
          <w:p w14:paraId="29250A7B">
            <w:pPr>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商务要求评审中允许负偏离的条款数为</w:t>
            </w:r>
            <w:r>
              <w:rPr>
                <w:rFonts w:hint="eastAsia" w:ascii="宋体" w:hAnsi="宋体" w:cs="宋体"/>
                <w:color w:val="auto"/>
                <w:szCs w:val="21"/>
                <w:highlight w:val="none"/>
                <w:u w:val="single"/>
                <w:lang w:val="en-US" w:eastAsia="zh-CN"/>
              </w:rPr>
              <w:t>0</w:t>
            </w:r>
            <w:r>
              <w:rPr>
                <w:rFonts w:hint="eastAsia" w:ascii="宋体" w:hAnsi="宋体" w:cs="宋体"/>
                <w:color w:val="auto"/>
                <w:szCs w:val="21"/>
                <w:highlight w:val="none"/>
              </w:rPr>
              <w:t>项。</w:t>
            </w:r>
          </w:p>
          <w:p w14:paraId="3EE08A27">
            <w:pPr>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技术要求评审中允许负偏离的条款数为</w:t>
            </w:r>
            <w:r>
              <w:rPr>
                <w:rFonts w:hint="eastAsia" w:ascii="宋体" w:hAnsi="宋体" w:cs="宋体"/>
                <w:color w:val="auto"/>
                <w:szCs w:val="21"/>
                <w:highlight w:val="none"/>
                <w:u w:val="single"/>
                <w:lang w:val="en-US" w:eastAsia="zh-CN"/>
              </w:rPr>
              <w:t>0</w:t>
            </w:r>
            <w:r>
              <w:rPr>
                <w:rFonts w:hint="eastAsia" w:ascii="宋体" w:hAnsi="宋体" w:cs="宋体"/>
                <w:color w:val="auto"/>
                <w:szCs w:val="21"/>
                <w:highlight w:val="none"/>
              </w:rPr>
              <w:t>项。</w:t>
            </w:r>
          </w:p>
        </w:tc>
      </w:tr>
      <w:tr w14:paraId="1A11A9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4015AA31">
            <w:pPr>
              <w:spacing w:line="360" w:lineRule="auto"/>
              <w:jc w:val="center"/>
              <w:rPr>
                <w:rFonts w:ascii="宋体" w:hAnsi="宋体" w:cs="宋体"/>
                <w:color w:val="auto"/>
                <w:szCs w:val="21"/>
                <w:highlight w:val="none"/>
              </w:rPr>
            </w:pPr>
            <w:r>
              <w:rPr>
                <w:rFonts w:ascii="宋体" w:hAnsi="宋体" w:cs="宋体"/>
                <w:color w:val="auto"/>
                <w:szCs w:val="21"/>
                <w:highlight w:val="none"/>
              </w:rPr>
              <w:t>28.1</w:t>
            </w:r>
          </w:p>
        </w:tc>
        <w:tc>
          <w:tcPr>
            <w:tcW w:w="7912" w:type="dxa"/>
            <w:vAlign w:val="center"/>
          </w:tcPr>
          <w:p w14:paraId="213FBA77">
            <w:pPr>
              <w:autoSpaceDE w:val="0"/>
              <w:autoSpaceDN w:val="0"/>
              <w:snapToGrid w:val="0"/>
              <w:spacing w:line="360" w:lineRule="auto"/>
              <w:textAlignment w:val="bottom"/>
              <w:rPr>
                <w:rFonts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rPr>
              <w:t>本项目不收取履约保证金。</w:t>
            </w:r>
          </w:p>
          <w:p w14:paraId="633A20A1">
            <w:pPr>
              <w:autoSpaceDE w:val="0"/>
              <w:autoSpaceDN w:val="0"/>
              <w:snapToGrid w:val="0"/>
              <w:spacing w:line="360" w:lineRule="auto"/>
              <w:textAlignment w:val="bottom"/>
              <w:rPr>
                <w:rFonts w:ascii="宋体" w:hAnsi="宋体"/>
                <w:color w:val="auto"/>
                <w:szCs w:val="21"/>
                <w:highlight w:val="none"/>
              </w:rPr>
            </w:pPr>
            <w:r>
              <w:rPr>
                <w:rFonts w:ascii="仿宋_GB2312" w:hAnsi="仿宋" w:eastAsia="仿宋_GB2312"/>
                <w:color w:val="auto"/>
                <w:szCs w:val="21"/>
                <w:highlight w:val="none"/>
              </w:rPr>
              <w:sym w:font="Wingdings 2" w:char="00A3"/>
            </w:r>
            <w:r>
              <w:rPr>
                <w:rFonts w:hint="eastAsia" w:ascii="宋体" w:hAnsi="宋体"/>
                <w:color w:val="auto"/>
                <w:szCs w:val="21"/>
                <w:highlight w:val="none"/>
              </w:rPr>
              <w:t>本项目收取履约保证金，具体规定如下：</w:t>
            </w:r>
          </w:p>
          <w:p w14:paraId="06F26CDA">
            <w:pPr>
              <w:spacing w:line="360" w:lineRule="auto"/>
              <w:contextualSpacing/>
              <w:rPr>
                <w:rFonts w:ascii="宋体" w:hAnsi="宋体" w:cs="宋体"/>
                <w:color w:val="auto"/>
                <w:szCs w:val="21"/>
                <w:highlight w:val="none"/>
              </w:rPr>
            </w:pPr>
            <w:r>
              <w:rPr>
                <w:rFonts w:hint="eastAsia" w:ascii="宋体" w:hAnsi="宋体" w:cs="宋体"/>
                <w:color w:val="auto"/>
                <w:szCs w:val="21"/>
                <w:highlight w:val="none"/>
              </w:rPr>
              <w:t>履约保证金金额：</w:t>
            </w:r>
            <w:r>
              <w:rPr>
                <w:rFonts w:hint="eastAsia" w:hAnsi="宋体"/>
                <w:color w:val="auto"/>
                <w:szCs w:val="21"/>
                <w:highlight w:val="none"/>
                <w:u w:val="single"/>
                <w:lang w:val="en-US" w:eastAsia="zh-CN"/>
              </w:rPr>
              <w:t>/</w:t>
            </w:r>
            <w:r>
              <w:rPr>
                <w:rFonts w:hint="eastAsia" w:ascii="宋体" w:hAnsi="宋体" w:cs="宋体"/>
                <w:color w:val="auto"/>
                <w:szCs w:val="21"/>
                <w:highlight w:val="none"/>
              </w:rPr>
              <w:t>。</w:t>
            </w:r>
            <w:r>
              <w:rPr>
                <w:rFonts w:hint="eastAsia" w:ascii="宋体" w:hAnsi="宋体" w:cs="宋体"/>
                <w:b/>
                <w:i/>
                <w:color w:val="auto"/>
                <w:szCs w:val="21"/>
                <w:highlight w:val="none"/>
              </w:rPr>
              <w:t>（注：履约保证金不超过</w:t>
            </w:r>
            <w:r>
              <w:rPr>
                <w:rFonts w:hint="eastAsia"/>
                <w:b/>
                <w:i/>
                <w:color w:val="auto"/>
                <w:highlight w:val="none"/>
              </w:rPr>
              <w:t>政府采购合同金额的</w:t>
            </w:r>
            <w:r>
              <w:rPr>
                <w:rFonts w:ascii="宋体" w:hAnsi="宋体" w:cs="宋体"/>
                <w:b/>
                <w:i/>
                <w:color w:val="auto"/>
                <w:szCs w:val="21"/>
                <w:highlight w:val="none"/>
              </w:rPr>
              <w:t>5</w:t>
            </w:r>
            <w:r>
              <w:rPr>
                <w:rFonts w:hint="eastAsia" w:ascii="宋体" w:hAnsi="宋体" w:cs="宋体"/>
                <w:b/>
                <w:i/>
                <w:color w:val="auto"/>
                <w:szCs w:val="21"/>
                <w:highlight w:val="none"/>
              </w:rPr>
              <w:t>%，对中小企业收取的履约保证金数额不得超过政府采购合同金额的2%。采购人可根据供应商的资信等情况减免履约保证金。）</w:t>
            </w:r>
          </w:p>
          <w:p w14:paraId="0D601B73">
            <w:pPr>
              <w:spacing w:line="360" w:lineRule="auto"/>
              <w:contextualSpacing/>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履约保证金提交方式：</w:t>
            </w:r>
            <w:r>
              <w:rPr>
                <w:rFonts w:hint="eastAsia" w:ascii="宋体" w:hAnsi="宋体" w:cs="宋体"/>
                <w:color w:val="auto"/>
                <w:szCs w:val="21"/>
                <w:highlight w:val="none"/>
                <w:lang w:val="en-US" w:eastAsia="zh-CN"/>
              </w:rPr>
              <w:t>/</w:t>
            </w:r>
          </w:p>
          <w:p w14:paraId="056E055D">
            <w:pPr>
              <w:spacing w:line="360" w:lineRule="auto"/>
              <w:contextualSpacing/>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履约保证金退付方式、时间及条件：</w:t>
            </w:r>
            <w:r>
              <w:rPr>
                <w:rFonts w:hint="eastAsia" w:ascii="宋体" w:hAnsi="宋体" w:cs="宋体"/>
                <w:color w:val="auto"/>
                <w:szCs w:val="21"/>
                <w:highlight w:val="none"/>
                <w:lang w:val="en-US" w:eastAsia="zh-CN"/>
              </w:rPr>
              <w:t>/</w:t>
            </w:r>
          </w:p>
          <w:p w14:paraId="12DEA174">
            <w:pPr>
              <w:spacing w:line="360" w:lineRule="auto"/>
              <w:contextualSpacing/>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履约保证金指定账户：</w:t>
            </w:r>
            <w:r>
              <w:rPr>
                <w:rFonts w:hint="eastAsia" w:ascii="宋体" w:hAnsi="宋体" w:cs="宋体"/>
                <w:color w:val="auto"/>
                <w:szCs w:val="21"/>
                <w:highlight w:val="none"/>
                <w:lang w:val="en-US" w:eastAsia="zh-CN"/>
              </w:rPr>
              <w:t>/</w:t>
            </w:r>
          </w:p>
          <w:p w14:paraId="70B49086">
            <w:pPr>
              <w:spacing w:line="360" w:lineRule="auto"/>
              <w:contextualSpacing/>
              <w:rPr>
                <w:rFonts w:ascii="宋体" w:hAnsi="宋体" w:cs="宋体"/>
                <w:b/>
                <w:color w:val="auto"/>
                <w:szCs w:val="21"/>
                <w:highlight w:val="none"/>
              </w:rPr>
            </w:pPr>
            <w:r>
              <w:rPr>
                <w:rFonts w:hint="eastAsia" w:ascii="宋体" w:hAnsi="宋体" w:cs="宋体"/>
                <w:b/>
                <w:color w:val="auto"/>
                <w:szCs w:val="21"/>
                <w:highlight w:val="none"/>
              </w:rPr>
              <w:t>备注：</w:t>
            </w:r>
            <w:r>
              <w:rPr>
                <w:rFonts w:hint="eastAsia" w:ascii="宋体" w:hAnsi="宋体" w:cs="宋体"/>
                <w:color w:val="auto"/>
                <w:szCs w:val="21"/>
                <w:highlight w:val="none"/>
              </w:rPr>
              <w:br w:type="textWrapping"/>
            </w:r>
            <w:r>
              <w:rPr>
                <w:rFonts w:hint="eastAsia" w:ascii="宋体" w:hAnsi="宋体" w:cs="宋体"/>
                <w:b/>
                <w:color w:val="auto"/>
                <w:szCs w:val="21"/>
                <w:highlight w:val="none"/>
              </w:rPr>
              <w:t>1</w:t>
            </w:r>
            <w:r>
              <w:rPr>
                <w:rFonts w:ascii="宋体" w:hAnsi="宋体" w:cs="宋体"/>
                <w:b/>
                <w:color w:val="auto"/>
                <w:szCs w:val="21"/>
                <w:highlight w:val="none"/>
              </w:rPr>
              <w:t>.</w:t>
            </w:r>
            <w:bookmarkStart w:id="60" w:name="_Hlk54170335"/>
            <w:r>
              <w:rPr>
                <w:rFonts w:hint="eastAsia" w:ascii="宋体" w:hAnsi="宋体"/>
                <w:b/>
                <w:color w:val="auto"/>
                <w:szCs w:val="21"/>
                <w:highlight w:val="none"/>
              </w:rPr>
              <w:t>根据《广西壮族自治区财政厅关于进一步发挥政府采购政策功能促进企业发展的通知》（桂财采〔2022〕30号）规定，采购文件要求中标或者成交供应商提交履约保证金的，履约保证金数额不得超过政府采购合同金额的5%，对中小企业收取的履约保证金数额不得超过政府采购合同金额的2%。采购人可根据供应商的资信等情况减免履约保证金。</w:t>
            </w:r>
            <w:bookmarkEnd w:id="60"/>
          </w:p>
          <w:p w14:paraId="648EAD4E">
            <w:pPr>
              <w:spacing w:line="360" w:lineRule="auto"/>
              <w:contextualSpacing/>
              <w:rPr>
                <w:rFonts w:ascii="宋体" w:hAnsi="宋体"/>
                <w:b/>
                <w:color w:val="auto"/>
                <w:szCs w:val="21"/>
                <w:highlight w:val="none"/>
              </w:rPr>
            </w:pPr>
            <w:r>
              <w:rPr>
                <w:rFonts w:hint="eastAsia" w:ascii="宋体" w:hAnsi="宋体" w:cs="宋体"/>
                <w:b/>
                <w:color w:val="auto"/>
                <w:szCs w:val="21"/>
                <w:highlight w:val="none"/>
              </w:rPr>
              <w:t>2</w:t>
            </w:r>
            <w:r>
              <w:rPr>
                <w:rFonts w:ascii="宋体" w:hAnsi="宋体" w:cs="宋体"/>
                <w:b/>
                <w:color w:val="auto"/>
                <w:szCs w:val="21"/>
                <w:highlight w:val="none"/>
              </w:rPr>
              <w:t>.</w:t>
            </w:r>
            <w:r>
              <w:rPr>
                <w:rFonts w:hint="eastAsia" w:ascii="宋体" w:hAnsi="宋体" w:cs="宋体"/>
                <w:b/>
                <w:color w:val="auto"/>
                <w:szCs w:val="21"/>
                <w:highlight w:val="none"/>
              </w:rPr>
              <w:t>履约保证金不足额缴纳的，或者银行、保险机构出具的保函额度不足的或者保函有效期低于合同履行期限（即签订采购合同之日起至履行完合同约定的权利及义务之日</w:t>
            </w:r>
            <w:r>
              <w:rPr>
                <w:rFonts w:hint="eastAsia" w:ascii="宋体" w:hAnsi="宋体"/>
                <w:b/>
                <w:color w:val="auto"/>
                <w:szCs w:val="21"/>
                <w:highlight w:val="none"/>
              </w:rPr>
              <w:t>止）的，不予签订合同。</w:t>
            </w:r>
            <w:r>
              <w:rPr>
                <w:rFonts w:hint="eastAsia" w:ascii="宋体" w:hAnsi="宋体"/>
                <w:b/>
                <w:color w:val="auto"/>
                <w:szCs w:val="21"/>
                <w:highlight w:val="none"/>
              </w:rPr>
              <w:br w:type="textWrapping"/>
            </w:r>
            <w:r>
              <w:rPr>
                <w:rFonts w:ascii="宋体" w:hAnsi="宋体"/>
                <w:b/>
                <w:color w:val="auto"/>
                <w:szCs w:val="21"/>
                <w:highlight w:val="none"/>
              </w:rPr>
              <w:t>3.</w:t>
            </w:r>
            <w:r>
              <w:rPr>
                <w:rFonts w:hint="eastAsia" w:ascii="宋体" w:hAnsi="宋体"/>
                <w:b/>
                <w:color w:val="auto"/>
                <w:szCs w:val="21"/>
                <w:highlight w:val="none"/>
              </w:rPr>
              <w:t>采用银行、保险机构出具的保函的，必须为无条件保函，否则不予签订合同。</w:t>
            </w:r>
          </w:p>
          <w:p w14:paraId="052EFFBB">
            <w:pPr>
              <w:spacing w:line="360" w:lineRule="auto"/>
              <w:contextualSpacing/>
              <w:rPr>
                <w:rFonts w:ascii="宋体" w:hAnsi="宋体" w:cs="宋体"/>
                <w:color w:val="auto"/>
                <w:szCs w:val="21"/>
                <w:highlight w:val="none"/>
              </w:rPr>
            </w:pPr>
            <w:r>
              <w:rPr>
                <w:rFonts w:ascii="宋体" w:hAnsi="宋体"/>
                <w:b/>
                <w:color w:val="auto"/>
                <w:szCs w:val="21"/>
                <w:highlight w:val="none"/>
              </w:rPr>
              <w:t>4.</w:t>
            </w:r>
            <w:r>
              <w:rPr>
                <w:rFonts w:hint="eastAsia" w:ascii="宋体" w:hAnsi="宋体"/>
                <w:b/>
                <w:color w:val="auto"/>
                <w:szCs w:val="21"/>
                <w:highlight w:val="none"/>
              </w:rPr>
              <w:t>供应商为联合体的，由联合体任意一方按规定提交的履约保证金，视为有效履约保证金。</w:t>
            </w:r>
          </w:p>
        </w:tc>
      </w:tr>
      <w:tr w14:paraId="589339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2544D634">
            <w:pPr>
              <w:spacing w:line="360" w:lineRule="auto"/>
              <w:jc w:val="center"/>
              <w:rPr>
                <w:rFonts w:ascii="宋体" w:hAnsi="宋体" w:cs="宋体"/>
                <w:color w:val="auto"/>
                <w:szCs w:val="21"/>
                <w:highlight w:val="none"/>
              </w:rPr>
            </w:pPr>
            <w:r>
              <w:rPr>
                <w:rFonts w:ascii="宋体" w:hAnsi="宋体" w:cs="宋体"/>
                <w:color w:val="auto"/>
                <w:szCs w:val="21"/>
                <w:highlight w:val="none"/>
              </w:rPr>
              <w:t>29.1</w:t>
            </w:r>
          </w:p>
        </w:tc>
        <w:tc>
          <w:tcPr>
            <w:tcW w:w="7912" w:type="dxa"/>
            <w:vAlign w:val="center"/>
          </w:tcPr>
          <w:p w14:paraId="4D000A1A">
            <w:pPr>
              <w:autoSpaceDE w:val="0"/>
              <w:autoSpaceDN w:val="0"/>
              <w:snapToGrid w:val="0"/>
              <w:spacing w:line="360" w:lineRule="auto"/>
              <w:textAlignment w:val="bottom"/>
              <w:rPr>
                <w:rFonts w:ascii="宋体" w:hAnsi="宋体"/>
                <w:color w:val="auto"/>
                <w:szCs w:val="21"/>
                <w:highlight w:val="none"/>
              </w:rPr>
            </w:pPr>
            <w:r>
              <w:rPr>
                <w:rFonts w:hint="eastAsia" w:ascii="宋体" w:hAnsi="宋体"/>
                <w:color w:val="auto"/>
                <w:szCs w:val="21"/>
                <w:highlight w:val="none"/>
              </w:rPr>
              <w:t xml:space="preserve">签订合同携带的证明材料： </w:t>
            </w:r>
          </w:p>
          <w:p w14:paraId="7EBAEDA6">
            <w:pPr>
              <w:autoSpaceDE w:val="0"/>
              <w:autoSpaceDN w:val="0"/>
              <w:snapToGrid w:val="0"/>
              <w:spacing w:line="360" w:lineRule="auto"/>
              <w:textAlignment w:val="bottom"/>
              <w:rPr>
                <w:rFonts w:ascii="宋体" w:hAnsi="宋体"/>
                <w:color w:val="auto"/>
                <w:szCs w:val="21"/>
                <w:highlight w:val="none"/>
              </w:rPr>
            </w:pPr>
            <w:r>
              <w:rPr>
                <w:rFonts w:hint="eastAsia" w:ascii="宋体" w:hAnsi="宋体"/>
                <w:color w:val="auto"/>
                <w:szCs w:val="21"/>
                <w:highlight w:val="none"/>
              </w:rPr>
              <w:t>委托代理人负责签订合同的，须携带授权委托书及委托代理人身份证原件等其他资格证件。</w:t>
            </w:r>
          </w:p>
          <w:p w14:paraId="3C82E520">
            <w:pPr>
              <w:snapToGrid w:val="0"/>
              <w:spacing w:line="360" w:lineRule="auto"/>
              <w:rPr>
                <w:rFonts w:ascii="宋体" w:hAnsi="宋体" w:cs="宋体"/>
                <w:color w:val="auto"/>
                <w:szCs w:val="21"/>
                <w:highlight w:val="none"/>
              </w:rPr>
            </w:pPr>
            <w:r>
              <w:rPr>
                <w:rFonts w:hint="eastAsia" w:ascii="宋体" w:hAnsi="宋体"/>
                <w:color w:val="auto"/>
                <w:szCs w:val="21"/>
                <w:highlight w:val="none"/>
              </w:rPr>
              <w:t>法定代表人负责签订合同的，须携带法定代表人</w:t>
            </w:r>
            <w:r>
              <w:rPr>
                <w:rFonts w:ascii="宋体" w:hAnsi="宋体"/>
                <w:color w:val="auto"/>
                <w:szCs w:val="21"/>
                <w:highlight w:val="none"/>
              </w:rPr>
              <w:t>身份证明原件</w:t>
            </w:r>
            <w:r>
              <w:rPr>
                <w:rFonts w:hint="eastAsia" w:ascii="宋体" w:hAnsi="宋体"/>
                <w:color w:val="auto"/>
                <w:szCs w:val="21"/>
                <w:highlight w:val="none"/>
              </w:rPr>
              <w:t>及</w:t>
            </w:r>
            <w:r>
              <w:rPr>
                <w:rFonts w:ascii="宋体" w:hAnsi="宋体"/>
                <w:color w:val="auto"/>
                <w:szCs w:val="21"/>
                <w:highlight w:val="none"/>
              </w:rPr>
              <w:t>身份证原件</w:t>
            </w:r>
            <w:r>
              <w:rPr>
                <w:rFonts w:hint="eastAsia" w:ascii="宋体" w:hAnsi="宋体"/>
                <w:color w:val="auto"/>
                <w:szCs w:val="21"/>
                <w:highlight w:val="none"/>
              </w:rPr>
              <w:t>等其他证明材料。</w:t>
            </w:r>
          </w:p>
        </w:tc>
      </w:tr>
      <w:tr w14:paraId="167AA5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6C754609">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1.2</w:t>
            </w:r>
          </w:p>
        </w:tc>
        <w:tc>
          <w:tcPr>
            <w:tcW w:w="7912" w:type="dxa"/>
            <w:vAlign w:val="center"/>
          </w:tcPr>
          <w:p w14:paraId="113071E7">
            <w:pPr>
              <w:snapToGrid w:val="0"/>
              <w:spacing w:line="360" w:lineRule="auto"/>
              <w:rPr>
                <w:rFonts w:ascii="宋体" w:hAnsi="宋体" w:cs="宋体"/>
                <w:color w:val="auto"/>
                <w:szCs w:val="21"/>
                <w:highlight w:val="none"/>
              </w:rPr>
            </w:pPr>
            <w:r>
              <w:rPr>
                <w:rFonts w:hint="eastAsia" w:ascii="宋体" w:hAnsi="宋体" w:cs="宋体"/>
                <w:color w:val="auto"/>
                <w:szCs w:val="21"/>
                <w:highlight w:val="none"/>
              </w:rPr>
              <w:t>接收质疑函方式：书面形式</w:t>
            </w:r>
          </w:p>
          <w:p w14:paraId="21D271BF">
            <w:pPr>
              <w:pStyle w:val="24"/>
              <w:snapToGrid w:val="0"/>
              <w:spacing w:line="360" w:lineRule="auto"/>
              <w:rPr>
                <w:rFonts w:hAnsi="宋体" w:cs="宋体"/>
                <w:color w:val="auto"/>
                <w:kern w:val="2"/>
                <w:sz w:val="21"/>
                <w:highlight w:val="none"/>
              </w:rPr>
            </w:pPr>
            <w:r>
              <w:rPr>
                <w:rFonts w:hint="eastAsia" w:hAnsi="宋体" w:cs="宋体"/>
                <w:color w:val="auto"/>
                <w:kern w:val="2"/>
                <w:sz w:val="21"/>
                <w:highlight w:val="none"/>
              </w:rPr>
              <w:t>质疑联系部门及联系方式：</w:t>
            </w:r>
            <w:r>
              <w:rPr>
                <w:rFonts w:hint="eastAsia" w:hAnsi="宋体" w:cs="Courier New"/>
                <w:color w:val="auto"/>
                <w:kern w:val="2"/>
                <w:sz w:val="21"/>
                <w:highlight w:val="none"/>
                <w:lang w:eastAsia="zh-CN"/>
              </w:rPr>
              <w:t>广西城建咨询设计有限公司</w:t>
            </w:r>
            <w:r>
              <w:rPr>
                <w:rFonts w:hint="eastAsia" w:hAnsi="宋体" w:cs="Courier New"/>
                <w:color w:val="auto"/>
                <w:kern w:val="2"/>
                <w:sz w:val="21"/>
                <w:highlight w:val="none"/>
              </w:rPr>
              <w:t>，联系电话：</w:t>
            </w:r>
            <w:r>
              <w:rPr>
                <w:rFonts w:hint="eastAsia" w:hAnsi="宋体" w:cs="Courier New"/>
                <w:color w:val="auto"/>
                <w:kern w:val="2"/>
                <w:sz w:val="21"/>
                <w:highlight w:val="none"/>
                <w:lang w:eastAsia="zh-CN"/>
              </w:rPr>
              <w:t>0771-4352069</w:t>
            </w:r>
            <w:r>
              <w:rPr>
                <w:rFonts w:hint="eastAsia" w:hAnsi="宋体" w:cs="Courier New"/>
                <w:color w:val="auto"/>
                <w:kern w:val="2"/>
                <w:sz w:val="21"/>
                <w:highlight w:val="none"/>
              </w:rPr>
              <w:t>，通讯地址：</w:t>
            </w:r>
            <w:r>
              <w:rPr>
                <w:rFonts w:hint="eastAsia" w:hAnsi="宋体"/>
                <w:bCs/>
                <w:color w:val="auto"/>
                <w:sz w:val="21"/>
                <w:highlight w:val="none"/>
                <w:u w:val="single"/>
                <w:lang w:eastAsia="zh-CN"/>
              </w:rPr>
              <w:t>南宁市青秀区金湖路58号广西建设大厦三楼</w:t>
            </w:r>
            <w:r>
              <w:rPr>
                <w:rFonts w:hint="eastAsia" w:hAnsi="宋体"/>
                <w:bCs/>
                <w:color w:val="auto"/>
                <w:sz w:val="21"/>
                <w:highlight w:val="none"/>
              </w:rPr>
              <w:t>。</w:t>
            </w:r>
          </w:p>
          <w:p w14:paraId="641CAEA6">
            <w:pPr>
              <w:autoSpaceDE w:val="0"/>
              <w:autoSpaceDN w:val="0"/>
              <w:snapToGrid w:val="0"/>
              <w:spacing w:line="360" w:lineRule="auto"/>
              <w:textAlignment w:val="bottom"/>
              <w:rPr>
                <w:rFonts w:ascii="宋体" w:hAnsi="宋体"/>
                <w:color w:val="auto"/>
                <w:szCs w:val="21"/>
                <w:highlight w:val="none"/>
              </w:rPr>
            </w:pPr>
            <w:r>
              <w:rPr>
                <w:rFonts w:hint="eastAsia" w:hAnsi="宋体" w:cs="宋体"/>
                <w:color w:val="auto"/>
                <w:kern w:val="0"/>
                <w:highlight w:val="none"/>
              </w:rPr>
              <w:t>业</w:t>
            </w:r>
            <w:r>
              <w:rPr>
                <w:rFonts w:hint="eastAsia" w:ascii="宋体" w:hAnsi="宋体" w:cs="宋体"/>
                <w:color w:val="auto"/>
                <w:kern w:val="0"/>
                <w:highlight w:val="none"/>
              </w:rPr>
              <w:t>务时间：工作日每天上午</w:t>
            </w:r>
            <w:r>
              <w:rPr>
                <w:rFonts w:ascii="宋体" w:hAnsi="宋体" w:cs="宋体"/>
                <w:color w:val="auto"/>
                <w:kern w:val="0"/>
                <w:highlight w:val="none"/>
              </w:rPr>
              <w:t>8</w:t>
            </w:r>
            <w:r>
              <w:rPr>
                <w:rFonts w:hint="eastAsia" w:ascii="宋体" w:hAnsi="宋体" w:cs="宋体"/>
                <w:color w:val="auto"/>
                <w:kern w:val="0"/>
                <w:highlight w:val="none"/>
              </w:rPr>
              <w:t>时</w:t>
            </w:r>
            <w:r>
              <w:rPr>
                <w:rFonts w:hint="eastAsia" w:ascii="宋体" w:hAnsi="宋体" w:cs="宋体"/>
                <w:color w:val="auto"/>
                <w:kern w:val="0"/>
                <w:highlight w:val="none"/>
                <w:lang w:val="en-US" w:eastAsia="zh-CN"/>
              </w:rPr>
              <w:t>3</w:t>
            </w:r>
            <w:r>
              <w:rPr>
                <w:rFonts w:ascii="宋体" w:hAnsi="宋体" w:cs="宋体"/>
                <w:color w:val="auto"/>
                <w:kern w:val="0"/>
                <w:highlight w:val="none"/>
              </w:rPr>
              <w:t>0</w:t>
            </w:r>
            <w:r>
              <w:rPr>
                <w:rFonts w:hint="eastAsia" w:ascii="宋体" w:hAnsi="宋体" w:cs="宋体"/>
                <w:color w:val="auto"/>
                <w:kern w:val="0"/>
                <w:highlight w:val="none"/>
              </w:rPr>
              <w:t>分到</w:t>
            </w:r>
            <w:r>
              <w:rPr>
                <w:rFonts w:ascii="宋体" w:hAnsi="宋体" w:cs="宋体"/>
                <w:color w:val="auto"/>
                <w:kern w:val="0"/>
                <w:highlight w:val="none"/>
              </w:rPr>
              <w:t>12</w:t>
            </w:r>
            <w:r>
              <w:rPr>
                <w:rFonts w:hint="eastAsia" w:ascii="宋体" w:hAnsi="宋体" w:cs="宋体"/>
                <w:color w:val="auto"/>
                <w:kern w:val="0"/>
                <w:highlight w:val="none"/>
              </w:rPr>
              <w:t>时</w:t>
            </w:r>
            <w:r>
              <w:rPr>
                <w:rFonts w:ascii="宋体" w:hAnsi="宋体" w:cs="宋体"/>
                <w:color w:val="auto"/>
                <w:kern w:val="0"/>
                <w:highlight w:val="none"/>
              </w:rPr>
              <w:t>00</w:t>
            </w:r>
            <w:r>
              <w:rPr>
                <w:rFonts w:hint="eastAsia" w:ascii="宋体" w:hAnsi="宋体" w:cs="宋体"/>
                <w:color w:val="auto"/>
                <w:kern w:val="0"/>
                <w:highlight w:val="none"/>
              </w:rPr>
              <w:t>分，下午</w:t>
            </w:r>
            <w:r>
              <w:rPr>
                <w:rFonts w:ascii="宋体" w:hAnsi="宋体" w:cs="宋体"/>
                <w:color w:val="auto"/>
                <w:kern w:val="0"/>
                <w:highlight w:val="none"/>
              </w:rPr>
              <w:t>3</w:t>
            </w:r>
            <w:r>
              <w:rPr>
                <w:rFonts w:hint="eastAsia" w:ascii="宋体" w:hAnsi="宋体" w:cs="宋体"/>
                <w:color w:val="auto"/>
                <w:kern w:val="0"/>
                <w:highlight w:val="none"/>
              </w:rPr>
              <w:t>时</w:t>
            </w:r>
            <w:r>
              <w:rPr>
                <w:rFonts w:ascii="宋体" w:hAnsi="宋体" w:cs="宋体"/>
                <w:color w:val="auto"/>
                <w:kern w:val="0"/>
                <w:highlight w:val="none"/>
              </w:rPr>
              <w:t>00</w:t>
            </w:r>
            <w:r>
              <w:rPr>
                <w:rFonts w:hint="eastAsia" w:ascii="宋体" w:hAnsi="宋体" w:cs="宋体"/>
                <w:color w:val="auto"/>
                <w:kern w:val="0"/>
                <w:highlight w:val="none"/>
              </w:rPr>
              <w:t>分到</w:t>
            </w:r>
            <w:r>
              <w:rPr>
                <w:rFonts w:ascii="宋体" w:hAnsi="宋体" w:cs="宋体"/>
                <w:color w:val="auto"/>
                <w:kern w:val="0"/>
                <w:highlight w:val="none"/>
              </w:rPr>
              <w:t>6</w:t>
            </w:r>
            <w:r>
              <w:rPr>
                <w:rFonts w:hint="eastAsia" w:ascii="宋体" w:hAnsi="宋体" w:cs="宋体"/>
                <w:color w:val="auto"/>
                <w:kern w:val="0"/>
                <w:highlight w:val="none"/>
              </w:rPr>
              <w:t>时</w:t>
            </w:r>
            <w:r>
              <w:rPr>
                <w:rFonts w:ascii="宋体" w:hAnsi="宋体" w:cs="宋体"/>
                <w:color w:val="auto"/>
                <w:kern w:val="0"/>
                <w:highlight w:val="none"/>
              </w:rPr>
              <w:t>00</w:t>
            </w:r>
            <w:r>
              <w:rPr>
                <w:rFonts w:hint="eastAsia" w:ascii="宋体" w:hAnsi="宋体" w:cs="宋体"/>
                <w:color w:val="auto"/>
                <w:kern w:val="0"/>
                <w:highlight w:val="none"/>
              </w:rPr>
              <w:t>分。</w:t>
            </w:r>
          </w:p>
        </w:tc>
      </w:tr>
      <w:tr w14:paraId="15484F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74B05C71">
            <w:pPr>
              <w:spacing w:line="360" w:lineRule="auto"/>
              <w:jc w:val="center"/>
              <w:rPr>
                <w:rFonts w:ascii="宋体" w:hAnsi="宋体" w:cs="宋体"/>
                <w:color w:val="auto"/>
                <w:szCs w:val="21"/>
                <w:highlight w:val="none"/>
              </w:rPr>
            </w:pPr>
            <w:r>
              <w:rPr>
                <w:rFonts w:ascii="宋体" w:hAnsi="宋体" w:cs="宋体"/>
                <w:color w:val="auto"/>
                <w:szCs w:val="21"/>
                <w:highlight w:val="none"/>
              </w:rPr>
              <w:t>32.1</w:t>
            </w:r>
          </w:p>
        </w:tc>
        <w:tc>
          <w:tcPr>
            <w:tcW w:w="7912" w:type="dxa"/>
            <w:vAlign w:val="center"/>
          </w:tcPr>
          <w:p w14:paraId="62619E09">
            <w:pPr>
              <w:pStyle w:val="24"/>
              <w:snapToGrid w:val="0"/>
              <w:spacing w:line="360" w:lineRule="auto"/>
              <w:rPr>
                <w:rFonts w:hAnsi="宋体" w:cs="宋体"/>
                <w:color w:val="auto"/>
                <w:sz w:val="21"/>
                <w:highlight w:val="none"/>
              </w:rPr>
            </w:pPr>
            <w:r>
              <w:rPr>
                <w:rFonts w:hint="eastAsia" w:hAnsi="宋体" w:cs="宋体"/>
                <w:color w:val="auto"/>
                <w:sz w:val="21"/>
                <w:highlight w:val="none"/>
              </w:rPr>
              <w:t>1.采购代理费支付方式：</w:t>
            </w:r>
          </w:p>
          <w:p w14:paraId="4E407F37">
            <w:pPr>
              <w:pStyle w:val="24"/>
              <w:snapToGrid w:val="0"/>
              <w:spacing w:line="360" w:lineRule="auto"/>
              <w:rPr>
                <w:rFonts w:hAnsi="宋体" w:cs="宋体"/>
                <w:color w:val="auto"/>
                <w:sz w:val="21"/>
                <w:highlight w:val="none"/>
              </w:rPr>
            </w:pPr>
            <w:r>
              <w:rPr>
                <w:rFonts w:hint="eastAsia" w:hAnsi="宋体" w:cs="宋体"/>
                <w:color w:val="auto"/>
                <w:sz w:val="21"/>
                <w:highlight w:val="none"/>
              </w:rPr>
              <w:t>本项目代理服务费由</w:t>
            </w:r>
            <w:r>
              <w:rPr>
                <w:rFonts w:hint="eastAsia" w:hAnsi="宋体" w:cs="宋体"/>
                <w:color w:val="auto"/>
                <w:sz w:val="21"/>
                <w:highlight w:val="none"/>
                <w:u w:val="none"/>
              </w:rPr>
              <w:t>成交供应商在</w:t>
            </w:r>
            <w:r>
              <w:rPr>
                <w:rFonts w:hint="eastAsia" w:hAnsi="宋体" w:cs="宋体"/>
                <w:color w:val="auto"/>
                <w:sz w:val="21"/>
                <w:highlight w:val="none"/>
                <w:u w:val="none"/>
                <w:lang w:val="en-US" w:eastAsia="zh-CN"/>
              </w:rPr>
              <w:t>成交</w:t>
            </w:r>
            <w:r>
              <w:rPr>
                <w:rFonts w:hint="eastAsia" w:hAnsi="宋体" w:cs="宋体"/>
                <w:color w:val="auto"/>
                <w:sz w:val="21"/>
                <w:highlight w:val="none"/>
                <w:u w:val="none"/>
              </w:rPr>
              <w:t>结果公告发布后5个工作日内</w:t>
            </w:r>
            <w:r>
              <w:rPr>
                <w:rFonts w:hint="eastAsia" w:hAnsi="宋体" w:cs="宋体"/>
                <w:color w:val="auto"/>
                <w:sz w:val="21"/>
                <w:highlight w:val="none"/>
              </w:rPr>
              <w:t>一次性向采购代理机构支付。</w:t>
            </w:r>
          </w:p>
          <w:p w14:paraId="44E75B89">
            <w:pPr>
              <w:pStyle w:val="24"/>
              <w:snapToGrid w:val="0"/>
              <w:spacing w:line="360" w:lineRule="auto"/>
              <w:rPr>
                <w:rFonts w:hAnsi="宋体" w:cs="宋体"/>
                <w:b w:val="0"/>
                <w:bCs w:val="0"/>
                <w:color w:val="auto"/>
                <w:sz w:val="21"/>
                <w:highlight w:val="none"/>
              </w:rPr>
            </w:pPr>
            <w:r>
              <w:rPr>
                <w:rFonts w:hint="eastAsia" w:hAnsi="宋体" w:cs="宋体"/>
                <w:b w:val="0"/>
                <w:bCs w:val="0"/>
                <w:color w:val="auto"/>
                <w:sz w:val="21"/>
                <w:highlight w:val="none"/>
              </w:rPr>
              <w:t>2.采购代理费收取标准：</w:t>
            </w:r>
          </w:p>
          <w:p w14:paraId="4D423926">
            <w:pPr>
              <w:pStyle w:val="24"/>
              <w:snapToGrid w:val="0"/>
              <w:spacing w:line="360" w:lineRule="auto"/>
              <w:rPr>
                <w:rFonts w:hint="eastAsia" w:hAnsi="宋体" w:eastAsia="宋体" w:cs="宋体"/>
                <w:color w:val="auto"/>
                <w:sz w:val="21"/>
                <w:highlight w:val="none"/>
                <w:lang w:eastAsia="zh-CN"/>
              </w:rPr>
            </w:pPr>
            <w:r>
              <w:rPr>
                <w:rFonts w:hint="eastAsia" w:hAnsi="宋体" w:cs="宋体"/>
                <w:color w:val="auto"/>
                <w:sz w:val="21"/>
                <w:highlight w:val="none"/>
              </w:rPr>
              <w:t>本项目代理服务费以成交金额为基准价，按国家计划委员会计价格[2002]1980号文《招标代理服务收费管理暂行办法》收费标准（</w:t>
            </w:r>
            <w:r>
              <w:rPr>
                <w:rFonts w:hint="eastAsia" w:hAnsi="宋体" w:cs="宋体"/>
                <w:color w:val="auto"/>
                <w:sz w:val="21"/>
                <w:highlight w:val="none"/>
                <w:lang w:val="en-US" w:eastAsia="zh-CN"/>
              </w:rPr>
              <w:t>工程</w:t>
            </w:r>
            <w:r>
              <w:rPr>
                <w:rFonts w:hint="eastAsia" w:hAnsi="宋体" w:cs="宋体"/>
                <w:color w:val="auto"/>
                <w:sz w:val="21"/>
                <w:highlight w:val="none"/>
              </w:rPr>
              <w:t>类）采用差额定率累进计费方式计算</w:t>
            </w:r>
            <w:r>
              <w:rPr>
                <w:rFonts w:hint="eastAsia" w:hAnsi="宋体" w:cs="宋体"/>
                <w:color w:val="auto"/>
                <w:sz w:val="21"/>
                <w:highlight w:val="none"/>
                <w:lang w:eastAsia="zh-CN"/>
              </w:rPr>
              <w:t>。</w:t>
            </w:r>
          </w:p>
          <w:p w14:paraId="56FD0D5B">
            <w:pPr>
              <w:pStyle w:val="24"/>
              <w:snapToGrid w:val="0"/>
              <w:spacing w:line="360" w:lineRule="auto"/>
              <w:rPr>
                <w:rFonts w:hint="eastAsia" w:hAnsi="宋体" w:eastAsia="宋体" w:cs="宋体"/>
                <w:color w:val="auto"/>
                <w:sz w:val="21"/>
                <w:highlight w:val="none"/>
                <w:lang w:eastAsia="zh-CN"/>
              </w:rPr>
            </w:pPr>
            <w:r>
              <w:rPr>
                <w:rFonts w:hint="eastAsia" w:hAnsi="宋体" w:cs="宋体"/>
                <w:color w:val="auto"/>
                <w:sz w:val="21"/>
                <w:highlight w:val="none"/>
              </w:rPr>
              <w:t>3.账户名称：</w:t>
            </w:r>
            <w:r>
              <w:rPr>
                <w:rFonts w:hint="eastAsia" w:hAnsi="宋体" w:cs="宋体"/>
                <w:color w:val="auto"/>
                <w:sz w:val="21"/>
                <w:highlight w:val="none"/>
                <w:lang w:eastAsia="zh-CN"/>
              </w:rPr>
              <w:t>广西城建咨询设计有限公司</w:t>
            </w:r>
          </w:p>
          <w:p w14:paraId="1E882CBD">
            <w:pPr>
              <w:pStyle w:val="24"/>
              <w:snapToGrid w:val="0"/>
              <w:spacing w:line="360" w:lineRule="auto"/>
              <w:rPr>
                <w:rFonts w:hint="eastAsia" w:hAnsi="宋体" w:eastAsia="宋体" w:cs="宋体"/>
                <w:color w:val="auto"/>
                <w:sz w:val="21"/>
                <w:highlight w:val="none"/>
                <w:lang w:eastAsia="zh-CN"/>
              </w:rPr>
            </w:pPr>
            <w:r>
              <w:rPr>
                <w:rFonts w:hint="eastAsia" w:hAnsi="宋体" w:cs="宋体"/>
                <w:color w:val="auto"/>
                <w:sz w:val="21"/>
                <w:highlight w:val="none"/>
              </w:rPr>
              <w:t>开户银行：</w:t>
            </w:r>
            <w:r>
              <w:rPr>
                <w:rFonts w:hint="eastAsia" w:hAnsi="宋体" w:cs="宋体"/>
                <w:color w:val="auto"/>
                <w:sz w:val="21"/>
                <w:highlight w:val="none"/>
                <w:lang w:eastAsia="zh-CN"/>
              </w:rPr>
              <w:t>建设银行南宁锦春支行</w:t>
            </w:r>
          </w:p>
          <w:p w14:paraId="5F41F2FB">
            <w:pPr>
              <w:pStyle w:val="24"/>
              <w:snapToGrid w:val="0"/>
              <w:spacing w:line="360" w:lineRule="auto"/>
              <w:rPr>
                <w:rFonts w:hint="eastAsia" w:hAnsi="宋体" w:eastAsia="宋体" w:cs="宋体"/>
                <w:color w:val="auto"/>
                <w:sz w:val="21"/>
                <w:highlight w:val="none"/>
                <w:lang w:eastAsia="zh-CN"/>
              </w:rPr>
            </w:pPr>
            <w:r>
              <w:rPr>
                <w:rFonts w:hint="eastAsia" w:hAnsi="宋体" w:cs="宋体"/>
                <w:color w:val="auto"/>
                <w:sz w:val="21"/>
                <w:highlight w:val="none"/>
              </w:rPr>
              <w:t>银行账号：</w:t>
            </w:r>
            <w:r>
              <w:rPr>
                <w:rFonts w:hint="eastAsia" w:hAnsi="宋体" w:cs="宋体"/>
                <w:color w:val="auto"/>
                <w:sz w:val="21"/>
                <w:highlight w:val="none"/>
                <w:lang w:eastAsia="zh-CN"/>
              </w:rPr>
              <w:t>4505 0160 4783 0000 0080</w:t>
            </w:r>
          </w:p>
        </w:tc>
      </w:tr>
      <w:tr w14:paraId="6166DA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268732EB">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3.1</w:t>
            </w:r>
          </w:p>
        </w:tc>
        <w:tc>
          <w:tcPr>
            <w:tcW w:w="7912" w:type="dxa"/>
            <w:vAlign w:val="center"/>
          </w:tcPr>
          <w:p w14:paraId="36AEA801">
            <w:pPr>
              <w:pStyle w:val="24"/>
              <w:snapToGrid w:val="0"/>
              <w:spacing w:line="360" w:lineRule="auto"/>
              <w:rPr>
                <w:rFonts w:hAnsi="宋体" w:cs="宋体"/>
                <w:color w:val="auto"/>
                <w:kern w:val="2"/>
                <w:sz w:val="21"/>
                <w:highlight w:val="none"/>
              </w:rPr>
            </w:pPr>
            <w:r>
              <w:rPr>
                <w:rFonts w:hint="eastAsia" w:hAnsi="宋体"/>
                <w:color w:val="auto"/>
                <w:sz w:val="21"/>
                <w:highlight w:val="none"/>
              </w:rPr>
              <w:t>解释：</w:t>
            </w:r>
            <w:r>
              <w:rPr>
                <w:rFonts w:hAnsi="宋体"/>
                <w:color w:val="auto"/>
                <w:sz w:val="21"/>
                <w:highlight w:val="none"/>
              </w:rPr>
              <w:t>构成本</w:t>
            </w:r>
            <w:r>
              <w:rPr>
                <w:rFonts w:hint="eastAsia" w:hAnsi="宋体"/>
                <w:color w:val="auto"/>
                <w:sz w:val="21"/>
                <w:highlight w:val="none"/>
              </w:rPr>
              <w:t>磋商文件</w:t>
            </w:r>
            <w:r>
              <w:rPr>
                <w:rFonts w:hAnsi="宋体"/>
                <w:color w:val="auto"/>
                <w:sz w:val="21"/>
                <w:highlight w:val="none"/>
              </w:rPr>
              <w:t>的各个组成文件应互为解释，互为说明；除</w:t>
            </w:r>
            <w:r>
              <w:rPr>
                <w:rFonts w:hint="eastAsia" w:hAnsi="宋体"/>
                <w:color w:val="auto"/>
                <w:sz w:val="21"/>
                <w:highlight w:val="none"/>
              </w:rPr>
              <w:t>磋商文件</w:t>
            </w:r>
            <w:r>
              <w:rPr>
                <w:rFonts w:hAnsi="宋体"/>
                <w:color w:val="auto"/>
                <w:sz w:val="21"/>
                <w:highlight w:val="none"/>
              </w:rPr>
              <w:t>中有特别规定外，仅适用于</w:t>
            </w:r>
            <w:r>
              <w:rPr>
                <w:rFonts w:hint="eastAsia" w:hAnsi="宋体"/>
                <w:color w:val="auto"/>
                <w:sz w:val="21"/>
                <w:highlight w:val="none"/>
              </w:rPr>
              <w:t>竞标</w:t>
            </w:r>
            <w:r>
              <w:rPr>
                <w:rFonts w:hAnsi="宋体"/>
                <w:color w:val="auto"/>
                <w:sz w:val="21"/>
                <w:highlight w:val="none"/>
              </w:rPr>
              <w:t>阶段的规定，按</w:t>
            </w:r>
            <w:r>
              <w:rPr>
                <w:rFonts w:hint="eastAsia" w:hAnsi="宋体"/>
                <w:color w:val="auto"/>
                <w:sz w:val="21"/>
                <w:highlight w:val="none"/>
              </w:rPr>
              <w:t>更正公告（澄清公告）</w:t>
            </w:r>
            <w:r>
              <w:rPr>
                <w:rFonts w:hAnsi="宋体"/>
                <w:color w:val="auto"/>
                <w:sz w:val="21"/>
                <w:highlight w:val="none"/>
              </w:rPr>
              <w:t>、</w:t>
            </w:r>
            <w:r>
              <w:rPr>
                <w:rFonts w:hint="eastAsia" w:hAnsi="宋体"/>
                <w:color w:val="auto"/>
                <w:sz w:val="21"/>
                <w:highlight w:val="none"/>
              </w:rPr>
              <w:t>竞争性磋商</w:t>
            </w:r>
            <w:r>
              <w:rPr>
                <w:rFonts w:hAnsi="宋体"/>
                <w:color w:val="auto"/>
                <w:sz w:val="21"/>
                <w:highlight w:val="none"/>
              </w:rPr>
              <w:t>公告、</w:t>
            </w:r>
            <w:r>
              <w:rPr>
                <w:rFonts w:hint="eastAsia" w:hAnsi="宋体"/>
                <w:color w:val="auto"/>
                <w:sz w:val="21"/>
                <w:highlight w:val="none"/>
              </w:rPr>
              <w:t>供应商</w:t>
            </w:r>
            <w:r>
              <w:rPr>
                <w:rFonts w:hAnsi="宋体"/>
                <w:color w:val="auto"/>
                <w:sz w:val="21"/>
                <w:highlight w:val="none"/>
              </w:rPr>
              <w:t>须知</w:t>
            </w:r>
            <w:r>
              <w:rPr>
                <w:rFonts w:hint="eastAsia" w:hAnsi="宋体"/>
                <w:color w:val="auto"/>
                <w:sz w:val="21"/>
                <w:highlight w:val="none"/>
              </w:rPr>
              <w:t>、采购需求</w:t>
            </w:r>
            <w:r>
              <w:rPr>
                <w:rFonts w:hAnsi="宋体"/>
                <w:color w:val="auto"/>
                <w:sz w:val="21"/>
                <w:highlight w:val="none"/>
              </w:rPr>
              <w:t>、</w:t>
            </w:r>
            <w:r>
              <w:rPr>
                <w:rFonts w:hint="eastAsia"/>
                <w:color w:val="auto"/>
                <w:sz w:val="21"/>
                <w:highlight w:val="none"/>
              </w:rPr>
              <w:t>评审程序、评审方法和评审标准</w:t>
            </w:r>
            <w:r>
              <w:rPr>
                <w:rFonts w:hAnsi="宋体"/>
                <w:color w:val="auto"/>
                <w:sz w:val="21"/>
                <w:highlight w:val="none"/>
              </w:rPr>
              <w:t>、</w:t>
            </w:r>
            <w:r>
              <w:rPr>
                <w:rFonts w:hint="eastAsia" w:hAnsi="宋体"/>
                <w:color w:val="auto"/>
                <w:sz w:val="21"/>
                <w:highlight w:val="none"/>
              </w:rPr>
              <w:t>响应</w:t>
            </w:r>
            <w:r>
              <w:rPr>
                <w:rFonts w:hAnsi="宋体"/>
                <w:color w:val="auto"/>
                <w:sz w:val="21"/>
                <w:highlight w:val="none"/>
              </w:rPr>
              <w:t>文件格式</w:t>
            </w:r>
            <w:r>
              <w:rPr>
                <w:rFonts w:hint="eastAsia" w:hAnsi="宋体"/>
                <w:color w:val="auto"/>
                <w:sz w:val="21"/>
                <w:highlight w:val="none"/>
              </w:rPr>
              <w:t>、合同文本</w:t>
            </w:r>
            <w:r>
              <w:rPr>
                <w:rFonts w:hAnsi="宋体"/>
                <w:color w:val="auto"/>
                <w:sz w:val="21"/>
                <w:highlight w:val="none"/>
              </w:rPr>
              <w:t>的先后顺序解释；同一组成文件中就同一事项的规定或者约定不一致的，以编排顺序在后者为准；同一组成文件不同版本之间有不一致的，以形成时间在后者为准；</w:t>
            </w:r>
            <w:r>
              <w:rPr>
                <w:rFonts w:hint="eastAsia" w:hAnsi="宋体"/>
                <w:color w:val="auto"/>
                <w:sz w:val="21"/>
                <w:highlight w:val="none"/>
              </w:rPr>
              <w:t>更正公告（澄清公告）</w:t>
            </w:r>
            <w:r>
              <w:rPr>
                <w:rFonts w:hAnsi="宋体"/>
                <w:color w:val="auto"/>
                <w:sz w:val="21"/>
                <w:highlight w:val="none"/>
              </w:rPr>
              <w:t>与同步更新的</w:t>
            </w:r>
            <w:r>
              <w:rPr>
                <w:rFonts w:hint="eastAsia" w:hAnsi="宋体"/>
                <w:color w:val="auto"/>
                <w:sz w:val="21"/>
                <w:highlight w:val="none"/>
              </w:rPr>
              <w:t>磋商文件</w:t>
            </w:r>
            <w:r>
              <w:rPr>
                <w:rFonts w:hAnsi="宋体"/>
                <w:color w:val="auto"/>
                <w:sz w:val="21"/>
                <w:highlight w:val="none"/>
              </w:rPr>
              <w:t>不一致时以</w:t>
            </w:r>
            <w:r>
              <w:rPr>
                <w:rFonts w:hint="eastAsia" w:hAnsi="宋体"/>
                <w:color w:val="auto"/>
                <w:sz w:val="21"/>
                <w:highlight w:val="none"/>
              </w:rPr>
              <w:t>更正公告（澄清公告）</w:t>
            </w:r>
            <w:r>
              <w:rPr>
                <w:rFonts w:hAnsi="宋体"/>
                <w:color w:val="auto"/>
                <w:sz w:val="21"/>
                <w:highlight w:val="none"/>
              </w:rPr>
              <w:t>为准。按本款前述规定仍不能形成结论的，由</w:t>
            </w:r>
            <w:r>
              <w:rPr>
                <w:rFonts w:hint="eastAsia" w:hAnsi="宋体"/>
                <w:color w:val="auto"/>
                <w:sz w:val="21"/>
                <w:highlight w:val="none"/>
              </w:rPr>
              <w:t>采购</w:t>
            </w:r>
            <w:r>
              <w:rPr>
                <w:rFonts w:hAnsi="宋体"/>
                <w:color w:val="auto"/>
                <w:sz w:val="21"/>
                <w:highlight w:val="none"/>
              </w:rPr>
              <w:t>人</w:t>
            </w:r>
            <w:r>
              <w:rPr>
                <w:rFonts w:hint="eastAsia" w:hAnsi="宋体"/>
                <w:color w:val="auto"/>
                <w:sz w:val="21"/>
                <w:highlight w:val="none"/>
              </w:rPr>
              <w:t>或者采购代理机构</w:t>
            </w:r>
            <w:r>
              <w:rPr>
                <w:rFonts w:hAnsi="宋体"/>
                <w:color w:val="auto"/>
                <w:sz w:val="21"/>
                <w:highlight w:val="none"/>
              </w:rPr>
              <w:t>负责解释。</w:t>
            </w:r>
          </w:p>
        </w:tc>
      </w:tr>
      <w:tr w14:paraId="6796D0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02C4D18B">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33.2</w:t>
            </w:r>
          </w:p>
        </w:tc>
        <w:tc>
          <w:tcPr>
            <w:tcW w:w="7912" w:type="dxa"/>
            <w:vAlign w:val="center"/>
          </w:tcPr>
          <w:p w14:paraId="72E25699">
            <w:pPr>
              <w:pStyle w:val="24"/>
              <w:snapToGrid w:val="0"/>
              <w:spacing w:line="360" w:lineRule="auto"/>
              <w:rPr>
                <w:rFonts w:hAnsi="宋体"/>
                <w:color w:val="auto"/>
                <w:sz w:val="21"/>
                <w:highlight w:val="none"/>
              </w:rPr>
            </w:pPr>
            <w:r>
              <w:rPr>
                <w:rFonts w:hint="eastAsia" w:hAnsi="宋体"/>
                <w:color w:val="auto"/>
                <w:sz w:val="21"/>
                <w:highlight w:val="none"/>
              </w:rPr>
              <w:t>农民工工资保证金：按照《保障农民工工资支付条例》及《广西壮族自治区人力资源和社会保障厅等8部门关于印发广西壮族自治区工程建设领域农民工工资专用账户管理暂行办法实施细则的通知》（桂人社规〔2022〕5号）有关规定执行。如开设了农民工工资专用账户的，应按规定比例足额将农民工工资保证金存入帐户，也可以使用银行保函。工程竣工验收结算经审定后，按照规定程序，将农民工工资保证金没有使用或剩余的金额退还给承包人。</w:t>
            </w:r>
          </w:p>
        </w:tc>
      </w:tr>
      <w:tr w14:paraId="736DD4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510081CC">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3.</w:t>
            </w:r>
            <w:r>
              <w:rPr>
                <w:rFonts w:hint="eastAsia" w:ascii="宋体" w:hAnsi="宋体" w:cs="宋体"/>
                <w:color w:val="auto"/>
                <w:szCs w:val="21"/>
                <w:highlight w:val="none"/>
              </w:rPr>
              <w:t>3</w:t>
            </w:r>
          </w:p>
        </w:tc>
        <w:tc>
          <w:tcPr>
            <w:tcW w:w="7912" w:type="dxa"/>
            <w:vAlign w:val="center"/>
          </w:tcPr>
          <w:p w14:paraId="3F726A06">
            <w:pPr>
              <w:pStyle w:val="24"/>
              <w:snapToGrid w:val="0"/>
              <w:spacing w:line="360" w:lineRule="auto"/>
              <w:rPr>
                <w:rFonts w:hAnsi="宋体" w:cs="宋体"/>
                <w:color w:val="auto"/>
                <w:sz w:val="21"/>
                <w:highlight w:val="none"/>
              </w:rPr>
            </w:pPr>
            <w:r>
              <w:rPr>
                <w:rFonts w:hint="eastAsia" w:hAnsi="宋体" w:cs="宋体"/>
                <w:color w:val="auto"/>
                <w:sz w:val="21"/>
                <w:highlight w:val="none"/>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11D784E4">
            <w:pPr>
              <w:pStyle w:val="24"/>
              <w:snapToGrid w:val="0"/>
              <w:spacing w:line="360" w:lineRule="auto"/>
              <w:rPr>
                <w:rFonts w:hAnsi="宋体" w:cs="宋体"/>
                <w:color w:val="auto"/>
                <w:sz w:val="21"/>
                <w:highlight w:val="none"/>
              </w:rPr>
            </w:pPr>
            <w:r>
              <w:rPr>
                <w:rFonts w:hint="eastAsia" w:hAnsi="宋体" w:cs="宋体"/>
                <w:bCs/>
                <w:color w:val="auto"/>
                <w:sz w:val="21"/>
                <w:highlight w:val="none"/>
              </w:rPr>
              <w:t>2.本磋商文件所称的“</w:t>
            </w:r>
            <w:r>
              <w:rPr>
                <w:rFonts w:hint="eastAsia" w:hAnsi="宋体"/>
                <w:color w:val="auto"/>
                <w:sz w:val="21"/>
                <w:highlight w:val="none"/>
              </w:rPr>
              <w:t>电子签章</w:t>
            </w:r>
            <w:r>
              <w:rPr>
                <w:rFonts w:hint="eastAsia" w:hAnsi="宋体" w:cs="宋体"/>
                <w:bCs/>
                <w:color w:val="auto"/>
                <w:sz w:val="21"/>
                <w:highlight w:val="none"/>
              </w:rPr>
              <w:t>”、“电子签名”</w:t>
            </w:r>
            <w:r>
              <w:rPr>
                <w:rFonts w:hint="eastAsia" w:hAnsi="宋体"/>
                <w:color w:val="auto"/>
                <w:sz w:val="21"/>
                <w:highlight w:val="none"/>
              </w:rPr>
              <w:t>，是指经广西政府采购云平台认可的CA认证的电子签名数据为表现形式的印章，可用于签署电子响应文件，电子印章与实物印章具有同等法律效力，不因其采用电子化表现形式而否定其法律效力。</w:t>
            </w:r>
          </w:p>
          <w:p w14:paraId="51DA229F">
            <w:pPr>
              <w:pStyle w:val="24"/>
              <w:snapToGrid w:val="0"/>
              <w:spacing w:line="360" w:lineRule="auto"/>
              <w:rPr>
                <w:rFonts w:hAnsi="宋体" w:cs="宋体"/>
                <w:bCs/>
                <w:color w:val="auto"/>
                <w:sz w:val="21"/>
                <w:highlight w:val="none"/>
              </w:rPr>
            </w:pPr>
            <w:r>
              <w:rPr>
                <w:rFonts w:hAnsi="宋体" w:cs="宋体"/>
                <w:color w:val="auto"/>
                <w:sz w:val="21"/>
                <w:highlight w:val="none"/>
              </w:rPr>
              <w:t>3</w:t>
            </w:r>
            <w:r>
              <w:rPr>
                <w:rFonts w:hint="eastAsia" w:hAnsi="宋体" w:cs="宋体"/>
                <w:color w:val="auto"/>
                <w:sz w:val="21"/>
                <w:highlight w:val="none"/>
              </w:rPr>
              <w:t>.供应商为其他组织时，本磋商文件规定的法定代表人指负责人。本磋商文件所称负责人是指参加竞标的其他组织</w:t>
            </w:r>
            <w:r>
              <w:rPr>
                <w:rFonts w:hint="eastAsia" w:hAnsi="宋体" w:cs="宋体"/>
                <w:bCs/>
                <w:color w:val="auto"/>
                <w:sz w:val="21"/>
                <w:highlight w:val="none"/>
              </w:rPr>
              <w:t>营业执照或者执业许可证等证照上的</w:t>
            </w:r>
            <w:r>
              <w:rPr>
                <w:rFonts w:hint="eastAsia" w:hAnsi="宋体" w:cs="宋体"/>
                <w:color w:val="auto"/>
                <w:sz w:val="21"/>
                <w:highlight w:val="none"/>
              </w:rPr>
              <w:t>负责人</w:t>
            </w:r>
            <w:r>
              <w:rPr>
                <w:rFonts w:hint="eastAsia" w:hAnsi="宋体" w:cs="宋体"/>
                <w:bCs/>
                <w:color w:val="auto"/>
                <w:sz w:val="21"/>
                <w:highlight w:val="none"/>
              </w:rPr>
              <w:t>。</w:t>
            </w:r>
          </w:p>
          <w:p w14:paraId="6F231CAF">
            <w:pPr>
              <w:pStyle w:val="24"/>
              <w:snapToGrid w:val="0"/>
              <w:spacing w:line="360" w:lineRule="auto"/>
              <w:rPr>
                <w:rFonts w:hAnsi="宋体" w:cs="宋体"/>
                <w:color w:val="auto"/>
                <w:sz w:val="21"/>
                <w:highlight w:val="none"/>
              </w:rPr>
            </w:pPr>
            <w:r>
              <w:rPr>
                <w:rFonts w:hAnsi="宋体" w:cs="宋体"/>
                <w:color w:val="auto"/>
                <w:sz w:val="21"/>
                <w:highlight w:val="none"/>
              </w:rPr>
              <w:t>4.</w:t>
            </w:r>
            <w:r>
              <w:rPr>
                <w:rFonts w:hint="eastAsia" w:hAnsi="宋体" w:cs="宋体"/>
                <w:color w:val="auto"/>
                <w:sz w:val="21"/>
                <w:highlight w:val="none"/>
              </w:rPr>
              <w:t>本磋商文件中描述供应商的“签字”是指供应商的法定代表人或者委托代理人亲自在文件规定签署处亲笔写上个人的名字的行为，私章、签字章、印鉴、影印等其他形式均不能代替亲笔签字。</w:t>
            </w:r>
          </w:p>
          <w:p w14:paraId="77D9D708">
            <w:pPr>
              <w:pStyle w:val="24"/>
              <w:snapToGrid w:val="0"/>
              <w:spacing w:line="360" w:lineRule="auto"/>
              <w:rPr>
                <w:rFonts w:hAnsi="宋体" w:cs="宋体"/>
                <w:color w:val="auto"/>
                <w:sz w:val="21"/>
                <w:highlight w:val="none"/>
              </w:rPr>
            </w:pPr>
            <w:r>
              <w:rPr>
                <w:rFonts w:hint="eastAsia" w:hAnsi="宋体" w:cs="宋体"/>
                <w:color w:val="auto"/>
                <w:sz w:val="21"/>
                <w:highlight w:val="none"/>
              </w:rPr>
              <w:t>5</w:t>
            </w:r>
            <w:r>
              <w:rPr>
                <w:rFonts w:hAnsi="宋体" w:cs="宋体"/>
                <w:color w:val="auto"/>
                <w:sz w:val="21"/>
                <w:highlight w:val="none"/>
              </w:rPr>
              <w:t>.</w:t>
            </w:r>
            <w:r>
              <w:rPr>
                <w:rFonts w:hint="eastAsia" w:hAnsi="宋体" w:cs="宋体"/>
                <w:color w:val="auto"/>
                <w:sz w:val="21"/>
                <w:highlight w:val="none"/>
              </w:rPr>
              <w:t>本磋商文件所称的“以上”“以下”“以内”“届满”，包括本数；所称的“不满”“超过”“以外”，不包括本数。</w:t>
            </w:r>
          </w:p>
        </w:tc>
      </w:tr>
    </w:tbl>
    <w:p w14:paraId="139A10A0">
      <w:pPr>
        <w:spacing w:line="400" w:lineRule="exact"/>
        <w:jc w:val="center"/>
        <w:rPr>
          <w:rFonts w:ascii="宋体" w:hAnsi="宋体"/>
          <w:b/>
          <w:color w:val="auto"/>
          <w:sz w:val="32"/>
          <w:szCs w:val="32"/>
          <w:highlight w:val="none"/>
        </w:rPr>
      </w:pPr>
      <w:r>
        <w:rPr>
          <w:rFonts w:ascii="宋体" w:hAnsi="宋体"/>
          <w:b/>
          <w:color w:val="auto"/>
          <w:sz w:val="32"/>
          <w:szCs w:val="32"/>
          <w:highlight w:val="none"/>
        </w:rPr>
        <w:br w:type="page"/>
      </w:r>
      <w:r>
        <w:rPr>
          <w:rFonts w:hint="eastAsia" w:ascii="宋体" w:hAnsi="宋体"/>
          <w:b/>
          <w:color w:val="auto"/>
          <w:sz w:val="32"/>
          <w:szCs w:val="32"/>
          <w:highlight w:val="none"/>
        </w:rPr>
        <w:t>供应商须知正文</w:t>
      </w:r>
    </w:p>
    <w:p w14:paraId="36F6E7ED">
      <w:pPr>
        <w:spacing w:line="400" w:lineRule="exact"/>
        <w:jc w:val="center"/>
        <w:rPr>
          <w:rFonts w:ascii="宋体" w:hAnsi="宋体"/>
          <w:b/>
          <w:color w:val="auto"/>
          <w:sz w:val="32"/>
          <w:szCs w:val="32"/>
          <w:highlight w:val="none"/>
        </w:rPr>
      </w:pPr>
    </w:p>
    <w:p w14:paraId="7DC37DC8">
      <w:pPr>
        <w:spacing w:line="400" w:lineRule="exact"/>
        <w:jc w:val="center"/>
        <w:rPr>
          <w:rFonts w:ascii="宋体" w:hAnsi="宋体"/>
          <w:b/>
          <w:color w:val="auto"/>
          <w:sz w:val="32"/>
          <w:szCs w:val="32"/>
          <w:highlight w:val="none"/>
        </w:rPr>
      </w:pPr>
      <w:r>
        <w:rPr>
          <w:rFonts w:hint="eastAsia" w:ascii="宋体" w:hAnsi="宋体"/>
          <w:b/>
          <w:color w:val="auto"/>
          <w:sz w:val="32"/>
          <w:szCs w:val="32"/>
          <w:highlight w:val="none"/>
        </w:rPr>
        <w:t>一、总则</w:t>
      </w:r>
    </w:p>
    <w:p w14:paraId="72F1EB1F">
      <w:pPr>
        <w:spacing w:line="400" w:lineRule="exact"/>
        <w:rPr>
          <w:rFonts w:ascii="宋体" w:hAnsi="宋体"/>
          <w:color w:val="auto"/>
          <w:szCs w:val="21"/>
          <w:highlight w:val="none"/>
        </w:rPr>
      </w:pPr>
    </w:p>
    <w:p w14:paraId="40986F62">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1.适用范围</w:t>
      </w:r>
    </w:p>
    <w:p w14:paraId="630AF21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1.1本项目采购人、采购代理机构、供应商、磋商小组的相关行为均受《中华人民共和国政府采购法》《中华人民共和国政府采购法实施条例》</w:t>
      </w:r>
      <w:r>
        <w:rPr>
          <w:rFonts w:hint="eastAsia" w:ascii="宋体" w:hAnsi="宋体"/>
          <w:color w:val="auto"/>
          <w:szCs w:val="21"/>
          <w:highlight w:val="none"/>
        </w:rPr>
        <w:t>《政府采购竞争性磋商采购方式管理暂行办法》《财政部关于政府采购竞争性磋商采购方式管理暂行办法有关问题的补充通知》</w:t>
      </w:r>
      <w:r>
        <w:rPr>
          <w:rFonts w:hint="eastAsia" w:ascii="宋体" w:hAnsi="宋体" w:cs="宋体"/>
          <w:color w:val="auto"/>
          <w:szCs w:val="21"/>
          <w:highlight w:val="none"/>
        </w:rPr>
        <w:t>及本项目本级和上级财政部门政府采购有关规定的约束和保护。</w:t>
      </w:r>
    </w:p>
    <w:p w14:paraId="5E7766E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1.2本竞争性磋商文件（以下简称磋商文件）适用于本项目的所有采购程序和环节（法律、法规另有规定的，从其规定）</w:t>
      </w:r>
      <w:r>
        <w:rPr>
          <w:rFonts w:hint="eastAsia" w:ascii="宋体" w:hAnsi="宋体" w:cs="宋体"/>
          <w:color w:val="auto"/>
          <w:spacing w:val="-6"/>
          <w:szCs w:val="21"/>
          <w:highlight w:val="none"/>
        </w:rPr>
        <w:t>。</w:t>
      </w:r>
    </w:p>
    <w:p w14:paraId="6A61E5FA">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2.定义</w:t>
      </w:r>
    </w:p>
    <w:p w14:paraId="35E9BD4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2.1“采购人”是指依法进行政府采购的国家机关、事业单位、团体组织。</w:t>
      </w:r>
    </w:p>
    <w:p w14:paraId="24003B70">
      <w:pPr>
        <w:spacing w:line="360" w:lineRule="auto"/>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2.2“采购代理机构”是指政府采购集中采购机构和集中采购机构以外的采购代理机构。</w:t>
      </w:r>
    </w:p>
    <w:p w14:paraId="7FEF630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2.3“供应商”是指向采购人提供货物、工程或者服务的法人、其他组织或者自然人。</w:t>
      </w:r>
    </w:p>
    <w:p w14:paraId="7C22D436">
      <w:pPr>
        <w:spacing w:line="360" w:lineRule="auto"/>
        <w:ind w:firstLine="420" w:firstLineChars="200"/>
        <w:rPr>
          <w:rFonts w:ascii="宋体" w:hAnsi="宋体" w:cs="宋体"/>
          <w:color w:val="auto"/>
          <w:szCs w:val="21"/>
          <w:highlight w:val="none"/>
        </w:rPr>
      </w:pPr>
      <w:r>
        <w:rPr>
          <w:rFonts w:hint="eastAsia" w:ascii="宋体" w:hAnsi="宋体"/>
          <w:color w:val="auto"/>
          <w:szCs w:val="21"/>
          <w:highlight w:val="none"/>
        </w:rPr>
        <w:t>2.4“工程”是指建设工程，包括建筑物和构筑物的新建、改建、扩建、装修、拆除、修缮等。</w:t>
      </w:r>
    </w:p>
    <w:p w14:paraId="5E1F92F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5</w:t>
      </w:r>
      <w:r>
        <w:rPr>
          <w:rFonts w:hint="eastAsia" w:ascii="宋体" w:hAnsi="宋体" w:cs="宋体"/>
          <w:color w:val="auto"/>
          <w:szCs w:val="21"/>
          <w:highlight w:val="none"/>
        </w:rPr>
        <w:t>“竞标”是指供应商按照本项目竞争性磋商公告或者邀请函规定的方式获取磋商文件、提交响应文件并希望获得标的的行为。</w:t>
      </w:r>
    </w:p>
    <w:p w14:paraId="5263E064">
      <w:pPr>
        <w:spacing w:line="360" w:lineRule="auto"/>
        <w:ind w:firstLine="420" w:firstLineChars="200"/>
        <w:contextualSpacing/>
        <w:rPr>
          <w:rFonts w:ascii="宋体" w:hAnsi="宋体" w:cs="宋体"/>
          <w:color w:val="auto"/>
          <w:szCs w:val="21"/>
          <w:highlight w:val="none"/>
        </w:rPr>
      </w:pPr>
      <w:r>
        <w:rPr>
          <w:rFonts w:hint="eastAsia" w:ascii="宋体" w:hAnsi="宋体" w:cs="宋体"/>
          <w:color w:val="auto"/>
          <w:szCs w:val="21"/>
          <w:highlight w:val="none"/>
        </w:rPr>
        <w:t>2.6“书面形式”是指合同书、信件和数据电文（包括电报、电传、传真、电子数据交换和电子邮件）等可以有形地表现所载内容的形式。</w:t>
      </w:r>
    </w:p>
    <w:p w14:paraId="619A98A7">
      <w:pPr>
        <w:spacing w:line="360" w:lineRule="auto"/>
        <w:ind w:firstLine="420" w:firstLineChars="200"/>
        <w:contextualSpacing/>
        <w:rPr>
          <w:rFonts w:ascii="宋体" w:hAnsi="宋体" w:cs="宋体"/>
          <w:color w:val="auto"/>
          <w:szCs w:val="21"/>
          <w:highlight w:val="none"/>
        </w:rPr>
      </w:pPr>
      <w:r>
        <w:rPr>
          <w:rFonts w:hint="eastAsia" w:ascii="宋体" w:hAnsi="宋体" w:cs="宋体"/>
          <w:color w:val="auto"/>
          <w:szCs w:val="21"/>
          <w:highlight w:val="none"/>
        </w:rPr>
        <w:t>2.7“响应文件”是指：供应商根据本磋商文件要求，编制包含资格证明、报价、商务技术等所有内容的文件</w:t>
      </w:r>
      <w:r>
        <w:rPr>
          <w:rFonts w:hint="eastAsia" w:ascii="宋体" w:hAnsi="宋体" w:cs="宋体"/>
          <w:color w:val="auto"/>
          <w:spacing w:val="-6"/>
          <w:szCs w:val="21"/>
          <w:highlight w:val="none"/>
        </w:rPr>
        <w:t>。</w:t>
      </w:r>
    </w:p>
    <w:p w14:paraId="1D926367">
      <w:pPr>
        <w:spacing w:line="360" w:lineRule="auto"/>
        <w:ind w:firstLine="420" w:firstLineChars="200"/>
        <w:contextualSpacing/>
        <w:rPr>
          <w:rFonts w:ascii="宋体" w:hAnsi="宋体" w:cs="宋体"/>
          <w:color w:val="auto"/>
          <w:szCs w:val="21"/>
          <w:highlight w:val="none"/>
        </w:rPr>
      </w:pPr>
      <w:r>
        <w:rPr>
          <w:rFonts w:hint="eastAsia" w:ascii="宋体" w:hAnsi="宋体" w:cs="宋体"/>
          <w:color w:val="auto"/>
          <w:szCs w:val="21"/>
          <w:highlight w:val="none"/>
        </w:rPr>
        <w:t>2.8“实质性要求”是指磋商文件中已经指明不满足则响应文件按无效处理的条款，或者不能负偏离的条款，或者采购需求中带“▲”的条款。</w:t>
      </w:r>
    </w:p>
    <w:p w14:paraId="2FF82FF3">
      <w:pPr>
        <w:spacing w:line="360" w:lineRule="auto"/>
        <w:ind w:firstLine="420" w:firstLineChars="200"/>
        <w:contextualSpacing/>
        <w:rPr>
          <w:rFonts w:ascii="宋体" w:hAnsi="宋体" w:cs="宋体"/>
          <w:color w:val="auto"/>
          <w:szCs w:val="21"/>
          <w:highlight w:val="none"/>
        </w:rPr>
      </w:pPr>
      <w:r>
        <w:rPr>
          <w:rFonts w:hint="eastAsia" w:ascii="宋体" w:hAnsi="宋体" w:cs="宋体"/>
          <w:color w:val="auto"/>
          <w:szCs w:val="21"/>
          <w:highlight w:val="none"/>
        </w:rPr>
        <w:t>2.9“正偏离”，是指响应文件对磋商文件“采购需求”中有关条款作出的响应优于条款要求并有利于采购人的情形。</w:t>
      </w:r>
    </w:p>
    <w:p w14:paraId="602FB9C8">
      <w:pPr>
        <w:spacing w:line="360" w:lineRule="auto"/>
        <w:ind w:firstLine="420" w:firstLineChars="200"/>
        <w:contextualSpacing/>
        <w:rPr>
          <w:rFonts w:ascii="宋体" w:hAnsi="宋体" w:cs="宋体"/>
          <w:color w:val="auto"/>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10“负偏离”，是指响应文件对磋商文件“采购需求”中有关条款作出的响应不满足条款要求，导致采购人要求不能得到满足的情形。</w:t>
      </w:r>
    </w:p>
    <w:p w14:paraId="463E3FDE">
      <w:pPr>
        <w:spacing w:line="360" w:lineRule="auto"/>
        <w:ind w:firstLine="420" w:firstLineChars="200"/>
        <w:contextualSpacing/>
        <w:rPr>
          <w:rFonts w:ascii="宋体" w:hAnsi="宋体" w:cs="宋体"/>
          <w:color w:val="auto"/>
          <w:szCs w:val="21"/>
          <w:highlight w:val="none"/>
        </w:rPr>
      </w:pPr>
      <w:r>
        <w:rPr>
          <w:rFonts w:hint="eastAsia" w:ascii="宋体" w:hAnsi="宋体" w:cs="宋体"/>
          <w:color w:val="auto"/>
          <w:szCs w:val="21"/>
          <w:highlight w:val="none"/>
        </w:rPr>
        <w:t>2.11“允许负偏离的条款”是指采购需求中的不属于“实质性要求”的条款。</w:t>
      </w:r>
    </w:p>
    <w:p w14:paraId="04343FEF">
      <w:pPr>
        <w:spacing w:line="360" w:lineRule="auto"/>
        <w:ind w:firstLine="420" w:firstLineChars="200"/>
        <w:contextualSpacing/>
        <w:rPr>
          <w:rFonts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1</w:t>
      </w:r>
      <w:r>
        <w:rPr>
          <w:rFonts w:hint="eastAsia" w:ascii="宋体" w:hAnsi="宋体" w:cs="宋体"/>
          <w:color w:val="auto"/>
          <w:szCs w:val="21"/>
          <w:highlight w:val="none"/>
        </w:rPr>
        <w:t>2“首次报价”是指供应商提交的首次响应文件中的报价。</w:t>
      </w:r>
    </w:p>
    <w:p w14:paraId="21168225">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3.供应商的资格条件</w:t>
      </w:r>
    </w:p>
    <w:p w14:paraId="712B562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供应商的资格条件详见“供应商须知前附表”。</w:t>
      </w:r>
    </w:p>
    <w:p w14:paraId="76CA033A">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4.竞标费用</w:t>
      </w:r>
    </w:p>
    <w:p w14:paraId="6987C24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供应商应承担参与本次采购活动有关的所有费用，包括但不限于获取磋商文件、勘查现场、编制和提交响应文件、参加磋商与应答、签订合同等，不论竞标结果如何，均应自行承担。</w:t>
      </w:r>
    </w:p>
    <w:p w14:paraId="4AF9F06B">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5.联合体竞标</w:t>
      </w:r>
    </w:p>
    <w:p w14:paraId="262E8DE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5.1本项目是否接受联合体竞标，详见“供应商须知前附表”。</w:t>
      </w:r>
    </w:p>
    <w:p w14:paraId="18C9AD5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5.2</w:t>
      </w:r>
      <w:r>
        <w:rPr>
          <w:rFonts w:hint="eastAsia" w:ascii="宋体" w:hAnsi="宋体"/>
          <w:color w:val="auto"/>
          <w:highlight w:val="none"/>
        </w:rPr>
        <w:t>如接受联合体竞标，</w:t>
      </w:r>
      <w:r>
        <w:rPr>
          <w:rFonts w:hint="eastAsia" w:ascii="宋体" w:hAnsi="宋体" w:cs="宋体"/>
          <w:color w:val="auto"/>
          <w:szCs w:val="21"/>
          <w:highlight w:val="none"/>
        </w:rPr>
        <w:t>联合体竞标要求详见“供应商须知前附表”。</w:t>
      </w:r>
    </w:p>
    <w:p w14:paraId="35B7D32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5.3</w:t>
      </w:r>
      <w:bookmarkStart w:id="61" w:name="_Hlk66782192"/>
      <w:r>
        <w:rPr>
          <w:rFonts w:hint="eastAsia" w:ascii="宋体" w:hAnsi="宋体"/>
          <w:color w:val="auto"/>
          <w:szCs w:val="21"/>
          <w:highlight w:val="none"/>
        </w:rPr>
        <w:t>根据《政府采购促进中小企业发展管理办法》（财库〔2020〕46号）第九条第二款及</w:t>
      </w:r>
      <w:r>
        <w:rPr>
          <w:rFonts w:hint="eastAsia" w:ascii="宋体" w:hAnsi="宋体" w:cs="宋体"/>
          <w:b w:val="0"/>
          <w:bCs/>
          <w:color w:val="auto"/>
          <w:sz w:val="21"/>
          <w:szCs w:val="21"/>
          <w:highlight w:val="none"/>
        </w:rPr>
        <w:t>《广西壮族自治区财政厅关于持续优化政府采购营商环境推动高质量发展的通知》（桂财采</w:t>
      </w:r>
      <w:r>
        <w:rPr>
          <w:rFonts w:hint="eastAsia" w:ascii="宋体" w:hAnsi="宋体"/>
          <w:color w:val="auto"/>
          <w:szCs w:val="21"/>
          <w:highlight w:val="none"/>
        </w:rPr>
        <w:t>〔</w:t>
      </w:r>
      <w:r>
        <w:rPr>
          <w:rFonts w:hint="eastAsia" w:ascii="宋体" w:hAnsi="宋体" w:cs="宋体"/>
          <w:b w:val="0"/>
          <w:bCs/>
          <w:color w:val="auto"/>
          <w:sz w:val="21"/>
          <w:szCs w:val="21"/>
          <w:highlight w:val="none"/>
        </w:rPr>
        <w:t>2024</w:t>
      </w:r>
      <w:r>
        <w:rPr>
          <w:rFonts w:hint="eastAsia" w:ascii="宋体" w:hAnsi="宋体"/>
          <w:color w:val="auto"/>
          <w:szCs w:val="21"/>
          <w:highlight w:val="none"/>
        </w:rPr>
        <w:t>〕</w:t>
      </w:r>
      <w:r>
        <w:rPr>
          <w:rFonts w:hint="eastAsia" w:ascii="宋体" w:hAnsi="宋体" w:cs="宋体"/>
          <w:b w:val="0"/>
          <w:bCs/>
          <w:color w:val="auto"/>
          <w:sz w:val="21"/>
          <w:szCs w:val="21"/>
          <w:highlight w:val="none"/>
        </w:rPr>
        <w:t>55号）</w:t>
      </w:r>
      <w:r>
        <w:rPr>
          <w:rFonts w:hint="eastAsia" w:ascii="宋体" w:hAnsi="宋体"/>
          <w:color w:val="auto"/>
          <w:szCs w:val="21"/>
          <w:highlight w:val="none"/>
        </w:rPr>
        <w:t>的规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w:t>
      </w:r>
      <w:r>
        <w:rPr>
          <w:rFonts w:ascii="宋体" w:hAnsi="宋体"/>
          <w:color w:val="auto"/>
          <w:szCs w:val="21"/>
          <w:highlight w:val="none"/>
        </w:rPr>
        <w:t>4</w:t>
      </w:r>
      <w:r>
        <w:rPr>
          <w:rFonts w:hint="eastAsia" w:ascii="宋体" w:hAnsi="宋体"/>
          <w:color w:val="auto"/>
          <w:szCs w:val="21"/>
          <w:highlight w:val="none"/>
        </w:rPr>
        <w:t>%-</w:t>
      </w:r>
      <w:r>
        <w:rPr>
          <w:rFonts w:ascii="宋体" w:hAnsi="宋体"/>
          <w:color w:val="auto"/>
          <w:szCs w:val="21"/>
          <w:highlight w:val="none"/>
        </w:rPr>
        <w:t>6</w:t>
      </w:r>
      <w:r>
        <w:rPr>
          <w:rFonts w:hint="eastAsia" w:ascii="宋体" w:hAnsi="宋体"/>
          <w:color w:val="auto"/>
          <w:szCs w:val="21"/>
          <w:highlight w:val="none"/>
        </w:rPr>
        <w:t>%</w:t>
      </w:r>
      <w:r>
        <w:rPr>
          <w:rFonts w:hint="eastAsia" w:ascii="宋体" w:hAnsi="宋体"/>
          <w:color w:val="auto"/>
          <w:szCs w:val="21"/>
          <w:highlight w:val="none"/>
          <w:lang w:val="en-US" w:eastAsia="zh-CN"/>
        </w:rPr>
        <w:t>（工程项目为 1%—2%）</w:t>
      </w:r>
      <w:r>
        <w:rPr>
          <w:rFonts w:hint="eastAsia" w:ascii="宋体" w:hAnsi="宋体"/>
          <w:color w:val="auto"/>
          <w:szCs w:val="21"/>
          <w:highlight w:val="none"/>
        </w:rPr>
        <w:t>的扣除，用扣除后的价格参加评审。</w:t>
      </w:r>
      <w:bookmarkEnd w:id="61"/>
    </w:p>
    <w:p w14:paraId="5633E95B">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 xml:space="preserve">6.转包与分包             </w:t>
      </w:r>
    </w:p>
    <w:p w14:paraId="2D60BEE0">
      <w:pPr>
        <w:pStyle w:val="6"/>
        <w:keepNext w:val="0"/>
        <w:keepLines w:val="0"/>
        <w:spacing w:before="0" w:after="0" w:line="360" w:lineRule="auto"/>
        <w:ind w:left="420" w:leftChars="200"/>
        <w:rPr>
          <w:rFonts w:ascii="宋体" w:hAnsi="宋体"/>
          <w:b w:val="0"/>
          <w:color w:val="auto"/>
          <w:sz w:val="21"/>
          <w:szCs w:val="21"/>
          <w:highlight w:val="none"/>
        </w:rPr>
      </w:pPr>
      <w:bookmarkStart w:id="62" w:name="_Toc254970532"/>
      <w:bookmarkStart w:id="63" w:name="_Toc254970673"/>
      <w:r>
        <w:rPr>
          <w:rFonts w:hint="eastAsia" w:ascii="宋体" w:hAnsi="宋体"/>
          <w:b w:val="0"/>
          <w:color w:val="auto"/>
          <w:sz w:val="21"/>
          <w:szCs w:val="21"/>
          <w:highlight w:val="none"/>
        </w:rPr>
        <w:t>6.1本项目不允许转包。</w:t>
      </w:r>
    </w:p>
    <w:p w14:paraId="0494CB69">
      <w:pPr>
        <w:pStyle w:val="6"/>
        <w:keepNext w:val="0"/>
        <w:keepLines w:val="0"/>
        <w:spacing w:before="0" w:after="0" w:line="360" w:lineRule="auto"/>
        <w:ind w:firstLine="315" w:firstLineChars="150"/>
        <w:rPr>
          <w:rFonts w:ascii="宋体" w:hAnsi="宋体"/>
          <w:b w:val="0"/>
          <w:color w:val="auto"/>
          <w:sz w:val="21"/>
          <w:szCs w:val="21"/>
          <w:highlight w:val="none"/>
        </w:rPr>
      </w:pPr>
      <w:r>
        <w:rPr>
          <w:rFonts w:hint="eastAsia" w:ascii="宋体" w:hAnsi="宋体"/>
          <w:b w:val="0"/>
          <w:color w:val="auto"/>
          <w:sz w:val="21"/>
          <w:szCs w:val="21"/>
          <w:highlight w:val="none"/>
        </w:rPr>
        <w:t xml:space="preserve"> 6.2本项目是否允许分包详见“供应商须知前附表”，本项目不允许违法分包。允许分包的非主体、非关键性工作，根据法律法规规定承担该工作需要资质或者行政许可的，如该工作由供应商自行承担，供应商应具备相应的资质或者行政许可，如供应商不具备相应的资质或者行政许可必须采用分包的方式，但分包供应商应具备相应资质或者行政许可。</w:t>
      </w:r>
    </w:p>
    <w:p w14:paraId="1818EFB8">
      <w:pPr>
        <w:pStyle w:val="6"/>
        <w:keepNext w:val="0"/>
        <w:keepLines w:val="0"/>
        <w:spacing w:before="0" w:after="0" w:line="360" w:lineRule="auto"/>
        <w:ind w:firstLine="315" w:firstLineChars="150"/>
        <w:rPr>
          <w:rFonts w:ascii="宋体" w:hAnsi="宋体"/>
          <w:b w:val="0"/>
          <w:color w:val="auto"/>
          <w:sz w:val="21"/>
          <w:szCs w:val="21"/>
          <w:highlight w:val="none"/>
        </w:rPr>
      </w:pPr>
      <w:r>
        <w:rPr>
          <w:rFonts w:hint="eastAsia" w:ascii="宋体" w:hAnsi="宋体"/>
          <w:b w:val="0"/>
          <w:color w:val="auto"/>
          <w:sz w:val="21"/>
          <w:szCs w:val="21"/>
          <w:highlight w:val="none"/>
        </w:rPr>
        <w:t xml:space="preserve"> 6.3供应商根据磋商文件的规定和采购项目的实际情况，拟在成交后将成交项目的非主体、非关键性工作分包的，应当在响应文件中载明分包承担主体，分包承担主体应当具备相应资质条件且不得再次分包。</w:t>
      </w:r>
    </w:p>
    <w:p w14:paraId="34453075">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7.特别说明</w:t>
      </w:r>
      <w:bookmarkEnd w:id="62"/>
      <w:bookmarkEnd w:id="63"/>
    </w:p>
    <w:p w14:paraId="166E5C06">
      <w:pPr>
        <w:spacing w:line="360" w:lineRule="auto"/>
        <w:ind w:firstLine="420" w:firstLineChars="200"/>
        <w:rPr>
          <w:rFonts w:ascii="宋体" w:hAnsi="宋体" w:cs="宋体"/>
          <w:color w:val="auto"/>
          <w:szCs w:val="21"/>
          <w:highlight w:val="none"/>
        </w:rPr>
      </w:pPr>
      <w:bookmarkStart w:id="64" w:name="_8.1提供相同品牌产品且通过资格审查、符合性审查的不同投标人参加同一合"/>
      <w:bookmarkEnd w:id="64"/>
      <w:r>
        <w:rPr>
          <w:rFonts w:hint="eastAsia" w:ascii="宋体" w:hAnsi="宋体" w:cs="宋体"/>
          <w:color w:val="auto"/>
          <w:szCs w:val="21"/>
          <w:highlight w:val="none"/>
        </w:rPr>
        <w:t>7.</w:t>
      </w:r>
      <w:r>
        <w:rPr>
          <w:rFonts w:ascii="宋体" w:hAnsi="宋体" w:cs="宋体"/>
          <w:color w:val="auto"/>
          <w:szCs w:val="21"/>
          <w:highlight w:val="none"/>
        </w:rPr>
        <w:t>1</w:t>
      </w:r>
      <w:bookmarkStart w:id="65" w:name="_Hlk65832145"/>
      <w:r>
        <w:rPr>
          <w:rFonts w:hint="eastAsia" w:ascii="宋体" w:hAnsi="宋体"/>
          <w:color w:val="auto"/>
          <w:szCs w:val="21"/>
          <w:highlight w:val="none"/>
        </w:rPr>
        <w:t xml:space="preserve">如果本磋商文件要求提供供应商或制造商的资格、信誉、荣誉、业绩与企业认证等材料的，资格、信誉、荣誉、业绩与企业认证等必须为供应商或者制造商所拥有或自身获得 </w:t>
      </w:r>
      <w:r>
        <w:rPr>
          <w:rFonts w:hint="eastAsia" w:ascii="宋体" w:hAnsi="宋体" w:cs="宋体"/>
          <w:color w:val="auto"/>
          <w:szCs w:val="21"/>
          <w:highlight w:val="none"/>
        </w:rPr>
        <w:t>。</w:t>
      </w:r>
    </w:p>
    <w:bookmarkEnd w:id="65"/>
    <w:p w14:paraId="513F3C3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2</w:t>
      </w:r>
      <w:r>
        <w:rPr>
          <w:rFonts w:hint="eastAsia" w:ascii="宋体" w:hAnsi="宋体" w:cs="宋体"/>
          <w:color w:val="auto"/>
          <w:szCs w:val="21"/>
          <w:highlight w:val="none"/>
        </w:rPr>
        <w:t>供应商应仔细阅读磋商文件的所有内容，按照磋商文件的要求提交响应文件，并对所提供的全部资料的真实性承担法律责任。</w:t>
      </w:r>
    </w:p>
    <w:p w14:paraId="7601B6A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3</w:t>
      </w:r>
      <w:r>
        <w:rPr>
          <w:rFonts w:hint="eastAsia" w:ascii="宋体" w:hAnsi="宋体" w:cs="宋体"/>
          <w:color w:val="auto"/>
          <w:szCs w:val="21"/>
          <w:highlight w:val="none"/>
        </w:rPr>
        <w:t>供应商在竞标活动中提供任何虚假材料谋取成交的，将报财政部门查处；签订合同后发现的，成交供应商须依照《中华人民共和国消费者权益保护法》规定赔偿采购人，且民事赔偿并不免除违法供应商的行政与刑事责任。</w:t>
      </w:r>
    </w:p>
    <w:p w14:paraId="09D11E4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4</w:t>
      </w:r>
      <w:r>
        <w:rPr>
          <w:rFonts w:hint="eastAsia" w:ascii="宋体" w:hAnsi="宋体" w:cs="宋体"/>
          <w:color w:val="auto"/>
          <w:szCs w:val="21"/>
          <w:highlight w:val="none"/>
        </w:rPr>
        <w:t>在政府采购活动中，采购人员及相关人员与供应商有下列利害关系之一的，应当回避：</w:t>
      </w:r>
    </w:p>
    <w:p w14:paraId="085F26E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（1）参加采购活动前3年内与供应商存在劳动关系；</w:t>
      </w:r>
    </w:p>
    <w:p w14:paraId="72AF56B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（2）参加采购活动前3年内担任供应商的董事、监事；</w:t>
      </w:r>
    </w:p>
    <w:p w14:paraId="50467A7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（3）参加采购活动前3年内是供应商的控股股东或者实际控制人；</w:t>
      </w:r>
    </w:p>
    <w:p w14:paraId="6246498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（4）与供应商的法定代表人或者负责人有夫妻、直系血亲、三代以内旁系血亲或者近姻亲关系；</w:t>
      </w:r>
    </w:p>
    <w:p w14:paraId="4D357CA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（5）与供应商有其他可能影响政府采购活动公平、公正进行的关系。</w:t>
      </w:r>
    </w:p>
    <w:p w14:paraId="66052A5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72038D0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5</w:t>
      </w:r>
      <w:r>
        <w:rPr>
          <w:rFonts w:hint="eastAsia" w:ascii="宋体" w:hAnsi="宋体" w:cs="宋体"/>
          <w:color w:val="auto"/>
          <w:szCs w:val="21"/>
          <w:highlight w:val="none"/>
        </w:rPr>
        <w:t>有下列情形之一的视为供应商相互串通竞标，响应文件将被视为无效：</w:t>
      </w:r>
    </w:p>
    <w:p w14:paraId="125D8A7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（1）不同供应商的响应文件由同一单位或者个人编制； </w:t>
      </w:r>
    </w:p>
    <w:p w14:paraId="08FBF40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（2）不同供应商委托同一单位或者个人办理竞标事宜；</w:t>
      </w:r>
    </w:p>
    <w:p w14:paraId="155D1F8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（3）不同的供应商的响应文件载明的项目管理员为同一个人；</w:t>
      </w:r>
    </w:p>
    <w:p w14:paraId="69DF81B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（4）不同供应商的响应文件异常一致或者报价呈规律性差异；</w:t>
      </w:r>
    </w:p>
    <w:p w14:paraId="20223C7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（5）不同供应商的响应文件相互混装；</w:t>
      </w:r>
    </w:p>
    <w:p w14:paraId="1E5D3C0B">
      <w:pPr>
        <w:tabs>
          <w:tab w:val="left" w:pos="6931"/>
        </w:tabs>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（6）不同供应商的磋商保证金从同一单位或者个人账户转出。</w:t>
      </w:r>
      <w:r>
        <w:rPr>
          <w:rFonts w:ascii="宋体" w:hAnsi="宋体" w:cs="宋体"/>
          <w:color w:val="auto"/>
          <w:szCs w:val="21"/>
          <w:highlight w:val="none"/>
        </w:rPr>
        <w:tab/>
      </w:r>
    </w:p>
    <w:p w14:paraId="4D5E6C1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6</w:t>
      </w:r>
      <w:r>
        <w:rPr>
          <w:rFonts w:hint="eastAsia" w:ascii="宋体" w:hAnsi="宋体" w:cs="宋体"/>
          <w:color w:val="auto"/>
          <w:szCs w:val="21"/>
          <w:highlight w:val="none"/>
        </w:rPr>
        <w:t>供应商有下列情形之一的，属于恶意串通行为，将报同级监督管理部门：</w:t>
      </w:r>
    </w:p>
    <w:p w14:paraId="39115F1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（1）供应商直接或者间接从采购人或者采购代理机构处获得其他供应商的相关信息并修改其响应文件；</w:t>
      </w:r>
    </w:p>
    <w:p w14:paraId="0929D0C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（2）供应商按照采购人或者采购代理机构的授意撤换、修改响应文件；</w:t>
      </w:r>
    </w:p>
    <w:p w14:paraId="1E952A9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（3）供应商之间协商报价、技术方案等响应文件或者响应文件的实质性内容；</w:t>
      </w:r>
    </w:p>
    <w:p w14:paraId="1D29D5A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（4）属于同一集团、协会、商会等组织成员的供应商按照该组织要求协同参加政府采购活动；</w:t>
      </w:r>
    </w:p>
    <w:p w14:paraId="4B286BD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（5）供应商之间事先约定一致抬高或者压低报价，或者在政府采购活动中事先约定轮流以高价位或者低价位成交，或者事先约定由某一特定供应商成交，然后再参加竞标；</w:t>
      </w:r>
    </w:p>
    <w:p w14:paraId="67370C8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（6）供应商之间商定部分供应商放弃参加政府采购活动或者放弃成交；</w:t>
      </w:r>
    </w:p>
    <w:p w14:paraId="50B0AA6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（7）供应商与采购人或者采购代理机构之间、供应商相互之间，为谋求特定供应商成交或者排斥其他供应商的其他串通行为。</w:t>
      </w:r>
    </w:p>
    <w:p w14:paraId="59488706">
      <w:pPr>
        <w:spacing w:line="360" w:lineRule="auto"/>
        <w:ind w:firstLine="420" w:firstLineChars="200"/>
        <w:rPr>
          <w:rFonts w:ascii="宋体" w:hAnsi="宋体" w:cs="宋体"/>
          <w:color w:val="auto"/>
          <w:szCs w:val="21"/>
          <w:highlight w:val="none"/>
        </w:rPr>
      </w:pPr>
    </w:p>
    <w:p w14:paraId="2E867518">
      <w:pPr>
        <w:spacing w:line="360" w:lineRule="auto"/>
        <w:ind w:left="1" w:firstLine="417" w:firstLineChars="199"/>
        <w:jc w:val="center"/>
        <w:rPr>
          <w:rFonts w:ascii="宋体" w:hAnsi="宋体"/>
          <w:color w:val="auto"/>
          <w:highlight w:val="none"/>
        </w:rPr>
      </w:pPr>
      <w:bookmarkStart w:id="66" w:name="_Toc254970675"/>
      <w:bookmarkStart w:id="67" w:name="_Toc254970534"/>
    </w:p>
    <w:p w14:paraId="05AFBB41">
      <w:pPr>
        <w:spacing w:line="360" w:lineRule="auto"/>
        <w:jc w:val="center"/>
        <w:rPr>
          <w:rFonts w:ascii="宋体" w:hAnsi="宋体"/>
          <w:b/>
          <w:bCs/>
          <w:color w:val="auto"/>
          <w:sz w:val="32"/>
          <w:szCs w:val="32"/>
          <w:highlight w:val="none"/>
        </w:rPr>
      </w:pPr>
      <w:r>
        <w:rPr>
          <w:rFonts w:hint="eastAsia" w:ascii="宋体" w:hAnsi="宋体"/>
          <w:b/>
          <w:bCs/>
          <w:color w:val="auto"/>
          <w:sz w:val="32"/>
          <w:szCs w:val="32"/>
          <w:highlight w:val="none"/>
        </w:rPr>
        <w:t>二、磋商文件</w:t>
      </w:r>
      <w:bookmarkEnd w:id="66"/>
      <w:bookmarkEnd w:id="67"/>
    </w:p>
    <w:p w14:paraId="36196E4A">
      <w:pPr>
        <w:spacing w:line="360" w:lineRule="auto"/>
        <w:rPr>
          <w:rFonts w:ascii="宋体" w:hAnsi="宋体"/>
          <w:color w:val="auto"/>
          <w:szCs w:val="21"/>
          <w:highlight w:val="none"/>
        </w:rPr>
      </w:pPr>
    </w:p>
    <w:p w14:paraId="436EE847">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8.磋商文件的构成</w:t>
      </w:r>
    </w:p>
    <w:p w14:paraId="51573FD2">
      <w:pPr>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第一章  竞争性磋商公告；</w:t>
      </w:r>
    </w:p>
    <w:p w14:paraId="11DBE099">
      <w:pPr>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 xml:space="preserve">第二章  供应商须知； </w:t>
      </w:r>
    </w:p>
    <w:p w14:paraId="7EEEB613">
      <w:pPr>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第三章  采购需求；</w:t>
      </w:r>
    </w:p>
    <w:p w14:paraId="7A980A79">
      <w:pPr>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第四章  评审程序、评审方法和评审标准；</w:t>
      </w:r>
    </w:p>
    <w:p w14:paraId="7C8453D5">
      <w:pPr>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第五章  工程量清单及图纸；</w:t>
      </w:r>
    </w:p>
    <w:p w14:paraId="3633E895">
      <w:pPr>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第六章  响应文件格式；</w:t>
      </w:r>
    </w:p>
    <w:p w14:paraId="2499E0BB">
      <w:pPr>
        <w:spacing w:line="360" w:lineRule="auto"/>
        <w:ind w:firstLine="420" w:firstLineChars="200"/>
        <w:jc w:val="left"/>
        <w:rPr>
          <w:rFonts w:ascii="宋体" w:hAnsi="宋体"/>
          <w:color w:val="auto"/>
          <w:szCs w:val="21"/>
          <w:highlight w:val="none"/>
        </w:rPr>
      </w:pPr>
      <w:r>
        <w:rPr>
          <w:rFonts w:hint="eastAsia" w:ascii="宋体" w:hAnsi="宋体"/>
          <w:color w:val="auto"/>
          <w:szCs w:val="21"/>
          <w:highlight w:val="none"/>
        </w:rPr>
        <w:t>第七章  合同文本。</w:t>
      </w:r>
    </w:p>
    <w:p w14:paraId="58D4818F">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9.供应商的询问</w:t>
      </w:r>
    </w:p>
    <w:p w14:paraId="23B2A26A">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供应商应认真阅读磋商文件的采购需求，如供应商对磋商文件有疑问的，如要求采购人作出澄清或者修改的，供应商尽可能在</w:t>
      </w:r>
      <w:r>
        <w:rPr>
          <w:rFonts w:ascii="宋体" w:hAnsi="宋体"/>
          <w:color w:val="auto"/>
          <w:szCs w:val="21"/>
          <w:highlight w:val="none"/>
        </w:rPr>
        <w:t>提交首次响应文件截止之日前</w:t>
      </w:r>
      <w:r>
        <w:rPr>
          <w:rFonts w:hint="eastAsia" w:ascii="宋体" w:hAnsi="宋体"/>
          <w:color w:val="auto"/>
          <w:szCs w:val="21"/>
          <w:highlight w:val="none"/>
        </w:rPr>
        <w:t>，以书面形式向</w:t>
      </w:r>
      <w:r>
        <w:rPr>
          <w:rFonts w:ascii="宋体" w:hAnsi="宋体"/>
          <w:color w:val="auto"/>
          <w:szCs w:val="21"/>
          <w:highlight w:val="none"/>
        </w:rPr>
        <w:t>采购人、采购代理机构</w:t>
      </w:r>
      <w:r>
        <w:rPr>
          <w:rFonts w:hint="eastAsia" w:ascii="宋体" w:hAnsi="宋体"/>
          <w:color w:val="auto"/>
          <w:szCs w:val="21"/>
          <w:highlight w:val="none"/>
        </w:rPr>
        <w:t>提出。</w:t>
      </w:r>
    </w:p>
    <w:p w14:paraId="50099FE6">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10.磋商文件的澄清和修改</w:t>
      </w:r>
    </w:p>
    <w:p w14:paraId="4A546EA4">
      <w:pPr>
        <w:spacing w:line="360" w:lineRule="auto"/>
        <w:ind w:firstLine="420" w:firstLineChars="200"/>
        <w:rPr>
          <w:rFonts w:ascii="宋体" w:hAnsi="宋体"/>
          <w:color w:val="auto"/>
          <w:szCs w:val="21"/>
          <w:highlight w:val="none"/>
        </w:rPr>
      </w:pPr>
      <w:r>
        <w:rPr>
          <w:rFonts w:ascii="宋体" w:hAnsi="宋体"/>
          <w:color w:val="auto"/>
          <w:szCs w:val="21"/>
          <w:highlight w:val="none"/>
        </w:rPr>
        <w:t>提交首次响应文件截止之日前，采购人或者采购代理机构可以对已发出的磋商文件进行必要的澄清或者修改，澄清或者修改的内容作为磋商文件的组成部分。澄清或者修改的内容可能影响响应文件编制的，</w:t>
      </w:r>
      <w:r>
        <w:rPr>
          <w:rFonts w:hint="eastAsia" w:ascii="宋体" w:hAnsi="宋体"/>
          <w:color w:val="auto"/>
          <w:szCs w:val="21"/>
          <w:highlight w:val="none"/>
        </w:rPr>
        <w:t>采购人或者采购代理机构应当</w:t>
      </w:r>
      <w:r>
        <w:rPr>
          <w:rFonts w:ascii="宋体" w:hAnsi="宋体"/>
          <w:color w:val="auto"/>
          <w:szCs w:val="21"/>
          <w:highlight w:val="none"/>
        </w:rPr>
        <w:t>在提交首次响应文件截止之日3个工作日前，以书面形式通知所有</w:t>
      </w:r>
      <w:r>
        <w:rPr>
          <w:rFonts w:hint="eastAsia" w:ascii="宋体" w:hAnsi="宋体"/>
          <w:color w:val="auto"/>
          <w:szCs w:val="21"/>
          <w:highlight w:val="none"/>
        </w:rPr>
        <w:t>获取</w:t>
      </w:r>
      <w:r>
        <w:rPr>
          <w:rFonts w:ascii="宋体" w:hAnsi="宋体"/>
          <w:color w:val="auto"/>
          <w:szCs w:val="21"/>
          <w:highlight w:val="none"/>
        </w:rPr>
        <w:t>磋商文件的供应商，不足3个工作日的，应当顺延提交首次响应文件截止之日。</w:t>
      </w:r>
    </w:p>
    <w:p w14:paraId="1A342EE2">
      <w:pPr>
        <w:spacing w:line="360" w:lineRule="auto"/>
        <w:rPr>
          <w:rFonts w:ascii="宋体" w:hAnsi="宋体"/>
          <w:color w:val="auto"/>
          <w:szCs w:val="21"/>
          <w:highlight w:val="none"/>
        </w:rPr>
      </w:pPr>
    </w:p>
    <w:p w14:paraId="265625FD">
      <w:pPr>
        <w:spacing w:line="360" w:lineRule="auto"/>
        <w:jc w:val="center"/>
        <w:rPr>
          <w:rFonts w:ascii="宋体" w:hAnsi="宋体"/>
          <w:b/>
          <w:bCs/>
          <w:color w:val="auto"/>
          <w:szCs w:val="21"/>
          <w:highlight w:val="none"/>
        </w:rPr>
      </w:pPr>
      <w:r>
        <w:rPr>
          <w:rFonts w:hint="eastAsia" w:ascii="宋体" w:hAnsi="宋体"/>
          <w:b/>
          <w:bCs/>
          <w:color w:val="auto"/>
          <w:sz w:val="32"/>
          <w:szCs w:val="32"/>
          <w:highlight w:val="none"/>
        </w:rPr>
        <w:t>三、响应文件的编制</w:t>
      </w:r>
    </w:p>
    <w:p w14:paraId="45E40151">
      <w:pPr>
        <w:spacing w:line="360" w:lineRule="auto"/>
        <w:rPr>
          <w:rFonts w:ascii="宋体" w:hAnsi="宋体"/>
          <w:color w:val="auto"/>
          <w:szCs w:val="21"/>
          <w:highlight w:val="none"/>
        </w:rPr>
      </w:pPr>
    </w:p>
    <w:p w14:paraId="0C412061">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11.响应文件的编制原则</w:t>
      </w:r>
    </w:p>
    <w:p w14:paraId="3C6B6E3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供应商必须按照磋商文件的要求编制响应文件，并对其提交的响应文件的真实性、合法性承担法律责任。响应文件必须对磋商文件作出实质性响应。</w:t>
      </w:r>
    </w:p>
    <w:p w14:paraId="057E8BF1">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12.响应文件的组成</w:t>
      </w:r>
    </w:p>
    <w:p w14:paraId="50AFA1AC">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12.1响应文件由资格证明文件、报价文件、商务技术文件三部分组成。</w:t>
      </w:r>
    </w:p>
    <w:p w14:paraId="6AC40F6D">
      <w:pPr>
        <w:spacing w:line="360" w:lineRule="auto"/>
        <w:ind w:left="840" w:leftChars="200" w:hanging="420" w:hangingChars="200"/>
        <w:rPr>
          <w:rFonts w:ascii="宋体" w:hAnsi="宋体" w:cs="宋体"/>
          <w:color w:val="auto"/>
          <w:szCs w:val="21"/>
          <w:highlight w:val="none"/>
        </w:rPr>
      </w:pPr>
      <w:r>
        <w:rPr>
          <w:rFonts w:hint="eastAsia" w:ascii="宋体" w:hAnsi="宋体" w:cs="宋体"/>
          <w:color w:val="auto"/>
          <w:szCs w:val="21"/>
          <w:highlight w:val="none"/>
        </w:rPr>
        <w:t>12.1.1资格证明文件：详见“供应商须知前附表”</w:t>
      </w:r>
    </w:p>
    <w:p w14:paraId="0D41F85F">
      <w:pPr>
        <w:spacing w:line="360" w:lineRule="auto"/>
        <w:ind w:left="840" w:leftChars="200" w:hanging="420" w:hangingChars="200"/>
        <w:rPr>
          <w:rFonts w:ascii="宋体" w:hAnsi="宋体" w:cs="宋体"/>
          <w:color w:val="auto"/>
          <w:szCs w:val="21"/>
          <w:highlight w:val="none"/>
        </w:rPr>
      </w:pPr>
      <w:r>
        <w:rPr>
          <w:rFonts w:hint="eastAsia" w:ascii="宋体" w:hAnsi="宋体" w:cs="宋体"/>
          <w:color w:val="auto"/>
          <w:szCs w:val="21"/>
          <w:highlight w:val="none"/>
        </w:rPr>
        <w:t>12.1.2报价文件：详见“供应商须知前附表”</w:t>
      </w:r>
    </w:p>
    <w:p w14:paraId="668C4CCE">
      <w:pPr>
        <w:spacing w:line="360" w:lineRule="auto"/>
        <w:ind w:left="840" w:leftChars="200" w:hanging="420" w:hangingChars="200"/>
        <w:rPr>
          <w:rFonts w:ascii="宋体" w:hAnsi="宋体" w:cs="宋体"/>
          <w:color w:val="auto"/>
          <w:szCs w:val="21"/>
          <w:highlight w:val="none"/>
        </w:rPr>
      </w:pPr>
      <w:r>
        <w:rPr>
          <w:rFonts w:hint="eastAsia" w:ascii="宋体" w:hAnsi="宋体" w:cs="宋体"/>
          <w:color w:val="auto"/>
          <w:szCs w:val="21"/>
          <w:highlight w:val="none"/>
        </w:rPr>
        <w:t>12.1.3商务技术文件：详见“供应商须知前附表”</w:t>
      </w:r>
    </w:p>
    <w:p w14:paraId="7CCD0D1E">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13.计量单位</w:t>
      </w:r>
    </w:p>
    <w:p w14:paraId="753B529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磋商文件已有明确规定的，使用磋商文件规定的计量单位；磋商文件没有规定的，应采用中华人民共和国法定计量单位，货币种类为人民币，否则视同未响应。</w:t>
      </w:r>
    </w:p>
    <w:p w14:paraId="1A5A185B">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14.竞标的风险</w:t>
      </w:r>
    </w:p>
    <w:p w14:paraId="0F8E820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供应商没有按照磋商文件要求提供全部资料，或者供应商没有对磋商文件在各方面作出实质性响应可能导致其响应无效，是供应商应当考虑的风险。</w:t>
      </w:r>
    </w:p>
    <w:p w14:paraId="1FF91F69">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15.竞标报价</w:t>
      </w:r>
    </w:p>
    <w:p w14:paraId="1AD41FE9">
      <w:pPr>
        <w:tabs>
          <w:tab w:val="left" w:pos="2492"/>
        </w:tabs>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15.1竞标报价应按磋商文件中“竞标报价表”及</w:t>
      </w:r>
      <w:r>
        <w:rPr>
          <w:rFonts w:ascii="宋体" w:hAnsi="宋体" w:cs="宋体"/>
          <w:color w:val="auto"/>
          <w:szCs w:val="21"/>
          <w:highlight w:val="none"/>
        </w:rPr>
        <w:t>“</w:t>
      </w:r>
      <w:r>
        <w:rPr>
          <w:rFonts w:hint="eastAsia" w:ascii="宋体" w:hAnsi="宋体" w:cs="宋体"/>
          <w:color w:val="auto"/>
          <w:szCs w:val="21"/>
          <w:highlight w:val="none"/>
        </w:rPr>
        <w:t>已标价工程量清单</w:t>
      </w:r>
      <w:r>
        <w:rPr>
          <w:rFonts w:ascii="宋体" w:hAnsi="宋体" w:cs="宋体"/>
          <w:color w:val="auto"/>
          <w:szCs w:val="21"/>
          <w:highlight w:val="none"/>
        </w:rPr>
        <w:t>”</w:t>
      </w:r>
      <w:r>
        <w:rPr>
          <w:rFonts w:hint="eastAsia" w:ascii="宋体" w:hAnsi="宋体" w:cs="宋体"/>
          <w:color w:val="auto"/>
          <w:szCs w:val="21"/>
          <w:highlight w:val="none"/>
        </w:rPr>
        <w:t>格式填写。</w:t>
      </w:r>
    </w:p>
    <w:p w14:paraId="33667852">
      <w:pPr>
        <w:tabs>
          <w:tab w:val="left" w:pos="2492"/>
        </w:tabs>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15.2竞标报价的内容见“供应商须知前附表”。</w:t>
      </w:r>
    </w:p>
    <w:p w14:paraId="07207F15">
      <w:pPr>
        <w:tabs>
          <w:tab w:val="left" w:pos="2492"/>
        </w:tabs>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15.3本项目的增值税计税方法见“供应商须知前附表”。</w:t>
      </w:r>
    </w:p>
    <w:p w14:paraId="1D904FA5">
      <w:pPr>
        <w:spacing w:line="360" w:lineRule="auto"/>
        <w:ind w:left="426" w:leftChars="203"/>
        <w:rPr>
          <w:rFonts w:ascii="宋体" w:hAnsi="宋体" w:cs="宋体"/>
          <w:color w:val="auto"/>
          <w:szCs w:val="21"/>
          <w:highlight w:val="none"/>
        </w:rPr>
      </w:pPr>
      <w:r>
        <w:rPr>
          <w:rFonts w:hint="eastAsia" w:ascii="宋体" w:hAnsi="宋体" w:cs="宋体"/>
          <w:color w:val="auto"/>
          <w:szCs w:val="21"/>
          <w:highlight w:val="none"/>
        </w:rPr>
        <w:t>15.4竞标报价要求</w:t>
      </w:r>
    </w:p>
    <w:p w14:paraId="1D370B5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5.</w:t>
      </w:r>
      <w:r>
        <w:rPr>
          <w:rFonts w:hint="eastAsia" w:ascii="宋体" w:hAnsi="宋体" w:cs="宋体"/>
          <w:color w:val="auto"/>
          <w:szCs w:val="21"/>
          <w:highlight w:val="none"/>
        </w:rPr>
        <w:t>4</w:t>
      </w:r>
      <w:r>
        <w:rPr>
          <w:rFonts w:ascii="宋体" w:hAnsi="宋体" w:cs="宋体"/>
          <w:color w:val="auto"/>
          <w:szCs w:val="21"/>
          <w:highlight w:val="none"/>
        </w:rPr>
        <w:t>.1</w:t>
      </w:r>
      <w:r>
        <w:rPr>
          <w:rFonts w:hint="eastAsia" w:ascii="宋体" w:hAnsi="宋体" w:cs="宋体"/>
          <w:color w:val="auto"/>
          <w:szCs w:val="21"/>
          <w:highlight w:val="none"/>
        </w:rPr>
        <w:t>供应商的竞标报价应符合以下要求，否则响应文件按无效处理：</w:t>
      </w:r>
    </w:p>
    <w:p w14:paraId="1045B163">
      <w:pPr>
        <w:spacing w:line="360" w:lineRule="auto"/>
        <w:ind w:left="420" w:leftChars="200"/>
        <w:rPr>
          <w:rFonts w:ascii="宋体" w:hAnsi="宋体" w:cs="宋体"/>
          <w:color w:val="auto"/>
          <w:szCs w:val="21"/>
          <w:highlight w:val="none"/>
        </w:rPr>
      </w:pPr>
      <w:r>
        <w:rPr>
          <w:rFonts w:hint="eastAsia" w:ascii="宋体" w:hAnsi="宋体" w:cs="宋体"/>
          <w:color w:val="auto"/>
          <w:szCs w:val="21"/>
          <w:highlight w:val="none"/>
        </w:rPr>
        <w:t>（1）供应商必须就“采购需求”中所竞标</w:t>
      </w:r>
      <w:r>
        <w:rPr>
          <w:rFonts w:hint="eastAsia" w:ascii="宋体" w:hAnsi="宋体" w:cs="宋体"/>
          <w:color w:val="auto"/>
          <w:szCs w:val="21"/>
          <w:highlight w:val="none"/>
          <w:lang w:val="en-US" w:eastAsia="zh-CN"/>
        </w:rPr>
        <w:t>分标</w:t>
      </w:r>
      <w:r>
        <w:rPr>
          <w:rFonts w:hint="eastAsia" w:ascii="宋体" w:hAnsi="宋体" w:cs="宋体"/>
          <w:color w:val="auto"/>
          <w:szCs w:val="21"/>
          <w:highlight w:val="none"/>
        </w:rPr>
        <w:t>的全部内容分别作完整唯一总价报价，不得存在漏项报价；</w:t>
      </w:r>
    </w:p>
    <w:p w14:paraId="66428622">
      <w:pPr>
        <w:numPr>
          <w:ilvl w:val="0"/>
          <w:numId w:val="1"/>
        </w:num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供应商必须就所竞标的</w:t>
      </w:r>
      <w:r>
        <w:rPr>
          <w:rFonts w:hint="eastAsia" w:ascii="宋体" w:hAnsi="宋体" w:cs="宋体"/>
          <w:color w:val="auto"/>
          <w:szCs w:val="21"/>
          <w:highlight w:val="none"/>
          <w:lang w:val="en-US" w:eastAsia="zh-CN"/>
        </w:rPr>
        <w:t>分标</w:t>
      </w:r>
      <w:r>
        <w:rPr>
          <w:rFonts w:hint="eastAsia" w:ascii="宋体" w:hAnsi="宋体" w:cs="宋体"/>
          <w:color w:val="auto"/>
          <w:szCs w:val="21"/>
          <w:highlight w:val="none"/>
        </w:rPr>
        <w:t>单项内容作唯一报价。</w:t>
      </w:r>
    </w:p>
    <w:p w14:paraId="641CCF4F">
      <w:pPr>
        <w:numPr>
          <w:ilvl w:val="0"/>
          <w:numId w:val="1"/>
        </w:num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供应商竞标报价（含总报价和单项报价）如明显低于其他通过符合性审查供应商的报价，有可能不能诚信履约的，磋商</w:t>
      </w:r>
      <w:r>
        <w:rPr>
          <w:rFonts w:ascii="宋体" w:hAnsi="宋体" w:cs="宋体"/>
          <w:color w:val="auto"/>
          <w:szCs w:val="21"/>
          <w:highlight w:val="none"/>
        </w:rPr>
        <w:t>小组可</w:t>
      </w:r>
      <w:r>
        <w:rPr>
          <w:rFonts w:ascii="ˎ̥" w:hAnsi="ˎ̥"/>
          <w:color w:val="auto"/>
          <w:sz w:val="22"/>
          <w:szCs w:val="22"/>
          <w:highlight w:val="none"/>
        </w:rPr>
        <w:t>要求其在评标现场合理的时间内提供书面说明</w:t>
      </w:r>
      <w:r>
        <w:rPr>
          <w:rFonts w:hint="eastAsia" w:ascii="宋体" w:hAnsi="宋体" w:cs="宋体"/>
          <w:color w:val="auto"/>
          <w:szCs w:val="21"/>
          <w:highlight w:val="none"/>
        </w:rPr>
        <w:t>。如无法提供说明，或者说明不足以证明合理性的，经磋商小组评定，响应文件按无效处理。</w:t>
      </w:r>
    </w:p>
    <w:p w14:paraId="16402FC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15.4.</w:t>
      </w:r>
      <w:r>
        <w:rPr>
          <w:rFonts w:ascii="宋体" w:hAnsi="宋体" w:cs="宋体"/>
          <w:color w:val="auto"/>
          <w:szCs w:val="21"/>
          <w:highlight w:val="none"/>
        </w:rPr>
        <w:t>2</w:t>
      </w:r>
      <w:r>
        <w:rPr>
          <w:rFonts w:hint="eastAsia" w:ascii="宋体" w:hAnsi="宋体" w:cs="宋体"/>
          <w:color w:val="auto"/>
          <w:szCs w:val="21"/>
          <w:highlight w:val="none"/>
        </w:rPr>
        <w:t>竞标报价（包含首次报价、最后报价）超过所竞标</w:t>
      </w:r>
      <w:r>
        <w:rPr>
          <w:rFonts w:hint="eastAsia" w:ascii="宋体" w:hAnsi="宋体" w:cs="宋体"/>
          <w:color w:val="auto"/>
          <w:szCs w:val="21"/>
          <w:highlight w:val="none"/>
          <w:lang w:val="en-US" w:eastAsia="zh-CN"/>
        </w:rPr>
        <w:t>分标</w:t>
      </w:r>
      <w:r>
        <w:rPr>
          <w:rFonts w:hint="eastAsia" w:ascii="宋体" w:hAnsi="宋体" w:cs="宋体"/>
          <w:color w:val="auto"/>
          <w:szCs w:val="21"/>
          <w:highlight w:val="none"/>
        </w:rPr>
        <w:t>规定的采购预算金额或者最高限价的，其响应文件将按无效处理。</w:t>
      </w:r>
    </w:p>
    <w:p w14:paraId="42C20A3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15.4.</w:t>
      </w:r>
      <w:r>
        <w:rPr>
          <w:rFonts w:ascii="宋体" w:hAnsi="宋体" w:cs="宋体"/>
          <w:color w:val="auto"/>
          <w:szCs w:val="21"/>
          <w:highlight w:val="none"/>
        </w:rPr>
        <w:t>3</w:t>
      </w:r>
      <w:bookmarkStart w:id="68" w:name="_Hlk42592874"/>
      <w:r>
        <w:rPr>
          <w:rFonts w:hint="eastAsia" w:ascii="宋体" w:hAnsi="宋体" w:cs="宋体"/>
          <w:color w:val="auto"/>
          <w:szCs w:val="21"/>
          <w:highlight w:val="none"/>
        </w:rPr>
        <w:t>竞标报价（包含首次报价、最后报价）超过分项采购预算金额或者最高限价的（如有要求），其响应文件将按无效处理。</w:t>
      </w:r>
    </w:p>
    <w:p w14:paraId="71BD654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15.4.4供应商在提交响应文件截止时间前修改竞标函中的竞标总报价，应同时修改响应文件“已标价工程量清单”中的相应报价。此修改须符合本须知正文第20条、第21条的有关要求。</w:t>
      </w:r>
    </w:p>
    <w:bookmarkEnd w:id="68"/>
    <w:p w14:paraId="083090E7">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16.竞标有效期</w:t>
      </w:r>
    </w:p>
    <w:p w14:paraId="3882736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16.1竞标有效期是指为保证采购人有足够的时间在提交响应文件后完成评审、确定成交供应商、合同签订等工作而要求供应商提交的响应文件在一定时间内保持有效的期限。</w:t>
      </w:r>
    </w:p>
    <w:p w14:paraId="1853D18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16.2 竞标有效期应由供应商按“供应商须知前附表”规定的期限作出响应。</w:t>
      </w:r>
    </w:p>
    <w:p w14:paraId="44A3838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16.3供应商的响应文件在竞标有效期内均保持有效。</w:t>
      </w:r>
    </w:p>
    <w:p w14:paraId="641DC5F4">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17.磋商保证金</w:t>
      </w:r>
    </w:p>
    <w:p w14:paraId="2FD4D87C">
      <w:pPr>
        <w:spacing w:line="360" w:lineRule="auto"/>
        <w:ind w:left="420" w:leftChars="200"/>
        <w:rPr>
          <w:rFonts w:ascii="宋体" w:hAnsi="宋体" w:cs="宋体"/>
          <w:color w:val="auto"/>
          <w:szCs w:val="21"/>
          <w:highlight w:val="none"/>
        </w:rPr>
      </w:pPr>
      <w:r>
        <w:rPr>
          <w:rFonts w:hint="eastAsia" w:ascii="宋体" w:hAnsi="宋体" w:cs="宋体"/>
          <w:color w:val="auto"/>
          <w:szCs w:val="21"/>
          <w:highlight w:val="none"/>
        </w:rPr>
        <w:t>17.1供应商须按“供应商须知前附表”的规定提交磋商保证金。</w:t>
      </w:r>
    </w:p>
    <w:p w14:paraId="62506496">
      <w:pPr>
        <w:spacing w:line="360" w:lineRule="auto"/>
        <w:ind w:left="420" w:leftChars="200"/>
        <w:rPr>
          <w:rFonts w:ascii="宋体" w:hAnsi="宋体" w:cs="宋体"/>
          <w:color w:val="auto"/>
          <w:szCs w:val="21"/>
          <w:highlight w:val="none"/>
        </w:rPr>
      </w:pPr>
      <w:r>
        <w:rPr>
          <w:rFonts w:hint="eastAsia" w:ascii="宋体" w:hAnsi="宋体" w:cs="宋体"/>
          <w:color w:val="auto"/>
          <w:szCs w:val="21"/>
          <w:highlight w:val="none"/>
        </w:rPr>
        <w:t>17.2磋商保证金的退还</w:t>
      </w:r>
    </w:p>
    <w:p w14:paraId="30A7649A">
      <w:pPr>
        <w:spacing w:line="360" w:lineRule="auto"/>
        <w:ind w:firstLine="420" w:firstLineChars="200"/>
        <w:rPr>
          <w:rFonts w:ascii="宋体" w:hAnsi="宋体" w:cs="宋体"/>
          <w:color w:val="auto"/>
          <w:szCs w:val="21"/>
          <w:highlight w:val="none"/>
        </w:rPr>
      </w:pPr>
      <w:bookmarkStart w:id="69" w:name="_Hlk66782243"/>
      <w:r>
        <w:rPr>
          <w:rFonts w:hint="eastAsia" w:ascii="宋体" w:hAnsi="宋体" w:cs="宋体"/>
          <w:color w:val="auto"/>
          <w:szCs w:val="21"/>
          <w:highlight w:val="none"/>
        </w:rPr>
        <w:t>未成交供应商的磋商保证金自成交通知书发出之日起</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个工作日内退还；成交供应商的磋商保证金自签订合同之日起</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个工作日内退还。</w:t>
      </w:r>
      <w:bookmarkEnd w:id="69"/>
    </w:p>
    <w:p w14:paraId="27D00F2A">
      <w:pPr>
        <w:spacing w:line="360" w:lineRule="auto"/>
        <w:ind w:left="420" w:leftChars="200"/>
        <w:rPr>
          <w:rFonts w:ascii="宋体" w:hAnsi="宋体" w:cs="宋体"/>
          <w:color w:val="auto"/>
          <w:szCs w:val="21"/>
          <w:highlight w:val="none"/>
        </w:rPr>
      </w:pPr>
      <w:r>
        <w:rPr>
          <w:rFonts w:hint="eastAsia" w:ascii="宋体" w:hAnsi="宋体" w:cs="宋体"/>
          <w:color w:val="auto"/>
          <w:szCs w:val="21"/>
          <w:highlight w:val="none"/>
        </w:rPr>
        <w:t xml:space="preserve">17.3供应商有下列情形之一的，磋商保证金将不予退还： </w:t>
      </w:r>
    </w:p>
    <w:p w14:paraId="6626D61D">
      <w:pPr>
        <w:spacing w:line="360" w:lineRule="auto"/>
        <w:ind w:left="420" w:leftChars="200"/>
        <w:rPr>
          <w:rFonts w:ascii="宋体" w:hAnsi="宋体" w:cs="宋体"/>
          <w:color w:val="auto"/>
          <w:szCs w:val="21"/>
          <w:highlight w:val="none"/>
        </w:rPr>
      </w:pPr>
      <w:r>
        <w:rPr>
          <w:rFonts w:hint="eastAsia" w:ascii="宋体" w:hAnsi="宋体" w:cs="宋体"/>
          <w:color w:val="auto"/>
          <w:szCs w:val="21"/>
          <w:highlight w:val="none"/>
        </w:rPr>
        <w:t>（1）供应商在提交响应文件截止时间后撤回响应文件的；</w:t>
      </w:r>
    </w:p>
    <w:p w14:paraId="2F17C61E">
      <w:pPr>
        <w:spacing w:line="360" w:lineRule="auto"/>
        <w:ind w:left="420" w:leftChars="200"/>
        <w:rPr>
          <w:rFonts w:ascii="宋体" w:hAnsi="宋体" w:cs="宋体"/>
          <w:color w:val="auto"/>
          <w:szCs w:val="21"/>
          <w:highlight w:val="none"/>
        </w:rPr>
      </w:pPr>
      <w:r>
        <w:rPr>
          <w:rFonts w:hint="eastAsia" w:ascii="宋体" w:hAnsi="宋体"/>
          <w:color w:val="auto"/>
          <w:szCs w:val="21"/>
          <w:highlight w:val="none"/>
        </w:rPr>
        <w:t>（2）未按规定提交履约保证金的；</w:t>
      </w:r>
    </w:p>
    <w:p w14:paraId="59FC4D02">
      <w:pPr>
        <w:spacing w:line="360" w:lineRule="auto"/>
        <w:ind w:left="420" w:leftChars="200"/>
        <w:rPr>
          <w:rFonts w:ascii="宋体" w:hAnsi="宋体" w:cs="宋体"/>
          <w:color w:val="auto"/>
          <w:szCs w:val="21"/>
          <w:highlight w:val="none"/>
        </w:rPr>
      </w:pPr>
      <w:r>
        <w:rPr>
          <w:rFonts w:hint="eastAsia" w:ascii="宋体" w:hAnsi="宋体" w:cs="宋体"/>
          <w:color w:val="auto"/>
          <w:szCs w:val="21"/>
          <w:highlight w:val="none"/>
        </w:rPr>
        <w:t>（3）供应商在响应文件中提供虚假材料的；</w:t>
      </w:r>
    </w:p>
    <w:p w14:paraId="1CB5198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（4）除因不可抗力或者磋商文件认可的情形以外，成交供应商不与采购人签订合同的；</w:t>
      </w:r>
    </w:p>
    <w:p w14:paraId="531D0B39">
      <w:pPr>
        <w:spacing w:line="360" w:lineRule="auto"/>
        <w:ind w:left="420" w:leftChars="200"/>
        <w:rPr>
          <w:rFonts w:ascii="宋体" w:hAnsi="宋体" w:cs="宋体"/>
          <w:color w:val="auto"/>
          <w:szCs w:val="21"/>
          <w:highlight w:val="none"/>
        </w:rPr>
      </w:pPr>
      <w:r>
        <w:rPr>
          <w:rFonts w:hint="eastAsia" w:ascii="宋体" w:hAnsi="宋体" w:cs="宋体"/>
          <w:color w:val="auto"/>
          <w:szCs w:val="21"/>
          <w:highlight w:val="none"/>
        </w:rPr>
        <w:t>（5）供应商与采购人、其他供应商或者采购代理机构恶意串通的；</w:t>
      </w:r>
    </w:p>
    <w:p w14:paraId="3AABCAC4">
      <w:pPr>
        <w:spacing w:line="360" w:lineRule="auto"/>
        <w:ind w:left="420" w:leftChars="200"/>
        <w:rPr>
          <w:rFonts w:ascii="宋体" w:hAnsi="宋体" w:cs="宋体"/>
          <w:color w:val="auto"/>
          <w:szCs w:val="21"/>
          <w:highlight w:val="none"/>
        </w:rPr>
      </w:pPr>
      <w:r>
        <w:rPr>
          <w:rFonts w:hint="eastAsia" w:ascii="宋体" w:hAnsi="宋体" w:cs="宋体"/>
          <w:color w:val="auto"/>
          <w:szCs w:val="21"/>
          <w:highlight w:val="none"/>
        </w:rPr>
        <w:t>（6）法律法规规定的其他情形。</w:t>
      </w:r>
    </w:p>
    <w:p w14:paraId="2F21DF0F">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18.响应文件编制的要求</w:t>
      </w:r>
    </w:p>
    <w:p w14:paraId="42E368F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18.1供应商应先安装“广西政府采购云平台新版客户端”（请自行前往广西政府采购云平台进行下载），并按照本项目磋商文件规定的格式和顺序和广西政府采购云平台的要求编制并加密。响应文件内容不完整、编排混乱导致响应文件被误读、漏读或者查找不到相关内容的，由此引发的后果由供应商承担。</w:t>
      </w:r>
    </w:p>
    <w:p w14:paraId="5669C8C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18.2为确保网上操作合法、有效和安全，供应商应当在提交响应文件截止时间前完成在广西政府采购云平台的身份认证，确保在电子竞标过程中能够对相关数据电文进行加密和使用电子签章。</w:t>
      </w:r>
    </w:p>
    <w:p w14:paraId="28E4076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18.3响应文件须由供应商在规定位置签字、盖章（具体以供应商须知前附表或响应文件格式规定为准），否则按无效响应处理。</w:t>
      </w:r>
    </w:p>
    <w:p w14:paraId="3D4A50D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18.4响应文件中标注的供应商名称应与主体资格证明（如营业执照或者事业单位法人证书或者执业许可证或者登记证书等）及公章一致，供应商为自然人的，标注的供应商名称应与身份证姓名及签名一致，否则其响应文件按无效响应处理。</w:t>
      </w:r>
    </w:p>
    <w:p w14:paraId="49D64A1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18.5响应文件应尽量避免涂改、行间插字或者删除。如果出现上述情况，改动之处应由供应商的法定代表人或者其委托代理人签字（或者电子签名）或者加盖公章或者加盖电子签章。响应文件因涂改、行间插字或者删除导致字迹潦草或者表达不清所引起的后果由供应商承担。</w:t>
      </w:r>
    </w:p>
    <w:p w14:paraId="2DE90C6E">
      <w:pPr>
        <w:spacing w:line="360" w:lineRule="auto"/>
        <w:ind w:firstLine="482" w:firstLineChars="200"/>
        <w:rPr>
          <w:rFonts w:ascii="黑体" w:hAnsi="黑体" w:eastAsia="黑体"/>
          <w:color w:val="auto"/>
          <w:sz w:val="24"/>
          <w:highlight w:val="none"/>
        </w:rPr>
      </w:pPr>
      <w:r>
        <w:rPr>
          <w:rFonts w:hint="eastAsia" w:ascii="黑体" w:hAnsi="黑体" w:eastAsia="黑体" w:cs="宋体"/>
          <w:b/>
          <w:bCs/>
          <w:color w:val="auto"/>
          <w:sz w:val="24"/>
          <w:highlight w:val="none"/>
        </w:rPr>
        <w:t>19.电子</w:t>
      </w:r>
      <w:r>
        <w:rPr>
          <w:rFonts w:hint="eastAsia" w:ascii="黑体" w:hAnsi="黑体" w:eastAsia="黑体"/>
          <w:b/>
          <w:color w:val="auto"/>
          <w:sz w:val="24"/>
          <w:highlight w:val="none"/>
        </w:rPr>
        <w:t>备份响应文件</w:t>
      </w:r>
    </w:p>
    <w:p w14:paraId="7BF563FC">
      <w:pPr>
        <w:spacing w:line="360" w:lineRule="auto"/>
        <w:ind w:firstLine="420" w:firstLineChars="200"/>
        <w:rPr>
          <w:rFonts w:ascii="宋体" w:hAnsi="宋体" w:cs="宋体"/>
          <w:color w:val="auto"/>
          <w:szCs w:val="21"/>
          <w:highlight w:val="none"/>
        </w:rPr>
      </w:pPr>
      <w:r>
        <w:rPr>
          <w:rFonts w:hint="eastAsia"/>
          <w:color w:val="auto"/>
          <w:highlight w:val="none"/>
        </w:rPr>
        <w:t>电子备份响应文件是指通过“</w:t>
      </w:r>
      <w:r>
        <w:rPr>
          <w:rFonts w:hint="eastAsia" w:ascii="宋体" w:hAnsi="宋体" w:cs="宋体"/>
          <w:color w:val="auto"/>
          <w:szCs w:val="21"/>
          <w:highlight w:val="none"/>
        </w:rPr>
        <w:t>广西政府采购云平台新版客户端</w:t>
      </w:r>
      <w:r>
        <w:rPr>
          <w:rFonts w:hint="eastAsia"/>
          <w:color w:val="auto"/>
          <w:highlight w:val="none"/>
        </w:rPr>
        <w:t>”在线编制生成且后缀名为“</w:t>
      </w:r>
      <w:r>
        <w:rPr>
          <w:color w:val="auto"/>
          <w:highlight w:val="none"/>
        </w:rPr>
        <w:t>bfbs</w:t>
      </w:r>
      <w:r>
        <w:rPr>
          <w:rFonts w:hint="eastAsia"/>
          <w:color w:val="auto"/>
          <w:highlight w:val="none"/>
        </w:rPr>
        <w:t>”的文件，是否接受电子备份响应文件</w:t>
      </w:r>
      <w:r>
        <w:rPr>
          <w:rFonts w:hint="eastAsia" w:hAnsi="宋体"/>
          <w:bCs/>
          <w:color w:val="auto"/>
          <w:szCs w:val="21"/>
          <w:highlight w:val="none"/>
        </w:rPr>
        <w:t>详见在“供应商须知前附表”。</w:t>
      </w:r>
    </w:p>
    <w:p w14:paraId="0FB8A84C">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20.响应文件的提交</w:t>
      </w:r>
    </w:p>
    <w:p w14:paraId="494E4490">
      <w:pPr>
        <w:spacing w:line="360" w:lineRule="auto"/>
        <w:ind w:firstLine="420" w:firstLineChars="200"/>
        <w:rPr>
          <w:rFonts w:hAnsi="宋体"/>
          <w:b/>
          <w:color w:val="auto"/>
          <w:highlight w:val="none"/>
        </w:rPr>
      </w:pPr>
      <w:r>
        <w:rPr>
          <w:rFonts w:hint="eastAsia" w:hAnsi="宋体"/>
          <w:bCs/>
          <w:color w:val="auto"/>
          <w:szCs w:val="21"/>
          <w:highlight w:val="none"/>
        </w:rPr>
        <w:t>20.1供应商必须按“供应商须知前附表”规定的</w:t>
      </w:r>
      <w:r>
        <w:rPr>
          <w:rFonts w:hint="eastAsia" w:ascii="宋体" w:hAnsi="宋体" w:cs="宋体"/>
          <w:color w:val="auto"/>
          <w:szCs w:val="21"/>
          <w:highlight w:val="none"/>
        </w:rPr>
        <w:t>时间</w:t>
      </w:r>
      <w:r>
        <w:rPr>
          <w:rFonts w:hint="eastAsia" w:ascii="宋体" w:hAnsi="宋体"/>
          <w:color w:val="auto"/>
          <w:szCs w:val="21"/>
          <w:highlight w:val="none"/>
        </w:rPr>
        <w:t>及</w:t>
      </w:r>
      <w:r>
        <w:rPr>
          <w:rFonts w:hint="eastAsia" w:hAnsi="宋体"/>
          <w:bCs/>
          <w:color w:val="auto"/>
          <w:szCs w:val="21"/>
          <w:highlight w:val="none"/>
        </w:rPr>
        <w:t>地点提交响应文件。电子响应文件应在制作完成后，</w:t>
      </w:r>
      <w:r>
        <w:rPr>
          <w:rFonts w:hAnsi="宋体"/>
          <w:bCs/>
          <w:color w:val="auto"/>
          <w:szCs w:val="21"/>
          <w:highlight w:val="none"/>
        </w:rPr>
        <w:t>在</w:t>
      </w:r>
      <w:r>
        <w:rPr>
          <w:rFonts w:hint="eastAsia" w:hAnsi="宋体"/>
          <w:bCs/>
          <w:color w:val="auto"/>
          <w:szCs w:val="21"/>
          <w:highlight w:val="none"/>
        </w:rPr>
        <w:t>提交响应文件截止</w:t>
      </w:r>
      <w:r>
        <w:rPr>
          <w:rFonts w:hAnsi="宋体"/>
          <w:bCs/>
          <w:color w:val="auto"/>
          <w:szCs w:val="21"/>
          <w:highlight w:val="none"/>
        </w:rPr>
        <w:t>时间前</w:t>
      </w:r>
      <w:r>
        <w:rPr>
          <w:rFonts w:hint="eastAsia" w:hAnsi="宋体"/>
          <w:bCs/>
          <w:color w:val="auto"/>
          <w:szCs w:val="21"/>
          <w:highlight w:val="none"/>
        </w:rPr>
        <w:t>通过有效数字证书（CA认证锁）进行电子签章、加密，然后通过网络将加密的电子响应文件提交至</w:t>
      </w:r>
      <w:r>
        <w:rPr>
          <w:rFonts w:hint="eastAsia" w:ascii="宋体" w:hAnsi="宋体"/>
          <w:color w:val="auto"/>
          <w:szCs w:val="21"/>
          <w:highlight w:val="none"/>
        </w:rPr>
        <w:t>广西政府采购云平台</w:t>
      </w:r>
      <w:r>
        <w:rPr>
          <w:rFonts w:hint="eastAsia" w:hAnsi="宋体"/>
          <w:bCs/>
          <w:color w:val="auto"/>
          <w:szCs w:val="21"/>
          <w:highlight w:val="none"/>
        </w:rPr>
        <w:t>。</w:t>
      </w:r>
    </w:p>
    <w:p w14:paraId="670600A1">
      <w:pPr>
        <w:spacing w:line="360" w:lineRule="auto"/>
        <w:ind w:firstLine="420" w:firstLineChars="200"/>
        <w:rPr>
          <w:rFonts w:ascii="宋体" w:hAnsi="宋体" w:cs="宋体"/>
          <w:color w:val="auto"/>
          <w:szCs w:val="21"/>
          <w:highlight w:val="none"/>
        </w:rPr>
      </w:pPr>
      <w:r>
        <w:rPr>
          <w:rFonts w:hint="eastAsia" w:ascii="宋体" w:hAnsi="宋体"/>
          <w:color w:val="auto"/>
          <w:szCs w:val="21"/>
          <w:highlight w:val="none"/>
        </w:rPr>
        <w:t>20.</w:t>
      </w:r>
      <w:r>
        <w:rPr>
          <w:rFonts w:ascii="宋体" w:hAnsi="宋体"/>
          <w:color w:val="auto"/>
          <w:szCs w:val="21"/>
          <w:highlight w:val="none"/>
        </w:rPr>
        <w:t>2</w:t>
      </w:r>
      <w:r>
        <w:rPr>
          <w:rFonts w:hint="eastAsia" w:ascii="宋体" w:hAnsi="宋体"/>
          <w:color w:val="auto"/>
          <w:szCs w:val="21"/>
          <w:highlight w:val="none"/>
        </w:rPr>
        <w:t>未在规定时间内提交或者未按照磋商文件要求加密的电子响应文件，</w:t>
      </w:r>
      <w:r>
        <w:rPr>
          <w:rFonts w:hint="eastAsia" w:ascii="宋体" w:hAnsi="宋体"/>
          <w:color w:val="auto"/>
          <w:szCs w:val="21"/>
          <w:highlight w:val="none"/>
          <w:lang w:eastAsia="zh-CN"/>
        </w:rPr>
        <w:t>广西政府采购云平台</w:t>
      </w:r>
      <w:r>
        <w:rPr>
          <w:rFonts w:hint="eastAsia" w:ascii="宋体" w:hAnsi="宋体"/>
          <w:color w:val="auto"/>
          <w:szCs w:val="21"/>
          <w:highlight w:val="none"/>
        </w:rPr>
        <w:t>平台将拒收。</w:t>
      </w:r>
    </w:p>
    <w:p w14:paraId="5011B635">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21.首次响应文件的补充、修改与撤回</w:t>
      </w:r>
    </w:p>
    <w:p w14:paraId="288E6EC7">
      <w:pPr>
        <w:spacing w:line="360" w:lineRule="auto"/>
        <w:ind w:firstLine="420" w:firstLineChars="200"/>
        <w:rPr>
          <w:rFonts w:hAnsi="宋体"/>
          <w:bCs/>
          <w:color w:val="auto"/>
          <w:szCs w:val="21"/>
          <w:highlight w:val="none"/>
        </w:rPr>
      </w:pPr>
      <w:bookmarkStart w:id="70" w:name="_Toc254970543"/>
      <w:bookmarkStart w:id="71" w:name="_Toc254970684"/>
      <w:r>
        <w:rPr>
          <w:rFonts w:hAnsi="宋体"/>
          <w:bCs/>
          <w:color w:val="auto"/>
          <w:szCs w:val="21"/>
          <w:highlight w:val="none"/>
        </w:rPr>
        <w:t>2</w:t>
      </w:r>
      <w:r>
        <w:rPr>
          <w:rFonts w:hint="eastAsia" w:hAnsi="宋体"/>
          <w:bCs/>
          <w:color w:val="auto"/>
          <w:szCs w:val="21"/>
          <w:highlight w:val="none"/>
        </w:rPr>
        <w:t>1.1供应商应当在提交响应文件截止</w:t>
      </w:r>
      <w:r>
        <w:rPr>
          <w:rFonts w:hAnsi="宋体"/>
          <w:bCs/>
          <w:color w:val="auto"/>
          <w:szCs w:val="21"/>
          <w:highlight w:val="none"/>
        </w:rPr>
        <w:t>时间</w:t>
      </w:r>
      <w:r>
        <w:rPr>
          <w:rFonts w:hint="eastAsia" w:hAnsi="宋体"/>
          <w:bCs/>
          <w:color w:val="auto"/>
          <w:szCs w:val="21"/>
          <w:highlight w:val="none"/>
        </w:rPr>
        <w:t>前完成电子响应文件的提交（上传），提交响应文件截止</w:t>
      </w:r>
      <w:r>
        <w:rPr>
          <w:rFonts w:hAnsi="宋体"/>
          <w:bCs/>
          <w:color w:val="auto"/>
          <w:szCs w:val="21"/>
          <w:highlight w:val="none"/>
        </w:rPr>
        <w:t>时间</w:t>
      </w:r>
      <w:r>
        <w:rPr>
          <w:rFonts w:hint="eastAsia" w:hAnsi="宋体"/>
          <w:bCs/>
          <w:color w:val="auto"/>
          <w:szCs w:val="21"/>
          <w:highlight w:val="none"/>
        </w:rPr>
        <w:t>前可以补充、修改或者撤回响应文件。补充或者修改响应文件的，应当先行撤回原响应文件，补充、修改后重新提交（上传），提交响应文件截止</w:t>
      </w:r>
      <w:r>
        <w:rPr>
          <w:rFonts w:hAnsi="宋体"/>
          <w:bCs/>
          <w:color w:val="auto"/>
          <w:szCs w:val="21"/>
          <w:highlight w:val="none"/>
        </w:rPr>
        <w:t>时间</w:t>
      </w:r>
      <w:r>
        <w:rPr>
          <w:rFonts w:hint="eastAsia" w:hAnsi="宋体"/>
          <w:bCs/>
          <w:color w:val="auto"/>
          <w:szCs w:val="21"/>
          <w:highlight w:val="none"/>
        </w:rPr>
        <w:t>前未完成提交（上传）的，视为撤回响应文件。提交响应文件截止</w:t>
      </w:r>
      <w:r>
        <w:rPr>
          <w:rFonts w:hAnsi="宋体"/>
          <w:bCs/>
          <w:color w:val="auto"/>
          <w:szCs w:val="21"/>
          <w:highlight w:val="none"/>
        </w:rPr>
        <w:t>时间</w:t>
      </w:r>
      <w:r>
        <w:rPr>
          <w:rFonts w:hint="eastAsia" w:hAnsi="宋体"/>
          <w:bCs/>
          <w:color w:val="auto"/>
          <w:szCs w:val="21"/>
          <w:highlight w:val="none"/>
        </w:rPr>
        <w:t>以后提交（上传）的响应文件，</w:t>
      </w:r>
      <w:r>
        <w:rPr>
          <w:rFonts w:hint="eastAsia" w:hAnsi="宋体"/>
          <w:bCs/>
          <w:color w:val="auto"/>
          <w:szCs w:val="21"/>
          <w:highlight w:val="none"/>
          <w:lang w:eastAsia="zh-CN"/>
        </w:rPr>
        <w:t>广西政府采购云平台</w:t>
      </w:r>
      <w:r>
        <w:rPr>
          <w:rFonts w:hint="eastAsia" w:hAnsi="宋体"/>
          <w:bCs/>
          <w:color w:val="auto"/>
          <w:szCs w:val="21"/>
          <w:highlight w:val="none"/>
        </w:rPr>
        <w:t>平台将予以拒收。（注：补充、修改或者撤回方式可登陆</w:t>
      </w:r>
      <w:r>
        <w:rPr>
          <w:rFonts w:hint="eastAsia" w:hAnsi="宋体"/>
          <w:bCs/>
          <w:color w:val="auto"/>
          <w:szCs w:val="21"/>
          <w:highlight w:val="none"/>
          <w:lang w:eastAsia="zh-CN"/>
        </w:rPr>
        <w:t>广西政府采购云平台</w:t>
      </w:r>
      <w:r>
        <w:rPr>
          <w:rFonts w:hint="eastAsia" w:hAnsi="宋体"/>
          <w:bCs/>
          <w:color w:val="auto"/>
          <w:szCs w:val="21"/>
          <w:highlight w:val="none"/>
        </w:rPr>
        <w:t>平台，进入“服务中心”中查看“电子投标文件制作与投送教程”）</w:t>
      </w:r>
    </w:p>
    <w:bookmarkEnd w:id="70"/>
    <w:bookmarkEnd w:id="71"/>
    <w:p w14:paraId="3D97DC0B">
      <w:pPr>
        <w:pStyle w:val="159"/>
        <w:spacing w:before="0"/>
        <w:ind w:firstLine="420"/>
        <w:rPr>
          <w:rFonts w:ascii="宋体" w:hAnsi="宋体" w:cs="宋体"/>
          <w:color w:val="auto"/>
          <w:sz w:val="21"/>
          <w:szCs w:val="21"/>
          <w:highlight w:val="none"/>
        </w:rPr>
      </w:pPr>
      <w:r>
        <w:rPr>
          <w:rFonts w:ascii="宋体" w:hAnsi="宋体" w:cs="宋体"/>
          <w:color w:val="auto"/>
          <w:sz w:val="21"/>
          <w:szCs w:val="21"/>
          <w:highlight w:val="none"/>
        </w:rPr>
        <w:t>2</w:t>
      </w:r>
      <w:r>
        <w:rPr>
          <w:rFonts w:hint="eastAsia" w:ascii="宋体" w:hAnsi="宋体" w:cs="宋体"/>
          <w:color w:val="auto"/>
          <w:sz w:val="21"/>
          <w:szCs w:val="21"/>
          <w:highlight w:val="none"/>
        </w:rPr>
        <w:t>1</w:t>
      </w:r>
      <w:r>
        <w:rPr>
          <w:rFonts w:ascii="宋体" w:hAnsi="宋体" w:cs="宋体"/>
          <w:color w:val="auto"/>
          <w:sz w:val="21"/>
          <w:szCs w:val="21"/>
          <w:highlight w:val="none"/>
        </w:rPr>
        <w:t>.</w:t>
      </w:r>
      <w:r>
        <w:rPr>
          <w:rFonts w:hint="eastAsia" w:ascii="宋体" w:hAnsi="宋体" w:cs="宋体"/>
          <w:color w:val="auto"/>
          <w:sz w:val="21"/>
          <w:szCs w:val="21"/>
          <w:highlight w:val="none"/>
        </w:rPr>
        <w:t>2在提交响应文件截止时间前，除供应商补充、修改或者撤回响应文件外，任何单位和个人不得解密或提取响应文件。</w:t>
      </w:r>
    </w:p>
    <w:p w14:paraId="03A5796D">
      <w:pPr>
        <w:spacing w:line="360" w:lineRule="auto"/>
        <w:ind w:firstLine="482" w:firstLineChars="200"/>
        <w:rPr>
          <w:rFonts w:ascii="黑体" w:hAnsi="黑体" w:eastAsia="黑体" w:cs="宋体"/>
          <w:b/>
          <w:bCs/>
          <w:color w:val="auto"/>
          <w:sz w:val="24"/>
          <w:highlight w:val="none"/>
        </w:rPr>
      </w:pPr>
      <w:bookmarkStart w:id="72" w:name="_Hlk45702405"/>
      <w:r>
        <w:rPr>
          <w:rFonts w:hint="eastAsia" w:ascii="黑体" w:hAnsi="黑体" w:eastAsia="黑体" w:cs="宋体"/>
          <w:b/>
          <w:bCs/>
          <w:color w:val="auto"/>
          <w:sz w:val="24"/>
          <w:highlight w:val="none"/>
        </w:rPr>
        <w:t>22.响应文件的退回</w:t>
      </w:r>
    </w:p>
    <w:p w14:paraId="7A22DAC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采购人和采购代理机构对已提交的响应文件概不退回。</w:t>
      </w:r>
    </w:p>
    <w:p w14:paraId="33970022">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23.截止时间后的撤回</w:t>
      </w:r>
    </w:p>
    <w:p w14:paraId="229A4DA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供应商在响应文件提交截止时间后向采购人、采购代理机构书面申请撤回响应文件的，将根据本须知正文第17.4条的规定不予退还其磋商保证金。</w:t>
      </w:r>
    </w:p>
    <w:bookmarkEnd w:id="72"/>
    <w:p w14:paraId="6F3D180E">
      <w:pPr>
        <w:spacing w:line="360" w:lineRule="auto"/>
        <w:rPr>
          <w:rFonts w:ascii="宋体" w:hAnsi="宋体"/>
          <w:color w:val="auto"/>
          <w:szCs w:val="21"/>
          <w:highlight w:val="none"/>
        </w:rPr>
      </w:pPr>
    </w:p>
    <w:p w14:paraId="5ABE18A0">
      <w:pPr>
        <w:spacing w:line="360" w:lineRule="auto"/>
        <w:ind w:left="420" w:firstLine="420"/>
        <w:jc w:val="center"/>
        <w:rPr>
          <w:rFonts w:ascii="宋体" w:hAnsi="宋体"/>
          <w:b/>
          <w:bCs/>
          <w:color w:val="auto"/>
          <w:sz w:val="32"/>
          <w:szCs w:val="32"/>
          <w:highlight w:val="none"/>
        </w:rPr>
      </w:pPr>
      <w:r>
        <w:rPr>
          <w:rFonts w:hint="eastAsia" w:ascii="宋体" w:hAnsi="宋体"/>
          <w:b/>
          <w:bCs/>
          <w:color w:val="auto"/>
          <w:sz w:val="32"/>
          <w:szCs w:val="32"/>
          <w:highlight w:val="none"/>
        </w:rPr>
        <w:t>四、评审及磋商</w:t>
      </w:r>
    </w:p>
    <w:p w14:paraId="11429FC4">
      <w:pPr>
        <w:spacing w:line="360" w:lineRule="auto"/>
        <w:ind w:left="420" w:firstLine="420"/>
        <w:rPr>
          <w:rFonts w:ascii="宋体" w:hAnsi="宋体"/>
          <w:color w:val="auto"/>
          <w:szCs w:val="21"/>
          <w:highlight w:val="none"/>
        </w:rPr>
      </w:pPr>
    </w:p>
    <w:p w14:paraId="70E9059E">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24.磋商小组成立</w:t>
      </w:r>
    </w:p>
    <w:p w14:paraId="1D1D5C3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24.1磋商小组由采购人代表和评审专家共3人以上单数组成，具体人数见“供应商须知前附表”，其中评审专家人数不得少于磋商小组成员总数的2/3。采购人代表不得以评审专家身份参加本部门或者本单位采购项目的评审。采购代理机构人员不得参加本机构代理的采购项目的评审。</w:t>
      </w:r>
    </w:p>
    <w:p w14:paraId="183558F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0EF2E793">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24.3</w:t>
      </w:r>
      <w:r>
        <w:rPr>
          <w:rFonts w:hint="eastAsia" w:hAnsi="宋体"/>
          <w:bCs/>
          <w:color w:val="auto"/>
          <w:szCs w:val="21"/>
          <w:highlight w:val="none"/>
        </w:rPr>
        <w:t>采购代理机构</w:t>
      </w:r>
      <w:r>
        <w:rPr>
          <w:rFonts w:hint="eastAsia" w:hAnsi="宋体"/>
          <w:bCs/>
          <w:color w:val="auto"/>
          <w:highlight w:val="none"/>
        </w:rPr>
        <w:t>应当</w:t>
      </w:r>
      <w:r>
        <w:rPr>
          <w:rFonts w:hint="eastAsia" w:hAnsi="宋体"/>
          <w:bCs/>
          <w:color w:val="auto"/>
          <w:szCs w:val="21"/>
          <w:highlight w:val="none"/>
        </w:rPr>
        <w:t>基于</w:t>
      </w:r>
      <w:r>
        <w:rPr>
          <w:rFonts w:hint="eastAsia" w:hAnsi="宋体"/>
          <w:bCs/>
          <w:color w:val="auto"/>
          <w:szCs w:val="21"/>
          <w:highlight w:val="none"/>
          <w:lang w:eastAsia="zh-CN"/>
        </w:rPr>
        <w:t>广西政府采购云平台</w:t>
      </w:r>
      <w:r>
        <w:rPr>
          <w:rFonts w:hint="eastAsia" w:hAnsi="宋体"/>
          <w:bCs/>
          <w:color w:val="auto"/>
          <w:szCs w:val="21"/>
          <w:highlight w:val="none"/>
        </w:rPr>
        <w:t>平台</w:t>
      </w:r>
      <w:r>
        <w:rPr>
          <w:rFonts w:hint="eastAsia" w:hAnsi="宋体"/>
          <w:bCs/>
          <w:color w:val="auto"/>
          <w:highlight w:val="none"/>
        </w:rPr>
        <w:t>抽（选）取</w:t>
      </w:r>
      <w:r>
        <w:rPr>
          <w:rFonts w:hint="eastAsia" w:hAnsi="宋体"/>
          <w:bCs/>
          <w:color w:val="auto"/>
          <w:szCs w:val="21"/>
          <w:highlight w:val="none"/>
        </w:rPr>
        <w:t>评审专家。</w:t>
      </w:r>
    </w:p>
    <w:p w14:paraId="7D13B69D">
      <w:pPr>
        <w:spacing w:line="360" w:lineRule="auto"/>
        <w:ind w:firstLine="482" w:firstLineChars="200"/>
        <w:rPr>
          <w:rFonts w:ascii="黑体" w:hAnsi="黑体" w:eastAsia="黑体" w:cs="宋体"/>
          <w:b/>
          <w:bCs/>
          <w:color w:val="auto"/>
          <w:sz w:val="24"/>
          <w:highlight w:val="none"/>
        </w:rPr>
      </w:pPr>
      <w:r>
        <w:rPr>
          <w:rFonts w:ascii="黑体" w:hAnsi="黑体" w:eastAsia="黑体" w:cs="宋体"/>
          <w:b/>
          <w:bCs/>
          <w:color w:val="auto"/>
          <w:sz w:val="24"/>
          <w:highlight w:val="none"/>
        </w:rPr>
        <w:t>25.</w:t>
      </w:r>
      <w:r>
        <w:rPr>
          <w:rFonts w:hint="eastAsia" w:ascii="黑体" w:hAnsi="黑体" w:eastAsia="黑体" w:cs="宋体"/>
          <w:b/>
          <w:bCs/>
          <w:color w:val="auto"/>
          <w:sz w:val="24"/>
          <w:highlight w:val="none"/>
        </w:rPr>
        <w:t>首次响应文件的开启和解密</w:t>
      </w:r>
    </w:p>
    <w:p w14:paraId="5F7F43CC">
      <w:pPr>
        <w:spacing w:line="360" w:lineRule="auto"/>
        <w:ind w:firstLine="420" w:firstLineChars="200"/>
        <w:rPr>
          <w:rFonts w:ascii="宋体" w:hAnsi="宋体" w:cs="宋体"/>
          <w:color w:val="auto"/>
          <w:szCs w:val="21"/>
          <w:highlight w:val="none"/>
        </w:rPr>
      </w:pPr>
      <w:r>
        <w:rPr>
          <w:rFonts w:hint="eastAsia" w:hAnsi="宋体"/>
          <w:bCs/>
          <w:color w:val="auto"/>
          <w:highlight w:val="none"/>
        </w:rPr>
        <w:t>采购代理机构将在“供应商须知前附表”规定的时</w:t>
      </w:r>
      <w:r>
        <w:rPr>
          <w:rFonts w:hint="eastAsia" w:hAnsi="宋体"/>
          <w:color w:val="auto"/>
          <w:highlight w:val="none"/>
        </w:rPr>
        <w:t>间通过电子交易平台组织响应文件开启，供应商的法定代表人或其委托代理人须携带加密时所用的CA锁，按平台提示和磋商文件的规定登录到</w:t>
      </w:r>
      <w:r>
        <w:rPr>
          <w:rFonts w:hint="eastAsia" w:hAnsi="宋体"/>
          <w:color w:val="auto"/>
          <w:highlight w:val="none"/>
          <w:lang w:eastAsia="zh-CN"/>
        </w:rPr>
        <w:t>广西政府采购云平台</w:t>
      </w:r>
      <w:r>
        <w:rPr>
          <w:rFonts w:hint="eastAsia" w:hAnsi="宋体"/>
          <w:color w:val="auto"/>
          <w:highlight w:val="none"/>
        </w:rPr>
        <w:t>平台电子开标大厅签到，</w:t>
      </w:r>
      <w:r>
        <w:rPr>
          <w:rFonts w:hint="eastAsia"/>
          <w:color w:val="auto"/>
          <w:highlight w:val="none"/>
        </w:rPr>
        <w:t>采购代理机构依托</w:t>
      </w:r>
      <w:r>
        <w:rPr>
          <w:rFonts w:hint="eastAsia"/>
          <w:color w:val="auto"/>
          <w:highlight w:val="none"/>
          <w:lang w:eastAsia="zh-CN"/>
        </w:rPr>
        <w:t>广西政府采购云平台</w:t>
      </w:r>
      <w:r>
        <w:rPr>
          <w:rFonts w:hint="eastAsia"/>
          <w:color w:val="auto"/>
          <w:highlight w:val="none"/>
        </w:rPr>
        <w:t>平台向各供应商发出电子加密响应文件【开始解密】通知，由供应商按</w:t>
      </w:r>
      <w:r>
        <w:rPr>
          <w:rFonts w:hint="eastAsia" w:hAnsi="宋体"/>
          <w:bCs/>
          <w:color w:val="auto"/>
          <w:szCs w:val="21"/>
          <w:highlight w:val="none"/>
        </w:rPr>
        <w:t>“供应商须知前附表”</w:t>
      </w:r>
      <w:r>
        <w:rPr>
          <w:rFonts w:hint="eastAsia"/>
          <w:color w:val="auto"/>
          <w:highlight w:val="none"/>
        </w:rPr>
        <w:t>规定的时间内自行进行响应文件解密</w:t>
      </w:r>
      <w:r>
        <w:rPr>
          <w:rFonts w:hint="eastAsia" w:hAnsi="宋体"/>
          <w:color w:val="auto"/>
          <w:highlight w:val="none"/>
        </w:rPr>
        <w:t>。</w:t>
      </w:r>
      <w:r>
        <w:rPr>
          <w:rFonts w:hint="eastAsia"/>
          <w:b/>
          <w:color w:val="auto"/>
          <w:highlight w:val="none"/>
        </w:rPr>
        <w:t>供应商未在</w:t>
      </w:r>
      <w:r>
        <w:rPr>
          <w:b/>
          <w:color w:val="auto"/>
          <w:highlight w:val="none"/>
        </w:rPr>
        <w:t>规定的时间内解密</w:t>
      </w:r>
      <w:r>
        <w:rPr>
          <w:rFonts w:hint="eastAsia"/>
          <w:b/>
          <w:color w:val="auto"/>
          <w:highlight w:val="none"/>
        </w:rPr>
        <w:t>响应文件</w:t>
      </w:r>
      <w:r>
        <w:rPr>
          <w:b/>
          <w:color w:val="auto"/>
          <w:highlight w:val="none"/>
        </w:rPr>
        <w:t>或</w:t>
      </w:r>
      <w:r>
        <w:rPr>
          <w:rFonts w:hint="eastAsia"/>
          <w:b/>
          <w:color w:val="auto"/>
          <w:highlight w:val="none"/>
        </w:rPr>
        <w:t>者</w:t>
      </w:r>
      <w:r>
        <w:rPr>
          <w:b/>
          <w:color w:val="auto"/>
          <w:highlight w:val="none"/>
        </w:rPr>
        <w:t>解密失败的</w:t>
      </w:r>
      <w:r>
        <w:rPr>
          <w:rFonts w:hint="eastAsia"/>
          <w:b/>
          <w:color w:val="auto"/>
          <w:highlight w:val="none"/>
        </w:rPr>
        <w:t>，供应商</w:t>
      </w:r>
      <w:r>
        <w:rPr>
          <w:rFonts w:hint="eastAsia" w:ascii="宋体" w:hAnsi="宋体"/>
          <w:b/>
          <w:color w:val="auto"/>
          <w:szCs w:val="21"/>
          <w:highlight w:val="none"/>
        </w:rPr>
        <w:t>的响应文件按无效处理</w:t>
      </w:r>
      <w:r>
        <w:rPr>
          <w:b/>
          <w:color w:val="auto"/>
          <w:highlight w:val="none"/>
        </w:rPr>
        <w:t>。</w:t>
      </w:r>
    </w:p>
    <w:p w14:paraId="78755524">
      <w:pPr>
        <w:spacing w:line="360" w:lineRule="auto"/>
        <w:ind w:firstLine="482" w:firstLineChars="200"/>
        <w:rPr>
          <w:rFonts w:ascii="黑体" w:hAnsi="黑体" w:eastAsia="黑体" w:cs="宋体"/>
          <w:b/>
          <w:bCs/>
          <w:color w:val="auto"/>
          <w:sz w:val="24"/>
          <w:highlight w:val="none"/>
        </w:rPr>
      </w:pPr>
      <w:r>
        <w:rPr>
          <w:rFonts w:ascii="黑体" w:hAnsi="黑体" w:eastAsia="黑体" w:cs="宋体"/>
          <w:b/>
          <w:bCs/>
          <w:color w:val="auto"/>
          <w:sz w:val="24"/>
          <w:highlight w:val="none"/>
        </w:rPr>
        <w:t>26</w:t>
      </w:r>
      <w:r>
        <w:rPr>
          <w:rFonts w:hint="eastAsia" w:ascii="黑体" w:hAnsi="黑体" w:eastAsia="黑体" w:cs="宋体"/>
          <w:b/>
          <w:bCs/>
          <w:color w:val="auto"/>
          <w:sz w:val="24"/>
          <w:highlight w:val="none"/>
        </w:rPr>
        <w:t>.评审程序、评审方法和评审标准</w:t>
      </w:r>
    </w:p>
    <w:p w14:paraId="1CA4AD06">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6</w:t>
      </w:r>
      <w:r>
        <w:rPr>
          <w:rFonts w:hint="eastAsia" w:ascii="宋体" w:hAnsi="宋体" w:cs="宋体"/>
          <w:color w:val="auto"/>
          <w:szCs w:val="21"/>
          <w:highlight w:val="none"/>
        </w:rPr>
        <w:t>.1本项目的评审方法为综合评分法。</w:t>
      </w:r>
    </w:p>
    <w:p w14:paraId="0AC65BB0">
      <w:pPr>
        <w:spacing w:line="360" w:lineRule="auto"/>
        <w:ind w:firstLine="420" w:firstLineChars="200"/>
        <w:rPr>
          <w:rFonts w:ascii="宋体" w:hAnsi="宋体" w:cs="宋体"/>
          <w:color w:val="auto"/>
          <w:szCs w:val="21"/>
          <w:highlight w:val="none"/>
        </w:rPr>
      </w:pPr>
      <w:r>
        <w:rPr>
          <w:rFonts w:ascii="宋体" w:hAnsi="宋体" w:cs="宋体"/>
          <w:color w:val="auto"/>
          <w:szCs w:val="21"/>
          <w:highlight w:val="none"/>
        </w:rPr>
        <w:t>26.2</w:t>
      </w:r>
      <w:r>
        <w:rPr>
          <w:rFonts w:hint="eastAsia" w:ascii="宋体" w:hAnsi="宋体" w:cs="宋体"/>
          <w:color w:val="auto"/>
          <w:szCs w:val="21"/>
          <w:highlight w:val="none"/>
        </w:rPr>
        <w:t>磋商小组</w:t>
      </w:r>
      <w:r>
        <w:rPr>
          <w:rFonts w:ascii="宋体" w:hAnsi="宋体" w:cs="宋体"/>
          <w:color w:val="auto"/>
          <w:szCs w:val="21"/>
          <w:highlight w:val="none"/>
        </w:rPr>
        <w:t>按照</w:t>
      </w:r>
      <w:r>
        <w:rPr>
          <w:rFonts w:hint="eastAsia" w:ascii="宋体" w:hAnsi="宋体" w:cs="宋体"/>
          <w:color w:val="auto"/>
          <w:szCs w:val="21"/>
          <w:highlight w:val="none"/>
        </w:rPr>
        <w:t>“第四章 评审程序、评审方法和评审标准”</w:t>
      </w:r>
      <w:r>
        <w:rPr>
          <w:rFonts w:ascii="宋体" w:hAnsi="宋体" w:cs="宋体"/>
          <w:color w:val="auto"/>
          <w:szCs w:val="21"/>
          <w:highlight w:val="none"/>
        </w:rPr>
        <w:t>规定的方法、评审因素、标准和程序对</w:t>
      </w:r>
      <w:r>
        <w:rPr>
          <w:rFonts w:hint="eastAsia" w:ascii="宋体" w:hAnsi="宋体" w:cs="宋体"/>
          <w:color w:val="auto"/>
          <w:szCs w:val="21"/>
          <w:highlight w:val="none"/>
        </w:rPr>
        <w:t>响应</w:t>
      </w:r>
      <w:r>
        <w:rPr>
          <w:rFonts w:ascii="宋体" w:hAnsi="宋体" w:cs="宋体"/>
          <w:color w:val="auto"/>
          <w:szCs w:val="21"/>
          <w:highlight w:val="none"/>
        </w:rPr>
        <w:t>文件进行评审</w:t>
      </w:r>
      <w:r>
        <w:rPr>
          <w:rFonts w:hint="eastAsia" w:ascii="宋体" w:hAnsi="宋体" w:cs="宋体"/>
          <w:color w:val="auto"/>
          <w:szCs w:val="21"/>
          <w:highlight w:val="none"/>
        </w:rPr>
        <w:t>并推荐成交候选供应商</w:t>
      </w:r>
      <w:r>
        <w:rPr>
          <w:rFonts w:ascii="宋体" w:hAnsi="宋体" w:cs="宋体"/>
          <w:color w:val="auto"/>
          <w:szCs w:val="21"/>
          <w:highlight w:val="none"/>
        </w:rPr>
        <w:t>。</w:t>
      </w:r>
    </w:p>
    <w:p w14:paraId="5F24878A">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 xml:space="preserve">6.3 </w:t>
      </w:r>
      <w:r>
        <w:rPr>
          <w:rFonts w:hint="eastAsia" w:ascii="宋体" w:hAnsi="宋体"/>
          <w:color w:val="auto"/>
          <w:szCs w:val="21"/>
          <w:highlight w:val="none"/>
        </w:rPr>
        <w:t>商务/技术要求允许负偏离的条款数详见“供应商须知前附表”。</w:t>
      </w:r>
    </w:p>
    <w:p w14:paraId="24940E3D">
      <w:pPr>
        <w:spacing w:line="360" w:lineRule="auto"/>
        <w:ind w:firstLine="420" w:firstLineChars="200"/>
        <w:rPr>
          <w:rFonts w:ascii="宋体" w:hAnsi="宋体"/>
          <w:color w:val="auto"/>
          <w:szCs w:val="21"/>
          <w:highlight w:val="none"/>
        </w:rPr>
      </w:pPr>
      <w:r>
        <w:rPr>
          <w:rFonts w:hint="eastAsia" w:ascii="宋体" w:hAnsi="宋体" w:cs="宋体"/>
          <w:color w:val="auto"/>
          <w:highlight w:val="none"/>
        </w:rPr>
        <w:t>26.</w:t>
      </w:r>
      <w:r>
        <w:rPr>
          <w:rFonts w:ascii="宋体" w:hAnsi="宋体" w:cs="宋体"/>
          <w:color w:val="auto"/>
          <w:highlight w:val="none"/>
        </w:rPr>
        <w:t>4</w:t>
      </w:r>
      <w:r>
        <w:rPr>
          <w:rFonts w:hint="eastAsia" w:ascii="宋体" w:hAnsi="宋体" w:cs="宋体"/>
          <w:color w:val="auto"/>
          <w:highlight w:val="none"/>
        </w:rPr>
        <w:t>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38C91670">
      <w:pPr>
        <w:spacing w:line="360" w:lineRule="auto"/>
        <w:ind w:firstLine="420" w:firstLineChars="200"/>
        <w:rPr>
          <w:rFonts w:hAnsi="宋体"/>
          <w:color w:val="auto"/>
          <w:highlight w:val="none"/>
        </w:rPr>
      </w:pPr>
      <w:r>
        <w:rPr>
          <w:rFonts w:hint="eastAsia" w:ascii="宋体" w:hAnsi="宋体" w:cs="宋体"/>
          <w:color w:val="auto"/>
          <w:highlight w:val="none"/>
        </w:rPr>
        <w:t>2</w:t>
      </w:r>
      <w:r>
        <w:rPr>
          <w:rFonts w:ascii="宋体" w:hAnsi="宋体" w:cs="宋体"/>
          <w:color w:val="auto"/>
          <w:highlight w:val="none"/>
        </w:rPr>
        <w:t>6.5</w:t>
      </w:r>
      <w:r>
        <w:rPr>
          <w:rFonts w:hint="eastAsia" w:hAnsi="宋体"/>
          <w:color w:val="auto"/>
          <w:highlight w:val="none"/>
        </w:rPr>
        <w:t>电子交易活动的中止。采购过程中出现以下情形，导致电子交易平台无法正常运行，或者无法保证电子交易的公平、公正和安全时，采购机构可中止电子交易活动：</w:t>
      </w:r>
    </w:p>
    <w:p w14:paraId="613E0ABF">
      <w:pPr>
        <w:spacing w:line="360" w:lineRule="auto"/>
        <w:ind w:firstLine="420" w:firstLineChars="200"/>
        <w:rPr>
          <w:rFonts w:hAnsi="宋体"/>
          <w:color w:val="auto"/>
          <w:highlight w:val="none"/>
        </w:rPr>
      </w:pPr>
      <w:r>
        <w:rPr>
          <w:rFonts w:hint="eastAsia" w:hAnsi="宋体"/>
          <w:color w:val="auto"/>
          <w:highlight w:val="none"/>
        </w:rPr>
        <w:t>（1）电子交易平台发生故障而无法登录访问的；</w:t>
      </w:r>
    </w:p>
    <w:p w14:paraId="7939E962">
      <w:pPr>
        <w:spacing w:line="360" w:lineRule="auto"/>
        <w:ind w:firstLine="420" w:firstLineChars="200"/>
        <w:rPr>
          <w:rFonts w:hAnsi="宋体"/>
          <w:color w:val="auto"/>
          <w:highlight w:val="none"/>
        </w:rPr>
      </w:pPr>
      <w:r>
        <w:rPr>
          <w:rFonts w:hint="eastAsia" w:hAnsi="宋体"/>
          <w:color w:val="auto"/>
          <w:highlight w:val="none"/>
        </w:rPr>
        <w:t>（2）电子交易平台应用或数据库出现错误，不能进行正常操作的；</w:t>
      </w:r>
    </w:p>
    <w:p w14:paraId="7B345567">
      <w:pPr>
        <w:spacing w:line="360" w:lineRule="auto"/>
        <w:ind w:firstLine="420" w:firstLineChars="200"/>
        <w:rPr>
          <w:rFonts w:hAnsi="宋体"/>
          <w:color w:val="auto"/>
          <w:highlight w:val="none"/>
        </w:rPr>
      </w:pPr>
      <w:r>
        <w:rPr>
          <w:rFonts w:hint="eastAsia" w:hAnsi="宋体"/>
          <w:color w:val="auto"/>
          <w:highlight w:val="none"/>
        </w:rPr>
        <w:t>（3）电子交易平台发现严重安全漏洞，有潜在泄密危险的；</w:t>
      </w:r>
    </w:p>
    <w:p w14:paraId="4DD7A987">
      <w:pPr>
        <w:spacing w:line="360" w:lineRule="auto"/>
        <w:ind w:firstLine="420" w:firstLineChars="200"/>
        <w:rPr>
          <w:rFonts w:hAnsi="宋体"/>
          <w:color w:val="auto"/>
          <w:highlight w:val="none"/>
        </w:rPr>
      </w:pPr>
      <w:r>
        <w:rPr>
          <w:rFonts w:hint="eastAsia" w:hAnsi="宋体"/>
          <w:color w:val="auto"/>
          <w:highlight w:val="none"/>
        </w:rPr>
        <w:t>（4）病毒发作导致不能进行正常操作的；</w:t>
      </w:r>
    </w:p>
    <w:p w14:paraId="5214659E">
      <w:pPr>
        <w:spacing w:line="360" w:lineRule="auto"/>
        <w:ind w:firstLine="420" w:firstLineChars="200"/>
        <w:rPr>
          <w:rFonts w:hAnsi="宋体"/>
          <w:color w:val="auto"/>
          <w:highlight w:val="none"/>
        </w:rPr>
      </w:pPr>
      <w:r>
        <w:rPr>
          <w:rFonts w:hint="eastAsia" w:hAnsi="宋体"/>
          <w:color w:val="auto"/>
          <w:highlight w:val="none"/>
        </w:rPr>
        <w:t>（5）其他无法保证电子交易的公平、公正和安全的情况。</w:t>
      </w:r>
    </w:p>
    <w:p w14:paraId="14047634">
      <w:pPr>
        <w:spacing w:line="360" w:lineRule="auto"/>
        <w:ind w:firstLine="420" w:firstLineChars="200"/>
        <w:rPr>
          <w:rFonts w:ascii="宋体" w:hAnsi="宋体" w:cs="宋体"/>
          <w:color w:val="auto"/>
          <w:szCs w:val="21"/>
          <w:highlight w:val="none"/>
        </w:rPr>
      </w:pPr>
      <w:r>
        <w:rPr>
          <w:rFonts w:hint="eastAsia" w:ascii="宋体" w:hAnsi="宋体"/>
          <w:color w:val="auto"/>
          <w:highlight w:val="none"/>
        </w:rPr>
        <w:t>26.</w:t>
      </w:r>
      <w:r>
        <w:rPr>
          <w:rFonts w:ascii="宋体" w:hAnsi="宋体"/>
          <w:color w:val="auto"/>
          <w:highlight w:val="none"/>
        </w:rPr>
        <w:t>6</w:t>
      </w:r>
      <w:r>
        <w:rPr>
          <w:rFonts w:hint="eastAsia" w:hAnsi="宋体"/>
          <w:color w:val="auto"/>
          <w:highlight w:val="none"/>
        </w:rPr>
        <w:t>出现以上情形，不影响采购公平、公正性的，采购组织机构可以待上述情形消除后继续组织电子交易活动；影响或可能影响采购公平、公正性的，经采购代理机构确认，报采购人同意后，应当重新采购。采购代理机构必须对原有的资料及信息作出妥善保密处理，并报财政部门备案。</w:t>
      </w:r>
    </w:p>
    <w:p w14:paraId="6DA9AAD1">
      <w:pPr>
        <w:spacing w:line="360" w:lineRule="auto"/>
        <w:ind w:firstLine="482" w:firstLineChars="200"/>
        <w:rPr>
          <w:rFonts w:ascii="黑体" w:hAnsi="黑体" w:eastAsia="黑体" w:cs="宋体"/>
          <w:b/>
          <w:bCs/>
          <w:color w:val="auto"/>
          <w:sz w:val="24"/>
          <w:highlight w:val="none"/>
        </w:rPr>
      </w:pPr>
      <w:r>
        <w:rPr>
          <w:rFonts w:ascii="黑体" w:hAnsi="黑体" w:eastAsia="黑体" w:cs="宋体"/>
          <w:b/>
          <w:bCs/>
          <w:color w:val="auto"/>
          <w:sz w:val="24"/>
          <w:highlight w:val="none"/>
        </w:rPr>
        <w:t>27</w:t>
      </w:r>
      <w:r>
        <w:rPr>
          <w:rFonts w:hint="eastAsia" w:ascii="黑体" w:hAnsi="黑体" w:eastAsia="黑体" w:cs="宋体"/>
          <w:b/>
          <w:bCs/>
          <w:color w:val="auto"/>
          <w:sz w:val="24"/>
          <w:highlight w:val="none"/>
        </w:rPr>
        <w:t>.确定成交供应商及结果公告</w:t>
      </w:r>
    </w:p>
    <w:p w14:paraId="5052937A">
      <w:pPr>
        <w:spacing w:line="360" w:lineRule="auto"/>
        <w:ind w:firstLine="420" w:firstLineChars="200"/>
        <w:rPr>
          <w:rFonts w:ascii="宋体" w:hAnsi="宋体" w:cs="宋体"/>
          <w:color w:val="auto"/>
          <w:szCs w:val="21"/>
          <w:highlight w:val="none"/>
        </w:rPr>
      </w:pPr>
      <w:r>
        <w:rPr>
          <w:rFonts w:ascii="宋体" w:hAnsi="宋体" w:cs="宋体"/>
          <w:color w:val="auto"/>
          <w:szCs w:val="21"/>
          <w:highlight w:val="none"/>
        </w:rPr>
        <w:t>27</w:t>
      </w:r>
      <w:r>
        <w:rPr>
          <w:rFonts w:hint="eastAsia" w:ascii="宋体" w:hAnsi="宋体" w:cs="宋体"/>
          <w:color w:val="auto"/>
          <w:szCs w:val="21"/>
          <w:highlight w:val="none"/>
        </w:rPr>
        <w:t>.1采购代理机构应当在评审结束后2个工作日内将评审报告送采购人确认。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3042669B">
      <w:pPr>
        <w:spacing w:line="360" w:lineRule="auto"/>
        <w:ind w:firstLine="420" w:firstLineChars="200"/>
        <w:rPr>
          <w:rFonts w:ascii="宋体" w:hAnsi="宋体" w:cs="Courier New"/>
          <w:color w:val="auto"/>
          <w:szCs w:val="21"/>
          <w:highlight w:val="none"/>
        </w:rPr>
      </w:pPr>
      <w:r>
        <w:rPr>
          <w:rFonts w:ascii="宋体" w:hAnsi="宋体" w:cs="宋体"/>
          <w:color w:val="auto"/>
          <w:szCs w:val="21"/>
          <w:highlight w:val="none"/>
        </w:rPr>
        <w:t>27</w:t>
      </w:r>
      <w:r>
        <w:rPr>
          <w:rFonts w:hint="eastAsia" w:ascii="宋体" w:hAnsi="宋体" w:cs="宋体"/>
          <w:color w:val="auto"/>
          <w:szCs w:val="21"/>
          <w:highlight w:val="none"/>
        </w:rPr>
        <w:t>.2采购代理机构应当在</w:t>
      </w:r>
      <w:r>
        <w:rPr>
          <w:rFonts w:hint="eastAsia" w:ascii="宋体" w:hAnsi="宋体" w:cs="宋体"/>
          <w:color w:val="auto"/>
          <w:kern w:val="0"/>
          <w:szCs w:val="21"/>
          <w:highlight w:val="none"/>
        </w:rPr>
        <w:t>成交</w:t>
      </w:r>
      <w:r>
        <w:rPr>
          <w:rFonts w:hint="eastAsia" w:ascii="宋体" w:hAnsi="宋体" w:cs="宋体"/>
          <w:color w:val="auto"/>
          <w:szCs w:val="21"/>
          <w:highlight w:val="none"/>
        </w:rPr>
        <w:t>供应商确定后2个工作日内，在省级以上财政部门指定的媒体上公告成交结果，同时向成交供应商发出成交通知书。采购人或者采购代理机构发出成交通知书前，应当对成交供应商信用进行查询，对列入失信被执行人、重大税收违法失信主体、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磋商文件一并保存。</w:t>
      </w:r>
      <w:bookmarkStart w:id="73" w:name="_Hlk66782294"/>
      <w:r>
        <w:rPr>
          <w:rFonts w:hint="eastAsia" w:ascii="宋体" w:hAnsi="宋体" w:cs="Courier New"/>
          <w:color w:val="auto"/>
          <w:szCs w:val="21"/>
          <w:highlight w:val="none"/>
        </w:rPr>
        <w:t>成交供应商享受</w:t>
      </w:r>
      <w:r>
        <w:rPr>
          <w:rFonts w:hint="eastAsia" w:ascii="宋体" w:hAnsi="宋体"/>
          <w:color w:val="auto"/>
          <w:szCs w:val="21"/>
          <w:highlight w:val="none"/>
        </w:rPr>
        <w:t>《政府采购促进中小企业发展管理办法》（财库〔2020〕46号）规定的中小企业扶持</w:t>
      </w:r>
      <w:r>
        <w:rPr>
          <w:rFonts w:hint="eastAsia" w:ascii="宋体" w:hAnsi="宋体" w:cs="Courier New"/>
          <w:color w:val="auto"/>
          <w:szCs w:val="21"/>
          <w:highlight w:val="none"/>
        </w:rPr>
        <w:t>政策的，采购人、采购代理机构应当随成交结果公开成交供应商的《中小企业声明函》。</w:t>
      </w:r>
      <w:bookmarkEnd w:id="73"/>
    </w:p>
    <w:p w14:paraId="7246432C">
      <w:pPr>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27.3出现下列情形之一的，采购人或者采购代理机构应当终止竞争性磋商采购活动，发布项目终止公告并说明原因，重新开展采购活动：</w:t>
      </w:r>
    </w:p>
    <w:p w14:paraId="1E7DCD9D">
      <w:pPr>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（1）因情况变化，不再符合规定的竞争性磋商采购方式适用情形的；</w:t>
      </w:r>
    </w:p>
    <w:p w14:paraId="0A24537D">
      <w:pPr>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（2）出现影响采购公正的违法、违规行为的；</w:t>
      </w:r>
    </w:p>
    <w:p w14:paraId="4F386510">
      <w:pPr>
        <w:spacing w:line="360" w:lineRule="auto"/>
        <w:ind w:firstLine="420" w:firstLineChars="200"/>
        <w:rPr>
          <w:rFonts w:ascii="宋体" w:hAnsi="宋体" w:cs="Courier New"/>
          <w:color w:val="auto"/>
          <w:szCs w:val="21"/>
          <w:highlight w:val="none"/>
        </w:rPr>
      </w:pPr>
      <w:r>
        <w:rPr>
          <w:rFonts w:hint="eastAsia" w:ascii="宋体" w:hAnsi="宋体" w:cs="Courier New"/>
          <w:color w:val="auto"/>
          <w:szCs w:val="21"/>
          <w:highlight w:val="none"/>
        </w:rPr>
        <w:t>（3）除“第四章 评审程序、评审方法和评审标准”第4.3条规定的情形外，在采购过程中符合要求的供应商或者报价未超过采购预算的供应商不足3家的。</w:t>
      </w:r>
    </w:p>
    <w:p w14:paraId="00D16C52">
      <w:pPr>
        <w:spacing w:line="360" w:lineRule="auto"/>
        <w:ind w:firstLine="420" w:firstLineChars="200"/>
        <w:rPr>
          <w:rFonts w:ascii="宋体" w:hAnsi="宋体" w:cs="宋体"/>
          <w:color w:val="auto"/>
          <w:szCs w:val="21"/>
          <w:highlight w:val="none"/>
        </w:rPr>
      </w:pPr>
      <w:r>
        <w:rPr>
          <w:rFonts w:hint="eastAsia" w:ascii="宋体" w:hAnsi="宋体" w:cs="Courier New"/>
          <w:color w:val="auto"/>
          <w:szCs w:val="21"/>
          <w:highlight w:val="none"/>
        </w:rPr>
        <w:t>27.4 在采购活动中因重大变故，采购任务取消的，采购人或者采购代理机构应当终止采购活动，通知所有参加采购活动的供应商，并将项目实施情况和采购任务取消原因报送本级财政部门。</w:t>
      </w:r>
    </w:p>
    <w:p w14:paraId="029EECF0">
      <w:pPr>
        <w:spacing w:line="360" w:lineRule="auto"/>
        <w:ind w:firstLine="482" w:firstLineChars="200"/>
        <w:rPr>
          <w:rFonts w:ascii="黑体" w:hAnsi="黑体" w:eastAsia="黑体" w:cs="宋体"/>
          <w:b/>
          <w:bCs/>
          <w:color w:val="auto"/>
          <w:sz w:val="24"/>
          <w:highlight w:val="none"/>
        </w:rPr>
      </w:pPr>
      <w:r>
        <w:rPr>
          <w:rFonts w:ascii="黑体" w:hAnsi="黑体" w:eastAsia="黑体" w:cs="宋体"/>
          <w:b/>
          <w:bCs/>
          <w:color w:val="auto"/>
          <w:sz w:val="24"/>
          <w:highlight w:val="none"/>
        </w:rPr>
        <w:t>28</w:t>
      </w:r>
      <w:r>
        <w:rPr>
          <w:rFonts w:hint="eastAsia" w:ascii="黑体" w:hAnsi="黑体" w:eastAsia="黑体" w:cs="宋体"/>
          <w:b/>
          <w:bCs/>
          <w:color w:val="auto"/>
          <w:sz w:val="24"/>
          <w:highlight w:val="none"/>
        </w:rPr>
        <w:t>.履约保证金</w:t>
      </w:r>
    </w:p>
    <w:p w14:paraId="725EFB0C">
      <w:pPr>
        <w:spacing w:line="360" w:lineRule="auto"/>
        <w:ind w:firstLine="424" w:firstLineChars="202"/>
        <w:rPr>
          <w:rFonts w:ascii="宋体" w:hAnsi="宋体" w:cs="宋体"/>
          <w:color w:val="auto"/>
          <w:szCs w:val="21"/>
          <w:highlight w:val="none"/>
        </w:rPr>
      </w:pPr>
      <w:r>
        <w:rPr>
          <w:rFonts w:ascii="宋体" w:hAnsi="宋体" w:cs="宋体"/>
          <w:color w:val="auto"/>
          <w:szCs w:val="21"/>
          <w:highlight w:val="none"/>
        </w:rPr>
        <w:t>28</w:t>
      </w:r>
      <w:r>
        <w:rPr>
          <w:rFonts w:hint="eastAsia" w:ascii="宋体" w:hAnsi="宋体" w:cs="宋体"/>
          <w:color w:val="auto"/>
          <w:szCs w:val="21"/>
          <w:highlight w:val="none"/>
        </w:rPr>
        <w:t>.1履约保证金的金额、提交方式、退付的时间和条件详见 “供应商须知前附表”。成交供应商未按规定提交履约保证金的，视为拒绝</w:t>
      </w:r>
      <w:r>
        <w:rPr>
          <w:rFonts w:ascii="宋体" w:hAnsi="宋体"/>
          <w:color w:val="auto"/>
          <w:highlight w:val="none"/>
        </w:rPr>
        <w:t>与采购人</w:t>
      </w:r>
      <w:r>
        <w:rPr>
          <w:rFonts w:hint="eastAsia" w:ascii="宋体" w:hAnsi="宋体" w:cs="宋体"/>
          <w:color w:val="auto"/>
          <w:szCs w:val="21"/>
          <w:highlight w:val="none"/>
        </w:rPr>
        <w:t>签订合同。</w:t>
      </w:r>
    </w:p>
    <w:p w14:paraId="333B5CE0">
      <w:pPr>
        <w:spacing w:line="360" w:lineRule="auto"/>
        <w:ind w:firstLine="424" w:firstLineChars="202"/>
        <w:rPr>
          <w:rFonts w:ascii="宋体" w:hAnsi="宋体" w:cs="宋体"/>
          <w:color w:val="auto"/>
          <w:szCs w:val="21"/>
          <w:highlight w:val="none"/>
        </w:rPr>
      </w:pPr>
      <w:r>
        <w:rPr>
          <w:rFonts w:ascii="宋体" w:hAnsi="宋体" w:cs="宋体"/>
          <w:color w:val="auto"/>
          <w:szCs w:val="21"/>
          <w:highlight w:val="none"/>
        </w:rPr>
        <w:t>28</w:t>
      </w:r>
      <w:r>
        <w:rPr>
          <w:rFonts w:hint="eastAsia" w:ascii="宋体" w:hAnsi="宋体" w:cs="宋体"/>
          <w:color w:val="auto"/>
          <w:szCs w:val="21"/>
          <w:highlight w:val="none"/>
        </w:rPr>
        <w:t>.2在履约保证金退还日期前，若成交供应商的开户名称、开户银行、帐号有变动的，请以书面形式通知履约保证金收取单位，否则由此产生的后果由成交供应商自行承担。</w:t>
      </w:r>
    </w:p>
    <w:p w14:paraId="62D285F8">
      <w:pPr>
        <w:spacing w:line="360" w:lineRule="auto"/>
        <w:ind w:firstLine="482" w:firstLineChars="200"/>
        <w:rPr>
          <w:rFonts w:ascii="黑体" w:hAnsi="黑体" w:eastAsia="黑体" w:cs="宋体"/>
          <w:b/>
          <w:bCs/>
          <w:color w:val="auto"/>
          <w:sz w:val="24"/>
          <w:highlight w:val="none"/>
        </w:rPr>
      </w:pPr>
      <w:r>
        <w:rPr>
          <w:rFonts w:ascii="黑体" w:hAnsi="黑体" w:eastAsia="黑体" w:cs="宋体"/>
          <w:b/>
          <w:bCs/>
          <w:color w:val="auto"/>
          <w:sz w:val="24"/>
          <w:highlight w:val="none"/>
        </w:rPr>
        <w:t>29</w:t>
      </w:r>
      <w:r>
        <w:rPr>
          <w:rFonts w:hint="eastAsia" w:ascii="黑体" w:hAnsi="黑体" w:eastAsia="黑体" w:cs="宋体"/>
          <w:b/>
          <w:bCs/>
          <w:color w:val="auto"/>
          <w:sz w:val="24"/>
          <w:highlight w:val="none"/>
        </w:rPr>
        <w:t>.签订合同</w:t>
      </w:r>
    </w:p>
    <w:p w14:paraId="36A69CBC">
      <w:pPr>
        <w:spacing w:line="360" w:lineRule="auto"/>
        <w:ind w:firstLine="424" w:firstLineChars="202"/>
        <w:rPr>
          <w:rFonts w:ascii="宋体" w:hAnsi="宋体" w:cs="宋体"/>
          <w:color w:val="auto"/>
          <w:szCs w:val="21"/>
          <w:highlight w:val="none"/>
        </w:rPr>
      </w:pPr>
      <w:r>
        <w:rPr>
          <w:rFonts w:hint="eastAsia" w:ascii="宋体" w:hAnsi="宋体" w:cs="宋体"/>
          <w:color w:val="auto"/>
          <w:szCs w:val="21"/>
          <w:highlight w:val="none"/>
        </w:rPr>
        <w:t>29.1签订电子采购合同：成交供应商领取电子成交通知书后，在</w:t>
      </w:r>
      <w:r>
        <w:rPr>
          <w:rFonts w:hint="eastAsia" w:ascii="宋体" w:hAnsi="宋体" w:cs="宋体"/>
          <w:color w:val="auto"/>
          <w:szCs w:val="21"/>
          <w:highlight w:val="none"/>
          <w:lang w:val="zh-CN"/>
        </w:rPr>
        <w:t>规定的日期、时间、地点，由法定代表人或其授权代表与采购人代表签订电子采购合同。如成交供应商为联合体的，由联合体成员各方法定代表人或其授权代表与采购人代表签订合同。</w:t>
      </w:r>
    </w:p>
    <w:p w14:paraId="1F2B48D5">
      <w:pPr>
        <w:spacing w:line="360" w:lineRule="auto"/>
        <w:ind w:firstLine="424" w:firstLineChars="202"/>
        <w:rPr>
          <w:rFonts w:ascii="宋体" w:hAnsi="宋体" w:cs="宋体"/>
          <w:color w:val="auto"/>
          <w:szCs w:val="21"/>
          <w:highlight w:val="none"/>
        </w:rPr>
      </w:pPr>
      <w:r>
        <w:rPr>
          <w:rFonts w:hint="eastAsia" w:ascii="宋体" w:hAnsi="宋体" w:cs="宋体"/>
          <w:color w:val="auto"/>
          <w:szCs w:val="21"/>
          <w:highlight w:val="none"/>
        </w:rPr>
        <w:t>线下签订纸质合同：供应商领取成交通知书后，按“供应商须知前附表”规定向采购人出示相关证明材料，经采购人核验合格后方可签订合同。</w:t>
      </w:r>
    </w:p>
    <w:p w14:paraId="2140D486">
      <w:pPr>
        <w:spacing w:line="360" w:lineRule="auto"/>
        <w:ind w:firstLine="424" w:firstLineChars="202"/>
        <w:rPr>
          <w:rFonts w:ascii="宋体" w:hAnsi="宋体" w:cs="宋体"/>
          <w:color w:val="auto"/>
          <w:szCs w:val="21"/>
          <w:highlight w:val="none"/>
        </w:rPr>
      </w:pPr>
      <w:r>
        <w:rPr>
          <w:rFonts w:hint="eastAsia" w:ascii="宋体" w:hAnsi="宋体" w:cs="宋体"/>
          <w:color w:val="auto"/>
          <w:szCs w:val="21"/>
          <w:highlight w:val="none"/>
        </w:rPr>
        <w:t>29.2签订合同时间：按成交通知书规定的时间与采购人签订合同。</w:t>
      </w:r>
    </w:p>
    <w:p w14:paraId="79F7ED07">
      <w:pPr>
        <w:spacing w:line="360" w:lineRule="auto"/>
        <w:ind w:firstLine="424" w:firstLineChars="202"/>
        <w:rPr>
          <w:rFonts w:ascii="宋体" w:hAnsi="宋体" w:cs="宋体"/>
          <w:color w:val="auto"/>
          <w:szCs w:val="21"/>
          <w:highlight w:val="none"/>
        </w:rPr>
      </w:pPr>
      <w:r>
        <w:rPr>
          <w:rFonts w:hint="eastAsia" w:ascii="宋体" w:hAnsi="宋体" w:cs="宋体"/>
          <w:color w:val="auto"/>
          <w:szCs w:val="21"/>
          <w:highlight w:val="none"/>
        </w:rPr>
        <w:t>29.</w:t>
      </w:r>
      <w:r>
        <w:rPr>
          <w:rFonts w:ascii="宋体" w:hAnsi="宋体" w:cs="宋体"/>
          <w:color w:val="auto"/>
          <w:szCs w:val="21"/>
          <w:highlight w:val="none"/>
        </w:rPr>
        <w:t>3</w:t>
      </w:r>
      <w:r>
        <w:rPr>
          <w:rFonts w:hint="eastAsia" w:ascii="宋体" w:hAnsi="宋体" w:cs="宋体"/>
          <w:color w:val="auto"/>
          <w:szCs w:val="21"/>
          <w:highlight w:val="none"/>
        </w:rPr>
        <w:t>成交供应商拒绝签订政府采购合同（包括但不限于放弃成交、因不可抗力不能履行合同而放弃签订合同），采购人可以按照评审报告推荐的成交候选人名单排序，确定下一候选人为成交供应商，也可以重新开展政府采购活动。如采购人无正当理由拒签合同的，给成交供应商造成损失的，成交供应商可追究采购人承担相应的法律责任。</w:t>
      </w:r>
    </w:p>
    <w:p w14:paraId="2E1161AC">
      <w:pPr>
        <w:spacing w:line="360" w:lineRule="auto"/>
        <w:ind w:firstLine="424" w:firstLineChars="202"/>
        <w:rPr>
          <w:rFonts w:ascii="宋体" w:hAnsi="宋体" w:cs="宋体"/>
          <w:color w:val="auto"/>
          <w:szCs w:val="21"/>
          <w:highlight w:val="none"/>
        </w:rPr>
      </w:pPr>
      <w:r>
        <w:rPr>
          <w:rFonts w:hint="eastAsia" w:ascii="宋体" w:hAnsi="宋体" w:cs="宋体"/>
          <w:color w:val="auto"/>
          <w:szCs w:val="21"/>
          <w:highlight w:val="none"/>
        </w:rPr>
        <w:t>29.4政府采购合同是政府采购项目验收的依据，成交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79EC21D5">
      <w:pPr>
        <w:spacing w:line="360" w:lineRule="auto"/>
        <w:ind w:firstLine="424" w:firstLineChars="202"/>
        <w:rPr>
          <w:rFonts w:ascii="宋体" w:hAnsi="宋体" w:cs="宋体"/>
          <w:color w:val="auto"/>
          <w:szCs w:val="21"/>
          <w:highlight w:val="none"/>
        </w:rPr>
      </w:pPr>
      <w:r>
        <w:rPr>
          <w:rFonts w:hint="eastAsia" w:ascii="宋体" w:hAnsi="宋体" w:cs="宋体"/>
          <w:color w:val="auto"/>
          <w:szCs w:val="21"/>
          <w:highlight w:val="none"/>
        </w:rPr>
        <w:t>29.5采购人或成交供应商不得单方面向合同另一方提出任何磋商文件没有约定的条件或不合理的要求，作为签订合同的条件；也不得协商另行订立背离磋商文件和合同实质性内容的协议。</w:t>
      </w:r>
    </w:p>
    <w:p w14:paraId="47D376CD">
      <w:pPr>
        <w:spacing w:line="360" w:lineRule="auto"/>
        <w:ind w:firstLine="424" w:firstLineChars="202"/>
        <w:rPr>
          <w:rFonts w:ascii="宋体" w:hAnsi="宋体" w:cs="宋体"/>
          <w:color w:val="auto"/>
          <w:szCs w:val="21"/>
          <w:highlight w:val="none"/>
        </w:rPr>
      </w:pPr>
      <w:r>
        <w:rPr>
          <w:rFonts w:hint="eastAsia" w:ascii="宋体" w:hAnsi="宋体" w:cs="宋体"/>
          <w:color w:val="auto"/>
          <w:szCs w:val="21"/>
          <w:highlight w:val="none"/>
        </w:rPr>
        <w:t>29.6如签订合同并生效后，供应商无故拒绝或延期，除按照合同条款处理外，将承担相应的法律责任。</w:t>
      </w:r>
    </w:p>
    <w:p w14:paraId="12891346">
      <w:pPr>
        <w:spacing w:line="360" w:lineRule="auto"/>
        <w:ind w:firstLine="424" w:firstLineChars="202"/>
        <w:rPr>
          <w:rFonts w:ascii="宋体" w:hAnsi="宋体" w:cs="宋体"/>
          <w:color w:val="auto"/>
          <w:szCs w:val="21"/>
          <w:highlight w:val="none"/>
        </w:rPr>
      </w:pPr>
      <w:r>
        <w:rPr>
          <w:rFonts w:hint="eastAsia" w:ascii="宋体" w:hAnsi="宋体" w:cs="宋体"/>
          <w:color w:val="auto"/>
          <w:szCs w:val="21"/>
          <w:highlight w:val="none"/>
        </w:rPr>
        <w:t>29.7政府采购合同履行中，采购人需追加与合同标的相同的货物、工程或者服务的，在不改变合同其他条款的前提下，可以与供应商协商签订补充合同，但所有补充合同的采购金额不得超过原合同采购金额的10%。</w:t>
      </w:r>
    </w:p>
    <w:p w14:paraId="736001C3">
      <w:pPr>
        <w:spacing w:line="360" w:lineRule="auto"/>
        <w:ind w:firstLine="482" w:firstLineChars="200"/>
        <w:rPr>
          <w:rFonts w:ascii="黑体" w:hAnsi="黑体" w:eastAsia="黑体" w:cs="宋体"/>
          <w:b/>
          <w:bCs/>
          <w:color w:val="auto"/>
          <w:sz w:val="24"/>
          <w:highlight w:val="none"/>
        </w:rPr>
      </w:pPr>
      <w:r>
        <w:rPr>
          <w:rFonts w:ascii="黑体" w:hAnsi="黑体" w:eastAsia="黑体" w:cs="宋体"/>
          <w:b/>
          <w:bCs/>
          <w:color w:val="auto"/>
          <w:sz w:val="24"/>
          <w:highlight w:val="none"/>
        </w:rPr>
        <w:t>30</w:t>
      </w:r>
      <w:r>
        <w:rPr>
          <w:rFonts w:hint="eastAsia" w:ascii="黑体" w:hAnsi="黑体" w:eastAsia="黑体" w:cs="宋体"/>
          <w:b/>
          <w:bCs/>
          <w:color w:val="auto"/>
          <w:sz w:val="24"/>
          <w:highlight w:val="none"/>
        </w:rPr>
        <w:t>.政府采购合同公告</w:t>
      </w:r>
    </w:p>
    <w:p w14:paraId="5E004CA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24817674">
      <w:pPr>
        <w:spacing w:line="360" w:lineRule="auto"/>
        <w:ind w:firstLine="482" w:firstLineChars="200"/>
        <w:rPr>
          <w:rFonts w:ascii="黑体" w:hAnsi="黑体" w:eastAsia="黑体" w:cs="宋体"/>
          <w:b/>
          <w:bCs/>
          <w:color w:val="auto"/>
          <w:sz w:val="24"/>
          <w:highlight w:val="none"/>
        </w:rPr>
      </w:pPr>
      <w:r>
        <w:rPr>
          <w:rFonts w:ascii="黑体" w:hAnsi="黑体" w:eastAsia="黑体" w:cs="宋体"/>
          <w:b/>
          <w:bCs/>
          <w:color w:val="auto"/>
          <w:sz w:val="24"/>
          <w:highlight w:val="none"/>
        </w:rPr>
        <w:t>31</w:t>
      </w:r>
      <w:r>
        <w:rPr>
          <w:rFonts w:hint="eastAsia" w:ascii="黑体" w:hAnsi="黑体" w:eastAsia="黑体" w:cs="宋体"/>
          <w:b/>
          <w:bCs/>
          <w:color w:val="auto"/>
          <w:sz w:val="24"/>
          <w:highlight w:val="none"/>
        </w:rPr>
        <w:t>. 询问、质疑和投诉</w:t>
      </w:r>
    </w:p>
    <w:p w14:paraId="1FA65B48">
      <w:pPr>
        <w:pStyle w:val="13"/>
        <w:spacing w:line="360" w:lineRule="auto"/>
        <w:rPr>
          <w:rFonts w:ascii="宋体" w:hAnsi="宋体"/>
          <w:color w:val="auto"/>
          <w:szCs w:val="21"/>
          <w:highlight w:val="none"/>
        </w:rPr>
      </w:pPr>
      <w:r>
        <w:rPr>
          <w:rFonts w:hint="eastAsia" w:ascii="宋体" w:hAnsi="宋体" w:cs="宋体"/>
          <w:color w:val="auto"/>
          <w:highlight w:val="none"/>
        </w:rPr>
        <w:t>3</w:t>
      </w:r>
      <w:r>
        <w:rPr>
          <w:rFonts w:ascii="宋体" w:hAnsi="宋体" w:cs="宋体"/>
          <w:color w:val="auto"/>
          <w:highlight w:val="none"/>
        </w:rPr>
        <w:t>1</w:t>
      </w:r>
      <w:r>
        <w:rPr>
          <w:rFonts w:hint="eastAsia" w:ascii="宋体" w:hAnsi="宋体" w:cs="宋体"/>
          <w:color w:val="auto"/>
          <w:highlight w:val="none"/>
        </w:rPr>
        <w:t>.1供应商对政府采购活动事项有疑问的，可以向采购人、采购代理机构提出询问，采购人或者采购代理机构应当在3个工作日内对供应商依法提出的询问作出答复，</w:t>
      </w:r>
      <w:r>
        <w:rPr>
          <w:rFonts w:hint="eastAsia" w:ascii="宋体" w:hAnsi="宋体"/>
          <w:color w:val="auto"/>
          <w:szCs w:val="21"/>
          <w:highlight w:val="none"/>
        </w:rPr>
        <w:t>但答复的内容不得涉及商业秘密</w:t>
      </w:r>
      <w:r>
        <w:rPr>
          <w:rFonts w:hint="eastAsia" w:ascii="宋体" w:hAnsi="宋体" w:cs="宋体"/>
          <w:color w:val="auto"/>
          <w:highlight w:val="none"/>
        </w:rPr>
        <w:t>。</w:t>
      </w:r>
    </w:p>
    <w:p w14:paraId="01CA0A57">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w:t>
      </w:r>
      <w:r>
        <w:rPr>
          <w:rFonts w:ascii="宋体" w:hAnsi="宋体" w:cs="宋体"/>
          <w:color w:val="auto"/>
          <w:highlight w:val="none"/>
        </w:rPr>
        <w:t>1</w:t>
      </w:r>
      <w:r>
        <w:rPr>
          <w:rFonts w:hint="eastAsia" w:ascii="宋体" w:hAnsi="宋体" w:cs="宋体"/>
          <w:color w:val="auto"/>
          <w:highlight w:val="none"/>
        </w:rPr>
        <w:t>.2供应商认为磋商文件、采购过程或者成交结果使自己的合法权益受到损害的，应当在知道或者应知其权益受到损害之日起7个工作日内，以书面形式向采购人、采购代理机构提出质疑，</w:t>
      </w:r>
      <w:r>
        <w:rPr>
          <w:rFonts w:ascii="宋体" w:hAnsi="宋体" w:cs="Arial"/>
          <w:color w:val="auto"/>
          <w:highlight w:val="none"/>
        </w:rPr>
        <w:t>接收质疑函的方式、联系部门、联系电话和通讯地址等信息</w:t>
      </w:r>
      <w:r>
        <w:rPr>
          <w:rFonts w:hint="eastAsia" w:ascii="宋体" w:hAnsi="宋体" w:cs="Arial"/>
          <w:color w:val="auto"/>
          <w:highlight w:val="none"/>
        </w:rPr>
        <w:t>详见</w:t>
      </w:r>
      <w:r>
        <w:rPr>
          <w:rFonts w:hint="eastAsia" w:ascii="宋体" w:hAnsi="宋体" w:cs="宋体"/>
          <w:color w:val="auto"/>
          <w:szCs w:val="21"/>
          <w:highlight w:val="none"/>
        </w:rPr>
        <w:t>“供应商须知前附表”</w:t>
      </w:r>
      <w:r>
        <w:rPr>
          <w:rFonts w:hint="eastAsia" w:ascii="宋体" w:hAnsi="宋体" w:cs="宋体"/>
          <w:color w:val="auto"/>
          <w:highlight w:val="none"/>
        </w:rPr>
        <w:t>。具体质疑起算时间如下：</w:t>
      </w:r>
    </w:p>
    <w:p w14:paraId="109A85B4">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（1）对可以质疑的磋商文件提出质疑的，为获取磋商文件之日或者</w:t>
      </w:r>
      <w:r>
        <w:rPr>
          <w:rFonts w:hint="eastAsia" w:ascii="宋体" w:hAnsi="宋体"/>
          <w:color w:val="auto"/>
          <w:highlight w:val="none"/>
        </w:rPr>
        <w:t>竞争性磋商公告期限届满之日</w:t>
      </w:r>
      <w:r>
        <w:rPr>
          <w:rFonts w:hint="eastAsia" w:ascii="宋体" w:hAnsi="宋体" w:cs="宋体"/>
          <w:color w:val="auto"/>
          <w:highlight w:val="none"/>
        </w:rPr>
        <w:t>；</w:t>
      </w:r>
    </w:p>
    <w:p w14:paraId="266DC2C2">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（2）对采购过程提出质疑的，为各采购程序环节结束之日；</w:t>
      </w:r>
    </w:p>
    <w:p w14:paraId="18D6D3F2">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（3）对成交结果提出质疑的，为成交结果公告期限届满之日。</w:t>
      </w:r>
    </w:p>
    <w:p w14:paraId="5CE42F50">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w:t>
      </w:r>
      <w:r>
        <w:rPr>
          <w:rFonts w:ascii="宋体" w:hAnsi="宋体" w:cs="宋体"/>
          <w:color w:val="auto"/>
          <w:highlight w:val="none"/>
        </w:rPr>
        <w:t>1</w:t>
      </w:r>
      <w:r>
        <w:rPr>
          <w:rFonts w:hint="eastAsia" w:ascii="宋体" w:hAnsi="宋体" w:cs="宋体"/>
          <w:color w:val="auto"/>
          <w:highlight w:val="none"/>
        </w:rPr>
        <w:t>.3供应商提出的询问或者质疑超出采购人对采购代理机构委托授权范围的，采购代理机构应当告知供应商向采购人提出。政府采购评审专家应当配合采购人或者采购代理机构答复供应商的询问和质疑。</w:t>
      </w:r>
    </w:p>
    <w:p w14:paraId="0C93F38B">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w:t>
      </w:r>
      <w:r>
        <w:rPr>
          <w:rFonts w:ascii="宋体" w:hAnsi="宋体" w:cs="宋体"/>
          <w:color w:val="auto"/>
          <w:highlight w:val="none"/>
        </w:rPr>
        <w:t>1</w:t>
      </w:r>
      <w:r>
        <w:rPr>
          <w:rFonts w:hint="eastAsia" w:ascii="宋体" w:hAnsi="宋体" w:cs="宋体"/>
          <w:color w:val="auto"/>
          <w:highlight w:val="none"/>
        </w:rPr>
        <w:t>.4 供应商提出质疑应当提交质疑函和必要的证明材料，针对同一采购程序环节的质疑必须在法定质疑期内一次性提出。质疑函应当包括下列内容</w:t>
      </w:r>
      <w:r>
        <w:rPr>
          <w:rFonts w:hint="eastAsia" w:hAnsi="宋体"/>
          <w:bCs/>
          <w:color w:val="auto"/>
          <w:highlight w:val="none"/>
        </w:rPr>
        <w:t>（质疑函格式后附）</w:t>
      </w:r>
      <w:r>
        <w:rPr>
          <w:rFonts w:hint="eastAsia" w:ascii="宋体" w:hAnsi="宋体" w:cs="宋体"/>
          <w:color w:val="auto"/>
          <w:highlight w:val="none"/>
        </w:rPr>
        <w:t>：</w:t>
      </w:r>
    </w:p>
    <w:p w14:paraId="43D9066B">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（1）供应商的姓名或者名称、地址、邮编、联系人及联系电话；</w:t>
      </w:r>
    </w:p>
    <w:p w14:paraId="0C112FB5">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（2）质疑项目的名称、编号；</w:t>
      </w:r>
    </w:p>
    <w:p w14:paraId="56E5CB95">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（3）具体、明确的质疑事项和与质疑事项相关的请求；</w:t>
      </w:r>
    </w:p>
    <w:p w14:paraId="312D97C4">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（4）事实依据；</w:t>
      </w:r>
    </w:p>
    <w:p w14:paraId="010EE09D">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（5）必要的法律依据；</w:t>
      </w:r>
    </w:p>
    <w:p w14:paraId="4B51ADF5">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（6）提出质疑的日期。</w:t>
      </w:r>
    </w:p>
    <w:p w14:paraId="42D84F70">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供应商为自然人的，应当由本人签字；供应商为法人或者其他组织的，应当由法定代表人、主要负责人，或者其委托代理人签字或者盖章，并加盖公章。</w:t>
      </w:r>
    </w:p>
    <w:p w14:paraId="4010737D">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3</w:t>
      </w:r>
      <w:r>
        <w:rPr>
          <w:rFonts w:ascii="宋体" w:hAnsi="宋体" w:cs="宋体"/>
          <w:color w:val="auto"/>
          <w:highlight w:val="none"/>
        </w:rPr>
        <w:t>1.5</w:t>
      </w:r>
      <w:r>
        <w:rPr>
          <w:rFonts w:hint="eastAsia" w:ascii="宋体" w:hAnsi="宋体" w:cs="宋体"/>
          <w:color w:val="auto"/>
          <w:highlight w:val="none"/>
        </w:rPr>
        <w:t>采购人、采购代理机构认为供应商质疑不成立，或者成立但未对成交结果构成影响的，继续开展采购活动；认为供应商质疑成立且影响或者可能影响成交结果的，按照下列情况处理：</w:t>
      </w:r>
    </w:p>
    <w:p w14:paraId="447D1B0D">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（一）对采购文件提出的质疑，依法通过澄清或者修改可以继续开展采购活动的，澄清或者修改采购文件后继续开展采购活动；否则应当修改采购文件后重新开展采购活动。</w:t>
      </w:r>
    </w:p>
    <w:p w14:paraId="68EF01B7">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14:paraId="7838F04A">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质疑答复导致成交结果改变的，采购人或者采购代理机构应当将有关情况书面报告本级财政部门。</w:t>
      </w:r>
    </w:p>
    <w:p w14:paraId="6735A62C">
      <w:pPr>
        <w:spacing w:line="360" w:lineRule="auto"/>
        <w:ind w:firstLine="420" w:firstLineChars="200"/>
        <w:rPr>
          <w:rFonts w:ascii="宋体" w:hAnsi="宋体" w:cs="宋体"/>
          <w:color w:val="auto"/>
          <w:szCs w:val="21"/>
          <w:highlight w:val="none"/>
        </w:rPr>
      </w:pPr>
      <w:r>
        <w:rPr>
          <w:rFonts w:ascii="宋体" w:hAnsi="宋体" w:cs="宋体"/>
          <w:color w:val="auto"/>
          <w:highlight w:val="none"/>
        </w:rPr>
        <w:t>31</w:t>
      </w:r>
      <w:r>
        <w:rPr>
          <w:rFonts w:hint="eastAsia" w:ascii="宋体" w:hAnsi="宋体" w:cs="宋体"/>
          <w:color w:val="auto"/>
          <w:highlight w:val="none"/>
        </w:rPr>
        <w:t>.</w:t>
      </w:r>
      <w:r>
        <w:rPr>
          <w:rFonts w:ascii="宋体" w:hAnsi="宋体" w:cs="宋体"/>
          <w:color w:val="auto"/>
          <w:highlight w:val="none"/>
        </w:rPr>
        <w:t>6</w:t>
      </w:r>
      <w:r>
        <w:rPr>
          <w:rFonts w:hint="eastAsia" w:ascii="宋体" w:hAnsi="宋体" w:cs="宋体"/>
          <w:color w:val="auto"/>
          <w:highlight w:val="none"/>
        </w:rPr>
        <w:t>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25CB5B4E">
      <w:pPr>
        <w:spacing w:line="360" w:lineRule="auto"/>
        <w:ind w:firstLine="482" w:firstLineChars="200"/>
        <w:rPr>
          <w:rFonts w:ascii="黑体" w:hAnsi="黑体" w:eastAsia="黑体" w:cs="宋体"/>
          <w:b/>
          <w:bCs/>
          <w:color w:val="auto"/>
          <w:sz w:val="24"/>
          <w:highlight w:val="none"/>
        </w:rPr>
      </w:pPr>
      <w:r>
        <w:rPr>
          <w:rFonts w:ascii="黑体" w:hAnsi="黑体" w:eastAsia="黑体" w:cs="宋体"/>
          <w:b/>
          <w:bCs/>
          <w:color w:val="auto"/>
          <w:sz w:val="24"/>
          <w:highlight w:val="none"/>
        </w:rPr>
        <w:t>32</w:t>
      </w:r>
      <w:r>
        <w:rPr>
          <w:rFonts w:hint="eastAsia" w:ascii="黑体" w:hAnsi="黑体" w:eastAsia="黑体" w:cs="宋体"/>
          <w:b/>
          <w:bCs/>
          <w:color w:val="auto"/>
          <w:sz w:val="24"/>
          <w:highlight w:val="none"/>
        </w:rPr>
        <w:t>.其他内容</w:t>
      </w:r>
    </w:p>
    <w:p w14:paraId="64709A9C">
      <w:pPr>
        <w:tabs>
          <w:tab w:val="left" w:pos="2835"/>
        </w:tabs>
        <w:spacing w:line="360" w:lineRule="auto"/>
        <w:ind w:firstLine="420" w:firstLineChars="200"/>
        <w:rPr>
          <w:rFonts w:ascii="宋体" w:hAnsi="宋体" w:cs="宋体"/>
          <w:color w:val="auto"/>
          <w:szCs w:val="21"/>
          <w:highlight w:val="none"/>
        </w:rPr>
      </w:pPr>
      <w:r>
        <w:rPr>
          <w:rFonts w:ascii="宋体" w:hAnsi="宋体" w:cs="宋体"/>
          <w:color w:val="auto"/>
          <w:szCs w:val="21"/>
          <w:highlight w:val="none"/>
        </w:rPr>
        <w:t>32</w:t>
      </w:r>
      <w:r>
        <w:rPr>
          <w:rFonts w:hint="eastAsia" w:ascii="宋体" w:hAnsi="宋体" w:cs="宋体"/>
          <w:color w:val="auto"/>
          <w:szCs w:val="21"/>
          <w:highlight w:val="none"/>
        </w:rPr>
        <w:t>.1代理服务收取标准及缴费账户详见“供应商须知前附表”，供应商为联合体的，可以由联合体中的一方或者多方共同交纳代理服务费。</w:t>
      </w:r>
    </w:p>
    <w:p w14:paraId="6B2D3A4A">
      <w:pPr>
        <w:tabs>
          <w:tab w:val="left" w:pos="2835"/>
        </w:tabs>
        <w:spacing w:line="360" w:lineRule="auto"/>
        <w:ind w:firstLine="420" w:firstLineChars="200"/>
        <w:rPr>
          <w:rFonts w:ascii="宋体" w:hAnsi="宋体" w:cs="宋体"/>
          <w:color w:val="auto"/>
          <w:szCs w:val="21"/>
          <w:highlight w:val="none"/>
        </w:rPr>
      </w:pPr>
      <w:r>
        <w:rPr>
          <w:rFonts w:ascii="宋体" w:hAnsi="宋体" w:cs="宋体"/>
          <w:color w:val="auto"/>
          <w:szCs w:val="21"/>
          <w:highlight w:val="none"/>
        </w:rPr>
        <w:t>32.2</w:t>
      </w:r>
      <w:r>
        <w:rPr>
          <w:rFonts w:hint="eastAsia" w:ascii="宋体" w:hAnsi="宋体" w:cs="宋体"/>
          <w:color w:val="auto"/>
          <w:szCs w:val="21"/>
          <w:highlight w:val="none"/>
        </w:rPr>
        <w:t>代理服务费收费计算标准：</w:t>
      </w:r>
    </w:p>
    <w:tbl>
      <w:tblPr>
        <w:tblStyle w:val="4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2"/>
        <w:gridCol w:w="1659"/>
        <w:gridCol w:w="1532"/>
        <w:gridCol w:w="1546"/>
      </w:tblGrid>
      <w:tr w14:paraId="5BC93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l2br w:val="single" w:color="auto" w:sz="4" w:space="0"/>
            </w:tcBorders>
          </w:tcPr>
          <w:p w14:paraId="5FF583CE">
            <w:pPr>
              <w:spacing w:line="360" w:lineRule="auto"/>
              <w:rPr>
                <w:rFonts w:ascii="宋体" w:hAnsi="宋体" w:cs="宋体"/>
                <w:color w:val="auto"/>
                <w:szCs w:val="21"/>
                <w:highlight w:val="none"/>
              </w:rPr>
            </w:pPr>
            <w:r>
              <w:rPr>
                <w:rFonts w:hint="eastAsia" w:ascii="宋体" w:hAnsi="宋体" w:cs="宋体"/>
                <w:color w:val="auto"/>
                <w:szCs w:val="21"/>
                <w:highlight w:val="none"/>
              </w:rPr>
              <w:t xml:space="preserve">               费率</w:t>
            </w:r>
          </w:p>
          <w:p w14:paraId="29B3F335">
            <w:pPr>
              <w:spacing w:line="360" w:lineRule="auto"/>
              <w:rPr>
                <w:rFonts w:ascii="宋体" w:hAnsi="宋体" w:cs="宋体"/>
                <w:color w:val="auto"/>
                <w:szCs w:val="21"/>
                <w:highlight w:val="none"/>
              </w:rPr>
            </w:pPr>
            <w:r>
              <w:rPr>
                <w:rFonts w:hint="eastAsia" w:ascii="宋体" w:hAnsi="宋体" w:cs="宋体"/>
                <w:color w:val="auto"/>
                <w:szCs w:val="21"/>
                <w:highlight w:val="none"/>
              </w:rPr>
              <w:t>金额</w:t>
            </w:r>
          </w:p>
        </w:tc>
        <w:tc>
          <w:tcPr>
            <w:tcW w:w="1659" w:type="dxa"/>
            <w:vAlign w:val="center"/>
          </w:tcPr>
          <w:p w14:paraId="04F57CDF">
            <w:pPr>
              <w:spacing w:line="360" w:lineRule="auto"/>
              <w:ind w:firstLine="105" w:firstLineChars="50"/>
              <w:jc w:val="center"/>
              <w:rPr>
                <w:rFonts w:ascii="宋体" w:hAnsi="宋体" w:cs="宋体"/>
                <w:color w:val="auto"/>
                <w:szCs w:val="21"/>
                <w:highlight w:val="none"/>
              </w:rPr>
            </w:pPr>
            <w:r>
              <w:rPr>
                <w:rFonts w:hint="eastAsia" w:ascii="宋体" w:hAnsi="宋体" w:cs="宋体"/>
                <w:color w:val="auto"/>
                <w:szCs w:val="21"/>
                <w:highlight w:val="none"/>
              </w:rPr>
              <w:t>货物类</w:t>
            </w:r>
          </w:p>
        </w:tc>
        <w:tc>
          <w:tcPr>
            <w:tcW w:w="1532" w:type="dxa"/>
            <w:vAlign w:val="center"/>
          </w:tcPr>
          <w:p w14:paraId="33363F6B">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服务类</w:t>
            </w:r>
          </w:p>
        </w:tc>
        <w:tc>
          <w:tcPr>
            <w:tcW w:w="1546" w:type="dxa"/>
            <w:vAlign w:val="center"/>
          </w:tcPr>
          <w:p w14:paraId="41FD2193">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工程类</w:t>
            </w:r>
          </w:p>
        </w:tc>
      </w:tr>
      <w:tr w14:paraId="0BB36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282E1866">
            <w:pPr>
              <w:spacing w:line="360" w:lineRule="auto"/>
              <w:rPr>
                <w:rFonts w:ascii="宋体" w:hAnsi="宋体" w:cs="宋体"/>
                <w:color w:val="auto"/>
                <w:szCs w:val="21"/>
                <w:highlight w:val="none"/>
              </w:rPr>
            </w:pPr>
            <w:r>
              <w:rPr>
                <w:rFonts w:hint="eastAsia" w:ascii="宋体" w:hAnsi="宋体" w:cs="宋体"/>
                <w:color w:val="auto"/>
                <w:szCs w:val="21"/>
                <w:highlight w:val="none"/>
              </w:rPr>
              <w:t>100万元以下</w:t>
            </w:r>
          </w:p>
        </w:tc>
        <w:tc>
          <w:tcPr>
            <w:tcW w:w="1659" w:type="dxa"/>
          </w:tcPr>
          <w:p w14:paraId="22EA0F3B">
            <w:pPr>
              <w:spacing w:line="360" w:lineRule="auto"/>
              <w:rPr>
                <w:rFonts w:ascii="宋体" w:hAnsi="宋体" w:cs="宋体"/>
                <w:color w:val="auto"/>
                <w:szCs w:val="21"/>
                <w:highlight w:val="none"/>
              </w:rPr>
            </w:pPr>
            <w:r>
              <w:rPr>
                <w:rFonts w:hint="eastAsia" w:ascii="宋体" w:hAnsi="宋体" w:cs="宋体"/>
                <w:color w:val="auto"/>
                <w:kern w:val="0"/>
                <w:szCs w:val="21"/>
                <w:highlight w:val="none"/>
              </w:rPr>
              <w:t xml:space="preserve">  1.5%                </w:t>
            </w:r>
          </w:p>
        </w:tc>
        <w:tc>
          <w:tcPr>
            <w:tcW w:w="1532" w:type="dxa"/>
          </w:tcPr>
          <w:p w14:paraId="58E00824">
            <w:pPr>
              <w:spacing w:line="360" w:lineRule="auto"/>
              <w:ind w:firstLine="210" w:firstLineChars="100"/>
              <w:rPr>
                <w:rFonts w:ascii="宋体" w:hAnsi="宋体" w:cs="宋体"/>
                <w:color w:val="auto"/>
                <w:szCs w:val="21"/>
                <w:highlight w:val="none"/>
              </w:rPr>
            </w:pPr>
            <w:r>
              <w:rPr>
                <w:rFonts w:hint="eastAsia" w:ascii="宋体" w:hAnsi="宋体" w:cs="宋体"/>
                <w:color w:val="auto"/>
                <w:kern w:val="0"/>
                <w:szCs w:val="21"/>
                <w:highlight w:val="none"/>
              </w:rPr>
              <w:t>1.5%</w:t>
            </w:r>
          </w:p>
        </w:tc>
        <w:tc>
          <w:tcPr>
            <w:tcW w:w="1546" w:type="dxa"/>
          </w:tcPr>
          <w:p w14:paraId="5F1282E7">
            <w:pPr>
              <w:spacing w:line="360" w:lineRule="auto"/>
              <w:ind w:firstLine="210" w:firstLineChars="100"/>
              <w:rPr>
                <w:rFonts w:ascii="宋体" w:hAnsi="宋体" w:cs="宋体"/>
                <w:color w:val="auto"/>
                <w:szCs w:val="21"/>
                <w:highlight w:val="none"/>
              </w:rPr>
            </w:pPr>
            <w:r>
              <w:rPr>
                <w:rFonts w:hint="eastAsia" w:ascii="宋体" w:hAnsi="宋体" w:cs="宋体"/>
                <w:color w:val="auto"/>
                <w:kern w:val="0"/>
                <w:szCs w:val="21"/>
                <w:highlight w:val="none"/>
              </w:rPr>
              <w:t xml:space="preserve">1.0% </w:t>
            </w:r>
          </w:p>
        </w:tc>
      </w:tr>
      <w:tr w14:paraId="58DF4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43873D0F">
            <w:pPr>
              <w:spacing w:line="360" w:lineRule="auto"/>
              <w:rPr>
                <w:rFonts w:ascii="宋体" w:hAnsi="宋体" w:cs="宋体"/>
                <w:color w:val="auto"/>
                <w:szCs w:val="21"/>
                <w:highlight w:val="none"/>
              </w:rPr>
            </w:pPr>
            <w:r>
              <w:rPr>
                <w:rFonts w:hint="eastAsia" w:ascii="宋体" w:hAnsi="宋体" w:cs="宋体"/>
                <w:color w:val="auto"/>
                <w:szCs w:val="21"/>
                <w:highlight w:val="none"/>
              </w:rPr>
              <w:t>100～500万元</w:t>
            </w:r>
          </w:p>
        </w:tc>
        <w:tc>
          <w:tcPr>
            <w:tcW w:w="1659" w:type="dxa"/>
          </w:tcPr>
          <w:p w14:paraId="00AE5D20">
            <w:pPr>
              <w:spacing w:line="360" w:lineRule="auto"/>
              <w:ind w:firstLine="210" w:firstLineChars="100"/>
              <w:rPr>
                <w:rFonts w:ascii="宋体" w:hAnsi="宋体" w:cs="宋体"/>
                <w:color w:val="auto"/>
                <w:szCs w:val="21"/>
                <w:highlight w:val="none"/>
              </w:rPr>
            </w:pPr>
            <w:r>
              <w:rPr>
                <w:rFonts w:hint="eastAsia" w:ascii="宋体" w:hAnsi="宋体" w:cs="宋体"/>
                <w:color w:val="auto"/>
                <w:kern w:val="0"/>
                <w:szCs w:val="21"/>
                <w:highlight w:val="none"/>
              </w:rPr>
              <w:t xml:space="preserve">1.1%                 </w:t>
            </w:r>
          </w:p>
        </w:tc>
        <w:tc>
          <w:tcPr>
            <w:tcW w:w="1532" w:type="dxa"/>
          </w:tcPr>
          <w:p w14:paraId="45FA04BD">
            <w:pPr>
              <w:spacing w:line="360" w:lineRule="auto"/>
              <w:ind w:firstLine="210" w:firstLineChars="100"/>
              <w:rPr>
                <w:rFonts w:ascii="宋体" w:hAnsi="宋体" w:cs="宋体"/>
                <w:color w:val="auto"/>
                <w:szCs w:val="21"/>
                <w:highlight w:val="none"/>
              </w:rPr>
            </w:pPr>
            <w:r>
              <w:rPr>
                <w:rFonts w:hint="eastAsia" w:ascii="宋体" w:hAnsi="宋体" w:cs="宋体"/>
                <w:color w:val="auto"/>
                <w:kern w:val="0"/>
                <w:szCs w:val="21"/>
                <w:highlight w:val="none"/>
              </w:rPr>
              <w:t>0.8%</w:t>
            </w:r>
          </w:p>
        </w:tc>
        <w:tc>
          <w:tcPr>
            <w:tcW w:w="1546" w:type="dxa"/>
          </w:tcPr>
          <w:p w14:paraId="0B9730C1">
            <w:pPr>
              <w:spacing w:line="360" w:lineRule="auto"/>
              <w:ind w:firstLine="210" w:firstLineChars="100"/>
              <w:rPr>
                <w:rFonts w:ascii="宋体" w:hAnsi="宋体" w:cs="宋体"/>
                <w:color w:val="auto"/>
                <w:szCs w:val="21"/>
                <w:highlight w:val="none"/>
              </w:rPr>
            </w:pPr>
            <w:r>
              <w:rPr>
                <w:rFonts w:hint="eastAsia" w:ascii="宋体" w:hAnsi="宋体" w:cs="宋体"/>
                <w:color w:val="auto"/>
                <w:kern w:val="0"/>
                <w:szCs w:val="21"/>
                <w:highlight w:val="none"/>
              </w:rPr>
              <w:t xml:space="preserve">0.7% </w:t>
            </w:r>
          </w:p>
        </w:tc>
      </w:tr>
      <w:tr w14:paraId="6783A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524A04B5">
            <w:pPr>
              <w:spacing w:line="360" w:lineRule="auto"/>
              <w:rPr>
                <w:rFonts w:ascii="宋体" w:hAnsi="宋体" w:cs="宋体"/>
                <w:color w:val="auto"/>
                <w:szCs w:val="21"/>
                <w:highlight w:val="none"/>
              </w:rPr>
            </w:pPr>
            <w:r>
              <w:rPr>
                <w:rFonts w:hint="eastAsia" w:ascii="宋体" w:hAnsi="宋体" w:cs="宋体"/>
                <w:color w:val="auto"/>
                <w:szCs w:val="21"/>
                <w:highlight w:val="none"/>
              </w:rPr>
              <w:t>500～1000万元</w:t>
            </w:r>
          </w:p>
        </w:tc>
        <w:tc>
          <w:tcPr>
            <w:tcW w:w="1659" w:type="dxa"/>
          </w:tcPr>
          <w:p w14:paraId="6EF4C9F7">
            <w:pPr>
              <w:spacing w:line="360" w:lineRule="auto"/>
              <w:rPr>
                <w:rFonts w:ascii="宋体" w:hAnsi="宋体" w:cs="宋体"/>
                <w:color w:val="auto"/>
                <w:szCs w:val="21"/>
                <w:highlight w:val="none"/>
              </w:rPr>
            </w:pPr>
            <w:r>
              <w:rPr>
                <w:rFonts w:hint="eastAsia" w:ascii="宋体" w:hAnsi="宋体" w:cs="宋体"/>
                <w:color w:val="auto"/>
                <w:kern w:val="0"/>
                <w:szCs w:val="21"/>
                <w:highlight w:val="none"/>
              </w:rPr>
              <w:t xml:space="preserve">  0.8%                </w:t>
            </w:r>
          </w:p>
        </w:tc>
        <w:tc>
          <w:tcPr>
            <w:tcW w:w="1532" w:type="dxa"/>
          </w:tcPr>
          <w:p w14:paraId="1DB03355">
            <w:pPr>
              <w:spacing w:line="360" w:lineRule="auto"/>
              <w:ind w:firstLine="210" w:firstLineChars="100"/>
              <w:rPr>
                <w:rFonts w:ascii="宋体" w:hAnsi="宋体" w:cs="宋体"/>
                <w:color w:val="auto"/>
                <w:szCs w:val="21"/>
                <w:highlight w:val="none"/>
              </w:rPr>
            </w:pPr>
            <w:r>
              <w:rPr>
                <w:rFonts w:hint="eastAsia" w:ascii="宋体" w:hAnsi="宋体" w:cs="宋体"/>
                <w:color w:val="auto"/>
                <w:kern w:val="0"/>
                <w:szCs w:val="21"/>
                <w:highlight w:val="none"/>
              </w:rPr>
              <w:t>0.45%</w:t>
            </w:r>
          </w:p>
        </w:tc>
        <w:tc>
          <w:tcPr>
            <w:tcW w:w="1546" w:type="dxa"/>
          </w:tcPr>
          <w:p w14:paraId="43605353">
            <w:pPr>
              <w:spacing w:line="360" w:lineRule="auto"/>
              <w:ind w:firstLine="210" w:firstLineChars="100"/>
              <w:rPr>
                <w:rFonts w:ascii="宋体" w:hAnsi="宋体" w:cs="宋体"/>
                <w:color w:val="auto"/>
                <w:szCs w:val="21"/>
                <w:highlight w:val="none"/>
              </w:rPr>
            </w:pPr>
            <w:r>
              <w:rPr>
                <w:rFonts w:hint="eastAsia" w:ascii="宋体" w:hAnsi="宋体" w:cs="宋体"/>
                <w:color w:val="auto"/>
                <w:kern w:val="0"/>
                <w:szCs w:val="21"/>
                <w:highlight w:val="none"/>
              </w:rPr>
              <w:t>0.55%</w:t>
            </w:r>
          </w:p>
        </w:tc>
      </w:tr>
      <w:tr w14:paraId="11859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30633055">
            <w:pPr>
              <w:spacing w:line="360" w:lineRule="auto"/>
              <w:rPr>
                <w:rFonts w:ascii="宋体" w:hAnsi="宋体" w:cs="宋体"/>
                <w:color w:val="auto"/>
                <w:szCs w:val="21"/>
                <w:highlight w:val="none"/>
              </w:rPr>
            </w:pPr>
            <w:r>
              <w:rPr>
                <w:rFonts w:hint="eastAsia" w:ascii="宋体" w:hAnsi="宋体" w:cs="宋体"/>
                <w:color w:val="auto"/>
                <w:szCs w:val="21"/>
                <w:highlight w:val="none"/>
              </w:rPr>
              <w:t>1000～5000万元</w:t>
            </w:r>
          </w:p>
        </w:tc>
        <w:tc>
          <w:tcPr>
            <w:tcW w:w="1659" w:type="dxa"/>
          </w:tcPr>
          <w:p w14:paraId="183183D6">
            <w:pPr>
              <w:spacing w:line="360" w:lineRule="auto"/>
              <w:ind w:firstLine="210" w:firstLineChars="100"/>
              <w:rPr>
                <w:rFonts w:ascii="宋体" w:hAnsi="宋体" w:cs="宋体"/>
                <w:color w:val="auto"/>
                <w:szCs w:val="21"/>
                <w:highlight w:val="none"/>
              </w:rPr>
            </w:pPr>
            <w:r>
              <w:rPr>
                <w:rFonts w:hint="eastAsia" w:ascii="宋体" w:hAnsi="宋体" w:cs="宋体"/>
                <w:color w:val="auto"/>
                <w:kern w:val="0"/>
                <w:szCs w:val="21"/>
                <w:highlight w:val="none"/>
              </w:rPr>
              <w:t xml:space="preserve">0.5%                </w:t>
            </w:r>
          </w:p>
        </w:tc>
        <w:tc>
          <w:tcPr>
            <w:tcW w:w="1532" w:type="dxa"/>
          </w:tcPr>
          <w:p w14:paraId="13F49735">
            <w:pPr>
              <w:spacing w:line="360" w:lineRule="auto"/>
              <w:ind w:firstLine="210" w:firstLineChars="100"/>
              <w:rPr>
                <w:rFonts w:ascii="宋体" w:hAnsi="宋体" w:cs="宋体"/>
                <w:color w:val="auto"/>
                <w:szCs w:val="21"/>
                <w:highlight w:val="none"/>
              </w:rPr>
            </w:pPr>
            <w:r>
              <w:rPr>
                <w:rFonts w:hint="eastAsia" w:ascii="宋体" w:hAnsi="宋体" w:cs="宋体"/>
                <w:color w:val="auto"/>
                <w:kern w:val="0"/>
                <w:szCs w:val="21"/>
                <w:highlight w:val="none"/>
              </w:rPr>
              <w:t>0.25%</w:t>
            </w:r>
          </w:p>
        </w:tc>
        <w:tc>
          <w:tcPr>
            <w:tcW w:w="1546" w:type="dxa"/>
          </w:tcPr>
          <w:p w14:paraId="3BACC69C">
            <w:pPr>
              <w:spacing w:line="360" w:lineRule="auto"/>
              <w:ind w:firstLine="210" w:firstLineChars="100"/>
              <w:rPr>
                <w:rFonts w:ascii="宋体" w:hAnsi="宋体" w:cs="宋体"/>
                <w:color w:val="auto"/>
                <w:szCs w:val="21"/>
                <w:highlight w:val="none"/>
              </w:rPr>
            </w:pPr>
            <w:r>
              <w:rPr>
                <w:rFonts w:hint="eastAsia" w:ascii="宋体" w:hAnsi="宋体" w:cs="宋体"/>
                <w:color w:val="auto"/>
                <w:kern w:val="0"/>
                <w:szCs w:val="21"/>
                <w:highlight w:val="none"/>
              </w:rPr>
              <w:t xml:space="preserve">0.35% </w:t>
            </w:r>
          </w:p>
        </w:tc>
      </w:tr>
      <w:tr w14:paraId="7924B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3E511EE9">
            <w:pPr>
              <w:spacing w:line="360" w:lineRule="auto"/>
              <w:rPr>
                <w:rFonts w:ascii="宋体" w:hAnsi="宋体" w:cs="宋体"/>
                <w:color w:val="auto"/>
                <w:szCs w:val="21"/>
                <w:highlight w:val="none"/>
              </w:rPr>
            </w:pPr>
            <w:r>
              <w:rPr>
                <w:rFonts w:hint="eastAsia" w:ascii="宋体" w:hAnsi="宋体" w:cs="宋体"/>
                <w:color w:val="auto"/>
                <w:szCs w:val="21"/>
                <w:highlight w:val="none"/>
              </w:rPr>
              <w:t>5000万元～1亿元</w:t>
            </w:r>
          </w:p>
        </w:tc>
        <w:tc>
          <w:tcPr>
            <w:tcW w:w="1659" w:type="dxa"/>
          </w:tcPr>
          <w:p w14:paraId="32318A6D">
            <w:pPr>
              <w:spacing w:line="360" w:lineRule="auto"/>
              <w:ind w:firstLine="210" w:firstLineChars="100"/>
              <w:rPr>
                <w:rFonts w:ascii="宋体" w:hAnsi="宋体" w:cs="宋体"/>
                <w:color w:val="auto"/>
                <w:szCs w:val="21"/>
                <w:highlight w:val="none"/>
              </w:rPr>
            </w:pPr>
            <w:r>
              <w:rPr>
                <w:rFonts w:hint="eastAsia" w:ascii="宋体" w:hAnsi="宋体" w:cs="宋体"/>
                <w:color w:val="auto"/>
                <w:kern w:val="0"/>
                <w:szCs w:val="21"/>
                <w:highlight w:val="none"/>
              </w:rPr>
              <w:t xml:space="preserve">0.25%                 </w:t>
            </w:r>
          </w:p>
        </w:tc>
        <w:tc>
          <w:tcPr>
            <w:tcW w:w="1532" w:type="dxa"/>
          </w:tcPr>
          <w:p w14:paraId="6EBB3269">
            <w:pPr>
              <w:spacing w:line="360" w:lineRule="auto"/>
              <w:ind w:firstLine="210" w:firstLineChars="100"/>
              <w:rPr>
                <w:rFonts w:ascii="宋体" w:hAnsi="宋体" w:cs="宋体"/>
                <w:color w:val="auto"/>
                <w:szCs w:val="21"/>
                <w:highlight w:val="none"/>
              </w:rPr>
            </w:pPr>
            <w:r>
              <w:rPr>
                <w:rFonts w:hint="eastAsia" w:ascii="宋体" w:hAnsi="宋体" w:cs="宋体"/>
                <w:color w:val="auto"/>
                <w:kern w:val="0"/>
                <w:szCs w:val="21"/>
                <w:highlight w:val="none"/>
              </w:rPr>
              <w:t>0.1%</w:t>
            </w:r>
          </w:p>
        </w:tc>
        <w:tc>
          <w:tcPr>
            <w:tcW w:w="1546" w:type="dxa"/>
          </w:tcPr>
          <w:p w14:paraId="43A5C0BB">
            <w:pPr>
              <w:spacing w:line="360" w:lineRule="auto"/>
              <w:ind w:firstLine="210" w:firstLineChars="100"/>
              <w:rPr>
                <w:rFonts w:ascii="宋体" w:hAnsi="宋体" w:cs="宋体"/>
                <w:color w:val="auto"/>
                <w:szCs w:val="21"/>
                <w:highlight w:val="none"/>
              </w:rPr>
            </w:pPr>
            <w:r>
              <w:rPr>
                <w:rFonts w:hint="eastAsia" w:ascii="宋体" w:hAnsi="宋体" w:cs="宋体"/>
                <w:color w:val="auto"/>
                <w:kern w:val="0"/>
                <w:szCs w:val="21"/>
                <w:highlight w:val="none"/>
              </w:rPr>
              <w:t>0.2%</w:t>
            </w:r>
          </w:p>
        </w:tc>
      </w:tr>
      <w:tr w14:paraId="0A884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31A3973E">
            <w:pPr>
              <w:spacing w:line="360" w:lineRule="auto"/>
              <w:rPr>
                <w:rFonts w:ascii="宋体" w:hAnsi="宋体" w:cs="宋体"/>
                <w:color w:val="auto"/>
                <w:szCs w:val="21"/>
                <w:highlight w:val="none"/>
              </w:rPr>
            </w:pPr>
            <w:r>
              <w:rPr>
                <w:rFonts w:hint="eastAsia" w:ascii="宋体" w:hAnsi="宋体" w:cs="宋体"/>
                <w:color w:val="auto"/>
                <w:szCs w:val="21"/>
                <w:highlight w:val="none"/>
              </w:rPr>
              <w:t>1～5亿元</w:t>
            </w:r>
          </w:p>
        </w:tc>
        <w:tc>
          <w:tcPr>
            <w:tcW w:w="1659" w:type="dxa"/>
          </w:tcPr>
          <w:p w14:paraId="0BEE89C4">
            <w:pPr>
              <w:spacing w:line="360" w:lineRule="auto"/>
              <w:ind w:firstLine="210" w:firstLineChars="100"/>
              <w:rPr>
                <w:rFonts w:ascii="宋体" w:hAnsi="宋体" w:cs="宋体"/>
                <w:color w:val="auto"/>
                <w:szCs w:val="21"/>
                <w:highlight w:val="none"/>
              </w:rPr>
            </w:pPr>
            <w:r>
              <w:rPr>
                <w:rFonts w:hint="eastAsia" w:ascii="宋体" w:hAnsi="宋体" w:cs="宋体"/>
                <w:color w:val="auto"/>
                <w:szCs w:val="21"/>
                <w:highlight w:val="none"/>
              </w:rPr>
              <w:t>0.05%</w:t>
            </w:r>
          </w:p>
        </w:tc>
        <w:tc>
          <w:tcPr>
            <w:tcW w:w="1532" w:type="dxa"/>
          </w:tcPr>
          <w:p w14:paraId="08C27749">
            <w:pPr>
              <w:spacing w:line="360" w:lineRule="auto"/>
              <w:rPr>
                <w:rFonts w:ascii="宋体" w:hAnsi="宋体" w:cs="宋体"/>
                <w:color w:val="auto"/>
                <w:szCs w:val="21"/>
                <w:highlight w:val="none"/>
              </w:rPr>
            </w:pPr>
            <w:r>
              <w:rPr>
                <w:rFonts w:hint="eastAsia" w:ascii="宋体" w:hAnsi="宋体" w:cs="宋体"/>
                <w:color w:val="auto"/>
                <w:szCs w:val="21"/>
                <w:highlight w:val="none"/>
              </w:rPr>
              <w:t xml:space="preserve">  0.05%</w:t>
            </w:r>
          </w:p>
        </w:tc>
        <w:tc>
          <w:tcPr>
            <w:tcW w:w="1546" w:type="dxa"/>
          </w:tcPr>
          <w:p w14:paraId="0B37AABA">
            <w:pPr>
              <w:spacing w:line="360" w:lineRule="auto"/>
              <w:rPr>
                <w:rFonts w:ascii="宋体" w:hAnsi="宋体" w:cs="宋体"/>
                <w:color w:val="auto"/>
                <w:szCs w:val="21"/>
                <w:highlight w:val="none"/>
              </w:rPr>
            </w:pPr>
            <w:r>
              <w:rPr>
                <w:rFonts w:hint="eastAsia" w:ascii="宋体" w:hAnsi="宋体" w:cs="宋体"/>
                <w:color w:val="auto"/>
                <w:szCs w:val="21"/>
                <w:highlight w:val="none"/>
              </w:rPr>
              <w:t xml:space="preserve">  0.05%</w:t>
            </w:r>
          </w:p>
        </w:tc>
      </w:tr>
      <w:tr w14:paraId="0C645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2014782B">
            <w:pPr>
              <w:spacing w:line="360" w:lineRule="auto"/>
              <w:rPr>
                <w:rFonts w:ascii="宋体" w:hAnsi="宋体" w:cs="宋体"/>
                <w:color w:val="auto"/>
                <w:szCs w:val="21"/>
                <w:highlight w:val="none"/>
              </w:rPr>
            </w:pPr>
            <w:r>
              <w:rPr>
                <w:rFonts w:hint="eastAsia" w:ascii="宋体" w:hAnsi="宋体" w:cs="宋体"/>
                <w:color w:val="auto"/>
                <w:szCs w:val="21"/>
                <w:highlight w:val="none"/>
              </w:rPr>
              <w:t>5～10亿元</w:t>
            </w:r>
          </w:p>
        </w:tc>
        <w:tc>
          <w:tcPr>
            <w:tcW w:w="1659" w:type="dxa"/>
          </w:tcPr>
          <w:p w14:paraId="79E5130A">
            <w:pPr>
              <w:spacing w:line="360" w:lineRule="auto"/>
              <w:ind w:firstLine="105" w:firstLineChars="50"/>
              <w:rPr>
                <w:rFonts w:ascii="宋体" w:hAnsi="宋体" w:cs="宋体"/>
                <w:color w:val="auto"/>
                <w:szCs w:val="21"/>
                <w:highlight w:val="none"/>
              </w:rPr>
            </w:pPr>
            <w:r>
              <w:rPr>
                <w:rFonts w:hint="eastAsia" w:ascii="宋体" w:hAnsi="宋体" w:cs="宋体"/>
                <w:color w:val="auto"/>
                <w:szCs w:val="21"/>
                <w:highlight w:val="none"/>
              </w:rPr>
              <w:t>0.035%</w:t>
            </w:r>
          </w:p>
        </w:tc>
        <w:tc>
          <w:tcPr>
            <w:tcW w:w="1532" w:type="dxa"/>
          </w:tcPr>
          <w:p w14:paraId="66403D37">
            <w:pPr>
              <w:spacing w:line="360" w:lineRule="auto"/>
              <w:rPr>
                <w:rFonts w:ascii="宋体" w:hAnsi="宋体" w:cs="宋体"/>
                <w:color w:val="auto"/>
                <w:szCs w:val="21"/>
                <w:highlight w:val="none"/>
              </w:rPr>
            </w:pPr>
            <w:r>
              <w:rPr>
                <w:rFonts w:hint="eastAsia" w:ascii="宋体" w:hAnsi="宋体" w:cs="宋体"/>
                <w:color w:val="auto"/>
                <w:szCs w:val="21"/>
                <w:highlight w:val="none"/>
              </w:rPr>
              <w:t xml:space="preserve">  0.035%</w:t>
            </w:r>
          </w:p>
        </w:tc>
        <w:tc>
          <w:tcPr>
            <w:tcW w:w="1546" w:type="dxa"/>
          </w:tcPr>
          <w:p w14:paraId="6D20E98C">
            <w:pPr>
              <w:spacing w:line="360" w:lineRule="auto"/>
              <w:ind w:firstLine="105" w:firstLineChars="50"/>
              <w:rPr>
                <w:rFonts w:ascii="宋体" w:hAnsi="宋体" w:cs="宋体"/>
                <w:color w:val="auto"/>
                <w:szCs w:val="21"/>
                <w:highlight w:val="none"/>
              </w:rPr>
            </w:pPr>
            <w:r>
              <w:rPr>
                <w:rFonts w:hint="eastAsia" w:ascii="宋体" w:hAnsi="宋体" w:cs="宋体"/>
                <w:color w:val="auto"/>
                <w:szCs w:val="21"/>
                <w:highlight w:val="none"/>
              </w:rPr>
              <w:t>0.035%</w:t>
            </w:r>
          </w:p>
        </w:tc>
      </w:tr>
      <w:tr w14:paraId="65E2C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4E574F02">
            <w:pPr>
              <w:spacing w:line="360" w:lineRule="auto"/>
              <w:rPr>
                <w:rFonts w:ascii="宋体" w:hAnsi="宋体" w:cs="宋体"/>
                <w:color w:val="auto"/>
                <w:szCs w:val="21"/>
                <w:highlight w:val="none"/>
              </w:rPr>
            </w:pPr>
            <w:r>
              <w:rPr>
                <w:rFonts w:hint="eastAsia" w:ascii="宋体" w:hAnsi="宋体" w:cs="宋体"/>
                <w:color w:val="auto"/>
                <w:szCs w:val="21"/>
                <w:highlight w:val="none"/>
              </w:rPr>
              <w:t>10～50亿元</w:t>
            </w:r>
          </w:p>
        </w:tc>
        <w:tc>
          <w:tcPr>
            <w:tcW w:w="1659" w:type="dxa"/>
          </w:tcPr>
          <w:p w14:paraId="2F71DC0F">
            <w:pPr>
              <w:spacing w:line="360" w:lineRule="auto"/>
              <w:ind w:firstLine="105" w:firstLineChars="50"/>
              <w:rPr>
                <w:rFonts w:ascii="宋体" w:hAnsi="宋体" w:cs="宋体"/>
                <w:color w:val="auto"/>
                <w:szCs w:val="21"/>
                <w:highlight w:val="none"/>
              </w:rPr>
            </w:pPr>
            <w:r>
              <w:rPr>
                <w:rFonts w:hint="eastAsia" w:ascii="宋体" w:hAnsi="宋体" w:cs="宋体"/>
                <w:color w:val="auto"/>
                <w:szCs w:val="21"/>
                <w:highlight w:val="none"/>
              </w:rPr>
              <w:t>0.008%</w:t>
            </w:r>
          </w:p>
        </w:tc>
        <w:tc>
          <w:tcPr>
            <w:tcW w:w="1532" w:type="dxa"/>
          </w:tcPr>
          <w:p w14:paraId="77D0609D">
            <w:pPr>
              <w:spacing w:line="360" w:lineRule="auto"/>
              <w:ind w:firstLine="210" w:firstLineChars="100"/>
              <w:rPr>
                <w:rFonts w:ascii="宋体" w:hAnsi="宋体" w:cs="宋体"/>
                <w:color w:val="auto"/>
                <w:szCs w:val="21"/>
                <w:highlight w:val="none"/>
              </w:rPr>
            </w:pPr>
            <w:r>
              <w:rPr>
                <w:rFonts w:hint="eastAsia" w:ascii="宋体" w:hAnsi="宋体" w:cs="宋体"/>
                <w:color w:val="auto"/>
                <w:szCs w:val="21"/>
                <w:highlight w:val="none"/>
              </w:rPr>
              <w:t>0.008%</w:t>
            </w:r>
          </w:p>
        </w:tc>
        <w:tc>
          <w:tcPr>
            <w:tcW w:w="1546" w:type="dxa"/>
          </w:tcPr>
          <w:p w14:paraId="5F3F8608">
            <w:pPr>
              <w:spacing w:line="360" w:lineRule="auto"/>
              <w:ind w:firstLine="105" w:firstLineChars="50"/>
              <w:rPr>
                <w:rFonts w:ascii="宋体" w:hAnsi="宋体" w:cs="宋体"/>
                <w:color w:val="auto"/>
                <w:szCs w:val="21"/>
                <w:highlight w:val="none"/>
              </w:rPr>
            </w:pPr>
            <w:r>
              <w:rPr>
                <w:rFonts w:hint="eastAsia" w:ascii="宋体" w:hAnsi="宋体" w:cs="宋体"/>
                <w:color w:val="auto"/>
                <w:szCs w:val="21"/>
                <w:highlight w:val="none"/>
              </w:rPr>
              <w:t>0.008%</w:t>
            </w:r>
          </w:p>
        </w:tc>
      </w:tr>
      <w:tr w14:paraId="39B4B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2CD416BE">
            <w:pPr>
              <w:spacing w:line="360" w:lineRule="auto"/>
              <w:rPr>
                <w:rFonts w:ascii="宋体" w:hAnsi="宋体" w:cs="宋体"/>
                <w:color w:val="auto"/>
                <w:szCs w:val="21"/>
                <w:highlight w:val="none"/>
              </w:rPr>
            </w:pPr>
            <w:r>
              <w:rPr>
                <w:rFonts w:hint="eastAsia" w:ascii="宋体" w:hAnsi="宋体" w:cs="宋体"/>
                <w:color w:val="auto"/>
                <w:szCs w:val="21"/>
                <w:highlight w:val="none"/>
              </w:rPr>
              <w:t>50～100亿元</w:t>
            </w:r>
          </w:p>
        </w:tc>
        <w:tc>
          <w:tcPr>
            <w:tcW w:w="1659" w:type="dxa"/>
          </w:tcPr>
          <w:p w14:paraId="2D573F87">
            <w:pPr>
              <w:spacing w:line="360" w:lineRule="auto"/>
              <w:rPr>
                <w:rFonts w:ascii="宋体" w:hAnsi="宋体" w:cs="宋体"/>
                <w:color w:val="auto"/>
                <w:szCs w:val="21"/>
                <w:highlight w:val="none"/>
              </w:rPr>
            </w:pPr>
            <w:r>
              <w:rPr>
                <w:rFonts w:hint="eastAsia" w:ascii="宋体" w:hAnsi="宋体" w:cs="宋体"/>
                <w:color w:val="auto"/>
                <w:szCs w:val="21"/>
                <w:highlight w:val="none"/>
              </w:rPr>
              <w:t xml:space="preserve"> 0.006%</w:t>
            </w:r>
          </w:p>
        </w:tc>
        <w:tc>
          <w:tcPr>
            <w:tcW w:w="1532" w:type="dxa"/>
          </w:tcPr>
          <w:p w14:paraId="156DEA78">
            <w:pPr>
              <w:spacing w:line="360" w:lineRule="auto"/>
              <w:ind w:firstLine="210" w:firstLineChars="100"/>
              <w:rPr>
                <w:rFonts w:ascii="宋体" w:hAnsi="宋体" w:cs="宋体"/>
                <w:color w:val="auto"/>
                <w:szCs w:val="21"/>
                <w:highlight w:val="none"/>
              </w:rPr>
            </w:pPr>
            <w:r>
              <w:rPr>
                <w:rFonts w:hint="eastAsia" w:ascii="宋体" w:hAnsi="宋体" w:cs="宋体"/>
                <w:color w:val="auto"/>
                <w:szCs w:val="21"/>
                <w:highlight w:val="none"/>
              </w:rPr>
              <w:t>0.006%</w:t>
            </w:r>
          </w:p>
        </w:tc>
        <w:tc>
          <w:tcPr>
            <w:tcW w:w="1546" w:type="dxa"/>
          </w:tcPr>
          <w:p w14:paraId="65CE21A9">
            <w:pPr>
              <w:spacing w:line="360" w:lineRule="auto"/>
              <w:ind w:firstLine="105" w:firstLineChars="50"/>
              <w:rPr>
                <w:rFonts w:ascii="宋体" w:hAnsi="宋体" w:cs="宋体"/>
                <w:color w:val="auto"/>
                <w:szCs w:val="21"/>
                <w:highlight w:val="none"/>
              </w:rPr>
            </w:pPr>
            <w:r>
              <w:rPr>
                <w:rFonts w:hint="eastAsia" w:ascii="宋体" w:hAnsi="宋体" w:cs="宋体"/>
                <w:color w:val="auto"/>
                <w:szCs w:val="21"/>
                <w:highlight w:val="none"/>
              </w:rPr>
              <w:t>0.006%</w:t>
            </w:r>
          </w:p>
        </w:tc>
      </w:tr>
      <w:tr w14:paraId="0F101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2887DF36">
            <w:pPr>
              <w:spacing w:line="360" w:lineRule="auto"/>
              <w:rPr>
                <w:rFonts w:ascii="宋体" w:hAnsi="宋体" w:cs="宋体"/>
                <w:color w:val="auto"/>
                <w:szCs w:val="21"/>
                <w:highlight w:val="none"/>
              </w:rPr>
            </w:pPr>
            <w:r>
              <w:rPr>
                <w:rFonts w:hint="eastAsia" w:ascii="宋体" w:hAnsi="宋体" w:cs="宋体"/>
                <w:color w:val="auto"/>
                <w:szCs w:val="21"/>
                <w:highlight w:val="none"/>
              </w:rPr>
              <w:t>100亿以上</w:t>
            </w:r>
          </w:p>
        </w:tc>
        <w:tc>
          <w:tcPr>
            <w:tcW w:w="1659" w:type="dxa"/>
          </w:tcPr>
          <w:p w14:paraId="7F73D798">
            <w:pPr>
              <w:spacing w:line="360" w:lineRule="auto"/>
              <w:rPr>
                <w:rFonts w:ascii="宋体" w:hAnsi="宋体" w:cs="宋体"/>
                <w:color w:val="auto"/>
                <w:szCs w:val="21"/>
                <w:highlight w:val="none"/>
              </w:rPr>
            </w:pPr>
            <w:r>
              <w:rPr>
                <w:rFonts w:hint="eastAsia" w:ascii="宋体" w:hAnsi="宋体" w:cs="宋体"/>
                <w:color w:val="auto"/>
                <w:szCs w:val="21"/>
                <w:highlight w:val="none"/>
              </w:rPr>
              <w:t xml:space="preserve"> 0.004%</w:t>
            </w:r>
          </w:p>
        </w:tc>
        <w:tc>
          <w:tcPr>
            <w:tcW w:w="1532" w:type="dxa"/>
          </w:tcPr>
          <w:p w14:paraId="4C3A3D19">
            <w:pPr>
              <w:spacing w:line="360" w:lineRule="auto"/>
              <w:ind w:firstLine="210" w:firstLineChars="100"/>
              <w:rPr>
                <w:rFonts w:ascii="宋体" w:hAnsi="宋体" w:cs="宋体"/>
                <w:color w:val="auto"/>
                <w:szCs w:val="21"/>
                <w:highlight w:val="none"/>
              </w:rPr>
            </w:pPr>
            <w:r>
              <w:rPr>
                <w:rFonts w:hint="eastAsia" w:ascii="宋体" w:hAnsi="宋体" w:cs="宋体"/>
                <w:color w:val="auto"/>
                <w:szCs w:val="21"/>
                <w:highlight w:val="none"/>
              </w:rPr>
              <w:t>0.004%</w:t>
            </w:r>
          </w:p>
        </w:tc>
        <w:tc>
          <w:tcPr>
            <w:tcW w:w="1546" w:type="dxa"/>
          </w:tcPr>
          <w:p w14:paraId="2436AB39">
            <w:pPr>
              <w:spacing w:line="360" w:lineRule="auto"/>
              <w:ind w:firstLine="105" w:firstLineChars="50"/>
              <w:rPr>
                <w:rFonts w:ascii="宋体" w:hAnsi="宋体" w:cs="宋体"/>
                <w:color w:val="auto"/>
                <w:szCs w:val="21"/>
                <w:highlight w:val="none"/>
              </w:rPr>
            </w:pPr>
            <w:r>
              <w:rPr>
                <w:rFonts w:hint="eastAsia" w:ascii="宋体" w:hAnsi="宋体" w:cs="宋体"/>
                <w:color w:val="auto"/>
                <w:szCs w:val="21"/>
                <w:highlight w:val="none"/>
              </w:rPr>
              <w:t>0.004%</w:t>
            </w:r>
          </w:p>
        </w:tc>
      </w:tr>
    </w:tbl>
    <w:p w14:paraId="7DD9FC8A">
      <w:pPr>
        <w:spacing w:line="360" w:lineRule="auto"/>
        <w:ind w:firstLine="420" w:firstLineChars="200"/>
        <w:rPr>
          <w:rFonts w:ascii="宋体" w:hAnsi="宋体" w:cs="宋体"/>
          <w:color w:val="auto"/>
          <w:highlight w:val="none"/>
        </w:rPr>
      </w:pPr>
      <w:r>
        <w:rPr>
          <w:rFonts w:ascii="宋体" w:hAnsi="宋体" w:cs="宋体"/>
          <w:color w:val="auto"/>
          <w:highlight w:val="none"/>
        </w:rPr>
        <w:t>注：</w:t>
      </w:r>
    </w:p>
    <w:p w14:paraId="68123B32">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（1）</w:t>
      </w:r>
      <w:r>
        <w:rPr>
          <w:rFonts w:ascii="宋体" w:hAnsi="宋体" w:cs="宋体"/>
          <w:color w:val="auto"/>
          <w:highlight w:val="none"/>
        </w:rPr>
        <w:t>按本表费率计算的收费为</w:t>
      </w:r>
      <w:r>
        <w:rPr>
          <w:rFonts w:hint="eastAsia" w:ascii="宋体" w:hAnsi="宋体" w:cs="宋体"/>
          <w:color w:val="auto"/>
          <w:highlight w:val="none"/>
        </w:rPr>
        <w:t>采购</w:t>
      </w:r>
      <w:r>
        <w:rPr>
          <w:rFonts w:ascii="宋体" w:hAnsi="宋体" w:cs="宋体"/>
          <w:color w:val="auto"/>
          <w:highlight w:val="none"/>
        </w:rPr>
        <w:t>代理的收费基准价格</w:t>
      </w:r>
      <w:r>
        <w:rPr>
          <w:rFonts w:hint="eastAsia" w:ascii="宋体" w:hAnsi="宋体" w:cs="宋体"/>
          <w:color w:val="auto"/>
          <w:highlight w:val="none"/>
        </w:rPr>
        <w:t>；</w:t>
      </w:r>
    </w:p>
    <w:p w14:paraId="6B93C6B5">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（2）采购</w:t>
      </w:r>
      <w:r>
        <w:rPr>
          <w:rFonts w:ascii="宋体" w:hAnsi="宋体" w:cs="宋体"/>
          <w:color w:val="auto"/>
          <w:highlight w:val="none"/>
        </w:rPr>
        <w:t>代理收费按差额定率累进法计算。</w:t>
      </w:r>
    </w:p>
    <w:p w14:paraId="53CEBB88">
      <w:pPr>
        <w:spacing w:line="360" w:lineRule="auto"/>
        <w:ind w:firstLine="420" w:firstLineChars="200"/>
        <w:rPr>
          <w:rFonts w:ascii="宋体" w:hAnsi="宋体" w:cs="宋体"/>
          <w:color w:val="auto"/>
          <w:highlight w:val="none"/>
        </w:rPr>
      </w:pPr>
      <w:r>
        <w:rPr>
          <w:rFonts w:ascii="宋体" w:hAnsi="宋体" w:cs="宋体"/>
          <w:color w:val="auto"/>
          <w:highlight w:val="none"/>
        </w:rPr>
        <w:t>例如：某</w:t>
      </w:r>
      <w:r>
        <w:rPr>
          <w:rFonts w:hint="eastAsia" w:ascii="宋体" w:hAnsi="宋体" w:cs="宋体"/>
          <w:color w:val="auto"/>
          <w:highlight w:val="none"/>
        </w:rPr>
        <w:t>工程项目采购</w:t>
      </w:r>
      <w:r>
        <w:rPr>
          <w:rFonts w:ascii="宋体" w:hAnsi="宋体" w:cs="宋体"/>
          <w:color w:val="auto"/>
          <w:highlight w:val="none"/>
        </w:rPr>
        <w:t>代理业务</w:t>
      </w:r>
      <w:r>
        <w:rPr>
          <w:rFonts w:hint="eastAsia" w:ascii="宋体" w:hAnsi="宋体" w:cs="宋体"/>
          <w:color w:val="auto"/>
          <w:highlight w:val="none"/>
        </w:rPr>
        <w:t>成交</w:t>
      </w:r>
      <w:r>
        <w:rPr>
          <w:rFonts w:ascii="宋体" w:hAnsi="宋体" w:cs="宋体"/>
          <w:color w:val="auto"/>
          <w:highlight w:val="none"/>
        </w:rPr>
        <w:t>金额为150万元，计算</w:t>
      </w:r>
      <w:r>
        <w:rPr>
          <w:rFonts w:hint="eastAsia" w:ascii="宋体" w:hAnsi="宋体" w:cs="宋体"/>
          <w:color w:val="auto"/>
          <w:highlight w:val="none"/>
        </w:rPr>
        <w:t>采购</w:t>
      </w:r>
      <w:r>
        <w:rPr>
          <w:rFonts w:ascii="宋体" w:hAnsi="宋体" w:cs="宋体"/>
          <w:color w:val="auto"/>
          <w:highlight w:val="none"/>
        </w:rPr>
        <w:t>代理收费额如下：</w:t>
      </w:r>
    </w:p>
    <w:p w14:paraId="7ED7482E">
      <w:pPr>
        <w:spacing w:line="360" w:lineRule="auto"/>
        <w:ind w:firstLine="420" w:firstLineChars="200"/>
        <w:rPr>
          <w:rFonts w:ascii="宋体" w:hAnsi="宋体" w:cs="宋体"/>
          <w:color w:val="auto"/>
          <w:highlight w:val="none"/>
        </w:rPr>
      </w:pPr>
      <w:r>
        <w:rPr>
          <w:rFonts w:ascii="宋体" w:hAnsi="宋体" w:cs="宋体"/>
          <w:color w:val="auto"/>
          <w:highlight w:val="none"/>
        </w:rPr>
        <w:t>100 万元 ×l.</w:t>
      </w:r>
      <w:r>
        <w:rPr>
          <w:rFonts w:hint="eastAsia" w:ascii="宋体" w:hAnsi="宋体" w:cs="宋体"/>
          <w:color w:val="auto"/>
          <w:highlight w:val="none"/>
        </w:rPr>
        <w:t>0</w:t>
      </w:r>
      <w:r>
        <w:rPr>
          <w:rFonts w:ascii="宋体" w:hAnsi="宋体" w:cs="宋体"/>
          <w:color w:val="auto"/>
          <w:highlight w:val="none"/>
        </w:rPr>
        <w:t xml:space="preserve"> %＝ 1.</w:t>
      </w:r>
      <w:r>
        <w:rPr>
          <w:rFonts w:hint="eastAsia" w:ascii="宋体" w:hAnsi="宋体" w:cs="宋体"/>
          <w:color w:val="auto"/>
          <w:highlight w:val="none"/>
        </w:rPr>
        <w:t>0</w:t>
      </w:r>
      <w:r>
        <w:rPr>
          <w:rFonts w:ascii="宋体" w:hAnsi="宋体" w:cs="宋体"/>
          <w:color w:val="auto"/>
          <w:highlight w:val="none"/>
        </w:rPr>
        <w:t>万元</w:t>
      </w:r>
    </w:p>
    <w:p w14:paraId="22AB5117">
      <w:pPr>
        <w:spacing w:line="360" w:lineRule="auto"/>
        <w:ind w:firstLine="420" w:firstLineChars="200"/>
        <w:rPr>
          <w:rFonts w:ascii="宋体" w:hAnsi="宋体" w:cs="宋体"/>
          <w:color w:val="auto"/>
          <w:highlight w:val="none"/>
        </w:rPr>
      </w:pPr>
      <w:r>
        <w:rPr>
          <w:rFonts w:ascii="宋体" w:hAnsi="宋体" w:cs="宋体"/>
          <w:color w:val="auto"/>
          <w:highlight w:val="none"/>
        </w:rPr>
        <w:t>（ 150</w:t>
      </w:r>
      <w:r>
        <w:rPr>
          <w:rFonts w:hint="eastAsia" w:ascii="宋体" w:hAnsi="宋体" w:cs="宋体"/>
          <w:color w:val="auto"/>
          <w:highlight w:val="none"/>
        </w:rPr>
        <w:t>-</w:t>
      </w:r>
      <w:r>
        <w:rPr>
          <w:rFonts w:ascii="宋体" w:hAnsi="宋体" w:cs="宋体"/>
          <w:color w:val="auto"/>
          <w:highlight w:val="none"/>
        </w:rPr>
        <w:t>100 ）万元 ×0.</w:t>
      </w:r>
      <w:r>
        <w:rPr>
          <w:rFonts w:hint="eastAsia" w:ascii="宋体" w:hAnsi="宋体" w:cs="宋体"/>
          <w:color w:val="auto"/>
          <w:highlight w:val="none"/>
        </w:rPr>
        <w:t>7</w:t>
      </w:r>
      <w:r>
        <w:rPr>
          <w:rFonts w:ascii="宋体" w:hAnsi="宋体" w:cs="宋体"/>
          <w:color w:val="auto"/>
          <w:highlight w:val="none"/>
        </w:rPr>
        <w:t>%＝ 0.</w:t>
      </w:r>
      <w:r>
        <w:rPr>
          <w:rFonts w:hint="eastAsia" w:ascii="宋体" w:hAnsi="宋体" w:cs="宋体"/>
          <w:color w:val="auto"/>
          <w:highlight w:val="none"/>
        </w:rPr>
        <w:t>35</w:t>
      </w:r>
      <w:r>
        <w:rPr>
          <w:rFonts w:ascii="宋体" w:hAnsi="宋体" w:cs="宋体"/>
          <w:color w:val="auto"/>
          <w:highlight w:val="none"/>
        </w:rPr>
        <w:t>万元</w:t>
      </w:r>
    </w:p>
    <w:p w14:paraId="5182FBB0">
      <w:pPr>
        <w:spacing w:line="360" w:lineRule="auto"/>
        <w:ind w:firstLine="420" w:firstLineChars="200"/>
        <w:rPr>
          <w:rFonts w:ascii="宋体" w:hAnsi="宋体" w:cs="宋体"/>
          <w:color w:val="auto"/>
          <w:highlight w:val="none"/>
        </w:rPr>
      </w:pPr>
      <w:r>
        <w:rPr>
          <w:rFonts w:ascii="宋体" w:hAnsi="宋体" w:cs="宋体"/>
          <w:color w:val="auto"/>
          <w:highlight w:val="none"/>
        </w:rPr>
        <w:t>合计收费＝ 1.</w:t>
      </w:r>
      <w:r>
        <w:rPr>
          <w:rFonts w:hint="eastAsia" w:ascii="宋体" w:hAnsi="宋体" w:cs="宋体"/>
          <w:color w:val="auto"/>
          <w:highlight w:val="none"/>
        </w:rPr>
        <w:t xml:space="preserve">0 + </w:t>
      </w:r>
      <w:r>
        <w:rPr>
          <w:rFonts w:ascii="宋体" w:hAnsi="宋体" w:cs="宋体"/>
          <w:color w:val="auto"/>
          <w:highlight w:val="none"/>
        </w:rPr>
        <w:t>0.</w:t>
      </w:r>
      <w:r>
        <w:rPr>
          <w:rFonts w:hint="eastAsia" w:ascii="宋体" w:hAnsi="宋体" w:cs="宋体"/>
          <w:color w:val="auto"/>
          <w:highlight w:val="none"/>
        </w:rPr>
        <w:t xml:space="preserve">35 </w:t>
      </w:r>
      <w:r>
        <w:rPr>
          <w:rFonts w:ascii="宋体" w:hAnsi="宋体" w:cs="宋体"/>
          <w:color w:val="auto"/>
          <w:highlight w:val="none"/>
        </w:rPr>
        <w:t>＝ 1.</w:t>
      </w:r>
      <w:r>
        <w:rPr>
          <w:rFonts w:hint="eastAsia" w:ascii="宋体" w:hAnsi="宋体" w:cs="宋体"/>
          <w:color w:val="auto"/>
          <w:highlight w:val="none"/>
        </w:rPr>
        <w:t>35</w:t>
      </w:r>
      <w:r>
        <w:rPr>
          <w:rFonts w:ascii="宋体" w:hAnsi="宋体" w:cs="宋体"/>
          <w:color w:val="auto"/>
          <w:highlight w:val="none"/>
        </w:rPr>
        <w:t xml:space="preserve"> 万元</w:t>
      </w:r>
    </w:p>
    <w:p w14:paraId="7A26C401">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3</w:t>
      </w:r>
      <w:r>
        <w:rPr>
          <w:rFonts w:ascii="黑体" w:hAnsi="黑体" w:eastAsia="黑体" w:cs="宋体"/>
          <w:b/>
          <w:bCs/>
          <w:color w:val="auto"/>
          <w:sz w:val="24"/>
          <w:highlight w:val="none"/>
        </w:rPr>
        <w:t>3.需要补充的其他内容</w:t>
      </w:r>
    </w:p>
    <w:p w14:paraId="54711E8D">
      <w:pPr>
        <w:pStyle w:val="24"/>
        <w:spacing w:line="360" w:lineRule="auto"/>
        <w:ind w:firstLine="420" w:firstLineChars="200"/>
        <w:textAlignment w:val="center"/>
        <w:rPr>
          <w:rFonts w:hAnsi="宋体" w:cs="宋体"/>
          <w:color w:val="auto"/>
          <w:kern w:val="2"/>
          <w:sz w:val="21"/>
          <w:highlight w:val="none"/>
        </w:rPr>
      </w:pPr>
      <w:r>
        <w:rPr>
          <w:rFonts w:hint="eastAsia" w:hAnsi="宋体" w:cs="宋体"/>
          <w:color w:val="auto"/>
          <w:kern w:val="2"/>
          <w:sz w:val="21"/>
          <w:highlight w:val="none"/>
        </w:rPr>
        <w:t>3</w:t>
      </w:r>
      <w:r>
        <w:rPr>
          <w:rFonts w:hAnsi="宋体" w:cs="宋体"/>
          <w:color w:val="auto"/>
          <w:kern w:val="2"/>
          <w:sz w:val="21"/>
          <w:highlight w:val="none"/>
        </w:rPr>
        <w:t>3.1</w:t>
      </w:r>
      <w:r>
        <w:rPr>
          <w:rFonts w:hint="eastAsia" w:hAnsi="宋体" w:cs="宋体"/>
          <w:color w:val="auto"/>
          <w:kern w:val="2"/>
          <w:sz w:val="21"/>
          <w:highlight w:val="none"/>
        </w:rPr>
        <w:t>本磋商文件解释规则详见“供应商须知前附表”。</w:t>
      </w:r>
    </w:p>
    <w:p w14:paraId="22F0984F">
      <w:pPr>
        <w:pStyle w:val="24"/>
        <w:spacing w:line="360" w:lineRule="auto"/>
        <w:ind w:firstLine="420" w:firstLineChars="200"/>
        <w:textAlignment w:val="center"/>
        <w:rPr>
          <w:rFonts w:hAnsi="宋体" w:cs="宋体"/>
          <w:color w:val="auto"/>
          <w:kern w:val="2"/>
          <w:sz w:val="21"/>
          <w:highlight w:val="none"/>
        </w:rPr>
      </w:pPr>
      <w:r>
        <w:rPr>
          <w:rFonts w:hint="eastAsia" w:hAnsi="宋体" w:cs="宋体"/>
          <w:color w:val="auto"/>
          <w:kern w:val="2"/>
          <w:sz w:val="21"/>
          <w:highlight w:val="none"/>
        </w:rPr>
        <w:t>33.2农民工工资保证金见“供应商须知前附表”。</w:t>
      </w:r>
    </w:p>
    <w:p w14:paraId="54922621">
      <w:pPr>
        <w:pStyle w:val="24"/>
        <w:spacing w:line="360" w:lineRule="auto"/>
        <w:ind w:firstLine="420" w:firstLineChars="200"/>
        <w:textAlignment w:val="center"/>
        <w:rPr>
          <w:rFonts w:hAnsi="宋体" w:cs="宋体"/>
          <w:color w:val="auto"/>
          <w:kern w:val="2"/>
          <w:sz w:val="21"/>
          <w:highlight w:val="none"/>
        </w:rPr>
      </w:pPr>
      <w:r>
        <w:rPr>
          <w:rFonts w:hAnsi="宋体" w:cs="宋体"/>
          <w:color w:val="auto"/>
          <w:kern w:val="2"/>
          <w:sz w:val="21"/>
          <w:highlight w:val="none"/>
        </w:rPr>
        <w:t>33.</w:t>
      </w:r>
      <w:r>
        <w:rPr>
          <w:rFonts w:hint="eastAsia" w:hAnsi="宋体" w:cs="宋体"/>
          <w:color w:val="auto"/>
          <w:kern w:val="2"/>
          <w:sz w:val="21"/>
          <w:highlight w:val="none"/>
        </w:rPr>
        <w:t>3 其他事项详见“供应商须知前附表”。</w:t>
      </w:r>
    </w:p>
    <w:p w14:paraId="35C9409B">
      <w:pPr>
        <w:pStyle w:val="24"/>
        <w:spacing w:line="360" w:lineRule="auto"/>
        <w:ind w:firstLine="420" w:firstLineChars="200"/>
        <w:textAlignment w:val="center"/>
        <w:rPr>
          <w:rFonts w:hAnsi="宋体" w:cs="宋体"/>
          <w:color w:val="auto"/>
          <w:kern w:val="2"/>
          <w:sz w:val="21"/>
          <w:highlight w:val="none"/>
        </w:rPr>
      </w:pPr>
      <w:r>
        <w:rPr>
          <w:rFonts w:hint="eastAsia" w:hAnsi="宋体" w:cs="宋体"/>
          <w:color w:val="auto"/>
          <w:kern w:val="2"/>
          <w:sz w:val="21"/>
          <w:highlight w:val="none"/>
        </w:rPr>
        <w:t>3</w:t>
      </w:r>
      <w:r>
        <w:rPr>
          <w:rFonts w:hAnsi="宋体" w:cs="宋体"/>
          <w:color w:val="auto"/>
          <w:kern w:val="2"/>
          <w:sz w:val="21"/>
          <w:highlight w:val="none"/>
        </w:rPr>
        <w:t>3.</w:t>
      </w:r>
      <w:r>
        <w:rPr>
          <w:rFonts w:hint="eastAsia" w:hAnsi="宋体" w:cs="宋体"/>
          <w:color w:val="auto"/>
          <w:kern w:val="2"/>
          <w:sz w:val="21"/>
          <w:highlight w:val="none"/>
        </w:rPr>
        <w:t>4本磋商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磋商文件规定的中小企业扶持政策：</w:t>
      </w:r>
    </w:p>
    <w:p w14:paraId="11699318">
      <w:pPr>
        <w:pStyle w:val="24"/>
        <w:spacing w:line="360" w:lineRule="auto"/>
        <w:ind w:firstLine="420" w:firstLineChars="200"/>
        <w:contextualSpacing/>
        <w:rPr>
          <w:rFonts w:hAnsi="宋体"/>
          <w:color w:val="auto"/>
          <w:sz w:val="21"/>
          <w:highlight w:val="none"/>
        </w:rPr>
      </w:pPr>
      <w:r>
        <w:rPr>
          <w:rFonts w:hint="eastAsia" w:hAnsi="宋体"/>
          <w:color w:val="auto"/>
          <w:sz w:val="21"/>
          <w:highlight w:val="none"/>
        </w:rPr>
        <w:t>（1）在货物采购项目中，货物由中小企业制造，即货物由中小企业生产且使用该中小企业商号或者注册商标，不对其中涉及的工程承建商和服务的承接商作出要求；</w:t>
      </w:r>
    </w:p>
    <w:p w14:paraId="7820CA46">
      <w:pPr>
        <w:pStyle w:val="24"/>
        <w:spacing w:line="360" w:lineRule="auto"/>
        <w:ind w:firstLine="420" w:firstLineChars="200"/>
        <w:contextualSpacing/>
        <w:rPr>
          <w:rFonts w:hAnsi="宋体"/>
          <w:color w:val="auto"/>
          <w:sz w:val="21"/>
          <w:highlight w:val="none"/>
        </w:rPr>
      </w:pPr>
      <w:r>
        <w:rPr>
          <w:rFonts w:hint="eastAsia" w:hAnsi="宋体"/>
          <w:color w:val="auto"/>
          <w:sz w:val="21"/>
          <w:highlight w:val="none"/>
        </w:rPr>
        <w:t>（2）在工程采购项目中，工程由中小企业承建，即工程施工单位为中小企业，不对其中涉及的货物的制造商和服务的承接商作出要求；</w:t>
      </w:r>
    </w:p>
    <w:p w14:paraId="0982B492">
      <w:pPr>
        <w:pStyle w:val="24"/>
        <w:spacing w:line="360" w:lineRule="auto"/>
        <w:ind w:firstLine="420" w:firstLineChars="200"/>
        <w:contextualSpacing/>
        <w:rPr>
          <w:rFonts w:hAnsi="宋体"/>
          <w:color w:val="auto"/>
          <w:sz w:val="21"/>
          <w:highlight w:val="none"/>
        </w:rPr>
      </w:pPr>
      <w:r>
        <w:rPr>
          <w:rFonts w:hint="eastAsia" w:hAnsi="宋体"/>
          <w:color w:val="auto"/>
          <w:sz w:val="21"/>
          <w:highlight w:val="none"/>
        </w:rPr>
        <w:t>（3）在服务采购项目中，服务由中小企业承接，即提供服务的人员为中小企业依照《中华人民共和国劳动合同法》订立劳动合同的从业人员，不对其中涉及的货物的制造商和工程承建商作出要求。</w:t>
      </w:r>
    </w:p>
    <w:p w14:paraId="6A02BEE6">
      <w:pPr>
        <w:pStyle w:val="24"/>
        <w:spacing w:line="360" w:lineRule="auto"/>
        <w:ind w:firstLine="420" w:firstLineChars="200"/>
        <w:contextualSpacing/>
        <w:rPr>
          <w:rFonts w:hAnsi="宋体"/>
          <w:color w:val="auto"/>
          <w:sz w:val="21"/>
          <w:highlight w:val="none"/>
        </w:rPr>
      </w:pPr>
      <w:r>
        <w:rPr>
          <w:rFonts w:hint="eastAsia" w:hAnsi="宋体" w:cs="宋体"/>
          <w:color w:val="auto"/>
          <w:kern w:val="2"/>
          <w:sz w:val="21"/>
          <w:highlight w:val="none"/>
        </w:rPr>
        <w:t>在货物采购项目中，供应商提供的货物既有中小企业制造货物，也有大型企业制造货物的，不享受本磋商文件规定的中小企业扶持政策。以联合体形式参加政府采购活动，联合体各方均为</w:t>
      </w:r>
      <w:r>
        <w:rPr>
          <w:rFonts w:hint="eastAsia" w:hAnsi="宋体"/>
          <w:color w:val="auto"/>
          <w:sz w:val="21"/>
          <w:highlight w:val="none"/>
        </w:rPr>
        <w:t>中小企业的，联合体视同中小企业。其中，联合体各方均为小微企业的，联合体视同小微企业。</w:t>
      </w:r>
    </w:p>
    <w:p w14:paraId="01853792">
      <w:pPr>
        <w:pStyle w:val="24"/>
        <w:spacing w:line="360" w:lineRule="auto"/>
        <w:ind w:firstLine="420" w:firstLineChars="200"/>
        <w:contextualSpacing/>
        <w:rPr>
          <w:rFonts w:hAnsi="宋体"/>
          <w:color w:val="auto"/>
          <w:sz w:val="21"/>
          <w:highlight w:val="none"/>
        </w:rPr>
      </w:pPr>
      <w:r>
        <w:rPr>
          <w:rFonts w:hint="eastAsia" w:hAnsi="宋体"/>
          <w:color w:val="auto"/>
          <w:sz w:val="21"/>
          <w:highlight w:val="none"/>
        </w:rPr>
        <w:t>依据本磋商文件规定享受扶持政策获得政府采购合同的，小微企业不得将合同分包给大中型企业，中型企业不得将合同分包给大型企业。</w:t>
      </w:r>
    </w:p>
    <w:p w14:paraId="4D842ACB">
      <w:pPr>
        <w:pStyle w:val="24"/>
        <w:keepNext w:val="0"/>
        <w:keepLines w:val="0"/>
        <w:pageBreakBefore w:val="0"/>
        <w:widowControl w:val="0"/>
        <w:kinsoku/>
        <w:wordWrap/>
        <w:overflowPunct/>
        <w:topLinePunct w:val="0"/>
        <w:autoSpaceDE/>
        <w:autoSpaceDN/>
        <w:bidi w:val="0"/>
        <w:adjustRightInd/>
        <w:snapToGrid/>
        <w:spacing w:before="340" w:after="340" w:line="360" w:lineRule="auto"/>
        <w:ind w:firstLine="402" w:firstLineChars="200"/>
        <w:jc w:val="center"/>
        <w:textAlignment w:val="center"/>
        <w:outlineLvl w:val="0"/>
        <w:rPr>
          <w:rFonts w:hint="eastAsia" w:ascii="Times New Roman" w:hAnsi="Times New Roman" w:eastAsia="宋体" w:cs="Times New Roman"/>
          <w:b/>
          <w:bCs/>
          <w:color w:val="auto"/>
          <w:kern w:val="44"/>
          <w:sz w:val="44"/>
          <w:szCs w:val="44"/>
          <w:highlight w:val="none"/>
          <w:lang w:val="en-US" w:eastAsia="zh-CN" w:bidi="ar-SA"/>
        </w:rPr>
      </w:pPr>
      <w:r>
        <w:rPr>
          <w:rFonts w:hAnsi="宋体"/>
          <w:b/>
          <w:color w:val="auto"/>
          <w:highlight w:val="none"/>
        </w:rPr>
        <w:br w:type="page"/>
      </w:r>
      <w:bookmarkStart w:id="74" w:name="_Toc24195"/>
      <w:r>
        <w:rPr>
          <w:rFonts w:hint="eastAsia" w:ascii="Times New Roman" w:hAnsi="Times New Roman" w:eastAsia="宋体" w:cs="Times New Roman"/>
          <w:b/>
          <w:bCs/>
          <w:color w:val="auto"/>
          <w:kern w:val="44"/>
          <w:sz w:val="44"/>
          <w:szCs w:val="44"/>
          <w:highlight w:val="none"/>
          <w:lang w:val="en-US" w:eastAsia="zh-CN" w:bidi="ar-SA"/>
        </w:rPr>
        <w:t>第三章 采购需求</w:t>
      </w:r>
      <w:bookmarkEnd w:id="74"/>
    </w:p>
    <w:p w14:paraId="36803FE2">
      <w:pPr>
        <w:spacing w:line="360" w:lineRule="auto"/>
        <w:jc w:val="left"/>
        <w:rPr>
          <w:rFonts w:ascii="宋体" w:hAnsi="宋体" w:cs="宋体"/>
          <w:color w:val="auto"/>
          <w:szCs w:val="21"/>
          <w:highlight w:val="none"/>
        </w:rPr>
      </w:pPr>
      <w:r>
        <w:rPr>
          <w:rFonts w:hint="eastAsia" w:ascii="宋体" w:hAnsi="宋体" w:cs="宋体"/>
          <w:color w:val="auto"/>
          <w:szCs w:val="21"/>
          <w:highlight w:val="none"/>
        </w:rPr>
        <w:t>说明：</w:t>
      </w:r>
    </w:p>
    <w:p w14:paraId="0DB8C26B">
      <w:pPr>
        <w:spacing w:line="360" w:lineRule="auto"/>
        <w:ind w:firstLine="420" w:firstLineChars="200"/>
        <w:jc w:val="left"/>
        <w:rPr>
          <w:rFonts w:ascii="宋体" w:hAnsi="宋体" w:cs="宋体"/>
          <w:color w:val="auto"/>
          <w:szCs w:val="21"/>
          <w:highlight w:val="none"/>
        </w:rPr>
      </w:pPr>
      <w:r>
        <w:rPr>
          <w:rFonts w:hint="eastAsia" w:ascii="宋体" w:hAnsi="宋体"/>
          <w:color w:val="auto"/>
          <w:highlight w:val="none"/>
        </w:rPr>
        <w:t>1</w:t>
      </w:r>
      <w:r>
        <w:rPr>
          <w:rFonts w:hint="eastAsia"/>
          <w:color w:val="auto"/>
          <w:highlight w:val="none"/>
        </w:rPr>
        <w:t>. 为落实政府采购政策需满足的要求</w:t>
      </w:r>
      <w:r>
        <w:rPr>
          <w:rFonts w:hint="eastAsia" w:ascii="宋体" w:hAnsi="宋体" w:cs="宋体"/>
          <w:color w:val="auto"/>
          <w:szCs w:val="21"/>
          <w:highlight w:val="none"/>
        </w:rPr>
        <w:t>：</w:t>
      </w:r>
    </w:p>
    <w:p w14:paraId="211C9546">
      <w:pPr>
        <w:spacing w:line="360" w:lineRule="exact"/>
        <w:ind w:firstLine="420" w:firstLineChars="200"/>
        <w:rPr>
          <w:rFonts w:ascii="宋体" w:hAnsi="宋体"/>
          <w:color w:val="auto"/>
          <w:szCs w:val="21"/>
          <w:highlight w:val="none"/>
        </w:rPr>
      </w:pPr>
      <w:r>
        <w:rPr>
          <w:rFonts w:ascii="宋体" w:hAnsi="宋体"/>
          <w:color w:val="auto"/>
          <w:szCs w:val="21"/>
          <w:highlight w:val="none"/>
        </w:rPr>
        <w:t>（1）政府采购促进中小企业发展。</w:t>
      </w:r>
    </w:p>
    <w:p w14:paraId="101F8699">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（2）政府采购支持采用本国产品的政策。</w:t>
      </w:r>
    </w:p>
    <w:p w14:paraId="4FFEF1D6">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（3）强制采购节能产品；优先采购节能产品、环境标志产品。</w:t>
      </w:r>
    </w:p>
    <w:p w14:paraId="1CE3934F">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（4）政府采购促进残疾人就业政策。</w:t>
      </w:r>
    </w:p>
    <w:p w14:paraId="2BC0128A">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（5）政府采购支持监狱企业发展。</w:t>
      </w:r>
    </w:p>
    <w:p w14:paraId="75FF2B93">
      <w:pPr>
        <w:spacing w:line="360" w:lineRule="auto"/>
        <w:ind w:firstLine="424" w:firstLineChars="202"/>
        <w:jc w:val="left"/>
        <w:rPr>
          <w:rFonts w:hint="eastAsia" w:ascii="宋体" w:hAnsi="宋体" w:cs="宋体"/>
          <w:color w:val="auto"/>
          <w:szCs w:val="21"/>
          <w:highlight w:val="none"/>
        </w:rPr>
      </w:pPr>
      <w:r>
        <w:rPr>
          <w:rFonts w:hint="eastAsia" w:ascii="宋体" w:hAnsi="宋体"/>
          <w:color w:val="auto"/>
          <w:szCs w:val="21"/>
          <w:highlight w:val="none"/>
        </w:rPr>
        <w:t>（6）在政府采购中实施本国产品标准及相关政策。</w:t>
      </w:r>
    </w:p>
    <w:p w14:paraId="29BFE548">
      <w:pPr>
        <w:spacing w:line="360" w:lineRule="auto"/>
        <w:ind w:firstLine="424" w:firstLineChars="202"/>
        <w:jc w:val="left"/>
        <w:rPr>
          <w:rFonts w:ascii="宋体" w:hAnsi="宋体" w:cs="宋体"/>
          <w:color w:val="auto"/>
          <w:szCs w:val="21"/>
          <w:highlight w:val="none"/>
        </w:rPr>
      </w:pPr>
      <w:r>
        <w:rPr>
          <w:rFonts w:hint="eastAsia" w:ascii="宋体" w:hAnsi="宋体" w:cs="宋体"/>
          <w:color w:val="auto"/>
          <w:szCs w:val="21"/>
          <w:highlight w:val="none"/>
        </w:rPr>
        <w:t>2. “实质性要求”是指采购需求中带“▲”的条款或者不能负偏离的条款或者已经指明不满足按响应文件按无效处理的条款。</w:t>
      </w:r>
    </w:p>
    <w:p w14:paraId="7FFB0345">
      <w:pPr>
        <w:spacing w:line="360" w:lineRule="auto"/>
        <w:ind w:firstLine="424" w:firstLineChars="202"/>
        <w:jc w:val="left"/>
        <w:rPr>
          <w:rFonts w:ascii="宋体" w:hAnsi="宋体" w:cs="Arial"/>
          <w:bCs/>
          <w:color w:val="auto"/>
          <w:szCs w:val="21"/>
          <w:highlight w:val="none"/>
          <w:u w:val="single"/>
        </w:rPr>
      </w:pPr>
      <w:r>
        <w:rPr>
          <w:rFonts w:hint="eastAsia" w:ascii="宋体" w:hAnsi="宋体" w:cs="宋体"/>
          <w:color w:val="auto"/>
          <w:szCs w:val="21"/>
          <w:highlight w:val="none"/>
        </w:rPr>
        <w:t>3.</w:t>
      </w:r>
      <w:r>
        <w:rPr>
          <w:rFonts w:hint="eastAsia"/>
          <w:color w:val="auto"/>
          <w:highlight w:val="none"/>
        </w:rPr>
        <w:t>供应商必须自行为其竞标产品侵犯他人的知识产权或者专利成果的行为承担相应法律责任。</w:t>
      </w:r>
    </w:p>
    <w:tbl>
      <w:tblPr>
        <w:tblStyle w:val="45"/>
        <w:tblW w:w="880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20"/>
        <w:gridCol w:w="6985"/>
      </w:tblGrid>
      <w:tr w14:paraId="75AD8E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805" w:type="dxa"/>
            <w:gridSpan w:val="2"/>
            <w:tcBorders>
              <w:top w:val="single" w:color="auto" w:sz="4" w:space="0"/>
              <w:left w:val="single" w:color="auto" w:sz="4" w:space="0"/>
              <w:bottom w:val="single" w:color="auto" w:sz="4" w:space="0"/>
              <w:right w:val="single" w:color="auto" w:sz="4" w:space="0"/>
            </w:tcBorders>
          </w:tcPr>
          <w:p w14:paraId="24561DE9">
            <w:pPr>
              <w:spacing w:line="360" w:lineRule="auto"/>
              <w:jc w:val="left"/>
              <w:rPr>
                <w:rFonts w:hint="default" w:ascii="宋体" w:hAnsi="宋体" w:eastAsia="宋体" w:cs="Arial"/>
                <w:b w:val="0"/>
                <w:bCs w:val="0"/>
                <w:color w:val="auto"/>
                <w:szCs w:val="21"/>
                <w:highlight w:val="none"/>
                <w:u w:val="single"/>
                <w:lang w:val="en-US" w:eastAsia="zh-CN"/>
              </w:rPr>
            </w:pPr>
            <w:bookmarkStart w:id="75" w:name="OLE_LINK3"/>
            <w:r>
              <w:rPr>
                <w:rFonts w:hint="eastAsia" w:ascii="宋体" w:hAnsi="宋体" w:cs="Arial"/>
                <w:b w:val="0"/>
                <w:bCs w:val="0"/>
                <w:color w:val="auto"/>
                <w:szCs w:val="21"/>
                <w:highlight w:val="none"/>
                <w:u w:val="single"/>
              </w:rPr>
              <w:t>最高限价：</w:t>
            </w:r>
            <w:r>
              <w:rPr>
                <w:rFonts w:hint="eastAsia" w:ascii="宋体" w:hAnsi="宋体" w:cs="Arial"/>
                <w:b w:val="0"/>
                <w:bCs w:val="0"/>
                <w:color w:val="auto"/>
                <w:szCs w:val="21"/>
                <w:highlight w:val="none"/>
                <w:u w:val="single"/>
                <w:lang w:eastAsia="zh-CN"/>
              </w:rPr>
              <w:t>1406592.72</w:t>
            </w:r>
            <w:r>
              <w:rPr>
                <w:rFonts w:hint="eastAsia" w:ascii="宋体" w:hAnsi="宋体" w:cs="Arial"/>
                <w:b w:val="0"/>
                <w:bCs w:val="0"/>
                <w:color w:val="auto"/>
                <w:szCs w:val="21"/>
                <w:highlight w:val="none"/>
                <w:u w:val="single"/>
                <w:lang w:val="en-US" w:eastAsia="zh-CN"/>
              </w:rPr>
              <w:t>元</w:t>
            </w:r>
          </w:p>
          <w:bookmarkEnd w:id="75"/>
          <w:tbl>
            <w:tblPr>
              <w:tblStyle w:val="45"/>
              <w:tblW w:w="88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55"/>
              <w:gridCol w:w="969"/>
              <w:gridCol w:w="887"/>
              <w:gridCol w:w="763"/>
              <w:gridCol w:w="5531"/>
            </w:tblGrid>
            <w:tr w14:paraId="5385F6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4" w:hRule="atLeast"/>
                <w:jc w:val="center"/>
              </w:trPr>
              <w:tc>
                <w:tcPr>
                  <w:tcW w:w="655" w:type="dxa"/>
                  <w:vAlign w:val="center"/>
                </w:tcPr>
                <w:p w14:paraId="62F5DA94">
                  <w:pPr>
                    <w:tabs>
                      <w:tab w:val="left" w:pos="180"/>
                      <w:tab w:val="left" w:pos="1620"/>
                    </w:tabs>
                    <w:spacing w:line="360" w:lineRule="auto"/>
                    <w:jc w:val="center"/>
                    <w:rPr>
                      <w:rFonts w:ascii="宋体" w:hAnsi="宋体" w:cs="宋体"/>
                      <w:b w:val="0"/>
                      <w:bCs w:val="0"/>
                      <w:color w:val="auto"/>
                      <w:szCs w:val="21"/>
                      <w:highlight w:val="none"/>
                    </w:rPr>
                  </w:pPr>
                  <w:r>
                    <w:rPr>
                      <w:rFonts w:hint="eastAsia" w:ascii="宋体" w:hAnsi="宋体" w:cs="宋体"/>
                      <w:b w:val="0"/>
                      <w:bCs w:val="0"/>
                      <w:color w:val="auto"/>
                      <w:szCs w:val="21"/>
                      <w:highlight w:val="none"/>
                    </w:rPr>
                    <w:t>序号</w:t>
                  </w:r>
                </w:p>
              </w:tc>
              <w:tc>
                <w:tcPr>
                  <w:tcW w:w="969" w:type="dxa"/>
                  <w:vAlign w:val="center"/>
                </w:tcPr>
                <w:p w14:paraId="0ECC6735">
                  <w:pPr>
                    <w:tabs>
                      <w:tab w:val="left" w:pos="180"/>
                      <w:tab w:val="left" w:pos="1620"/>
                    </w:tabs>
                    <w:spacing w:line="360" w:lineRule="auto"/>
                    <w:jc w:val="center"/>
                    <w:rPr>
                      <w:rFonts w:ascii="宋体" w:hAnsi="宋体" w:cs="宋体"/>
                      <w:b w:val="0"/>
                      <w:bCs w:val="0"/>
                      <w:color w:val="auto"/>
                      <w:szCs w:val="21"/>
                      <w:highlight w:val="none"/>
                    </w:rPr>
                  </w:pPr>
                  <w:r>
                    <w:rPr>
                      <w:rFonts w:hint="eastAsia" w:ascii="宋体" w:hAnsi="宋体" w:cs="宋体"/>
                      <w:b w:val="0"/>
                      <w:bCs w:val="0"/>
                      <w:color w:val="auto"/>
                      <w:szCs w:val="21"/>
                      <w:highlight w:val="none"/>
                    </w:rPr>
                    <w:t>标的的名称</w:t>
                  </w:r>
                </w:p>
              </w:tc>
              <w:tc>
                <w:tcPr>
                  <w:tcW w:w="887" w:type="dxa"/>
                  <w:vAlign w:val="center"/>
                </w:tcPr>
                <w:p w14:paraId="61FAEF2C">
                  <w:pPr>
                    <w:tabs>
                      <w:tab w:val="left" w:pos="180"/>
                      <w:tab w:val="left" w:pos="1620"/>
                    </w:tabs>
                    <w:spacing w:line="360" w:lineRule="auto"/>
                    <w:jc w:val="center"/>
                    <w:rPr>
                      <w:rFonts w:ascii="宋体" w:hAnsi="宋体" w:cs="宋体"/>
                      <w:b w:val="0"/>
                      <w:bCs w:val="0"/>
                      <w:color w:val="auto"/>
                      <w:szCs w:val="21"/>
                      <w:highlight w:val="none"/>
                    </w:rPr>
                  </w:pPr>
                  <w:r>
                    <w:rPr>
                      <w:rFonts w:hint="eastAsia" w:ascii="宋体" w:hAnsi="宋体" w:cs="宋体"/>
                      <w:b w:val="0"/>
                      <w:bCs w:val="0"/>
                      <w:color w:val="auto"/>
                      <w:szCs w:val="21"/>
                      <w:highlight w:val="none"/>
                    </w:rPr>
                    <w:t>数量及单位</w:t>
                  </w:r>
                </w:p>
              </w:tc>
              <w:tc>
                <w:tcPr>
                  <w:tcW w:w="763" w:type="dxa"/>
                  <w:vAlign w:val="center"/>
                </w:tcPr>
                <w:p w14:paraId="36FD3730">
                  <w:pPr>
                    <w:tabs>
                      <w:tab w:val="left" w:pos="180"/>
                      <w:tab w:val="left" w:pos="1620"/>
                    </w:tabs>
                    <w:spacing w:line="360" w:lineRule="auto"/>
                    <w:jc w:val="center"/>
                    <w:rPr>
                      <w:rFonts w:ascii="宋体" w:hAnsi="宋体" w:cs="宋体"/>
                      <w:b w:val="0"/>
                      <w:bCs w:val="0"/>
                      <w:color w:val="auto"/>
                      <w:szCs w:val="21"/>
                      <w:highlight w:val="none"/>
                    </w:rPr>
                  </w:pPr>
                  <w:r>
                    <w:rPr>
                      <w:rFonts w:hint="eastAsia" w:ascii="宋体" w:hAnsi="宋体" w:cs="宋体"/>
                      <w:b w:val="0"/>
                      <w:bCs w:val="0"/>
                      <w:color w:val="auto"/>
                      <w:szCs w:val="21"/>
                      <w:highlight w:val="none"/>
                    </w:rPr>
                    <w:t>所属行业</w:t>
                  </w:r>
                </w:p>
              </w:tc>
              <w:tc>
                <w:tcPr>
                  <w:tcW w:w="5531" w:type="dxa"/>
                  <w:vAlign w:val="center"/>
                </w:tcPr>
                <w:p w14:paraId="2BB04833">
                  <w:pPr>
                    <w:tabs>
                      <w:tab w:val="left" w:pos="180"/>
                      <w:tab w:val="left" w:pos="1620"/>
                    </w:tabs>
                    <w:spacing w:line="360" w:lineRule="auto"/>
                    <w:jc w:val="center"/>
                    <w:rPr>
                      <w:rFonts w:ascii="宋体" w:hAnsi="宋体" w:cs="宋体"/>
                      <w:b w:val="0"/>
                      <w:bCs w:val="0"/>
                      <w:color w:val="auto"/>
                      <w:szCs w:val="21"/>
                      <w:highlight w:val="none"/>
                    </w:rPr>
                  </w:pPr>
                  <w:r>
                    <w:rPr>
                      <w:rFonts w:hint="eastAsia" w:ascii="宋体" w:hAnsi="宋体" w:cs="宋体"/>
                      <w:b w:val="0"/>
                      <w:bCs w:val="0"/>
                      <w:color w:val="auto"/>
                      <w:szCs w:val="21"/>
                      <w:highlight w:val="none"/>
                    </w:rPr>
                    <w:t>▲技术要求</w:t>
                  </w:r>
                </w:p>
              </w:tc>
            </w:tr>
            <w:tr w14:paraId="389CF1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5" w:hRule="atLeast"/>
                <w:jc w:val="center"/>
              </w:trPr>
              <w:tc>
                <w:tcPr>
                  <w:tcW w:w="655" w:type="dxa"/>
                  <w:vAlign w:val="center"/>
                </w:tcPr>
                <w:p w14:paraId="4687280E">
                  <w:pPr>
                    <w:tabs>
                      <w:tab w:val="left" w:pos="180"/>
                      <w:tab w:val="left" w:pos="1620"/>
                    </w:tabs>
                    <w:spacing w:line="360" w:lineRule="auto"/>
                    <w:jc w:val="center"/>
                    <w:rPr>
                      <w:rFonts w:ascii="宋体" w:hAnsi="宋体" w:cs="宋体"/>
                      <w:b w:val="0"/>
                      <w:bCs w:val="0"/>
                      <w:color w:val="auto"/>
                      <w:szCs w:val="21"/>
                      <w:highlight w:val="none"/>
                    </w:rPr>
                  </w:pPr>
                  <w:r>
                    <w:rPr>
                      <w:rFonts w:hint="eastAsia" w:ascii="宋体" w:hAnsi="宋体" w:cs="宋体"/>
                      <w:b w:val="0"/>
                      <w:bCs w:val="0"/>
                      <w:color w:val="auto"/>
                      <w:szCs w:val="21"/>
                      <w:highlight w:val="none"/>
                    </w:rPr>
                    <w:t>1</w:t>
                  </w:r>
                </w:p>
              </w:tc>
              <w:tc>
                <w:tcPr>
                  <w:tcW w:w="969" w:type="dxa"/>
                  <w:vAlign w:val="center"/>
                </w:tcPr>
                <w:p w14:paraId="301BB90A">
                  <w:pPr>
                    <w:tabs>
                      <w:tab w:val="left" w:pos="180"/>
                      <w:tab w:val="left" w:pos="1620"/>
                    </w:tabs>
                    <w:spacing w:line="360" w:lineRule="auto"/>
                    <w:jc w:val="center"/>
                    <w:rPr>
                      <w:rFonts w:hint="eastAsia" w:ascii="宋体" w:hAnsi="宋体" w:eastAsia="宋体" w:cs="宋体"/>
                      <w:b w:val="0"/>
                      <w:bCs w:val="0"/>
                      <w:color w:val="auto"/>
                      <w:szCs w:val="21"/>
                      <w:highlight w:val="none"/>
                      <w:lang w:eastAsia="zh-CN"/>
                    </w:rPr>
                  </w:pPr>
                  <w:r>
                    <w:rPr>
                      <w:rFonts w:hint="eastAsia" w:ascii="宋体" w:hAnsi="宋体" w:cs="宋体"/>
                      <w:b w:val="0"/>
                      <w:bCs w:val="0"/>
                      <w:color w:val="auto"/>
                      <w:szCs w:val="21"/>
                      <w:highlight w:val="none"/>
                      <w:lang w:val="en-US" w:eastAsia="zh-CN"/>
                    </w:rPr>
                    <w:t>广西警察学院五合、仙葫校区教学楼新增电缆及五合校区变压器扩容项目</w:t>
                  </w:r>
                </w:p>
              </w:tc>
              <w:tc>
                <w:tcPr>
                  <w:tcW w:w="887" w:type="dxa"/>
                  <w:vAlign w:val="center"/>
                </w:tcPr>
                <w:p w14:paraId="6BF7FC72">
                  <w:pPr>
                    <w:tabs>
                      <w:tab w:val="left" w:pos="180"/>
                      <w:tab w:val="left" w:pos="1620"/>
                    </w:tabs>
                    <w:spacing w:line="360" w:lineRule="auto"/>
                    <w:jc w:val="center"/>
                    <w:rPr>
                      <w:rFonts w:ascii="宋体" w:hAnsi="宋体" w:cs="宋体"/>
                      <w:b w:val="0"/>
                      <w:bCs w:val="0"/>
                      <w:color w:val="auto"/>
                      <w:szCs w:val="21"/>
                      <w:highlight w:val="none"/>
                    </w:rPr>
                  </w:pPr>
                  <w:r>
                    <w:rPr>
                      <w:rFonts w:hint="eastAsia" w:ascii="宋体" w:hAnsi="宋体" w:cs="宋体"/>
                      <w:b w:val="0"/>
                      <w:bCs w:val="0"/>
                      <w:color w:val="auto"/>
                      <w:szCs w:val="21"/>
                      <w:highlight w:val="none"/>
                    </w:rPr>
                    <w:t>1项</w:t>
                  </w:r>
                </w:p>
              </w:tc>
              <w:tc>
                <w:tcPr>
                  <w:tcW w:w="763" w:type="dxa"/>
                  <w:vAlign w:val="center"/>
                </w:tcPr>
                <w:p w14:paraId="5DCF894C">
                  <w:pPr>
                    <w:tabs>
                      <w:tab w:val="left" w:pos="180"/>
                      <w:tab w:val="left" w:pos="1620"/>
                    </w:tabs>
                    <w:spacing w:line="360" w:lineRule="auto"/>
                    <w:jc w:val="center"/>
                    <w:rPr>
                      <w:rFonts w:ascii="宋体" w:hAnsi="宋体" w:cs="宋体"/>
                      <w:b w:val="0"/>
                      <w:bCs w:val="0"/>
                      <w:color w:val="auto"/>
                      <w:szCs w:val="21"/>
                      <w:highlight w:val="none"/>
                    </w:rPr>
                  </w:pPr>
                  <w:r>
                    <w:rPr>
                      <w:rFonts w:hint="eastAsia" w:ascii="宋体" w:hAnsi="宋体" w:cs="宋体"/>
                      <w:b w:val="0"/>
                      <w:bCs w:val="0"/>
                      <w:color w:val="auto"/>
                      <w:szCs w:val="21"/>
                      <w:highlight w:val="none"/>
                    </w:rPr>
                    <w:t>建筑业</w:t>
                  </w:r>
                </w:p>
              </w:tc>
              <w:tc>
                <w:tcPr>
                  <w:tcW w:w="5531" w:type="dxa"/>
                  <w:vAlign w:val="center"/>
                </w:tcPr>
                <w:p w14:paraId="133DB790">
                  <w:pPr>
                    <w:spacing w:line="360" w:lineRule="auto"/>
                    <w:rPr>
                      <w:rFonts w:hint="eastAsia" w:ascii="宋体" w:hAnsi="宋体" w:eastAsia="宋体" w:cs="宋体"/>
                      <w:b w:val="0"/>
                      <w:bCs w:val="0"/>
                      <w:color w:val="auto"/>
                      <w:szCs w:val="21"/>
                      <w:highlight w:val="none"/>
                      <w:lang w:eastAsia="zh-CN"/>
                    </w:rPr>
                  </w:pPr>
                  <w:r>
                    <w:rPr>
                      <w:rFonts w:hint="eastAsia" w:ascii="宋体" w:hAnsi="宋体" w:eastAsia="宋体" w:cs="宋体"/>
                      <w:b w:val="0"/>
                      <w:bCs w:val="0"/>
                      <w:color w:val="auto"/>
                      <w:szCs w:val="21"/>
                      <w:highlight w:val="none"/>
                      <w:lang w:val="en-US" w:eastAsia="zh-CN"/>
                    </w:rPr>
                    <w:t>1.施工内容：</w:t>
                  </w:r>
                  <w:r>
                    <w:rPr>
                      <w:rFonts w:hint="eastAsia" w:ascii="宋体" w:hAnsi="宋体" w:cs="宋体"/>
                      <w:b w:val="0"/>
                      <w:bCs w:val="0"/>
                      <w:color w:val="auto"/>
                      <w:szCs w:val="21"/>
                      <w:highlight w:val="none"/>
                      <w:lang w:val="en-US" w:eastAsia="zh-CN"/>
                    </w:rPr>
                    <w:t>广西警察学院五合、仙葫校区教学楼新增电缆及五合校区变压器扩容项目位于南宁市青秀区五合大道7号广西警察学院五合校区及军堂路6号广西警察学院仙葫校区，主要施工内容包括：新增配电线路、变压器扩容等。</w:t>
                  </w:r>
                  <w:r>
                    <w:rPr>
                      <w:rFonts w:hint="eastAsia" w:ascii="宋体" w:hAnsi="宋体" w:eastAsia="宋体" w:cs="宋体"/>
                      <w:b w:val="0"/>
                      <w:bCs w:val="0"/>
                      <w:color w:val="auto"/>
                      <w:szCs w:val="21"/>
                      <w:highlight w:val="none"/>
                      <w:lang w:val="en-US" w:eastAsia="zh-CN"/>
                    </w:rPr>
                    <w:t>具体内容详见工程量清单及图纸。</w:t>
                  </w:r>
                </w:p>
                <w:p w14:paraId="4F5F047B">
                  <w:pPr>
                    <w:pStyle w:val="16"/>
                    <w:spacing w:line="360" w:lineRule="auto"/>
                    <w:rPr>
                      <w:rFonts w:hint="eastAsia" w:ascii="宋体" w:hAnsi="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2</w:t>
                  </w:r>
                  <w:r>
                    <w:rPr>
                      <w:rFonts w:ascii="宋体" w:hAnsi="宋体" w:cs="宋体"/>
                      <w:b w:val="0"/>
                      <w:bCs w:val="0"/>
                      <w:color w:val="auto"/>
                      <w:szCs w:val="21"/>
                      <w:highlight w:val="none"/>
                      <w:lang w:val="en-US" w:eastAsia="zh-CN"/>
                    </w:rPr>
                    <w:t>.</w:t>
                  </w:r>
                  <w:r>
                    <w:rPr>
                      <w:rFonts w:hint="eastAsia" w:ascii="宋体" w:hAnsi="宋体" w:cs="宋体"/>
                      <w:b w:val="0"/>
                      <w:bCs w:val="0"/>
                      <w:color w:val="auto"/>
                      <w:szCs w:val="21"/>
                      <w:highlight w:val="none"/>
                      <w:lang w:val="en-US" w:eastAsia="zh-CN"/>
                    </w:rPr>
                    <w:t>技术标准</w:t>
                  </w:r>
                  <w:r>
                    <w:rPr>
                      <w:rFonts w:ascii="宋体" w:hAnsi="宋体" w:cs="宋体"/>
                      <w:b w:val="0"/>
                      <w:bCs w:val="0"/>
                      <w:color w:val="auto"/>
                      <w:szCs w:val="21"/>
                      <w:highlight w:val="none"/>
                      <w:lang w:val="en-US" w:eastAsia="zh-CN"/>
                    </w:rPr>
                    <w:t>和</w:t>
                  </w:r>
                  <w:r>
                    <w:rPr>
                      <w:rFonts w:hint="eastAsia" w:ascii="宋体" w:hAnsi="宋体" w:cs="宋体"/>
                      <w:b w:val="0"/>
                      <w:bCs w:val="0"/>
                      <w:color w:val="auto"/>
                      <w:szCs w:val="21"/>
                      <w:highlight w:val="none"/>
                      <w:lang w:val="en-US" w:eastAsia="zh-CN"/>
                    </w:rPr>
                    <w:t>要求</w:t>
                  </w:r>
                  <w:r>
                    <w:rPr>
                      <w:rFonts w:ascii="宋体" w:hAnsi="宋体" w:cs="宋体"/>
                      <w:b w:val="0"/>
                      <w:bCs w:val="0"/>
                      <w:color w:val="auto"/>
                      <w:szCs w:val="21"/>
                      <w:highlight w:val="none"/>
                      <w:lang w:val="en-US" w:eastAsia="zh-CN"/>
                    </w:rPr>
                    <w:t>：</w:t>
                  </w:r>
                  <w:r>
                    <w:rPr>
                      <w:rFonts w:hint="eastAsia" w:ascii="宋体" w:hAnsi="宋体" w:cs="宋体"/>
                      <w:b w:val="0"/>
                      <w:bCs w:val="0"/>
                      <w:color w:val="auto"/>
                      <w:szCs w:val="21"/>
                      <w:highlight w:val="none"/>
                      <w:lang w:val="en-US" w:eastAsia="zh-CN"/>
                    </w:rPr>
                    <w:t>符合国家现行的工程建设标准、技术规范及强制性标准条文、以及施工图纸载明的其他有关规范标准。</w:t>
                  </w:r>
                </w:p>
                <w:p w14:paraId="49E9788E">
                  <w:pPr>
                    <w:pStyle w:val="16"/>
                    <w:spacing w:line="360" w:lineRule="auto"/>
                    <w:rPr>
                      <w:rFonts w:hint="eastAsia" w:ascii="宋体" w:hAnsi="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3.施工单位进场施工应遵守学校有关规定，能配合采购人根据实际情况调整施工计划，并具备保证施工工期的能力。</w:t>
                  </w:r>
                </w:p>
                <w:p w14:paraId="2011DE7B">
                  <w:pPr>
                    <w:pStyle w:val="16"/>
                    <w:spacing w:line="360" w:lineRule="auto"/>
                    <w:rPr>
                      <w:rFonts w:hint="eastAsia" w:ascii="宋体" w:hAnsi="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4.如项目建设过程中，涉及交叉施工，施工单位须予以配合完成。</w:t>
                  </w:r>
                </w:p>
                <w:p w14:paraId="0FF63E99">
                  <w:pPr>
                    <w:pStyle w:val="16"/>
                    <w:spacing w:line="360" w:lineRule="auto"/>
                    <w:rPr>
                      <w:rFonts w:hint="default" w:ascii="宋体" w:hAnsi="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5.供应商应在人员、设备及技术管理等方面具备相应的施工能力。提供施工组织设计方案和项目管理机构配备情况表及主要人员简历表。</w:t>
                  </w:r>
                </w:p>
                <w:p w14:paraId="64C573C7">
                  <w:pPr>
                    <w:pStyle w:val="16"/>
                    <w:spacing w:line="360" w:lineRule="auto"/>
                    <w:rPr>
                      <w:rFonts w:ascii="宋体" w:hAnsi="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6.质量</w:t>
                  </w:r>
                  <w:r>
                    <w:rPr>
                      <w:rFonts w:ascii="宋体" w:hAnsi="宋体" w:cs="宋体"/>
                      <w:b w:val="0"/>
                      <w:bCs w:val="0"/>
                      <w:color w:val="auto"/>
                      <w:szCs w:val="21"/>
                      <w:highlight w:val="none"/>
                      <w:lang w:val="en-US" w:eastAsia="zh-CN"/>
                    </w:rPr>
                    <w:t>标准</w:t>
                  </w:r>
                  <w:r>
                    <w:rPr>
                      <w:rFonts w:hint="eastAsia" w:ascii="宋体" w:hAnsi="宋体" w:cs="宋体"/>
                      <w:b w:val="0"/>
                      <w:bCs w:val="0"/>
                      <w:color w:val="auto"/>
                      <w:szCs w:val="21"/>
                      <w:highlight w:val="none"/>
                      <w:lang w:val="en-US" w:eastAsia="zh-CN"/>
                    </w:rPr>
                    <w:t>：</w:t>
                  </w:r>
                  <w:r>
                    <w:rPr>
                      <w:rFonts w:ascii="宋体" w:hAnsi="宋体" w:cs="宋体"/>
                      <w:b w:val="0"/>
                      <w:bCs w:val="0"/>
                      <w:color w:val="auto"/>
                      <w:szCs w:val="21"/>
                      <w:highlight w:val="none"/>
                      <w:lang w:val="en-US" w:eastAsia="zh-CN"/>
                    </w:rPr>
                    <w:t>合格。</w:t>
                  </w:r>
                </w:p>
                <w:p w14:paraId="25B4A30F">
                  <w:pPr>
                    <w:pStyle w:val="16"/>
                    <w:spacing w:line="360" w:lineRule="auto"/>
                    <w:rPr>
                      <w:rFonts w:ascii="宋体" w:hAnsi="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7.报价</w:t>
                  </w:r>
                  <w:r>
                    <w:rPr>
                      <w:rFonts w:ascii="宋体" w:hAnsi="宋体" w:cs="宋体"/>
                      <w:b w:val="0"/>
                      <w:bCs w:val="0"/>
                      <w:color w:val="auto"/>
                      <w:szCs w:val="21"/>
                      <w:highlight w:val="none"/>
                      <w:lang w:val="en-US" w:eastAsia="zh-CN"/>
                    </w:rPr>
                    <w:t>方式：</w:t>
                  </w:r>
                  <w:r>
                    <w:rPr>
                      <w:rFonts w:hint="eastAsia" w:ascii="宋体" w:hAnsi="宋体" w:cs="宋体"/>
                      <w:b w:val="0"/>
                      <w:bCs w:val="0"/>
                      <w:color w:val="auto"/>
                      <w:szCs w:val="21"/>
                      <w:highlight w:val="none"/>
                      <w:lang w:val="en-US" w:eastAsia="zh-CN"/>
                    </w:rPr>
                    <w:t>工程量</w:t>
                  </w:r>
                  <w:r>
                    <w:rPr>
                      <w:rFonts w:ascii="宋体" w:hAnsi="宋体" w:cs="宋体"/>
                      <w:b w:val="0"/>
                      <w:bCs w:val="0"/>
                      <w:color w:val="auto"/>
                      <w:szCs w:val="21"/>
                      <w:highlight w:val="none"/>
                      <w:lang w:val="en-US" w:eastAsia="zh-CN"/>
                    </w:rPr>
                    <w:t>清单报价。</w:t>
                  </w:r>
                </w:p>
                <w:p w14:paraId="7708635F">
                  <w:pPr>
                    <w:pStyle w:val="16"/>
                    <w:spacing w:line="360" w:lineRule="auto"/>
                    <w:rPr>
                      <w:rFonts w:ascii="宋体" w:hAnsi="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8.承包方式</w:t>
                  </w:r>
                  <w:r>
                    <w:rPr>
                      <w:rFonts w:ascii="宋体" w:hAnsi="宋体" w:cs="宋体"/>
                      <w:b w:val="0"/>
                      <w:bCs w:val="0"/>
                      <w:color w:val="auto"/>
                      <w:szCs w:val="21"/>
                      <w:highlight w:val="none"/>
                      <w:lang w:val="en-US" w:eastAsia="zh-CN"/>
                    </w:rPr>
                    <w:t>：</w:t>
                  </w:r>
                  <w:r>
                    <w:rPr>
                      <w:rFonts w:hint="eastAsia" w:ascii="宋体" w:hAnsi="宋体" w:cs="宋体"/>
                      <w:b w:val="0"/>
                      <w:bCs w:val="0"/>
                      <w:color w:val="auto"/>
                      <w:szCs w:val="21"/>
                      <w:highlight w:val="none"/>
                      <w:lang w:val="en-US" w:eastAsia="zh-CN"/>
                    </w:rPr>
                    <w:t>固定</w:t>
                  </w:r>
                  <w:r>
                    <w:rPr>
                      <w:rFonts w:ascii="宋体" w:hAnsi="宋体" w:cs="宋体"/>
                      <w:b w:val="0"/>
                      <w:bCs w:val="0"/>
                      <w:color w:val="auto"/>
                      <w:szCs w:val="21"/>
                      <w:highlight w:val="none"/>
                      <w:lang w:val="en-US" w:eastAsia="zh-CN"/>
                    </w:rPr>
                    <w:t>综合单价。</w:t>
                  </w:r>
                </w:p>
                <w:p w14:paraId="42031BFE">
                  <w:pPr>
                    <w:pStyle w:val="16"/>
                    <w:spacing w:line="360" w:lineRule="auto"/>
                    <w:rPr>
                      <w:b w:val="0"/>
                      <w:bCs w:val="0"/>
                      <w:color w:val="auto"/>
                      <w:highlight w:val="none"/>
                    </w:rPr>
                  </w:pPr>
                  <w:r>
                    <w:rPr>
                      <w:rFonts w:hint="eastAsia" w:ascii="宋体" w:hAnsi="宋体" w:cs="宋体"/>
                      <w:b w:val="0"/>
                      <w:bCs w:val="0"/>
                      <w:color w:val="auto"/>
                      <w:szCs w:val="21"/>
                      <w:highlight w:val="none"/>
                      <w:lang w:val="en-US" w:eastAsia="zh-CN"/>
                    </w:rPr>
                    <w:t>9.</w:t>
                  </w:r>
                  <w:r>
                    <w:rPr>
                      <w:rFonts w:hint="eastAsia"/>
                      <w:b w:val="0"/>
                      <w:bCs w:val="0"/>
                      <w:color w:val="auto"/>
                      <w:highlight w:val="none"/>
                      <w:lang w:val="en-US" w:eastAsia="zh-CN"/>
                    </w:rPr>
                    <w:t>开工日期：</w:t>
                  </w:r>
                  <w:r>
                    <w:rPr>
                      <w:rFonts w:hint="eastAsia" w:ascii="Times New Roman" w:hAnsi="Times New Roman" w:eastAsia="宋体" w:cs="Times New Roman"/>
                      <w:b w:val="0"/>
                      <w:bCs w:val="0"/>
                      <w:color w:val="auto"/>
                      <w:kern w:val="2"/>
                      <w:sz w:val="21"/>
                      <w:szCs w:val="24"/>
                      <w:highlight w:val="none"/>
                      <w:lang w:val="en-US" w:eastAsia="zh-CN" w:bidi="ar-SA"/>
                    </w:rPr>
                    <w:t>如无特殊情况，本工程以签订合同之日后第5日为开工日期，工期自此日期起算。</w:t>
                  </w:r>
                </w:p>
              </w:tc>
            </w:tr>
          </w:tbl>
          <w:p w14:paraId="454CCC07">
            <w:pPr>
              <w:spacing w:line="360" w:lineRule="auto"/>
              <w:rPr>
                <w:rFonts w:ascii="宋体" w:hAnsi="宋体"/>
                <w:b w:val="0"/>
                <w:bCs w:val="0"/>
                <w:color w:val="auto"/>
                <w:szCs w:val="21"/>
                <w:highlight w:val="none"/>
              </w:rPr>
            </w:pPr>
            <w:r>
              <w:rPr>
                <w:rFonts w:hint="eastAsia" w:ascii="宋体" w:hAnsi="宋体"/>
                <w:b w:val="0"/>
                <w:bCs w:val="0"/>
                <w:color w:val="auto"/>
                <w:szCs w:val="21"/>
                <w:highlight w:val="none"/>
              </w:rPr>
              <w:t>▲商务要求</w:t>
            </w:r>
          </w:p>
        </w:tc>
      </w:tr>
      <w:tr w14:paraId="3248EC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820" w:type="dxa"/>
            <w:tcBorders>
              <w:top w:val="single" w:color="auto" w:sz="4" w:space="0"/>
              <w:left w:val="single" w:color="auto" w:sz="4" w:space="0"/>
              <w:bottom w:val="single" w:color="auto" w:sz="4" w:space="0"/>
              <w:right w:val="single" w:color="auto" w:sz="4" w:space="0"/>
            </w:tcBorders>
            <w:vAlign w:val="center"/>
          </w:tcPr>
          <w:p w14:paraId="612B5300">
            <w:pPr>
              <w:spacing w:line="360" w:lineRule="auto"/>
              <w:rPr>
                <w:rFonts w:ascii="宋体" w:hAnsi="宋体"/>
                <w:b/>
                <w:color w:val="auto"/>
                <w:szCs w:val="21"/>
                <w:highlight w:val="none"/>
              </w:rPr>
            </w:pPr>
            <w:r>
              <w:rPr>
                <w:rFonts w:hint="eastAsia" w:ascii="宋体" w:hAnsi="宋体" w:eastAsia="宋体" w:cs="Times New Roman"/>
                <w:color w:val="auto"/>
                <w:szCs w:val="21"/>
                <w:highlight w:val="none"/>
                <w:lang w:val="en-US" w:eastAsia="zh-CN"/>
              </w:rPr>
              <w:t>合同履行期限</w:t>
            </w:r>
          </w:p>
        </w:tc>
        <w:tc>
          <w:tcPr>
            <w:tcW w:w="6985" w:type="dxa"/>
            <w:tcBorders>
              <w:top w:val="single" w:color="auto" w:sz="4" w:space="0"/>
              <w:left w:val="single" w:color="auto" w:sz="4" w:space="0"/>
              <w:bottom w:val="single" w:color="auto" w:sz="4" w:space="0"/>
              <w:right w:val="single" w:color="auto" w:sz="4" w:space="0"/>
            </w:tcBorders>
            <w:vAlign w:val="center"/>
          </w:tcPr>
          <w:p w14:paraId="75D541FE">
            <w:pPr>
              <w:rPr>
                <w:rFonts w:hint="default"/>
                <w:color w:val="auto"/>
                <w:highlight w:val="none"/>
                <w:lang w:val="en-US"/>
              </w:rPr>
            </w:pPr>
            <w:r>
              <w:rPr>
                <w:rFonts w:hint="eastAsia" w:ascii="宋体" w:hAnsi="宋体"/>
                <w:color w:val="auto"/>
                <w:szCs w:val="21"/>
                <w:highlight w:val="none"/>
                <w:lang w:eastAsia="zh-CN"/>
              </w:rPr>
              <w:t>工期为30日历天</w:t>
            </w:r>
          </w:p>
        </w:tc>
      </w:tr>
      <w:tr w14:paraId="6A4C2F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820" w:type="dxa"/>
            <w:tcBorders>
              <w:top w:val="single" w:color="auto" w:sz="4" w:space="0"/>
              <w:left w:val="single" w:color="auto" w:sz="4" w:space="0"/>
              <w:bottom w:val="single" w:color="auto" w:sz="4" w:space="0"/>
              <w:right w:val="single" w:color="auto" w:sz="4" w:space="0"/>
            </w:tcBorders>
            <w:vAlign w:val="center"/>
          </w:tcPr>
          <w:p w14:paraId="01E7EC7C">
            <w:pPr>
              <w:spacing w:line="360" w:lineRule="auto"/>
              <w:rPr>
                <w:rFonts w:ascii="宋体" w:hAnsi="宋体"/>
                <w:color w:val="auto"/>
                <w:szCs w:val="21"/>
                <w:highlight w:val="none"/>
              </w:rPr>
            </w:pPr>
            <w:r>
              <w:rPr>
                <w:rFonts w:hint="eastAsia" w:ascii="宋体" w:hAnsi="宋体"/>
                <w:color w:val="auto"/>
                <w:szCs w:val="21"/>
                <w:highlight w:val="none"/>
              </w:rPr>
              <w:t>建设地点</w:t>
            </w:r>
          </w:p>
        </w:tc>
        <w:tc>
          <w:tcPr>
            <w:tcW w:w="6985" w:type="dxa"/>
            <w:tcBorders>
              <w:top w:val="single" w:color="auto" w:sz="4" w:space="0"/>
              <w:left w:val="single" w:color="auto" w:sz="4" w:space="0"/>
              <w:bottom w:val="single" w:color="auto" w:sz="4" w:space="0"/>
              <w:right w:val="single" w:color="auto" w:sz="4" w:space="0"/>
            </w:tcBorders>
            <w:vAlign w:val="center"/>
          </w:tcPr>
          <w:p w14:paraId="5D4C11AB">
            <w:pPr>
              <w:spacing w:line="360" w:lineRule="auto"/>
              <w:rPr>
                <w:rFonts w:hint="default" w:ascii="宋体" w:hAnsi="宋体" w:eastAsia="宋体"/>
                <w:color w:val="auto"/>
                <w:szCs w:val="21"/>
                <w:highlight w:val="none"/>
                <w:lang w:val="en-US" w:eastAsia="zh-CN"/>
              </w:rPr>
            </w:pPr>
            <w:r>
              <w:rPr>
                <w:rFonts w:hint="eastAsia" w:ascii="宋体" w:hAnsi="宋体" w:cs="宋体"/>
                <w:color w:val="auto"/>
                <w:kern w:val="0"/>
                <w:szCs w:val="21"/>
                <w:highlight w:val="none"/>
                <w:lang w:val="en-US" w:eastAsia="zh-CN"/>
              </w:rPr>
              <w:t>采购人指定地点</w:t>
            </w:r>
          </w:p>
        </w:tc>
      </w:tr>
      <w:tr w14:paraId="73A725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20" w:type="dxa"/>
            <w:tcBorders>
              <w:top w:val="single" w:color="auto" w:sz="4" w:space="0"/>
              <w:left w:val="single" w:color="auto" w:sz="4" w:space="0"/>
              <w:bottom w:val="single" w:color="auto" w:sz="4" w:space="0"/>
              <w:right w:val="single" w:color="auto" w:sz="4" w:space="0"/>
            </w:tcBorders>
            <w:vAlign w:val="center"/>
          </w:tcPr>
          <w:p w14:paraId="095569B6">
            <w:pPr>
              <w:spacing w:line="360" w:lineRule="auto"/>
              <w:rPr>
                <w:rFonts w:ascii="宋体" w:hAnsi="宋体"/>
                <w:b/>
                <w:color w:val="auto"/>
                <w:szCs w:val="21"/>
                <w:highlight w:val="none"/>
              </w:rPr>
            </w:pPr>
            <w:r>
              <w:rPr>
                <w:rFonts w:hint="eastAsia" w:ascii="宋体" w:hAnsi="宋体"/>
                <w:color w:val="auto"/>
                <w:szCs w:val="21"/>
                <w:highlight w:val="none"/>
              </w:rPr>
              <w:t>合同签订时间</w:t>
            </w:r>
          </w:p>
        </w:tc>
        <w:tc>
          <w:tcPr>
            <w:tcW w:w="6985" w:type="dxa"/>
            <w:tcBorders>
              <w:top w:val="single" w:color="auto" w:sz="4" w:space="0"/>
              <w:left w:val="single" w:color="auto" w:sz="4" w:space="0"/>
              <w:bottom w:val="single" w:color="auto" w:sz="4" w:space="0"/>
              <w:right w:val="single" w:color="auto" w:sz="4" w:space="0"/>
            </w:tcBorders>
            <w:vAlign w:val="center"/>
          </w:tcPr>
          <w:p w14:paraId="4854A6A1">
            <w:pPr>
              <w:spacing w:line="360" w:lineRule="auto"/>
              <w:rPr>
                <w:rFonts w:ascii="宋体" w:hAnsi="宋体"/>
                <w:b/>
                <w:color w:val="auto"/>
                <w:szCs w:val="21"/>
                <w:highlight w:val="none"/>
              </w:rPr>
            </w:pPr>
            <w:r>
              <w:rPr>
                <w:rFonts w:hint="eastAsia" w:ascii="宋体" w:hAnsi="宋体"/>
                <w:color w:val="auto"/>
                <w:szCs w:val="21"/>
                <w:highlight w:val="none"/>
              </w:rPr>
              <w:t>自成交通知书发出之日起</w:t>
            </w:r>
            <w:r>
              <w:rPr>
                <w:rFonts w:ascii="宋体" w:hAnsi="宋体"/>
                <w:color w:val="auto"/>
                <w:szCs w:val="21"/>
                <w:highlight w:val="none"/>
                <w:u w:val="single"/>
              </w:rPr>
              <w:t>25</w:t>
            </w:r>
            <w:r>
              <w:rPr>
                <w:rFonts w:hint="eastAsia" w:ascii="宋体" w:hAnsi="宋体"/>
                <w:color w:val="auto"/>
                <w:szCs w:val="21"/>
                <w:highlight w:val="none"/>
              </w:rPr>
              <w:t>日内</w:t>
            </w:r>
          </w:p>
        </w:tc>
      </w:tr>
      <w:tr w14:paraId="175A93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820" w:type="dxa"/>
            <w:tcBorders>
              <w:top w:val="single" w:color="auto" w:sz="4" w:space="0"/>
              <w:left w:val="single" w:color="auto" w:sz="4" w:space="0"/>
              <w:bottom w:val="single" w:color="auto" w:sz="4" w:space="0"/>
              <w:right w:val="single" w:color="auto" w:sz="4" w:space="0"/>
            </w:tcBorders>
            <w:vAlign w:val="center"/>
          </w:tcPr>
          <w:p w14:paraId="3ECEF900">
            <w:pPr>
              <w:spacing w:line="360" w:lineRule="auto"/>
              <w:rPr>
                <w:rFonts w:ascii="宋体" w:hAnsi="宋体"/>
                <w:color w:val="auto"/>
                <w:szCs w:val="21"/>
                <w:highlight w:val="none"/>
              </w:rPr>
            </w:pPr>
            <w:r>
              <w:rPr>
                <w:rFonts w:hint="eastAsia" w:ascii="宋体" w:hAnsi="宋体"/>
                <w:color w:val="auto"/>
                <w:szCs w:val="21"/>
                <w:highlight w:val="none"/>
              </w:rPr>
              <w:t>验收标准</w:t>
            </w:r>
          </w:p>
        </w:tc>
        <w:tc>
          <w:tcPr>
            <w:tcW w:w="6985" w:type="dxa"/>
            <w:tcBorders>
              <w:top w:val="single" w:color="auto" w:sz="4" w:space="0"/>
              <w:left w:val="single" w:color="auto" w:sz="4" w:space="0"/>
              <w:bottom w:val="single" w:color="auto" w:sz="4" w:space="0"/>
              <w:right w:val="single" w:color="auto" w:sz="4" w:space="0"/>
            </w:tcBorders>
            <w:vAlign w:val="center"/>
          </w:tcPr>
          <w:p w14:paraId="1FF62BC5">
            <w:pPr>
              <w:spacing w:line="360" w:lineRule="auto"/>
              <w:rPr>
                <w:rFonts w:ascii="宋体" w:hAnsi="宋体"/>
                <w:color w:val="auto"/>
                <w:szCs w:val="21"/>
                <w:highlight w:val="none"/>
              </w:rPr>
            </w:pPr>
            <w:r>
              <w:rPr>
                <w:rFonts w:hint="eastAsia" w:ascii="宋体" w:hAnsi="宋体"/>
                <w:color w:val="auto"/>
                <w:szCs w:val="21"/>
                <w:highlight w:val="none"/>
              </w:rPr>
              <w:t>工程质量应符合国家及行业现行施工验收规范的合格标准，同时须通过供电部门的竣工验收。</w:t>
            </w:r>
          </w:p>
        </w:tc>
      </w:tr>
      <w:tr w14:paraId="0AD8C0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64" w:hRule="atLeast"/>
          <w:jc w:val="center"/>
        </w:trPr>
        <w:tc>
          <w:tcPr>
            <w:tcW w:w="1820" w:type="dxa"/>
            <w:tcBorders>
              <w:top w:val="single" w:color="auto" w:sz="4" w:space="0"/>
              <w:left w:val="single" w:color="auto" w:sz="4" w:space="0"/>
              <w:bottom w:val="single" w:color="auto" w:sz="4" w:space="0"/>
              <w:right w:val="single" w:color="auto" w:sz="4" w:space="0"/>
            </w:tcBorders>
            <w:vAlign w:val="center"/>
          </w:tcPr>
          <w:p w14:paraId="107CEEE6">
            <w:pPr>
              <w:spacing w:line="360" w:lineRule="auto"/>
              <w:rPr>
                <w:rFonts w:ascii="宋体" w:hAnsi="宋体"/>
                <w:b/>
                <w:color w:val="auto"/>
                <w:szCs w:val="21"/>
                <w:highlight w:val="none"/>
              </w:rPr>
            </w:pPr>
            <w:r>
              <w:rPr>
                <w:rFonts w:hint="eastAsia" w:ascii="宋体" w:hAnsi="宋体"/>
                <w:color w:val="auto"/>
                <w:szCs w:val="21"/>
                <w:highlight w:val="none"/>
              </w:rPr>
              <w:t>付款条件（进度和方式）</w:t>
            </w:r>
          </w:p>
        </w:tc>
        <w:tc>
          <w:tcPr>
            <w:tcW w:w="6985" w:type="dxa"/>
            <w:tcBorders>
              <w:top w:val="single" w:color="auto" w:sz="4" w:space="0"/>
              <w:left w:val="single" w:color="auto" w:sz="4" w:space="0"/>
              <w:bottom w:val="single" w:color="auto" w:sz="4" w:space="0"/>
              <w:right w:val="single" w:color="auto" w:sz="4" w:space="0"/>
            </w:tcBorders>
            <w:vAlign w:val="center"/>
          </w:tcPr>
          <w:p w14:paraId="07CA4549">
            <w:pPr>
              <w:spacing w:line="360" w:lineRule="auto"/>
              <w:rPr>
                <w:rFonts w:hint="default" w:eastAsia="宋体"/>
                <w:color w:val="auto"/>
                <w:highlight w:val="none"/>
                <w:lang w:val="en-US" w:eastAsia="zh-CN"/>
              </w:rPr>
            </w:pPr>
            <w:r>
              <w:rPr>
                <w:rFonts w:hint="eastAsia"/>
                <w:color w:val="auto"/>
                <w:highlight w:val="none"/>
                <w:lang w:val="en-US" w:eastAsia="zh-CN"/>
              </w:rPr>
              <w:t>（1）</w:t>
            </w:r>
            <w:r>
              <w:rPr>
                <w:rFonts w:hint="default" w:eastAsia="宋体"/>
                <w:color w:val="auto"/>
                <w:highlight w:val="none"/>
                <w:lang w:val="en-US" w:eastAsia="zh-CN"/>
              </w:rPr>
              <w:t>本项目无预付款，合同以外变更部分的工程款在结算后按结算款支付比例进行支付。合同内工程进度款按以下方式进行支付：</w:t>
            </w:r>
          </w:p>
          <w:p w14:paraId="563F3CF5">
            <w:pPr>
              <w:spacing w:line="360" w:lineRule="auto"/>
              <w:rPr>
                <w:rFonts w:hint="default" w:eastAsia="宋体"/>
                <w:color w:val="auto"/>
                <w:highlight w:val="none"/>
                <w:lang w:val="en-US" w:eastAsia="zh-CN"/>
              </w:rPr>
            </w:pPr>
            <w:r>
              <w:rPr>
                <w:rFonts w:hint="default" w:eastAsia="宋体"/>
                <w:color w:val="auto"/>
                <w:highlight w:val="none"/>
                <w:lang w:val="en-US" w:eastAsia="zh-CN"/>
              </w:rPr>
              <w:t>合同内项目工程量完成至50%时，支付至合同价40%的工程款；合同内项目工程完工后，支付至合同价60%的工程款；工程验收达到质量要求后，支付至合同价80%的工程款。每次进度款支付前，承包人需向发包人提交陆份经监理工程师审核后的已完成工程量报告、付款申请材料及开具相应发票后进行支付。</w:t>
            </w:r>
          </w:p>
          <w:p w14:paraId="437D9D6F">
            <w:pPr>
              <w:spacing w:line="360" w:lineRule="auto"/>
              <w:rPr>
                <w:rFonts w:hint="default" w:eastAsia="宋体"/>
                <w:color w:val="auto"/>
                <w:highlight w:val="none"/>
                <w:lang w:val="en-US" w:eastAsia="zh-CN"/>
              </w:rPr>
            </w:pPr>
            <w:r>
              <w:rPr>
                <w:rFonts w:hint="eastAsia"/>
                <w:color w:val="auto"/>
                <w:highlight w:val="none"/>
                <w:lang w:val="en-US" w:eastAsia="zh-CN"/>
              </w:rPr>
              <w:t>（2）</w:t>
            </w:r>
            <w:r>
              <w:rPr>
                <w:rFonts w:hint="default" w:eastAsia="宋体"/>
                <w:color w:val="auto"/>
                <w:highlight w:val="none"/>
                <w:lang w:val="en-US" w:eastAsia="zh-CN"/>
              </w:rPr>
              <w:t>办理完竣工结算审计手续，工程结算款经审定且双方确认后，由承包人向发包人提交付款申请材料及开具结算款的发票（含质保金金额），并先行向发包人指定账户提交结算总价3%的质保金金额后，发包方按结算总价的100%（含已支付的）支付工程款。</w:t>
            </w:r>
            <w:r>
              <w:rPr>
                <w:rFonts w:hint="eastAsia"/>
                <w:color w:val="auto"/>
                <w:highlight w:val="none"/>
                <w:lang w:val="en-US" w:eastAsia="zh-CN"/>
              </w:rPr>
              <w:t>（</w:t>
            </w:r>
            <w:r>
              <w:rPr>
                <w:rFonts w:hint="default" w:eastAsia="宋体"/>
                <w:color w:val="auto"/>
                <w:highlight w:val="none"/>
                <w:lang w:val="en-US" w:eastAsia="zh-CN"/>
              </w:rPr>
              <w:t>签证部分价款与结算款一并支付。</w:t>
            </w:r>
            <w:r>
              <w:rPr>
                <w:rFonts w:hint="eastAsia"/>
                <w:color w:val="auto"/>
                <w:highlight w:val="none"/>
                <w:lang w:val="en-US" w:eastAsia="zh-CN"/>
              </w:rPr>
              <w:t>）</w:t>
            </w:r>
          </w:p>
          <w:p w14:paraId="17AFB17A">
            <w:pPr>
              <w:spacing w:line="360" w:lineRule="auto"/>
              <w:rPr>
                <w:rFonts w:hint="default" w:eastAsia="宋体"/>
                <w:color w:val="auto"/>
                <w:highlight w:val="none"/>
                <w:lang w:val="en-US" w:eastAsia="zh-CN"/>
              </w:rPr>
            </w:pPr>
            <w:r>
              <w:rPr>
                <w:rFonts w:hint="eastAsia"/>
                <w:color w:val="auto"/>
                <w:highlight w:val="none"/>
                <w:lang w:val="en-US" w:eastAsia="zh-CN"/>
              </w:rPr>
              <w:t>（3）</w:t>
            </w:r>
            <w:r>
              <w:rPr>
                <w:rFonts w:hint="default" w:eastAsia="宋体"/>
                <w:color w:val="auto"/>
                <w:highlight w:val="none"/>
                <w:lang w:val="en-US" w:eastAsia="zh-CN"/>
              </w:rPr>
              <w:t>发包人按工程价款结算总额的3%暂存承包人缴来的工程质量保证金。</w:t>
            </w:r>
          </w:p>
        </w:tc>
      </w:tr>
      <w:tr w14:paraId="2526A9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79" w:hRule="atLeast"/>
          <w:jc w:val="center"/>
        </w:trPr>
        <w:tc>
          <w:tcPr>
            <w:tcW w:w="1820" w:type="dxa"/>
            <w:tcBorders>
              <w:top w:val="single" w:color="auto" w:sz="4" w:space="0"/>
              <w:left w:val="single" w:color="auto" w:sz="4" w:space="0"/>
              <w:bottom w:val="single" w:color="auto" w:sz="4" w:space="0"/>
              <w:right w:val="single" w:color="auto" w:sz="4" w:space="0"/>
            </w:tcBorders>
            <w:vAlign w:val="center"/>
          </w:tcPr>
          <w:p w14:paraId="5EC576D0">
            <w:pPr>
              <w:spacing w:line="360" w:lineRule="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其他说明</w:t>
            </w:r>
          </w:p>
        </w:tc>
        <w:tc>
          <w:tcPr>
            <w:tcW w:w="6985" w:type="dxa"/>
            <w:tcBorders>
              <w:top w:val="single" w:color="auto" w:sz="4" w:space="0"/>
              <w:left w:val="single" w:color="auto" w:sz="4" w:space="0"/>
              <w:bottom w:val="single" w:color="auto" w:sz="4" w:space="0"/>
              <w:right w:val="single" w:color="auto" w:sz="4" w:space="0"/>
            </w:tcBorders>
            <w:vAlign w:val="center"/>
          </w:tcPr>
          <w:p w14:paraId="46A66496">
            <w:pPr>
              <w:spacing w:line="360" w:lineRule="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一、进口产品说明</w:t>
            </w:r>
            <w:r>
              <w:rPr>
                <w:rFonts w:hint="eastAsia" w:ascii="宋体" w:hAnsi="宋体" w:eastAsia="宋体" w:cs="Times New Roman"/>
                <w:color w:val="auto"/>
                <w:szCs w:val="21"/>
                <w:highlight w:val="none"/>
                <w:lang w:eastAsia="zh-CN"/>
              </w:rPr>
              <w:t>：本项目</w:t>
            </w:r>
            <w:r>
              <w:rPr>
                <w:rFonts w:hint="eastAsia" w:ascii="宋体" w:hAnsi="宋体" w:eastAsia="宋体" w:cs="Times New Roman"/>
                <w:color w:val="auto"/>
                <w:szCs w:val="21"/>
                <w:highlight w:val="none"/>
              </w:rPr>
              <w:t>不涉及进口产品。</w:t>
            </w:r>
          </w:p>
          <w:p w14:paraId="69D35F3A">
            <w:pPr>
              <w:spacing w:line="360" w:lineRule="auto"/>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eastAsia="zh-CN"/>
              </w:rPr>
              <w:t>二</w:t>
            </w:r>
            <w:r>
              <w:rPr>
                <w:rFonts w:hint="eastAsia" w:ascii="宋体" w:hAnsi="宋体" w:eastAsia="宋体" w:cs="Times New Roman"/>
                <w:color w:val="auto"/>
                <w:szCs w:val="21"/>
                <w:highlight w:val="none"/>
              </w:rPr>
              <w:t>、与本</w:t>
            </w:r>
            <w:r>
              <w:rPr>
                <w:rFonts w:hint="eastAsia" w:ascii="宋体" w:hAnsi="宋体" w:eastAsia="宋体" w:cs="Times New Roman"/>
                <w:color w:val="auto"/>
                <w:szCs w:val="21"/>
                <w:highlight w:val="none"/>
                <w:lang w:eastAsia="zh-CN"/>
              </w:rPr>
              <w:t>项目</w:t>
            </w:r>
            <w:r>
              <w:rPr>
                <w:rFonts w:hint="eastAsia" w:ascii="宋体" w:hAnsi="宋体" w:eastAsia="宋体" w:cs="Times New Roman"/>
                <w:color w:val="auto"/>
                <w:szCs w:val="21"/>
                <w:highlight w:val="none"/>
              </w:rPr>
              <w:t>有关的图纸、工程量清单及其获取方式</w:t>
            </w:r>
            <w:r>
              <w:rPr>
                <w:rFonts w:hint="eastAsia" w:ascii="宋体" w:hAnsi="宋体" w:eastAsia="宋体" w:cs="Times New Roman"/>
                <w:color w:val="auto"/>
                <w:szCs w:val="21"/>
                <w:highlight w:val="none"/>
                <w:lang w:eastAsia="zh-CN"/>
              </w:rPr>
              <w:t>：</w:t>
            </w:r>
          </w:p>
          <w:p w14:paraId="3BC1581D">
            <w:pPr>
              <w:spacing w:line="360" w:lineRule="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资料名称：1、工程量清单</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2、图纸</w:t>
            </w:r>
            <w:r>
              <w:rPr>
                <w:rFonts w:hint="eastAsia" w:ascii="宋体" w:hAnsi="宋体" w:eastAsia="宋体" w:cs="Times New Roman"/>
                <w:color w:val="auto"/>
                <w:szCs w:val="21"/>
                <w:highlight w:val="none"/>
                <w:lang w:eastAsia="zh-CN"/>
              </w:rPr>
              <w:t>。</w:t>
            </w:r>
          </w:p>
          <w:p w14:paraId="4FD6E8AF">
            <w:pPr>
              <w:spacing w:line="360" w:lineRule="auto"/>
              <w:rPr>
                <w:rFonts w:hint="default" w:ascii="宋体" w:hAnsi="宋体" w:eastAsia="宋体" w:cs="Times New Roman"/>
                <w:color w:val="auto"/>
                <w:szCs w:val="21"/>
                <w:highlight w:val="none"/>
                <w:lang w:val="en" w:eastAsia="zh-CN"/>
              </w:rPr>
            </w:pPr>
            <w:r>
              <w:rPr>
                <w:rFonts w:hint="eastAsia" w:ascii="宋体" w:hAnsi="宋体" w:eastAsia="宋体" w:cs="Times New Roman"/>
                <w:color w:val="auto"/>
                <w:szCs w:val="21"/>
                <w:highlight w:val="none"/>
              </w:rPr>
              <w:t>获取方式：网上下载。供应商可自行在“广西政府采购云”平台（https://www.gcy.zfcg.gxzf.gov.cn）下载</w:t>
            </w:r>
            <w:r>
              <w:rPr>
                <w:rFonts w:hint="eastAsia" w:ascii="宋体" w:hAnsi="宋体" w:eastAsia="宋体" w:cs="Times New Roman"/>
                <w:color w:val="auto"/>
                <w:szCs w:val="21"/>
                <w:highlight w:val="none"/>
                <w:lang w:eastAsia="zh-CN"/>
              </w:rPr>
              <w:t>相关资料</w:t>
            </w:r>
            <w:r>
              <w:rPr>
                <w:rFonts w:hint="eastAsia" w:ascii="宋体" w:hAnsi="宋体" w:eastAsia="宋体" w:cs="Times New Roman"/>
                <w:color w:val="auto"/>
                <w:szCs w:val="21"/>
                <w:highlight w:val="none"/>
              </w:rPr>
              <w:t>。</w:t>
            </w:r>
          </w:p>
        </w:tc>
      </w:tr>
    </w:tbl>
    <w:p w14:paraId="03BD6C3C">
      <w:pPr>
        <w:rPr>
          <w:rFonts w:ascii="宋体" w:hAnsi="宋体" w:cs="宋体"/>
          <w:b/>
          <w:bCs/>
          <w:color w:val="auto"/>
          <w:szCs w:val="21"/>
          <w:highlight w:val="none"/>
        </w:rPr>
      </w:pPr>
      <w:r>
        <w:rPr>
          <w:rFonts w:ascii="宋体" w:hAnsi="宋体" w:cs="宋体"/>
          <w:b/>
          <w:bCs/>
          <w:color w:val="auto"/>
          <w:szCs w:val="21"/>
          <w:highlight w:val="none"/>
        </w:rPr>
        <w:br w:type="page"/>
      </w:r>
    </w:p>
    <w:p w14:paraId="771E1B6C">
      <w:pPr>
        <w:pStyle w:val="24"/>
        <w:keepNext w:val="0"/>
        <w:keepLines w:val="0"/>
        <w:pageBreakBefore w:val="0"/>
        <w:widowControl w:val="0"/>
        <w:kinsoku/>
        <w:wordWrap/>
        <w:overflowPunct/>
        <w:topLinePunct w:val="0"/>
        <w:autoSpaceDE/>
        <w:autoSpaceDN/>
        <w:bidi w:val="0"/>
        <w:adjustRightInd/>
        <w:snapToGrid/>
        <w:spacing w:before="340" w:after="340" w:line="360" w:lineRule="auto"/>
        <w:ind w:firstLine="883" w:firstLineChars="200"/>
        <w:jc w:val="center"/>
        <w:textAlignment w:val="center"/>
        <w:outlineLvl w:val="0"/>
        <w:rPr>
          <w:color w:val="auto"/>
          <w:highlight w:val="none"/>
        </w:rPr>
      </w:pPr>
      <w:bookmarkStart w:id="76" w:name="_Toc29831"/>
      <w:r>
        <w:rPr>
          <w:rFonts w:hint="eastAsia"/>
          <w:b/>
          <w:color w:val="auto"/>
          <w:sz w:val="44"/>
          <w:szCs w:val="44"/>
          <w:highlight w:val="none"/>
        </w:rPr>
        <w:t>第四章  评审程序、评审方法和评审标准</w:t>
      </w:r>
      <w:bookmarkEnd w:id="76"/>
    </w:p>
    <w:p w14:paraId="6ED6C918">
      <w:pPr>
        <w:spacing w:line="360" w:lineRule="auto"/>
        <w:jc w:val="center"/>
        <w:rPr>
          <w:rFonts w:ascii="宋体" w:hAnsi="宋体"/>
          <w:b/>
          <w:color w:val="auto"/>
          <w:sz w:val="32"/>
          <w:szCs w:val="32"/>
          <w:highlight w:val="none"/>
        </w:rPr>
      </w:pPr>
      <w:r>
        <w:rPr>
          <w:rFonts w:hint="eastAsia" w:ascii="宋体" w:hAnsi="宋体"/>
          <w:b/>
          <w:color w:val="auto"/>
          <w:sz w:val="32"/>
          <w:szCs w:val="32"/>
          <w:highlight w:val="none"/>
        </w:rPr>
        <w:t>一、评审程序和评审方法</w:t>
      </w:r>
    </w:p>
    <w:p w14:paraId="5E8194C8">
      <w:pPr>
        <w:spacing w:line="360" w:lineRule="auto"/>
        <w:ind w:firstLine="354" w:firstLineChars="147"/>
        <w:jc w:val="left"/>
        <w:rPr>
          <w:rFonts w:ascii="黑体" w:hAnsi="黑体" w:eastAsia="黑体" w:cs="宋体"/>
          <w:b/>
          <w:bCs/>
          <w:color w:val="auto"/>
          <w:sz w:val="24"/>
          <w:highlight w:val="none"/>
        </w:rPr>
      </w:pPr>
      <w:r>
        <w:rPr>
          <w:rFonts w:ascii="黑体" w:hAnsi="黑体" w:eastAsia="黑体" w:cs="宋体"/>
          <w:b/>
          <w:bCs/>
          <w:color w:val="auto"/>
          <w:sz w:val="24"/>
          <w:highlight w:val="none"/>
        </w:rPr>
        <w:t>1</w:t>
      </w:r>
      <w:r>
        <w:rPr>
          <w:rFonts w:hint="eastAsia" w:ascii="黑体" w:hAnsi="黑体" w:eastAsia="黑体" w:cs="宋体"/>
          <w:b/>
          <w:bCs/>
          <w:color w:val="auto"/>
          <w:sz w:val="24"/>
          <w:highlight w:val="none"/>
        </w:rPr>
        <w:t>.资格审查</w:t>
      </w:r>
    </w:p>
    <w:p w14:paraId="698C09FB">
      <w:pPr>
        <w:snapToGrid w:val="0"/>
        <w:spacing w:line="360" w:lineRule="auto"/>
        <w:ind w:firstLine="420" w:firstLineChars="200"/>
        <w:rPr>
          <w:rFonts w:ascii="宋体" w:hAnsi="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.1</w:t>
      </w:r>
      <w:r>
        <w:rPr>
          <w:rFonts w:hint="eastAsia" w:ascii="宋体" w:hAnsi="宋体"/>
          <w:color w:val="auto"/>
          <w:szCs w:val="21"/>
          <w:highlight w:val="none"/>
        </w:rPr>
        <w:t>响应文件开启后，磋商小组依法对供应商的资格证明文件进行审查。</w:t>
      </w:r>
    </w:p>
    <w:p w14:paraId="76DF03D7">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注：</w:t>
      </w:r>
      <w:r>
        <w:rPr>
          <w:rFonts w:hint="eastAsia"/>
          <w:color w:val="auto"/>
          <w:highlight w:val="none"/>
        </w:rPr>
        <w:t>磋商小组</w:t>
      </w:r>
      <w:r>
        <w:rPr>
          <w:rFonts w:hint="eastAsia" w:ascii="宋体" w:hAnsi="宋体" w:cs="宋体"/>
          <w:color w:val="auto"/>
          <w:szCs w:val="21"/>
          <w:highlight w:val="none"/>
        </w:rPr>
        <w:t>在资格审查结束前，对供应商进行信用查询。</w:t>
      </w:r>
    </w:p>
    <w:p w14:paraId="5B224C8D">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（1）查询渠道：</w:t>
      </w:r>
      <w:r>
        <w:rPr>
          <w:rFonts w:hint="eastAsia" w:ascii="宋体" w:hAnsi="宋体" w:cs="宋体"/>
          <w:color w:val="auto"/>
          <w:szCs w:val="21"/>
          <w:highlight w:val="none"/>
          <w:lang w:eastAsia="zh-CN"/>
        </w:rPr>
        <w:t>广西政府采购云平台</w:t>
      </w:r>
      <w:r>
        <w:rPr>
          <w:rFonts w:hint="eastAsia" w:ascii="宋体" w:hAnsi="宋体" w:cs="宋体"/>
          <w:color w:val="auto"/>
          <w:szCs w:val="21"/>
          <w:highlight w:val="none"/>
        </w:rPr>
        <w:t>平台“信用中国”网站（www.creditchina.gov.cn）、中国政府采购网（www.ccgp.gov.cn）链接入口。</w:t>
      </w:r>
    </w:p>
    <w:p w14:paraId="5CF1657D">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（2）信用查询截止时点：资格审查结束前。</w:t>
      </w:r>
    </w:p>
    <w:p w14:paraId="1C479785">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（3）查询记录和证据留存方式：在查询网站中直接查询，截图另存为电子文档作为评审资料保存。</w:t>
      </w:r>
    </w:p>
    <w:p w14:paraId="4F9EF704">
      <w:pPr>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资格审查不通过，不得参与政府采购活动。</w:t>
      </w:r>
      <w:r>
        <w:rPr>
          <w:rFonts w:hint="eastAsia" w:ascii="宋体" w:hAnsi="宋体"/>
          <w:color w:val="auto"/>
          <w:szCs w:val="21"/>
          <w:highlight w:val="none"/>
        </w:rPr>
        <w:t>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r>
        <w:rPr>
          <w:rFonts w:hint="eastAsia" w:ascii="宋体" w:hAnsi="宋体" w:cs="宋体"/>
          <w:color w:val="auto"/>
          <w:szCs w:val="21"/>
          <w:highlight w:val="none"/>
        </w:rPr>
        <w:t>。</w:t>
      </w:r>
    </w:p>
    <w:p w14:paraId="25A53CEA">
      <w:pPr>
        <w:spacing w:line="360" w:lineRule="auto"/>
        <w:ind w:firstLine="420" w:firstLineChars="200"/>
        <w:rPr>
          <w:rFonts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.2资格审查标准为本磋商文件中载明对供应商资格要求的条件。资格审查采用合格制，凡符合磋商文件规定的供应商资格要求的响应文件均通过资格审查。</w:t>
      </w:r>
    </w:p>
    <w:p w14:paraId="55B545AD">
      <w:pPr>
        <w:spacing w:line="360" w:lineRule="auto"/>
        <w:ind w:firstLine="420" w:firstLineChars="200"/>
        <w:rPr>
          <w:rFonts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.3供应商有下列情形之一的，资格审查不通过，其响应文件按无效处理：</w:t>
      </w:r>
    </w:p>
    <w:p w14:paraId="52EA615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）不具备磋商文件中规定的资格要求的；</w:t>
      </w:r>
    </w:p>
    <w:p w14:paraId="2310724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（2）未按磋商文件规定的方式获取本磋商文件的供应商；</w:t>
      </w:r>
    </w:p>
    <w:p w14:paraId="0289DED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）响应文件的资格证明文件缺少任一项“供应商须知前附表”资格证明文件规定的“必须提供”的文件资料的；</w:t>
      </w:r>
    </w:p>
    <w:p w14:paraId="6196500F">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）响应文件中的资格证明文件出现任一项不符合“供应商须知前附表”资格证明文件规定的“必须提供”的文件资料要求或者无效的；</w:t>
      </w:r>
    </w:p>
    <w:p w14:paraId="3EDB283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）同一合同项下的不同供应商，单位负责人为同一人或者存在直接控股、管理关系的；为本项目提供过整体设计、规范编制或者项目管理、监理、检测等服务的供应商，再参加该采购项目的其他采购活动的。</w:t>
      </w:r>
    </w:p>
    <w:p w14:paraId="2C754A77">
      <w:pPr>
        <w:spacing w:line="360" w:lineRule="auto"/>
        <w:ind w:firstLine="420" w:firstLineChars="200"/>
        <w:rPr>
          <w:rFonts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.4通过资格审查的合格供应商不足3家的，不得进入符合性审查环节，</w:t>
      </w:r>
      <w:r>
        <w:rPr>
          <w:rFonts w:hint="eastAsia" w:ascii="宋体" w:hAnsi="宋体"/>
          <w:color w:val="auto"/>
          <w:szCs w:val="21"/>
          <w:highlight w:val="none"/>
        </w:rPr>
        <w:t>应当重新开展采购活动。</w:t>
      </w:r>
    </w:p>
    <w:p w14:paraId="7AA0E6AA">
      <w:pPr>
        <w:spacing w:line="360" w:lineRule="auto"/>
        <w:ind w:firstLine="482" w:firstLineChars="200"/>
        <w:rPr>
          <w:rFonts w:ascii="黑体" w:hAnsi="黑体" w:eastAsia="黑体" w:cs="宋体"/>
          <w:b/>
          <w:bCs/>
          <w:color w:val="auto"/>
          <w:sz w:val="24"/>
          <w:highlight w:val="none"/>
        </w:rPr>
      </w:pPr>
      <w:r>
        <w:rPr>
          <w:rFonts w:ascii="黑体" w:hAnsi="黑体" w:eastAsia="黑体" w:cs="宋体"/>
          <w:b/>
          <w:bCs/>
          <w:color w:val="auto"/>
          <w:sz w:val="24"/>
          <w:highlight w:val="none"/>
        </w:rPr>
        <w:t>2</w:t>
      </w:r>
      <w:r>
        <w:rPr>
          <w:rFonts w:hint="eastAsia" w:ascii="黑体" w:hAnsi="黑体" w:eastAsia="黑体" w:cs="宋体"/>
          <w:b/>
          <w:bCs/>
          <w:color w:val="auto"/>
          <w:sz w:val="24"/>
          <w:highlight w:val="none"/>
        </w:rPr>
        <w:t>.符合性审查</w:t>
      </w:r>
    </w:p>
    <w:p w14:paraId="053FB23E">
      <w:pPr>
        <w:spacing w:line="360" w:lineRule="auto"/>
        <w:ind w:firstLine="420" w:firstLineChars="200"/>
        <w:rPr>
          <w:rFonts w:ascii="宋体" w:hAnsi="宋体" w:cs="宋体"/>
          <w:color w:val="auto"/>
          <w:szCs w:val="21"/>
          <w:highlight w:val="none"/>
        </w:rPr>
      </w:pPr>
      <w:bookmarkStart w:id="77" w:name="_Hlk42528882"/>
      <w:r>
        <w:rPr>
          <w:rFonts w:ascii="宋体" w:hAnsi="宋体" w:cs="宋体"/>
          <w:color w:val="auto"/>
          <w:szCs w:val="21"/>
          <w:highlight w:val="none"/>
        </w:rPr>
        <w:t>2.1</w:t>
      </w:r>
      <w:r>
        <w:rPr>
          <w:rFonts w:hint="eastAsia" w:ascii="宋体" w:hAnsi="宋体" w:cs="宋体"/>
          <w:color w:val="auto"/>
          <w:szCs w:val="21"/>
          <w:highlight w:val="none"/>
        </w:rPr>
        <w:t>磋商小组对</w:t>
      </w:r>
      <w:r>
        <w:rPr>
          <w:rFonts w:hint="eastAsia" w:ascii="宋体" w:hAnsi="宋体"/>
          <w:color w:val="auto"/>
          <w:szCs w:val="21"/>
          <w:highlight w:val="none"/>
        </w:rPr>
        <w:t>通过资格审查的合格供应商</w:t>
      </w:r>
      <w:r>
        <w:rPr>
          <w:rFonts w:hint="eastAsia" w:ascii="宋体" w:hAnsi="宋体" w:cs="宋体"/>
          <w:color w:val="auto"/>
          <w:szCs w:val="21"/>
          <w:highlight w:val="none"/>
        </w:rPr>
        <w:t>的响应文件的竞标报价、商务、技术等实质性要求进行符合性审查，以确定其是否满足磋商文件的实质性要求。</w:t>
      </w:r>
    </w:p>
    <w:bookmarkEnd w:id="77"/>
    <w:p w14:paraId="1E086A37">
      <w:pPr>
        <w:spacing w:line="360" w:lineRule="auto"/>
        <w:ind w:firstLine="420" w:firstLineChars="200"/>
        <w:rPr>
          <w:rFonts w:ascii="宋体" w:hAnsi="宋体" w:cs="宋体"/>
          <w:color w:val="auto"/>
          <w:szCs w:val="21"/>
          <w:highlight w:val="none"/>
        </w:rPr>
      </w:pPr>
      <w:r>
        <w:rPr>
          <w:rFonts w:ascii="宋体" w:hAnsi="宋体" w:cs="宋体"/>
          <w:color w:val="auto"/>
          <w:szCs w:val="21"/>
          <w:highlight w:val="none"/>
        </w:rPr>
        <w:t>2.2</w:t>
      </w:r>
      <w:r>
        <w:rPr>
          <w:rFonts w:hint="eastAsia" w:ascii="宋体" w:hAnsi="宋体" w:cs="宋体"/>
          <w:color w:val="auto"/>
          <w:szCs w:val="21"/>
          <w:highlight w:val="none"/>
        </w:rPr>
        <w:t>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5C3B8ADA">
      <w:pPr>
        <w:spacing w:line="360" w:lineRule="auto"/>
        <w:ind w:firstLine="420" w:firstLineChars="200"/>
        <w:rPr>
          <w:rFonts w:ascii="宋体" w:hAnsi="宋体" w:cs="宋体"/>
          <w:color w:val="auto"/>
          <w:spacing w:val="-6"/>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磋商小组要求供应商澄清、说明或者更正响应文件应当以电子澄清函形式作出。供应商的澄清、说明或者更正应当已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w:t>
      </w:r>
      <w:r>
        <w:rPr>
          <w:rFonts w:hint="eastAsia" w:hAnsi="宋体"/>
          <w:color w:val="auto"/>
          <w:highlight w:val="none"/>
        </w:rPr>
        <w:t>签章</w:t>
      </w:r>
      <w:r>
        <w:rPr>
          <w:rFonts w:hint="eastAsia" w:ascii="宋体" w:hAnsi="宋体" w:cs="宋体"/>
          <w:color w:val="auto"/>
          <w:spacing w:val="-6"/>
          <w:szCs w:val="21"/>
          <w:highlight w:val="none"/>
        </w:rPr>
        <w:t>。</w:t>
      </w:r>
    </w:p>
    <w:p w14:paraId="405195A7">
      <w:pPr>
        <w:spacing w:line="360" w:lineRule="auto"/>
        <w:ind w:firstLine="420" w:firstLineChars="200"/>
        <w:rPr>
          <w:rFonts w:ascii="宋体" w:hAnsi="宋体" w:cs="宋体"/>
          <w:color w:val="auto"/>
          <w:spacing w:val="-6"/>
          <w:szCs w:val="21"/>
          <w:highlight w:val="none"/>
        </w:rPr>
      </w:pPr>
      <w:r>
        <w:rPr>
          <w:rFonts w:hint="eastAsia" w:ascii="宋体" w:hAnsi="宋体" w:cs="Courier New"/>
          <w:color w:val="auto"/>
          <w:szCs w:val="21"/>
          <w:highlight w:val="none"/>
        </w:rPr>
        <w:t>异常情况处理：如遇无法正常使用线上发送澄清函的情况，将启动书面形式办理。启动书面形式办理的情况下，磋商小组以书面形式要求供应商在规定时间内作出必要的澄清、说明或者补正。供应商的澄清、说明或者补正必须采用书面形式，并加盖公章，或者由法定代表人或者其授权的代表签字。</w:t>
      </w:r>
    </w:p>
    <w:p w14:paraId="1E13157E">
      <w:pPr>
        <w:spacing w:line="360" w:lineRule="auto"/>
        <w:ind w:firstLine="396" w:firstLineChars="200"/>
        <w:rPr>
          <w:rFonts w:ascii="宋体" w:hAnsi="宋体" w:cs="宋体"/>
          <w:color w:val="auto"/>
          <w:szCs w:val="21"/>
          <w:highlight w:val="none"/>
        </w:rPr>
      </w:pPr>
      <w:r>
        <w:rPr>
          <w:rFonts w:ascii="宋体" w:hAnsi="宋体" w:cs="宋体"/>
          <w:color w:val="auto"/>
          <w:spacing w:val="-6"/>
          <w:szCs w:val="21"/>
          <w:highlight w:val="none"/>
        </w:rPr>
        <w:t>2.4</w:t>
      </w:r>
      <w:r>
        <w:rPr>
          <w:rFonts w:hint="eastAsia" w:ascii="宋体" w:hAnsi="宋体" w:cs="宋体"/>
          <w:color w:val="auto"/>
          <w:szCs w:val="21"/>
          <w:highlight w:val="none"/>
        </w:rPr>
        <w:t xml:space="preserve">首次响应文件报价出现前后不一致的，按照下列规定修正： </w:t>
      </w:r>
    </w:p>
    <w:p w14:paraId="332E9D1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（1）响应文件中报价表内容与响应文件中相应内容不一致的，以报价表为准；</w:t>
      </w:r>
    </w:p>
    <w:p w14:paraId="546E7D2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（2）大写金额和小写金额不一致的，以大写金额为准；</w:t>
      </w:r>
    </w:p>
    <w:p w14:paraId="098F24B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（3）单价金额小数点或者百分比有明显错位的，以报价表的总价为准，并修改单价；</w:t>
      </w:r>
    </w:p>
    <w:p w14:paraId="24525F1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（4）总价金额与按单价汇总金额不一致的，以单价金额计算结果为准。</w:t>
      </w:r>
    </w:p>
    <w:p w14:paraId="243652C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同时出现两种以上不一致的，按照以上（1）-（4）规定的顺序逐条进行修正。修正后的报价经供应商确认后产生约束力，供应商不确认的，其响应文件按无效处理。</w:t>
      </w:r>
    </w:p>
    <w:p w14:paraId="20BD591F">
      <w:pPr>
        <w:spacing w:line="360" w:lineRule="auto"/>
        <w:ind w:firstLine="420" w:firstLineChars="200"/>
        <w:rPr>
          <w:rFonts w:ascii="宋体" w:hAnsi="宋体" w:cs="宋体"/>
          <w:color w:val="auto"/>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商务技术报价评审</w:t>
      </w:r>
    </w:p>
    <w:p w14:paraId="7A53E65D">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在评审时，如发现下列情形之一的，将被视为响应文件无效处理：</w:t>
      </w:r>
    </w:p>
    <w:p w14:paraId="35F706B0">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（1）商务技术评审</w:t>
      </w:r>
    </w:p>
    <w:p w14:paraId="5A50D23D">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1）响应文件未按磋商文件要求签署、盖章的；</w:t>
      </w:r>
    </w:p>
    <w:p w14:paraId="0EE4FC49">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 xml:space="preserve">2）委托代理人未能出具有效身份证或者出具的身份证与授权委托书中的信息不符的； </w:t>
      </w:r>
    </w:p>
    <w:p w14:paraId="7FA7DFF0">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3）提交的磋商保证金无效的或者未按照磋商文件的规定提交磋商保证金的；</w:t>
      </w:r>
    </w:p>
    <w:p w14:paraId="34867441">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4）响应文件未提供任一项“供应商须知前附表”商务技术文件中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“必须提供”或者“委托时必须提供”文件资料要求的规定或者提供的商务技术文件无效的。</w:t>
      </w:r>
    </w:p>
    <w:p w14:paraId="0B13B49B">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5）商务要求允许负偏离的条款数超过“供应商须知前附表”规定项数的；</w:t>
      </w:r>
    </w:p>
    <w:p w14:paraId="637EBC57">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6）未对竞标有效期作出响应或者响应文件承诺的竞标有效期不满足磋商文件要求的；</w:t>
      </w:r>
    </w:p>
    <w:p w14:paraId="23505AF8">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7）响应文件的实质性内容未使用中文表述、使用计量单位不符合磋商文件要求的；</w:t>
      </w:r>
    </w:p>
    <w:p w14:paraId="3F6488F8">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8）响应文件中的文件资料因填写不齐全或者内容虚假或者出现其他情形而导致被磋商小组认定无效的；</w:t>
      </w:r>
    </w:p>
    <w:p w14:paraId="58D29316">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9）响应文件含有采购人不能接受的附加条件的；</w:t>
      </w:r>
    </w:p>
    <w:p w14:paraId="121D45B2">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10）属于“供应商须知正文”第7.</w:t>
      </w:r>
      <w:r>
        <w:rPr>
          <w:rFonts w:ascii="宋体" w:hAnsi="宋体" w:cs="宋体"/>
          <w:b/>
          <w:color w:val="auto"/>
          <w:szCs w:val="21"/>
          <w:highlight w:val="none"/>
        </w:rPr>
        <w:t>5</w:t>
      </w:r>
      <w:r>
        <w:rPr>
          <w:rFonts w:hint="eastAsia" w:ascii="宋体" w:hAnsi="宋体" w:cs="宋体"/>
          <w:b/>
          <w:color w:val="auto"/>
          <w:szCs w:val="21"/>
          <w:highlight w:val="none"/>
        </w:rPr>
        <w:t>条供应商相互串通竞标情形的；</w:t>
      </w:r>
    </w:p>
    <w:p w14:paraId="53595DF9">
      <w:pPr>
        <w:spacing w:line="360" w:lineRule="auto"/>
        <w:ind w:firstLine="422" w:firstLineChars="200"/>
        <w:rPr>
          <w:rFonts w:ascii="宋体" w:hAnsi="宋体" w:cs="宋体"/>
          <w:b/>
          <w:color w:val="auto"/>
          <w:szCs w:val="21"/>
          <w:highlight w:val="none"/>
        </w:rPr>
      </w:pPr>
      <w:r>
        <w:rPr>
          <w:rFonts w:ascii="宋体" w:hAnsi="宋体" w:cs="宋体"/>
          <w:b/>
          <w:color w:val="auto"/>
          <w:szCs w:val="21"/>
          <w:highlight w:val="none"/>
        </w:rPr>
        <w:t>1</w:t>
      </w:r>
      <w:r>
        <w:rPr>
          <w:rFonts w:hint="eastAsia" w:ascii="宋体" w:hAnsi="宋体" w:cs="宋体"/>
          <w:b/>
          <w:color w:val="auto"/>
          <w:szCs w:val="21"/>
          <w:highlight w:val="none"/>
        </w:rPr>
        <w:t>1）技术要求允许负偏离的条款数超过“供应商须知前附表”规定项数的；</w:t>
      </w:r>
    </w:p>
    <w:p w14:paraId="234796DF">
      <w:pPr>
        <w:spacing w:line="360" w:lineRule="auto"/>
        <w:ind w:firstLine="422" w:firstLineChars="200"/>
        <w:rPr>
          <w:rFonts w:ascii="宋体" w:hAnsi="宋体" w:cs="宋体"/>
          <w:b/>
          <w:color w:val="auto"/>
          <w:szCs w:val="21"/>
          <w:highlight w:val="none"/>
        </w:rPr>
      </w:pPr>
      <w:r>
        <w:rPr>
          <w:rFonts w:ascii="宋体" w:hAnsi="宋体" w:cs="宋体"/>
          <w:b/>
          <w:color w:val="auto"/>
          <w:szCs w:val="21"/>
          <w:highlight w:val="none"/>
        </w:rPr>
        <w:t>1</w:t>
      </w:r>
      <w:r>
        <w:rPr>
          <w:rFonts w:hint="eastAsia" w:ascii="宋体" w:hAnsi="宋体" w:cs="宋体"/>
          <w:b/>
          <w:color w:val="auto"/>
          <w:szCs w:val="21"/>
          <w:highlight w:val="none"/>
        </w:rPr>
        <w:t>2）虚假竞标，或者出现其他情形而导致被磋商小组认定无效的；</w:t>
      </w:r>
    </w:p>
    <w:p w14:paraId="3B7B90FE">
      <w:pPr>
        <w:spacing w:line="360" w:lineRule="auto"/>
        <w:ind w:firstLine="422" w:firstLineChars="200"/>
        <w:rPr>
          <w:rFonts w:ascii="宋体" w:hAnsi="宋体" w:cs="宋体"/>
          <w:b/>
          <w:color w:val="auto"/>
          <w:szCs w:val="21"/>
          <w:highlight w:val="none"/>
        </w:rPr>
      </w:pPr>
      <w:r>
        <w:rPr>
          <w:rFonts w:ascii="宋体" w:hAnsi="宋体" w:cs="宋体"/>
          <w:b/>
          <w:color w:val="auto"/>
          <w:szCs w:val="21"/>
          <w:highlight w:val="none"/>
        </w:rPr>
        <w:t>1</w:t>
      </w:r>
      <w:r>
        <w:rPr>
          <w:rFonts w:hint="eastAsia" w:ascii="宋体" w:hAnsi="宋体" w:cs="宋体"/>
          <w:b/>
          <w:color w:val="auto"/>
          <w:szCs w:val="21"/>
          <w:highlight w:val="none"/>
        </w:rPr>
        <w:t>3）</w:t>
      </w:r>
      <w:bookmarkStart w:id="78" w:name="_Hlk71704147"/>
      <w:r>
        <w:rPr>
          <w:rFonts w:hint="eastAsia" w:ascii="宋体" w:hAnsi="宋体" w:cs="宋体"/>
          <w:b/>
          <w:color w:val="auto"/>
          <w:szCs w:val="21"/>
          <w:highlight w:val="none"/>
        </w:rPr>
        <w:t>磋商文件未载明允许提供备选（替代）竞标方案或明确不允许提供备选（替代）竞标方案时，供应商提供了备选（替代）竞标方案的；</w:t>
      </w:r>
      <w:bookmarkEnd w:id="78"/>
    </w:p>
    <w:p w14:paraId="38AE3B49">
      <w:pPr>
        <w:spacing w:line="360" w:lineRule="auto"/>
        <w:ind w:firstLine="422" w:firstLineChars="200"/>
        <w:rPr>
          <w:rFonts w:ascii="宋体" w:hAnsi="宋体" w:cs="宋体"/>
          <w:b/>
          <w:color w:val="auto"/>
          <w:szCs w:val="21"/>
          <w:highlight w:val="none"/>
        </w:rPr>
      </w:pPr>
      <w:r>
        <w:rPr>
          <w:rFonts w:ascii="宋体" w:hAnsi="宋体" w:cs="宋体"/>
          <w:b/>
          <w:color w:val="auto"/>
          <w:szCs w:val="21"/>
          <w:highlight w:val="none"/>
        </w:rPr>
        <w:t>1</w:t>
      </w:r>
      <w:r>
        <w:rPr>
          <w:rFonts w:hint="eastAsia" w:ascii="宋体" w:hAnsi="宋体" w:cs="宋体"/>
          <w:b/>
          <w:color w:val="auto"/>
          <w:szCs w:val="21"/>
          <w:highlight w:val="none"/>
        </w:rPr>
        <w:t>4）响应文件标注的项目名称或者项目编号与磋商文件标注的项目名称或者项目编号不一致的；</w:t>
      </w:r>
    </w:p>
    <w:p w14:paraId="23606BDB">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15）</w:t>
      </w:r>
      <w:r>
        <w:rPr>
          <w:rFonts w:hint="eastAsia" w:ascii="宋体" w:hAnsi="宋体"/>
          <w:b/>
          <w:color w:val="auto"/>
          <w:szCs w:val="21"/>
          <w:highlight w:val="none"/>
        </w:rPr>
        <w:t>竞争性磋商文件明确不允许分包，响应文件拟分包的；</w:t>
      </w:r>
    </w:p>
    <w:p w14:paraId="5080EF2D">
      <w:pPr>
        <w:spacing w:line="360" w:lineRule="auto"/>
        <w:ind w:firstLine="422" w:firstLineChars="200"/>
        <w:rPr>
          <w:rFonts w:ascii="宋体" w:hAnsi="宋体" w:cs="宋体"/>
          <w:b/>
          <w:color w:val="auto"/>
          <w:szCs w:val="21"/>
          <w:highlight w:val="none"/>
        </w:rPr>
      </w:pPr>
      <w:r>
        <w:rPr>
          <w:rFonts w:ascii="宋体" w:hAnsi="宋体" w:cs="宋体"/>
          <w:b/>
          <w:color w:val="auto"/>
          <w:szCs w:val="21"/>
          <w:highlight w:val="none"/>
        </w:rPr>
        <w:t>1</w:t>
      </w:r>
      <w:r>
        <w:rPr>
          <w:rFonts w:hint="eastAsia" w:ascii="宋体" w:hAnsi="宋体" w:cs="宋体"/>
          <w:b/>
          <w:color w:val="auto"/>
          <w:szCs w:val="21"/>
          <w:highlight w:val="none"/>
        </w:rPr>
        <w:t>6）未响应磋商文件实质性要求的；</w:t>
      </w:r>
    </w:p>
    <w:p w14:paraId="5FA82962">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17）法律、法规和磋商文件规定的其他无效情形。</w:t>
      </w:r>
    </w:p>
    <w:p w14:paraId="7E8EA72A">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w:t>
      </w:r>
      <w:r>
        <w:rPr>
          <w:rFonts w:ascii="宋体" w:hAnsi="宋体" w:cs="宋体"/>
          <w:b/>
          <w:color w:val="auto"/>
          <w:szCs w:val="21"/>
          <w:highlight w:val="none"/>
        </w:rPr>
        <w:t>2</w:t>
      </w:r>
      <w:r>
        <w:rPr>
          <w:rFonts w:hint="eastAsia" w:ascii="宋体" w:hAnsi="宋体" w:cs="宋体"/>
          <w:b/>
          <w:color w:val="auto"/>
          <w:szCs w:val="21"/>
          <w:highlight w:val="none"/>
        </w:rPr>
        <w:t>）报价评审</w:t>
      </w:r>
    </w:p>
    <w:p w14:paraId="6C2ED617">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1）响应文件未提供“供应商须知前附表” 报价文件中规定的“竞标报价表”的；</w:t>
      </w:r>
    </w:p>
    <w:p w14:paraId="75EF3E29">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2）未采用人民币报价或者未按照磋商文件标明的币种报价的；</w:t>
      </w:r>
    </w:p>
    <w:p w14:paraId="2B007C9A">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3）供应商未就所竞标</w:t>
      </w:r>
      <w:r>
        <w:rPr>
          <w:rFonts w:hint="eastAsia" w:ascii="宋体" w:hAnsi="宋体" w:cs="宋体"/>
          <w:b/>
          <w:color w:val="auto"/>
          <w:szCs w:val="21"/>
          <w:highlight w:val="none"/>
          <w:lang w:val="en-US" w:eastAsia="zh-CN"/>
        </w:rPr>
        <w:t>分标</w:t>
      </w:r>
      <w:r>
        <w:rPr>
          <w:rFonts w:hint="eastAsia" w:ascii="宋体" w:hAnsi="宋体" w:cs="宋体"/>
          <w:b/>
          <w:color w:val="auto"/>
          <w:szCs w:val="21"/>
          <w:highlight w:val="none"/>
        </w:rPr>
        <w:t>进行报价或者存在漏项报价；供应商未就所竞标</w:t>
      </w:r>
      <w:r>
        <w:rPr>
          <w:rFonts w:hint="eastAsia" w:ascii="宋体" w:hAnsi="宋体" w:cs="宋体"/>
          <w:b/>
          <w:color w:val="auto"/>
          <w:szCs w:val="21"/>
          <w:highlight w:val="none"/>
          <w:lang w:val="en-US" w:eastAsia="zh-CN"/>
        </w:rPr>
        <w:t>分标</w:t>
      </w:r>
      <w:r>
        <w:rPr>
          <w:rFonts w:hint="eastAsia" w:ascii="宋体" w:hAnsi="宋体" w:cs="宋体"/>
          <w:b/>
          <w:color w:val="auto"/>
          <w:szCs w:val="21"/>
          <w:highlight w:val="none"/>
        </w:rPr>
        <w:t>的单项内容作唯一报价；供应商未就所竞标</w:t>
      </w:r>
      <w:r>
        <w:rPr>
          <w:rFonts w:hint="eastAsia" w:ascii="宋体" w:hAnsi="宋体" w:cs="宋体"/>
          <w:b/>
          <w:color w:val="auto"/>
          <w:szCs w:val="21"/>
          <w:highlight w:val="none"/>
          <w:lang w:val="en-US" w:eastAsia="zh-CN"/>
        </w:rPr>
        <w:t>分标</w:t>
      </w:r>
      <w:r>
        <w:rPr>
          <w:rFonts w:hint="eastAsia" w:ascii="宋体" w:hAnsi="宋体" w:cs="宋体"/>
          <w:b/>
          <w:color w:val="auto"/>
          <w:szCs w:val="21"/>
          <w:highlight w:val="none"/>
        </w:rPr>
        <w:t>的全部内容作完整唯一总价报价；供应商响应文件中存在有选择、有条件报价的（磋商文件允许有备选方案或者其他约定的除外）；</w:t>
      </w:r>
    </w:p>
    <w:p w14:paraId="7CAC86D2">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4）竞标报价（包含首次报价、最后报价）超过所竞标</w:t>
      </w:r>
      <w:r>
        <w:rPr>
          <w:rFonts w:hint="eastAsia" w:ascii="宋体" w:hAnsi="宋体" w:cs="宋体"/>
          <w:b/>
          <w:color w:val="auto"/>
          <w:szCs w:val="21"/>
          <w:highlight w:val="none"/>
          <w:lang w:val="en-US" w:eastAsia="zh-CN"/>
        </w:rPr>
        <w:t>分标</w:t>
      </w:r>
      <w:r>
        <w:rPr>
          <w:rFonts w:hint="eastAsia" w:ascii="宋体" w:hAnsi="宋体" w:cs="宋体"/>
          <w:b/>
          <w:color w:val="auto"/>
          <w:szCs w:val="21"/>
          <w:highlight w:val="none"/>
        </w:rPr>
        <w:t>规定的采购预算金额或者最高限价的（如本项目公布了最高限价）；</w:t>
      </w:r>
      <w:bookmarkStart w:id="79" w:name="_Hlk42596405"/>
      <w:r>
        <w:rPr>
          <w:rFonts w:hint="eastAsia" w:ascii="宋体" w:hAnsi="宋体" w:cs="宋体"/>
          <w:b/>
          <w:color w:val="auto"/>
          <w:szCs w:val="21"/>
          <w:highlight w:val="none"/>
        </w:rPr>
        <w:t>竞标报价（包含首次报价、最后报价）</w:t>
      </w:r>
      <w:bookmarkEnd w:id="79"/>
      <w:bookmarkStart w:id="80" w:name="_Hlk42596276"/>
      <w:r>
        <w:rPr>
          <w:rFonts w:hint="eastAsia" w:ascii="宋体" w:hAnsi="宋体" w:cs="宋体"/>
          <w:b/>
          <w:color w:val="auto"/>
          <w:szCs w:val="21"/>
          <w:highlight w:val="none"/>
        </w:rPr>
        <w:t>超过磋商文件分项采购预算金额或者最高限价的</w:t>
      </w:r>
      <w:bookmarkEnd w:id="80"/>
      <w:r>
        <w:rPr>
          <w:rFonts w:hint="eastAsia" w:ascii="宋体" w:hAnsi="宋体" w:cs="宋体"/>
          <w:b/>
          <w:color w:val="auto"/>
          <w:szCs w:val="21"/>
          <w:highlight w:val="none"/>
        </w:rPr>
        <w:t>（如本项目有要求并公布了分项采购预算金额或者最高限价）；</w:t>
      </w:r>
    </w:p>
    <w:p w14:paraId="1B9286F0">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5）修正后的报价，供应商不确认的；或者经供应商确认修正后的竞标报价（包含首次报价、最后报价）超过所竞标</w:t>
      </w:r>
      <w:r>
        <w:rPr>
          <w:rFonts w:hint="eastAsia" w:ascii="宋体" w:hAnsi="宋体" w:cs="宋体"/>
          <w:b/>
          <w:color w:val="auto"/>
          <w:szCs w:val="21"/>
          <w:highlight w:val="none"/>
          <w:lang w:val="en-US" w:eastAsia="zh-CN"/>
        </w:rPr>
        <w:t>分标</w:t>
      </w:r>
      <w:r>
        <w:rPr>
          <w:rFonts w:hint="eastAsia" w:ascii="宋体" w:hAnsi="宋体" w:cs="宋体"/>
          <w:b/>
          <w:color w:val="auto"/>
          <w:szCs w:val="21"/>
          <w:highlight w:val="none"/>
        </w:rPr>
        <w:t>规定的采购预算金额或者最高限价（如本项目公布了最高限价）；或者经供应商确认修正后竞标报价（包含首次报价、最后报价）超过磋商文件分项分项采购预算金额或者最高限价的（如本项目有要求并公布了分项采购预算金额或者最高限价）。</w:t>
      </w:r>
    </w:p>
    <w:p w14:paraId="0709DF60">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6）在单价合同工程中供应商采用总价优惠或以总价百分比优惠的方式进行竞标报价的；</w:t>
      </w:r>
    </w:p>
    <w:p w14:paraId="47FB08AC">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7）供应商已标价工程量清单的项目编码、计量单位、工程量任何一处与</w:t>
      </w:r>
      <w:r>
        <w:rPr>
          <w:rFonts w:hint="eastAsia" w:ascii="宋体" w:hAnsi="宋体" w:cs="宋体"/>
          <w:b/>
          <w:color w:val="auto"/>
          <w:szCs w:val="21"/>
          <w:highlight w:val="none"/>
          <w:lang w:val="en-US" w:eastAsia="zh-CN"/>
        </w:rPr>
        <w:t>招标</w:t>
      </w:r>
      <w:r>
        <w:rPr>
          <w:rFonts w:hint="eastAsia" w:ascii="宋体" w:hAnsi="宋体" w:cs="宋体"/>
          <w:b/>
          <w:color w:val="auto"/>
          <w:szCs w:val="21"/>
          <w:highlight w:val="none"/>
        </w:rPr>
        <w:t>工程量清单不一致</w:t>
      </w:r>
      <w:r>
        <w:rPr>
          <w:rFonts w:hint="eastAsia" w:ascii="宋体" w:hAnsi="宋体" w:cs="宋体"/>
          <w:b/>
          <w:color w:val="auto"/>
          <w:szCs w:val="21"/>
          <w:highlight w:val="none"/>
          <w:lang w:eastAsia="zh-CN"/>
        </w:rPr>
        <w:t>，</w:t>
      </w:r>
      <w:r>
        <w:rPr>
          <w:rFonts w:hint="eastAsia" w:ascii="宋体" w:hAnsi="宋体" w:cs="宋体"/>
          <w:b/>
          <w:color w:val="auto"/>
          <w:szCs w:val="21"/>
          <w:highlight w:val="none"/>
          <w:lang w:val="en-US" w:eastAsia="zh-CN"/>
        </w:rPr>
        <w:t>磋商小组</w:t>
      </w:r>
      <w:r>
        <w:rPr>
          <w:rFonts w:hint="eastAsia" w:ascii="宋体" w:hAnsi="宋体" w:cs="宋体"/>
          <w:b/>
          <w:color w:val="auto"/>
          <w:szCs w:val="21"/>
          <w:highlight w:val="none"/>
        </w:rPr>
        <w:t xml:space="preserve">要求澄清、说明或补正，但供应商拒绝澄清、说明或补正的； </w:t>
      </w:r>
    </w:p>
    <w:p w14:paraId="614F5AE5">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lang w:val="en-US" w:eastAsia="zh-CN"/>
        </w:rPr>
        <w:t>8</w:t>
      </w:r>
      <w:r>
        <w:rPr>
          <w:rFonts w:hint="eastAsia" w:ascii="宋体" w:hAnsi="宋体" w:cs="宋体"/>
          <w:b/>
          <w:color w:val="auto"/>
          <w:szCs w:val="21"/>
          <w:highlight w:val="none"/>
        </w:rPr>
        <w:t>）供应商已标价工程量清单的项目名称或项目特征与工程量清单不一致，</w:t>
      </w:r>
      <w:r>
        <w:rPr>
          <w:rFonts w:hint="eastAsia" w:ascii="宋体" w:hAnsi="宋体" w:cs="宋体"/>
          <w:b/>
          <w:color w:val="auto"/>
          <w:szCs w:val="21"/>
          <w:highlight w:val="none"/>
          <w:lang w:val="en-US" w:eastAsia="zh-CN"/>
        </w:rPr>
        <w:t>磋商小组</w:t>
      </w:r>
      <w:r>
        <w:rPr>
          <w:rFonts w:hint="eastAsia" w:ascii="宋体" w:hAnsi="宋体" w:cs="宋体"/>
          <w:b/>
          <w:color w:val="auto"/>
          <w:szCs w:val="21"/>
          <w:highlight w:val="none"/>
        </w:rPr>
        <w:t>要求澄清、说明或补正，但供应商拒绝澄清、说明或补正的；</w:t>
      </w:r>
    </w:p>
    <w:p w14:paraId="5FB24EBA">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lang w:val="en-US" w:eastAsia="zh-CN"/>
        </w:rPr>
        <w:t>9</w:t>
      </w:r>
      <w:r>
        <w:rPr>
          <w:rFonts w:hint="eastAsia" w:ascii="宋体" w:hAnsi="宋体" w:cs="宋体"/>
          <w:b/>
          <w:color w:val="auto"/>
          <w:szCs w:val="21"/>
          <w:highlight w:val="none"/>
        </w:rPr>
        <w:t>）设有暂估价、暂列金额的，竞标时未按工程量清单给出的暂估价总价、暂列金额总价计入竞标总报价中，且在</w:t>
      </w:r>
      <w:r>
        <w:rPr>
          <w:rFonts w:hint="eastAsia" w:ascii="宋体" w:hAnsi="宋体" w:cs="宋体"/>
          <w:b/>
          <w:color w:val="auto"/>
          <w:szCs w:val="21"/>
          <w:highlight w:val="none"/>
          <w:lang w:val="en-US" w:eastAsia="zh-CN"/>
        </w:rPr>
        <w:t>磋商小组</w:t>
      </w:r>
      <w:r>
        <w:rPr>
          <w:rFonts w:hint="eastAsia" w:ascii="宋体" w:hAnsi="宋体" w:cs="宋体"/>
          <w:b/>
          <w:color w:val="auto"/>
          <w:szCs w:val="21"/>
          <w:highlight w:val="none"/>
        </w:rPr>
        <w:t>要求澄清或说明后，仍拒绝修正或修正后仍不符合</w:t>
      </w:r>
      <w:r>
        <w:rPr>
          <w:rFonts w:hint="eastAsia" w:ascii="宋体" w:hAnsi="宋体" w:cs="宋体"/>
          <w:b/>
          <w:color w:val="auto"/>
          <w:szCs w:val="21"/>
          <w:highlight w:val="none"/>
          <w:lang w:val="en-US" w:eastAsia="zh-CN"/>
        </w:rPr>
        <w:t>采购</w:t>
      </w:r>
      <w:r>
        <w:rPr>
          <w:rFonts w:hint="eastAsia" w:ascii="宋体" w:hAnsi="宋体" w:cs="宋体"/>
          <w:b/>
          <w:color w:val="auto"/>
          <w:szCs w:val="21"/>
          <w:highlight w:val="none"/>
        </w:rPr>
        <w:t>文件实质性要求的；</w:t>
      </w:r>
    </w:p>
    <w:p w14:paraId="0E5430EC">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1</w:t>
      </w:r>
      <w:r>
        <w:rPr>
          <w:rFonts w:hint="eastAsia" w:ascii="宋体" w:hAnsi="宋体" w:cs="宋体"/>
          <w:b/>
          <w:color w:val="auto"/>
          <w:szCs w:val="21"/>
          <w:highlight w:val="none"/>
          <w:lang w:val="en-US" w:eastAsia="zh-CN"/>
        </w:rPr>
        <w:t>0</w:t>
      </w:r>
      <w:r>
        <w:rPr>
          <w:rFonts w:hint="eastAsia" w:ascii="宋体" w:hAnsi="宋体" w:cs="宋体"/>
          <w:b/>
          <w:color w:val="auto"/>
          <w:szCs w:val="21"/>
          <w:highlight w:val="none"/>
        </w:rPr>
        <w:t>）供应商对工程量清单内容进行增减或对竞标范围进行调整的；</w:t>
      </w:r>
    </w:p>
    <w:p w14:paraId="46926878">
      <w:pPr>
        <w:spacing w:line="360" w:lineRule="auto"/>
        <w:ind w:firstLine="422" w:firstLineChars="200"/>
        <w:rPr>
          <w:rFonts w:ascii="宋体" w:hAnsi="宋体"/>
          <w:b/>
          <w:color w:val="auto"/>
          <w:szCs w:val="21"/>
          <w:highlight w:val="none"/>
        </w:rPr>
      </w:pPr>
      <w:r>
        <w:rPr>
          <w:rFonts w:hint="eastAsia" w:ascii="宋体" w:hAnsi="宋体" w:cs="宋体"/>
          <w:b/>
          <w:color w:val="auto"/>
          <w:szCs w:val="21"/>
          <w:highlight w:val="none"/>
        </w:rPr>
        <w:t>1</w:t>
      </w:r>
      <w:r>
        <w:rPr>
          <w:rFonts w:hint="eastAsia" w:ascii="宋体" w:hAnsi="宋体" w:cs="宋体"/>
          <w:b/>
          <w:color w:val="auto"/>
          <w:szCs w:val="21"/>
          <w:highlight w:val="none"/>
          <w:lang w:val="en-US" w:eastAsia="zh-CN"/>
        </w:rPr>
        <w:t>1</w:t>
      </w:r>
      <w:r>
        <w:rPr>
          <w:rFonts w:hint="eastAsia" w:ascii="宋体" w:hAnsi="宋体" w:cs="宋体"/>
          <w:b/>
          <w:color w:val="auto"/>
          <w:szCs w:val="21"/>
          <w:highlight w:val="none"/>
        </w:rPr>
        <w:t>）</w:t>
      </w:r>
      <w:r>
        <w:rPr>
          <w:rFonts w:hint="eastAsia" w:ascii="宋体" w:hAnsi="宋体"/>
          <w:b/>
          <w:color w:val="auto"/>
          <w:szCs w:val="21"/>
          <w:highlight w:val="none"/>
        </w:rPr>
        <w:t>响应文件响应的标的数量及单位与竞争性磋商采购文件要求实质性不一致的；</w:t>
      </w:r>
    </w:p>
    <w:p w14:paraId="6B61E9EC">
      <w:pPr>
        <w:spacing w:line="360" w:lineRule="auto"/>
        <w:ind w:firstLine="422" w:firstLineChars="200"/>
        <w:rPr>
          <w:rFonts w:ascii="宋体" w:hAnsi="宋体" w:cs="宋体"/>
          <w:b/>
          <w:color w:val="auto"/>
          <w:szCs w:val="21"/>
          <w:highlight w:val="none"/>
        </w:rPr>
      </w:pPr>
      <w:r>
        <w:rPr>
          <w:rFonts w:ascii="宋体" w:hAnsi="宋体" w:cs="宋体"/>
          <w:b/>
          <w:color w:val="auto"/>
          <w:szCs w:val="21"/>
          <w:highlight w:val="none"/>
        </w:rPr>
        <w:t>1</w:t>
      </w:r>
      <w:r>
        <w:rPr>
          <w:rFonts w:hint="eastAsia" w:ascii="宋体" w:hAnsi="宋体" w:cs="宋体"/>
          <w:b/>
          <w:color w:val="auto"/>
          <w:szCs w:val="21"/>
          <w:highlight w:val="none"/>
          <w:lang w:val="en-US" w:eastAsia="zh-CN"/>
        </w:rPr>
        <w:t>2</w:t>
      </w:r>
      <w:r>
        <w:rPr>
          <w:rFonts w:hint="eastAsia" w:ascii="宋体" w:hAnsi="宋体" w:cs="宋体"/>
          <w:b/>
          <w:color w:val="auto"/>
          <w:szCs w:val="21"/>
          <w:highlight w:val="none"/>
        </w:rPr>
        <w:t>）未响应磋商文件实质性要求的。</w:t>
      </w:r>
    </w:p>
    <w:p w14:paraId="03FDE68F">
      <w:pPr>
        <w:spacing w:line="360" w:lineRule="auto"/>
        <w:ind w:firstLine="420" w:firstLineChars="200"/>
        <w:rPr>
          <w:rFonts w:ascii="宋体" w:hAnsi="宋体" w:cs="宋体"/>
          <w:color w:val="auto"/>
          <w:szCs w:val="21"/>
          <w:highlight w:val="none"/>
        </w:rPr>
      </w:pPr>
      <w:r>
        <w:rPr>
          <w:rFonts w:ascii="宋体" w:hAnsi="宋体" w:cs="宋体"/>
          <w:color w:val="auto"/>
          <w:szCs w:val="21"/>
          <w:highlight w:val="none"/>
        </w:rPr>
        <w:t>2.6</w:t>
      </w:r>
      <w:r>
        <w:rPr>
          <w:rFonts w:hint="eastAsia" w:ascii="宋体" w:hAnsi="宋体" w:cs="宋体"/>
          <w:color w:val="auto"/>
          <w:szCs w:val="21"/>
          <w:highlight w:val="none"/>
        </w:rPr>
        <w:t>磋商小组对响应文件进行评审，未实质性响应磋商文件的响应文件按无效处理，磋商小组应当将资格和符合性不通过的情况告知有关供应商。</w:t>
      </w:r>
    </w:p>
    <w:p w14:paraId="541EE0E7">
      <w:pPr>
        <w:spacing w:line="360" w:lineRule="auto"/>
        <w:ind w:firstLine="420" w:firstLineChars="200"/>
        <w:rPr>
          <w:rFonts w:ascii="宋体" w:hAnsi="宋体" w:cs="宋体"/>
          <w:color w:val="auto"/>
          <w:szCs w:val="21"/>
          <w:highlight w:val="none"/>
        </w:rPr>
      </w:pPr>
      <w:r>
        <w:rPr>
          <w:rFonts w:ascii="宋体" w:hAnsi="宋体" w:cs="宋体"/>
          <w:color w:val="auto"/>
          <w:szCs w:val="21"/>
          <w:highlight w:val="none"/>
        </w:rPr>
        <w:t>2.7</w:t>
      </w:r>
      <w:r>
        <w:rPr>
          <w:rFonts w:hint="eastAsia" w:ascii="宋体" w:hAnsi="宋体"/>
          <w:color w:val="auto"/>
          <w:szCs w:val="21"/>
          <w:highlight w:val="none"/>
        </w:rPr>
        <w:t>通过符合性审查的合格供应商不足3家的，不得进入磋商环节，应当重新开展采购活动。</w:t>
      </w:r>
    </w:p>
    <w:p w14:paraId="13A8F83D">
      <w:pPr>
        <w:spacing w:line="360" w:lineRule="auto"/>
        <w:ind w:firstLine="482" w:firstLineChars="200"/>
        <w:rPr>
          <w:rFonts w:ascii="黑体" w:hAnsi="黑体" w:eastAsia="黑体" w:cs="宋体"/>
          <w:b/>
          <w:bCs/>
          <w:color w:val="auto"/>
          <w:sz w:val="24"/>
          <w:highlight w:val="none"/>
        </w:rPr>
      </w:pPr>
      <w:r>
        <w:rPr>
          <w:rFonts w:ascii="黑体" w:hAnsi="黑体" w:eastAsia="黑体" w:cs="宋体"/>
          <w:b/>
          <w:bCs/>
          <w:color w:val="auto"/>
          <w:sz w:val="24"/>
          <w:highlight w:val="none"/>
        </w:rPr>
        <w:t>3</w:t>
      </w:r>
      <w:r>
        <w:rPr>
          <w:rFonts w:hint="eastAsia" w:ascii="黑体" w:hAnsi="黑体" w:eastAsia="黑体" w:cs="宋体"/>
          <w:b/>
          <w:bCs/>
          <w:color w:val="auto"/>
          <w:sz w:val="24"/>
          <w:highlight w:val="none"/>
        </w:rPr>
        <w:t>.磋商程序</w:t>
      </w:r>
    </w:p>
    <w:p w14:paraId="5B797B9F">
      <w:pPr>
        <w:spacing w:line="360" w:lineRule="auto"/>
        <w:ind w:firstLine="420" w:firstLineChars="200"/>
        <w:rPr>
          <w:rFonts w:ascii="宋体" w:hAnsi="宋体" w:cs="宋体"/>
          <w:color w:val="auto"/>
          <w:kern w:val="0"/>
          <w:szCs w:val="21"/>
          <w:highlight w:val="none"/>
        </w:rPr>
      </w:pPr>
      <w:r>
        <w:rPr>
          <w:rFonts w:hint="eastAsia" w:ascii="宋体" w:hAnsi="宋体" w:cs="宋体"/>
          <w:color w:val="auto"/>
          <w:kern w:val="0"/>
          <w:szCs w:val="21"/>
          <w:highlight w:val="none"/>
        </w:rPr>
        <w:t>3</w:t>
      </w:r>
      <w:r>
        <w:rPr>
          <w:rFonts w:ascii="宋体" w:hAnsi="宋体" w:cs="宋体"/>
          <w:color w:val="auto"/>
          <w:kern w:val="0"/>
          <w:szCs w:val="21"/>
          <w:highlight w:val="none"/>
        </w:rPr>
        <w:t>.1</w:t>
      </w:r>
      <w:r>
        <w:rPr>
          <w:rFonts w:hint="eastAsia" w:ascii="宋体" w:hAnsi="宋体" w:cs="宋体"/>
          <w:color w:val="auto"/>
          <w:kern w:val="0"/>
          <w:szCs w:val="21"/>
          <w:highlight w:val="none"/>
        </w:rPr>
        <w:t>磋商小组</w:t>
      </w:r>
      <w:r>
        <w:rPr>
          <w:rFonts w:hint="eastAsia" w:ascii="宋体" w:hAnsi="宋体" w:cs="宋体"/>
          <w:color w:val="auto"/>
          <w:szCs w:val="21"/>
          <w:highlight w:val="none"/>
        </w:rPr>
        <w:t>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处理。</w:t>
      </w:r>
    </w:p>
    <w:p w14:paraId="21F28240">
      <w:pPr>
        <w:spacing w:line="360" w:lineRule="auto"/>
        <w:ind w:firstLine="420" w:firstLineChars="200"/>
        <w:rPr>
          <w:rFonts w:ascii="宋体" w:hAnsi="宋体" w:cs="宋体"/>
          <w:color w:val="auto"/>
          <w:szCs w:val="21"/>
          <w:highlight w:val="none"/>
        </w:rPr>
      </w:pPr>
      <w:r>
        <w:rPr>
          <w:rFonts w:ascii="宋体" w:hAnsi="宋体" w:cs="宋体"/>
          <w:color w:val="auto"/>
          <w:szCs w:val="21"/>
          <w:highlight w:val="none"/>
        </w:rPr>
        <w:t>3.2</w:t>
      </w:r>
      <w:r>
        <w:rPr>
          <w:rFonts w:hint="eastAsia" w:ascii="宋体" w:hAnsi="宋体" w:cs="宋体"/>
          <w:color w:val="auto"/>
          <w:szCs w:val="21"/>
          <w:highlight w:val="none"/>
        </w:rPr>
        <w:t>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23194C97">
      <w:pPr>
        <w:spacing w:line="360" w:lineRule="auto"/>
        <w:ind w:firstLine="420" w:firstLineChars="200"/>
        <w:rPr>
          <w:rFonts w:ascii="宋体" w:hAnsi="宋体" w:cs="宋体"/>
          <w:color w:val="auto"/>
          <w:szCs w:val="21"/>
          <w:highlight w:val="none"/>
        </w:rPr>
      </w:pPr>
      <w:r>
        <w:rPr>
          <w:rFonts w:ascii="宋体" w:hAnsi="宋体" w:cs="宋体"/>
          <w:color w:val="auto"/>
          <w:szCs w:val="21"/>
          <w:highlight w:val="none"/>
        </w:rPr>
        <w:t>3.3</w:t>
      </w:r>
      <w:r>
        <w:rPr>
          <w:rFonts w:hint="eastAsia" w:ascii="宋体" w:hAnsi="宋体" w:cs="宋体"/>
          <w:color w:val="auto"/>
          <w:szCs w:val="21"/>
          <w:highlight w:val="none"/>
        </w:rPr>
        <w:t>对磋商文件作出的实质性变动是磋商文件的有效组成部分，由磋商小组及时以电子澄清函形式同时通知所有参加磋商的供应商。</w:t>
      </w:r>
    </w:p>
    <w:p w14:paraId="54C1919D">
      <w:pPr>
        <w:spacing w:line="360" w:lineRule="auto"/>
        <w:ind w:firstLine="420" w:firstLineChars="200"/>
        <w:rPr>
          <w:rFonts w:ascii="宋体" w:hAnsi="宋体" w:cs="宋体"/>
          <w:color w:val="auto"/>
          <w:szCs w:val="21"/>
          <w:highlight w:val="none"/>
        </w:rPr>
      </w:pPr>
      <w:r>
        <w:rPr>
          <w:rFonts w:ascii="宋体" w:hAnsi="宋体" w:cs="宋体"/>
          <w:color w:val="auto"/>
          <w:szCs w:val="21"/>
          <w:highlight w:val="none"/>
        </w:rPr>
        <w:t>3.4</w:t>
      </w:r>
      <w:r>
        <w:rPr>
          <w:rFonts w:hint="eastAsia" w:ascii="宋体" w:hAnsi="宋体" w:cs="宋体"/>
          <w:color w:val="auto"/>
          <w:szCs w:val="21"/>
          <w:highlight w:val="none"/>
        </w:rPr>
        <w:t>供应商必须按照磋商文件的变动情况和磋商小组的要求以回函的形式重新提交响应文件，并加盖电子签章。参加磋商的供应商未在规定时间内重新提交响应文件的，视同退出磋商，其响应文件按无效处理。</w:t>
      </w:r>
    </w:p>
    <w:p w14:paraId="3A1FF342">
      <w:pPr>
        <w:spacing w:line="360" w:lineRule="auto"/>
        <w:ind w:firstLine="420" w:firstLineChars="200"/>
        <w:rPr>
          <w:rFonts w:ascii="宋体" w:hAnsi="宋体" w:cs="宋体"/>
          <w:color w:val="auto"/>
          <w:szCs w:val="21"/>
          <w:highlight w:val="none"/>
        </w:rPr>
      </w:pPr>
      <w:r>
        <w:rPr>
          <w:rFonts w:ascii="宋体" w:hAnsi="宋体" w:cs="宋体"/>
          <w:color w:val="auto"/>
          <w:szCs w:val="21"/>
          <w:highlight w:val="none"/>
        </w:rPr>
        <w:t>3.5</w:t>
      </w:r>
      <w:r>
        <w:rPr>
          <w:rFonts w:hint="eastAsia" w:ascii="宋体" w:hAnsi="宋体" w:cs="宋体"/>
          <w:color w:val="auto"/>
          <w:szCs w:val="21"/>
          <w:highlight w:val="none"/>
        </w:rPr>
        <w:t>磋商中，磋商的任何一方不得透露与磋商有关的其他供应商的技术资料、价格和其他信息</w:t>
      </w:r>
      <w:r>
        <w:rPr>
          <w:rFonts w:hint="eastAsia" w:ascii="宋体" w:hAnsi="宋体" w:cs="宋体"/>
          <w:color w:val="auto"/>
          <w:spacing w:val="-6"/>
          <w:szCs w:val="21"/>
          <w:highlight w:val="none"/>
        </w:rPr>
        <w:t>。</w:t>
      </w:r>
    </w:p>
    <w:p w14:paraId="5332021D">
      <w:pPr>
        <w:widowControl/>
        <w:tabs>
          <w:tab w:val="left" w:pos="540"/>
        </w:tabs>
        <w:spacing w:line="360" w:lineRule="auto"/>
        <w:ind w:firstLine="420" w:firstLineChars="200"/>
        <w:jc w:val="left"/>
        <w:rPr>
          <w:rFonts w:ascii="宋体" w:hAnsi="宋体" w:cs="宋体"/>
          <w:color w:val="auto"/>
          <w:szCs w:val="21"/>
          <w:highlight w:val="none"/>
        </w:rPr>
      </w:pPr>
      <w:r>
        <w:rPr>
          <w:rFonts w:ascii="宋体" w:hAnsi="宋体" w:cs="宋体"/>
          <w:color w:val="auto"/>
          <w:szCs w:val="21"/>
          <w:highlight w:val="none"/>
        </w:rPr>
        <w:t>3.6</w:t>
      </w:r>
      <w:r>
        <w:rPr>
          <w:rFonts w:hint="eastAsia" w:ascii="宋体" w:hAnsi="宋体" w:cs="宋体"/>
          <w:color w:val="auto"/>
          <w:szCs w:val="21"/>
          <w:highlight w:val="none"/>
        </w:rPr>
        <w:t>采购代理机构对磋商过程和磋商内容进行记录。</w:t>
      </w:r>
    </w:p>
    <w:p w14:paraId="47A8443A">
      <w:pPr>
        <w:widowControl/>
        <w:tabs>
          <w:tab w:val="left" w:pos="540"/>
        </w:tabs>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.7</w:t>
      </w:r>
      <w:r>
        <w:rPr>
          <w:color w:val="auto"/>
          <w:highlight w:val="none"/>
        </w:rPr>
        <w:t>根据《</w:t>
      </w:r>
      <w:r>
        <w:rPr>
          <w:rFonts w:ascii="宋体" w:hAnsi="宋体"/>
          <w:color w:val="auto"/>
          <w:highlight w:val="none"/>
        </w:rPr>
        <w:t>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59F24F87">
      <w:pPr>
        <w:tabs>
          <w:tab w:val="left" w:pos="2835"/>
        </w:tabs>
        <w:spacing w:line="360" w:lineRule="auto"/>
        <w:ind w:firstLine="420" w:firstLineChars="200"/>
        <w:rPr>
          <w:rFonts w:ascii="宋体" w:hAnsi="宋体" w:cs="宋体"/>
          <w:color w:val="auto"/>
          <w:szCs w:val="21"/>
          <w:highlight w:val="none"/>
        </w:rPr>
      </w:pPr>
      <w:r>
        <w:rPr>
          <w:rFonts w:ascii="宋体" w:hAnsi="宋体" w:cs="宋体"/>
          <w:color w:val="auto"/>
          <w:szCs w:val="21"/>
          <w:highlight w:val="none"/>
        </w:rPr>
        <w:t>3.8除</w:t>
      </w:r>
      <w:r>
        <w:rPr>
          <w:rFonts w:ascii="宋体" w:hAnsi="宋体"/>
          <w:color w:val="auto"/>
          <w:highlight w:val="none"/>
        </w:rPr>
        <w:t>本章第3.7条</w:t>
      </w:r>
      <w:r>
        <w:rPr>
          <w:rFonts w:hint="eastAsia" w:ascii="宋体" w:hAnsi="宋体"/>
          <w:color w:val="auto"/>
          <w:highlight w:val="none"/>
        </w:rPr>
        <w:t>规定的</w:t>
      </w:r>
      <w:r>
        <w:rPr>
          <w:rFonts w:ascii="宋体" w:hAnsi="宋体"/>
          <w:color w:val="auto"/>
          <w:highlight w:val="none"/>
        </w:rPr>
        <w:t>情形</w:t>
      </w:r>
      <w:r>
        <w:rPr>
          <w:rFonts w:hint="eastAsia" w:ascii="宋体" w:hAnsi="宋体"/>
          <w:color w:val="auto"/>
          <w:highlight w:val="none"/>
        </w:rPr>
        <w:t>外，</w:t>
      </w:r>
      <w:r>
        <w:rPr>
          <w:rFonts w:hint="eastAsia" w:ascii="宋体" w:hAnsi="宋体"/>
          <w:color w:val="auto"/>
          <w:szCs w:val="21"/>
          <w:highlight w:val="none"/>
        </w:rPr>
        <w:t>对磋商过程提交的响应文件进行有效性、完整性和响应程度审查，通过审查的合格供应商不足3家的，应当重新开展采购活动。</w:t>
      </w:r>
    </w:p>
    <w:p w14:paraId="10A1F745">
      <w:pPr>
        <w:spacing w:line="360" w:lineRule="auto"/>
        <w:ind w:firstLine="482" w:firstLineChars="200"/>
        <w:rPr>
          <w:rFonts w:ascii="宋体" w:hAnsi="宋体" w:cs="宋体"/>
          <w:color w:val="auto"/>
          <w:szCs w:val="21"/>
          <w:highlight w:val="none"/>
        </w:rPr>
      </w:pPr>
      <w:r>
        <w:rPr>
          <w:rFonts w:ascii="黑体" w:hAnsi="黑体" w:eastAsia="黑体" w:cs="宋体"/>
          <w:b/>
          <w:bCs/>
          <w:color w:val="auto"/>
          <w:sz w:val="24"/>
          <w:highlight w:val="none"/>
        </w:rPr>
        <w:t>4.</w:t>
      </w:r>
      <w:r>
        <w:rPr>
          <w:rFonts w:hint="eastAsia" w:ascii="黑体" w:hAnsi="黑体" w:eastAsia="黑体" w:cs="宋体"/>
          <w:b/>
          <w:bCs/>
          <w:color w:val="auto"/>
          <w:sz w:val="24"/>
          <w:highlight w:val="none"/>
        </w:rPr>
        <w:t xml:space="preserve"> 最后报价</w:t>
      </w:r>
    </w:p>
    <w:p w14:paraId="35C16B6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.1</w:t>
      </w:r>
      <w:r>
        <w:rPr>
          <w:rFonts w:hint="eastAsia" w:ascii="宋体" w:hAnsi="宋体" w:cs="宋体"/>
          <w:color w:val="auto"/>
          <w:szCs w:val="21"/>
          <w:highlight w:val="none"/>
        </w:rPr>
        <w:t>磋商文件能够详细列明采购标的的技术、服务要求的，磋商结束后，磋商小组应当要求所有继续参加磋商的供应商在规定时间内在</w:t>
      </w:r>
      <w:r>
        <w:rPr>
          <w:rFonts w:hint="eastAsia" w:ascii="宋体" w:hAnsi="宋体" w:cs="宋体"/>
          <w:color w:val="auto"/>
          <w:szCs w:val="21"/>
          <w:highlight w:val="none"/>
          <w:lang w:eastAsia="zh-CN"/>
        </w:rPr>
        <w:t>广西政府采购云平台</w:t>
      </w:r>
      <w:r>
        <w:rPr>
          <w:rFonts w:hint="eastAsia" w:ascii="宋体" w:hAnsi="宋体" w:cs="宋体"/>
          <w:color w:val="auto"/>
          <w:szCs w:val="21"/>
          <w:highlight w:val="none"/>
        </w:rPr>
        <w:t>平台开标大厅提交加盖供应商电子签章的最后报价，除本章第</w:t>
      </w:r>
      <w:r>
        <w:rPr>
          <w:rFonts w:ascii="宋体" w:hAnsi="宋体" w:cs="宋体"/>
          <w:color w:val="auto"/>
          <w:szCs w:val="21"/>
          <w:highlight w:val="none"/>
        </w:rPr>
        <w:t>4.3</w:t>
      </w:r>
      <w:r>
        <w:rPr>
          <w:rFonts w:hint="eastAsia" w:ascii="宋体" w:hAnsi="宋体" w:cs="宋体"/>
          <w:color w:val="auto"/>
          <w:szCs w:val="21"/>
          <w:highlight w:val="none"/>
        </w:rPr>
        <w:t>条规定的情形外，提交最后报价的供应商不得少于3家，否则应当重新</w:t>
      </w:r>
      <w:r>
        <w:rPr>
          <w:rFonts w:hint="eastAsia" w:ascii="宋体" w:hAnsi="宋体"/>
          <w:color w:val="auto"/>
          <w:szCs w:val="21"/>
          <w:highlight w:val="none"/>
        </w:rPr>
        <w:t>开展采购活动</w:t>
      </w:r>
      <w:r>
        <w:rPr>
          <w:rFonts w:hint="eastAsia" w:ascii="宋体" w:hAnsi="宋体" w:cs="宋体"/>
          <w:color w:val="auto"/>
          <w:szCs w:val="21"/>
          <w:highlight w:val="none"/>
        </w:rPr>
        <w:t>。</w:t>
      </w:r>
    </w:p>
    <w:p w14:paraId="7A2EF09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.2</w:t>
      </w:r>
      <w:r>
        <w:rPr>
          <w:rFonts w:hint="eastAsia" w:ascii="宋体" w:hAnsi="宋体" w:cs="宋体"/>
          <w:color w:val="auto"/>
          <w:szCs w:val="21"/>
          <w:highlight w:val="none"/>
        </w:rPr>
        <w:t>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在</w:t>
      </w:r>
      <w:r>
        <w:rPr>
          <w:rFonts w:hint="eastAsia" w:ascii="宋体" w:hAnsi="宋体" w:cs="宋体"/>
          <w:color w:val="auto"/>
          <w:szCs w:val="21"/>
          <w:highlight w:val="none"/>
          <w:lang w:eastAsia="zh-CN"/>
        </w:rPr>
        <w:t>广西政府采购云平台</w:t>
      </w:r>
      <w:r>
        <w:rPr>
          <w:rFonts w:hint="eastAsia" w:ascii="宋体" w:hAnsi="宋体" w:cs="宋体"/>
          <w:color w:val="auto"/>
          <w:szCs w:val="21"/>
          <w:highlight w:val="none"/>
        </w:rPr>
        <w:t>平台开标大厅提交最后报价。</w:t>
      </w:r>
      <w:r>
        <w:rPr>
          <w:rFonts w:hint="eastAsia" w:ascii="宋体" w:hAnsi="宋体" w:cs="宋体"/>
          <w:b/>
          <w:color w:val="auto"/>
          <w:szCs w:val="21"/>
          <w:highlight w:val="none"/>
        </w:rPr>
        <w:t>如果供应商的最后报价与首次报价不一致的，不能只报竞标总报价，必须同时提供“已标价工程量清单”，否则做无效响应处理。</w:t>
      </w:r>
    </w:p>
    <w:p w14:paraId="3BBD87E9">
      <w:pPr>
        <w:spacing w:line="360" w:lineRule="auto"/>
        <w:ind w:firstLine="420" w:firstLineChars="200"/>
        <w:rPr>
          <w:rFonts w:ascii="宋体" w:hAnsi="宋体" w:cs="宋体"/>
          <w:color w:val="auto"/>
          <w:szCs w:val="21"/>
          <w:highlight w:val="none"/>
        </w:rPr>
      </w:pPr>
      <w:r>
        <w:rPr>
          <w:rFonts w:ascii="宋体" w:hAnsi="宋体" w:cs="宋体"/>
          <w:color w:val="auto"/>
          <w:szCs w:val="21"/>
          <w:highlight w:val="none"/>
        </w:rPr>
        <w:t>4.3</w:t>
      </w:r>
      <w:r>
        <w:rPr>
          <w:rFonts w:hint="eastAsia" w:ascii="宋体" w:hAnsi="宋体" w:cs="宋体"/>
          <w:color w:val="auto"/>
          <w:szCs w:val="21"/>
          <w:highlight w:val="none"/>
        </w:rPr>
        <w:t xml:space="preserve"> 最后报价是供应商响应文件的有效组成部分。</w:t>
      </w:r>
    </w:p>
    <w:p w14:paraId="6354449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符合《政府采购竞争性磋商采购方式管理暂行办法》（财库〔2014〕214号）第三条第四项“市场竞争不充分的科研项目，以及需要扶持的科技成果转化项目”和</w:t>
      </w:r>
      <w:r>
        <w:rPr>
          <w:color w:val="auto"/>
          <w:highlight w:val="none"/>
        </w:rPr>
        <w:t>本章</w:t>
      </w:r>
      <w:r>
        <w:rPr>
          <w:rFonts w:ascii="宋体" w:hAnsi="宋体"/>
          <w:color w:val="auto"/>
          <w:highlight w:val="none"/>
        </w:rPr>
        <w:t>第3.7条</w:t>
      </w:r>
      <w:r>
        <w:rPr>
          <w:rFonts w:hint="eastAsia" w:ascii="宋体" w:hAnsi="宋体" w:cs="宋体"/>
          <w:color w:val="auto"/>
          <w:szCs w:val="21"/>
          <w:highlight w:val="none"/>
        </w:rPr>
        <w:t>规定</w:t>
      </w:r>
      <w:r>
        <w:rPr>
          <w:color w:val="auto"/>
          <w:highlight w:val="none"/>
        </w:rPr>
        <w:t>情形的，</w:t>
      </w:r>
      <w:r>
        <w:rPr>
          <w:rFonts w:hint="eastAsia" w:ascii="宋体" w:hAnsi="宋体" w:cs="宋体"/>
          <w:color w:val="auto"/>
          <w:szCs w:val="21"/>
          <w:highlight w:val="none"/>
        </w:rPr>
        <w:t>提交最后报价的供应商可以为2家。</w:t>
      </w:r>
    </w:p>
    <w:p w14:paraId="4A36983E">
      <w:pPr>
        <w:spacing w:line="360" w:lineRule="auto"/>
        <w:ind w:firstLine="420" w:firstLineChars="200"/>
        <w:rPr>
          <w:rFonts w:ascii="宋体" w:hAnsi="宋体" w:cs="宋体"/>
          <w:color w:val="auto"/>
          <w:szCs w:val="21"/>
          <w:highlight w:val="none"/>
        </w:rPr>
      </w:pPr>
      <w:r>
        <w:rPr>
          <w:rFonts w:ascii="宋体" w:hAnsi="宋体" w:cs="宋体"/>
          <w:color w:val="auto"/>
          <w:szCs w:val="21"/>
          <w:highlight w:val="none"/>
        </w:rPr>
        <w:t>4.4</w:t>
      </w:r>
      <w:r>
        <w:rPr>
          <w:rFonts w:hint="eastAsia" w:ascii="宋体" w:hAnsi="宋体" w:cs="宋体"/>
          <w:color w:val="auto"/>
          <w:szCs w:val="21"/>
          <w:highlight w:val="none"/>
        </w:rPr>
        <w:t>已经提交响应文件的供应商，在提交最后报价之前，可以根据磋商情况退出磋商，退出磋商的供应商的响应文件按无效处理。采购人、采购代理机构将退还退出磋商的供应商的保证金。</w:t>
      </w:r>
    </w:p>
    <w:p w14:paraId="68BF980B">
      <w:pPr>
        <w:spacing w:line="360" w:lineRule="auto"/>
        <w:ind w:firstLine="420" w:firstLineChars="200"/>
        <w:rPr>
          <w:rFonts w:ascii="宋体" w:hAnsi="宋体" w:cs="宋体"/>
          <w:color w:val="auto"/>
          <w:szCs w:val="21"/>
          <w:highlight w:val="none"/>
        </w:rPr>
      </w:pPr>
      <w:r>
        <w:rPr>
          <w:rFonts w:ascii="宋体" w:hAnsi="宋体" w:cs="宋体"/>
          <w:color w:val="auto"/>
          <w:szCs w:val="21"/>
          <w:highlight w:val="none"/>
        </w:rPr>
        <w:t>4.5</w:t>
      </w:r>
      <w:r>
        <w:rPr>
          <w:rFonts w:hint="eastAsia" w:ascii="宋体" w:hAnsi="宋体" w:cs="宋体"/>
          <w:color w:val="auto"/>
          <w:szCs w:val="21"/>
          <w:highlight w:val="none"/>
        </w:rPr>
        <w:t>供应商未在规定时间内提交最后报价的，视同退出磋商，其响应文件按无效处理。</w:t>
      </w:r>
    </w:p>
    <w:p w14:paraId="21B90877">
      <w:pPr>
        <w:spacing w:line="360" w:lineRule="auto"/>
        <w:ind w:firstLine="420" w:firstLineChars="200"/>
        <w:rPr>
          <w:rFonts w:ascii="宋体" w:hAnsi="宋体" w:cs="宋体"/>
          <w:color w:val="auto"/>
          <w:szCs w:val="21"/>
          <w:highlight w:val="none"/>
        </w:rPr>
      </w:pPr>
      <w:r>
        <w:rPr>
          <w:rFonts w:ascii="宋体" w:hAnsi="宋体" w:cs="宋体"/>
          <w:color w:val="auto"/>
          <w:szCs w:val="21"/>
          <w:highlight w:val="none"/>
        </w:rPr>
        <w:t>4.6</w:t>
      </w:r>
      <w:r>
        <w:rPr>
          <w:rFonts w:hint="eastAsia" w:ascii="宋体" w:hAnsi="宋体" w:cs="宋体"/>
          <w:color w:val="auto"/>
          <w:szCs w:val="21"/>
          <w:highlight w:val="none"/>
        </w:rPr>
        <w:t>最后报价统一开启后，磋商小组对最后报价进行有效性、完整性和响应程度的审查。</w:t>
      </w:r>
    </w:p>
    <w:p w14:paraId="60D5F14E">
      <w:pPr>
        <w:spacing w:line="360" w:lineRule="auto"/>
        <w:ind w:firstLine="420" w:firstLineChars="200"/>
        <w:rPr>
          <w:rFonts w:ascii="宋体" w:hAnsi="宋体" w:cs="宋体"/>
          <w:color w:val="auto"/>
          <w:szCs w:val="21"/>
          <w:highlight w:val="none"/>
        </w:rPr>
      </w:pPr>
      <w:r>
        <w:rPr>
          <w:rFonts w:ascii="宋体" w:hAnsi="宋体" w:cs="宋体"/>
          <w:color w:val="auto"/>
          <w:szCs w:val="21"/>
          <w:highlight w:val="none"/>
        </w:rPr>
        <w:t>4.7</w:t>
      </w:r>
      <w:r>
        <w:rPr>
          <w:rFonts w:hint="eastAsia" w:ascii="宋体" w:hAnsi="宋体" w:cs="宋体"/>
          <w:color w:val="auto"/>
          <w:szCs w:val="21"/>
          <w:highlight w:val="none"/>
        </w:rPr>
        <w:t>最后报价出现前后不一致的，按照本章第</w:t>
      </w:r>
      <w:r>
        <w:rPr>
          <w:rFonts w:ascii="宋体" w:hAnsi="宋体" w:cs="宋体"/>
          <w:color w:val="auto"/>
          <w:szCs w:val="21"/>
          <w:highlight w:val="none"/>
        </w:rPr>
        <w:t>2.4</w:t>
      </w:r>
      <w:r>
        <w:rPr>
          <w:rFonts w:hint="eastAsia" w:ascii="宋体" w:hAnsi="宋体" w:cs="宋体"/>
          <w:color w:val="auto"/>
          <w:szCs w:val="21"/>
          <w:highlight w:val="none"/>
        </w:rPr>
        <w:t xml:space="preserve">条的规定修正。 </w:t>
      </w:r>
    </w:p>
    <w:p w14:paraId="034E26D0">
      <w:pPr>
        <w:spacing w:line="360" w:lineRule="auto"/>
        <w:ind w:firstLine="420" w:firstLineChars="200"/>
        <w:rPr>
          <w:rFonts w:ascii="宋体" w:hAnsi="宋体" w:cs="宋体"/>
          <w:color w:val="auto"/>
          <w:szCs w:val="21"/>
          <w:highlight w:val="none"/>
        </w:rPr>
      </w:pPr>
      <w:r>
        <w:rPr>
          <w:rFonts w:ascii="宋体" w:hAnsi="宋体" w:cs="宋体"/>
          <w:color w:val="auto"/>
          <w:szCs w:val="21"/>
          <w:highlight w:val="none"/>
        </w:rPr>
        <w:t>4.8</w:t>
      </w:r>
      <w:r>
        <w:rPr>
          <w:rFonts w:hint="eastAsia" w:ascii="宋体" w:hAnsi="宋体" w:cs="宋体"/>
          <w:color w:val="auto"/>
          <w:szCs w:val="21"/>
          <w:highlight w:val="none"/>
        </w:rPr>
        <w:t>修正后的报价出现下列情形的，按无效响应处理：</w:t>
      </w:r>
    </w:p>
    <w:p w14:paraId="0AFADEE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（1）供应商不确认的（全流程电子化评标采取在线确认）；</w:t>
      </w:r>
    </w:p>
    <w:p w14:paraId="223964F2">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（2）经供应商确认修正后的竞标报价（包含首次报价、最后报价）超过所竞标</w:t>
      </w:r>
      <w:r>
        <w:rPr>
          <w:rFonts w:hint="eastAsia" w:ascii="宋体" w:hAnsi="宋体" w:cs="宋体"/>
          <w:b/>
          <w:color w:val="auto"/>
          <w:szCs w:val="21"/>
          <w:highlight w:val="none"/>
          <w:lang w:val="en-US" w:eastAsia="zh-CN"/>
        </w:rPr>
        <w:t>分标</w:t>
      </w:r>
      <w:r>
        <w:rPr>
          <w:rFonts w:hint="eastAsia" w:ascii="宋体" w:hAnsi="宋体" w:cs="宋体"/>
          <w:color w:val="auto"/>
          <w:szCs w:val="21"/>
          <w:highlight w:val="none"/>
        </w:rPr>
        <w:t>规定的采购预算金额或者最高限价的（如本项目公布了最高限价）；</w:t>
      </w:r>
    </w:p>
    <w:p w14:paraId="4E69F241">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（3）经供应商确认修正后的竞标报价（包含首次报价、最后报价）超过分项采购预算金额或者最高限价的（如本项目公布了最高限价）。</w:t>
      </w:r>
    </w:p>
    <w:p w14:paraId="22E211D4">
      <w:pPr>
        <w:spacing w:line="360" w:lineRule="auto"/>
        <w:ind w:firstLine="420" w:firstLineChars="200"/>
        <w:rPr>
          <w:rFonts w:ascii="宋体" w:hAnsi="宋体" w:cs="宋体"/>
          <w:color w:val="auto"/>
          <w:szCs w:val="21"/>
          <w:highlight w:val="none"/>
        </w:rPr>
      </w:pPr>
      <w:r>
        <w:rPr>
          <w:rFonts w:ascii="宋体" w:hAnsi="宋体" w:cs="宋体"/>
          <w:color w:val="auto"/>
          <w:szCs w:val="21"/>
          <w:highlight w:val="none"/>
        </w:rPr>
        <w:t>4.9</w:t>
      </w:r>
      <w:r>
        <w:rPr>
          <w:rFonts w:hint="eastAsia" w:ascii="宋体" w:hAnsi="宋体" w:cs="宋体"/>
          <w:color w:val="auto"/>
          <w:szCs w:val="21"/>
          <w:highlight w:val="none"/>
        </w:rPr>
        <w:t>经供应商确认修正后的最后报价作为评审及签订合同的依据。</w:t>
      </w:r>
    </w:p>
    <w:p w14:paraId="1CD34078">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4.10供应商出现最后报价按无效响应处理或者响应文件按无效处理时</w:t>
      </w:r>
      <w:r>
        <w:rPr>
          <w:rFonts w:hint="eastAsia" w:ascii="宋体" w:hAnsi="宋体"/>
          <w:color w:val="auto"/>
          <w:sz w:val="22"/>
          <w:szCs w:val="22"/>
          <w:highlight w:val="none"/>
        </w:rPr>
        <w:t>，磋商小组应当告知有关供应商</w:t>
      </w:r>
      <w:r>
        <w:rPr>
          <w:rFonts w:hint="eastAsia" w:ascii="宋体" w:hAnsi="宋体" w:cs="宋体"/>
          <w:color w:val="auto"/>
          <w:szCs w:val="21"/>
          <w:highlight w:val="none"/>
        </w:rPr>
        <w:t>。</w:t>
      </w:r>
    </w:p>
    <w:p w14:paraId="3CACC1FB">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.1</w:t>
      </w:r>
      <w:r>
        <w:rPr>
          <w:rFonts w:hint="eastAsia" w:ascii="宋体" w:hAnsi="宋体" w:cs="宋体"/>
          <w:color w:val="auto"/>
          <w:szCs w:val="21"/>
          <w:highlight w:val="none"/>
        </w:rPr>
        <w:t>1最后报价结束后，磋商小组不得再与供应商进行任何形式的商谈。</w:t>
      </w:r>
    </w:p>
    <w:p w14:paraId="1669FAE4">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5</w:t>
      </w:r>
      <w:r>
        <w:rPr>
          <w:rFonts w:ascii="黑体" w:hAnsi="黑体" w:eastAsia="黑体" w:cs="宋体"/>
          <w:b/>
          <w:bCs/>
          <w:color w:val="auto"/>
          <w:sz w:val="24"/>
          <w:highlight w:val="none"/>
        </w:rPr>
        <w:t>.</w:t>
      </w:r>
      <w:r>
        <w:rPr>
          <w:rFonts w:hint="eastAsia" w:ascii="黑体" w:hAnsi="黑体" w:eastAsia="黑体" w:cs="宋体"/>
          <w:b/>
          <w:bCs/>
          <w:color w:val="auto"/>
          <w:sz w:val="24"/>
          <w:highlight w:val="none"/>
        </w:rPr>
        <w:t>比较与评价</w:t>
      </w:r>
    </w:p>
    <w:p w14:paraId="34ABCC8C">
      <w:pPr>
        <w:spacing w:line="360" w:lineRule="auto"/>
        <w:ind w:firstLine="420" w:firstLineChars="200"/>
        <w:rPr>
          <w:rFonts w:ascii="宋体" w:hAnsi="宋体" w:cs="宋体"/>
          <w:color w:val="auto"/>
          <w:szCs w:val="21"/>
          <w:highlight w:val="none"/>
        </w:rPr>
      </w:pPr>
      <w:r>
        <w:rPr>
          <w:rFonts w:ascii="宋体" w:hAnsi="宋体" w:cs="宋体"/>
          <w:color w:val="auto"/>
          <w:szCs w:val="21"/>
          <w:highlight w:val="none"/>
        </w:rPr>
        <w:t>5.1</w:t>
      </w:r>
      <w:r>
        <w:rPr>
          <w:rFonts w:hint="eastAsia" w:ascii="宋体" w:hAnsi="宋体" w:cs="宋体"/>
          <w:color w:val="auto"/>
          <w:szCs w:val="21"/>
          <w:highlight w:val="none"/>
        </w:rPr>
        <w:t>评审方法：综合评分法。</w:t>
      </w:r>
    </w:p>
    <w:p w14:paraId="1C1144E9">
      <w:pPr>
        <w:spacing w:line="360" w:lineRule="auto"/>
        <w:ind w:firstLine="420" w:firstLineChars="200"/>
        <w:rPr>
          <w:rFonts w:ascii="宋体" w:hAnsi="宋体" w:cs="宋体"/>
          <w:color w:val="auto"/>
          <w:szCs w:val="21"/>
          <w:highlight w:val="none"/>
        </w:rPr>
      </w:pPr>
      <w:r>
        <w:rPr>
          <w:rFonts w:ascii="宋体" w:hAnsi="宋体" w:cs="宋体"/>
          <w:color w:val="auto"/>
          <w:szCs w:val="21"/>
          <w:highlight w:val="none"/>
        </w:rPr>
        <w:t>5.2</w:t>
      </w:r>
      <w:r>
        <w:rPr>
          <w:rFonts w:hint="eastAsia" w:ascii="宋体" w:hAnsi="宋体" w:cs="宋体"/>
          <w:color w:val="auto"/>
          <w:szCs w:val="21"/>
          <w:highlight w:val="none"/>
        </w:rPr>
        <w:t>经磋商确定最终采购需求和提交最后报价的供应商后，由磋商小组采用综合评分法对提交最后报价的供应商的响应文件和最后报价进行综合评分。</w:t>
      </w:r>
    </w:p>
    <w:p w14:paraId="7CFA4C91">
      <w:pPr>
        <w:spacing w:line="360" w:lineRule="auto"/>
        <w:ind w:firstLine="420" w:firstLineChars="200"/>
        <w:rPr>
          <w:rFonts w:ascii="宋体" w:hAnsi="宋体" w:cs="宋体"/>
          <w:color w:val="auto"/>
          <w:szCs w:val="21"/>
          <w:highlight w:val="none"/>
        </w:rPr>
      </w:pPr>
      <w:r>
        <w:rPr>
          <w:rFonts w:ascii="宋体" w:hAnsi="宋体" w:cs="宋体"/>
          <w:color w:val="auto"/>
          <w:szCs w:val="21"/>
          <w:highlight w:val="none"/>
        </w:rPr>
        <w:t>5.3</w:t>
      </w:r>
      <w:r>
        <w:rPr>
          <w:rFonts w:hint="eastAsia" w:ascii="宋体" w:hAnsi="宋体" w:cs="宋体"/>
          <w:color w:val="auto"/>
          <w:szCs w:val="21"/>
          <w:highlight w:val="none"/>
        </w:rPr>
        <w:t>评审时，磋商小组各成员应当独立对每个有效响应的文件进行评价、打分，然后汇总每个供应商每项评分因素的得分。</w:t>
      </w:r>
    </w:p>
    <w:p w14:paraId="2F19C5AE">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（1）磋商小组按照磋商文件中规定的评审标准计算各供应商的报价得分。项目评审过程中，不得去掉最后报价中的最高报价和最低报价。</w:t>
      </w:r>
    </w:p>
    <w:p w14:paraId="42E06C74">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（2）各供应商的得分为磋商小组所有成员的有效评分的算术平均数。</w:t>
      </w:r>
    </w:p>
    <w:p w14:paraId="398E6FD6">
      <w:pPr>
        <w:snapToGrid w:val="0"/>
        <w:spacing w:line="360" w:lineRule="auto"/>
        <w:ind w:firstLine="424" w:firstLineChars="202"/>
        <w:jc w:val="left"/>
        <w:rPr>
          <w:rFonts w:hint="eastAsia" w:ascii="宋体" w:hAnsi="宋体" w:cs="宋体"/>
          <w:color w:val="auto"/>
          <w:szCs w:val="21"/>
          <w:highlight w:val="none"/>
        </w:rPr>
      </w:pPr>
      <w:r>
        <w:rPr>
          <w:rFonts w:ascii="宋体" w:hAnsi="宋体" w:cs="宋体"/>
          <w:color w:val="auto"/>
          <w:szCs w:val="21"/>
          <w:highlight w:val="none"/>
        </w:rPr>
        <w:t>5.4</w:t>
      </w:r>
      <w:r>
        <w:rPr>
          <w:rFonts w:hint="eastAsia" w:ascii="宋体" w:hAnsi="宋体" w:cs="宋体"/>
          <w:color w:val="auto"/>
          <w:szCs w:val="21"/>
          <w:highlight w:val="none"/>
        </w:rPr>
        <w:t>评审价为供应商的最后报价进行政策性扣除后的价格，评审价只是作为评审时使用。最终成交供应商的成交金额等于最后报价（如有修正，以确认修正后的最后报价为准）。</w:t>
      </w:r>
    </w:p>
    <w:p w14:paraId="16BEE63B">
      <w:pPr>
        <w:snapToGrid w:val="0"/>
        <w:spacing w:line="360" w:lineRule="auto"/>
        <w:ind w:firstLine="424" w:firstLineChars="202"/>
        <w:jc w:val="left"/>
        <w:rPr>
          <w:rFonts w:hint="eastAsia" w:ascii="宋体" w:hAnsi="宋体"/>
          <w:color w:val="auto"/>
          <w:spacing w:val="-6"/>
          <w:szCs w:val="21"/>
          <w:highlight w:val="none"/>
        </w:rPr>
      </w:pPr>
      <w:r>
        <w:rPr>
          <w:rFonts w:hint="eastAsia" w:ascii="宋体" w:hAnsi="宋体" w:cs="宋体"/>
          <w:color w:val="auto"/>
          <w:szCs w:val="21"/>
          <w:highlight w:val="none"/>
          <w:lang w:val="en-US" w:eastAsia="zh-CN"/>
        </w:rPr>
        <w:t>5.5</w:t>
      </w:r>
      <w:r>
        <w:rPr>
          <w:rFonts w:hint="eastAsia" w:ascii="宋体" w:hAnsi="宋体"/>
          <w:color w:val="auto"/>
          <w:szCs w:val="21"/>
          <w:highlight w:val="none"/>
        </w:rPr>
        <w:t>异常低价响应审查</w:t>
      </w:r>
    </w:p>
    <w:p w14:paraId="5C67A35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磋商</w:t>
      </w:r>
      <w:r>
        <w:rPr>
          <w:rFonts w:hint="eastAsia" w:ascii="宋体" w:hAnsi="宋体" w:eastAsia="宋体" w:cs="宋体"/>
          <w:color w:val="auto"/>
          <w:szCs w:val="21"/>
          <w:highlight w:val="none"/>
        </w:rPr>
        <w:t>小组在评审中发现下列情形之一的，应当启动异常低价响应审查程序：</w:t>
      </w:r>
    </w:p>
    <w:p w14:paraId="549C894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①响应报价低于全部通过符合性审查供应商响应报价平均值 </w:t>
      </w:r>
      <w:r>
        <w:rPr>
          <w:rFonts w:hint="eastAsia" w:ascii="宋体" w:hAnsi="宋体" w:eastAsia="宋体" w:cs="宋体"/>
          <w:color w:val="auto"/>
          <w:szCs w:val="21"/>
          <w:highlight w:val="none"/>
          <w:lang w:val="en-US" w:eastAsia="zh-CN"/>
        </w:rPr>
        <w:t>65</w:t>
      </w:r>
      <w:r>
        <w:rPr>
          <w:rFonts w:hint="eastAsia" w:ascii="宋体" w:hAnsi="宋体" w:eastAsia="宋体" w:cs="宋体"/>
          <w:color w:val="auto"/>
          <w:szCs w:val="21"/>
          <w:highlight w:val="none"/>
        </w:rPr>
        <w:t xml:space="preserve">%  的，即响应报价＜全部通过符合性审查供应商响应报价平均值×  </w:t>
      </w:r>
      <w:r>
        <w:rPr>
          <w:rFonts w:hint="eastAsia" w:ascii="宋体" w:hAnsi="宋体" w:eastAsia="宋体" w:cs="宋体"/>
          <w:color w:val="auto"/>
          <w:szCs w:val="21"/>
          <w:highlight w:val="none"/>
          <w:lang w:val="en-US" w:eastAsia="zh-CN"/>
        </w:rPr>
        <w:t>65</w:t>
      </w:r>
      <w:r>
        <w:rPr>
          <w:rFonts w:hint="eastAsia" w:ascii="宋体" w:hAnsi="宋体" w:eastAsia="宋体" w:cs="宋体"/>
          <w:color w:val="auto"/>
          <w:szCs w:val="21"/>
          <w:highlight w:val="none"/>
        </w:rPr>
        <w:t>%  ；</w:t>
      </w:r>
    </w:p>
    <w:p w14:paraId="72E2DED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②响应报价低于通过符合性审查的次低报价供应商响应报价  </w:t>
      </w:r>
      <w:r>
        <w:rPr>
          <w:rFonts w:hint="eastAsia" w:ascii="宋体" w:hAnsi="宋体" w:eastAsia="宋体" w:cs="宋体"/>
          <w:color w:val="auto"/>
          <w:szCs w:val="21"/>
          <w:highlight w:val="none"/>
          <w:lang w:val="en-US" w:eastAsia="zh-CN"/>
        </w:rPr>
        <w:t>65</w:t>
      </w:r>
      <w:r>
        <w:rPr>
          <w:rFonts w:hint="eastAsia" w:ascii="宋体" w:hAnsi="宋体" w:eastAsia="宋体" w:cs="宋体"/>
          <w:color w:val="auto"/>
          <w:szCs w:val="21"/>
          <w:highlight w:val="none"/>
        </w:rPr>
        <w:t xml:space="preserve">% 的，即响应报价＜通过符合性审查的次低报价供应商响应报价× </w:t>
      </w:r>
      <w:r>
        <w:rPr>
          <w:rFonts w:hint="eastAsia" w:ascii="宋体" w:hAnsi="宋体" w:eastAsia="宋体" w:cs="宋体"/>
          <w:color w:val="auto"/>
          <w:szCs w:val="21"/>
          <w:highlight w:val="none"/>
          <w:lang w:val="en-US" w:eastAsia="zh-CN"/>
        </w:rPr>
        <w:t>65</w:t>
      </w:r>
      <w:r>
        <w:rPr>
          <w:rFonts w:hint="eastAsia" w:ascii="宋体" w:hAnsi="宋体" w:eastAsia="宋体" w:cs="宋体"/>
          <w:color w:val="auto"/>
          <w:szCs w:val="21"/>
          <w:highlight w:val="none"/>
        </w:rPr>
        <w:t>% ；</w:t>
      </w:r>
    </w:p>
    <w:p w14:paraId="1B00E19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③响应报价低于采购项目最高限价  </w:t>
      </w:r>
      <w:r>
        <w:rPr>
          <w:rFonts w:hint="eastAsia" w:ascii="宋体" w:hAnsi="宋体" w:eastAsia="宋体" w:cs="宋体"/>
          <w:color w:val="auto"/>
          <w:szCs w:val="21"/>
          <w:highlight w:val="none"/>
          <w:lang w:val="en-US" w:eastAsia="zh-CN"/>
        </w:rPr>
        <w:t>65</w:t>
      </w:r>
      <w:r>
        <w:rPr>
          <w:rFonts w:hint="eastAsia" w:ascii="宋体" w:hAnsi="宋体" w:eastAsia="宋体" w:cs="宋体"/>
          <w:color w:val="auto"/>
          <w:szCs w:val="21"/>
          <w:highlight w:val="none"/>
        </w:rPr>
        <w:t xml:space="preserve">% 的，即响应报价＜采购项目最高限价×  </w:t>
      </w:r>
      <w:r>
        <w:rPr>
          <w:rFonts w:hint="eastAsia" w:ascii="宋体" w:hAnsi="宋体" w:eastAsia="宋体" w:cs="宋体"/>
          <w:color w:val="auto"/>
          <w:szCs w:val="21"/>
          <w:highlight w:val="none"/>
          <w:lang w:val="en-US" w:eastAsia="zh-CN"/>
        </w:rPr>
        <w:t>65</w:t>
      </w:r>
      <w:r>
        <w:rPr>
          <w:rFonts w:hint="eastAsia" w:ascii="宋体" w:hAnsi="宋体" w:eastAsia="宋体" w:cs="宋体"/>
          <w:color w:val="auto"/>
          <w:szCs w:val="21"/>
          <w:highlight w:val="none"/>
        </w:rPr>
        <w:t>%  ；</w:t>
      </w:r>
    </w:p>
    <w:p w14:paraId="42A0151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④</w:t>
      </w:r>
      <w:r>
        <w:rPr>
          <w:rFonts w:hint="eastAsia" w:ascii="宋体" w:hAnsi="宋体" w:eastAsia="宋体" w:cs="宋体"/>
          <w:color w:val="auto"/>
          <w:szCs w:val="21"/>
          <w:highlight w:val="none"/>
          <w:lang w:eastAsia="zh-CN"/>
        </w:rPr>
        <w:t>磋商小组</w:t>
      </w:r>
      <w:r>
        <w:rPr>
          <w:rFonts w:hint="eastAsia" w:ascii="宋体" w:hAnsi="宋体" w:eastAsia="宋体" w:cs="宋体"/>
          <w:color w:val="auto"/>
          <w:szCs w:val="21"/>
          <w:highlight w:val="none"/>
        </w:rPr>
        <w:t>基于专业判断，认为供应商报价过低，有可能影响产品质量或者不能诚信履约的其他情形。</w:t>
      </w:r>
    </w:p>
    <w:p w14:paraId="5C9C54A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eastAsia="zh-CN"/>
        </w:rPr>
        <w:t>磋商小组</w:t>
      </w:r>
      <w:r>
        <w:rPr>
          <w:rFonts w:hint="eastAsia" w:ascii="宋体" w:hAnsi="宋体" w:eastAsia="宋体" w:cs="宋体"/>
          <w:color w:val="auto"/>
          <w:szCs w:val="21"/>
          <w:highlight w:val="none"/>
        </w:rPr>
        <w:t>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14:paraId="18BDF68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磋商小组</w:t>
      </w:r>
      <w:r>
        <w:rPr>
          <w:rFonts w:hint="eastAsia" w:ascii="宋体" w:hAnsi="宋体" w:eastAsia="宋体" w:cs="宋体"/>
          <w:color w:val="auto"/>
          <w:szCs w:val="21"/>
          <w:highlight w:val="none"/>
        </w:rPr>
        <w:t>依据专业经验，参考同类项目中标（成交）价格、类似产品市场价格水平、行业人工费用标准、国家有关部门指导行业协会发布的行业平均成本等情况，对报价合理性进行判断。相关供应商不能提供书面说明、证明材料，或者提供的书面说明、证明材料不能证明其报价合理性的，</w:t>
      </w:r>
      <w:r>
        <w:rPr>
          <w:rFonts w:hint="eastAsia" w:ascii="宋体" w:hAnsi="宋体" w:eastAsia="宋体" w:cs="宋体"/>
          <w:color w:val="auto"/>
          <w:szCs w:val="21"/>
          <w:highlight w:val="none"/>
          <w:lang w:eastAsia="zh-CN"/>
        </w:rPr>
        <w:t>磋商小组</w:t>
      </w:r>
      <w:r>
        <w:rPr>
          <w:rFonts w:hint="eastAsia" w:ascii="宋体" w:hAnsi="宋体" w:eastAsia="宋体" w:cs="宋体"/>
          <w:color w:val="auto"/>
          <w:szCs w:val="21"/>
          <w:highlight w:val="none"/>
        </w:rPr>
        <w:t>应当将其作为无效响应处理。</w:t>
      </w:r>
    </w:p>
    <w:p w14:paraId="31CAB1D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采购人、采购代理机构应当为</w:t>
      </w:r>
      <w:r>
        <w:rPr>
          <w:rFonts w:hint="eastAsia" w:ascii="宋体" w:hAnsi="宋体" w:eastAsia="宋体" w:cs="宋体"/>
          <w:color w:val="auto"/>
          <w:szCs w:val="21"/>
          <w:highlight w:val="none"/>
          <w:lang w:eastAsia="zh-CN"/>
        </w:rPr>
        <w:t>磋商小组</w:t>
      </w:r>
      <w:r>
        <w:rPr>
          <w:rFonts w:hint="eastAsia" w:ascii="宋体" w:hAnsi="宋体" w:eastAsia="宋体" w:cs="宋体"/>
          <w:color w:val="auto"/>
          <w:szCs w:val="21"/>
          <w:highlight w:val="none"/>
        </w:rPr>
        <w:t>在评审现场及时获取同类项目中标（成交）价格、类似产品市场价格水平、行业人工费用标准、国家有关部门指导行业协会发布的行业平均成本等相关信息资料提供便利。</w:t>
      </w:r>
      <w:r>
        <w:rPr>
          <w:rFonts w:hint="eastAsia" w:ascii="宋体" w:hAnsi="宋体" w:eastAsia="宋体" w:cs="宋体"/>
          <w:color w:val="auto"/>
          <w:szCs w:val="21"/>
          <w:highlight w:val="none"/>
          <w:lang w:eastAsia="zh-CN"/>
        </w:rPr>
        <w:t>磋商小组</w:t>
      </w:r>
      <w:r>
        <w:rPr>
          <w:rFonts w:hint="eastAsia" w:ascii="宋体" w:hAnsi="宋体" w:eastAsia="宋体" w:cs="宋体"/>
          <w:color w:val="auto"/>
          <w:szCs w:val="21"/>
          <w:highlight w:val="none"/>
        </w:rPr>
        <w:t>借助互联网等渠道查询相关信息的，应当严格遵守评审工作纪律，不得实施影响评审公正的行为。</w:t>
      </w:r>
    </w:p>
    <w:p w14:paraId="4BD5D2A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异常低价响应审查的启动原因、审查意见和审查结果应当在评审报告中记录，并随供应商提供的相关书面说明及证明材料，以及</w:t>
      </w:r>
      <w:r>
        <w:rPr>
          <w:rFonts w:hint="eastAsia" w:ascii="宋体" w:hAnsi="宋体" w:eastAsia="宋体" w:cs="宋体"/>
          <w:color w:val="auto"/>
          <w:szCs w:val="21"/>
          <w:highlight w:val="none"/>
          <w:lang w:eastAsia="zh-CN"/>
        </w:rPr>
        <w:t>磋商小组</w:t>
      </w:r>
      <w:r>
        <w:rPr>
          <w:rFonts w:hint="eastAsia" w:ascii="宋体" w:hAnsi="宋体" w:eastAsia="宋体" w:cs="宋体"/>
          <w:color w:val="auto"/>
          <w:szCs w:val="21"/>
          <w:highlight w:val="none"/>
        </w:rPr>
        <w:t>有关互联网浏览、查询历史一并归档。</w:t>
      </w:r>
    </w:p>
    <w:p w14:paraId="4B8F45C3">
      <w:pPr>
        <w:spacing w:line="360" w:lineRule="auto"/>
        <w:ind w:firstLine="482" w:firstLineChars="200"/>
        <w:rPr>
          <w:rFonts w:ascii="黑体" w:hAnsi="黑体" w:eastAsia="黑体" w:cs="宋体"/>
          <w:b/>
          <w:bCs/>
          <w:color w:val="auto"/>
          <w:sz w:val="24"/>
          <w:highlight w:val="none"/>
        </w:rPr>
      </w:pPr>
      <w:r>
        <w:rPr>
          <w:rFonts w:hint="eastAsia" w:ascii="黑体" w:hAnsi="黑体" w:eastAsia="黑体" w:cs="宋体"/>
          <w:b/>
          <w:bCs/>
          <w:color w:val="auto"/>
          <w:sz w:val="24"/>
          <w:highlight w:val="none"/>
        </w:rPr>
        <w:t>6. 成交供应商荐原则</w:t>
      </w:r>
    </w:p>
    <w:p w14:paraId="632D2385">
      <w:pPr>
        <w:spacing w:line="360" w:lineRule="auto"/>
        <w:ind w:firstLine="420" w:firstLineChars="200"/>
        <w:rPr>
          <w:rFonts w:ascii="宋体" w:hAnsi="宋体"/>
          <w:color w:val="auto"/>
          <w:kern w:val="0"/>
          <w:szCs w:val="21"/>
          <w:highlight w:val="none"/>
        </w:rPr>
      </w:pPr>
      <w:r>
        <w:rPr>
          <w:rFonts w:hint="eastAsia" w:ascii="宋体" w:hAnsi="宋体" w:cs="宋体"/>
          <w:color w:val="auto"/>
          <w:szCs w:val="21"/>
          <w:highlight w:val="none"/>
        </w:rPr>
        <w:t>6</w:t>
      </w:r>
      <w:r>
        <w:rPr>
          <w:rFonts w:ascii="宋体" w:hAnsi="宋体" w:cs="宋体"/>
          <w:color w:val="auto"/>
          <w:szCs w:val="21"/>
          <w:highlight w:val="none"/>
        </w:rPr>
        <w:t>.</w:t>
      </w:r>
      <w:r>
        <w:rPr>
          <w:rFonts w:hint="eastAsia" w:ascii="宋体" w:hAnsi="宋体" w:cs="宋体"/>
          <w:color w:val="auto"/>
          <w:szCs w:val="21"/>
          <w:highlight w:val="none"/>
        </w:rPr>
        <w:t>1</w:t>
      </w:r>
      <w:r>
        <w:rPr>
          <w:rFonts w:hint="eastAsia" w:ascii="宋体" w:hAnsi="宋体"/>
          <w:bCs/>
          <w:color w:val="auto"/>
          <w:szCs w:val="21"/>
          <w:highlight w:val="none"/>
        </w:rPr>
        <w:t>由磋商小组根据综合评分情况，按照评审得分由高到低顺序推荐3名以上成交候选供应商，并编写评审报告，</w:t>
      </w:r>
      <w:r>
        <w:rPr>
          <w:rFonts w:hint="eastAsia" w:ascii="宋体" w:hAnsi="宋体" w:cs="宋体"/>
          <w:color w:val="auto"/>
          <w:highlight w:val="none"/>
        </w:rPr>
        <w:t>评审报告</w:t>
      </w:r>
      <w:r>
        <w:rPr>
          <w:rFonts w:hint="eastAsia" w:hAnsi="宋体"/>
          <w:color w:val="auto"/>
          <w:highlight w:val="none"/>
        </w:rPr>
        <w:t>通过电子交易平台向采购人、采购代理机构提交。</w:t>
      </w:r>
      <w:r>
        <w:rPr>
          <w:rFonts w:hint="eastAsia" w:ascii="宋体" w:hAnsi="宋体"/>
          <w:bCs/>
          <w:color w:val="auto"/>
          <w:szCs w:val="21"/>
          <w:highlight w:val="none"/>
        </w:rPr>
        <w:t>符合本章第</w:t>
      </w:r>
      <w:r>
        <w:rPr>
          <w:rFonts w:ascii="宋体" w:hAnsi="宋体"/>
          <w:bCs/>
          <w:color w:val="auto"/>
          <w:szCs w:val="21"/>
          <w:highlight w:val="none"/>
        </w:rPr>
        <w:t>4.3</w:t>
      </w:r>
      <w:r>
        <w:rPr>
          <w:rFonts w:hint="eastAsia" w:ascii="宋体" w:hAnsi="宋体"/>
          <w:bCs/>
          <w:color w:val="auto"/>
          <w:szCs w:val="21"/>
          <w:highlight w:val="none"/>
        </w:rPr>
        <w:t>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技术要求偏离分由高到低排序）。评审得分、最后报价（不计算价格折扣）、技术得分、技术要求偏离分均相同的，由磋商小组随机抽取推荐</w:t>
      </w:r>
      <w:r>
        <w:rPr>
          <w:rFonts w:hint="eastAsia" w:ascii="宋体" w:hAnsi="宋体"/>
          <w:color w:val="auto"/>
          <w:kern w:val="0"/>
          <w:szCs w:val="21"/>
          <w:highlight w:val="none"/>
        </w:rPr>
        <w:t>。</w:t>
      </w:r>
    </w:p>
    <w:p w14:paraId="4840F545">
      <w:pPr>
        <w:spacing w:line="360" w:lineRule="auto"/>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6</w:t>
      </w:r>
      <w:r>
        <w:rPr>
          <w:rFonts w:ascii="宋体" w:hAnsi="宋体"/>
          <w:color w:val="auto"/>
          <w:kern w:val="0"/>
          <w:szCs w:val="21"/>
          <w:highlight w:val="none"/>
        </w:rPr>
        <w:t>.</w:t>
      </w:r>
      <w:r>
        <w:rPr>
          <w:rFonts w:hint="eastAsia" w:ascii="宋体" w:hAnsi="宋体"/>
          <w:color w:val="auto"/>
          <w:kern w:val="0"/>
          <w:szCs w:val="21"/>
          <w:highlight w:val="none"/>
        </w:rPr>
        <w:t>2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41BE7482">
      <w:pPr>
        <w:spacing w:line="360" w:lineRule="auto"/>
        <w:jc w:val="center"/>
        <w:rPr>
          <w:rFonts w:ascii="宋体" w:hAnsi="宋体"/>
          <w:b/>
          <w:color w:val="auto"/>
          <w:sz w:val="32"/>
          <w:szCs w:val="32"/>
          <w:highlight w:val="none"/>
        </w:rPr>
      </w:pPr>
      <w:r>
        <w:rPr>
          <w:rFonts w:hint="eastAsia" w:ascii="宋体" w:hAnsi="宋体"/>
          <w:b/>
          <w:color w:val="auto"/>
          <w:sz w:val="32"/>
          <w:szCs w:val="32"/>
          <w:highlight w:val="none"/>
        </w:rPr>
        <w:t>二、评审标准</w:t>
      </w:r>
    </w:p>
    <w:p w14:paraId="7C69EF3A">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7</w:t>
      </w:r>
      <w:r>
        <w:rPr>
          <w:rFonts w:ascii="宋体" w:hAnsi="宋体"/>
          <w:bCs/>
          <w:color w:val="auto"/>
          <w:szCs w:val="21"/>
          <w:highlight w:val="none"/>
        </w:rPr>
        <w:t>.</w:t>
      </w:r>
      <w:r>
        <w:rPr>
          <w:rFonts w:hint="eastAsia" w:ascii="宋体" w:hAnsi="宋体"/>
          <w:bCs/>
          <w:color w:val="auto"/>
          <w:szCs w:val="21"/>
          <w:highlight w:val="none"/>
        </w:rPr>
        <w:t>评审依据：磋商小组以磋商文件为评审依据，对供应商的报价、技术、商务等方面内容按百分制打分。（计分方法按四舍五入取至百分位）</w:t>
      </w:r>
    </w:p>
    <w:tbl>
      <w:tblPr>
        <w:tblStyle w:val="45"/>
        <w:tblW w:w="10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1"/>
        <w:gridCol w:w="523"/>
        <w:gridCol w:w="1024"/>
        <w:gridCol w:w="7055"/>
        <w:gridCol w:w="836"/>
      </w:tblGrid>
      <w:tr w14:paraId="2AC71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1" w:type="dxa"/>
            <w:noWrap w:val="0"/>
            <w:vAlign w:val="center"/>
          </w:tcPr>
          <w:p w14:paraId="09250340">
            <w:pPr>
              <w:keepNext w:val="0"/>
              <w:keepLines w:val="0"/>
              <w:pageBreakBefore w:val="0"/>
              <w:widowControl/>
              <w:kinsoku/>
              <w:wordWrap/>
              <w:overflowPunct/>
              <w:topLinePunct w:val="0"/>
              <w:bidi w:val="0"/>
              <w:snapToGrid/>
              <w:spacing w:line="360" w:lineRule="exact"/>
              <w:jc w:val="center"/>
              <w:rPr>
                <w:rFonts w:ascii="宋体" w:hAnsi="宋体" w:cs="Tahoma"/>
                <w:b/>
                <w:bCs/>
                <w:color w:val="auto"/>
                <w:kern w:val="0"/>
                <w:szCs w:val="21"/>
                <w:highlight w:val="none"/>
              </w:rPr>
            </w:pPr>
            <w:r>
              <w:rPr>
                <w:rFonts w:hint="eastAsia" w:ascii="宋体" w:hAnsi="宋体" w:cs="Tahoma"/>
                <w:b/>
                <w:bCs/>
                <w:color w:val="auto"/>
                <w:kern w:val="0"/>
                <w:szCs w:val="21"/>
                <w:highlight w:val="none"/>
              </w:rPr>
              <w:t>序号</w:t>
            </w:r>
          </w:p>
        </w:tc>
        <w:tc>
          <w:tcPr>
            <w:tcW w:w="1547" w:type="dxa"/>
            <w:gridSpan w:val="2"/>
            <w:noWrap w:val="0"/>
            <w:vAlign w:val="center"/>
          </w:tcPr>
          <w:p w14:paraId="68180E61">
            <w:pPr>
              <w:keepNext w:val="0"/>
              <w:keepLines w:val="0"/>
              <w:pageBreakBefore w:val="0"/>
              <w:widowControl/>
              <w:kinsoku/>
              <w:wordWrap/>
              <w:overflowPunct/>
              <w:topLinePunct w:val="0"/>
              <w:bidi w:val="0"/>
              <w:snapToGrid/>
              <w:spacing w:line="360" w:lineRule="exact"/>
              <w:jc w:val="center"/>
              <w:rPr>
                <w:rFonts w:ascii="宋体" w:hAnsi="宋体" w:cs="Tahoma"/>
                <w:b/>
                <w:bCs/>
                <w:color w:val="auto"/>
                <w:kern w:val="0"/>
                <w:szCs w:val="21"/>
                <w:highlight w:val="none"/>
              </w:rPr>
            </w:pPr>
            <w:r>
              <w:rPr>
                <w:rFonts w:hint="eastAsia" w:ascii="宋体" w:hAnsi="宋体" w:cs="Tahoma"/>
                <w:b/>
                <w:bCs/>
                <w:color w:val="auto"/>
                <w:kern w:val="0"/>
                <w:szCs w:val="21"/>
                <w:highlight w:val="none"/>
              </w:rPr>
              <w:t>评审因素</w:t>
            </w:r>
          </w:p>
        </w:tc>
        <w:tc>
          <w:tcPr>
            <w:tcW w:w="7055" w:type="dxa"/>
            <w:noWrap w:val="0"/>
            <w:vAlign w:val="center"/>
          </w:tcPr>
          <w:p w14:paraId="625B53AA">
            <w:pPr>
              <w:keepNext w:val="0"/>
              <w:keepLines w:val="0"/>
              <w:pageBreakBefore w:val="0"/>
              <w:widowControl/>
              <w:kinsoku/>
              <w:wordWrap/>
              <w:overflowPunct/>
              <w:topLinePunct w:val="0"/>
              <w:bidi w:val="0"/>
              <w:snapToGrid/>
              <w:spacing w:line="360" w:lineRule="exact"/>
              <w:jc w:val="center"/>
              <w:rPr>
                <w:rFonts w:ascii="宋体" w:hAnsi="宋体" w:cs="Tahoma"/>
                <w:b/>
                <w:bCs/>
                <w:color w:val="auto"/>
                <w:kern w:val="0"/>
                <w:szCs w:val="21"/>
                <w:highlight w:val="none"/>
              </w:rPr>
            </w:pPr>
            <w:r>
              <w:rPr>
                <w:rFonts w:hint="eastAsia" w:ascii="宋体" w:hAnsi="宋体" w:cs="Tahoma"/>
                <w:b/>
                <w:bCs/>
                <w:color w:val="auto"/>
                <w:kern w:val="0"/>
                <w:szCs w:val="21"/>
                <w:highlight w:val="none"/>
              </w:rPr>
              <w:t>评审标准</w:t>
            </w:r>
          </w:p>
        </w:tc>
        <w:tc>
          <w:tcPr>
            <w:tcW w:w="836" w:type="dxa"/>
            <w:noWrap w:val="0"/>
            <w:vAlign w:val="center"/>
          </w:tcPr>
          <w:p w14:paraId="6CD9A3EC">
            <w:pPr>
              <w:keepNext w:val="0"/>
              <w:keepLines w:val="0"/>
              <w:pageBreakBefore w:val="0"/>
              <w:widowControl/>
              <w:kinsoku/>
              <w:wordWrap/>
              <w:overflowPunct/>
              <w:topLinePunct w:val="0"/>
              <w:bidi w:val="0"/>
              <w:snapToGrid/>
              <w:spacing w:line="360" w:lineRule="exact"/>
              <w:jc w:val="center"/>
              <w:rPr>
                <w:rFonts w:ascii="宋体" w:hAnsi="宋体" w:cs="Tahoma"/>
                <w:b/>
                <w:bCs/>
                <w:color w:val="auto"/>
                <w:kern w:val="0"/>
                <w:szCs w:val="21"/>
                <w:highlight w:val="none"/>
              </w:rPr>
            </w:pPr>
            <w:r>
              <w:rPr>
                <w:rFonts w:hint="eastAsia" w:ascii="宋体" w:hAnsi="宋体" w:cs="Tahoma"/>
                <w:b/>
                <w:bCs/>
                <w:color w:val="auto"/>
                <w:kern w:val="0"/>
                <w:szCs w:val="21"/>
                <w:highlight w:val="none"/>
              </w:rPr>
              <w:t>分值</w:t>
            </w:r>
          </w:p>
        </w:tc>
      </w:tr>
      <w:tr w14:paraId="27C9A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1" w:type="dxa"/>
            <w:shd w:val="clear" w:color="auto" w:fill="D7D7D7" w:themeFill="background1" w:themeFillShade="D8"/>
            <w:noWrap w:val="0"/>
            <w:vAlign w:val="center"/>
          </w:tcPr>
          <w:p w14:paraId="2E6BE130">
            <w:pPr>
              <w:keepNext w:val="0"/>
              <w:keepLines w:val="0"/>
              <w:pageBreakBefore w:val="0"/>
              <w:kinsoku/>
              <w:wordWrap/>
              <w:overflowPunct/>
              <w:topLinePunct w:val="0"/>
              <w:bidi w:val="0"/>
              <w:snapToGrid/>
              <w:spacing w:line="360" w:lineRule="exact"/>
              <w:jc w:val="center"/>
              <w:rPr>
                <w:rFonts w:hint="eastAsia"/>
                <w:color w:val="auto"/>
                <w:highlight w:val="none"/>
                <w:lang w:val="en-US" w:eastAsia="zh-CN"/>
              </w:rPr>
            </w:pPr>
            <w:r>
              <w:rPr>
                <w:rFonts w:hint="eastAsia"/>
                <w:color w:val="auto"/>
                <w:highlight w:val="none"/>
                <w:lang w:val="en-US" w:eastAsia="zh-CN"/>
              </w:rPr>
              <w:t>1</w:t>
            </w:r>
          </w:p>
        </w:tc>
        <w:tc>
          <w:tcPr>
            <w:tcW w:w="1547" w:type="dxa"/>
            <w:gridSpan w:val="2"/>
            <w:shd w:val="clear" w:color="auto" w:fill="D7D7D7" w:themeFill="background1" w:themeFillShade="D8"/>
            <w:noWrap w:val="0"/>
            <w:vAlign w:val="center"/>
          </w:tcPr>
          <w:p w14:paraId="44563B97">
            <w:pPr>
              <w:keepNext w:val="0"/>
              <w:keepLines w:val="0"/>
              <w:pageBreakBefore w:val="0"/>
              <w:kinsoku/>
              <w:wordWrap/>
              <w:overflowPunct/>
              <w:topLinePunct w:val="0"/>
              <w:bidi w:val="0"/>
              <w:snapToGrid/>
              <w:spacing w:line="360" w:lineRule="exact"/>
              <w:jc w:val="center"/>
              <w:rPr>
                <w:rFonts w:hint="eastAsia"/>
                <w:color w:val="auto"/>
                <w:highlight w:val="none"/>
                <w:lang w:val="en-US" w:eastAsia="zh-CN"/>
              </w:rPr>
            </w:pPr>
            <w:r>
              <w:rPr>
                <w:rFonts w:hint="eastAsia"/>
                <w:color w:val="auto"/>
                <w:highlight w:val="none"/>
                <w:lang w:val="en-US" w:eastAsia="zh-CN"/>
              </w:rPr>
              <w:t>价格</w:t>
            </w:r>
            <w:r>
              <w:rPr>
                <w:rFonts w:hint="eastAsia"/>
                <w:color w:val="auto"/>
                <w:highlight w:val="none"/>
              </w:rPr>
              <w:t>分</w:t>
            </w:r>
          </w:p>
        </w:tc>
        <w:tc>
          <w:tcPr>
            <w:tcW w:w="7055" w:type="dxa"/>
            <w:shd w:val="clear" w:color="auto" w:fill="D7D7D7" w:themeFill="background1" w:themeFillShade="D8"/>
            <w:noWrap w:val="0"/>
            <w:vAlign w:val="center"/>
          </w:tcPr>
          <w:p w14:paraId="699373A2">
            <w:pPr>
              <w:keepNext w:val="0"/>
              <w:keepLines w:val="0"/>
              <w:pageBreakBefore w:val="0"/>
              <w:kinsoku/>
              <w:wordWrap/>
              <w:overflowPunct/>
              <w:topLinePunct w:val="0"/>
              <w:bidi w:val="0"/>
              <w:snapToGrid/>
              <w:spacing w:line="360" w:lineRule="exact"/>
              <w:jc w:val="center"/>
              <w:rPr>
                <w:rFonts w:hint="eastAsia"/>
                <w:color w:val="auto"/>
                <w:highlight w:val="none"/>
                <w:lang w:val="en-US" w:eastAsia="zh-CN"/>
              </w:rPr>
            </w:pPr>
            <w:r>
              <w:rPr>
                <w:rFonts w:hint="eastAsia"/>
                <w:color w:val="auto"/>
                <w:highlight w:val="none"/>
              </w:rPr>
              <w:t>评审标准</w:t>
            </w:r>
          </w:p>
        </w:tc>
        <w:tc>
          <w:tcPr>
            <w:tcW w:w="836" w:type="dxa"/>
            <w:shd w:val="clear" w:color="auto" w:fill="D7D7D7" w:themeFill="background1" w:themeFillShade="D8"/>
            <w:noWrap w:val="0"/>
            <w:vAlign w:val="center"/>
          </w:tcPr>
          <w:p w14:paraId="3FC738ED">
            <w:pPr>
              <w:keepNext w:val="0"/>
              <w:keepLines w:val="0"/>
              <w:pageBreakBefore w:val="0"/>
              <w:kinsoku/>
              <w:wordWrap/>
              <w:overflowPunct/>
              <w:topLinePunct w:val="0"/>
              <w:bidi w:val="0"/>
              <w:snapToGrid/>
              <w:spacing w:line="360" w:lineRule="exact"/>
              <w:jc w:val="center"/>
              <w:rPr>
                <w:rFonts w:hint="eastAsia"/>
                <w:color w:val="auto"/>
                <w:highlight w:val="none"/>
                <w:lang w:val="en-US" w:eastAsia="zh-CN"/>
              </w:rPr>
            </w:pPr>
            <w:r>
              <w:rPr>
                <w:rFonts w:hint="eastAsia"/>
                <w:color w:val="auto"/>
                <w:highlight w:val="none"/>
                <w:lang w:val="en-US" w:eastAsia="zh-CN"/>
              </w:rPr>
              <w:t>10</w:t>
            </w:r>
            <w:r>
              <w:rPr>
                <w:rFonts w:hint="eastAsia"/>
                <w:color w:val="auto"/>
                <w:highlight w:val="none"/>
              </w:rPr>
              <w:t>分</w:t>
            </w:r>
          </w:p>
        </w:tc>
      </w:tr>
      <w:tr w14:paraId="0DBC1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1" w:type="dxa"/>
            <w:noWrap w:val="0"/>
            <w:vAlign w:val="center"/>
          </w:tcPr>
          <w:p w14:paraId="36471E35">
            <w:pPr>
              <w:keepNext w:val="0"/>
              <w:keepLines w:val="0"/>
              <w:pageBreakBefore w:val="0"/>
              <w:widowControl/>
              <w:kinsoku/>
              <w:wordWrap/>
              <w:overflowPunct/>
              <w:topLinePunct w:val="0"/>
              <w:bidi w:val="0"/>
              <w:snapToGrid/>
              <w:spacing w:line="360" w:lineRule="exact"/>
              <w:jc w:val="center"/>
              <w:rPr>
                <w:rFonts w:hint="default" w:ascii="宋体" w:hAnsi="宋体" w:eastAsia="宋体" w:cs="Tahoma"/>
                <w:color w:val="auto"/>
                <w:kern w:val="0"/>
                <w:szCs w:val="21"/>
                <w:highlight w:val="none"/>
                <w:lang w:val="en-US" w:eastAsia="zh-CN"/>
              </w:rPr>
            </w:pPr>
            <w:r>
              <w:rPr>
                <w:rFonts w:hint="eastAsia" w:ascii="宋体" w:hAnsi="宋体" w:cs="Tahoma"/>
                <w:color w:val="auto"/>
                <w:kern w:val="0"/>
                <w:szCs w:val="21"/>
                <w:highlight w:val="none"/>
              </w:rPr>
              <w:t>1</w:t>
            </w:r>
            <w:r>
              <w:rPr>
                <w:rFonts w:hint="eastAsia" w:ascii="宋体" w:hAnsi="宋体" w:cs="Tahoma"/>
                <w:color w:val="auto"/>
                <w:kern w:val="0"/>
                <w:szCs w:val="21"/>
                <w:highlight w:val="none"/>
                <w:lang w:val="en-US" w:eastAsia="zh-CN"/>
              </w:rPr>
              <w:t>.1</w:t>
            </w:r>
          </w:p>
        </w:tc>
        <w:tc>
          <w:tcPr>
            <w:tcW w:w="1547" w:type="dxa"/>
            <w:gridSpan w:val="2"/>
            <w:noWrap w:val="0"/>
            <w:vAlign w:val="center"/>
          </w:tcPr>
          <w:p w14:paraId="77989FB2">
            <w:pPr>
              <w:keepNext w:val="0"/>
              <w:keepLines w:val="0"/>
              <w:pageBreakBefore w:val="0"/>
              <w:widowControl/>
              <w:kinsoku/>
              <w:wordWrap/>
              <w:overflowPunct/>
              <w:topLinePunct w:val="0"/>
              <w:bidi w:val="0"/>
              <w:snapToGrid/>
              <w:spacing w:line="360" w:lineRule="exact"/>
              <w:jc w:val="center"/>
              <w:rPr>
                <w:rFonts w:ascii="宋体" w:hAnsi="宋体" w:cs="Tahoma"/>
                <w:color w:val="auto"/>
                <w:kern w:val="0"/>
                <w:szCs w:val="21"/>
                <w:highlight w:val="none"/>
              </w:rPr>
            </w:pPr>
            <w:r>
              <w:rPr>
                <w:rFonts w:hint="eastAsia" w:ascii="宋体" w:hAnsi="宋体" w:cs="Tahoma"/>
                <w:color w:val="auto"/>
                <w:kern w:val="0"/>
                <w:szCs w:val="21"/>
                <w:highlight w:val="none"/>
              </w:rPr>
              <w:t>价格分</w:t>
            </w:r>
          </w:p>
        </w:tc>
        <w:tc>
          <w:tcPr>
            <w:tcW w:w="7055" w:type="dxa"/>
            <w:noWrap w:val="0"/>
            <w:vAlign w:val="top"/>
          </w:tcPr>
          <w:p w14:paraId="3804CCCA">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Cs/>
                <w:color w:val="auto"/>
                <w:kern w:val="2"/>
                <w:sz w:val="21"/>
                <w:szCs w:val="21"/>
                <w:highlight w:val="none"/>
                <w:lang w:val="en-US"/>
              </w:rPr>
            </w:pPr>
            <w:r>
              <w:rPr>
                <w:rFonts w:hint="eastAsia" w:ascii="宋体" w:hAnsi="宋体" w:eastAsia="宋体" w:cs="宋体"/>
                <w:bCs/>
                <w:color w:val="auto"/>
                <w:kern w:val="2"/>
                <w:sz w:val="21"/>
                <w:szCs w:val="21"/>
                <w:highlight w:val="none"/>
                <w:lang w:val="en-US"/>
              </w:rPr>
              <w:t>1.评审价为供应商的最后报价的价格，评审价只是作为评审时使用。最终成交供应商的成交金额等于最后报价（如有修正，以确认修正后的最后报价为准）。</w:t>
            </w:r>
          </w:p>
          <w:p w14:paraId="7260F167">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val="0"/>
                <w:color w:val="auto"/>
                <w:kern w:val="2"/>
                <w:sz w:val="21"/>
                <w:szCs w:val="21"/>
                <w:highlight w:val="none"/>
                <w:lang w:val="en-US"/>
              </w:rPr>
            </w:pPr>
            <w:r>
              <w:rPr>
                <w:rFonts w:hint="eastAsia" w:ascii="宋体" w:hAnsi="宋体" w:eastAsia="宋体" w:cs="宋体"/>
                <w:b/>
                <w:bCs w:val="0"/>
                <w:color w:val="auto"/>
                <w:kern w:val="2"/>
                <w:sz w:val="21"/>
                <w:szCs w:val="21"/>
                <w:highlight w:val="none"/>
                <w:lang w:val="en-US"/>
              </w:rPr>
              <w:t>（注：本项目专门面向中小企业采购，不执行小微企业扣除政策）</w:t>
            </w:r>
          </w:p>
          <w:p w14:paraId="46175200">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Cs/>
                <w:color w:val="auto"/>
                <w:kern w:val="2"/>
                <w:sz w:val="21"/>
                <w:szCs w:val="21"/>
                <w:highlight w:val="none"/>
                <w:lang w:val="en-US"/>
              </w:rPr>
            </w:pPr>
            <w:r>
              <w:rPr>
                <w:rFonts w:hint="eastAsia" w:ascii="宋体" w:hAnsi="宋体" w:eastAsia="宋体" w:cs="宋体"/>
                <w:bCs/>
                <w:color w:val="auto"/>
                <w:kern w:val="2"/>
                <w:sz w:val="21"/>
                <w:szCs w:val="21"/>
                <w:highlight w:val="none"/>
                <w:lang w:val="en-US"/>
              </w:rPr>
              <w:t>2.计算方法：</w:t>
            </w:r>
          </w:p>
          <w:p w14:paraId="3763936C">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Cs/>
                <w:color w:val="auto"/>
                <w:kern w:val="2"/>
                <w:sz w:val="21"/>
                <w:szCs w:val="21"/>
                <w:highlight w:val="none"/>
                <w:lang w:val="en-US"/>
              </w:rPr>
            </w:pPr>
            <w:r>
              <w:rPr>
                <w:rFonts w:hint="eastAsia" w:ascii="宋体" w:hAnsi="宋体" w:eastAsia="宋体" w:cs="宋体"/>
                <w:bCs/>
                <w:color w:val="auto"/>
                <w:kern w:val="2"/>
                <w:sz w:val="21"/>
                <w:szCs w:val="21"/>
                <w:highlight w:val="none"/>
                <w:lang w:val="en-US"/>
              </w:rPr>
              <w:t>（1）评审报价＝最后报价。</w:t>
            </w:r>
          </w:p>
          <w:p w14:paraId="19EF8B15">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Cs/>
                <w:color w:val="auto"/>
                <w:kern w:val="2"/>
                <w:sz w:val="21"/>
                <w:szCs w:val="21"/>
                <w:highlight w:val="none"/>
                <w:lang w:val="en-US"/>
              </w:rPr>
            </w:pPr>
            <w:r>
              <w:rPr>
                <w:rFonts w:hint="eastAsia" w:ascii="宋体" w:hAnsi="宋体" w:eastAsia="宋体" w:cs="宋体"/>
                <w:bCs/>
                <w:color w:val="auto"/>
                <w:kern w:val="2"/>
                <w:sz w:val="21"/>
                <w:szCs w:val="21"/>
                <w:highlight w:val="none"/>
                <w:lang w:val="en-US"/>
              </w:rPr>
              <w:t>（2）以进入比较与评价环节的最低评审报价为基准价，基准价得分满分。</w:t>
            </w:r>
          </w:p>
          <w:p w14:paraId="214AA3EA">
            <w:pPr>
              <w:pStyle w:val="24"/>
              <w:keepNext w:val="0"/>
              <w:keepLines w:val="0"/>
              <w:pageBreakBefore w:val="0"/>
              <w:kinsoku/>
              <w:wordWrap/>
              <w:overflowPunct/>
              <w:topLinePunct w:val="0"/>
              <w:bidi w:val="0"/>
              <w:snapToGrid/>
              <w:spacing w:line="360" w:lineRule="exact"/>
              <w:ind w:firstLine="420" w:firstLineChars="200"/>
              <w:rPr>
                <w:rFonts w:hAnsi="宋体" w:cs="Courier New"/>
                <w:bCs/>
                <w:color w:val="auto"/>
                <w:kern w:val="2"/>
                <w:sz w:val="21"/>
                <w:highlight w:val="none"/>
              </w:rPr>
            </w:pPr>
            <w:r>
              <w:rPr>
                <w:rFonts w:hint="eastAsia" w:ascii="宋体" w:hAnsi="宋体" w:eastAsia="宋体" w:cs="宋体"/>
                <w:bCs/>
                <w:color w:val="auto"/>
                <w:kern w:val="2"/>
                <w:sz w:val="21"/>
                <w:szCs w:val="21"/>
                <w:highlight w:val="none"/>
                <w:lang w:val="en-US"/>
              </w:rPr>
              <w:t>（3）价格分计算公式：某供应商价格分＝基准价/某供应商评审报价×</w:t>
            </w:r>
            <w:r>
              <w:rPr>
                <w:rFonts w:hint="eastAsia" w:ascii="宋体" w:hAnsi="宋体" w:eastAsia="宋体" w:cs="宋体"/>
                <w:bCs/>
                <w:color w:val="auto"/>
                <w:kern w:val="2"/>
                <w:sz w:val="21"/>
                <w:szCs w:val="21"/>
                <w:highlight w:val="none"/>
                <w:lang w:val="en-US" w:eastAsia="zh-CN"/>
              </w:rPr>
              <w:t>10</w:t>
            </w:r>
            <w:r>
              <w:rPr>
                <w:rFonts w:hint="eastAsia" w:ascii="宋体" w:hAnsi="宋体" w:eastAsia="宋体" w:cs="宋体"/>
                <w:bCs/>
                <w:color w:val="auto"/>
                <w:kern w:val="2"/>
                <w:sz w:val="21"/>
                <w:szCs w:val="21"/>
                <w:highlight w:val="none"/>
                <w:lang w:val="en-US"/>
              </w:rPr>
              <w:t>分。</w:t>
            </w:r>
          </w:p>
        </w:tc>
        <w:tc>
          <w:tcPr>
            <w:tcW w:w="836" w:type="dxa"/>
            <w:noWrap w:val="0"/>
            <w:vAlign w:val="center"/>
          </w:tcPr>
          <w:p w14:paraId="03C97B04">
            <w:pPr>
              <w:keepNext w:val="0"/>
              <w:keepLines w:val="0"/>
              <w:pageBreakBefore w:val="0"/>
              <w:widowControl/>
              <w:kinsoku/>
              <w:wordWrap/>
              <w:overflowPunct/>
              <w:topLinePunct w:val="0"/>
              <w:bidi w:val="0"/>
              <w:snapToGrid/>
              <w:spacing w:line="360" w:lineRule="exact"/>
              <w:jc w:val="center"/>
              <w:rPr>
                <w:rFonts w:ascii="宋体" w:hAnsi="宋体" w:cs="Tahoma"/>
                <w:color w:val="auto"/>
                <w:kern w:val="0"/>
                <w:szCs w:val="21"/>
                <w:highlight w:val="none"/>
              </w:rPr>
            </w:pPr>
            <w:r>
              <w:rPr>
                <w:rFonts w:hint="eastAsia" w:ascii="宋体" w:hAnsi="宋体" w:cs="Tahoma"/>
                <w:color w:val="auto"/>
                <w:kern w:val="0"/>
                <w:szCs w:val="21"/>
                <w:highlight w:val="none"/>
                <w:lang w:val="en-US" w:eastAsia="zh-CN"/>
              </w:rPr>
              <w:t>10</w:t>
            </w:r>
            <w:r>
              <w:rPr>
                <w:rFonts w:hint="eastAsia" w:ascii="宋体" w:hAnsi="宋体" w:cs="Tahoma"/>
                <w:color w:val="auto"/>
                <w:kern w:val="0"/>
                <w:szCs w:val="21"/>
                <w:highlight w:val="none"/>
              </w:rPr>
              <w:t>分</w:t>
            </w:r>
          </w:p>
        </w:tc>
      </w:tr>
      <w:tr w14:paraId="61506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1" w:type="dxa"/>
            <w:shd w:val="clear" w:color="auto" w:fill="D7D7D7" w:themeFill="background1" w:themeFillShade="D8"/>
            <w:noWrap w:val="0"/>
            <w:vAlign w:val="center"/>
          </w:tcPr>
          <w:p w14:paraId="4E756081">
            <w:pPr>
              <w:keepNext w:val="0"/>
              <w:keepLines w:val="0"/>
              <w:pageBreakBefore w:val="0"/>
              <w:kinsoku/>
              <w:wordWrap/>
              <w:overflowPunct/>
              <w:topLinePunct w:val="0"/>
              <w:bidi w:val="0"/>
              <w:snapToGrid/>
              <w:spacing w:line="360" w:lineRule="exact"/>
              <w:jc w:val="center"/>
              <w:rPr>
                <w:rFonts w:hint="eastAsia"/>
                <w:color w:val="auto"/>
                <w:highlight w:val="none"/>
              </w:rPr>
            </w:pPr>
            <w:r>
              <w:rPr>
                <w:rFonts w:hint="eastAsia"/>
                <w:color w:val="auto"/>
                <w:highlight w:val="none"/>
              </w:rPr>
              <w:t>2</w:t>
            </w:r>
          </w:p>
        </w:tc>
        <w:tc>
          <w:tcPr>
            <w:tcW w:w="1547" w:type="dxa"/>
            <w:gridSpan w:val="2"/>
            <w:shd w:val="clear" w:color="auto" w:fill="D7D7D7" w:themeFill="background1" w:themeFillShade="D8"/>
            <w:noWrap w:val="0"/>
            <w:vAlign w:val="center"/>
          </w:tcPr>
          <w:p w14:paraId="57B2A722">
            <w:pPr>
              <w:keepNext w:val="0"/>
              <w:keepLines w:val="0"/>
              <w:pageBreakBefore w:val="0"/>
              <w:kinsoku/>
              <w:wordWrap/>
              <w:overflowPunct/>
              <w:topLinePunct w:val="0"/>
              <w:bidi w:val="0"/>
              <w:snapToGrid/>
              <w:spacing w:line="360" w:lineRule="exact"/>
              <w:jc w:val="center"/>
              <w:rPr>
                <w:rFonts w:hint="eastAsia"/>
                <w:color w:val="auto"/>
                <w:highlight w:val="none"/>
              </w:rPr>
            </w:pPr>
            <w:r>
              <w:rPr>
                <w:rFonts w:hint="eastAsia"/>
                <w:color w:val="auto"/>
                <w:highlight w:val="none"/>
              </w:rPr>
              <w:t>技术分</w:t>
            </w:r>
          </w:p>
        </w:tc>
        <w:tc>
          <w:tcPr>
            <w:tcW w:w="7055" w:type="dxa"/>
            <w:shd w:val="clear" w:color="auto" w:fill="D7D7D7" w:themeFill="background1" w:themeFillShade="D8"/>
            <w:noWrap w:val="0"/>
            <w:vAlign w:val="center"/>
          </w:tcPr>
          <w:p w14:paraId="5DFE3525">
            <w:pPr>
              <w:keepNext w:val="0"/>
              <w:keepLines w:val="0"/>
              <w:pageBreakBefore w:val="0"/>
              <w:kinsoku/>
              <w:wordWrap/>
              <w:overflowPunct/>
              <w:topLinePunct w:val="0"/>
              <w:bidi w:val="0"/>
              <w:snapToGrid/>
              <w:spacing w:line="360" w:lineRule="exact"/>
              <w:jc w:val="center"/>
              <w:rPr>
                <w:rFonts w:hint="eastAsia"/>
                <w:color w:val="auto"/>
                <w:highlight w:val="none"/>
              </w:rPr>
            </w:pPr>
            <w:r>
              <w:rPr>
                <w:rFonts w:hint="eastAsia"/>
                <w:color w:val="auto"/>
                <w:highlight w:val="none"/>
              </w:rPr>
              <w:t>评审标准</w:t>
            </w:r>
          </w:p>
        </w:tc>
        <w:tc>
          <w:tcPr>
            <w:tcW w:w="836" w:type="dxa"/>
            <w:shd w:val="clear" w:color="auto" w:fill="D7D7D7" w:themeFill="background1" w:themeFillShade="D8"/>
            <w:noWrap w:val="0"/>
            <w:vAlign w:val="center"/>
          </w:tcPr>
          <w:p w14:paraId="0CF82792">
            <w:pPr>
              <w:keepNext w:val="0"/>
              <w:keepLines w:val="0"/>
              <w:pageBreakBefore w:val="0"/>
              <w:kinsoku/>
              <w:wordWrap/>
              <w:overflowPunct/>
              <w:topLinePunct w:val="0"/>
              <w:bidi w:val="0"/>
              <w:snapToGrid/>
              <w:spacing w:line="360" w:lineRule="exact"/>
              <w:jc w:val="center"/>
              <w:rPr>
                <w:rFonts w:hint="eastAsia"/>
                <w:color w:val="auto"/>
                <w:highlight w:val="none"/>
              </w:rPr>
            </w:pPr>
            <w:r>
              <w:rPr>
                <w:rFonts w:hint="eastAsia"/>
                <w:color w:val="auto"/>
                <w:highlight w:val="none"/>
                <w:lang w:val="en-US" w:eastAsia="zh-CN"/>
              </w:rPr>
              <w:t>81</w:t>
            </w:r>
            <w:r>
              <w:rPr>
                <w:rFonts w:hint="eastAsia"/>
                <w:color w:val="auto"/>
                <w:highlight w:val="none"/>
              </w:rPr>
              <w:t>分</w:t>
            </w:r>
          </w:p>
        </w:tc>
      </w:tr>
      <w:tr w14:paraId="26DB1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1" w:type="dxa"/>
            <w:vMerge w:val="restart"/>
            <w:noWrap w:val="0"/>
            <w:vAlign w:val="center"/>
          </w:tcPr>
          <w:p w14:paraId="184C65D3">
            <w:pPr>
              <w:keepNext w:val="0"/>
              <w:keepLines w:val="0"/>
              <w:pageBreakBefore w:val="0"/>
              <w:kinsoku/>
              <w:wordWrap/>
              <w:overflowPunct/>
              <w:topLinePunct w:val="0"/>
              <w:bidi w:val="0"/>
              <w:adjustRightInd w:val="0"/>
              <w:snapToGrid/>
              <w:spacing w:line="360" w:lineRule="exact"/>
              <w:ind w:left="-105" w:leftChars="-50" w:right="-105" w:rightChars="-50"/>
              <w:jc w:val="center"/>
              <w:textAlignment w:val="baseline"/>
              <w:rPr>
                <w:rFonts w:hint="default" w:ascii="宋体" w:hAnsi="宋体" w:eastAsia="宋体"/>
                <w:bCs/>
                <w:color w:val="auto"/>
                <w:kern w:val="0"/>
                <w:szCs w:val="21"/>
                <w:highlight w:val="none"/>
                <w:lang w:val="en-US" w:eastAsia="zh-CN"/>
              </w:rPr>
            </w:pPr>
            <w:r>
              <w:rPr>
                <w:rFonts w:hint="eastAsia" w:ascii="宋体" w:hAnsi="宋体"/>
                <w:bCs/>
                <w:color w:val="auto"/>
                <w:kern w:val="0"/>
                <w:szCs w:val="21"/>
                <w:highlight w:val="none"/>
                <w:lang w:val="en-US" w:eastAsia="zh-CN"/>
              </w:rPr>
              <w:t>2.1</w:t>
            </w:r>
          </w:p>
        </w:tc>
        <w:tc>
          <w:tcPr>
            <w:tcW w:w="523" w:type="dxa"/>
            <w:vMerge w:val="restart"/>
            <w:noWrap w:val="0"/>
            <w:vAlign w:val="center"/>
          </w:tcPr>
          <w:p w14:paraId="2A6CA535">
            <w:pPr>
              <w:keepNext w:val="0"/>
              <w:keepLines w:val="0"/>
              <w:pageBreakBefore w:val="0"/>
              <w:kinsoku/>
              <w:wordWrap/>
              <w:overflowPunct/>
              <w:topLinePunct w:val="0"/>
              <w:bidi w:val="0"/>
              <w:snapToGrid/>
              <w:spacing w:line="360" w:lineRule="exact"/>
              <w:jc w:val="left"/>
              <w:rPr>
                <w:rFonts w:hint="eastAsia" w:cs="宋体"/>
                <w:color w:val="auto"/>
                <w:highlight w:val="none"/>
              </w:rPr>
            </w:pPr>
            <w:r>
              <w:rPr>
                <w:rFonts w:hint="eastAsia" w:ascii="宋体" w:hAnsi="宋体"/>
                <w:bCs/>
                <w:color w:val="auto"/>
                <w:kern w:val="0"/>
                <w:szCs w:val="21"/>
                <w:highlight w:val="none"/>
              </w:rPr>
              <w:t>施工组织</w:t>
            </w:r>
            <w:r>
              <w:rPr>
                <w:rFonts w:ascii="宋体" w:hAnsi="宋体"/>
                <w:bCs/>
                <w:color w:val="auto"/>
                <w:kern w:val="0"/>
                <w:szCs w:val="21"/>
                <w:highlight w:val="none"/>
              </w:rPr>
              <w:t>设计</w:t>
            </w:r>
          </w:p>
        </w:tc>
        <w:tc>
          <w:tcPr>
            <w:tcW w:w="1024" w:type="dxa"/>
            <w:noWrap w:val="0"/>
            <w:vAlign w:val="center"/>
          </w:tcPr>
          <w:p w14:paraId="25584B40">
            <w:pPr>
              <w:keepNext w:val="0"/>
              <w:keepLines w:val="0"/>
              <w:pageBreakBefore w:val="0"/>
              <w:kinsoku/>
              <w:wordWrap/>
              <w:overflowPunct/>
              <w:topLinePunct w:val="0"/>
              <w:bidi w:val="0"/>
              <w:snapToGrid/>
              <w:spacing w:line="360" w:lineRule="exact"/>
              <w:jc w:val="left"/>
              <w:rPr>
                <w:rFonts w:ascii="Times New Roman" w:hAnsi="Times New Roman" w:eastAsia="宋体" w:cs="Times New Roman"/>
                <w:color w:val="auto"/>
                <w:kern w:val="2"/>
                <w:sz w:val="21"/>
                <w:szCs w:val="24"/>
                <w:highlight w:val="none"/>
                <w:lang w:val="en-US" w:eastAsia="zh-CN" w:bidi="ar-SA"/>
              </w:rPr>
            </w:pPr>
            <w:r>
              <w:rPr>
                <w:rFonts w:hint="eastAsia" w:ascii="宋体" w:hAnsi="宋体" w:eastAsia="宋体" w:cs="宋体"/>
                <w:color w:val="auto"/>
                <w:highlight w:val="none"/>
                <w:lang w:eastAsia="zh-CN"/>
              </w:rPr>
              <w:t>主要施工方法</w:t>
            </w:r>
            <w:r>
              <w:rPr>
                <w:color w:val="auto"/>
                <w:highlight w:val="none"/>
              </w:rPr>
              <w:t>（</w:t>
            </w:r>
            <w:r>
              <w:rPr>
                <w:rFonts w:hint="eastAsia"/>
                <w:color w:val="auto"/>
                <w:highlight w:val="none"/>
                <w:lang w:val="en-US" w:eastAsia="zh-CN"/>
              </w:rPr>
              <w:t>10</w:t>
            </w:r>
            <w:r>
              <w:rPr>
                <w:color w:val="auto"/>
                <w:highlight w:val="none"/>
              </w:rPr>
              <w:t>分）</w:t>
            </w:r>
          </w:p>
        </w:tc>
        <w:tc>
          <w:tcPr>
            <w:tcW w:w="7055" w:type="dxa"/>
            <w:noWrap w:val="0"/>
            <w:vAlign w:val="center"/>
          </w:tcPr>
          <w:p w14:paraId="090DB2EA">
            <w:pPr>
              <w:keepNext w:val="0"/>
              <w:keepLines w:val="0"/>
              <w:pageBreakBefore w:val="0"/>
              <w:kinsoku/>
              <w:wordWrap/>
              <w:overflowPunct/>
              <w:topLinePunct w:val="0"/>
              <w:bidi w:val="0"/>
              <w:snapToGrid/>
              <w:spacing w:line="360" w:lineRule="exact"/>
              <w:jc w:val="left"/>
              <w:rPr>
                <w:color w:val="auto"/>
                <w:highlight w:val="none"/>
              </w:rPr>
            </w:pPr>
            <w:r>
              <w:rPr>
                <w:rFonts w:hint="eastAsia"/>
                <w:b/>
                <w:bCs/>
                <w:color w:val="auto"/>
                <w:highlight w:val="none"/>
                <w:lang w:val="en-US" w:eastAsia="zh-CN"/>
              </w:rPr>
              <w:t>差（1分）：</w:t>
            </w:r>
            <w:r>
              <w:rPr>
                <w:rFonts w:hint="eastAsia"/>
                <w:b w:val="0"/>
                <w:bCs w:val="0"/>
                <w:color w:val="auto"/>
                <w:highlight w:val="none"/>
                <w:lang w:val="en-US" w:eastAsia="zh-CN"/>
              </w:rPr>
              <w:t>方案内容单薄、结构不完整，仅简单罗列施工工序或套用通用模板；未结合本项目图纸与现场实际条件进行任何响应，缺乏基本的可行性与针对性。</w:t>
            </w:r>
            <w:r>
              <w:rPr>
                <w:color w:val="auto"/>
                <w:highlight w:val="none"/>
              </w:rPr>
              <w:t xml:space="preserve"> </w:t>
            </w:r>
          </w:p>
          <w:p w14:paraId="07F674CC">
            <w:pPr>
              <w:keepNext w:val="0"/>
              <w:keepLines w:val="0"/>
              <w:pageBreakBefore w:val="0"/>
              <w:kinsoku/>
              <w:wordWrap/>
              <w:overflowPunct/>
              <w:topLinePunct w:val="0"/>
              <w:bidi w:val="0"/>
              <w:snapToGrid/>
              <w:spacing w:line="360" w:lineRule="exact"/>
              <w:jc w:val="left"/>
              <w:rPr>
                <w:rFonts w:hint="eastAsia"/>
                <w:b/>
                <w:bCs/>
                <w:color w:val="auto"/>
                <w:highlight w:val="none"/>
                <w:lang w:val="en-US" w:eastAsia="zh-CN"/>
              </w:rPr>
            </w:pPr>
            <w:r>
              <w:rPr>
                <w:rFonts w:hint="eastAsia"/>
                <w:b/>
                <w:bCs/>
                <w:color w:val="auto"/>
                <w:highlight w:val="none"/>
                <w:lang w:val="en-US" w:eastAsia="zh-CN"/>
              </w:rPr>
              <w:t>一般（4分）：</w:t>
            </w:r>
            <w:r>
              <w:rPr>
                <w:rFonts w:hint="eastAsia"/>
                <w:b w:val="0"/>
                <w:bCs w:val="0"/>
                <w:color w:val="auto"/>
                <w:highlight w:val="none"/>
                <w:lang w:val="en-US" w:eastAsia="zh-CN"/>
              </w:rPr>
              <w:t>方案基本符合图纸与规范要求，工艺描述基本完整，采用常规工艺，虽能保证工程基本实施，但缺乏针对本项目的专项分析和优化措施。</w:t>
            </w:r>
          </w:p>
          <w:p w14:paraId="3E757D06">
            <w:pPr>
              <w:keepNext w:val="0"/>
              <w:keepLines w:val="0"/>
              <w:pageBreakBefore w:val="0"/>
              <w:kinsoku/>
              <w:wordWrap/>
              <w:overflowPunct/>
              <w:topLinePunct w:val="0"/>
              <w:bidi w:val="0"/>
              <w:snapToGrid/>
              <w:spacing w:line="360" w:lineRule="exact"/>
              <w:jc w:val="left"/>
              <w:rPr>
                <w:color w:val="auto"/>
                <w:highlight w:val="none"/>
              </w:rPr>
            </w:pPr>
            <w:r>
              <w:rPr>
                <w:rFonts w:hint="eastAsia"/>
                <w:b/>
                <w:bCs/>
                <w:color w:val="auto"/>
                <w:highlight w:val="none"/>
                <w:lang w:val="en-US" w:eastAsia="zh-CN"/>
              </w:rPr>
              <w:t>良（7分）：</w:t>
            </w:r>
            <w:r>
              <w:rPr>
                <w:rFonts w:hint="eastAsia"/>
                <w:b w:val="0"/>
                <w:bCs w:val="0"/>
                <w:color w:val="auto"/>
                <w:highlight w:val="none"/>
                <w:lang w:val="en-US" w:eastAsia="zh-CN"/>
              </w:rPr>
              <w:t>方案符合图纸与规范要求，工艺描述完整可行，采用了通用成熟技术，能保证工程质量和工期，但未提供量化效益分析。</w:t>
            </w:r>
            <w:r>
              <w:rPr>
                <w:color w:val="auto"/>
                <w:highlight w:val="none"/>
              </w:rPr>
              <w:t xml:space="preserve"> </w:t>
            </w:r>
          </w:p>
          <w:p w14:paraId="3E3D08EC">
            <w:pPr>
              <w:keepNext w:val="0"/>
              <w:keepLines w:val="0"/>
              <w:pageBreakBefore w:val="0"/>
              <w:kinsoku/>
              <w:wordWrap/>
              <w:overflowPunct/>
              <w:topLinePunct w:val="0"/>
              <w:bidi w:val="0"/>
              <w:snapToGrid/>
              <w:spacing w:line="360" w:lineRule="exact"/>
              <w:jc w:val="left"/>
              <w:rPr>
                <w:color w:val="auto"/>
                <w:highlight w:val="none"/>
              </w:rPr>
            </w:pPr>
            <w:r>
              <w:rPr>
                <w:rFonts w:hint="eastAsia"/>
                <w:b/>
                <w:bCs/>
                <w:color w:val="auto"/>
                <w:highlight w:val="none"/>
                <w:lang w:val="en-US" w:eastAsia="zh-CN"/>
              </w:rPr>
              <w:t>优（10分）：</w:t>
            </w:r>
            <w:r>
              <w:rPr>
                <w:rFonts w:hint="eastAsia"/>
                <w:b w:val="0"/>
                <w:bCs w:val="0"/>
                <w:color w:val="auto"/>
                <w:highlight w:val="none"/>
                <w:lang w:val="en-US" w:eastAsia="zh-CN"/>
              </w:rPr>
              <w:t>方案完全针对本项目</w:t>
            </w:r>
            <w:r>
              <w:rPr>
                <w:rFonts w:hint="eastAsia" w:ascii="宋体" w:hAnsi="宋体"/>
                <w:color w:val="auto"/>
                <w:szCs w:val="21"/>
                <w:highlight w:val="none"/>
                <w:lang w:eastAsia="zh-CN"/>
              </w:rPr>
              <w:t>新增电缆</w:t>
            </w:r>
            <w:r>
              <w:rPr>
                <w:rFonts w:hint="eastAsia" w:ascii="宋体" w:hAnsi="宋体"/>
                <w:color w:val="auto"/>
                <w:szCs w:val="21"/>
                <w:highlight w:val="none"/>
                <w:lang w:val="en-US" w:eastAsia="zh-CN"/>
              </w:rPr>
              <w:t>及变压器扩容</w:t>
            </w:r>
            <w:r>
              <w:rPr>
                <w:rFonts w:hint="eastAsia"/>
                <w:b w:val="0"/>
                <w:bCs w:val="0"/>
                <w:color w:val="auto"/>
                <w:highlight w:val="none"/>
                <w:lang w:val="en-US" w:eastAsia="zh-CN"/>
              </w:rPr>
              <w:t>的专项设计，采用经证明的先进技术，并附有量化效益分析，论证了其能优化工期且不增加成本。</w:t>
            </w:r>
            <w:r>
              <w:rPr>
                <w:color w:val="auto"/>
                <w:highlight w:val="none"/>
              </w:rPr>
              <w:t xml:space="preserve"> </w:t>
            </w:r>
          </w:p>
          <w:p w14:paraId="7D906B61">
            <w:pPr>
              <w:keepNext w:val="0"/>
              <w:keepLines w:val="0"/>
              <w:pageBreakBefore w:val="0"/>
              <w:kinsoku/>
              <w:wordWrap/>
              <w:overflowPunct/>
              <w:topLinePunct w:val="0"/>
              <w:bidi w:val="0"/>
              <w:snapToGrid/>
              <w:spacing w:line="360" w:lineRule="exact"/>
              <w:jc w:val="left"/>
              <w:rPr>
                <w:rFonts w:hint="eastAsia" w:ascii="Times New Roman" w:hAnsi="Times New Roman" w:eastAsia="宋体" w:cs="Times New Roman"/>
                <w:color w:val="auto"/>
                <w:kern w:val="2"/>
                <w:sz w:val="21"/>
                <w:szCs w:val="24"/>
                <w:highlight w:val="none"/>
                <w:lang w:val="en-US" w:eastAsia="zh-CN" w:bidi="ar-SA"/>
              </w:rPr>
            </w:pPr>
            <w:r>
              <w:rPr>
                <w:rFonts w:hint="eastAsia"/>
                <w:b/>
                <w:bCs/>
                <w:color w:val="auto"/>
                <w:highlight w:val="none"/>
                <w:lang w:val="en-US" w:eastAsia="zh-CN"/>
              </w:rPr>
              <w:t>注：未达到“差”档要求不得分</w:t>
            </w:r>
            <w:r>
              <w:rPr>
                <w:rFonts w:hint="eastAsia"/>
                <w:b/>
                <w:bCs/>
                <w:color w:val="auto"/>
                <w:highlight w:val="none"/>
                <w:lang w:eastAsia="zh-CN"/>
              </w:rPr>
              <w:t>。</w:t>
            </w:r>
          </w:p>
        </w:tc>
        <w:tc>
          <w:tcPr>
            <w:tcW w:w="836" w:type="dxa"/>
            <w:noWrap w:val="0"/>
            <w:vAlign w:val="center"/>
          </w:tcPr>
          <w:p w14:paraId="79C01BD6">
            <w:pPr>
              <w:keepNext w:val="0"/>
              <w:keepLines w:val="0"/>
              <w:pageBreakBefore w:val="0"/>
              <w:kinsoku/>
              <w:wordWrap/>
              <w:overflowPunct/>
              <w:topLinePunct w:val="0"/>
              <w:bidi w:val="0"/>
              <w:snapToGrid/>
              <w:spacing w:line="360" w:lineRule="exact"/>
              <w:jc w:val="center"/>
              <w:rPr>
                <w:rFonts w:hint="eastAsia" w:ascii="Times New Roman" w:hAnsi="Times New Roman" w:eastAsia="宋体" w:cs="Times New Roman"/>
                <w:color w:val="auto"/>
                <w:kern w:val="2"/>
                <w:sz w:val="21"/>
                <w:szCs w:val="24"/>
                <w:highlight w:val="none"/>
                <w:lang w:val="en-US" w:eastAsia="zh-CN" w:bidi="ar-SA"/>
              </w:rPr>
            </w:pPr>
            <w:r>
              <w:rPr>
                <w:rFonts w:hint="eastAsia" w:ascii="宋体" w:hAnsi="宋体" w:cs="Tahoma"/>
                <w:color w:val="auto"/>
                <w:kern w:val="0"/>
                <w:szCs w:val="21"/>
                <w:highlight w:val="none"/>
                <w:lang w:val="en-US" w:eastAsia="zh-CN"/>
              </w:rPr>
              <w:t>10</w:t>
            </w:r>
            <w:r>
              <w:rPr>
                <w:rFonts w:hint="eastAsia" w:ascii="宋体" w:hAnsi="宋体" w:cs="Tahoma"/>
                <w:color w:val="auto"/>
                <w:kern w:val="0"/>
                <w:szCs w:val="21"/>
                <w:highlight w:val="none"/>
              </w:rPr>
              <w:t>分</w:t>
            </w:r>
          </w:p>
        </w:tc>
      </w:tr>
      <w:tr w14:paraId="14A85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1" w:type="dxa"/>
            <w:vMerge w:val="continue"/>
            <w:noWrap w:val="0"/>
            <w:vAlign w:val="center"/>
          </w:tcPr>
          <w:p w14:paraId="48B58CD6">
            <w:pPr>
              <w:keepNext w:val="0"/>
              <w:keepLines w:val="0"/>
              <w:pageBreakBefore w:val="0"/>
              <w:kinsoku/>
              <w:wordWrap/>
              <w:overflowPunct/>
              <w:topLinePunct w:val="0"/>
              <w:bidi w:val="0"/>
              <w:adjustRightInd w:val="0"/>
              <w:snapToGrid/>
              <w:spacing w:line="360" w:lineRule="exact"/>
              <w:ind w:left="-105" w:leftChars="-50" w:right="-105" w:rightChars="-50"/>
              <w:jc w:val="center"/>
              <w:textAlignment w:val="baseline"/>
              <w:rPr>
                <w:rFonts w:hint="eastAsia" w:ascii="宋体" w:hAnsi="宋体"/>
                <w:bCs/>
                <w:color w:val="auto"/>
                <w:kern w:val="0"/>
                <w:szCs w:val="21"/>
                <w:highlight w:val="none"/>
                <w:lang w:val="en-US" w:eastAsia="zh-CN"/>
              </w:rPr>
            </w:pPr>
          </w:p>
        </w:tc>
        <w:tc>
          <w:tcPr>
            <w:tcW w:w="523" w:type="dxa"/>
            <w:vMerge w:val="continue"/>
            <w:noWrap w:val="0"/>
            <w:vAlign w:val="center"/>
          </w:tcPr>
          <w:p w14:paraId="31008383">
            <w:pPr>
              <w:keepNext w:val="0"/>
              <w:keepLines w:val="0"/>
              <w:pageBreakBefore w:val="0"/>
              <w:kinsoku/>
              <w:wordWrap/>
              <w:overflowPunct/>
              <w:topLinePunct w:val="0"/>
              <w:bidi w:val="0"/>
              <w:snapToGrid/>
              <w:spacing w:line="360" w:lineRule="exact"/>
              <w:jc w:val="left"/>
              <w:rPr>
                <w:rFonts w:hint="eastAsia" w:ascii="宋体" w:hAnsi="宋体"/>
                <w:bCs/>
                <w:color w:val="auto"/>
                <w:kern w:val="0"/>
                <w:szCs w:val="21"/>
                <w:highlight w:val="none"/>
              </w:rPr>
            </w:pPr>
          </w:p>
        </w:tc>
        <w:tc>
          <w:tcPr>
            <w:tcW w:w="1024" w:type="dxa"/>
            <w:noWrap w:val="0"/>
            <w:vAlign w:val="center"/>
          </w:tcPr>
          <w:p w14:paraId="56CD2CED">
            <w:pPr>
              <w:keepNext w:val="0"/>
              <w:keepLines w:val="0"/>
              <w:pageBreakBefore w:val="0"/>
              <w:kinsoku/>
              <w:wordWrap/>
              <w:overflowPunct/>
              <w:topLinePunct w:val="0"/>
              <w:bidi w:val="0"/>
              <w:snapToGrid/>
              <w:spacing w:line="360" w:lineRule="exact"/>
              <w:jc w:val="left"/>
              <w:rPr>
                <w:color w:val="auto"/>
                <w:highlight w:val="none"/>
              </w:rPr>
            </w:pPr>
            <w:r>
              <w:rPr>
                <w:color w:val="auto"/>
                <w:highlight w:val="none"/>
              </w:rPr>
              <w:t>确保工程质量的技术组织措施（</w:t>
            </w:r>
            <w:r>
              <w:rPr>
                <w:rFonts w:hint="eastAsia"/>
                <w:color w:val="auto"/>
                <w:highlight w:val="none"/>
                <w:lang w:val="en-US" w:eastAsia="zh-CN"/>
              </w:rPr>
              <w:t>10</w:t>
            </w:r>
            <w:r>
              <w:rPr>
                <w:color w:val="auto"/>
                <w:highlight w:val="none"/>
              </w:rPr>
              <w:t>分）</w:t>
            </w:r>
          </w:p>
        </w:tc>
        <w:tc>
          <w:tcPr>
            <w:tcW w:w="7055" w:type="dxa"/>
            <w:noWrap w:val="0"/>
            <w:vAlign w:val="center"/>
          </w:tcPr>
          <w:p w14:paraId="3AD92226">
            <w:pPr>
              <w:keepNext w:val="0"/>
              <w:keepLines w:val="0"/>
              <w:pageBreakBefore w:val="0"/>
              <w:kinsoku/>
              <w:wordWrap/>
              <w:overflowPunct/>
              <w:topLinePunct w:val="0"/>
              <w:bidi w:val="0"/>
              <w:snapToGrid/>
              <w:spacing w:line="360" w:lineRule="exact"/>
              <w:jc w:val="left"/>
              <w:rPr>
                <w:rFonts w:hint="eastAsia"/>
                <w:b/>
                <w:bCs/>
                <w:color w:val="auto"/>
                <w:highlight w:val="none"/>
                <w:lang w:val="en-US" w:eastAsia="zh-CN"/>
              </w:rPr>
            </w:pPr>
            <w:r>
              <w:rPr>
                <w:rFonts w:hint="eastAsia"/>
                <w:b/>
                <w:bCs/>
                <w:color w:val="auto"/>
                <w:highlight w:val="none"/>
                <w:lang w:val="en-US" w:eastAsia="zh-CN"/>
              </w:rPr>
              <w:t>差（1分）：</w:t>
            </w:r>
            <w:r>
              <w:rPr>
                <w:rFonts w:hint="eastAsia"/>
                <w:b w:val="0"/>
                <w:bCs w:val="0"/>
                <w:color w:val="auto"/>
                <w:highlight w:val="none"/>
                <w:lang w:val="en-US" w:eastAsia="zh-CN"/>
              </w:rPr>
              <w:t>未设立专门的质量技术管理班子和制度，主要工序缺乏基本的质量技术保证措施和手段，自控体系不完整或存在明显漏洞，无法有效保证技术质量。</w:t>
            </w:r>
          </w:p>
          <w:p w14:paraId="1BFECA1B">
            <w:pPr>
              <w:keepNext w:val="0"/>
              <w:keepLines w:val="0"/>
              <w:pageBreakBefore w:val="0"/>
              <w:kinsoku/>
              <w:wordWrap/>
              <w:overflowPunct/>
              <w:topLinePunct w:val="0"/>
              <w:bidi w:val="0"/>
              <w:snapToGrid/>
              <w:spacing w:line="360" w:lineRule="exact"/>
              <w:jc w:val="left"/>
              <w:rPr>
                <w:rFonts w:hint="eastAsia"/>
                <w:b/>
                <w:bCs/>
                <w:color w:val="auto"/>
                <w:highlight w:val="none"/>
                <w:lang w:val="en-US" w:eastAsia="zh-CN"/>
              </w:rPr>
            </w:pPr>
            <w:r>
              <w:rPr>
                <w:rFonts w:hint="eastAsia"/>
                <w:b/>
                <w:bCs/>
                <w:color w:val="auto"/>
                <w:highlight w:val="none"/>
                <w:lang w:val="en-US" w:eastAsia="zh-CN"/>
              </w:rPr>
              <w:t>一般（4分）： </w:t>
            </w:r>
            <w:r>
              <w:rPr>
                <w:rFonts w:hint="eastAsia"/>
                <w:b w:val="0"/>
                <w:bCs w:val="0"/>
                <w:color w:val="auto"/>
                <w:highlight w:val="none"/>
                <w:lang w:val="en-US" w:eastAsia="zh-CN"/>
              </w:rPr>
              <w:t>设立了质量技术管理班子和制度。提出了主要工序的质量技术保证措施和手段。有基本的自控体系，承诺其技术质量能达到约定的标准。</w:t>
            </w:r>
          </w:p>
          <w:p w14:paraId="510094F7">
            <w:pPr>
              <w:keepNext w:val="0"/>
              <w:keepLines w:val="0"/>
              <w:pageBreakBefore w:val="0"/>
              <w:kinsoku/>
              <w:wordWrap/>
              <w:overflowPunct/>
              <w:topLinePunct w:val="0"/>
              <w:bidi w:val="0"/>
              <w:snapToGrid/>
              <w:spacing w:line="360" w:lineRule="exact"/>
              <w:jc w:val="left"/>
              <w:rPr>
                <w:rFonts w:hint="eastAsia"/>
                <w:b w:val="0"/>
                <w:bCs w:val="0"/>
                <w:color w:val="auto"/>
                <w:highlight w:val="none"/>
                <w:lang w:val="en-US" w:eastAsia="zh-CN"/>
              </w:rPr>
            </w:pPr>
            <w:r>
              <w:rPr>
                <w:rFonts w:hint="eastAsia"/>
                <w:b/>
                <w:bCs/>
                <w:color w:val="auto"/>
                <w:highlight w:val="none"/>
                <w:lang w:val="en-US" w:eastAsia="zh-CN"/>
              </w:rPr>
              <w:t>良（7分）：</w:t>
            </w:r>
            <w:r>
              <w:rPr>
                <w:rFonts w:hint="eastAsia"/>
                <w:b w:val="0"/>
                <w:bCs w:val="0"/>
                <w:color w:val="auto"/>
                <w:highlight w:val="none"/>
                <w:lang w:val="en-US" w:eastAsia="zh-CN"/>
              </w:rPr>
              <w:t>包含上一档全部内容，且人员配备基本合理，制度基本健全。主要工序的质量技术保证措施和手段较为合理可行，具有针对性。自控体系较为完整，包含关键工序的检查点设置。明确了质量管理流程，能够保证技术质量。</w:t>
            </w:r>
          </w:p>
          <w:p w14:paraId="36F2119C">
            <w:pPr>
              <w:keepNext w:val="0"/>
              <w:keepLines w:val="0"/>
              <w:pageBreakBefore w:val="0"/>
              <w:kinsoku/>
              <w:wordWrap/>
              <w:overflowPunct/>
              <w:topLinePunct w:val="0"/>
              <w:bidi w:val="0"/>
              <w:snapToGrid/>
              <w:spacing w:line="360" w:lineRule="exact"/>
              <w:jc w:val="left"/>
              <w:rPr>
                <w:rFonts w:hint="eastAsia"/>
                <w:b/>
                <w:bCs/>
                <w:color w:val="auto"/>
                <w:highlight w:val="none"/>
                <w:lang w:val="en-US" w:eastAsia="zh-CN"/>
              </w:rPr>
            </w:pPr>
            <w:r>
              <w:rPr>
                <w:rFonts w:hint="eastAsia"/>
                <w:b/>
                <w:bCs/>
                <w:color w:val="auto"/>
                <w:highlight w:val="none"/>
                <w:lang w:val="en-US" w:eastAsia="zh-CN"/>
              </w:rPr>
              <w:t>优（10分）：</w:t>
            </w:r>
            <w:r>
              <w:rPr>
                <w:rFonts w:hint="eastAsia"/>
                <w:b w:val="0"/>
                <w:bCs w:val="0"/>
                <w:color w:val="auto"/>
                <w:highlight w:val="none"/>
                <w:lang w:val="en-US" w:eastAsia="zh-CN"/>
              </w:rPr>
              <w:t>包含上一档全部内容，且人员配备合理、制度健全。主要工序的技术质量保证措施和手段有高度针对性，方案科学合理、可行性高。自控体系先进完整，明确引入了如首件验收、实测实量等具体方法和记录要求。特别承诺项目所用施工材料均符合国家规范及明确的环保等级要求，并提出了相应的检验与控制措施。</w:t>
            </w:r>
          </w:p>
          <w:p w14:paraId="6C64C90F">
            <w:pPr>
              <w:keepNext w:val="0"/>
              <w:keepLines w:val="0"/>
              <w:pageBreakBefore w:val="0"/>
              <w:kinsoku/>
              <w:wordWrap/>
              <w:overflowPunct/>
              <w:topLinePunct w:val="0"/>
              <w:bidi w:val="0"/>
              <w:snapToGrid/>
              <w:spacing w:line="360" w:lineRule="exact"/>
              <w:jc w:val="left"/>
              <w:rPr>
                <w:rFonts w:hint="eastAsia"/>
                <w:b/>
                <w:bCs/>
                <w:color w:val="auto"/>
                <w:highlight w:val="none"/>
                <w:lang w:val="en-US" w:eastAsia="zh-CN"/>
              </w:rPr>
            </w:pPr>
            <w:r>
              <w:rPr>
                <w:rFonts w:hint="eastAsia"/>
                <w:b/>
                <w:bCs/>
                <w:color w:val="auto"/>
                <w:highlight w:val="none"/>
                <w:lang w:val="en-US" w:eastAsia="zh-CN"/>
              </w:rPr>
              <w:t>注：未达到“差”档要求不得分</w:t>
            </w:r>
            <w:r>
              <w:rPr>
                <w:rFonts w:hint="eastAsia"/>
                <w:b/>
                <w:bCs/>
                <w:color w:val="auto"/>
                <w:highlight w:val="none"/>
                <w:lang w:eastAsia="zh-CN"/>
              </w:rPr>
              <w:t>。</w:t>
            </w:r>
          </w:p>
        </w:tc>
        <w:tc>
          <w:tcPr>
            <w:tcW w:w="836" w:type="dxa"/>
            <w:noWrap w:val="0"/>
            <w:vAlign w:val="center"/>
          </w:tcPr>
          <w:p w14:paraId="68A8D381">
            <w:pPr>
              <w:keepNext w:val="0"/>
              <w:keepLines w:val="0"/>
              <w:pageBreakBefore w:val="0"/>
              <w:kinsoku/>
              <w:wordWrap/>
              <w:overflowPunct/>
              <w:topLinePunct w:val="0"/>
              <w:bidi w:val="0"/>
              <w:snapToGrid/>
              <w:spacing w:line="360" w:lineRule="exact"/>
              <w:jc w:val="center"/>
              <w:rPr>
                <w:rFonts w:hint="eastAsia" w:ascii="宋体" w:hAnsi="宋体" w:cs="Tahoma"/>
                <w:color w:val="auto"/>
                <w:kern w:val="0"/>
                <w:szCs w:val="21"/>
                <w:highlight w:val="none"/>
                <w:lang w:val="en-US" w:eastAsia="zh-CN"/>
              </w:rPr>
            </w:pPr>
            <w:r>
              <w:rPr>
                <w:rFonts w:hint="eastAsia" w:ascii="宋体" w:hAnsi="宋体" w:cs="Tahoma"/>
                <w:color w:val="auto"/>
                <w:kern w:val="0"/>
                <w:szCs w:val="21"/>
                <w:highlight w:val="none"/>
                <w:lang w:val="en-US" w:eastAsia="zh-CN"/>
              </w:rPr>
              <w:t>10</w:t>
            </w:r>
            <w:r>
              <w:rPr>
                <w:rFonts w:hint="eastAsia" w:ascii="宋体" w:hAnsi="宋体" w:cs="Tahoma"/>
                <w:color w:val="auto"/>
                <w:kern w:val="0"/>
                <w:szCs w:val="21"/>
                <w:highlight w:val="none"/>
              </w:rPr>
              <w:t>分</w:t>
            </w:r>
          </w:p>
        </w:tc>
      </w:tr>
      <w:tr w14:paraId="6C903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1" w:type="dxa"/>
            <w:vMerge w:val="continue"/>
            <w:noWrap w:val="0"/>
            <w:vAlign w:val="center"/>
          </w:tcPr>
          <w:p w14:paraId="0BDDCD84">
            <w:pPr>
              <w:keepNext w:val="0"/>
              <w:keepLines w:val="0"/>
              <w:pageBreakBefore w:val="0"/>
              <w:kinsoku/>
              <w:wordWrap/>
              <w:overflowPunct/>
              <w:topLinePunct w:val="0"/>
              <w:bidi w:val="0"/>
              <w:adjustRightInd w:val="0"/>
              <w:snapToGrid/>
              <w:spacing w:line="360" w:lineRule="exact"/>
              <w:ind w:left="-105" w:leftChars="-50" w:right="-105" w:rightChars="-50"/>
              <w:jc w:val="center"/>
              <w:textAlignment w:val="baseline"/>
              <w:rPr>
                <w:rFonts w:hint="eastAsia" w:ascii="宋体" w:hAnsi="宋体"/>
                <w:bCs/>
                <w:color w:val="auto"/>
                <w:kern w:val="0"/>
                <w:szCs w:val="21"/>
                <w:highlight w:val="none"/>
              </w:rPr>
            </w:pPr>
          </w:p>
        </w:tc>
        <w:tc>
          <w:tcPr>
            <w:tcW w:w="523" w:type="dxa"/>
            <w:vMerge w:val="continue"/>
            <w:noWrap w:val="0"/>
            <w:vAlign w:val="center"/>
          </w:tcPr>
          <w:p w14:paraId="7E0BD456">
            <w:pPr>
              <w:keepNext w:val="0"/>
              <w:keepLines w:val="0"/>
              <w:pageBreakBefore w:val="0"/>
              <w:kinsoku/>
              <w:wordWrap/>
              <w:overflowPunct/>
              <w:topLinePunct w:val="0"/>
              <w:bidi w:val="0"/>
              <w:snapToGrid/>
              <w:spacing w:line="360" w:lineRule="exact"/>
              <w:jc w:val="left"/>
              <w:rPr>
                <w:rFonts w:hint="eastAsia" w:cs="宋体"/>
                <w:color w:val="auto"/>
                <w:highlight w:val="none"/>
              </w:rPr>
            </w:pPr>
          </w:p>
        </w:tc>
        <w:tc>
          <w:tcPr>
            <w:tcW w:w="1024" w:type="dxa"/>
            <w:noWrap w:val="0"/>
            <w:vAlign w:val="center"/>
          </w:tcPr>
          <w:p w14:paraId="3FE36745">
            <w:pPr>
              <w:keepNext w:val="0"/>
              <w:keepLines w:val="0"/>
              <w:pageBreakBefore w:val="0"/>
              <w:kinsoku/>
              <w:wordWrap/>
              <w:overflowPunct/>
              <w:topLinePunct w:val="0"/>
              <w:bidi w:val="0"/>
              <w:snapToGrid/>
              <w:spacing w:line="360" w:lineRule="exact"/>
              <w:jc w:val="left"/>
              <w:rPr>
                <w:rFonts w:ascii="Times New Roman" w:hAnsi="Times New Roman" w:eastAsia="宋体" w:cs="Times New Roman"/>
                <w:color w:val="auto"/>
                <w:kern w:val="2"/>
                <w:sz w:val="21"/>
                <w:szCs w:val="24"/>
                <w:highlight w:val="none"/>
                <w:lang w:val="en-US" w:eastAsia="zh-CN" w:bidi="ar-SA"/>
              </w:rPr>
            </w:pPr>
            <w:r>
              <w:rPr>
                <w:color w:val="auto"/>
                <w:highlight w:val="none"/>
              </w:rPr>
              <w:t>确保安全生产的技术组织措施（</w:t>
            </w:r>
            <w:r>
              <w:rPr>
                <w:rFonts w:hint="eastAsia"/>
                <w:color w:val="auto"/>
                <w:highlight w:val="none"/>
                <w:lang w:val="en-US" w:eastAsia="zh-CN"/>
              </w:rPr>
              <w:t>10</w:t>
            </w:r>
            <w:r>
              <w:rPr>
                <w:color w:val="auto"/>
                <w:highlight w:val="none"/>
              </w:rPr>
              <w:t>分）</w:t>
            </w:r>
          </w:p>
        </w:tc>
        <w:tc>
          <w:tcPr>
            <w:tcW w:w="7055" w:type="dxa"/>
            <w:noWrap w:val="0"/>
            <w:vAlign w:val="center"/>
          </w:tcPr>
          <w:p w14:paraId="414CEB31">
            <w:pPr>
              <w:keepNext w:val="0"/>
              <w:keepLines w:val="0"/>
              <w:pageBreakBefore w:val="0"/>
              <w:kinsoku/>
              <w:wordWrap/>
              <w:overflowPunct/>
              <w:topLinePunct w:val="0"/>
              <w:bidi w:val="0"/>
              <w:snapToGrid/>
              <w:spacing w:line="360" w:lineRule="exact"/>
              <w:jc w:val="left"/>
              <w:rPr>
                <w:rFonts w:hint="eastAsia" w:ascii="微软雅黑" w:hAnsi="微软雅黑" w:eastAsia="微软雅黑" w:cs="微软雅黑"/>
                <w:i w:val="0"/>
                <w:iCs w:val="0"/>
                <w:caps w:val="0"/>
                <w:color w:val="auto"/>
                <w:spacing w:val="0"/>
                <w:sz w:val="24"/>
                <w:szCs w:val="24"/>
                <w:highlight w:val="none"/>
                <w:shd w:val="clear" w:fill="FFFFFF"/>
              </w:rPr>
            </w:pPr>
            <w:r>
              <w:rPr>
                <w:rFonts w:hint="eastAsia" w:ascii="Times New Roman" w:hAnsi="Times New Roman" w:eastAsia="宋体" w:cs="Times New Roman"/>
                <w:b/>
                <w:bCs/>
                <w:i w:val="0"/>
                <w:iCs w:val="0"/>
                <w:caps w:val="0"/>
                <w:color w:val="auto"/>
                <w:spacing w:val="0"/>
                <w:sz w:val="21"/>
                <w:szCs w:val="24"/>
                <w:highlight w:val="none"/>
                <w:shd w:val="clear" w:fill="auto"/>
              </w:rPr>
              <w:t>差（</w:t>
            </w:r>
            <w:r>
              <w:rPr>
                <w:rFonts w:hint="eastAsia" w:cs="Times New Roman"/>
                <w:b/>
                <w:bCs/>
                <w:i w:val="0"/>
                <w:iCs w:val="0"/>
                <w:caps w:val="0"/>
                <w:color w:val="auto"/>
                <w:spacing w:val="0"/>
                <w:sz w:val="21"/>
                <w:szCs w:val="24"/>
                <w:highlight w:val="none"/>
                <w:shd w:val="clear"/>
                <w:lang w:eastAsia="zh-CN"/>
              </w:rPr>
              <w:t>1</w:t>
            </w:r>
            <w:r>
              <w:rPr>
                <w:rFonts w:hint="eastAsia" w:ascii="Times New Roman" w:hAnsi="Times New Roman" w:eastAsia="宋体" w:cs="Times New Roman"/>
                <w:b/>
                <w:bCs/>
                <w:i w:val="0"/>
                <w:iCs w:val="0"/>
                <w:caps w:val="0"/>
                <w:color w:val="auto"/>
                <w:spacing w:val="0"/>
                <w:sz w:val="21"/>
                <w:szCs w:val="24"/>
                <w:highlight w:val="none"/>
                <w:shd w:val="clear" w:fill="auto"/>
              </w:rPr>
              <w:t>分）：</w:t>
            </w:r>
            <w:r>
              <w:rPr>
                <w:rFonts w:hint="eastAsia" w:ascii="Times New Roman" w:hAnsi="Times New Roman" w:eastAsia="宋体" w:cs="Times New Roman"/>
                <w:i w:val="0"/>
                <w:iCs w:val="0"/>
                <w:caps w:val="0"/>
                <w:color w:val="auto"/>
                <w:spacing w:val="0"/>
                <w:sz w:val="21"/>
                <w:szCs w:val="24"/>
                <w:highlight w:val="none"/>
                <w:shd w:val="clear" w:fill="auto"/>
              </w:rPr>
              <w:t>未明确项目安全负责人，或未制定基本的安全管理制度。各道工序安全技术措施不够完善，仅简单罗列常规要求；现场防火与应急救援措施较为笼统，缺乏具体的实施细节。</w:t>
            </w:r>
          </w:p>
          <w:p w14:paraId="78AD7672">
            <w:pPr>
              <w:keepNext w:val="0"/>
              <w:keepLines w:val="0"/>
              <w:pageBreakBefore w:val="0"/>
              <w:kinsoku/>
              <w:wordWrap/>
              <w:overflowPunct/>
              <w:topLinePunct w:val="0"/>
              <w:bidi w:val="0"/>
              <w:snapToGrid/>
              <w:spacing w:line="360" w:lineRule="exact"/>
              <w:jc w:val="left"/>
              <w:rPr>
                <w:rFonts w:hint="eastAsia"/>
                <w:b w:val="0"/>
                <w:bCs w:val="0"/>
                <w:color w:val="auto"/>
                <w:highlight w:val="none"/>
                <w:lang w:val="en-US" w:eastAsia="zh-CN"/>
              </w:rPr>
            </w:pPr>
            <w:r>
              <w:rPr>
                <w:rFonts w:hint="eastAsia"/>
                <w:b/>
                <w:bCs/>
                <w:color w:val="auto"/>
                <w:highlight w:val="none"/>
                <w:lang w:val="en-US" w:eastAsia="zh-CN"/>
              </w:rPr>
              <w:t>一般（4分）：</w:t>
            </w:r>
            <w:r>
              <w:rPr>
                <w:rFonts w:hint="eastAsia"/>
                <w:b w:val="0"/>
                <w:bCs w:val="0"/>
                <w:color w:val="auto"/>
                <w:highlight w:val="none"/>
                <w:lang w:val="en-US" w:eastAsia="zh-CN"/>
              </w:rPr>
              <w:t>明确项目安全负责人，制定了基本的安全管理制度和事故报告流程。各道工序安全技术措施引用了通用的安全操作规程。现场防火、应急救援措施提出了配置灭火器和设立警戒区的基本要求。</w:t>
            </w:r>
          </w:p>
          <w:p w14:paraId="1A616F88">
            <w:pPr>
              <w:keepNext w:val="0"/>
              <w:keepLines w:val="0"/>
              <w:pageBreakBefore w:val="0"/>
              <w:kinsoku/>
              <w:wordWrap/>
              <w:overflowPunct/>
              <w:topLinePunct w:val="0"/>
              <w:bidi w:val="0"/>
              <w:snapToGrid/>
              <w:spacing w:line="360" w:lineRule="exact"/>
              <w:jc w:val="left"/>
              <w:rPr>
                <w:color w:val="auto"/>
                <w:highlight w:val="none"/>
              </w:rPr>
            </w:pPr>
            <w:r>
              <w:rPr>
                <w:rFonts w:hint="eastAsia"/>
                <w:b/>
                <w:bCs/>
                <w:color w:val="auto"/>
                <w:highlight w:val="none"/>
                <w:lang w:val="en-US" w:eastAsia="zh-CN"/>
              </w:rPr>
              <w:t>良（7分）：</w:t>
            </w:r>
            <w:r>
              <w:rPr>
                <w:rFonts w:hint="eastAsia"/>
                <w:b w:val="0"/>
                <w:bCs w:val="0"/>
                <w:color w:val="auto"/>
                <w:highlight w:val="none"/>
                <w:lang w:val="en-US" w:eastAsia="zh-CN"/>
              </w:rPr>
              <w:t>包含上一档全部内容，并设立安全管理小组，职责明确。制度中增加了主要的安全责任制和针对本项目特点的事故应急预案。各道工序安全技术措施从引用规程升级为包含针对常见风险（如高空坠落、物体打击）的专项方案和交底要求。现场防火、应急救援措施从基本要求升级为包含具体的消防器材布置图和应急联络机制。</w:t>
            </w:r>
            <w:r>
              <w:rPr>
                <w:color w:val="auto"/>
                <w:highlight w:val="none"/>
              </w:rPr>
              <w:t xml:space="preserve"> </w:t>
            </w:r>
          </w:p>
          <w:p w14:paraId="75F9E7ED">
            <w:pPr>
              <w:keepNext w:val="0"/>
              <w:keepLines w:val="0"/>
              <w:pageBreakBefore w:val="0"/>
              <w:kinsoku/>
              <w:wordWrap/>
              <w:overflowPunct/>
              <w:topLinePunct w:val="0"/>
              <w:bidi w:val="0"/>
              <w:snapToGrid/>
              <w:spacing w:line="360" w:lineRule="exact"/>
              <w:jc w:val="left"/>
              <w:rPr>
                <w:color w:val="auto"/>
                <w:highlight w:val="none"/>
              </w:rPr>
            </w:pPr>
            <w:r>
              <w:rPr>
                <w:rFonts w:hint="eastAsia"/>
                <w:b/>
                <w:bCs/>
                <w:color w:val="auto"/>
                <w:highlight w:val="none"/>
                <w:lang w:val="en-US" w:eastAsia="zh-CN"/>
              </w:rPr>
              <w:t>优（10分）：</w:t>
            </w:r>
            <w:r>
              <w:rPr>
                <w:rFonts w:hint="eastAsia"/>
                <w:b w:val="0"/>
                <w:bCs w:val="0"/>
                <w:color w:val="auto"/>
                <w:highlight w:val="none"/>
                <w:lang w:val="en-US" w:eastAsia="zh-CN"/>
              </w:rPr>
              <w:t>包含上一档全部内容，并将安全管理小组提升为专门安全管理机构。制度内容更加完整，明确增加了特种作业管理制度和安全投入保障制度。安全技术措施进一步深化，要求包含针对本项目重大风险源（如高处作业、临时用电）的专项方案和交底记录。现场防火、应急救援措施从平面图和联络机制升级为包含消防平面布置图和应急物资清单。</w:t>
            </w:r>
            <w:r>
              <w:rPr>
                <w:color w:val="auto"/>
                <w:highlight w:val="none"/>
              </w:rPr>
              <w:t xml:space="preserve"> </w:t>
            </w:r>
          </w:p>
          <w:p w14:paraId="65286F20">
            <w:pPr>
              <w:keepNext w:val="0"/>
              <w:keepLines w:val="0"/>
              <w:pageBreakBefore w:val="0"/>
              <w:kinsoku/>
              <w:wordWrap/>
              <w:overflowPunct/>
              <w:topLinePunct w:val="0"/>
              <w:bidi w:val="0"/>
              <w:snapToGrid/>
              <w:spacing w:line="360" w:lineRule="exact"/>
              <w:jc w:val="left"/>
              <w:rPr>
                <w:rFonts w:hint="eastAsia" w:ascii="Times New Roman" w:hAnsi="Times New Roman" w:eastAsia="宋体" w:cs="Times New Roman"/>
                <w:color w:val="auto"/>
                <w:kern w:val="2"/>
                <w:sz w:val="21"/>
                <w:szCs w:val="24"/>
                <w:highlight w:val="none"/>
                <w:lang w:val="en-US" w:eastAsia="zh-CN" w:bidi="ar-SA"/>
              </w:rPr>
            </w:pPr>
            <w:r>
              <w:rPr>
                <w:rFonts w:hint="eastAsia"/>
                <w:b/>
                <w:bCs/>
                <w:color w:val="auto"/>
                <w:highlight w:val="none"/>
                <w:lang w:val="en-US" w:eastAsia="zh-CN"/>
              </w:rPr>
              <w:t>注：未达到“差”档要求不得分</w:t>
            </w:r>
            <w:r>
              <w:rPr>
                <w:rFonts w:hint="eastAsia"/>
                <w:b/>
                <w:bCs/>
                <w:color w:val="auto"/>
                <w:highlight w:val="none"/>
                <w:lang w:eastAsia="zh-CN"/>
              </w:rPr>
              <w:t>。</w:t>
            </w:r>
          </w:p>
        </w:tc>
        <w:tc>
          <w:tcPr>
            <w:tcW w:w="836" w:type="dxa"/>
            <w:noWrap w:val="0"/>
            <w:vAlign w:val="center"/>
          </w:tcPr>
          <w:p w14:paraId="495F9D45">
            <w:pPr>
              <w:keepNext w:val="0"/>
              <w:keepLines w:val="0"/>
              <w:pageBreakBefore w:val="0"/>
              <w:kinsoku/>
              <w:wordWrap/>
              <w:overflowPunct/>
              <w:topLinePunct w:val="0"/>
              <w:bidi w:val="0"/>
              <w:snapToGrid/>
              <w:spacing w:line="360" w:lineRule="exact"/>
              <w:jc w:val="center"/>
              <w:rPr>
                <w:rFonts w:hint="eastAsia" w:ascii="Times New Roman" w:hAnsi="Times New Roman" w:eastAsia="宋体" w:cs="Times New Roman"/>
                <w:color w:val="auto"/>
                <w:kern w:val="2"/>
                <w:sz w:val="21"/>
                <w:szCs w:val="24"/>
                <w:highlight w:val="none"/>
                <w:lang w:val="en-US" w:eastAsia="zh-CN" w:bidi="ar-SA"/>
              </w:rPr>
            </w:pPr>
            <w:r>
              <w:rPr>
                <w:rFonts w:hint="eastAsia" w:ascii="宋体" w:hAnsi="宋体" w:cs="Tahoma"/>
                <w:color w:val="auto"/>
                <w:kern w:val="0"/>
                <w:szCs w:val="21"/>
                <w:highlight w:val="none"/>
                <w:lang w:val="en-US" w:eastAsia="zh-CN"/>
              </w:rPr>
              <w:t>10</w:t>
            </w:r>
            <w:r>
              <w:rPr>
                <w:rFonts w:hint="eastAsia" w:ascii="宋体" w:hAnsi="宋体" w:cs="Tahoma"/>
                <w:color w:val="auto"/>
                <w:kern w:val="0"/>
                <w:szCs w:val="21"/>
                <w:highlight w:val="none"/>
              </w:rPr>
              <w:t>分</w:t>
            </w:r>
          </w:p>
        </w:tc>
      </w:tr>
      <w:tr w14:paraId="19431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1" w:type="dxa"/>
            <w:vMerge w:val="continue"/>
            <w:noWrap w:val="0"/>
            <w:vAlign w:val="center"/>
          </w:tcPr>
          <w:p w14:paraId="233B3F55">
            <w:pPr>
              <w:keepNext w:val="0"/>
              <w:keepLines w:val="0"/>
              <w:pageBreakBefore w:val="0"/>
              <w:kinsoku/>
              <w:wordWrap/>
              <w:overflowPunct/>
              <w:topLinePunct w:val="0"/>
              <w:bidi w:val="0"/>
              <w:adjustRightInd w:val="0"/>
              <w:snapToGrid/>
              <w:spacing w:line="360" w:lineRule="exact"/>
              <w:ind w:left="-105" w:leftChars="-50" w:right="-105" w:rightChars="-50"/>
              <w:jc w:val="center"/>
              <w:textAlignment w:val="baseline"/>
              <w:rPr>
                <w:rFonts w:hint="eastAsia" w:ascii="宋体" w:hAnsi="宋体"/>
                <w:bCs/>
                <w:color w:val="auto"/>
                <w:kern w:val="0"/>
                <w:szCs w:val="21"/>
                <w:highlight w:val="none"/>
              </w:rPr>
            </w:pPr>
          </w:p>
        </w:tc>
        <w:tc>
          <w:tcPr>
            <w:tcW w:w="523" w:type="dxa"/>
            <w:vMerge w:val="continue"/>
            <w:noWrap w:val="0"/>
            <w:vAlign w:val="center"/>
          </w:tcPr>
          <w:p w14:paraId="0B1A9985">
            <w:pPr>
              <w:keepNext w:val="0"/>
              <w:keepLines w:val="0"/>
              <w:pageBreakBefore w:val="0"/>
              <w:kinsoku/>
              <w:wordWrap/>
              <w:overflowPunct/>
              <w:topLinePunct w:val="0"/>
              <w:bidi w:val="0"/>
              <w:snapToGrid/>
              <w:spacing w:line="360" w:lineRule="exact"/>
              <w:jc w:val="left"/>
              <w:rPr>
                <w:rFonts w:hint="eastAsia" w:cs="宋体"/>
                <w:color w:val="auto"/>
                <w:highlight w:val="none"/>
              </w:rPr>
            </w:pPr>
          </w:p>
        </w:tc>
        <w:tc>
          <w:tcPr>
            <w:tcW w:w="1024" w:type="dxa"/>
            <w:noWrap w:val="0"/>
            <w:vAlign w:val="center"/>
          </w:tcPr>
          <w:p w14:paraId="605E787A">
            <w:pPr>
              <w:keepNext w:val="0"/>
              <w:keepLines w:val="0"/>
              <w:pageBreakBefore w:val="0"/>
              <w:kinsoku/>
              <w:wordWrap/>
              <w:overflowPunct/>
              <w:topLinePunct w:val="0"/>
              <w:bidi w:val="0"/>
              <w:snapToGrid/>
              <w:spacing w:line="360" w:lineRule="exact"/>
              <w:jc w:val="left"/>
              <w:rPr>
                <w:rFonts w:hint="default" w:ascii="Times New Roman" w:hAnsi="Times New Roman" w:eastAsia="宋体" w:cs="Times New Roman"/>
                <w:color w:val="auto"/>
                <w:kern w:val="2"/>
                <w:sz w:val="21"/>
                <w:szCs w:val="24"/>
                <w:highlight w:val="none"/>
                <w:lang w:val="en" w:eastAsia="zh-CN" w:bidi="ar-SA"/>
              </w:rPr>
            </w:pPr>
            <w:r>
              <w:rPr>
                <w:color w:val="auto"/>
                <w:highlight w:val="none"/>
              </w:rPr>
              <w:t>确保工期的技术组织措施（</w:t>
            </w:r>
            <w:r>
              <w:rPr>
                <w:rFonts w:hint="eastAsia"/>
                <w:color w:val="auto"/>
                <w:highlight w:val="none"/>
                <w:lang w:val="en-US" w:eastAsia="zh-CN"/>
              </w:rPr>
              <w:t>8</w:t>
            </w:r>
            <w:r>
              <w:rPr>
                <w:color w:val="auto"/>
                <w:highlight w:val="none"/>
              </w:rPr>
              <w:t>分）</w:t>
            </w:r>
          </w:p>
        </w:tc>
        <w:tc>
          <w:tcPr>
            <w:tcW w:w="7055" w:type="dxa"/>
            <w:noWrap w:val="0"/>
            <w:vAlign w:val="center"/>
          </w:tcPr>
          <w:p w14:paraId="0B9C179B">
            <w:pPr>
              <w:keepNext w:val="0"/>
              <w:keepLines w:val="0"/>
              <w:pageBreakBefore w:val="0"/>
              <w:kinsoku/>
              <w:wordWrap/>
              <w:overflowPunct/>
              <w:topLinePunct w:val="0"/>
              <w:bidi w:val="0"/>
              <w:snapToGrid/>
              <w:spacing w:line="360" w:lineRule="exact"/>
              <w:jc w:val="left"/>
              <w:rPr>
                <w:rFonts w:hint="eastAsia"/>
                <w:b/>
                <w:bCs/>
                <w:color w:val="auto"/>
                <w:highlight w:val="none"/>
                <w:lang w:val="en-US" w:eastAsia="zh-CN"/>
              </w:rPr>
            </w:pPr>
            <w:r>
              <w:rPr>
                <w:rFonts w:hint="eastAsia"/>
                <w:b/>
                <w:bCs/>
                <w:color w:val="auto"/>
                <w:highlight w:val="none"/>
                <w:lang w:val="en-US" w:eastAsia="zh-CN"/>
              </w:rPr>
              <w:t>差（1分）：</w:t>
            </w:r>
            <w:r>
              <w:rPr>
                <w:rFonts w:hint="eastAsia"/>
                <w:b w:val="0"/>
                <w:bCs w:val="0"/>
                <w:color w:val="auto"/>
                <w:highlight w:val="none"/>
                <w:lang w:val="en-US" w:eastAsia="zh-CN"/>
              </w:rPr>
              <w:t>未提供施工总进度表或网络图，提出的工期保证措施较为笼统，仅简单罗列常规要求，缺乏针对施工工艺、材料、劳动力等方面的具体安排。</w:t>
            </w:r>
          </w:p>
          <w:p w14:paraId="2FFD7F73">
            <w:pPr>
              <w:keepNext w:val="0"/>
              <w:keepLines w:val="0"/>
              <w:pageBreakBefore w:val="0"/>
              <w:kinsoku/>
              <w:wordWrap/>
              <w:overflowPunct/>
              <w:topLinePunct w:val="0"/>
              <w:bidi w:val="0"/>
              <w:snapToGrid/>
              <w:spacing w:line="360" w:lineRule="exact"/>
              <w:jc w:val="left"/>
              <w:rPr>
                <w:rFonts w:hint="default"/>
                <w:color w:val="auto"/>
                <w:highlight w:val="none"/>
                <w:lang w:val="en"/>
              </w:rPr>
            </w:pPr>
            <w:r>
              <w:rPr>
                <w:rFonts w:hint="eastAsia"/>
                <w:b/>
                <w:bCs/>
                <w:color w:val="auto"/>
                <w:highlight w:val="none"/>
                <w:lang w:val="en-US" w:eastAsia="zh-CN"/>
              </w:rPr>
              <w:t>一般（3分）：</w:t>
            </w:r>
            <w:r>
              <w:rPr>
                <w:rFonts w:hint="eastAsia"/>
                <w:b w:val="0"/>
                <w:bCs w:val="0"/>
                <w:color w:val="auto"/>
                <w:highlight w:val="none"/>
                <w:lang w:val="en-US" w:eastAsia="zh-CN"/>
              </w:rPr>
              <w:t>有施工总进度表或施工网络图。在施工工艺、方法、材料、劳动力等方面提出了保证工期的基本措施。计划安排基本合理，能基本符合项目实际要求，并承诺确保工程质量和安全施工。</w:t>
            </w:r>
          </w:p>
          <w:p w14:paraId="28A39D64">
            <w:pPr>
              <w:keepNext w:val="0"/>
              <w:keepLines w:val="0"/>
              <w:pageBreakBefore w:val="0"/>
              <w:kinsoku/>
              <w:wordWrap/>
              <w:overflowPunct/>
              <w:topLinePunct w:val="0"/>
              <w:bidi w:val="0"/>
              <w:snapToGrid/>
              <w:spacing w:line="360" w:lineRule="exact"/>
              <w:jc w:val="left"/>
              <w:rPr>
                <w:rFonts w:hint="default"/>
                <w:color w:val="auto"/>
                <w:highlight w:val="none"/>
                <w:lang w:val="en" w:eastAsia="zh-CN"/>
              </w:rPr>
            </w:pPr>
            <w:r>
              <w:rPr>
                <w:rFonts w:hint="eastAsia"/>
                <w:b/>
                <w:bCs/>
                <w:color w:val="auto"/>
                <w:highlight w:val="none"/>
                <w:lang w:val="en-US" w:eastAsia="zh-CN"/>
              </w:rPr>
              <w:t>良（6分）：</w:t>
            </w:r>
            <w:r>
              <w:rPr>
                <w:rFonts w:hint="eastAsia"/>
                <w:b w:val="0"/>
                <w:bCs w:val="0"/>
                <w:color w:val="auto"/>
                <w:highlight w:val="none"/>
                <w:lang w:val="en-US" w:eastAsia="zh-CN"/>
              </w:rPr>
              <w:t>包含上一档全部内容。计划图表编制完善，安排科学合理，符合本项目施工实际要求。提出的工期保证措施具体，针对施工工艺、方法、材料、劳动力等方面有合理可行的安排。具备配合建设单位调整施工计划的能力。</w:t>
            </w:r>
            <w:r>
              <w:rPr>
                <w:rFonts w:hint="eastAsia"/>
                <w:color w:val="auto"/>
                <w:highlight w:val="none"/>
                <w:lang w:val="en-US" w:eastAsia="zh-CN"/>
              </w:rPr>
              <w:t>并确保工程质量和安全施工。</w:t>
            </w:r>
          </w:p>
          <w:p w14:paraId="332E49B4">
            <w:pPr>
              <w:keepNext w:val="0"/>
              <w:keepLines w:val="0"/>
              <w:pageBreakBefore w:val="0"/>
              <w:kinsoku/>
              <w:wordWrap/>
              <w:overflowPunct/>
              <w:topLinePunct w:val="0"/>
              <w:bidi w:val="0"/>
              <w:snapToGrid/>
              <w:spacing w:line="360" w:lineRule="exact"/>
              <w:jc w:val="left"/>
              <w:rPr>
                <w:rFonts w:hint="default"/>
                <w:color w:val="auto"/>
                <w:highlight w:val="none"/>
                <w:lang w:val="en"/>
              </w:rPr>
            </w:pPr>
            <w:r>
              <w:rPr>
                <w:rFonts w:hint="eastAsia"/>
                <w:b/>
                <w:bCs/>
                <w:color w:val="auto"/>
                <w:highlight w:val="none"/>
                <w:lang w:val="en-US" w:eastAsia="zh-CN"/>
              </w:rPr>
              <w:t>优（8分）：</w:t>
            </w:r>
            <w:r>
              <w:rPr>
                <w:rFonts w:hint="eastAsia"/>
                <w:b w:val="0"/>
                <w:bCs w:val="0"/>
                <w:color w:val="auto"/>
                <w:highlight w:val="none"/>
                <w:lang w:val="en-US" w:eastAsia="zh-CN"/>
              </w:rPr>
              <w:t>包含上一档全部内容。提出的工期保证措施非常得当，针对性强，可操作性高，且在常规8小时作业之外，明确承诺可根据项目进度需要，主动调配施工力量，采取延长作业时段、增加作业班组、优化工序衔接等赶工措施，全力保障工程按期完成。并为此制定专项质量与安全保障方案。进度计划（总进度表/网络图）中清晰标出了关键线路，并制定了针对性的控制措施。</w:t>
            </w:r>
            <w:r>
              <w:rPr>
                <w:rFonts w:hint="eastAsia"/>
                <w:color w:val="auto"/>
                <w:highlight w:val="none"/>
              </w:rPr>
              <w:t>能</w:t>
            </w:r>
            <w:r>
              <w:rPr>
                <w:rFonts w:hint="eastAsia"/>
                <w:color w:val="auto"/>
                <w:highlight w:val="none"/>
                <w:lang w:eastAsia="zh-CN"/>
              </w:rPr>
              <w:t>够</w:t>
            </w:r>
            <w:r>
              <w:rPr>
                <w:rFonts w:hint="eastAsia"/>
                <w:color w:val="auto"/>
                <w:highlight w:val="none"/>
              </w:rPr>
              <w:t>配合</w:t>
            </w:r>
            <w:r>
              <w:rPr>
                <w:rFonts w:hint="eastAsia"/>
                <w:color w:val="auto"/>
                <w:highlight w:val="none"/>
                <w:lang w:eastAsia="zh-CN"/>
              </w:rPr>
              <w:t>建设单位</w:t>
            </w:r>
            <w:r>
              <w:rPr>
                <w:rFonts w:hint="eastAsia"/>
                <w:color w:val="auto"/>
                <w:highlight w:val="none"/>
              </w:rPr>
              <w:t>根据</w:t>
            </w:r>
            <w:r>
              <w:rPr>
                <w:rFonts w:hint="eastAsia"/>
                <w:color w:val="auto"/>
                <w:highlight w:val="none"/>
                <w:lang w:eastAsia="zh-CN"/>
              </w:rPr>
              <w:t>工作需要</w:t>
            </w:r>
            <w:r>
              <w:rPr>
                <w:rFonts w:hint="eastAsia"/>
                <w:color w:val="auto"/>
                <w:highlight w:val="none"/>
              </w:rPr>
              <w:t>调整施工计划，并具备保证施工工期的能力。</w:t>
            </w:r>
          </w:p>
          <w:p w14:paraId="65A238AF">
            <w:pPr>
              <w:keepNext w:val="0"/>
              <w:keepLines w:val="0"/>
              <w:pageBreakBefore w:val="0"/>
              <w:kinsoku/>
              <w:wordWrap/>
              <w:overflowPunct/>
              <w:topLinePunct w:val="0"/>
              <w:bidi w:val="0"/>
              <w:snapToGrid/>
              <w:spacing w:line="360" w:lineRule="exact"/>
              <w:jc w:val="left"/>
              <w:rPr>
                <w:rFonts w:hint="eastAsia" w:ascii="Times New Roman" w:hAnsi="Times New Roman" w:eastAsia="宋体" w:cs="Times New Roman"/>
                <w:color w:val="auto"/>
                <w:kern w:val="2"/>
                <w:sz w:val="21"/>
                <w:szCs w:val="24"/>
                <w:highlight w:val="none"/>
                <w:lang w:val="en-US" w:eastAsia="zh-CN" w:bidi="ar-SA"/>
              </w:rPr>
            </w:pPr>
            <w:r>
              <w:rPr>
                <w:rFonts w:hint="eastAsia"/>
                <w:b/>
                <w:bCs/>
                <w:color w:val="auto"/>
                <w:highlight w:val="none"/>
                <w:lang w:val="en-US" w:eastAsia="zh-CN"/>
              </w:rPr>
              <w:t>注：未达到最“差”档要求不得分</w:t>
            </w:r>
            <w:r>
              <w:rPr>
                <w:rFonts w:hint="eastAsia"/>
                <w:b/>
                <w:bCs/>
                <w:color w:val="auto"/>
                <w:highlight w:val="none"/>
                <w:lang w:eastAsia="zh-CN"/>
              </w:rPr>
              <w:t>。</w:t>
            </w:r>
            <w:r>
              <w:rPr>
                <w:color w:val="auto"/>
                <w:highlight w:val="none"/>
              </w:rPr>
              <w:t xml:space="preserve"> </w:t>
            </w:r>
          </w:p>
        </w:tc>
        <w:tc>
          <w:tcPr>
            <w:tcW w:w="836" w:type="dxa"/>
            <w:noWrap w:val="0"/>
            <w:vAlign w:val="center"/>
          </w:tcPr>
          <w:p w14:paraId="429964A2">
            <w:pPr>
              <w:keepNext w:val="0"/>
              <w:keepLines w:val="0"/>
              <w:pageBreakBefore w:val="0"/>
              <w:kinsoku/>
              <w:wordWrap/>
              <w:overflowPunct/>
              <w:topLinePunct w:val="0"/>
              <w:bidi w:val="0"/>
              <w:snapToGrid/>
              <w:spacing w:line="360" w:lineRule="exact"/>
              <w:jc w:val="center"/>
              <w:rPr>
                <w:rFonts w:hint="eastAsia" w:ascii="Times New Roman" w:hAnsi="Times New Roman" w:eastAsia="宋体" w:cs="Times New Roman"/>
                <w:color w:val="auto"/>
                <w:kern w:val="2"/>
                <w:sz w:val="21"/>
                <w:szCs w:val="24"/>
                <w:highlight w:val="none"/>
                <w:lang w:val="en-US" w:eastAsia="zh-CN" w:bidi="ar-SA"/>
              </w:rPr>
            </w:pPr>
            <w:r>
              <w:rPr>
                <w:rFonts w:hint="eastAsia" w:ascii="宋体" w:hAnsi="宋体" w:cs="Tahoma"/>
                <w:color w:val="auto"/>
                <w:kern w:val="0"/>
                <w:szCs w:val="21"/>
                <w:highlight w:val="none"/>
                <w:lang w:val="en-US" w:eastAsia="zh-CN"/>
              </w:rPr>
              <w:t>8</w:t>
            </w:r>
            <w:r>
              <w:rPr>
                <w:rFonts w:hint="eastAsia" w:ascii="宋体" w:hAnsi="宋体" w:cs="Tahoma"/>
                <w:color w:val="auto"/>
                <w:kern w:val="0"/>
                <w:szCs w:val="21"/>
                <w:highlight w:val="none"/>
              </w:rPr>
              <w:t>分</w:t>
            </w:r>
          </w:p>
        </w:tc>
      </w:tr>
      <w:tr w14:paraId="0DA18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1" w:type="dxa"/>
            <w:vMerge w:val="continue"/>
            <w:noWrap w:val="0"/>
            <w:vAlign w:val="center"/>
          </w:tcPr>
          <w:p w14:paraId="7C3E028A">
            <w:pPr>
              <w:keepNext w:val="0"/>
              <w:keepLines w:val="0"/>
              <w:pageBreakBefore w:val="0"/>
              <w:kinsoku/>
              <w:wordWrap/>
              <w:overflowPunct/>
              <w:topLinePunct w:val="0"/>
              <w:bidi w:val="0"/>
              <w:adjustRightInd w:val="0"/>
              <w:snapToGrid/>
              <w:spacing w:line="360" w:lineRule="exact"/>
              <w:ind w:left="-105" w:leftChars="-50" w:right="-105" w:rightChars="-50"/>
              <w:jc w:val="center"/>
              <w:textAlignment w:val="baseline"/>
              <w:rPr>
                <w:rFonts w:hint="eastAsia" w:ascii="宋体" w:hAnsi="宋体"/>
                <w:bCs/>
                <w:color w:val="auto"/>
                <w:kern w:val="0"/>
                <w:szCs w:val="21"/>
                <w:highlight w:val="none"/>
              </w:rPr>
            </w:pPr>
          </w:p>
        </w:tc>
        <w:tc>
          <w:tcPr>
            <w:tcW w:w="523" w:type="dxa"/>
            <w:vMerge w:val="continue"/>
            <w:noWrap w:val="0"/>
            <w:vAlign w:val="center"/>
          </w:tcPr>
          <w:p w14:paraId="13D00781">
            <w:pPr>
              <w:keepNext w:val="0"/>
              <w:keepLines w:val="0"/>
              <w:pageBreakBefore w:val="0"/>
              <w:kinsoku/>
              <w:wordWrap/>
              <w:overflowPunct/>
              <w:topLinePunct w:val="0"/>
              <w:bidi w:val="0"/>
              <w:snapToGrid/>
              <w:spacing w:line="360" w:lineRule="exact"/>
              <w:jc w:val="left"/>
              <w:rPr>
                <w:rFonts w:hint="eastAsia" w:cs="宋体"/>
                <w:color w:val="auto"/>
                <w:highlight w:val="none"/>
              </w:rPr>
            </w:pPr>
          </w:p>
        </w:tc>
        <w:tc>
          <w:tcPr>
            <w:tcW w:w="1024" w:type="dxa"/>
            <w:noWrap w:val="0"/>
            <w:vAlign w:val="center"/>
          </w:tcPr>
          <w:p w14:paraId="40772E41">
            <w:pPr>
              <w:keepNext w:val="0"/>
              <w:keepLines w:val="0"/>
              <w:pageBreakBefore w:val="0"/>
              <w:kinsoku/>
              <w:wordWrap/>
              <w:overflowPunct/>
              <w:topLinePunct w:val="0"/>
              <w:bidi w:val="0"/>
              <w:snapToGrid/>
              <w:spacing w:line="360" w:lineRule="exact"/>
              <w:jc w:val="left"/>
              <w:rPr>
                <w:rFonts w:ascii="Times New Roman" w:hAnsi="Times New Roman" w:eastAsia="宋体" w:cs="Times New Roman"/>
                <w:color w:val="auto"/>
                <w:kern w:val="2"/>
                <w:sz w:val="21"/>
                <w:szCs w:val="24"/>
                <w:highlight w:val="none"/>
                <w:lang w:val="en-US" w:eastAsia="zh-CN" w:bidi="ar-SA"/>
              </w:rPr>
            </w:pPr>
            <w:r>
              <w:rPr>
                <w:color w:val="auto"/>
                <w:highlight w:val="none"/>
              </w:rPr>
              <w:t>确保文明施工的技术组织措施（</w:t>
            </w:r>
            <w:r>
              <w:rPr>
                <w:rFonts w:hint="eastAsia"/>
                <w:color w:val="auto"/>
                <w:highlight w:val="none"/>
                <w:lang w:val="en-US" w:eastAsia="zh-CN"/>
              </w:rPr>
              <w:t>5</w:t>
            </w:r>
            <w:r>
              <w:rPr>
                <w:color w:val="auto"/>
                <w:highlight w:val="none"/>
              </w:rPr>
              <w:t>分）</w:t>
            </w:r>
          </w:p>
        </w:tc>
        <w:tc>
          <w:tcPr>
            <w:tcW w:w="7055" w:type="dxa"/>
            <w:noWrap w:val="0"/>
            <w:vAlign w:val="center"/>
          </w:tcPr>
          <w:p w14:paraId="44B3E6D3">
            <w:pPr>
              <w:keepNext w:val="0"/>
              <w:keepLines w:val="0"/>
              <w:pageBreakBefore w:val="0"/>
              <w:kinsoku/>
              <w:wordWrap/>
              <w:overflowPunct/>
              <w:topLinePunct w:val="0"/>
              <w:bidi w:val="0"/>
              <w:snapToGrid/>
              <w:spacing w:line="360" w:lineRule="exact"/>
              <w:jc w:val="left"/>
              <w:rPr>
                <w:rFonts w:hint="eastAsia"/>
                <w:b/>
                <w:bCs/>
                <w:color w:val="auto"/>
                <w:highlight w:val="none"/>
                <w:lang w:val="en-US" w:eastAsia="zh-CN"/>
              </w:rPr>
            </w:pPr>
            <w:r>
              <w:rPr>
                <w:rFonts w:hint="eastAsia"/>
                <w:b/>
                <w:bCs/>
                <w:color w:val="auto"/>
                <w:highlight w:val="none"/>
                <w:lang w:val="en-US" w:eastAsia="zh-CN"/>
              </w:rPr>
              <w:t>差（1分）：</w:t>
            </w:r>
            <w:r>
              <w:rPr>
                <w:rFonts w:hint="eastAsia"/>
                <w:b w:val="0"/>
                <w:bCs w:val="0"/>
                <w:color w:val="auto"/>
                <w:highlight w:val="none"/>
                <w:lang w:val="en-US" w:eastAsia="zh-CN"/>
              </w:rPr>
              <w:t>未提供现场文明施工及环境保护方案，或方案内容较为单薄，仅简单罗列常规要求；未明确达到相关标准及导则的具体措施，缺乏实现现场文明施工目标的承诺。</w:t>
            </w:r>
          </w:p>
          <w:p w14:paraId="43009764">
            <w:pPr>
              <w:keepNext w:val="0"/>
              <w:keepLines w:val="0"/>
              <w:pageBreakBefore w:val="0"/>
              <w:kinsoku/>
              <w:wordWrap/>
              <w:overflowPunct/>
              <w:topLinePunct w:val="0"/>
              <w:bidi w:val="0"/>
              <w:snapToGrid/>
              <w:spacing w:line="360" w:lineRule="exact"/>
              <w:jc w:val="left"/>
              <w:rPr>
                <w:color w:val="auto"/>
                <w:highlight w:val="none"/>
              </w:rPr>
            </w:pPr>
            <w:r>
              <w:rPr>
                <w:rFonts w:hint="eastAsia"/>
                <w:b/>
                <w:bCs/>
                <w:color w:val="auto"/>
                <w:highlight w:val="none"/>
                <w:lang w:val="en-US" w:eastAsia="zh-CN"/>
              </w:rPr>
              <w:t>一般（2分）：</w:t>
            </w:r>
            <w:r>
              <w:rPr>
                <w:color w:val="auto"/>
                <w:highlight w:val="none"/>
              </w:rPr>
              <w:t xml:space="preserve">有现场文明施工、环境保护措施，且措施内容达到《建筑施工安全生产检查标准》（JGJ59-2011）合格标准并符合《广西壮族自治区建筑工程文明施工导则》要求。各项措施一般。有具体实现现场文明施工目标的承诺。 </w:t>
            </w:r>
          </w:p>
          <w:p w14:paraId="603D20C7">
            <w:pPr>
              <w:keepNext w:val="0"/>
              <w:keepLines w:val="0"/>
              <w:pageBreakBefore w:val="0"/>
              <w:kinsoku/>
              <w:wordWrap/>
              <w:overflowPunct/>
              <w:topLinePunct w:val="0"/>
              <w:bidi w:val="0"/>
              <w:snapToGrid/>
              <w:spacing w:line="360" w:lineRule="exact"/>
              <w:jc w:val="left"/>
              <w:rPr>
                <w:color w:val="auto"/>
                <w:highlight w:val="none"/>
              </w:rPr>
            </w:pPr>
            <w:r>
              <w:rPr>
                <w:rFonts w:hint="eastAsia"/>
                <w:b/>
                <w:bCs/>
                <w:color w:val="auto"/>
                <w:highlight w:val="none"/>
                <w:lang w:val="en-US" w:eastAsia="zh-CN"/>
              </w:rPr>
              <w:t>良（3分）：</w:t>
            </w:r>
            <w:r>
              <w:rPr>
                <w:color w:val="auto"/>
                <w:highlight w:val="none"/>
              </w:rPr>
              <w:t>针对本工程项目特点，有现场文明施工、环境保护措施，</w:t>
            </w:r>
            <w:r>
              <w:rPr>
                <w:rFonts w:hint="eastAsia"/>
                <w:color w:val="auto"/>
                <w:highlight w:val="none"/>
                <w:lang w:eastAsia="zh-CN"/>
              </w:rPr>
              <w:t>有除尘、降噪管理措施，</w:t>
            </w:r>
            <w:r>
              <w:rPr>
                <w:color w:val="auto"/>
                <w:highlight w:val="none"/>
              </w:rPr>
              <w:t xml:space="preserve">且措施内容达到《建筑施工安全生产检查标准》（JGJ59-2011）合格标准并符合《广西壮族自治区建筑工程文明施工导则》要求。各项措施一般。有具体实现现场文明施工目标的承诺。 </w:t>
            </w:r>
          </w:p>
          <w:p w14:paraId="028FF846">
            <w:pPr>
              <w:keepNext w:val="0"/>
              <w:keepLines w:val="0"/>
              <w:pageBreakBefore w:val="0"/>
              <w:kinsoku/>
              <w:wordWrap/>
              <w:overflowPunct/>
              <w:topLinePunct w:val="0"/>
              <w:bidi w:val="0"/>
              <w:snapToGrid/>
              <w:spacing w:line="360" w:lineRule="exact"/>
              <w:jc w:val="left"/>
              <w:rPr>
                <w:color w:val="auto"/>
                <w:highlight w:val="none"/>
              </w:rPr>
            </w:pPr>
            <w:r>
              <w:rPr>
                <w:rFonts w:hint="eastAsia"/>
                <w:b/>
                <w:bCs/>
                <w:color w:val="auto"/>
                <w:highlight w:val="none"/>
                <w:lang w:val="en-US" w:eastAsia="zh-CN"/>
              </w:rPr>
              <w:t>优（5分）：</w:t>
            </w:r>
            <w:r>
              <w:rPr>
                <w:color w:val="auto"/>
                <w:highlight w:val="none"/>
              </w:rPr>
              <w:t>针对本工程项目特点，有现场文明施工、环境保护措施</w:t>
            </w:r>
            <w:r>
              <w:rPr>
                <w:rFonts w:hint="eastAsia"/>
                <w:color w:val="auto"/>
                <w:highlight w:val="none"/>
                <w:lang w:eastAsia="zh-CN"/>
              </w:rPr>
              <w:t>，有非常管用和齐全完善的除尘、降噪等具体措施</w:t>
            </w:r>
            <w:r>
              <w:rPr>
                <w:color w:val="auto"/>
                <w:highlight w:val="none"/>
              </w:rPr>
              <w:t xml:space="preserve">，且措施内容达到《建筑施工安全生产检查标准》（JGJ59-2011）合格标准并符合《广西壮族自治区建筑工程文明施工导则》要求。各项措施周全、具体、有效。有具体实现现场文明施工目标的承诺。 </w:t>
            </w:r>
          </w:p>
          <w:p w14:paraId="5D257D08">
            <w:pPr>
              <w:keepNext w:val="0"/>
              <w:keepLines w:val="0"/>
              <w:pageBreakBefore w:val="0"/>
              <w:kinsoku/>
              <w:wordWrap/>
              <w:overflowPunct/>
              <w:topLinePunct w:val="0"/>
              <w:bidi w:val="0"/>
              <w:snapToGrid/>
              <w:spacing w:line="360" w:lineRule="exact"/>
              <w:jc w:val="left"/>
              <w:rPr>
                <w:rFonts w:hint="eastAsia"/>
                <w:color w:val="auto"/>
                <w:highlight w:val="none"/>
                <w:lang w:val="en-US" w:eastAsia="zh-CN"/>
              </w:rPr>
            </w:pPr>
            <w:r>
              <w:rPr>
                <w:rFonts w:hint="eastAsia"/>
                <w:b/>
                <w:bCs/>
                <w:color w:val="auto"/>
                <w:highlight w:val="none"/>
                <w:lang w:val="en-US" w:eastAsia="zh-CN"/>
              </w:rPr>
              <w:t>注：未达到最“差”档要求不得分。</w:t>
            </w:r>
          </w:p>
        </w:tc>
        <w:tc>
          <w:tcPr>
            <w:tcW w:w="836" w:type="dxa"/>
            <w:noWrap w:val="0"/>
            <w:vAlign w:val="center"/>
          </w:tcPr>
          <w:p w14:paraId="541C21AB">
            <w:pPr>
              <w:keepNext w:val="0"/>
              <w:keepLines w:val="0"/>
              <w:pageBreakBefore w:val="0"/>
              <w:kinsoku/>
              <w:wordWrap/>
              <w:overflowPunct/>
              <w:topLinePunct w:val="0"/>
              <w:bidi w:val="0"/>
              <w:snapToGrid/>
              <w:spacing w:line="360" w:lineRule="exact"/>
              <w:jc w:val="center"/>
              <w:rPr>
                <w:rFonts w:hint="eastAsia" w:ascii="Times New Roman" w:hAnsi="Times New Roman" w:eastAsia="宋体" w:cs="Times New Roman"/>
                <w:color w:val="auto"/>
                <w:kern w:val="2"/>
                <w:sz w:val="21"/>
                <w:szCs w:val="24"/>
                <w:highlight w:val="none"/>
                <w:lang w:val="en-US" w:eastAsia="zh-CN" w:bidi="ar-SA"/>
              </w:rPr>
            </w:pPr>
            <w:r>
              <w:rPr>
                <w:rFonts w:hint="eastAsia" w:ascii="宋体" w:hAnsi="宋体" w:cs="Tahoma"/>
                <w:color w:val="auto"/>
                <w:kern w:val="0"/>
                <w:szCs w:val="21"/>
                <w:highlight w:val="none"/>
                <w:lang w:val="en-US" w:eastAsia="zh-CN"/>
              </w:rPr>
              <w:t>5</w:t>
            </w:r>
            <w:r>
              <w:rPr>
                <w:rFonts w:hint="eastAsia" w:ascii="宋体" w:hAnsi="宋体" w:cs="Tahoma"/>
                <w:color w:val="auto"/>
                <w:kern w:val="0"/>
                <w:szCs w:val="21"/>
                <w:highlight w:val="none"/>
              </w:rPr>
              <w:t>分</w:t>
            </w:r>
          </w:p>
        </w:tc>
      </w:tr>
      <w:tr w14:paraId="43391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1" w:type="dxa"/>
            <w:vMerge w:val="continue"/>
            <w:noWrap w:val="0"/>
            <w:vAlign w:val="center"/>
          </w:tcPr>
          <w:p w14:paraId="64EA4B91">
            <w:pPr>
              <w:keepNext w:val="0"/>
              <w:keepLines w:val="0"/>
              <w:pageBreakBefore w:val="0"/>
              <w:kinsoku/>
              <w:wordWrap/>
              <w:overflowPunct/>
              <w:topLinePunct w:val="0"/>
              <w:bidi w:val="0"/>
              <w:adjustRightInd w:val="0"/>
              <w:snapToGrid/>
              <w:spacing w:line="360" w:lineRule="exact"/>
              <w:ind w:left="-105" w:leftChars="-50" w:right="-105" w:rightChars="-50"/>
              <w:jc w:val="center"/>
              <w:textAlignment w:val="baseline"/>
              <w:rPr>
                <w:rFonts w:hint="eastAsia" w:ascii="宋体" w:hAnsi="宋体"/>
                <w:bCs/>
                <w:color w:val="auto"/>
                <w:kern w:val="0"/>
                <w:szCs w:val="21"/>
                <w:highlight w:val="none"/>
              </w:rPr>
            </w:pPr>
          </w:p>
        </w:tc>
        <w:tc>
          <w:tcPr>
            <w:tcW w:w="523" w:type="dxa"/>
            <w:vMerge w:val="continue"/>
            <w:noWrap w:val="0"/>
            <w:vAlign w:val="center"/>
          </w:tcPr>
          <w:p w14:paraId="2AF08485">
            <w:pPr>
              <w:keepNext w:val="0"/>
              <w:keepLines w:val="0"/>
              <w:pageBreakBefore w:val="0"/>
              <w:kinsoku/>
              <w:wordWrap/>
              <w:overflowPunct/>
              <w:topLinePunct w:val="0"/>
              <w:bidi w:val="0"/>
              <w:adjustRightInd w:val="0"/>
              <w:snapToGrid/>
              <w:spacing w:line="360" w:lineRule="exact"/>
              <w:jc w:val="center"/>
              <w:textAlignment w:val="baseline"/>
              <w:rPr>
                <w:rFonts w:hint="eastAsia" w:ascii="宋体" w:hAnsi="宋体"/>
                <w:bCs/>
                <w:color w:val="auto"/>
                <w:kern w:val="0"/>
                <w:szCs w:val="21"/>
                <w:highlight w:val="none"/>
              </w:rPr>
            </w:pPr>
          </w:p>
        </w:tc>
        <w:tc>
          <w:tcPr>
            <w:tcW w:w="1024" w:type="dxa"/>
            <w:noWrap w:val="0"/>
            <w:vAlign w:val="center"/>
          </w:tcPr>
          <w:p w14:paraId="0C70E56B">
            <w:pPr>
              <w:keepNext w:val="0"/>
              <w:keepLines w:val="0"/>
              <w:pageBreakBefore w:val="0"/>
              <w:kinsoku/>
              <w:wordWrap/>
              <w:overflowPunct/>
              <w:topLinePunct w:val="0"/>
              <w:bidi w:val="0"/>
              <w:snapToGrid/>
              <w:spacing w:line="360" w:lineRule="exact"/>
              <w:jc w:val="left"/>
              <w:rPr>
                <w:color w:val="auto"/>
                <w:highlight w:val="none"/>
              </w:rPr>
            </w:pPr>
            <w:r>
              <w:rPr>
                <w:color w:val="auto"/>
                <w:highlight w:val="none"/>
              </w:rPr>
              <w:t>拟投入的主要物资计划（</w:t>
            </w:r>
            <w:r>
              <w:rPr>
                <w:rFonts w:hint="eastAsia"/>
                <w:color w:val="auto"/>
                <w:highlight w:val="none"/>
                <w:lang w:val="en-US" w:eastAsia="zh-CN"/>
              </w:rPr>
              <w:t>5</w:t>
            </w:r>
            <w:r>
              <w:rPr>
                <w:color w:val="auto"/>
                <w:highlight w:val="none"/>
              </w:rPr>
              <w:t>分）</w:t>
            </w:r>
          </w:p>
        </w:tc>
        <w:tc>
          <w:tcPr>
            <w:tcW w:w="7055" w:type="dxa"/>
            <w:noWrap w:val="0"/>
            <w:vAlign w:val="center"/>
          </w:tcPr>
          <w:p w14:paraId="0F02AFBE">
            <w:pPr>
              <w:keepNext w:val="0"/>
              <w:keepLines w:val="0"/>
              <w:pageBreakBefore w:val="0"/>
              <w:kinsoku/>
              <w:wordWrap/>
              <w:overflowPunct/>
              <w:topLinePunct w:val="0"/>
              <w:bidi w:val="0"/>
              <w:snapToGrid/>
              <w:spacing w:line="360" w:lineRule="exact"/>
              <w:jc w:val="left"/>
              <w:rPr>
                <w:rFonts w:hint="eastAsia"/>
                <w:b/>
                <w:bCs/>
                <w:color w:val="auto"/>
                <w:highlight w:val="none"/>
                <w:lang w:val="en-US" w:eastAsia="zh-CN"/>
              </w:rPr>
            </w:pPr>
            <w:r>
              <w:rPr>
                <w:rFonts w:hint="eastAsia"/>
                <w:b/>
                <w:bCs/>
                <w:color w:val="auto"/>
                <w:highlight w:val="none"/>
                <w:lang w:val="en-US" w:eastAsia="zh-CN"/>
              </w:rPr>
              <w:t>差（1分）：</w:t>
            </w:r>
            <w:r>
              <w:rPr>
                <w:rFonts w:hint="eastAsia"/>
                <w:b w:val="0"/>
                <w:bCs w:val="0"/>
                <w:color w:val="auto"/>
                <w:highlight w:val="none"/>
                <w:lang w:val="en-US" w:eastAsia="zh-CN"/>
              </w:rPr>
              <w:t>未提供材料供应计划，或仅简单罗列了部分材料名称，未明确数量、选型及进场时间节点。</w:t>
            </w:r>
          </w:p>
          <w:p w14:paraId="5D96B499">
            <w:pPr>
              <w:keepNext w:val="0"/>
              <w:keepLines w:val="0"/>
              <w:pageBreakBefore w:val="0"/>
              <w:kinsoku/>
              <w:wordWrap/>
              <w:overflowPunct/>
              <w:topLinePunct w:val="0"/>
              <w:bidi w:val="0"/>
              <w:snapToGrid/>
              <w:spacing w:line="360" w:lineRule="exact"/>
              <w:jc w:val="left"/>
              <w:rPr>
                <w:color w:val="auto"/>
                <w:highlight w:val="none"/>
              </w:rPr>
            </w:pPr>
            <w:r>
              <w:rPr>
                <w:rFonts w:hint="eastAsia"/>
                <w:b/>
                <w:bCs/>
                <w:color w:val="auto"/>
                <w:highlight w:val="none"/>
                <w:lang w:val="en-US" w:eastAsia="zh-CN"/>
              </w:rPr>
              <w:t>一般（2分）：</w:t>
            </w:r>
            <w:r>
              <w:rPr>
                <w:rFonts w:hint="eastAsia"/>
                <w:b w:val="0"/>
                <w:bCs w:val="0"/>
                <w:color w:val="auto"/>
                <w:highlight w:val="none"/>
                <w:lang w:val="en-US" w:eastAsia="zh-CN"/>
              </w:rPr>
              <w:t>提供了主要施工材料清单，明确了材料的数量、选型及预估的进场时间节点。计划基本能满足整体施工进度的需求。</w:t>
            </w:r>
            <w:r>
              <w:rPr>
                <w:color w:val="auto"/>
                <w:highlight w:val="none"/>
              </w:rPr>
              <w:t xml:space="preserve"> </w:t>
            </w:r>
          </w:p>
          <w:p w14:paraId="0484050C">
            <w:pPr>
              <w:keepNext w:val="0"/>
              <w:keepLines w:val="0"/>
              <w:pageBreakBefore w:val="0"/>
              <w:kinsoku/>
              <w:wordWrap/>
              <w:overflowPunct/>
              <w:topLinePunct w:val="0"/>
              <w:bidi w:val="0"/>
              <w:snapToGrid/>
              <w:spacing w:line="360" w:lineRule="exact"/>
              <w:jc w:val="left"/>
              <w:rPr>
                <w:color w:val="auto"/>
                <w:highlight w:val="none"/>
              </w:rPr>
            </w:pPr>
            <w:r>
              <w:rPr>
                <w:rFonts w:hint="eastAsia"/>
                <w:b/>
                <w:bCs/>
                <w:color w:val="auto"/>
                <w:highlight w:val="none"/>
                <w:lang w:val="en-US" w:eastAsia="zh-CN"/>
              </w:rPr>
              <w:t>良（3分）：</w:t>
            </w:r>
            <w:r>
              <w:rPr>
                <w:rFonts w:hint="eastAsia"/>
                <w:b w:val="0"/>
                <w:bCs w:val="0"/>
                <w:color w:val="auto"/>
                <w:highlight w:val="none"/>
                <w:lang w:val="en-US" w:eastAsia="zh-CN"/>
              </w:rPr>
              <w:t>包含上一档全部内容。材料组织计划详细，材料清单完整（包含主材、辅材及周转材料），其数量、选型配置、进场批次及时间安排与施工进度计划中的关键节点相匹配，逻辑合理，能够保障施工的连续进行。</w:t>
            </w:r>
            <w:r>
              <w:rPr>
                <w:color w:val="auto"/>
                <w:highlight w:val="none"/>
              </w:rPr>
              <w:t xml:space="preserve"> </w:t>
            </w:r>
          </w:p>
          <w:p w14:paraId="77F4FCCF">
            <w:pPr>
              <w:keepNext w:val="0"/>
              <w:keepLines w:val="0"/>
              <w:pageBreakBefore w:val="0"/>
              <w:kinsoku/>
              <w:wordWrap/>
              <w:overflowPunct/>
              <w:topLinePunct w:val="0"/>
              <w:bidi w:val="0"/>
              <w:snapToGrid/>
              <w:spacing w:line="360" w:lineRule="exact"/>
              <w:jc w:val="left"/>
              <w:rPr>
                <w:color w:val="auto"/>
                <w:highlight w:val="none"/>
              </w:rPr>
            </w:pPr>
            <w:r>
              <w:rPr>
                <w:rFonts w:hint="eastAsia"/>
                <w:b/>
                <w:bCs/>
                <w:color w:val="auto"/>
                <w:highlight w:val="none"/>
                <w:lang w:val="en-US" w:eastAsia="zh-CN"/>
              </w:rPr>
              <w:t>优（5分）：</w:t>
            </w:r>
            <w:r>
              <w:rPr>
                <w:rFonts w:hint="eastAsia"/>
                <w:b w:val="0"/>
                <w:bCs w:val="0"/>
                <w:color w:val="auto"/>
                <w:highlight w:val="none"/>
                <w:lang w:val="en-US" w:eastAsia="zh-CN"/>
              </w:rPr>
              <w:t>包含上一档全部内容。计划特别周密，对于定制加工、长周期采购或关键路径上的材料（如特殊装饰材料），提供了专项采购与加工周期分析及备用/替代方案。进场计划精确到周或天，并与场地存储条件、垂直运输能力相协调，实现了对材料库存的动态优化管理。</w:t>
            </w:r>
            <w:r>
              <w:rPr>
                <w:color w:val="auto"/>
                <w:highlight w:val="none"/>
              </w:rPr>
              <w:t xml:space="preserve"> </w:t>
            </w:r>
          </w:p>
          <w:p w14:paraId="6F016191">
            <w:pPr>
              <w:keepNext w:val="0"/>
              <w:keepLines w:val="0"/>
              <w:pageBreakBefore w:val="0"/>
              <w:kinsoku/>
              <w:wordWrap/>
              <w:overflowPunct/>
              <w:topLinePunct w:val="0"/>
              <w:bidi w:val="0"/>
              <w:snapToGrid/>
              <w:spacing w:line="360" w:lineRule="exact"/>
              <w:jc w:val="left"/>
              <w:rPr>
                <w:color w:val="auto"/>
                <w:highlight w:val="none"/>
              </w:rPr>
            </w:pPr>
            <w:r>
              <w:rPr>
                <w:rFonts w:hint="eastAsia"/>
                <w:b/>
                <w:bCs/>
                <w:color w:val="auto"/>
                <w:highlight w:val="none"/>
                <w:lang w:val="en-US" w:eastAsia="zh-CN"/>
              </w:rPr>
              <w:t>注：未达到最“差”档要求不得分。</w:t>
            </w:r>
          </w:p>
        </w:tc>
        <w:tc>
          <w:tcPr>
            <w:tcW w:w="836" w:type="dxa"/>
            <w:noWrap w:val="0"/>
            <w:vAlign w:val="center"/>
          </w:tcPr>
          <w:p w14:paraId="7627650E">
            <w:pPr>
              <w:keepNext w:val="0"/>
              <w:keepLines w:val="0"/>
              <w:pageBreakBefore w:val="0"/>
              <w:kinsoku/>
              <w:wordWrap/>
              <w:overflowPunct/>
              <w:topLinePunct w:val="0"/>
              <w:bidi w:val="0"/>
              <w:snapToGrid/>
              <w:spacing w:line="360" w:lineRule="exact"/>
              <w:jc w:val="center"/>
              <w:rPr>
                <w:color w:val="auto"/>
                <w:highlight w:val="none"/>
              </w:rPr>
            </w:pPr>
            <w:r>
              <w:rPr>
                <w:rFonts w:hint="eastAsia" w:ascii="宋体" w:hAnsi="宋体" w:cs="Tahoma"/>
                <w:color w:val="auto"/>
                <w:kern w:val="0"/>
                <w:szCs w:val="21"/>
                <w:highlight w:val="none"/>
              </w:rPr>
              <w:t>5分</w:t>
            </w:r>
          </w:p>
        </w:tc>
      </w:tr>
      <w:tr w14:paraId="28FFE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1" w:type="dxa"/>
            <w:vMerge w:val="continue"/>
            <w:noWrap w:val="0"/>
            <w:vAlign w:val="center"/>
          </w:tcPr>
          <w:p w14:paraId="5394297C">
            <w:pPr>
              <w:keepNext w:val="0"/>
              <w:keepLines w:val="0"/>
              <w:pageBreakBefore w:val="0"/>
              <w:kinsoku/>
              <w:wordWrap/>
              <w:overflowPunct/>
              <w:topLinePunct w:val="0"/>
              <w:bidi w:val="0"/>
              <w:adjustRightInd w:val="0"/>
              <w:snapToGrid/>
              <w:spacing w:line="360" w:lineRule="exact"/>
              <w:ind w:left="-105" w:leftChars="-50" w:right="-105" w:rightChars="-50"/>
              <w:jc w:val="center"/>
              <w:textAlignment w:val="baseline"/>
              <w:rPr>
                <w:rFonts w:hint="eastAsia" w:ascii="宋体" w:hAnsi="宋体"/>
                <w:bCs/>
                <w:color w:val="auto"/>
                <w:kern w:val="0"/>
                <w:szCs w:val="21"/>
                <w:highlight w:val="none"/>
              </w:rPr>
            </w:pPr>
          </w:p>
        </w:tc>
        <w:tc>
          <w:tcPr>
            <w:tcW w:w="523" w:type="dxa"/>
            <w:vMerge w:val="continue"/>
            <w:noWrap w:val="0"/>
            <w:vAlign w:val="center"/>
          </w:tcPr>
          <w:p w14:paraId="7DA4C1CE">
            <w:pPr>
              <w:keepNext w:val="0"/>
              <w:keepLines w:val="0"/>
              <w:pageBreakBefore w:val="0"/>
              <w:kinsoku/>
              <w:wordWrap/>
              <w:overflowPunct/>
              <w:topLinePunct w:val="0"/>
              <w:bidi w:val="0"/>
              <w:adjustRightInd w:val="0"/>
              <w:snapToGrid/>
              <w:spacing w:line="360" w:lineRule="exact"/>
              <w:jc w:val="center"/>
              <w:textAlignment w:val="baseline"/>
              <w:rPr>
                <w:rFonts w:hint="eastAsia" w:ascii="宋体" w:hAnsi="宋体"/>
                <w:bCs/>
                <w:color w:val="auto"/>
                <w:kern w:val="0"/>
                <w:szCs w:val="21"/>
                <w:highlight w:val="none"/>
              </w:rPr>
            </w:pPr>
          </w:p>
        </w:tc>
        <w:tc>
          <w:tcPr>
            <w:tcW w:w="1024" w:type="dxa"/>
            <w:noWrap w:val="0"/>
            <w:vAlign w:val="center"/>
          </w:tcPr>
          <w:p w14:paraId="4810F935">
            <w:pPr>
              <w:keepNext w:val="0"/>
              <w:keepLines w:val="0"/>
              <w:pageBreakBefore w:val="0"/>
              <w:kinsoku/>
              <w:wordWrap/>
              <w:overflowPunct/>
              <w:topLinePunct w:val="0"/>
              <w:bidi w:val="0"/>
              <w:snapToGrid/>
              <w:spacing w:line="360" w:lineRule="exact"/>
              <w:jc w:val="left"/>
              <w:rPr>
                <w:color w:val="auto"/>
                <w:highlight w:val="none"/>
              </w:rPr>
            </w:pPr>
            <w:r>
              <w:rPr>
                <w:color w:val="auto"/>
                <w:highlight w:val="none"/>
              </w:rPr>
              <w:t>拟投入的主要施工机械、设备计划（</w:t>
            </w:r>
            <w:r>
              <w:rPr>
                <w:rFonts w:hint="eastAsia"/>
                <w:color w:val="auto"/>
                <w:highlight w:val="none"/>
                <w:lang w:val="en-US" w:eastAsia="zh-CN"/>
              </w:rPr>
              <w:t>5</w:t>
            </w:r>
            <w:r>
              <w:rPr>
                <w:color w:val="auto"/>
                <w:highlight w:val="none"/>
              </w:rPr>
              <w:t>分）</w:t>
            </w:r>
          </w:p>
        </w:tc>
        <w:tc>
          <w:tcPr>
            <w:tcW w:w="7055" w:type="dxa"/>
            <w:noWrap w:val="0"/>
            <w:vAlign w:val="center"/>
          </w:tcPr>
          <w:p w14:paraId="44D8BA45">
            <w:pPr>
              <w:keepNext w:val="0"/>
              <w:keepLines w:val="0"/>
              <w:pageBreakBefore w:val="0"/>
              <w:kinsoku/>
              <w:wordWrap/>
              <w:overflowPunct/>
              <w:topLinePunct w:val="0"/>
              <w:bidi w:val="0"/>
              <w:snapToGrid/>
              <w:spacing w:line="360" w:lineRule="exact"/>
              <w:jc w:val="left"/>
              <w:rPr>
                <w:rFonts w:hint="eastAsia"/>
                <w:b/>
                <w:bCs/>
                <w:color w:val="auto"/>
                <w:highlight w:val="none"/>
                <w:lang w:val="en-US" w:eastAsia="zh-CN"/>
              </w:rPr>
            </w:pPr>
            <w:r>
              <w:rPr>
                <w:rFonts w:hint="eastAsia"/>
                <w:b/>
                <w:bCs/>
                <w:color w:val="auto"/>
                <w:highlight w:val="none"/>
                <w:lang w:val="en-US" w:eastAsia="zh-CN"/>
              </w:rPr>
              <w:t>差（1分）：</w:t>
            </w:r>
            <w:r>
              <w:rPr>
                <w:rFonts w:hint="eastAsia"/>
                <w:b w:val="0"/>
                <w:bCs w:val="0"/>
                <w:color w:val="auto"/>
                <w:highlight w:val="none"/>
                <w:lang w:val="en-US" w:eastAsia="zh-CN"/>
              </w:rPr>
              <w:t>未提供施工机械设备清单，或仅简单罗列了部分设备名称，未明确关键设备的型号、数量和计划进场时间。</w:t>
            </w:r>
          </w:p>
          <w:p w14:paraId="34DC43E9">
            <w:pPr>
              <w:keepNext w:val="0"/>
              <w:keepLines w:val="0"/>
              <w:pageBreakBefore w:val="0"/>
              <w:kinsoku/>
              <w:wordWrap/>
              <w:overflowPunct/>
              <w:topLinePunct w:val="0"/>
              <w:bidi w:val="0"/>
              <w:snapToGrid/>
              <w:spacing w:line="360" w:lineRule="exact"/>
              <w:jc w:val="left"/>
              <w:rPr>
                <w:color w:val="auto"/>
                <w:highlight w:val="none"/>
              </w:rPr>
            </w:pPr>
            <w:r>
              <w:rPr>
                <w:rFonts w:hint="eastAsia"/>
                <w:b/>
                <w:bCs/>
                <w:color w:val="auto"/>
                <w:highlight w:val="none"/>
                <w:lang w:val="en-US" w:eastAsia="zh-CN"/>
              </w:rPr>
              <w:t>一般（2分）：</w:t>
            </w:r>
            <w:r>
              <w:rPr>
                <w:rFonts w:hint="eastAsia"/>
                <w:b w:val="0"/>
                <w:bCs w:val="0"/>
                <w:color w:val="auto"/>
                <w:highlight w:val="none"/>
                <w:lang w:val="en-US" w:eastAsia="zh-CN"/>
              </w:rPr>
              <w:t>提供了主要施工机械设备清单，明确了关键设备的型号、数量和计划进场时间。</w:t>
            </w:r>
          </w:p>
          <w:p w14:paraId="32AF1028">
            <w:pPr>
              <w:keepNext w:val="0"/>
              <w:keepLines w:val="0"/>
              <w:pageBreakBefore w:val="0"/>
              <w:kinsoku/>
              <w:wordWrap/>
              <w:overflowPunct/>
              <w:topLinePunct w:val="0"/>
              <w:bidi w:val="0"/>
              <w:snapToGrid/>
              <w:spacing w:line="360" w:lineRule="exact"/>
              <w:jc w:val="left"/>
              <w:rPr>
                <w:color w:val="auto"/>
                <w:highlight w:val="none"/>
              </w:rPr>
            </w:pPr>
            <w:r>
              <w:rPr>
                <w:rFonts w:hint="eastAsia"/>
                <w:b/>
                <w:bCs/>
                <w:color w:val="auto"/>
                <w:highlight w:val="none"/>
                <w:lang w:val="en-US" w:eastAsia="zh-CN"/>
              </w:rPr>
              <w:t>良（3分）：</w:t>
            </w:r>
            <w:r>
              <w:rPr>
                <w:rFonts w:hint="eastAsia"/>
                <w:b w:val="0"/>
                <w:bCs w:val="0"/>
                <w:color w:val="auto"/>
                <w:highlight w:val="none"/>
                <w:lang w:val="en-US" w:eastAsia="zh-CN"/>
              </w:rPr>
              <w:t>包含上一档全部内容。设备组织计划完整，清单涵盖所有主要和辅助设备。设备的数量、型号选择、进场及退场时间安排，与施工进度计划和主要分项工程的作业面需求相匹配，能保障施工的连续进行。</w:t>
            </w:r>
            <w:r>
              <w:rPr>
                <w:color w:val="auto"/>
                <w:highlight w:val="none"/>
              </w:rPr>
              <w:t xml:space="preserve"> </w:t>
            </w:r>
          </w:p>
          <w:p w14:paraId="6DD29A15">
            <w:pPr>
              <w:keepNext w:val="0"/>
              <w:keepLines w:val="0"/>
              <w:pageBreakBefore w:val="0"/>
              <w:kinsoku/>
              <w:wordWrap/>
              <w:overflowPunct/>
              <w:topLinePunct w:val="0"/>
              <w:bidi w:val="0"/>
              <w:snapToGrid/>
              <w:spacing w:line="360" w:lineRule="exact"/>
              <w:jc w:val="left"/>
              <w:rPr>
                <w:color w:val="auto"/>
                <w:highlight w:val="none"/>
              </w:rPr>
            </w:pPr>
            <w:r>
              <w:rPr>
                <w:rFonts w:hint="eastAsia"/>
                <w:b/>
                <w:bCs/>
                <w:color w:val="auto"/>
                <w:highlight w:val="none"/>
                <w:lang w:val="en-US" w:eastAsia="zh-CN"/>
              </w:rPr>
              <w:t>优（5分）：</w:t>
            </w:r>
            <w:r>
              <w:rPr>
                <w:rFonts w:hint="eastAsia"/>
                <w:b w:val="0"/>
                <w:bCs w:val="0"/>
                <w:color w:val="auto"/>
                <w:highlight w:val="none"/>
                <w:lang w:val="en-US" w:eastAsia="zh-CN"/>
              </w:rPr>
              <w:t>包含上一档全部内容。计划特别周全，对于大型、特种或关键线路上的设备，提出了进出场路线与安装方案及备用设备预案。计划体现了设备的协同作业安排与高效的周转方案，并与场地条件、用电负荷等限制因素进行了匹配说明。</w:t>
            </w:r>
            <w:r>
              <w:rPr>
                <w:color w:val="auto"/>
                <w:highlight w:val="none"/>
              </w:rPr>
              <w:t xml:space="preserve"> </w:t>
            </w:r>
          </w:p>
          <w:p w14:paraId="2055A0B9">
            <w:pPr>
              <w:keepNext w:val="0"/>
              <w:keepLines w:val="0"/>
              <w:pageBreakBefore w:val="0"/>
              <w:kinsoku/>
              <w:wordWrap/>
              <w:overflowPunct/>
              <w:topLinePunct w:val="0"/>
              <w:bidi w:val="0"/>
              <w:snapToGrid/>
              <w:spacing w:line="360" w:lineRule="exact"/>
              <w:jc w:val="left"/>
              <w:rPr>
                <w:color w:val="auto"/>
                <w:highlight w:val="none"/>
              </w:rPr>
            </w:pPr>
            <w:r>
              <w:rPr>
                <w:rFonts w:hint="eastAsia"/>
                <w:b/>
                <w:bCs/>
                <w:color w:val="auto"/>
                <w:highlight w:val="none"/>
                <w:lang w:val="en-US" w:eastAsia="zh-CN"/>
              </w:rPr>
              <w:t>注：未达到最“差”档要求不得分</w:t>
            </w:r>
            <w:r>
              <w:rPr>
                <w:rFonts w:hint="eastAsia"/>
                <w:b/>
                <w:bCs/>
                <w:color w:val="auto"/>
                <w:highlight w:val="none"/>
                <w:lang w:eastAsia="zh-CN"/>
              </w:rPr>
              <w:t>。</w:t>
            </w:r>
          </w:p>
        </w:tc>
        <w:tc>
          <w:tcPr>
            <w:tcW w:w="836" w:type="dxa"/>
            <w:noWrap w:val="0"/>
            <w:vAlign w:val="center"/>
          </w:tcPr>
          <w:p w14:paraId="3D24DABB">
            <w:pPr>
              <w:keepNext w:val="0"/>
              <w:keepLines w:val="0"/>
              <w:pageBreakBefore w:val="0"/>
              <w:kinsoku/>
              <w:wordWrap/>
              <w:overflowPunct/>
              <w:topLinePunct w:val="0"/>
              <w:bidi w:val="0"/>
              <w:snapToGrid/>
              <w:spacing w:line="360" w:lineRule="exact"/>
              <w:jc w:val="center"/>
              <w:rPr>
                <w:color w:val="auto"/>
                <w:highlight w:val="none"/>
              </w:rPr>
            </w:pPr>
            <w:r>
              <w:rPr>
                <w:rFonts w:hint="eastAsia" w:ascii="宋体" w:hAnsi="宋体" w:cs="Tahoma"/>
                <w:color w:val="auto"/>
                <w:kern w:val="0"/>
                <w:szCs w:val="21"/>
                <w:highlight w:val="none"/>
              </w:rPr>
              <w:t>5分</w:t>
            </w:r>
          </w:p>
        </w:tc>
      </w:tr>
      <w:tr w14:paraId="720F1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1" w:type="dxa"/>
            <w:vMerge w:val="continue"/>
            <w:noWrap w:val="0"/>
            <w:vAlign w:val="center"/>
          </w:tcPr>
          <w:p w14:paraId="1471B2D0">
            <w:pPr>
              <w:keepNext w:val="0"/>
              <w:keepLines w:val="0"/>
              <w:pageBreakBefore w:val="0"/>
              <w:kinsoku/>
              <w:wordWrap/>
              <w:overflowPunct/>
              <w:topLinePunct w:val="0"/>
              <w:bidi w:val="0"/>
              <w:adjustRightInd w:val="0"/>
              <w:snapToGrid/>
              <w:spacing w:line="360" w:lineRule="exact"/>
              <w:ind w:left="-105" w:leftChars="-50" w:right="-105" w:rightChars="-50"/>
              <w:jc w:val="center"/>
              <w:textAlignment w:val="baseline"/>
              <w:rPr>
                <w:rFonts w:hint="eastAsia" w:ascii="宋体" w:hAnsi="宋体"/>
                <w:bCs/>
                <w:color w:val="auto"/>
                <w:kern w:val="0"/>
                <w:szCs w:val="21"/>
                <w:highlight w:val="none"/>
              </w:rPr>
            </w:pPr>
          </w:p>
        </w:tc>
        <w:tc>
          <w:tcPr>
            <w:tcW w:w="523" w:type="dxa"/>
            <w:vMerge w:val="continue"/>
            <w:noWrap w:val="0"/>
            <w:vAlign w:val="center"/>
          </w:tcPr>
          <w:p w14:paraId="5EEB09E1">
            <w:pPr>
              <w:keepNext w:val="0"/>
              <w:keepLines w:val="0"/>
              <w:pageBreakBefore w:val="0"/>
              <w:kinsoku/>
              <w:wordWrap/>
              <w:overflowPunct/>
              <w:topLinePunct w:val="0"/>
              <w:bidi w:val="0"/>
              <w:adjustRightInd w:val="0"/>
              <w:snapToGrid/>
              <w:spacing w:line="360" w:lineRule="exact"/>
              <w:jc w:val="center"/>
              <w:textAlignment w:val="baseline"/>
              <w:rPr>
                <w:rFonts w:hint="eastAsia" w:ascii="宋体" w:hAnsi="宋体"/>
                <w:bCs/>
                <w:color w:val="auto"/>
                <w:kern w:val="0"/>
                <w:szCs w:val="21"/>
                <w:highlight w:val="none"/>
              </w:rPr>
            </w:pPr>
          </w:p>
        </w:tc>
        <w:tc>
          <w:tcPr>
            <w:tcW w:w="1024" w:type="dxa"/>
            <w:noWrap w:val="0"/>
            <w:vAlign w:val="center"/>
          </w:tcPr>
          <w:p w14:paraId="1F2A4596">
            <w:pPr>
              <w:keepNext w:val="0"/>
              <w:keepLines w:val="0"/>
              <w:pageBreakBefore w:val="0"/>
              <w:kinsoku/>
              <w:wordWrap/>
              <w:overflowPunct/>
              <w:topLinePunct w:val="0"/>
              <w:bidi w:val="0"/>
              <w:snapToGrid/>
              <w:spacing w:line="360" w:lineRule="exact"/>
              <w:jc w:val="left"/>
              <w:rPr>
                <w:color w:val="auto"/>
                <w:highlight w:val="none"/>
              </w:rPr>
            </w:pPr>
            <w:r>
              <w:rPr>
                <w:color w:val="auto"/>
                <w:highlight w:val="none"/>
              </w:rPr>
              <w:t>劳动力安排计划（</w:t>
            </w:r>
            <w:r>
              <w:rPr>
                <w:rFonts w:hint="eastAsia"/>
                <w:color w:val="auto"/>
                <w:highlight w:val="none"/>
                <w:lang w:val="en-US" w:eastAsia="zh-CN"/>
              </w:rPr>
              <w:t>5</w:t>
            </w:r>
            <w:r>
              <w:rPr>
                <w:color w:val="auto"/>
                <w:highlight w:val="none"/>
              </w:rPr>
              <w:t>分）</w:t>
            </w:r>
          </w:p>
        </w:tc>
        <w:tc>
          <w:tcPr>
            <w:tcW w:w="7055" w:type="dxa"/>
            <w:noWrap w:val="0"/>
            <w:vAlign w:val="center"/>
          </w:tcPr>
          <w:p w14:paraId="122CE420">
            <w:pPr>
              <w:keepNext w:val="0"/>
              <w:keepLines w:val="0"/>
              <w:pageBreakBefore w:val="0"/>
              <w:kinsoku/>
              <w:wordWrap/>
              <w:overflowPunct/>
              <w:topLinePunct w:val="0"/>
              <w:bidi w:val="0"/>
              <w:snapToGrid/>
              <w:spacing w:line="360" w:lineRule="exact"/>
              <w:jc w:val="left"/>
              <w:rPr>
                <w:rFonts w:hint="eastAsia"/>
                <w:b/>
                <w:bCs/>
                <w:color w:val="auto"/>
                <w:highlight w:val="none"/>
                <w:lang w:val="en-US" w:eastAsia="zh-CN"/>
              </w:rPr>
            </w:pPr>
            <w:r>
              <w:rPr>
                <w:rFonts w:hint="eastAsia"/>
                <w:b/>
                <w:bCs/>
                <w:color w:val="auto"/>
                <w:highlight w:val="none"/>
                <w:lang w:val="en-US" w:eastAsia="zh-CN"/>
              </w:rPr>
              <w:t>差（1分）：</w:t>
            </w:r>
            <w:r>
              <w:rPr>
                <w:rFonts w:hint="eastAsia"/>
                <w:b w:val="0"/>
                <w:bCs w:val="0"/>
                <w:color w:val="auto"/>
                <w:highlight w:val="none"/>
                <w:lang w:val="en-US" w:eastAsia="zh-CN"/>
              </w:rPr>
              <w:t>未提供劳动力数量计划，或仅简单罗列了部分工种名称，未明确劳动力数量，也未与项目总工期建立基本对应关系。</w:t>
            </w:r>
          </w:p>
          <w:p w14:paraId="442A2A56">
            <w:pPr>
              <w:keepNext w:val="0"/>
              <w:keepLines w:val="0"/>
              <w:pageBreakBefore w:val="0"/>
              <w:kinsoku/>
              <w:wordWrap/>
              <w:overflowPunct/>
              <w:topLinePunct w:val="0"/>
              <w:bidi w:val="0"/>
              <w:snapToGrid/>
              <w:spacing w:line="360" w:lineRule="exact"/>
              <w:jc w:val="left"/>
              <w:rPr>
                <w:color w:val="auto"/>
                <w:highlight w:val="none"/>
              </w:rPr>
            </w:pPr>
            <w:r>
              <w:rPr>
                <w:rFonts w:hint="eastAsia"/>
                <w:b/>
                <w:bCs/>
                <w:color w:val="auto"/>
                <w:highlight w:val="none"/>
                <w:lang w:val="en-US" w:eastAsia="zh-CN"/>
              </w:rPr>
              <w:t>一般（2分）：</w:t>
            </w:r>
            <w:r>
              <w:rPr>
                <w:rFonts w:hint="eastAsia"/>
                <w:b w:val="0"/>
                <w:bCs w:val="0"/>
                <w:color w:val="auto"/>
                <w:highlight w:val="none"/>
                <w:lang w:val="en-US" w:eastAsia="zh-CN"/>
              </w:rPr>
              <w:t>提供了主要工种的劳动力数量计划，并与项目总工期建立了基本对应关系。</w:t>
            </w:r>
            <w:r>
              <w:rPr>
                <w:color w:val="auto"/>
                <w:highlight w:val="none"/>
              </w:rPr>
              <w:t xml:space="preserve"> </w:t>
            </w:r>
          </w:p>
          <w:p w14:paraId="0FFD51B7">
            <w:pPr>
              <w:keepNext w:val="0"/>
              <w:keepLines w:val="0"/>
              <w:pageBreakBefore w:val="0"/>
              <w:kinsoku/>
              <w:wordWrap/>
              <w:overflowPunct/>
              <w:topLinePunct w:val="0"/>
              <w:bidi w:val="0"/>
              <w:snapToGrid/>
              <w:spacing w:line="360" w:lineRule="exact"/>
              <w:jc w:val="left"/>
              <w:rPr>
                <w:color w:val="auto"/>
                <w:highlight w:val="none"/>
              </w:rPr>
            </w:pPr>
            <w:r>
              <w:rPr>
                <w:rFonts w:hint="eastAsia"/>
                <w:b/>
                <w:bCs/>
                <w:color w:val="auto"/>
                <w:highlight w:val="none"/>
                <w:lang w:val="en-US" w:eastAsia="zh-CN"/>
              </w:rPr>
              <w:t>良（3分）：</w:t>
            </w:r>
            <w:r>
              <w:rPr>
                <w:rFonts w:hint="eastAsia"/>
                <w:b w:val="0"/>
                <w:bCs w:val="0"/>
                <w:color w:val="auto"/>
                <w:highlight w:val="none"/>
                <w:lang w:val="en-US" w:eastAsia="zh-CN"/>
              </w:rPr>
              <w:t>包含上一档全部内容。劳动力安排计划详细，已按主要施工工序的不同阶段进行分解，明确了各阶段各工种的投入人数、进场时间及工作周期，计划安排合理，能满足连续施工需要。</w:t>
            </w:r>
            <w:r>
              <w:rPr>
                <w:color w:val="auto"/>
                <w:highlight w:val="none"/>
              </w:rPr>
              <w:t xml:space="preserve"> </w:t>
            </w:r>
          </w:p>
          <w:p w14:paraId="4121BED7">
            <w:pPr>
              <w:keepNext w:val="0"/>
              <w:keepLines w:val="0"/>
              <w:pageBreakBefore w:val="0"/>
              <w:kinsoku/>
              <w:wordWrap/>
              <w:overflowPunct/>
              <w:topLinePunct w:val="0"/>
              <w:bidi w:val="0"/>
              <w:snapToGrid/>
              <w:spacing w:line="360" w:lineRule="exact"/>
              <w:jc w:val="left"/>
              <w:rPr>
                <w:rFonts w:hint="eastAsia"/>
                <w:b w:val="0"/>
                <w:bCs w:val="0"/>
                <w:color w:val="auto"/>
                <w:highlight w:val="none"/>
                <w:lang w:val="en-US" w:eastAsia="zh-CN"/>
              </w:rPr>
            </w:pPr>
            <w:r>
              <w:rPr>
                <w:rFonts w:hint="eastAsia"/>
                <w:b/>
                <w:bCs/>
                <w:color w:val="auto"/>
                <w:highlight w:val="none"/>
                <w:lang w:val="en-US" w:eastAsia="zh-CN"/>
              </w:rPr>
              <w:t>优（5分）：</w:t>
            </w:r>
            <w:r>
              <w:rPr>
                <w:rFonts w:hint="eastAsia"/>
                <w:b w:val="0"/>
                <w:bCs w:val="0"/>
                <w:color w:val="auto"/>
                <w:highlight w:val="none"/>
                <w:lang w:val="en-US" w:eastAsia="zh-CN"/>
              </w:rPr>
              <w:t>包含上一档全部内容。计划非常周密，体现了动态管理思想，包含劳动力高峰分析及应对措施。计划与施工流水段划分、工序穿插逻辑高度匹配，并考虑了节假日等特殊时段的劳动力保障预案。</w:t>
            </w:r>
          </w:p>
          <w:p w14:paraId="018BB614">
            <w:pPr>
              <w:keepNext w:val="0"/>
              <w:keepLines w:val="0"/>
              <w:pageBreakBefore w:val="0"/>
              <w:kinsoku/>
              <w:wordWrap/>
              <w:overflowPunct/>
              <w:topLinePunct w:val="0"/>
              <w:bidi w:val="0"/>
              <w:snapToGrid/>
              <w:spacing w:line="360" w:lineRule="exact"/>
              <w:jc w:val="left"/>
              <w:rPr>
                <w:color w:val="auto"/>
                <w:highlight w:val="none"/>
              </w:rPr>
            </w:pPr>
            <w:r>
              <w:rPr>
                <w:rFonts w:hint="eastAsia"/>
                <w:b/>
                <w:bCs/>
                <w:color w:val="auto"/>
                <w:highlight w:val="none"/>
                <w:lang w:val="en-US" w:eastAsia="zh-CN"/>
              </w:rPr>
              <w:t>注：未达到最“差”档要求不得分</w:t>
            </w:r>
            <w:r>
              <w:rPr>
                <w:rFonts w:hint="eastAsia"/>
                <w:b/>
                <w:bCs/>
                <w:color w:val="auto"/>
                <w:highlight w:val="none"/>
                <w:lang w:eastAsia="zh-CN"/>
              </w:rPr>
              <w:t>。</w:t>
            </w:r>
          </w:p>
        </w:tc>
        <w:tc>
          <w:tcPr>
            <w:tcW w:w="836" w:type="dxa"/>
            <w:noWrap w:val="0"/>
            <w:vAlign w:val="center"/>
          </w:tcPr>
          <w:p w14:paraId="0539581D">
            <w:pPr>
              <w:keepNext w:val="0"/>
              <w:keepLines w:val="0"/>
              <w:pageBreakBefore w:val="0"/>
              <w:kinsoku/>
              <w:wordWrap/>
              <w:overflowPunct/>
              <w:topLinePunct w:val="0"/>
              <w:bidi w:val="0"/>
              <w:snapToGrid/>
              <w:spacing w:line="360" w:lineRule="exact"/>
              <w:jc w:val="center"/>
              <w:rPr>
                <w:rFonts w:hint="eastAsia" w:ascii="宋体" w:hAnsi="宋体" w:cs="Tahoma"/>
                <w:color w:val="auto"/>
                <w:kern w:val="0"/>
                <w:szCs w:val="21"/>
                <w:highlight w:val="none"/>
              </w:rPr>
            </w:pPr>
            <w:r>
              <w:rPr>
                <w:rFonts w:hint="eastAsia" w:ascii="宋体" w:hAnsi="宋体" w:cs="Tahoma"/>
                <w:color w:val="auto"/>
                <w:kern w:val="0"/>
                <w:szCs w:val="21"/>
                <w:highlight w:val="none"/>
              </w:rPr>
              <w:t>5分</w:t>
            </w:r>
          </w:p>
        </w:tc>
      </w:tr>
      <w:tr w14:paraId="7E87E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1" w:type="dxa"/>
            <w:vMerge w:val="continue"/>
            <w:noWrap w:val="0"/>
            <w:vAlign w:val="center"/>
          </w:tcPr>
          <w:p w14:paraId="1672AE4B">
            <w:pPr>
              <w:keepNext w:val="0"/>
              <w:keepLines w:val="0"/>
              <w:pageBreakBefore w:val="0"/>
              <w:kinsoku/>
              <w:wordWrap/>
              <w:overflowPunct/>
              <w:topLinePunct w:val="0"/>
              <w:bidi w:val="0"/>
              <w:adjustRightInd w:val="0"/>
              <w:snapToGrid/>
              <w:spacing w:line="360" w:lineRule="exact"/>
              <w:ind w:left="-105" w:leftChars="-50" w:right="-105" w:rightChars="-50"/>
              <w:jc w:val="center"/>
              <w:textAlignment w:val="baseline"/>
              <w:rPr>
                <w:rFonts w:hint="eastAsia" w:ascii="宋体" w:hAnsi="宋体"/>
                <w:bCs/>
                <w:color w:val="auto"/>
                <w:kern w:val="0"/>
                <w:szCs w:val="21"/>
                <w:highlight w:val="none"/>
              </w:rPr>
            </w:pPr>
          </w:p>
        </w:tc>
        <w:tc>
          <w:tcPr>
            <w:tcW w:w="523" w:type="dxa"/>
            <w:vMerge w:val="continue"/>
            <w:noWrap w:val="0"/>
            <w:vAlign w:val="center"/>
          </w:tcPr>
          <w:p w14:paraId="3CD7919D">
            <w:pPr>
              <w:keepNext w:val="0"/>
              <w:keepLines w:val="0"/>
              <w:pageBreakBefore w:val="0"/>
              <w:kinsoku/>
              <w:wordWrap/>
              <w:overflowPunct/>
              <w:topLinePunct w:val="0"/>
              <w:bidi w:val="0"/>
              <w:adjustRightInd w:val="0"/>
              <w:snapToGrid/>
              <w:spacing w:line="360" w:lineRule="exact"/>
              <w:jc w:val="center"/>
              <w:textAlignment w:val="baseline"/>
              <w:rPr>
                <w:rFonts w:hint="eastAsia" w:ascii="宋体" w:hAnsi="宋体"/>
                <w:bCs/>
                <w:color w:val="auto"/>
                <w:kern w:val="0"/>
                <w:szCs w:val="21"/>
                <w:highlight w:val="none"/>
              </w:rPr>
            </w:pPr>
          </w:p>
        </w:tc>
        <w:tc>
          <w:tcPr>
            <w:tcW w:w="1024" w:type="dxa"/>
            <w:noWrap w:val="0"/>
            <w:vAlign w:val="center"/>
          </w:tcPr>
          <w:p w14:paraId="28F65DF7">
            <w:pPr>
              <w:keepNext w:val="0"/>
              <w:keepLines w:val="0"/>
              <w:pageBreakBefore w:val="0"/>
              <w:kinsoku/>
              <w:wordWrap/>
              <w:overflowPunct/>
              <w:topLinePunct w:val="0"/>
              <w:bidi w:val="0"/>
              <w:snapToGrid/>
              <w:spacing w:line="360" w:lineRule="exact"/>
              <w:jc w:val="left"/>
              <w:rPr>
                <w:color w:val="auto"/>
                <w:highlight w:val="none"/>
              </w:rPr>
            </w:pPr>
            <w:r>
              <w:rPr>
                <w:color w:val="auto"/>
                <w:highlight w:val="none"/>
              </w:rPr>
              <w:t>工程施工的重点和难点及保证措施（</w:t>
            </w:r>
            <w:r>
              <w:rPr>
                <w:rFonts w:hint="eastAsia"/>
                <w:color w:val="auto"/>
                <w:highlight w:val="none"/>
                <w:lang w:val="en-US" w:eastAsia="zh-CN"/>
              </w:rPr>
              <w:t>8</w:t>
            </w:r>
            <w:r>
              <w:rPr>
                <w:color w:val="auto"/>
                <w:highlight w:val="none"/>
              </w:rPr>
              <w:t>分）</w:t>
            </w:r>
          </w:p>
        </w:tc>
        <w:tc>
          <w:tcPr>
            <w:tcW w:w="7055" w:type="dxa"/>
            <w:noWrap w:val="0"/>
            <w:vAlign w:val="center"/>
          </w:tcPr>
          <w:p w14:paraId="45E7379F">
            <w:pPr>
              <w:keepNext w:val="0"/>
              <w:keepLines w:val="0"/>
              <w:pageBreakBefore w:val="0"/>
              <w:kinsoku/>
              <w:wordWrap/>
              <w:overflowPunct/>
              <w:topLinePunct w:val="0"/>
              <w:bidi w:val="0"/>
              <w:snapToGrid/>
              <w:spacing w:line="360" w:lineRule="exact"/>
              <w:jc w:val="left"/>
              <w:rPr>
                <w:rFonts w:hint="eastAsia"/>
                <w:b/>
                <w:bCs/>
                <w:color w:val="auto"/>
                <w:highlight w:val="none"/>
                <w:lang w:val="en-US" w:eastAsia="zh-CN"/>
              </w:rPr>
            </w:pPr>
            <w:r>
              <w:rPr>
                <w:rFonts w:hint="eastAsia"/>
                <w:b/>
                <w:bCs/>
                <w:color w:val="auto"/>
                <w:highlight w:val="none"/>
                <w:lang w:val="en-US" w:eastAsia="zh-CN"/>
              </w:rPr>
              <w:t>差（1分）：</w:t>
            </w:r>
            <w:r>
              <w:rPr>
                <w:rFonts w:hint="default" w:ascii="Times New Roman" w:hAnsi="Times New Roman" w:eastAsia="宋体" w:cs="Times New Roman"/>
                <w:i w:val="0"/>
                <w:iCs w:val="0"/>
                <w:caps w:val="0"/>
                <w:color w:val="auto"/>
                <w:spacing w:val="0"/>
                <w:sz w:val="21"/>
                <w:szCs w:val="24"/>
                <w:highlight w:val="none"/>
                <w:shd w:val="clear" w:fill="auto"/>
              </w:rPr>
              <w:t>未阐述本工程的重点和难点，或仅简单罗列了部分常规施工工序，未提出相应的解决思路。</w:t>
            </w:r>
          </w:p>
          <w:p w14:paraId="55F25CD7">
            <w:pPr>
              <w:keepNext w:val="0"/>
              <w:keepLines w:val="0"/>
              <w:pageBreakBefore w:val="0"/>
              <w:kinsoku/>
              <w:wordWrap/>
              <w:overflowPunct/>
              <w:topLinePunct w:val="0"/>
              <w:bidi w:val="0"/>
              <w:snapToGrid/>
              <w:spacing w:line="360" w:lineRule="exact"/>
              <w:jc w:val="left"/>
              <w:rPr>
                <w:color w:val="auto"/>
                <w:highlight w:val="none"/>
              </w:rPr>
            </w:pPr>
            <w:r>
              <w:rPr>
                <w:rFonts w:hint="eastAsia"/>
                <w:b/>
                <w:bCs/>
                <w:color w:val="auto"/>
                <w:highlight w:val="none"/>
                <w:lang w:val="en-US" w:eastAsia="zh-CN"/>
              </w:rPr>
              <w:t>一般（3分）：</w:t>
            </w:r>
            <w:r>
              <w:rPr>
                <w:color w:val="auto"/>
                <w:highlight w:val="none"/>
              </w:rPr>
              <w:t>针对本工程的特点，阐述本工程的重点和难点</w:t>
            </w:r>
            <w:r>
              <w:rPr>
                <w:rFonts w:hint="eastAsia"/>
                <w:b w:val="0"/>
                <w:bCs w:val="0"/>
                <w:color w:val="auto"/>
                <w:highlight w:val="none"/>
                <w:lang w:val="en-US" w:eastAsia="zh-CN"/>
              </w:rPr>
              <w:t>，并提出了相应的解决思路。</w:t>
            </w:r>
            <w:r>
              <w:rPr>
                <w:color w:val="auto"/>
                <w:highlight w:val="none"/>
              </w:rPr>
              <w:t xml:space="preserve"> </w:t>
            </w:r>
          </w:p>
          <w:p w14:paraId="23EB875B">
            <w:pPr>
              <w:keepNext w:val="0"/>
              <w:keepLines w:val="0"/>
              <w:pageBreakBefore w:val="0"/>
              <w:kinsoku/>
              <w:wordWrap/>
              <w:overflowPunct/>
              <w:topLinePunct w:val="0"/>
              <w:bidi w:val="0"/>
              <w:snapToGrid/>
              <w:spacing w:line="360" w:lineRule="exact"/>
              <w:jc w:val="left"/>
              <w:rPr>
                <w:color w:val="auto"/>
                <w:highlight w:val="none"/>
              </w:rPr>
            </w:pPr>
            <w:r>
              <w:rPr>
                <w:rFonts w:hint="eastAsia"/>
                <w:b/>
                <w:bCs/>
                <w:color w:val="auto"/>
                <w:highlight w:val="none"/>
                <w:lang w:val="en-US" w:eastAsia="zh-CN"/>
              </w:rPr>
              <w:t>良（6分）：</w:t>
            </w:r>
            <w:r>
              <w:rPr>
                <w:rFonts w:hint="eastAsia"/>
                <w:b w:val="0"/>
                <w:bCs w:val="0"/>
                <w:color w:val="auto"/>
                <w:highlight w:val="none"/>
                <w:lang w:val="en-US" w:eastAsia="zh-CN"/>
              </w:rPr>
              <w:t>包含上一档全部内容。对所述重点和难点的成因及影响进行了具体分析。提出的解决方法具有针对性，逻辑清晰，并引用了相关技术标准或常规工艺作为支撑。</w:t>
            </w:r>
            <w:r>
              <w:rPr>
                <w:color w:val="auto"/>
                <w:highlight w:val="none"/>
              </w:rPr>
              <w:t xml:space="preserve"> </w:t>
            </w:r>
          </w:p>
          <w:p w14:paraId="76DF3938">
            <w:pPr>
              <w:keepNext w:val="0"/>
              <w:keepLines w:val="0"/>
              <w:pageBreakBefore w:val="0"/>
              <w:kinsoku/>
              <w:wordWrap/>
              <w:overflowPunct/>
              <w:topLinePunct w:val="0"/>
              <w:bidi w:val="0"/>
              <w:snapToGrid/>
              <w:spacing w:line="360" w:lineRule="exact"/>
              <w:jc w:val="left"/>
              <w:rPr>
                <w:color w:val="auto"/>
                <w:highlight w:val="none"/>
              </w:rPr>
            </w:pPr>
            <w:r>
              <w:rPr>
                <w:rFonts w:hint="eastAsia"/>
                <w:b/>
                <w:bCs/>
                <w:color w:val="auto"/>
                <w:highlight w:val="none"/>
                <w:lang w:val="en-US" w:eastAsia="zh-CN"/>
              </w:rPr>
              <w:t>优（8分）：</w:t>
            </w:r>
            <w:r>
              <w:rPr>
                <w:rFonts w:hint="eastAsia"/>
                <w:b w:val="0"/>
                <w:bCs w:val="0"/>
                <w:color w:val="auto"/>
                <w:highlight w:val="none"/>
                <w:lang w:val="en-US" w:eastAsia="zh-CN"/>
              </w:rPr>
              <w:t>包含上一档全部内容。重点和难点分析深入，覆盖了技术、管理、安全及与其他专业的接口等维度。提出的解决方法不仅科学合理，而且系统全面，包括具体的技术方案、保障措施、资源投入计划以及风险预案，体现了先进的管理理念和技术手段。</w:t>
            </w:r>
            <w:r>
              <w:rPr>
                <w:color w:val="auto"/>
                <w:highlight w:val="none"/>
              </w:rPr>
              <w:t xml:space="preserve"> </w:t>
            </w:r>
          </w:p>
          <w:p w14:paraId="33C834C9">
            <w:pPr>
              <w:keepNext w:val="0"/>
              <w:keepLines w:val="0"/>
              <w:pageBreakBefore w:val="0"/>
              <w:kinsoku/>
              <w:wordWrap/>
              <w:overflowPunct/>
              <w:topLinePunct w:val="0"/>
              <w:bidi w:val="0"/>
              <w:snapToGrid/>
              <w:spacing w:line="360" w:lineRule="exact"/>
              <w:jc w:val="left"/>
              <w:rPr>
                <w:color w:val="auto"/>
                <w:highlight w:val="none"/>
              </w:rPr>
            </w:pPr>
            <w:r>
              <w:rPr>
                <w:rFonts w:hint="eastAsia"/>
                <w:b/>
                <w:bCs/>
                <w:color w:val="auto"/>
                <w:highlight w:val="none"/>
                <w:lang w:val="en-US" w:eastAsia="zh-CN"/>
              </w:rPr>
              <w:t>注：未达到最“差”档要求不得分</w:t>
            </w:r>
            <w:r>
              <w:rPr>
                <w:rFonts w:hint="eastAsia"/>
                <w:b/>
                <w:bCs/>
                <w:color w:val="auto"/>
                <w:highlight w:val="none"/>
                <w:lang w:eastAsia="zh-CN"/>
              </w:rPr>
              <w:t>。</w:t>
            </w:r>
          </w:p>
        </w:tc>
        <w:tc>
          <w:tcPr>
            <w:tcW w:w="836" w:type="dxa"/>
            <w:noWrap w:val="0"/>
            <w:vAlign w:val="center"/>
          </w:tcPr>
          <w:p w14:paraId="46F9EE56">
            <w:pPr>
              <w:keepNext w:val="0"/>
              <w:keepLines w:val="0"/>
              <w:pageBreakBefore w:val="0"/>
              <w:kinsoku/>
              <w:wordWrap/>
              <w:overflowPunct/>
              <w:topLinePunct w:val="0"/>
              <w:bidi w:val="0"/>
              <w:snapToGrid/>
              <w:spacing w:line="360" w:lineRule="exact"/>
              <w:jc w:val="center"/>
              <w:rPr>
                <w:rFonts w:hint="eastAsia" w:ascii="宋体" w:hAnsi="宋体" w:cs="Tahoma"/>
                <w:color w:val="auto"/>
                <w:kern w:val="0"/>
                <w:szCs w:val="21"/>
                <w:highlight w:val="none"/>
              </w:rPr>
            </w:pPr>
            <w:r>
              <w:rPr>
                <w:rFonts w:hint="eastAsia" w:ascii="宋体" w:hAnsi="宋体" w:cs="Tahoma"/>
                <w:color w:val="auto"/>
                <w:kern w:val="0"/>
                <w:szCs w:val="21"/>
                <w:highlight w:val="none"/>
                <w:lang w:val="en-US" w:eastAsia="zh-CN"/>
              </w:rPr>
              <w:t>8</w:t>
            </w:r>
            <w:r>
              <w:rPr>
                <w:rFonts w:hint="eastAsia" w:ascii="宋体" w:hAnsi="宋体" w:cs="Tahoma"/>
                <w:color w:val="auto"/>
                <w:kern w:val="0"/>
                <w:szCs w:val="21"/>
                <w:highlight w:val="none"/>
              </w:rPr>
              <w:t>分</w:t>
            </w:r>
          </w:p>
        </w:tc>
      </w:tr>
      <w:tr w14:paraId="59D8A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1" w:type="dxa"/>
            <w:vMerge w:val="restart"/>
            <w:noWrap w:val="0"/>
            <w:vAlign w:val="center"/>
          </w:tcPr>
          <w:p w14:paraId="55EBDF32">
            <w:pPr>
              <w:keepNext w:val="0"/>
              <w:keepLines w:val="0"/>
              <w:pageBreakBefore w:val="0"/>
              <w:kinsoku/>
              <w:wordWrap/>
              <w:overflowPunct/>
              <w:topLinePunct w:val="0"/>
              <w:bidi w:val="0"/>
              <w:adjustRightInd w:val="0"/>
              <w:snapToGrid/>
              <w:spacing w:line="360" w:lineRule="exact"/>
              <w:ind w:left="-105" w:leftChars="-50" w:right="-105" w:rightChars="-50"/>
              <w:jc w:val="center"/>
              <w:textAlignment w:val="baseline"/>
              <w:rPr>
                <w:rFonts w:hint="eastAsia" w:ascii="宋体" w:hAnsi="宋体" w:eastAsia="宋体" w:cs="Times New Roman"/>
                <w:bCs/>
                <w:color w:val="auto"/>
                <w:kern w:val="0"/>
                <w:sz w:val="21"/>
                <w:szCs w:val="21"/>
                <w:highlight w:val="none"/>
                <w:lang w:val="en-US" w:eastAsia="zh-CN" w:bidi="ar-SA"/>
              </w:rPr>
            </w:pPr>
            <w:r>
              <w:rPr>
                <w:rFonts w:hint="eastAsia" w:ascii="宋体" w:hAnsi="宋体"/>
                <w:bCs/>
                <w:color w:val="auto"/>
                <w:kern w:val="0"/>
                <w:szCs w:val="21"/>
                <w:highlight w:val="none"/>
              </w:rPr>
              <w:t>2.</w:t>
            </w:r>
            <w:r>
              <w:rPr>
                <w:rFonts w:hint="eastAsia" w:ascii="宋体" w:hAnsi="宋体"/>
                <w:bCs/>
                <w:color w:val="auto"/>
                <w:kern w:val="0"/>
                <w:szCs w:val="21"/>
                <w:highlight w:val="none"/>
                <w:lang w:val="en-US" w:eastAsia="zh-CN"/>
              </w:rPr>
              <w:t>2</w:t>
            </w:r>
          </w:p>
        </w:tc>
        <w:tc>
          <w:tcPr>
            <w:tcW w:w="523" w:type="dxa"/>
            <w:vMerge w:val="restart"/>
            <w:noWrap w:val="0"/>
            <w:vAlign w:val="center"/>
          </w:tcPr>
          <w:p w14:paraId="10C9ED47">
            <w:pPr>
              <w:keepNext w:val="0"/>
              <w:keepLines w:val="0"/>
              <w:pageBreakBefore w:val="0"/>
              <w:kinsoku/>
              <w:wordWrap/>
              <w:overflowPunct/>
              <w:topLinePunct w:val="0"/>
              <w:bidi w:val="0"/>
              <w:snapToGrid/>
              <w:spacing w:line="360" w:lineRule="exact"/>
              <w:jc w:val="left"/>
              <w:rPr>
                <w:rFonts w:hint="eastAsia" w:ascii="Times New Roman" w:hAnsi="Times New Roman" w:eastAsia="宋体" w:cs="Times New Roman"/>
                <w:color w:val="auto"/>
                <w:kern w:val="2"/>
                <w:sz w:val="21"/>
                <w:szCs w:val="24"/>
                <w:highlight w:val="none"/>
                <w:lang w:val="en-US" w:eastAsia="zh-CN" w:bidi="ar-SA"/>
              </w:rPr>
            </w:pPr>
            <w:r>
              <w:rPr>
                <w:rFonts w:hint="eastAsia" w:cs="宋体"/>
                <w:color w:val="auto"/>
                <w:highlight w:val="none"/>
              </w:rPr>
              <w:t>项目管理机构</w:t>
            </w:r>
          </w:p>
        </w:tc>
        <w:tc>
          <w:tcPr>
            <w:tcW w:w="1024" w:type="dxa"/>
            <w:noWrap w:val="0"/>
            <w:vAlign w:val="center"/>
          </w:tcPr>
          <w:p w14:paraId="36EA433A">
            <w:pPr>
              <w:keepNext w:val="0"/>
              <w:keepLines w:val="0"/>
              <w:pageBreakBefore w:val="0"/>
              <w:kinsoku/>
              <w:wordWrap/>
              <w:overflowPunct/>
              <w:topLinePunct w:val="0"/>
              <w:bidi w:val="0"/>
              <w:snapToGrid/>
              <w:spacing w:line="360" w:lineRule="exact"/>
              <w:jc w:val="left"/>
              <w:rPr>
                <w:rFonts w:hint="eastAsia" w:ascii="Times New Roman" w:hAnsi="Times New Roman" w:eastAsia="宋体" w:cs="Times New Roman"/>
                <w:color w:val="auto"/>
                <w:kern w:val="2"/>
                <w:sz w:val="21"/>
                <w:szCs w:val="24"/>
                <w:highlight w:val="none"/>
                <w:lang w:val="en-US" w:eastAsia="zh-CN" w:bidi="ar-SA"/>
              </w:rPr>
            </w:pPr>
            <w:r>
              <w:rPr>
                <w:color w:val="auto"/>
                <w:highlight w:val="none"/>
              </w:rPr>
              <w:t>项目经理情况（</w:t>
            </w:r>
            <w:r>
              <w:rPr>
                <w:rFonts w:hint="eastAsia"/>
                <w:color w:val="auto"/>
                <w:highlight w:val="none"/>
                <w:lang w:val="en-US" w:eastAsia="zh-CN"/>
              </w:rPr>
              <w:t>5</w:t>
            </w:r>
            <w:r>
              <w:rPr>
                <w:color w:val="auto"/>
                <w:highlight w:val="none"/>
              </w:rPr>
              <w:t>分）</w:t>
            </w:r>
          </w:p>
        </w:tc>
        <w:tc>
          <w:tcPr>
            <w:tcW w:w="7055" w:type="dxa"/>
            <w:noWrap w:val="0"/>
            <w:vAlign w:val="center"/>
          </w:tcPr>
          <w:p w14:paraId="1C58595F">
            <w:pPr>
              <w:keepNext w:val="0"/>
              <w:keepLines w:val="0"/>
              <w:pageBreakBefore w:val="0"/>
              <w:kinsoku/>
              <w:wordWrap/>
              <w:overflowPunct/>
              <w:topLinePunct w:val="0"/>
              <w:bidi w:val="0"/>
              <w:snapToGrid/>
              <w:spacing w:line="360" w:lineRule="exact"/>
              <w:jc w:val="left"/>
              <w:rPr>
                <w:rFonts w:hint="eastAsia"/>
                <w:color w:val="auto"/>
                <w:highlight w:val="none"/>
              </w:rPr>
            </w:pPr>
            <w:r>
              <w:rPr>
                <w:color w:val="auto"/>
                <w:highlight w:val="none"/>
              </w:rPr>
              <w:t>项目经理</w:t>
            </w:r>
            <w:r>
              <w:rPr>
                <w:rFonts w:hint="eastAsia"/>
                <w:color w:val="auto"/>
                <w:highlight w:val="none"/>
                <w:lang w:val="en-US" w:eastAsia="zh-CN"/>
              </w:rPr>
              <w:t>具备工程类专业初级工程师职称的得3分，具备工程类专业中级工程师（含）以上职称的得5分</w:t>
            </w:r>
            <w:r>
              <w:rPr>
                <w:rFonts w:hint="eastAsia"/>
                <w:color w:val="auto"/>
                <w:highlight w:val="none"/>
                <w:lang w:eastAsia="zh-CN"/>
              </w:rPr>
              <w:t>。</w:t>
            </w:r>
            <w:r>
              <w:rPr>
                <w:rFonts w:hint="eastAsia"/>
                <w:color w:val="auto"/>
                <w:highlight w:val="none"/>
              </w:rPr>
              <w:t>满分</w:t>
            </w:r>
            <w:r>
              <w:rPr>
                <w:rFonts w:hint="eastAsia"/>
                <w:color w:val="auto"/>
                <w:highlight w:val="none"/>
                <w:lang w:val="en-US" w:eastAsia="zh-CN"/>
              </w:rPr>
              <w:t>5</w:t>
            </w:r>
            <w:r>
              <w:rPr>
                <w:rFonts w:hint="eastAsia"/>
                <w:color w:val="auto"/>
                <w:highlight w:val="none"/>
              </w:rPr>
              <w:t>分。响应文件提供职称复印件</w:t>
            </w:r>
            <w:r>
              <w:rPr>
                <w:rFonts w:hint="eastAsia"/>
                <w:color w:val="auto"/>
                <w:highlight w:val="none"/>
                <w:lang w:val="en-US" w:eastAsia="zh-CN"/>
              </w:rPr>
              <w:t>并加盖供应商公章，否则不予计分拟</w:t>
            </w:r>
            <w:r>
              <w:rPr>
                <w:rFonts w:hint="eastAsia"/>
                <w:color w:val="auto"/>
                <w:highlight w:val="none"/>
              </w:rPr>
              <w:t>。</w:t>
            </w:r>
          </w:p>
          <w:p w14:paraId="77454828">
            <w:pPr>
              <w:pStyle w:val="43"/>
              <w:ind w:left="0" w:leftChars="0" w:firstLine="0" w:firstLineChars="0"/>
              <w:rPr>
                <w:rFonts w:hint="default" w:eastAsia="宋体"/>
                <w:color w:val="auto"/>
                <w:highlight w:val="none"/>
                <w:lang w:val="en-US" w:eastAsia="zh-CN"/>
              </w:rPr>
            </w:pPr>
            <w:r>
              <w:rPr>
                <w:rFonts w:hint="eastAsia"/>
                <w:color w:val="auto"/>
                <w:highlight w:val="none"/>
                <w:lang w:val="en-US" w:eastAsia="zh-CN"/>
              </w:rPr>
              <w:t>注：与技术负责人不能为同一人。</w:t>
            </w:r>
          </w:p>
        </w:tc>
        <w:tc>
          <w:tcPr>
            <w:tcW w:w="836" w:type="dxa"/>
            <w:noWrap w:val="0"/>
            <w:vAlign w:val="center"/>
          </w:tcPr>
          <w:p w14:paraId="5772FED4">
            <w:pPr>
              <w:keepNext w:val="0"/>
              <w:keepLines w:val="0"/>
              <w:pageBreakBefore w:val="0"/>
              <w:kinsoku/>
              <w:wordWrap/>
              <w:overflowPunct/>
              <w:topLinePunct w:val="0"/>
              <w:bidi w:val="0"/>
              <w:snapToGrid/>
              <w:spacing w:line="360" w:lineRule="exact"/>
              <w:jc w:val="center"/>
              <w:rPr>
                <w:rFonts w:hint="eastAsia" w:ascii="宋体" w:hAnsi="宋体" w:eastAsia="宋体" w:cs="Tahoma"/>
                <w:color w:val="auto"/>
                <w:kern w:val="0"/>
                <w:sz w:val="21"/>
                <w:szCs w:val="21"/>
                <w:highlight w:val="none"/>
                <w:lang w:val="en-US" w:eastAsia="zh-CN" w:bidi="ar-SA"/>
              </w:rPr>
            </w:pPr>
            <w:r>
              <w:rPr>
                <w:rFonts w:hint="eastAsia" w:ascii="宋体" w:hAnsi="宋体" w:cs="Tahoma"/>
                <w:color w:val="auto"/>
                <w:kern w:val="0"/>
                <w:szCs w:val="21"/>
                <w:highlight w:val="none"/>
              </w:rPr>
              <w:t>5分</w:t>
            </w:r>
          </w:p>
        </w:tc>
      </w:tr>
      <w:tr w14:paraId="30CDC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1" w:type="dxa"/>
            <w:vMerge w:val="continue"/>
            <w:noWrap w:val="0"/>
            <w:vAlign w:val="center"/>
          </w:tcPr>
          <w:p w14:paraId="640D4DE3">
            <w:pPr>
              <w:keepNext w:val="0"/>
              <w:keepLines w:val="0"/>
              <w:pageBreakBefore w:val="0"/>
              <w:kinsoku/>
              <w:wordWrap/>
              <w:overflowPunct/>
              <w:topLinePunct w:val="0"/>
              <w:bidi w:val="0"/>
              <w:adjustRightInd w:val="0"/>
              <w:snapToGrid/>
              <w:spacing w:line="360" w:lineRule="exact"/>
              <w:ind w:left="-105" w:leftChars="-50" w:right="-105" w:rightChars="-50"/>
              <w:jc w:val="center"/>
              <w:textAlignment w:val="baseline"/>
              <w:rPr>
                <w:rFonts w:hint="eastAsia" w:ascii="宋体" w:hAnsi="宋体"/>
                <w:bCs/>
                <w:color w:val="auto"/>
                <w:kern w:val="0"/>
                <w:szCs w:val="21"/>
                <w:highlight w:val="none"/>
              </w:rPr>
            </w:pPr>
          </w:p>
        </w:tc>
        <w:tc>
          <w:tcPr>
            <w:tcW w:w="523" w:type="dxa"/>
            <w:vMerge w:val="continue"/>
            <w:noWrap w:val="0"/>
            <w:vAlign w:val="center"/>
          </w:tcPr>
          <w:p w14:paraId="591B63B8">
            <w:pPr>
              <w:keepNext w:val="0"/>
              <w:keepLines w:val="0"/>
              <w:pageBreakBefore w:val="0"/>
              <w:kinsoku/>
              <w:wordWrap/>
              <w:overflowPunct/>
              <w:topLinePunct w:val="0"/>
              <w:bidi w:val="0"/>
              <w:adjustRightInd w:val="0"/>
              <w:snapToGrid/>
              <w:spacing w:line="360" w:lineRule="exact"/>
              <w:jc w:val="center"/>
              <w:textAlignment w:val="baseline"/>
              <w:rPr>
                <w:rFonts w:hint="eastAsia" w:ascii="宋体" w:hAnsi="宋体"/>
                <w:bCs/>
                <w:color w:val="auto"/>
                <w:kern w:val="0"/>
                <w:szCs w:val="21"/>
                <w:highlight w:val="none"/>
              </w:rPr>
            </w:pPr>
          </w:p>
        </w:tc>
        <w:tc>
          <w:tcPr>
            <w:tcW w:w="1024" w:type="dxa"/>
            <w:noWrap w:val="0"/>
            <w:vAlign w:val="center"/>
          </w:tcPr>
          <w:p w14:paraId="4CCC891B">
            <w:pPr>
              <w:keepNext w:val="0"/>
              <w:keepLines w:val="0"/>
              <w:pageBreakBefore w:val="0"/>
              <w:kinsoku/>
              <w:wordWrap/>
              <w:overflowPunct/>
              <w:topLinePunct w:val="0"/>
              <w:bidi w:val="0"/>
              <w:snapToGrid/>
              <w:spacing w:line="360" w:lineRule="exact"/>
              <w:jc w:val="left"/>
              <w:rPr>
                <w:rFonts w:hint="eastAsia" w:ascii="Times New Roman" w:hAnsi="Times New Roman" w:eastAsia="宋体" w:cs="Times New Roman"/>
                <w:color w:val="auto"/>
                <w:kern w:val="2"/>
                <w:sz w:val="21"/>
                <w:szCs w:val="24"/>
                <w:highlight w:val="none"/>
                <w:lang w:val="en-US" w:eastAsia="zh-CN" w:bidi="ar-SA"/>
              </w:rPr>
            </w:pPr>
            <w:r>
              <w:rPr>
                <w:color w:val="auto"/>
                <w:highlight w:val="none"/>
              </w:rPr>
              <w:t>技术负责人情况（</w:t>
            </w:r>
            <w:r>
              <w:rPr>
                <w:rFonts w:hint="eastAsia"/>
                <w:color w:val="auto"/>
                <w:highlight w:val="none"/>
                <w:lang w:val="en-US" w:eastAsia="zh-CN"/>
              </w:rPr>
              <w:t>5</w:t>
            </w:r>
            <w:r>
              <w:rPr>
                <w:color w:val="auto"/>
                <w:highlight w:val="none"/>
              </w:rPr>
              <w:t>分）</w:t>
            </w:r>
          </w:p>
        </w:tc>
        <w:tc>
          <w:tcPr>
            <w:tcW w:w="7055" w:type="dxa"/>
            <w:noWrap w:val="0"/>
            <w:vAlign w:val="center"/>
          </w:tcPr>
          <w:p w14:paraId="51281114">
            <w:pPr>
              <w:keepNext w:val="0"/>
              <w:keepLines w:val="0"/>
              <w:pageBreakBefore w:val="0"/>
              <w:kinsoku/>
              <w:wordWrap/>
              <w:overflowPunct/>
              <w:topLinePunct w:val="0"/>
              <w:bidi w:val="0"/>
              <w:snapToGrid/>
              <w:spacing w:line="360" w:lineRule="exact"/>
              <w:jc w:val="left"/>
              <w:rPr>
                <w:rFonts w:hint="eastAsia"/>
                <w:color w:val="auto"/>
                <w:highlight w:val="none"/>
              </w:rPr>
            </w:pPr>
            <w:r>
              <w:rPr>
                <w:color w:val="auto"/>
                <w:highlight w:val="none"/>
              </w:rPr>
              <w:t>技术负责人具备</w:t>
            </w:r>
            <w:r>
              <w:rPr>
                <w:rFonts w:hint="eastAsia"/>
                <w:color w:val="auto"/>
                <w:highlight w:val="none"/>
                <w:lang w:val="en-US" w:eastAsia="zh-CN"/>
              </w:rPr>
              <w:t>工程类专业中级工程师职称的得3分，具备工程类</w:t>
            </w:r>
            <w:r>
              <w:rPr>
                <w:rFonts w:hint="eastAsia"/>
                <w:color w:val="auto"/>
                <w:highlight w:val="none"/>
              </w:rPr>
              <w:t>专业</w:t>
            </w:r>
            <w:r>
              <w:rPr>
                <w:rFonts w:hint="eastAsia"/>
                <w:color w:val="auto"/>
                <w:highlight w:val="none"/>
                <w:lang w:val="en-US" w:eastAsia="zh-CN"/>
              </w:rPr>
              <w:t>高</w:t>
            </w:r>
            <w:r>
              <w:rPr>
                <w:color w:val="auto"/>
                <w:highlight w:val="none"/>
              </w:rPr>
              <w:t>级工程师职称的得</w:t>
            </w:r>
            <w:r>
              <w:rPr>
                <w:rFonts w:hint="eastAsia"/>
                <w:color w:val="auto"/>
                <w:highlight w:val="none"/>
                <w:lang w:val="en-US" w:eastAsia="zh-CN"/>
              </w:rPr>
              <w:t>5</w:t>
            </w:r>
            <w:r>
              <w:rPr>
                <w:color w:val="auto"/>
                <w:highlight w:val="none"/>
              </w:rPr>
              <w:t>分</w:t>
            </w:r>
            <w:r>
              <w:rPr>
                <w:rFonts w:hint="eastAsia"/>
                <w:color w:val="auto"/>
                <w:highlight w:val="none"/>
                <w:lang w:eastAsia="zh-CN"/>
              </w:rPr>
              <w:t>，</w:t>
            </w:r>
            <w:r>
              <w:rPr>
                <w:rFonts w:hint="eastAsia"/>
                <w:color w:val="auto"/>
                <w:highlight w:val="none"/>
              </w:rPr>
              <w:t>满分</w:t>
            </w:r>
            <w:r>
              <w:rPr>
                <w:color w:val="auto"/>
                <w:highlight w:val="none"/>
              </w:rPr>
              <w:t>5</w:t>
            </w:r>
            <w:r>
              <w:rPr>
                <w:rFonts w:hint="eastAsia"/>
                <w:color w:val="auto"/>
                <w:highlight w:val="none"/>
              </w:rPr>
              <w:t>分</w:t>
            </w:r>
            <w:r>
              <w:rPr>
                <w:color w:val="auto"/>
                <w:highlight w:val="none"/>
              </w:rPr>
              <w:t>。</w:t>
            </w:r>
            <w:r>
              <w:rPr>
                <w:rFonts w:hint="eastAsia"/>
                <w:color w:val="auto"/>
                <w:highlight w:val="none"/>
              </w:rPr>
              <w:t>响应文件提供职称复印。</w:t>
            </w:r>
          </w:p>
          <w:p w14:paraId="67C3AEEA">
            <w:pPr>
              <w:pStyle w:val="43"/>
              <w:ind w:left="0" w:leftChars="0" w:firstLine="0" w:firstLineChars="0"/>
              <w:rPr>
                <w:rFonts w:hint="default" w:eastAsia="宋体"/>
                <w:color w:val="auto"/>
                <w:highlight w:val="none"/>
                <w:lang w:val="en-US" w:eastAsia="zh-CN"/>
              </w:rPr>
            </w:pPr>
            <w:r>
              <w:rPr>
                <w:rFonts w:hint="eastAsia"/>
                <w:color w:val="auto"/>
                <w:highlight w:val="none"/>
                <w:lang w:val="en-US" w:eastAsia="zh-CN"/>
              </w:rPr>
              <w:t>注：与项目经理不能为同一人。</w:t>
            </w:r>
          </w:p>
        </w:tc>
        <w:tc>
          <w:tcPr>
            <w:tcW w:w="836" w:type="dxa"/>
            <w:noWrap w:val="0"/>
            <w:vAlign w:val="center"/>
          </w:tcPr>
          <w:p w14:paraId="625EA67B">
            <w:pPr>
              <w:keepNext w:val="0"/>
              <w:keepLines w:val="0"/>
              <w:pageBreakBefore w:val="0"/>
              <w:kinsoku/>
              <w:wordWrap/>
              <w:overflowPunct/>
              <w:topLinePunct w:val="0"/>
              <w:bidi w:val="0"/>
              <w:snapToGrid/>
              <w:spacing w:line="360" w:lineRule="exact"/>
              <w:jc w:val="center"/>
              <w:rPr>
                <w:rFonts w:hint="eastAsia" w:ascii="宋体" w:hAnsi="宋体" w:eastAsia="宋体" w:cs="Tahoma"/>
                <w:color w:val="auto"/>
                <w:kern w:val="0"/>
                <w:sz w:val="21"/>
                <w:szCs w:val="21"/>
                <w:highlight w:val="none"/>
                <w:lang w:val="en-US" w:eastAsia="zh-CN" w:bidi="ar-SA"/>
              </w:rPr>
            </w:pPr>
            <w:r>
              <w:rPr>
                <w:rFonts w:hint="eastAsia" w:ascii="宋体" w:hAnsi="宋体" w:cs="Tahoma"/>
                <w:color w:val="auto"/>
                <w:kern w:val="0"/>
                <w:szCs w:val="21"/>
                <w:highlight w:val="none"/>
              </w:rPr>
              <w:t>5分</w:t>
            </w:r>
          </w:p>
        </w:tc>
      </w:tr>
      <w:tr w14:paraId="03725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1" w:type="dxa"/>
            <w:vMerge w:val="continue"/>
            <w:noWrap w:val="0"/>
            <w:vAlign w:val="center"/>
          </w:tcPr>
          <w:p w14:paraId="7D5B39B4">
            <w:pPr>
              <w:keepNext w:val="0"/>
              <w:keepLines w:val="0"/>
              <w:pageBreakBefore w:val="0"/>
              <w:kinsoku/>
              <w:wordWrap/>
              <w:overflowPunct/>
              <w:topLinePunct w:val="0"/>
              <w:bidi w:val="0"/>
              <w:adjustRightInd w:val="0"/>
              <w:snapToGrid/>
              <w:spacing w:line="360" w:lineRule="exact"/>
              <w:ind w:left="-105" w:leftChars="-50" w:right="-105" w:rightChars="-50"/>
              <w:jc w:val="center"/>
              <w:textAlignment w:val="baseline"/>
              <w:rPr>
                <w:rFonts w:hint="eastAsia" w:ascii="宋体" w:hAnsi="宋体"/>
                <w:bCs/>
                <w:color w:val="auto"/>
                <w:kern w:val="0"/>
                <w:szCs w:val="21"/>
                <w:highlight w:val="none"/>
              </w:rPr>
            </w:pPr>
          </w:p>
        </w:tc>
        <w:tc>
          <w:tcPr>
            <w:tcW w:w="523" w:type="dxa"/>
            <w:vMerge w:val="continue"/>
            <w:noWrap w:val="0"/>
            <w:vAlign w:val="center"/>
          </w:tcPr>
          <w:p w14:paraId="3ABD7ABD">
            <w:pPr>
              <w:keepNext w:val="0"/>
              <w:keepLines w:val="0"/>
              <w:pageBreakBefore w:val="0"/>
              <w:kinsoku/>
              <w:wordWrap/>
              <w:overflowPunct/>
              <w:topLinePunct w:val="0"/>
              <w:bidi w:val="0"/>
              <w:adjustRightInd w:val="0"/>
              <w:snapToGrid/>
              <w:spacing w:line="360" w:lineRule="exact"/>
              <w:jc w:val="center"/>
              <w:textAlignment w:val="baseline"/>
              <w:rPr>
                <w:rFonts w:hint="eastAsia" w:ascii="宋体" w:hAnsi="宋体"/>
                <w:bCs/>
                <w:color w:val="auto"/>
                <w:kern w:val="0"/>
                <w:szCs w:val="21"/>
                <w:highlight w:val="none"/>
              </w:rPr>
            </w:pPr>
          </w:p>
        </w:tc>
        <w:tc>
          <w:tcPr>
            <w:tcW w:w="1024" w:type="dxa"/>
            <w:noWrap w:val="0"/>
            <w:vAlign w:val="center"/>
          </w:tcPr>
          <w:p w14:paraId="6EFFB996">
            <w:pPr>
              <w:keepNext w:val="0"/>
              <w:keepLines w:val="0"/>
              <w:pageBreakBefore w:val="0"/>
              <w:kinsoku/>
              <w:wordWrap/>
              <w:overflowPunct/>
              <w:topLinePunct w:val="0"/>
              <w:bidi w:val="0"/>
              <w:snapToGrid/>
              <w:spacing w:line="360" w:lineRule="exact"/>
              <w:jc w:val="left"/>
              <w:rPr>
                <w:rFonts w:hint="eastAsia" w:ascii="Times New Roman" w:hAnsi="Times New Roman" w:eastAsia="宋体" w:cs="Times New Roman"/>
                <w:color w:val="auto"/>
                <w:kern w:val="2"/>
                <w:sz w:val="21"/>
                <w:szCs w:val="24"/>
                <w:highlight w:val="none"/>
                <w:lang w:val="en-US" w:eastAsia="zh-CN" w:bidi="ar-SA"/>
              </w:rPr>
            </w:pPr>
            <w:r>
              <w:rPr>
                <w:color w:val="auto"/>
                <w:highlight w:val="none"/>
              </w:rPr>
              <w:t>拟投入本工程管理人员情况（</w:t>
            </w:r>
            <w:r>
              <w:rPr>
                <w:rFonts w:hint="eastAsia"/>
                <w:color w:val="auto"/>
                <w:highlight w:val="none"/>
                <w:lang w:val="en-US" w:eastAsia="zh-CN"/>
              </w:rPr>
              <w:t>5</w:t>
            </w:r>
            <w:r>
              <w:rPr>
                <w:color w:val="auto"/>
                <w:highlight w:val="none"/>
              </w:rPr>
              <w:t>分）</w:t>
            </w:r>
          </w:p>
        </w:tc>
        <w:tc>
          <w:tcPr>
            <w:tcW w:w="7055" w:type="dxa"/>
            <w:noWrap w:val="0"/>
            <w:vAlign w:val="center"/>
          </w:tcPr>
          <w:p w14:paraId="7D333376">
            <w:pPr>
              <w:keepNext w:val="0"/>
              <w:keepLines w:val="0"/>
              <w:pageBreakBefore w:val="0"/>
              <w:kinsoku/>
              <w:wordWrap/>
              <w:overflowPunct/>
              <w:topLinePunct w:val="0"/>
              <w:bidi w:val="0"/>
              <w:snapToGrid/>
              <w:spacing w:line="360" w:lineRule="exact"/>
              <w:jc w:val="left"/>
              <w:rPr>
                <w:color w:val="auto"/>
                <w:highlight w:val="none"/>
              </w:rPr>
            </w:pPr>
            <w:r>
              <w:rPr>
                <w:color w:val="auto"/>
                <w:highlight w:val="none"/>
              </w:rPr>
              <w:t>拟投入本工程</w:t>
            </w:r>
            <w:r>
              <w:rPr>
                <w:rFonts w:hint="eastAsia"/>
                <w:color w:val="auto"/>
                <w:highlight w:val="none"/>
                <w:lang w:eastAsia="zh-CN"/>
              </w:rPr>
              <w:t>的</w:t>
            </w:r>
            <w:r>
              <w:rPr>
                <w:rFonts w:hint="eastAsia"/>
                <w:color w:val="auto"/>
                <w:highlight w:val="none"/>
                <w:lang w:val="en-US" w:eastAsia="zh-CN"/>
              </w:rPr>
              <w:t>管理人员（</w:t>
            </w:r>
            <w:r>
              <w:rPr>
                <w:color w:val="auto"/>
                <w:highlight w:val="none"/>
              </w:rPr>
              <w:t>施工员、质量员、</w:t>
            </w:r>
            <w:r>
              <w:rPr>
                <w:rFonts w:hint="eastAsia"/>
                <w:color w:val="auto"/>
                <w:highlight w:val="none"/>
                <w:lang w:val="en-US" w:eastAsia="zh-CN"/>
              </w:rPr>
              <w:t>造价员</w:t>
            </w:r>
            <w:r>
              <w:rPr>
                <w:color w:val="auto"/>
                <w:highlight w:val="none"/>
              </w:rPr>
              <w:t>、材料员</w:t>
            </w:r>
            <w:r>
              <w:rPr>
                <w:rFonts w:hint="eastAsia"/>
                <w:color w:val="auto"/>
                <w:highlight w:val="none"/>
                <w:lang w:val="en-US" w:eastAsia="zh-CN"/>
              </w:rPr>
              <w:t>）</w:t>
            </w:r>
            <w:r>
              <w:rPr>
                <w:color w:val="auto"/>
                <w:highlight w:val="none"/>
              </w:rPr>
              <w:t xml:space="preserve">配备齐全且全部持证上岗的，按以下标准计分： </w:t>
            </w:r>
          </w:p>
          <w:p w14:paraId="293E23D8">
            <w:pPr>
              <w:keepNext w:val="0"/>
              <w:keepLines w:val="0"/>
              <w:pageBreakBefore w:val="0"/>
              <w:kinsoku/>
              <w:wordWrap/>
              <w:overflowPunct/>
              <w:topLinePunct w:val="0"/>
              <w:bidi w:val="0"/>
              <w:snapToGrid/>
              <w:spacing w:line="360" w:lineRule="exact"/>
              <w:jc w:val="left"/>
              <w:rPr>
                <w:rFonts w:hint="eastAsia"/>
                <w:b/>
                <w:bCs/>
                <w:color w:val="auto"/>
                <w:highlight w:val="none"/>
                <w:lang w:val="en-US" w:eastAsia="zh-CN"/>
              </w:rPr>
            </w:pPr>
            <w:r>
              <w:rPr>
                <w:rFonts w:hint="eastAsia"/>
                <w:b/>
                <w:bCs/>
                <w:color w:val="auto"/>
                <w:highlight w:val="none"/>
                <w:lang w:val="en-US" w:eastAsia="zh-CN"/>
              </w:rPr>
              <w:t>差（1分）：</w:t>
            </w:r>
            <w:r>
              <w:rPr>
                <w:rFonts w:hint="eastAsia"/>
                <w:b w:val="0"/>
                <w:bCs w:val="0"/>
                <w:color w:val="auto"/>
                <w:highlight w:val="none"/>
                <w:lang w:val="en-US" w:eastAsia="zh-CN"/>
              </w:rPr>
              <w:t>未提供管理人员配备计划，或仅简单罗列了部分人员名称，未明确人员的具体岗位及数量。</w:t>
            </w:r>
          </w:p>
          <w:p w14:paraId="2A5448B2">
            <w:pPr>
              <w:keepNext w:val="0"/>
              <w:keepLines w:val="0"/>
              <w:pageBreakBefore w:val="0"/>
              <w:kinsoku/>
              <w:wordWrap/>
              <w:overflowPunct/>
              <w:topLinePunct w:val="0"/>
              <w:bidi w:val="0"/>
              <w:snapToGrid/>
              <w:spacing w:line="360" w:lineRule="exact"/>
              <w:jc w:val="left"/>
              <w:rPr>
                <w:color w:val="auto"/>
                <w:highlight w:val="none"/>
              </w:rPr>
            </w:pPr>
            <w:r>
              <w:rPr>
                <w:rFonts w:hint="eastAsia"/>
                <w:b/>
                <w:bCs/>
                <w:color w:val="auto"/>
                <w:highlight w:val="none"/>
                <w:lang w:val="en-US" w:eastAsia="zh-CN"/>
              </w:rPr>
              <w:t>一般</w:t>
            </w:r>
            <w:r>
              <w:rPr>
                <w:b/>
                <w:bCs/>
                <w:color w:val="auto"/>
                <w:highlight w:val="none"/>
              </w:rPr>
              <w:t>（</w:t>
            </w:r>
            <w:r>
              <w:rPr>
                <w:rFonts w:hint="eastAsia"/>
                <w:b/>
                <w:bCs/>
                <w:color w:val="auto"/>
                <w:highlight w:val="none"/>
                <w:lang w:val="en-US" w:eastAsia="zh-CN"/>
              </w:rPr>
              <w:t>2</w:t>
            </w:r>
            <w:r>
              <w:rPr>
                <w:b/>
                <w:bCs/>
                <w:color w:val="auto"/>
                <w:highlight w:val="none"/>
              </w:rPr>
              <w:t>分）：</w:t>
            </w:r>
            <w:r>
              <w:rPr>
                <w:color w:val="auto"/>
                <w:highlight w:val="none"/>
              </w:rPr>
              <w:t>基本满足施工需要，</w:t>
            </w:r>
            <w:r>
              <w:rPr>
                <w:rFonts w:hint="eastAsia"/>
                <w:color w:val="auto"/>
                <w:highlight w:val="none"/>
                <w:lang w:val="en-US" w:eastAsia="zh-CN"/>
              </w:rPr>
              <w:t>管理人员具备工程类专业中级（含）以上职称的不低于1人</w:t>
            </w:r>
            <w:r>
              <w:rPr>
                <w:color w:val="auto"/>
                <w:highlight w:val="none"/>
              </w:rPr>
              <w:t>。</w:t>
            </w:r>
          </w:p>
          <w:p w14:paraId="7A11F199">
            <w:pPr>
              <w:keepNext w:val="0"/>
              <w:keepLines w:val="0"/>
              <w:pageBreakBefore w:val="0"/>
              <w:kinsoku/>
              <w:wordWrap/>
              <w:overflowPunct/>
              <w:topLinePunct w:val="0"/>
              <w:bidi w:val="0"/>
              <w:snapToGrid/>
              <w:spacing w:line="360" w:lineRule="exact"/>
              <w:jc w:val="left"/>
              <w:rPr>
                <w:color w:val="auto"/>
                <w:highlight w:val="none"/>
              </w:rPr>
            </w:pPr>
            <w:r>
              <w:rPr>
                <w:b/>
                <w:bCs/>
                <w:color w:val="auto"/>
                <w:highlight w:val="none"/>
              </w:rPr>
              <w:t>良（</w:t>
            </w:r>
            <w:r>
              <w:rPr>
                <w:rFonts w:hint="eastAsia"/>
                <w:b/>
                <w:bCs/>
                <w:color w:val="auto"/>
                <w:highlight w:val="none"/>
                <w:lang w:val="en-US" w:eastAsia="zh-CN"/>
              </w:rPr>
              <w:t>3</w:t>
            </w:r>
            <w:r>
              <w:rPr>
                <w:b/>
                <w:bCs/>
                <w:color w:val="auto"/>
                <w:highlight w:val="none"/>
              </w:rPr>
              <w:t>分）：</w:t>
            </w:r>
            <w:r>
              <w:rPr>
                <w:color w:val="auto"/>
                <w:highlight w:val="none"/>
              </w:rPr>
              <w:t>满足施工需要，</w:t>
            </w:r>
            <w:r>
              <w:rPr>
                <w:rFonts w:hint="eastAsia"/>
                <w:color w:val="auto"/>
                <w:highlight w:val="none"/>
                <w:lang w:val="en-US" w:eastAsia="zh-CN"/>
              </w:rPr>
              <w:t>管理人员具备工程类专业中级（含）以上职称的不低于2人</w:t>
            </w:r>
            <w:r>
              <w:rPr>
                <w:color w:val="auto"/>
                <w:highlight w:val="none"/>
              </w:rPr>
              <w:t xml:space="preserve">。 </w:t>
            </w:r>
          </w:p>
          <w:p w14:paraId="79F0430B">
            <w:pPr>
              <w:keepNext w:val="0"/>
              <w:keepLines w:val="0"/>
              <w:pageBreakBefore w:val="0"/>
              <w:kinsoku/>
              <w:wordWrap/>
              <w:overflowPunct/>
              <w:topLinePunct w:val="0"/>
              <w:bidi w:val="0"/>
              <w:snapToGrid/>
              <w:spacing w:line="360" w:lineRule="exact"/>
              <w:jc w:val="left"/>
              <w:rPr>
                <w:color w:val="auto"/>
                <w:highlight w:val="none"/>
              </w:rPr>
            </w:pPr>
            <w:r>
              <w:rPr>
                <w:b/>
                <w:bCs/>
                <w:color w:val="auto"/>
                <w:highlight w:val="none"/>
              </w:rPr>
              <w:t>优（</w:t>
            </w:r>
            <w:r>
              <w:rPr>
                <w:rFonts w:hint="eastAsia"/>
                <w:b/>
                <w:bCs/>
                <w:color w:val="auto"/>
                <w:highlight w:val="none"/>
                <w:lang w:val="en-US" w:eastAsia="zh-CN"/>
              </w:rPr>
              <w:t>5</w:t>
            </w:r>
            <w:r>
              <w:rPr>
                <w:b/>
                <w:bCs/>
                <w:color w:val="auto"/>
                <w:highlight w:val="none"/>
              </w:rPr>
              <w:t>分）：</w:t>
            </w:r>
            <w:r>
              <w:rPr>
                <w:color w:val="auto"/>
                <w:highlight w:val="none"/>
              </w:rPr>
              <w:t>完全满足施工需要</w:t>
            </w:r>
            <w:r>
              <w:rPr>
                <w:rFonts w:hint="eastAsia"/>
                <w:color w:val="auto"/>
                <w:highlight w:val="none"/>
                <w:lang w:eastAsia="zh-CN"/>
              </w:rPr>
              <w:t>，</w:t>
            </w:r>
            <w:r>
              <w:rPr>
                <w:rFonts w:hint="eastAsia"/>
                <w:color w:val="auto"/>
                <w:highlight w:val="none"/>
                <w:lang w:val="en-US" w:eastAsia="zh-CN"/>
              </w:rPr>
              <w:t>管理人员具备工程类专业中级（含）以上职称的不低于3人</w:t>
            </w:r>
            <w:r>
              <w:rPr>
                <w:color w:val="auto"/>
                <w:highlight w:val="none"/>
              </w:rPr>
              <w:t>。</w:t>
            </w:r>
          </w:p>
          <w:p w14:paraId="307B9EDA">
            <w:pPr>
              <w:keepNext w:val="0"/>
              <w:keepLines w:val="0"/>
              <w:pageBreakBefore w:val="0"/>
              <w:kinsoku/>
              <w:wordWrap/>
              <w:overflowPunct/>
              <w:topLinePunct w:val="0"/>
              <w:bidi w:val="0"/>
              <w:snapToGrid/>
              <w:spacing w:line="360" w:lineRule="exact"/>
              <w:jc w:val="left"/>
              <w:rPr>
                <w:rFonts w:hint="eastAsia" w:ascii="Times New Roman" w:hAnsi="Times New Roman" w:eastAsia="宋体" w:cs="Times New Roman"/>
                <w:color w:val="auto"/>
                <w:kern w:val="2"/>
                <w:sz w:val="21"/>
                <w:szCs w:val="24"/>
                <w:highlight w:val="none"/>
                <w:lang w:val="en-US" w:eastAsia="zh-CN" w:bidi="ar-SA"/>
              </w:rPr>
            </w:pPr>
            <w:r>
              <w:rPr>
                <w:rFonts w:hint="eastAsia"/>
                <w:b/>
                <w:bCs/>
                <w:color w:val="auto"/>
                <w:highlight w:val="none"/>
                <w:lang w:val="en-US" w:eastAsia="zh-CN"/>
              </w:rPr>
              <w:t>注：未提供该项方案或未达到最低档要求不得分</w:t>
            </w:r>
            <w:r>
              <w:rPr>
                <w:rFonts w:hint="eastAsia"/>
                <w:b/>
                <w:bCs/>
                <w:color w:val="auto"/>
                <w:highlight w:val="none"/>
                <w:lang w:eastAsia="zh-CN"/>
              </w:rPr>
              <w:t>。</w:t>
            </w:r>
          </w:p>
        </w:tc>
        <w:tc>
          <w:tcPr>
            <w:tcW w:w="836" w:type="dxa"/>
            <w:noWrap w:val="0"/>
            <w:vAlign w:val="center"/>
          </w:tcPr>
          <w:p w14:paraId="5698D96B">
            <w:pPr>
              <w:keepNext w:val="0"/>
              <w:keepLines w:val="0"/>
              <w:pageBreakBefore w:val="0"/>
              <w:kinsoku/>
              <w:wordWrap/>
              <w:overflowPunct/>
              <w:topLinePunct w:val="0"/>
              <w:bidi w:val="0"/>
              <w:snapToGrid/>
              <w:spacing w:line="360" w:lineRule="exact"/>
              <w:jc w:val="center"/>
              <w:rPr>
                <w:rFonts w:hint="eastAsia" w:ascii="宋体" w:hAnsi="宋体" w:eastAsia="宋体" w:cs="Tahoma"/>
                <w:color w:val="auto"/>
                <w:kern w:val="0"/>
                <w:sz w:val="21"/>
                <w:szCs w:val="21"/>
                <w:highlight w:val="none"/>
                <w:lang w:val="en-US" w:eastAsia="zh-CN" w:bidi="ar-SA"/>
              </w:rPr>
            </w:pPr>
            <w:r>
              <w:rPr>
                <w:rFonts w:hint="eastAsia" w:ascii="宋体" w:hAnsi="宋体" w:cs="Tahoma"/>
                <w:color w:val="auto"/>
                <w:kern w:val="0"/>
                <w:szCs w:val="21"/>
                <w:highlight w:val="none"/>
                <w:lang w:val="en-US" w:eastAsia="zh-CN"/>
              </w:rPr>
              <w:t>5</w:t>
            </w:r>
            <w:r>
              <w:rPr>
                <w:rFonts w:hint="eastAsia" w:ascii="宋体" w:hAnsi="宋体" w:cs="Tahoma"/>
                <w:color w:val="auto"/>
                <w:kern w:val="0"/>
                <w:szCs w:val="21"/>
                <w:highlight w:val="none"/>
              </w:rPr>
              <w:t>分</w:t>
            </w:r>
          </w:p>
        </w:tc>
      </w:tr>
      <w:tr w14:paraId="4E4CF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1" w:type="dxa"/>
            <w:shd w:val="clear" w:color="auto" w:fill="D7D7D7" w:themeFill="background1" w:themeFillShade="D8"/>
            <w:noWrap w:val="0"/>
            <w:vAlign w:val="center"/>
          </w:tcPr>
          <w:p w14:paraId="22C036F5">
            <w:pPr>
              <w:keepNext w:val="0"/>
              <w:keepLines w:val="0"/>
              <w:pageBreakBefore w:val="0"/>
              <w:widowControl/>
              <w:kinsoku/>
              <w:wordWrap/>
              <w:overflowPunct/>
              <w:topLinePunct w:val="0"/>
              <w:bidi w:val="0"/>
              <w:snapToGrid/>
              <w:spacing w:line="360" w:lineRule="exact"/>
              <w:jc w:val="center"/>
              <w:rPr>
                <w:rFonts w:ascii="宋体" w:hAnsi="宋体" w:cs="Tahoma"/>
                <w:color w:val="auto"/>
                <w:kern w:val="0"/>
                <w:szCs w:val="21"/>
                <w:highlight w:val="none"/>
              </w:rPr>
            </w:pPr>
            <w:r>
              <w:rPr>
                <w:rFonts w:hint="eastAsia" w:ascii="宋体" w:hAnsi="宋体" w:cs="Tahoma"/>
                <w:color w:val="auto"/>
                <w:kern w:val="0"/>
                <w:szCs w:val="21"/>
                <w:highlight w:val="none"/>
              </w:rPr>
              <w:t>3</w:t>
            </w:r>
          </w:p>
        </w:tc>
        <w:tc>
          <w:tcPr>
            <w:tcW w:w="1547" w:type="dxa"/>
            <w:gridSpan w:val="2"/>
            <w:shd w:val="clear" w:color="auto" w:fill="D7D7D7" w:themeFill="background1" w:themeFillShade="D8"/>
            <w:noWrap w:val="0"/>
            <w:vAlign w:val="center"/>
          </w:tcPr>
          <w:p w14:paraId="6996BB68">
            <w:pPr>
              <w:keepNext w:val="0"/>
              <w:keepLines w:val="0"/>
              <w:pageBreakBefore w:val="0"/>
              <w:widowControl/>
              <w:kinsoku/>
              <w:wordWrap/>
              <w:overflowPunct/>
              <w:topLinePunct w:val="0"/>
              <w:bidi w:val="0"/>
              <w:snapToGrid/>
              <w:spacing w:line="360" w:lineRule="exact"/>
              <w:jc w:val="center"/>
              <w:rPr>
                <w:rFonts w:hint="eastAsia" w:ascii="宋体" w:hAnsi="宋体" w:cs="Courier New"/>
                <w:bCs/>
                <w:color w:val="auto"/>
                <w:szCs w:val="21"/>
                <w:highlight w:val="none"/>
              </w:rPr>
            </w:pPr>
            <w:r>
              <w:rPr>
                <w:rFonts w:hint="eastAsia" w:ascii="宋体" w:hAnsi="宋体" w:cs="Courier New"/>
                <w:bCs/>
                <w:color w:val="auto"/>
                <w:szCs w:val="21"/>
                <w:highlight w:val="none"/>
              </w:rPr>
              <w:t>商务分</w:t>
            </w:r>
          </w:p>
        </w:tc>
        <w:tc>
          <w:tcPr>
            <w:tcW w:w="7055" w:type="dxa"/>
            <w:shd w:val="clear" w:color="auto" w:fill="D7D7D7" w:themeFill="background1" w:themeFillShade="D8"/>
            <w:noWrap w:val="0"/>
            <w:vAlign w:val="center"/>
          </w:tcPr>
          <w:p w14:paraId="1B8385BF">
            <w:pPr>
              <w:keepNext w:val="0"/>
              <w:keepLines w:val="0"/>
              <w:pageBreakBefore w:val="0"/>
              <w:widowControl/>
              <w:kinsoku/>
              <w:wordWrap/>
              <w:overflowPunct/>
              <w:topLinePunct w:val="0"/>
              <w:bidi w:val="0"/>
              <w:snapToGrid/>
              <w:spacing w:line="360" w:lineRule="exact"/>
              <w:jc w:val="center"/>
              <w:rPr>
                <w:rFonts w:hint="eastAsia" w:ascii="宋体" w:hAnsi="宋体" w:cs="Tahoma"/>
                <w:color w:val="auto"/>
                <w:kern w:val="0"/>
                <w:szCs w:val="21"/>
                <w:highlight w:val="none"/>
              </w:rPr>
            </w:pPr>
            <w:r>
              <w:rPr>
                <w:rFonts w:hint="eastAsia" w:ascii="宋体" w:hAnsi="宋体" w:cs="Tahoma"/>
                <w:color w:val="auto"/>
                <w:kern w:val="0"/>
                <w:szCs w:val="21"/>
                <w:highlight w:val="none"/>
              </w:rPr>
              <w:t>评审标准</w:t>
            </w:r>
          </w:p>
        </w:tc>
        <w:tc>
          <w:tcPr>
            <w:tcW w:w="836" w:type="dxa"/>
            <w:shd w:val="clear" w:color="auto" w:fill="D7D7D7" w:themeFill="background1" w:themeFillShade="D8"/>
            <w:noWrap w:val="0"/>
            <w:vAlign w:val="center"/>
          </w:tcPr>
          <w:p w14:paraId="0679C192">
            <w:pPr>
              <w:keepNext w:val="0"/>
              <w:keepLines w:val="0"/>
              <w:pageBreakBefore w:val="0"/>
              <w:widowControl/>
              <w:kinsoku/>
              <w:wordWrap/>
              <w:overflowPunct/>
              <w:topLinePunct w:val="0"/>
              <w:bidi w:val="0"/>
              <w:snapToGrid/>
              <w:spacing w:line="360" w:lineRule="exact"/>
              <w:jc w:val="center"/>
              <w:rPr>
                <w:rFonts w:hint="eastAsia" w:ascii="宋体" w:hAnsi="宋体" w:cs="Tahoma"/>
                <w:color w:val="auto"/>
                <w:kern w:val="0"/>
                <w:szCs w:val="21"/>
                <w:highlight w:val="none"/>
              </w:rPr>
            </w:pPr>
            <w:r>
              <w:rPr>
                <w:rFonts w:hint="eastAsia" w:ascii="宋体" w:hAnsi="宋体" w:cs="Tahoma"/>
                <w:color w:val="auto"/>
                <w:kern w:val="0"/>
                <w:szCs w:val="21"/>
                <w:highlight w:val="none"/>
                <w:lang w:val="en-US" w:eastAsia="zh-CN"/>
              </w:rPr>
              <w:t>9</w:t>
            </w:r>
            <w:r>
              <w:rPr>
                <w:rFonts w:hint="eastAsia" w:ascii="宋体" w:hAnsi="宋体" w:cs="Tahoma"/>
                <w:color w:val="auto"/>
                <w:kern w:val="0"/>
                <w:szCs w:val="21"/>
                <w:highlight w:val="none"/>
              </w:rPr>
              <w:t>分</w:t>
            </w:r>
          </w:p>
        </w:tc>
      </w:tr>
      <w:tr w14:paraId="3EB75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1" w:type="dxa"/>
            <w:noWrap w:val="0"/>
            <w:vAlign w:val="center"/>
          </w:tcPr>
          <w:p w14:paraId="01BED3BF">
            <w:pPr>
              <w:keepNext w:val="0"/>
              <w:keepLines w:val="0"/>
              <w:pageBreakBefore w:val="0"/>
              <w:widowControl/>
              <w:kinsoku/>
              <w:wordWrap/>
              <w:overflowPunct/>
              <w:topLinePunct w:val="0"/>
              <w:bidi w:val="0"/>
              <w:snapToGrid/>
              <w:spacing w:line="360" w:lineRule="exact"/>
              <w:jc w:val="center"/>
              <w:rPr>
                <w:rFonts w:ascii="宋体" w:hAnsi="宋体" w:cs="Tahoma"/>
                <w:color w:val="auto"/>
                <w:kern w:val="0"/>
                <w:szCs w:val="21"/>
                <w:highlight w:val="none"/>
              </w:rPr>
            </w:pPr>
            <w:r>
              <w:rPr>
                <w:rFonts w:hint="eastAsia" w:ascii="宋体" w:hAnsi="宋体" w:cs="Tahoma"/>
                <w:color w:val="auto"/>
                <w:kern w:val="0"/>
                <w:szCs w:val="21"/>
                <w:highlight w:val="none"/>
              </w:rPr>
              <w:t>3.1</w:t>
            </w:r>
          </w:p>
        </w:tc>
        <w:tc>
          <w:tcPr>
            <w:tcW w:w="1547" w:type="dxa"/>
            <w:gridSpan w:val="2"/>
            <w:noWrap w:val="0"/>
            <w:vAlign w:val="center"/>
          </w:tcPr>
          <w:p w14:paraId="64BFF329">
            <w:pPr>
              <w:keepNext w:val="0"/>
              <w:keepLines w:val="0"/>
              <w:pageBreakBefore w:val="0"/>
              <w:kinsoku/>
              <w:wordWrap/>
              <w:overflowPunct/>
              <w:topLinePunct w:val="0"/>
              <w:bidi w:val="0"/>
              <w:snapToGrid/>
              <w:spacing w:line="360" w:lineRule="exact"/>
              <w:jc w:val="center"/>
              <w:rPr>
                <w:rFonts w:hint="eastAsia" w:ascii="宋体" w:hAnsi="宋体"/>
                <w:color w:val="auto"/>
                <w:szCs w:val="21"/>
                <w:highlight w:val="none"/>
              </w:rPr>
            </w:pPr>
            <w:r>
              <w:rPr>
                <w:rFonts w:hint="eastAsia" w:ascii="宋体" w:hAnsi="宋体"/>
                <w:color w:val="auto"/>
                <w:szCs w:val="21"/>
                <w:highlight w:val="none"/>
              </w:rPr>
              <w:t>业绩</w:t>
            </w:r>
            <w:r>
              <w:rPr>
                <w:rFonts w:ascii="宋体" w:hAnsi="宋体"/>
                <w:color w:val="auto"/>
                <w:szCs w:val="21"/>
                <w:highlight w:val="none"/>
              </w:rPr>
              <w:t>分</w:t>
            </w:r>
            <w:r>
              <w:rPr>
                <w:rFonts w:hint="eastAsia" w:ascii="宋体" w:hAnsi="宋体"/>
                <w:color w:val="auto"/>
                <w:szCs w:val="21"/>
                <w:highlight w:val="none"/>
              </w:rPr>
              <w:t>（</w:t>
            </w:r>
            <w:r>
              <w:rPr>
                <w:rFonts w:hint="eastAsia" w:ascii="宋体" w:hAnsi="宋体"/>
                <w:color w:val="auto"/>
                <w:szCs w:val="21"/>
                <w:highlight w:val="none"/>
                <w:lang w:val="en-US" w:eastAsia="zh-CN"/>
              </w:rPr>
              <w:t>6</w:t>
            </w:r>
            <w:r>
              <w:rPr>
                <w:rFonts w:hint="eastAsia" w:ascii="宋体" w:hAnsi="宋体"/>
                <w:color w:val="auto"/>
                <w:szCs w:val="21"/>
                <w:highlight w:val="none"/>
              </w:rPr>
              <w:t>分）</w:t>
            </w:r>
          </w:p>
        </w:tc>
        <w:tc>
          <w:tcPr>
            <w:tcW w:w="7055" w:type="dxa"/>
            <w:noWrap w:val="0"/>
            <w:vAlign w:val="center"/>
          </w:tcPr>
          <w:p w14:paraId="5D92099A">
            <w:pPr>
              <w:keepNext w:val="0"/>
              <w:keepLines w:val="0"/>
              <w:pageBreakBefore w:val="0"/>
              <w:kinsoku/>
              <w:wordWrap/>
              <w:overflowPunct/>
              <w:topLinePunct w:val="0"/>
              <w:autoSpaceDE w:val="0"/>
              <w:autoSpaceDN w:val="0"/>
              <w:bidi w:val="0"/>
              <w:adjustRightInd w:val="0"/>
              <w:snapToGrid/>
              <w:spacing w:line="360" w:lineRule="exact"/>
              <w:ind w:firstLine="306" w:firstLineChars="146"/>
              <w:rPr>
                <w:rFonts w:hint="eastAsia" w:ascii="宋体" w:hAnsi="宋体"/>
                <w:color w:val="auto"/>
                <w:kern w:val="0"/>
                <w:szCs w:val="21"/>
                <w:highlight w:val="none"/>
              </w:rPr>
            </w:pPr>
            <w:r>
              <w:rPr>
                <w:rFonts w:hint="eastAsia" w:ascii="宋体" w:hAnsi="宋体"/>
                <w:color w:val="auto"/>
                <w:kern w:val="0"/>
                <w:szCs w:val="21"/>
                <w:highlight w:val="none"/>
              </w:rPr>
              <w:t>供应商</w:t>
            </w:r>
            <w:r>
              <w:rPr>
                <w:rFonts w:hint="eastAsia" w:ascii="宋体" w:hAnsi="宋体"/>
                <w:color w:val="auto"/>
                <w:kern w:val="0"/>
                <w:szCs w:val="21"/>
                <w:highlight w:val="none"/>
                <w:lang w:val="en-US" w:eastAsia="zh-CN"/>
              </w:rPr>
              <w:t>2023年1月以来</w:t>
            </w:r>
            <w:r>
              <w:rPr>
                <w:rFonts w:hint="eastAsia" w:ascii="宋体" w:hAnsi="宋体"/>
                <w:color w:val="auto"/>
                <w:kern w:val="0"/>
                <w:szCs w:val="21"/>
                <w:highlight w:val="none"/>
              </w:rPr>
              <w:t>完成</w:t>
            </w:r>
            <w:r>
              <w:rPr>
                <w:rFonts w:hint="eastAsia" w:ascii="宋体" w:hAnsi="宋体"/>
                <w:color w:val="auto"/>
                <w:kern w:val="0"/>
                <w:szCs w:val="21"/>
                <w:highlight w:val="none"/>
                <w:lang w:val="en-US" w:eastAsia="zh-CN"/>
              </w:rPr>
              <w:t>或正在实施的与本项目采购需求相类似的施工业绩的</w:t>
            </w:r>
            <w:r>
              <w:rPr>
                <w:rFonts w:hint="eastAsia" w:ascii="宋体" w:hAnsi="宋体"/>
                <w:color w:val="auto"/>
                <w:kern w:val="0"/>
                <w:szCs w:val="21"/>
                <w:highlight w:val="none"/>
              </w:rPr>
              <w:t>，每提供1个</w:t>
            </w:r>
            <w:r>
              <w:rPr>
                <w:rFonts w:hint="eastAsia" w:ascii="宋体" w:hAnsi="宋体"/>
                <w:color w:val="auto"/>
                <w:kern w:val="0"/>
                <w:szCs w:val="21"/>
                <w:highlight w:val="none"/>
                <w:lang w:val="en-US" w:eastAsia="zh-CN"/>
              </w:rPr>
              <w:t>业绩</w:t>
            </w:r>
            <w:r>
              <w:rPr>
                <w:rFonts w:hint="eastAsia"/>
                <w:color w:val="auto"/>
                <w:highlight w:val="none"/>
                <w:lang w:val="en-US" w:eastAsia="zh-CN"/>
              </w:rPr>
              <w:t>得</w:t>
            </w:r>
            <w:r>
              <w:rPr>
                <w:rFonts w:hint="default"/>
                <w:color w:val="auto"/>
                <w:highlight w:val="none"/>
                <w:lang w:val="en" w:eastAsia="zh-CN"/>
              </w:rPr>
              <w:t>3</w:t>
            </w:r>
            <w:r>
              <w:rPr>
                <w:rFonts w:hint="eastAsia"/>
                <w:color w:val="auto"/>
                <w:highlight w:val="none"/>
              </w:rPr>
              <w:t>分</w:t>
            </w:r>
            <w:r>
              <w:rPr>
                <w:rFonts w:hint="eastAsia" w:ascii="宋体" w:hAnsi="宋体"/>
                <w:color w:val="auto"/>
                <w:kern w:val="0"/>
                <w:szCs w:val="21"/>
                <w:highlight w:val="none"/>
                <w:lang w:eastAsia="zh-CN"/>
              </w:rPr>
              <w:t>。</w:t>
            </w:r>
            <w:r>
              <w:rPr>
                <w:rFonts w:hint="eastAsia" w:ascii="宋体" w:hAnsi="宋体"/>
                <w:color w:val="auto"/>
                <w:kern w:val="0"/>
                <w:szCs w:val="21"/>
                <w:highlight w:val="none"/>
              </w:rPr>
              <w:t>此项满分</w:t>
            </w:r>
            <w:r>
              <w:rPr>
                <w:rFonts w:hint="eastAsia" w:ascii="宋体" w:hAnsi="宋体"/>
                <w:color w:val="auto"/>
                <w:kern w:val="0"/>
                <w:szCs w:val="21"/>
                <w:highlight w:val="none"/>
                <w:lang w:val="en-US" w:eastAsia="zh-CN"/>
              </w:rPr>
              <w:t>6</w:t>
            </w:r>
            <w:r>
              <w:rPr>
                <w:rFonts w:hint="eastAsia" w:ascii="宋体" w:hAnsi="宋体"/>
                <w:color w:val="auto"/>
                <w:kern w:val="0"/>
                <w:szCs w:val="21"/>
                <w:highlight w:val="none"/>
              </w:rPr>
              <w:t>分。</w:t>
            </w:r>
          </w:p>
          <w:p w14:paraId="457C8355">
            <w:pPr>
              <w:keepNext w:val="0"/>
              <w:keepLines w:val="0"/>
              <w:pageBreakBefore w:val="0"/>
              <w:kinsoku/>
              <w:wordWrap/>
              <w:overflowPunct/>
              <w:topLinePunct w:val="0"/>
              <w:autoSpaceDE w:val="0"/>
              <w:autoSpaceDN w:val="0"/>
              <w:bidi w:val="0"/>
              <w:adjustRightInd w:val="0"/>
              <w:snapToGrid/>
              <w:spacing w:line="360" w:lineRule="exact"/>
              <w:rPr>
                <w:rFonts w:ascii="宋体" w:hAnsi="宋体" w:cs="宋体"/>
                <w:color w:val="auto"/>
                <w:szCs w:val="21"/>
                <w:highlight w:val="none"/>
              </w:rPr>
            </w:pPr>
            <w:r>
              <w:rPr>
                <w:rFonts w:hint="eastAsia" w:ascii="宋体" w:hAnsi="宋体"/>
                <w:color w:val="auto"/>
                <w:kern w:val="0"/>
                <w:szCs w:val="21"/>
                <w:highlight w:val="none"/>
              </w:rPr>
              <w:t>（以上均须在响应</w:t>
            </w:r>
            <w:r>
              <w:rPr>
                <w:rFonts w:ascii="宋体" w:hAnsi="宋体"/>
                <w:color w:val="auto"/>
                <w:kern w:val="0"/>
                <w:szCs w:val="21"/>
                <w:highlight w:val="none"/>
              </w:rPr>
              <w:t>文件中</w:t>
            </w:r>
            <w:r>
              <w:rPr>
                <w:rFonts w:hint="eastAsia" w:ascii="宋体" w:hAnsi="宋体"/>
                <w:color w:val="auto"/>
                <w:kern w:val="0"/>
                <w:szCs w:val="21"/>
                <w:highlight w:val="none"/>
              </w:rPr>
              <w:t>提供合同书复印件，复印件加盖供应商公章）</w:t>
            </w:r>
          </w:p>
        </w:tc>
        <w:tc>
          <w:tcPr>
            <w:tcW w:w="836" w:type="dxa"/>
            <w:noWrap w:val="0"/>
            <w:vAlign w:val="center"/>
          </w:tcPr>
          <w:p w14:paraId="2FAB6A3D">
            <w:pPr>
              <w:keepNext w:val="0"/>
              <w:keepLines w:val="0"/>
              <w:pageBreakBefore w:val="0"/>
              <w:widowControl/>
              <w:kinsoku/>
              <w:wordWrap/>
              <w:overflowPunct/>
              <w:topLinePunct w:val="0"/>
              <w:bidi w:val="0"/>
              <w:snapToGrid/>
              <w:spacing w:line="360" w:lineRule="exact"/>
              <w:jc w:val="center"/>
              <w:rPr>
                <w:rFonts w:ascii="宋体" w:hAnsi="宋体" w:cs="Tahoma"/>
                <w:color w:val="auto"/>
                <w:kern w:val="0"/>
                <w:szCs w:val="21"/>
                <w:highlight w:val="none"/>
              </w:rPr>
            </w:pPr>
            <w:r>
              <w:rPr>
                <w:rFonts w:hint="eastAsia" w:ascii="宋体" w:hAnsi="宋体" w:cs="Tahoma"/>
                <w:color w:val="auto"/>
                <w:kern w:val="0"/>
                <w:szCs w:val="21"/>
                <w:highlight w:val="none"/>
                <w:lang w:val="en-US" w:eastAsia="zh-CN"/>
              </w:rPr>
              <w:t>6</w:t>
            </w:r>
            <w:r>
              <w:rPr>
                <w:rFonts w:hint="eastAsia" w:ascii="宋体" w:hAnsi="宋体" w:cs="Tahoma"/>
                <w:color w:val="auto"/>
                <w:kern w:val="0"/>
                <w:szCs w:val="21"/>
                <w:highlight w:val="none"/>
              </w:rPr>
              <w:t>分</w:t>
            </w:r>
          </w:p>
        </w:tc>
      </w:tr>
      <w:tr w14:paraId="124AA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81" w:type="dxa"/>
            <w:noWrap w:val="0"/>
            <w:vAlign w:val="center"/>
          </w:tcPr>
          <w:p w14:paraId="6114E3EB">
            <w:pPr>
              <w:keepNext w:val="0"/>
              <w:keepLines w:val="0"/>
              <w:pageBreakBefore w:val="0"/>
              <w:widowControl/>
              <w:kinsoku/>
              <w:wordWrap/>
              <w:overflowPunct/>
              <w:topLinePunct w:val="0"/>
              <w:bidi w:val="0"/>
              <w:snapToGrid/>
              <w:spacing w:line="360" w:lineRule="exact"/>
              <w:jc w:val="center"/>
              <w:rPr>
                <w:rFonts w:hint="eastAsia" w:ascii="宋体" w:hAnsi="宋体" w:cs="Tahoma"/>
                <w:color w:val="auto"/>
                <w:kern w:val="0"/>
                <w:szCs w:val="21"/>
                <w:highlight w:val="none"/>
              </w:rPr>
            </w:pPr>
            <w:r>
              <w:rPr>
                <w:rFonts w:hint="eastAsia" w:ascii="宋体" w:hAnsi="宋体" w:cs="Tahoma"/>
                <w:color w:val="auto"/>
                <w:kern w:val="0"/>
                <w:szCs w:val="21"/>
                <w:highlight w:val="none"/>
              </w:rPr>
              <w:t>3.2</w:t>
            </w:r>
          </w:p>
        </w:tc>
        <w:tc>
          <w:tcPr>
            <w:tcW w:w="1547" w:type="dxa"/>
            <w:gridSpan w:val="2"/>
            <w:noWrap w:val="0"/>
            <w:vAlign w:val="center"/>
          </w:tcPr>
          <w:p w14:paraId="4EA81432">
            <w:pPr>
              <w:keepNext w:val="0"/>
              <w:keepLines w:val="0"/>
              <w:pageBreakBefore w:val="0"/>
              <w:kinsoku/>
              <w:wordWrap/>
              <w:overflowPunct/>
              <w:topLinePunct w:val="0"/>
              <w:bidi w:val="0"/>
              <w:snapToGrid/>
              <w:spacing w:line="360" w:lineRule="exact"/>
              <w:jc w:val="center"/>
              <w:rPr>
                <w:rFonts w:hint="eastAsia" w:ascii="宋体" w:hAnsi="宋体"/>
                <w:color w:val="auto"/>
                <w:szCs w:val="21"/>
                <w:highlight w:val="none"/>
              </w:rPr>
            </w:pPr>
            <w:r>
              <w:rPr>
                <w:rFonts w:hint="eastAsia" w:ascii="宋体" w:hAnsi="宋体"/>
                <w:color w:val="auto"/>
                <w:szCs w:val="21"/>
                <w:highlight w:val="none"/>
              </w:rPr>
              <w:t>信誉</w:t>
            </w:r>
            <w:r>
              <w:rPr>
                <w:rFonts w:ascii="宋体" w:hAnsi="宋体"/>
                <w:color w:val="auto"/>
                <w:szCs w:val="21"/>
                <w:highlight w:val="none"/>
              </w:rPr>
              <w:t>分</w:t>
            </w:r>
            <w:r>
              <w:rPr>
                <w:rFonts w:hint="eastAsia" w:ascii="宋体" w:hAnsi="宋体"/>
                <w:color w:val="auto"/>
                <w:szCs w:val="21"/>
                <w:highlight w:val="none"/>
              </w:rPr>
              <w:t>（</w:t>
            </w:r>
            <w:r>
              <w:rPr>
                <w:rFonts w:hint="eastAsia" w:ascii="宋体" w:hAnsi="宋体"/>
                <w:color w:val="auto"/>
                <w:szCs w:val="21"/>
                <w:highlight w:val="none"/>
                <w:lang w:val="en-US" w:eastAsia="zh-CN"/>
              </w:rPr>
              <w:t>3</w:t>
            </w:r>
            <w:r>
              <w:rPr>
                <w:rFonts w:hint="eastAsia" w:ascii="宋体" w:hAnsi="宋体"/>
                <w:color w:val="auto"/>
                <w:szCs w:val="21"/>
                <w:highlight w:val="none"/>
              </w:rPr>
              <w:t>分）</w:t>
            </w:r>
          </w:p>
        </w:tc>
        <w:tc>
          <w:tcPr>
            <w:tcW w:w="7055" w:type="dxa"/>
            <w:noWrap w:val="0"/>
            <w:vAlign w:val="center"/>
          </w:tcPr>
          <w:p w14:paraId="6F30385C">
            <w:pPr>
              <w:keepNext w:val="0"/>
              <w:keepLines w:val="0"/>
              <w:pageBreakBefore w:val="0"/>
              <w:numPr>
                <w:ilvl w:val="-1"/>
                <w:numId w:val="0"/>
              </w:numPr>
              <w:kinsoku/>
              <w:wordWrap/>
              <w:overflowPunct/>
              <w:topLinePunct w:val="0"/>
              <w:autoSpaceDE w:val="0"/>
              <w:autoSpaceDN w:val="0"/>
              <w:bidi w:val="0"/>
              <w:adjustRightInd w:val="0"/>
              <w:snapToGrid/>
              <w:spacing w:line="360" w:lineRule="exact"/>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供应商具备ISO质量管理体系、ISO环境管理体系、职业健康安全管理体系认证且在有效期内的，</w:t>
            </w:r>
            <w:r>
              <w:rPr>
                <w:rFonts w:ascii="宋体" w:hAnsi="宋体"/>
                <w:color w:val="auto"/>
                <w:kern w:val="0"/>
                <w:szCs w:val="21"/>
                <w:highlight w:val="none"/>
              </w:rPr>
              <w:t>每具备</w:t>
            </w:r>
            <w:r>
              <w:rPr>
                <w:rFonts w:hint="eastAsia" w:ascii="宋体" w:hAnsi="宋体"/>
                <w:color w:val="auto"/>
                <w:kern w:val="0"/>
                <w:szCs w:val="21"/>
                <w:highlight w:val="none"/>
              </w:rPr>
              <w:t>1个</w:t>
            </w:r>
            <w:r>
              <w:rPr>
                <w:rFonts w:ascii="宋体" w:hAnsi="宋体"/>
                <w:color w:val="auto"/>
                <w:kern w:val="0"/>
                <w:szCs w:val="21"/>
                <w:highlight w:val="none"/>
              </w:rPr>
              <w:t>认证</w:t>
            </w:r>
            <w:r>
              <w:rPr>
                <w:rFonts w:hint="eastAsia" w:ascii="宋体" w:hAnsi="宋体"/>
                <w:color w:val="auto"/>
                <w:kern w:val="0"/>
                <w:szCs w:val="21"/>
                <w:highlight w:val="none"/>
              </w:rPr>
              <w:t>得</w:t>
            </w:r>
            <w:r>
              <w:rPr>
                <w:rFonts w:hint="eastAsia" w:ascii="宋体" w:hAnsi="宋体"/>
                <w:color w:val="auto"/>
                <w:kern w:val="0"/>
                <w:szCs w:val="21"/>
                <w:highlight w:val="none"/>
                <w:lang w:val="en-US" w:eastAsia="zh-CN"/>
              </w:rPr>
              <w:t>1</w:t>
            </w:r>
            <w:r>
              <w:rPr>
                <w:rFonts w:hint="eastAsia" w:ascii="宋体" w:hAnsi="宋体"/>
                <w:color w:val="auto"/>
                <w:kern w:val="0"/>
                <w:szCs w:val="21"/>
                <w:highlight w:val="none"/>
              </w:rPr>
              <w:t>分，满分</w:t>
            </w:r>
            <w:r>
              <w:rPr>
                <w:rFonts w:hint="eastAsia" w:ascii="宋体" w:hAnsi="宋体"/>
                <w:color w:val="auto"/>
                <w:kern w:val="0"/>
                <w:szCs w:val="21"/>
                <w:highlight w:val="none"/>
                <w:lang w:val="en-US" w:eastAsia="zh-CN"/>
              </w:rPr>
              <w:t>3</w:t>
            </w:r>
            <w:r>
              <w:rPr>
                <w:rFonts w:hint="eastAsia" w:ascii="宋体" w:hAnsi="宋体"/>
                <w:color w:val="auto"/>
                <w:kern w:val="0"/>
                <w:szCs w:val="21"/>
                <w:highlight w:val="none"/>
              </w:rPr>
              <w:t>分。（响应</w:t>
            </w:r>
            <w:r>
              <w:rPr>
                <w:rFonts w:ascii="宋体" w:hAnsi="宋体"/>
                <w:color w:val="auto"/>
                <w:kern w:val="0"/>
                <w:szCs w:val="21"/>
                <w:highlight w:val="none"/>
              </w:rPr>
              <w:t>文件中</w:t>
            </w:r>
            <w:r>
              <w:rPr>
                <w:rFonts w:hint="eastAsia" w:ascii="宋体" w:hAnsi="宋体"/>
                <w:color w:val="auto"/>
                <w:kern w:val="0"/>
                <w:szCs w:val="21"/>
                <w:highlight w:val="none"/>
              </w:rPr>
              <w:t>提供认证证书复印件</w:t>
            </w:r>
            <w:r>
              <w:rPr>
                <w:rFonts w:hint="eastAsia" w:ascii="宋体" w:hAnsi="宋体"/>
                <w:color w:val="auto"/>
                <w:kern w:val="0"/>
                <w:szCs w:val="21"/>
                <w:highlight w:val="none"/>
                <w:lang w:val="en-US" w:eastAsia="zh-CN"/>
              </w:rPr>
              <w:t>和</w:t>
            </w:r>
            <w:r>
              <w:rPr>
                <w:rFonts w:hint="eastAsia" w:ascii="宋体" w:hAnsi="宋体"/>
                <w:bCs/>
                <w:color w:val="auto"/>
                <w:highlight w:val="none"/>
                <w:lang w:val="en-US" w:eastAsia="zh-CN"/>
              </w:rPr>
              <w:t>国家市场监督管理总局全国认证认可信息公共服务平台官网查询截图并加盖供应商公章</w:t>
            </w:r>
            <w:r>
              <w:rPr>
                <w:rFonts w:hint="eastAsia" w:ascii="宋体" w:hAnsi="宋体"/>
                <w:color w:val="auto"/>
                <w:kern w:val="0"/>
                <w:szCs w:val="21"/>
                <w:highlight w:val="none"/>
              </w:rPr>
              <w:t>）</w:t>
            </w:r>
          </w:p>
        </w:tc>
        <w:tc>
          <w:tcPr>
            <w:tcW w:w="836" w:type="dxa"/>
            <w:noWrap w:val="0"/>
            <w:vAlign w:val="center"/>
          </w:tcPr>
          <w:p w14:paraId="5ECBD8EF">
            <w:pPr>
              <w:keepNext w:val="0"/>
              <w:keepLines w:val="0"/>
              <w:pageBreakBefore w:val="0"/>
              <w:widowControl/>
              <w:kinsoku/>
              <w:wordWrap/>
              <w:overflowPunct/>
              <w:topLinePunct w:val="0"/>
              <w:bidi w:val="0"/>
              <w:snapToGrid/>
              <w:spacing w:line="360" w:lineRule="exact"/>
              <w:jc w:val="center"/>
              <w:rPr>
                <w:rFonts w:ascii="宋体" w:hAnsi="宋体" w:cs="Tahoma"/>
                <w:color w:val="auto"/>
                <w:kern w:val="0"/>
                <w:szCs w:val="21"/>
                <w:highlight w:val="none"/>
              </w:rPr>
            </w:pPr>
            <w:r>
              <w:rPr>
                <w:rFonts w:hint="default" w:ascii="宋体" w:hAnsi="宋体" w:cs="Tahoma"/>
                <w:color w:val="auto"/>
                <w:kern w:val="0"/>
                <w:szCs w:val="21"/>
                <w:highlight w:val="none"/>
                <w:lang w:val="en" w:eastAsia="zh-CN"/>
              </w:rPr>
              <w:t>3</w:t>
            </w:r>
            <w:r>
              <w:rPr>
                <w:rFonts w:hint="eastAsia" w:ascii="宋体" w:hAnsi="宋体" w:cs="Tahoma"/>
                <w:color w:val="auto"/>
                <w:kern w:val="0"/>
                <w:szCs w:val="21"/>
                <w:highlight w:val="none"/>
              </w:rPr>
              <w:t>分</w:t>
            </w:r>
          </w:p>
        </w:tc>
      </w:tr>
      <w:tr w14:paraId="5619F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83" w:type="dxa"/>
            <w:gridSpan w:val="4"/>
            <w:noWrap w:val="0"/>
            <w:vAlign w:val="top"/>
          </w:tcPr>
          <w:p w14:paraId="3593115D">
            <w:pPr>
              <w:pStyle w:val="24"/>
              <w:keepNext w:val="0"/>
              <w:keepLines w:val="0"/>
              <w:pageBreakBefore w:val="0"/>
              <w:kinsoku/>
              <w:wordWrap/>
              <w:overflowPunct/>
              <w:topLinePunct w:val="0"/>
              <w:bidi w:val="0"/>
              <w:snapToGrid/>
              <w:spacing w:line="360" w:lineRule="exact"/>
              <w:ind w:firstLine="420" w:firstLineChars="200"/>
              <w:rPr>
                <w:rFonts w:hAnsi="宋体" w:cs="Courier New"/>
                <w:bCs/>
                <w:color w:val="auto"/>
                <w:kern w:val="2"/>
                <w:sz w:val="21"/>
                <w:highlight w:val="none"/>
              </w:rPr>
            </w:pPr>
            <w:r>
              <w:rPr>
                <w:rFonts w:hint="eastAsia" w:hAnsi="宋体" w:cs="Courier New"/>
                <w:bCs/>
                <w:color w:val="auto"/>
                <w:kern w:val="2"/>
                <w:sz w:val="21"/>
                <w:highlight w:val="none"/>
              </w:rPr>
              <w:t>总得分＝1＋2＋3</w:t>
            </w:r>
          </w:p>
        </w:tc>
        <w:tc>
          <w:tcPr>
            <w:tcW w:w="836" w:type="dxa"/>
            <w:noWrap w:val="0"/>
            <w:vAlign w:val="center"/>
          </w:tcPr>
          <w:p w14:paraId="23D443C5">
            <w:pPr>
              <w:keepNext w:val="0"/>
              <w:keepLines w:val="0"/>
              <w:pageBreakBefore w:val="0"/>
              <w:widowControl/>
              <w:kinsoku/>
              <w:wordWrap/>
              <w:overflowPunct/>
              <w:topLinePunct w:val="0"/>
              <w:bidi w:val="0"/>
              <w:snapToGrid/>
              <w:spacing w:line="360" w:lineRule="exact"/>
              <w:jc w:val="center"/>
              <w:rPr>
                <w:rFonts w:ascii="宋体" w:hAnsi="宋体" w:cs="Tahoma"/>
                <w:color w:val="auto"/>
                <w:kern w:val="0"/>
                <w:szCs w:val="21"/>
                <w:highlight w:val="none"/>
              </w:rPr>
            </w:pPr>
            <w:r>
              <w:rPr>
                <w:rFonts w:hint="eastAsia" w:ascii="宋体" w:hAnsi="宋体" w:cs="Tahoma"/>
                <w:color w:val="auto"/>
                <w:kern w:val="0"/>
                <w:szCs w:val="21"/>
                <w:highlight w:val="none"/>
              </w:rPr>
              <w:t>100分</w:t>
            </w:r>
          </w:p>
        </w:tc>
      </w:tr>
    </w:tbl>
    <w:p w14:paraId="088832EF">
      <w:pPr>
        <w:spacing w:line="360" w:lineRule="auto"/>
        <w:ind w:firstLine="420" w:firstLineChars="200"/>
        <w:rPr>
          <w:rFonts w:hint="eastAsia" w:ascii="宋体" w:hAnsi="宋体" w:eastAsia="宋体" w:cs="Times New Roman"/>
          <w:bCs/>
          <w:color w:val="auto"/>
          <w:szCs w:val="21"/>
          <w:highlight w:val="none"/>
        </w:rPr>
      </w:pPr>
    </w:p>
    <w:p w14:paraId="1A5EFD2C">
      <w:pPr>
        <w:pStyle w:val="2"/>
        <w:jc w:val="center"/>
        <w:rPr>
          <w:color w:val="auto"/>
          <w:highlight w:val="none"/>
        </w:rPr>
      </w:pPr>
      <w:r>
        <w:rPr>
          <w:rFonts w:ascii="宋体" w:hAnsi="宋体" w:cs="宋体"/>
          <w:color w:val="auto"/>
          <w:highlight w:val="none"/>
        </w:rPr>
        <w:br w:type="page"/>
      </w:r>
      <w:bookmarkStart w:id="81" w:name="_Toc30067"/>
      <w:r>
        <w:rPr>
          <w:rFonts w:hint="eastAsia"/>
          <w:color w:val="auto"/>
          <w:highlight w:val="none"/>
        </w:rPr>
        <w:t>第五章工程量清单及图纸</w:t>
      </w:r>
      <w:bookmarkEnd w:id="81"/>
    </w:p>
    <w:p w14:paraId="267A09B5">
      <w:pPr>
        <w:pStyle w:val="3"/>
        <w:spacing w:before="0" w:after="0" w:line="360" w:lineRule="auto"/>
        <w:rPr>
          <w:rFonts w:hint="eastAsia" w:cs="黑体"/>
          <w:color w:val="auto"/>
          <w:highlight w:val="none"/>
        </w:rPr>
      </w:pPr>
      <w:r>
        <w:rPr>
          <w:rFonts w:hint="eastAsia" w:cs="黑体"/>
          <w:color w:val="auto"/>
          <w:highlight w:val="none"/>
        </w:rPr>
        <w:t>工程量</w:t>
      </w:r>
      <w:r>
        <w:rPr>
          <w:rFonts w:cs="黑体"/>
          <w:color w:val="auto"/>
          <w:highlight w:val="none"/>
        </w:rPr>
        <w:t>清单和</w:t>
      </w:r>
      <w:r>
        <w:rPr>
          <w:rFonts w:hint="eastAsia" w:cs="黑体"/>
          <w:color w:val="auto"/>
          <w:highlight w:val="none"/>
        </w:rPr>
        <w:t>图纸另册</w:t>
      </w:r>
      <w:r>
        <w:rPr>
          <w:rFonts w:hint="eastAsia" w:cs="黑体"/>
          <w:color w:val="auto"/>
          <w:highlight w:val="none"/>
          <w:lang w:val="en-US" w:eastAsia="zh-CN"/>
        </w:rPr>
        <w:t>发放，供应商可自行在“广西政府采购云”平台（https://www.gcy.zfcg.gxzf.gov.cn）下载相关资料。</w:t>
      </w:r>
    </w:p>
    <w:p w14:paraId="6866F883">
      <w:pPr>
        <w:pStyle w:val="2"/>
        <w:spacing w:before="0" w:after="0" w:line="360" w:lineRule="auto"/>
        <w:jc w:val="center"/>
        <w:rPr>
          <w:rFonts w:ascii="宋体" w:hAnsi="宋体" w:cs="宋体"/>
          <w:color w:val="auto"/>
          <w:sz w:val="32"/>
          <w:szCs w:val="32"/>
          <w:highlight w:val="none"/>
        </w:rPr>
      </w:pPr>
      <w:r>
        <w:rPr>
          <w:color w:val="auto"/>
          <w:highlight w:val="none"/>
        </w:rPr>
        <w:br w:type="page"/>
      </w:r>
    </w:p>
    <w:p w14:paraId="3E41EF38">
      <w:pPr>
        <w:pStyle w:val="2"/>
        <w:jc w:val="center"/>
        <w:rPr>
          <w:color w:val="auto"/>
          <w:highlight w:val="none"/>
        </w:rPr>
      </w:pPr>
      <w:bookmarkStart w:id="82" w:name="_Toc17207"/>
      <w:r>
        <w:rPr>
          <w:rFonts w:hint="eastAsia"/>
          <w:color w:val="auto"/>
          <w:highlight w:val="none"/>
        </w:rPr>
        <w:t>第六章响应文件格式</w:t>
      </w:r>
      <w:bookmarkEnd w:id="82"/>
    </w:p>
    <w:p w14:paraId="1041A5E3">
      <w:pPr>
        <w:rPr>
          <w:b/>
          <w:color w:val="auto"/>
          <w:sz w:val="32"/>
          <w:szCs w:val="32"/>
          <w:highlight w:val="none"/>
        </w:rPr>
      </w:pPr>
      <w:bookmarkStart w:id="83" w:name="_Toc71366186"/>
      <w:bookmarkStart w:id="84" w:name="_Toc35611516"/>
      <w:bookmarkStart w:id="85" w:name="_Toc31728084"/>
      <w:bookmarkStart w:id="86" w:name="_Toc35611438"/>
      <w:bookmarkStart w:id="87" w:name="_Toc31723070"/>
      <w:bookmarkStart w:id="88" w:name="_Toc44229899"/>
      <w:r>
        <w:rPr>
          <w:rFonts w:hint="eastAsia"/>
          <w:b/>
          <w:color w:val="auto"/>
          <w:sz w:val="32"/>
          <w:szCs w:val="32"/>
          <w:highlight w:val="none"/>
        </w:rPr>
        <w:t>一、资格证明文件格式</w:t>
      </w:r>
      <w:bookmarkEnd w:id="83"/>
      <w:bookmarkEnd w:id="84"/>
      <w:bookmarkEnd w:id="85"/>
      <w:bookmarkEnd w:id="86"/>
      <w:bookmarkEnd w:id="87"/>
      <w:bookmarkEnd w:id="88"/>
    </w:p>
    <w:p w14:paraId="064D1BD0">
      <w:pPr>
        <w:snapToGrid w:val="0"/>
        <w:spacing w:beforeLines="50" w:after="50" w:line="360" w:lineRule="auto"/>
        <w:jc w:val="left"/>
        <w:rPr>
          <w:rFonts w:ascii="宋体" w:hAnsi="宋体"/>
          <w:b/>
          <w:color w:val="auto"/>
          <w:sz w:val="24"/>
          <w:highlight w:val="none"/>
        </w:rPr>
      </w:pPr>
      <w:r>
        <w:rPr>
          <w:rFonts w:hint="eastAsia" w:ascii="宋体" w:hAnsi="宋体"/>
          <w:b/>
          <w:color w:val="auto"/>
          <w:sz w:val="32"/>
          <w:szCs w:val="32"/>
          <w:highlight w:val="none"/>
        </w:rPr>
        <w:t>1.资格证明文件封面格式：</w:t>
      </w:r>
    </w:p>
    <w:p w14:paraId="4878C811">
      <w:pPr>
        <w:snapToGrid w:val="0"/>
        <w:spacing w:beforeLines="50" w:after="50"/>
        <w:jc w:val="center"/>
        <w:rPr>
          <w:rFonts w:ascii="宋体" w:hAnsi="宋体"/>
          <w:color w:val="auto"/>
          <w:sz w:val="44"/>
          <w:szCs w:val="44"/>
          <w:highlight w:val="none"/>
        </w:rPr>
      </w:pPr>
    </w:p>
    <w:p w14:paraId="66E9CE8C">
      <w:pPr>
        <w:snapToGrid w:val="0"/>
        <w:spacing w:beforeLines="50" w:after="50"/>
        <w:jc w:val="center"/>
        <w:rPr>
          <w:rFonts w:ascii="宋体" w:hAnsi="宋体"/>
          <w:color w:val="auto"/>
          <w:sz w:val="44"/>
          <w:szCs w:val="44"/>
          <w:highlight w:val="none"/>
        </w:rPr>
      </w:pPr>
      <w:r>
        <w:rPr>
          <w:rFonts w:hint="eastAsia" w:ascii="宋体" w:hAnsi="宋体"/>
          <w:color w:val="auto"/>
          <w:sz w:val="44"/>
          <w:szCs w:val="44"/>
          <w:highlight w:val="none"/>
        </w:rPr>
        <w:t>电 子 响 应 文 件</w:t>
      </w:r>
    </w:p>
    <w:p w14:paraId="56DDF64D">
      <w:pPr>
        <w:snapToGrid w:val="0"/>
        <w:spacing w:beforeLines="50" w:after="50"/>
        <w:rPr>
          <w:rFonts w:ascii="宋体" w:hAnsi="宋体"/>
          <w:color w:val="auto"/>
          <w:sz w:val="24"/>
          <w:szCs w:val="20"/>
          <w:highlight w:val="none"/>
        </w:rPr>
      </w:pPr>
    </w:p>
    <w:p w14:paraId="7081BDF6">
      <w:pPr>
        <w:snapToGrid w:val="0"/>
        <w:spacing w:beforeLines="50" w:after="50"/>
        <w:jc w:val="center"/>
        <w:rPr>
          <w:rFonts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资  格  证  明  文  件</w:t>
      </w:r>
    </w:p>
    <w:p w14:paraId="22193246">
      <w:pPr>
        <w:snapToGrid w:val="0"/>
        <w:spacing w:beforeLines="50" w:after="50"/>
        <w:rPr>
          <w:rFonts w:ascii="宋体" w:hAnsi="宋体"/>
          <w:bCs/>
          <w:color w:val="auto"/>
          <w:sz w:val="24"/>
          <w:szCs w:val="20"/>
          <w:highlight w:val="none"/>
        </w:rPr>
      </w:pPr>
    </w:p>
    <w:p w14:paraId="532B93DF">
      <w:pPr>
        <w:snapToGrid w:val="0"/>
        <w:spacing w:beforeLines="50" w:after="50"/>
        <w:rPr>
          <w:rFonts w:ascii="宋体" w:hAnsi="宋体"/>
          <w:bCs/>
          <w:color w:val="auto"/>
          <w:sz w:val="24"/>
          <w:szCs w:val="20"/>
          <w:highlight w:val="none"/>
        </w:rPr>
      </w:pPr>
    </w:p>
    <w:p w14:paraId="0CEF1839">
      <w:pPr>
        <w:snapToGrid w:val="0"/>
        <w:spacing w:beforeLines="50" w:after="50"/>
        <w:rPr>
          <w:rFonts w:ascii="宋体" w:hAnsi="宋体"/>
          <w:bCs/>
          <w:color w:val="auto"/>
          <w:sz w:val="24"/>
          <w:szCs w:val="20"/>
          <w:highlight w:val="none"/>
        </w:rPr>
      </w:pPr>
    </w:p>
    <w:p w14:paraId="54A8FEB7">
      <w:pPr>
        <w:snapToGrid w:val="0"/>
        <w:spacing w:beforeLines="50" w:after="50"/>
        <w:rPr>
          <w:rFonts w:ascii="宋体" w:hAnsi="宋体"/>
          <w:bCs/>
          <w:color w:val="auto"/>
          <w:sz w:val="24"/>
          <w:szCs w:val="20"/>
          <w:highlight w:val="none"/>
        </w:rPr>
      </w:pPr>
    </w:p>
    <w:p w14:paraId="08A59CA0">
      <w:pPr>
        <w:snapToGrid w:val="0"/>
        <w:spacing w:beforeLines="50" w:after="50"/>
        <w:rPr>
          <w:rFonts w:ascii="宋体" w:hAnsi="宋体"/>
          <w:bCs/>
          <w:color w:val="auto"/>
          <w:sz w:val="24"/>
          <w:szCs w:val="20"/>
          <w:highlight w:val="none"/>
        </w:rPr>
      </w:pPr>
    </w:p>
    <w:p w14:paraId="7C765DFF">
      <w:pPr>
        <w:snapToGrid w:val="0"/>
        <w:spacing w:beforeLines="50" w:after="50"/>
        <w:ind w:firstLine="640" w:firstLineChars="200"/>
        <w:rPr>
          <w:rFonts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690D457F">
      <w:pPr>
        <w:snapToGrid w:val="0"/>
        <w:spacing w:beforeLines="50" w:after="50"/>
        <w:ind w:firstLine="720" w:firstLineChars="225"/>
        <w:rPr>
          <w:rFonts w:ascii="宋体" w:hAnsi="宋体" w:cs="仿宋_GB2312"/>
          <w:bCs/>
          <w:color w:val="auto"/>
          <w:sz w:val="32"/>
          <w:szCs w:val="32"/>
          <w:highlight w:val="none"/>
        </w:rPr>
      </w:pPr>
    </w:p>
    <w:p w14:paraId="60F24D5C">
      <w:pPr>
        <w:snapToGrid w:val="0"/>
        <w:spacing w:beforeLines="50" w:after="50"/>
        <w:ind w:firstLine="720" w:firstLineChars="225"/>
        <w:rPr>
          <w:rFonts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01C08575">
      <w:pPr>
        <w:snapToGrid w:val="0"/>
        <w:spacing w:beforeLines="50" w:after="50"/>
        <w:ind w:firstLine="720" w:firstLineChars="225"/>
        <w:rPr>
          <w:rFonts w:ascii="宋体" w:hAnsi="宋体" w:cs="仿宋_GB2312"/>
          <w:bCs/>
          <w:color w:val="auto"/>
          <w:sz w:val="32"/>
          <w:szCs w:val="32"/>
          <w:highlight w:val="none"/>
        </w:rPr>
      </w:pPr>
    </w:p>
    <w:p w14:paraId="65164CDD">
      <w:pPr>
        <w:snapToGrid w:val="0"/>
        <w:spacing w:beforeLines="50" w:after="50"/>
        <w:ind w:firstLine="720" w:firstLineChars="225"/>
        <w:rPr>
          <w:rFonts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775B2CBB">
      <w:pPr>
        <w:snapToGrid w:val="0"/>
        <w:spacing w:beforeLines="50" w:after="50"/>
        <w:ind w:firstLine="720" w:firstLineChars="225"/>
        <w:rPr>
          <w:rFonts w:ascii="宋体" w:hAnsi="宋体" w:cs="仿宋_GB2312"/>
          <w:bCs/>
          <w:color w:val="auto"/>
          <w:sz w:val="32"/>
          <w:szCs w:val="32"/>
          <w:highlight w:val="none"/>
        </w:rPr>
      </w:pPr>
    </w:p>
    <w:p w14:paraId="704577EB">
      <w:pPr>
        <w:pStyle w:val="13"/>
        <w:snapToGrid w:val="0"/>
        <w:spacing w:before="50" w:after="50"/>
        <w:ind w:firstLine="720" w:firstLineChars="225"/>
        <w:rPr>
          <w:rFonts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531270A2">
      <w:pPr>
        <w:snapToGrid w:val="0"/>
        <w:spacing w:beforeLines="50" w:after="50"/>
        <w:ind w:firstLine="640" w:firstLineChars="200"/>
        <w:rPr>
          <w:rFonts w:ascii="宋体" w:hAnsi="宋体" w:cs="仿宋_GB2312"/>
          <w:bCs/>
          <w:color w:val="auto"/>
          <w:sz w:val="32"/>
          <w:szCs w:val="32"/>
          <w:highlight w:val="none"/>
        </w:rPr>
      </w:pPr>
    </w:p>
    <w:p w14:paraId="7BF90A88">
      <w:pPr>
        <w:pStyle w:val="13"/>
        <w:snapToGrid w:val="0"/>
        <w:spacing w:before="50" w:after="50"/>
        <w:ind w:firstLine="720" w:firstLineChars="225"/>
        <w:rPr>
          <w:rFonts w:ascii="宋体" w:hAnsi="宋体" w:cs="仿宋_GB2312"/>
          <w:bCs/>
          <w:color w:val="auto"/>
          <w:sz w:val="32"/>
          <w:szCs w:val="32"/>
          <w:highlight w:val="none"/>
        </w:rPr>
      </w:pPr>
    </w:p>
    <w:p w14:paraId="30F2A4AC">
      <w:pPr>
        <w:pStyle w:val="13"/>
        <w:snapToGrid w:val="0"/>
        <w:spacing w:before="50" w:after="50"/>
        <w:ind w:firstLine="1280" w:firstLineChars="400"/>
        <w:rPr>
          <w:rFonts w:ascii="宋体" w:hAnsi="宋体" w:cs="仿宋_GB2312"/>
          <w:bCs/>
          <w:color w:val="auto"/>
          <w:sz w:val="32"/>
          <w:szCs w:val="32"/>
          <w:highlight w:val="none"/>
        </w:rPr>
      </w:pPr>
    </w:p>
    <w:p w14:paraId="4CCEC865">
      <w:pPr>
        <w:snapToGrid w:val="0"/>
        <w:spacing w:beforeLines="50" w:after="50"/>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62F14864">
      <w:pPr>
        <w:snapToGrid w:val="0"/>
        <w:spacing w:beforeLines="50" w:after="50" w:line="360" w:lineRule="auto"/>
        <w:ind w:left="142"/>
        <w:jc w:val="left"/>
        <w:rPr>
          <w:rFonts w:ascii="宋体" w:hAnsi="宋体"/>
          <w:b/>
          <w:bCs/>
          <w:color w:val="auto"/>
          <w:sz w:val="32"/>
          <w:szCs w:val="32"/>
          <w:highlight w:val="none"/>
        </w:rPr>
      </w:pPr>
      <w:r>
        <w:rPr>
          <w:rFonts w:ascii="宋体" w:hAnsi="宋体"/>
          <w:color w:val="auto"/>
          <w:sz w:val="24"/>
          <w:highlight w:val="none"/>
        </w:rPr>
        <w:br w:type="page"/>
      </w:r>
      <w:r>
        <w:rPr>
          <w:rFonts w:hint="eastAsia" w:ascii="宋体" w:hAnsi="宋体"/>
          <w:b/>
          <w:bCs/>
          <w:color w:val="auto"/>
          <w:sz w:val="32"/>
          <w:szCs w:val="32"/>
          <w:highlight w:val="none"/>
        </w:rPr>
        <w:t>2.资格证明文件目录</w:t>
      </w:r>
    </w:p>
    <w:p w14:paraId="293F6260">
      <w:pPr>
        <w:snapToGrid w:val="0"/>
        <w:spacing w:beforeLines="50" w:after="50" w:line="360" w:lineRule="auto"/>
        <w:ind w:firstLine="645"/>
        <w:rPr>
          <w:rFonts w:ascii="宋体" w:hAnsi="宋体"/>
          <w:color w:val="auto"/>
          <w:sz w:val="32"/>
          <w:szCs w:val="32"/>
          <w:highlight w:val="none"/>
        </w:rPr>
      </w:pPr>
      <w:r>
        <w:rPr>
          <w:rFonts w:hint="eastAsia" w:ascii="宋体" w:hAnsi="宋体"/>
          <w:color w:val="auto"/>
          <w:sz w:val="32"/>
          <w:szCs w:val="32"/>
          <w:highlight w:val="none"/>
        </w:rPr>
        <w:t>根据磋商文件规定及供应商提供的材料自行编写目录（部分格式后附）。</w:t>
      </w:r>
    </w:p>
    <w:p w14:paraId="43C5A087">
      <w:pPr>
        <w:snapToGrid w:val="0"/>
        <w:spacing w:beforeLines="50" w:after="50"/>
        <w:rPr>
          <w:rFonts w:ascii="宋体" w:hAnsi="宋体"/>
          <w:color w:val="auto"/>
          <w:sz w:val="24"/>
          <w:szCs w:val="20"/>
          <w:highlight w:val="none"/>
        </w:rPr>
      </w:pPr>
    </w:p>
    <w:p w14:paraId="7032E4DE">
      <w:pPr>
        <w:spacing w:line="300" w:lineRule="auto"/>
        <w:rPr>
          <w:rFonts w:ascii="宋体" w:hAnsi="宋体"/>
          <w:color w:val="auto"/>
          <w:szCs w:val="21"/>
          <w:highlight w:val="none"/>
        </w:rPr>
      </w:pPr>
    </w:p>
    <w:p w14:paraId="56315583">
      <w:pPr>
        <w:spacing w:line="300" w:lineRule="auto"/>
        <w:rPr>
          <w:rFonts w:ascii="宋体" w:hAnsi="宋体"/>
          <w:color w:val="auto"/>
          <w:szCs w:val="21"/>
          <w:highlight w:val="none"/>
        </w:rPr>
      </w:pPr>
    </w:p>
    <w:p w14:paraId="257963A8">
      <w:pPr>
        <w:spacing w:line="300" w:lineRule="auto"/>
        <w:rPr>
          <w:rFonts w:ascii="宋体" w:hAnsi="宋体"/>
          <w:color w:val="auto"/>
          <w:szCs w:val="21"/>
          <w:highlight w:val="none"/>
        </w:rPr>
      </w:pPr>
    </w:p>
    <w:p w14:paraId="44B36542">
      <w:pPr>
        <w:spacing w:line="300" w:lineRule="auto"/>
        <w:rPr>
          <w:rFonts w:ascii="宋体" w:hAnsi="宋体"/>
          <w:color w:val="auto"/>
          <w:szCs w:val="21"/>
          <w:highlight w:val="none"/>
        </w:rPr>
      </w:pPr>
    </w:p>
    <w:p w14:paraId="11C81E79">
      <w:pPr>
        <w:spacing w:line="300" w:lineRule="auto"/>
        <w:rPr>
          <w:rFonts w:ascii="宋体" w:hAnsi="宋体"/>
          <w:color w:val="auto"/>
          <w:szCs w:val="21"/>
          <w:highlight w:val="none"/>
        </w:rPr>
      </w:pPr>
    </w:p>
    <w:p w14:paraId="2337C97D">
      <w:pPr>
        <w:spacing w:line="300" w:lineRule="auto"/>
        <w:rPr>
          <w:rFonts w:ascii="宋体" w:hAnsi="宋体"/>
          <w:color w:val="auto"/>
          <w:szCs w:val="21"/>
          <w:highlight w:val="none"/>
        </w:rPr>
      </w:pPr>
    </w:p>
    <w:p w14:paraId="481DA619">
      <w:pPr>
        <w:spacing w:line="300" w:lineRule="auto"/>
        <w:rPr>
          <w:rFonts w:ascii="宋体" w:hAnsi="宋体"/>
          <w:color w:val="auto"/>
          <w:szCs w:val="21"/>
          <w:highlight w:val="none"/>
        </w:rPr>
      </w:pPr>
    </w:p>
    <w:p w14:paraId="7EFFED4B">
      <w:pPr>
        <w:spacing w:line="300" w:lineRule="auto"/>
        <w:rPr>
          <w:rFonts w:ascii="宋体" w:hAnsi="宋体"/>
          <w:color w:val="auto"/>
          <w:szCs w:val="21"/>
          <w:highlight w:val="none"/>
        </w:rPr>
      </w:pPr>
    </w:p>
    <w:p w14:paraId="3177567C">
      <w:pPr>
        <w:spacing w:line="300" w:lineRule="auto"/>
        <w:rPr>
          <w:rFonts w:ascii="宋体" w:hAnsi="宋体"/>
          <w:color w:val="auto"/>
          <w:szCs w:val="21"/>
          <w:highlight w:val="none"/>
        </w:rPr>
      </w:pPr>
    </w:p>
    <w:p w14:paraId="570B7E1F">
      <w:pPr>
        <w:spacing w:line="300" w:lineRule="auto"/>
        <w:rPr>
          <w:rFonts w:ascii="宋体" w:hAnsi="宋体"/>
          <w:color w:val="auto"/>
          <w:szCs w:val="21"/>
          <w:highlight w:val="none"/>
        </w:rPr>
      </w:pPr>
    </w:p>
    <w:p w14:paraId="158ECC17">
      <w:pPr>
        <w:spacing w:line="300" w:lineRule="auto"/>
        <w:rPr>
          <w:rFonts w:ascii="宋体" w:hAnsi="宋体"/>
          <w:color w:val="auto"/>
          <w:szCs w:val="21"/>
          <w:highlight w:val="none"/>
        </w:rPr>
      </w:pPr>
    </w:p>
    <w:p w14:paraId="4197555A">
      <w:pPr>
        <w:spacing w:line="300" w:lineRule="auto"/>
        <w:rPr>
          <w:rFonts w:ascii="宋体" w:hAnsi="宋体"/>
          <w:color w:val="auto"/>
          <w:szCs w:val="21"/>
          <w:highlight w:val="none"/>
        </w:rPr>
      </w:pPr>
    </w:p>
    <w:p w14:paraId="774CD8A3">
      <w:pPr>
        <w:spacing w:line="300" w:lineRule="auto"/>
        <w:rPr>
          <w:rFonts w:ascii="宋体" w:hAnsi="宋体"/>
          <w:color w:val="auto"/>
          <w:szCs w:val="21"/>
          <w:highlight w:val="none"/>
        </w:rPr>
      </w:pPr>
    </w:p>
    <w:p w14:paraId="2245ABD2">
      <w:pPr>
        <w:spacing w:line="300" w:lineRule="auto"/>
        <w:rPr>
          <w:rFonts w:ascii="宋体" w:hAnsi="宋体"/>
          <w:color w:val="auto"/>
          <w:szCs w:val="21"/>
          <w:highlight w:val="none"/>
        </w:rPr>
      </w:pPr>
    </w:p>
    <w:p w14:paraId="624FEF2C">
      <w:pPr>
        <w:spacing w:line="300" w:lineRule="auto"/>
        <w:rPr>
          <w:rFonts w:ascii="宋体" w:hAnsi="宋体"/>
          <w:color w:val="auto"/>
          <w:szCs w:val="21"/>
          <w:highlight w:val="none"/>
        </w:rPr>
      </w:pPr>
    </w:p>
    <w:p w14:paraId="1CE5EC3A">
      <w:pPr>
        <w:spacing w:line="320" w:lineRule="exact"/>
        <w:jc w:val="left"/>
        <w:rPr>
          <w:rFonts w:ascii="宋体" w:hAnsi="宋体"/>
          <w:color w:val="auto"/>
          <w:szCs w:val="21"/>
          <w:highlight w:val="none"/>
        </w:rPr>
      </w:pPr>
      <w:r>
        <w:rPr>
          <w:rFonts w:ascii="宋体" w:hAnsi="宋体"/>
          <w:color w:val="auto"/>
          <w:szCs w:val="21"/>
          <w:highlight w:val="none"/>
        </w:rPr>
        <w:br w:type="page"/>
      </w:r>
    </w:p>
    <w:p w14:paraId="7EE11510">
      <w:pPr>
        <w:wordWrap w:val="0"/>
        <w:spacing w:beforeLines="50" w:after="50" w:line="320" w:lineRule="exact"/>
        <w:ind w:right="482" w:firstLine="210" w:firstLineChars="100"/>
        <w:contextualSpacing/>
        <w:jc w:val="center"/>
        <w:rPr>
          <w:rFonts w:ascii="宋体" w:hAnsi="宋体"/>
          <w:color w:val="auto"/>
          <w:szCs w:val="21"/>
          <w:highlight w:val="none"/>
        </w:rPr>
      </w:pPr>
    </w:p>
    <w:p w14:paraId="54BCA3BA">
      <w:pPr>
        <w:spacing w:line="320" w:lineRule="exact"/>
        <w:jc w:val="center"/>
        <w:rPr>
          <w:rFonts w:ascii="宋体" w:hAnsi="宋体"/>
          <w:b/>
          <w:color w:val="auto"/>
          <w:sz w:val="32"/>
          <w:szCs w:val="32"/>
          <w:highlight w:val="none"/>
        </w:rPr>
      </w:pPr>
      <w:r>
        <w:rPr>
          <w:rFonts w:hint="eastAsia" w:ascii="宋体" w:hAnsi="宋体"/>
          <w:b/>
          <w:color w:val="auto"/>
          <w:sz w:val="32"/>
          <w:szCs w:val="32"/>
          <w:highlight w:val="none"/>
        </w:rPr>
        <w:t>供应商直接控股、管理关系信息表</w:t>
      </w:r>
    </w:p>
    <w:p w14:paraId="6DA70A00">
      <w:pPr>
        <w:snapToGrid w:val="0"/>
        <w:spacing w:beforeLines="50" w:after="50" w:line="360" w:lineRule="auto"/>
        <w:jc w:val="center"/>
        <w:rPr>
          <w:rFonts w:ascii="宋体" w:hAnsi="宋体"/>
          <w:b/>
          <w:color w:val="auto"/>
          <w:sz w:val="24"/>
          <w:highlight w:val="none"/>
        </w:rPr>
      </w:pPr>
    </w:p>
    <w:p w14:paraId="0AA0B4E7">
      <w:pPr>
        <w:spacing w:line="360" w:lineRule="auto"/>
        <w:contextualSpacing/>
        <w:jc w:val="center"/>
        <w:rPr>
          <w:rFonts w:ascii="宋体" w:hAnsi="宋体"/>
          <w:b/>
          <w:color w:val="auto"/>
          <w:sz w:val="32"/>
          <w:szCs w:val="32"/>
          <w:highlight w:val="none"/>
        </w:rPr>
      </w:pPr>
      <w:r>
        <w:rPr>
          <w:rFonts w:hint="eastAsia" w:ascii="宋体" w:hAnsi="宋体"/>
          <w:b/>
          <w:color w:val="auto"/>
          <w:sz w:val="32"/>
          <w:szCs w:val="32"/>
          <w:highlight w:val="none"/>
        </w:rPr>
        <w:t>供应商直接控股股东信息表</w:t>
      </w:r>
    </w:p>
    <w:p w14:paraId="4E90A28B">
      <w:pPr>
        <w:spacing w:line="360" w:lineRule="auto"/>
        <w:contextualSpacing/>
        <w:jc w:val="center"/>
        <w:rPr>
          <w:rFonts w:ascii="宋体" w:hAnsi="宋体"/>
          <w:b/>
          <w:color w:val="auto"/>
          <w:sz w:val="24"/>
          <w:highlight w:val="none"/>
        </w:rPr>
      </w:pPr>
    </w:p>
    <w:tbl>
      <w:tblPr>
        <w:tblStyle w:val="45"/>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23C65759">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F598B8C">
            <w:pPr>
              <w:widowControl/>
              <w:spacing w:line="360" w:lineRule="auto"/>
              <w:contextualSpacing/>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5DCC19B">
            <w:pPr>
              <w:widowControl/>
              <w:spacing w:line="360" w:lineRule="auto"/>
              <w:contextualSpacing/>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EEC2DBC">
            <w:pPr>
              <w:widowControl/>
              <w:spacing w:line="360" w:lineRule="auto"/>
              <w:contextualSpacing/>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442F17F">
            <w:pPr>
              <w:widowControl/>
              <w:spacing w:line="360" w:lineRule="auto"/>
              <w:contextualSpacing/>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253F566">
            <w:pPr>
              <w:widowControl/>
              <w:spacing w:line="360" w:lineRule="auto"/>
              <w:contextualSpacing/>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2E2CBD15">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3B410D4">
            <w:pPr>
              <w:widowControl/>
              <w:spacing w:line="360" w:lineRule="auto"/>
              <w:contextualSpacing/>
              <w:jc w:val="center"/>
              <w:rPr>
                <w:rFonts w:ascii="宋体" w:hAnsi="宋体" w:cs="宋体"/>
                <w:color w:val="auto"/>
                <w:kern w:val="0"/>
                <w:sz w:val="24"/>
                <w:highlight w:val="none"/>
              </w:rPr>
            </w:pPr>
            <w:r>
              <w:rPr>
                <w:rFonts w:hint="eastAsia" w:ascii="宋体" w:hAnsi="宋体" w:cs="宋体"/>
                <w:color w:val="auto"/>
                <w:kern w:val="0"/>
                <w:sz w:val="24"/>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FDA3214">
            <w:pPr>
              <w:widowControl/>
              <w:spacing w:line="360" w:lineRule="auto"/>
              <w:contextualSpacing/>
              <w:jc w:val="center"/>
              <w:rPr>
                <w:rFonts w:ascii="宋体" w:hAnsi="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29EE980">
            <w:pPr>
              <w:widowControl/>
              <w:spacing w:line="360" w:lineRule="auto"/>
              <w:contextualSpacing/>
              <w:jc w:val="center"/>
              <w:rPr>
                <w:rFonts w:ascii="宋体" w:hAnsi="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C0F13EE">
            <w:pPr>
              <w:widowControl/>
              <w:spacing w:line="360" w:lineRule="auto"/>
              <w:contextualSpacing/>
              <w:jc w:val="center"/>
              <w:rPr>
                <w:rFonts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192484D">
            <w:pPr>
              <w:widowControl/>
              <w:spacing w:line="360" w:lineRule="auto"/>
              <w:contextualSpacing/>
              <w:jc w:val="center"/>
              <w:rPr>
                <w:rFonts w:ascii="宋体" w:hAnsi="宋体" w:cs="宋体"/>
                <w:color w:val="auto"/>
                <w:kern w:val="0"/>
                <w:sz w:val="24"/>
                <w:highlight w:val="none"/>
              </w:rPr>
            </w:pPr>
          </w:p>
        </w:tc>
      </w:tr>
      <w:tr w14:paraId="39DAC87B">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D97C058">
            <w:pPr>
              <w:widowControl/>
              <w:spacing w:line="360" w:lineRule="auto"/>
              <w:contextualSpacing/>
              <w:jc w:val="center"/>
              <w:rPr>
                <w:rFonts w:ascii="宋体" w:hAnsi="宋体" w:cs="宋体"/>
                <w:color w:val="auto"/>
                <w:kern w:val="0"/>
                <w:sz w:val="24"/>
                <w:highlight w:val="none"/>
              </w:rPr>
            </w:pPr>
            <w:r>
              <w:rPr>
                <w:rFonts w:hint="eastAsia" w:ascii="宋体" w:hAnsi="宋体" w:cs="宋体"/>
                <w:color w:val="auto"/>
                <w:kern w:val="0"/>
                <w:sz w:val="24"/>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0B58604">
            <w:pPr>
              <w:widowControl/>
              <w:spacing w:line="360" w:lineRule="auto"/>
              <w:contextualSpacing/>
              <w:jc w:val="center"/>
              <w:rPr>
                <w:rFonts w:ascii="宋体" w:hAnsi="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90E62A3">
            <w:pPr>
              <w:widowControl/>
              <w:spacing w:line="360" w:lineRule="auto"/>
              <w:contextualSpacing/>
              <w:jc w:val="center"/>
              <w:rPr>
                <w:rFonts w:ascii="宋体" w:hAnsi="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FF4D2D3">
            <w:pPr>
              <w:widowControl/>
              <w:spacing w:line="360" w:lineRule="auto"/>
              <w:contextualSpacing/>
              <w:jc w:val="center"/>
              <w:rPr>
                <w:rFonts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6C498B1">
            <w:pPr>
              <w:widowControl/>
              <w:spacing w:line="360" w:lineRule="auto"/>
              <w:contextualSpacing/>
              <w:jc w:val="center"/>
              <w:rPr>
                <w:rFonts w:ascii="宋体" w:hAnsi="宋体" w:cs="宋体"/>
                <w:color w:val="auto"/>
                <w:kern w:val="0"/>
                <w:sz w:val="24"/>
                <w:highlight w:val="none"/>
              </w:rPr>
            </w:pPr>
          </w:p>
        </w:tc>
      </w:tr>
      <w:tr w14:paraId="0780B95C">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44F196F">
            <w:pPr>
              <w:widowControl/>
              <w:spacing w:line="360" w:lineRule="auto"/>
              <w:contextualSpacing/>
              <w:jc w:val="center"/>
              <w:rPr>
                <w:rFonts w:ascii="宋体" w:hAnsi="宋体" w:cs="宋体"/>
                <w:color w:val="auto"/>
                <w:kern w:val="0"/>
                <w:sz w:val="24"/>
                <w:highlight w:val="none"/>
              </w:rPr>
            </w:pPr>
            <w:r>
              <w:rPr>
                <w:rFonts w:hint="eastAsia" w:ascii="宋体" w:hAnsi="宋体" w:cs="宋体"/>
                <w:color w:val="auto"/>
                <w:kern w:val="0"/>
                <w:sz w:val="24"/>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F7A8F12">
            <w:pPr>
              <w:widowControl/>
              <w:spacing w:line="360" w:lineRule="auto"/>
              <w:contextualSpacing/>
              <w:jc w:val="center"/>
              <w:rPr>
                <w:rFonts w:ascii="宋体" w:hAnsi="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E92A42B">
            <w:pPr>
              <w:widowControl/>
              <w:spacing w:line="360" w:lineRule="auto"/>
              <w:contextualSpacing/>
              <w:jc w:val="center"/>
              <w:rPr>
                <w:rFonts w:ascii="宋体" w:hAnsi="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651CF07">
            <w:pPr>
              <w:widowControl/>
              <w:spacing w:line="360" w:lineRule="auto"/>
              <w:contextualSpacing/>
              <w:jc w:val="center"/>
              <w:rPr>
                <w:rFonts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AA27034">
            <w:pPr>
              <w:widowControl/>
              <w:spacing w:line="360" w:lineRule="auto"/>
              <w:contextualSpacing/>
              <w:jc w:val="center"/>
              <w:rPr>
                <w:rFonts w:ascii="宋体" w:hAnsi="宋体" w:cs="宋体"/>
                <w:color w:val="auto"/>
                <w:kern w:val="0"/>
                <w:sz w:val="24"/>
                <w:highlight w:val="none"/>
              </w:rPr>
            </w:pPr>
          </w:p>
        </w:tc>
      </w:tr>
      <w:tr w14:paraId="4B6886C4">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C480B0F">
            <w:pPr>
              <w:widowControl/>
              <w:spacing w:line="360" w:lineRule="auto"/>
              <w:contextualSpacing/>
              <w:jc w:val="center"/>
              <w:rPr>
                <w:rFonts w:ascii="宋体" w:hAnsi="宋体" w:cs="宋体"/>
                <w:color w:val="auto"/>
                <w:kern w:val="0"/>
                <w:sz w:val="24"/>
                <w:highlight w:val="none"/>
              </w:rPr>
            </w:pPr>
            <w:r>
              <w:rPr>
                <w:rFonts w:hint="eastAsia" w:ascii="宋体" w:hAnsi="宋体" w:cs="宋体"/>
                <w:color w:val="auto"/>
                <w:kern w:val="0"/>
                <w:sz w:val="24"/>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2301DEB">
            <w:pPr>
              <w:widowControl/>
              <w:spacing w:line="360" w:lineRule="auto"/>
              <w:contextualSpacing/>
              <w:jc w:val="center"/>
              <w:rPr>
                <w:rFonts w:ascii="宋体" w:hAnsi="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DA1A13D">
            <w:pPr>
              <w:widowControl/>
              <w:spacing w:line="360" w:lineRule="auto"/>
              <w:contextualSpacing/>
              <w:jc w:val="center"/>
              <w:rPr>
                <w:rFonts w:ascii="宋体" w:hAnsi="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09B7029">
            <w:pPr>
              <w:widowControl/>
              <w:spacing w:line="360" w:lineRule="auto"/>
              <w:contextualSpacing/>
              <w:jc w:val="center"/>
              <w:rPr>
                <w:rFonts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FF1018D">
            <w:pPr>
              <w:widowControl/>
              <w:spacing w:line="360" w:lineRule="auto"/>
              <w:contextualSpacing/>
              <w:jc w:val="center"/>
              <w:rPr>
                <w:rFonts w:ascii="宋体" w:hAnsi="宋体" w:cs="宋体"/>
                <w:color w:val="auto"/>
                <w:kern w:val="0"/>
                <w:sz w:val="24"/>
                <w:highlight w:val="none"/>
              </w:rPr>
            </w:pPr>
          </w:p>
        </w:tc>
      </w:tr>
    </w:tbl>
    <w:p w14:paraId="0C0027A2">
      <w:pPr>
        <w:spacing w:line="360" w:lineRule="auto"/>
        <w:contextualSpacing/>
        <w:jc w:val="left"/>
        <w:rPr>
          <w:rFonts w:ascii="宋体" w:hAnsi="宋体" w:cs="宋体"/>
          <w:color w:val="auto"/>
          <w:sz w:val="24"/>
          <w:highlight w:val="none"/>
        </w:rPr>
      </w:pPr>
      <w:r>
        <w:rPr>
          <w:rFonts w:hint="eastAsia" w:ascii="宋体" w:hAnsi="宋体" w:cs="宋体"/>
          <w:color w:val="auto"/>
          <w:sz w:val="24"/>
          <w:highlight w:val="none"/>
        </w:rPr>
        <w:t>注：</w:t>
      </w:r>
    </w:p>
    <w:p w14:paraId="168C7547">
      <w:pPr>
        <w:spacing w:line="360" w:lineRule="auto"/>
        <w:ind w:firstLine="480" w:firstLineChars="200"/>
        <w:contextualSpacing/>
        <w:jc w:val="left"/>
        <w:rPr>
          <w:rFonts w:ascii="宋体" w:hAnsi="宋体" w:cs="宋体"/>
          <w:color w:val="auto"/>
          <w:sz w:val="24"/>
          <w:highlight w:val="none"/>
        </w:rPr>
      </w:pPr>
      <w:r>
        <w:rPr>
          <w:rFonts w:hint="eastAsia" w:ascii="宋体" w:hAnsi="宋体" w:cs="宋体"/>
          <w:color w:val="auto"/>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75ACDDE4">
      <w:pPr>
        <w:spacing w:line="360" w:lineRule="auto"/>
        <w:ind w:firstLine="480" w:firstLineChars="200"/>
        <w:contextualSpacing/>
        <w:jc w:val="left"/>
        <w:rPr>
          <w:rFonts w:ascii="宋体" w:hAnsi="宋体" w:cs="宋体"/>
          <w:color w:val="auto"/>
          <w:sz w:val="24"/>
          <w:highlight w:val="none"/>
        </w:rPr>
      </w:pPr>
      <w:r>
        <w:rPr>
          <w:rFonts w:hint="eastAsia" w:ascii="宋体" w:hAnsi="宋体" w:cs="宋体"/>
          <w:color w:val="auto"/>
          <w:sz w:val="24"/>
          <w:highlight w:val="none"/>
        </w:rPr>
        <w:t>2.本表所指的控股关系仅限于直接控股关系，不包括间接的控股关系。公司实际控制人与公司之间的关系不属于本表所指的直接控股关系。</w:t>
      </w:r>
    </w:p>
    <w:p w14:paraId="3A1FDF35">
      <w:pPr>
        <w:spacing w:line="360" w:lineRule="auto"/>
        <w:ind w:firstLine="480" w:firstLineChars="200"/>
        <w:contextualSpacing/>
        <w:jc w:val="left"/>
        <w:rPr>
          <w:rFonts w:ascii="宋体" w:hAnsi="宋体" w:cs="宋体"/>
          <w:color w:val="auto"/>
          <w:sz w:val="24"/>
          <w:highlight w:val="none"/>
        </w:rPr>
      </w:pPr>
      <w:r>
        <w:rPr>
          <w:rFonts w:hint="eastAsia" w:ascii="宋体" w:hAnsi="宋体" w:cs="宋体"/>
          <w:color w:val="auto"/>
          <w:sz w:val="24"/>
          <w:highlight w:val="none"/>
        </w:rPr>
        <w:t>3.供应商不存在直接控股股东的，</w:t>
      </w:r>
      <w:r>
        <w:rPr>
          <w:rFonts w:hint="eastAsia" w:ascii="宋体" w:hAnsi="宋体"/>
          <w:color w:val="auto"/>
          <w:sz w:val="24"/>
          <w:highlight w:val="none"/>
        </w:rPr>
        <w:t>则在“直接控股股东名称”填“无”</w:t>
      </w:r>
      <w:r>
        <w:rPr>
          <w:rFonts w:hint="eastAsia" w:ascii="宋体" w:hAnsi="宋体" w:cs="宋体"/>
          <w:color w:val="auto"/>
          <w:sz w:val="24"/>
          <w:highlight w:val="none"/>
        </w:rPr>
        <w:t>。</w:t>
      </w:r>
    </w:p>
    <w:p w14:paraId="2BAA9DB4">
      <w:pPr>
        <w:spacing w:line="360" w:lineRule="auto"/>
        <w:ind w:firstLine="420" w:firstLineChars="200"/>
        <w:contextualSpacing/>
        <w:jc w:val="left"/>
        <w:rPr>
          <w:rFonts w:ascii="宋体" w:hAnsi="宋体" w:cs="宋体"/>
          <w:color w:val="auto"/>
          <w:szCs w:val="21"/>
          <w:highlight w:val="none"/>
        </w:rPr>
      </w:pPr>
    </w:p>
    <w:p w14:paraId="6624FA92">
      <w:pPr>
        <w:spacing w:line="360" w:lineRule="auto"/>
        <w:ind w:firstLine="560" w:firstLineChars="200"/>
        <w:contextualSpacing/>
        <w:jc w:val="left"/>
        <w:rPr>
          <w:rFonts w:ascii="宋体" w:hAnsi="宋体" w:cs="宋体"/>
          <w:color w:val="auto"/>
          <w:sz w:val="28"/>
          <w:szCs w:val="28"/>
          <w:highlight w:val="none"/>
        </w:rPr>
      </w:pPr>
    </w:p>
    <w:p w14:paraId="3172978A">
      <w:pPr>
        <w:spacing w:line="360" w:lineRule="auto"/>
        <w:ind w:right="480"/>
        <w:contextualSpacing/>
        <w:jc w:val="center"/>
        <w:rPr>
          <w:rFonts w:ascii="宋体" w:hAnsi="宋体" w:cs="宋体"/>
          <w:color w:val="auto"/>
          <w:sz w:val="24"/>
          <w:highlight w:val="none"/>
          <w:u w:val="single"/>
        </w:rPr>
      </w:pPr>
      <w:r>
        <w:rPr>
          <w:rFonts w:hint="eastAsia" w:ascii="宋体" w:hAnsi="宋体" w:cs="宋体"/>
          <w:color w:val="auto"/>
          <w:sz w:val="24"/>
          <w:highlight w:val="none"/>
        </w:rPr>
        <w:t>法定代表人或者委托代理人</w:t>
      </w:r>
      <w:r>
        <w:rPr>
          <w:rFonts w:hint="eastAsia" w:ascii="宋体" w:hAnsi="宋体"/>
          <w:color w:val="auto"/>
          <w:sz w:val="24"/>
          <w:highlight w:val="none"/>
        </w:rPr>
        <w:t>（签字或者电子签名）</w:t>
      </w:r>
      <w:r>
        <w:rPr>
          <w:rFonts w:hint="eastAsia" w:ascii="宋体" w:hAnsi="宋体" w:cs="宋体"/>
          <w:color w:val="auto"/>
          <w:sz w:val="24"/>
          <w:highlight w:val="none"/>
        </w:rPr>
        <w:t>：</w:t>
      </w:r>
    </w:p>
    <w:p w14:paraId="601754C6">
      <w:pPr>
        <w:spacing w:line="360" w:lineRule="auto"/>
        <w:ind w:right="480" w:firstLine="3000" w:firstLineChars="1250"/>
        <w:contextualSpacing/>
        <w:rPr>
          <w:rFonts w:ascii="宋体" w:hAnsi="宋体" w:cs="宋体"/>
          <w:color w:val="auto"/>
          <w:sz w:val="24"/>
          <w:highlight w:val="none"/>
          <w:u w:val="single"/>
        </w:rPr>
      </w:pPr>
      <w:r>
        <w:rPr>
          <w:rFonts w:hint="eastAsia" w:ascii="宋体" w:hAnsi="宋体" w:cs="宋体"/>
          <w:color w:val="auto"/>
          <w:sz w:val="24"/>
          <w:highlight w:val="none"/>
        </w:rPr>
        <w:t>供应商</w:t>
      </w:r>
      <w:r>
        <w:rPr>
          <w:rFonts w:hint="eastAsia" w:ascii="宋体" w:hAnsi="宋体"/>
          <w:color w:val="auto"/>
          <w:sz w:val="24"/>
          <w:highlight w:val="none"/>
        </w:rPr>
        <w:t>（电子签章）</w:t>
      </w:r>
      <w:r>
        <w:rPr>
          <w:rFonts w:hint="eastAsia" w:ascii="宋体" w:hAnsi="宋体" w:cs="宋体"/>
          <w:color w:val="auto"/>
          <w:sz w:val="24"/>
          <w:highlight w:val="none"/>
        </w:rPr>
        <w:t xml:space="preserve">： </w:t>
      </w:r>
    </w:p>
    <w:p w14:paraId="449FD32F">
      <w:pPr>
        <w:spacing w:line="360" w:lineRule="auto"/>
        <w:ind w:firstLine="480" w:firstLineChars="200"/>
        <w:contextualSpacing/>
        <w:jc w:val="right"/>
        <w:rPr>
          <w:rFonts w:ascii="宋体" w:hAnsi="宋体" w:cs="宋体"/>
          <w:color w:val="auto"/>
          <w:sz w:val="28"/>
          <w:szCs w:val="28"/>
          <w:highlight w:val="none"/>
        </w:rPr>
      </w:pPr>
      <w:r>
        <w:rPr>
          <w:rFonts w:hint="eastAsia" w:ascii="宋体" w:hAnsi="宋体" w:cs="宋体"/>
          <w:color w:val="auto"/>
          <w:sz w:val="24"/>
          <w:highlight w:val="none"/>
        </w:rPr>
        <w:t>年    月    日</w:t>
      </w:r>
    </w:p>
    <w:p w14:paraId="5AF9DDA8">
      <w:pPr>
        <w:snapToGrid w:val="0"/>
        <w:jc w:val="center"/>
        <w:rPr>
          <w:rFonts w:ascii="宋体" w:hAnsi="宋体"/>
          <w:b/>
          <w:color w:val="auto"/>
          <w:sz w:val="28"/>
          <w:szCs w:val="28"/>
          <w:highlight w:val="none"/>
        </w:rPr>
      </w:pPr>
      <w:r>
        <w:rPr>
          <w:rFonts w:ascii="宋体" w:hAnsi="宋体"/>
          <w:b/>
          <w:color w:val="auto"/>
          <w:sz w:val="28"/>
          <w:szCs w:val="28"/>
          <w:highlight w:val="none"/>
        </w:rPr>
        <w:br w:type="page"/>
      </w:r>
    </w:p>
    <w:p w14:paraId="23A4D273">
      <w:pPr>
        <w:spacing w:line="320" w:lineRule="exact"/>
        <w:jc w:val="center"/>
        <w:rPr>
          <w:rFonts w:ascii="宋体" w:hAnsi="宋体"/>
          <w:b/>
          <w:color w:val="auto"/>
          <w:sz w:val="32"/>
          <w:szCs w:val="32"/>
          <w:highlight w:val="none"/>
        </w:rPr>
      </w:pPr>
      <w:r>
        <w:rPr>
          <w:rFonts w:hint="eastAsia" w:ascii="宋体" w:hAnsi="宋体"/>
          <w:b/>
          <w:color w:val="auto"/>
          <w:sz w:val="32"/>
          <w:szCs w:val="32"/>
          <w:highlight w:val="none"/>
        </w:rPr>
        <w:t>供应商直接管理关系信息表</w:t>
      </w:r>
    </w:p>
    <w:p w14:paraId="4C0BBB73">
      <w:pPr>
        <w:snapToGrid w:val="0"/>
        <w:spacing w:line="360" w:lineRule="auto"/>
        <w:jc w:val="center"/>
        <w:rPr>
          <w:rFonts w:ascii="宋体" w:hAnsi="宋体"/>
          <w:b/>
          <w:color w:val="auto"/>
          <w:sz w:val="24"/>
          <w:highlight w:val="none"/>
        </w:rPr>
      </w:pPr>
    </w:p>
    <w:tbl>
      <w:tblPr>
        <w:tblStyle w:val="45"/>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3A70BD77">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44F2F3D">
            <w:pPr>
              <w:widowControl/>
              <w:spacing w:line="360" w:lineRule="auto"/>
              <w:contextualSpacing/>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23EA5E8">
            <w:pPr>
              <w:widowControl/>
              <w:spacing w:line="360" w:lineRule="auto"/>
              <w:contextualSpacing/>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79AEC16">
            <w:pPr>
              <w:widowControl/>
              <w:spacing w:line="360" w:lineRule="auto"/>
              <w:contextualSpacing/>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3E5EA1C">
            <w:pPr>
              <w:widowControl/>
              <w:spacing w:line="360" w:lineRule="auto"/>
              <w:contextualSpacing/>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相互关系</w:t>
            </w:r>
          </w:p>
        </w:tc>
      </w:tr>
      <w:tr w14:paraId="04CD954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51AEE62">
            <w:pPr>
              <w:widowControl/>
              <w:spacing w:line="360" w:lineRule="auto"/>
              <w:contextualSpacing/>
              <w:jc w:val="center"/>
              <w:rPr>
                <w:rFonts w:ascii="宋体" w:hAnsi="宋体" w:cs="宋体"/>
                <w:color w:val="auto"/>
                <w:kern w:val="0"/>
                <w:sz w:val="24"/>
                <w:highlight w:val="none"/>
              </w:rPr>
            </w:pPr>
            <w:r>
              <w:rPr>
                <w:rFonts w:hint="eastAsia" w:ascii="宋体" w:hAnsi="宋体" w:cs="宋体"/>
                <w:color w:val="auto"/>
                <w:kern w:val="0"/>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F02D6C6">
            <w:pPr>
              <w:widowControl/>
              <w:spacing w:line="360" w:lineRule="auto"/>
              <w:contextualSpacing/>
              <w:jc w:val="center"/>
              <w:rPr>
                <w:rFonts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7C1BB12">
            <w:pPr>
              <w:widowControl/>
              <w:spacing w:line="360" w:lineRule="auto"/>
              <w:contextualSpacing/>
              <w:jc w:val="center"/>
              <w:rPr>
                <w:rFonts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7DDF9CA">
            <w:pPr>
              <w:widowControl/>
              <w:spacing w:line="360" w:lineRule="auto"/>
              <w:contextualSpacing/>
              <w:jc w:val="center"/>
              <w:rPr>
                <w:rFonts w:ascii="宋体" w:hAnsi="宋体" w:cs="宋体"/>
                <w:color w:val="auto"/>
                <w:kern w:val="0"/>
                <w:sz w:val="24"/>
                <w:highlight w:val="none"/>
              </w:rPr>
            </w:pPr>
          </w:p>
        </w:tc>
      </w:tr>
      <w:tr w14:paraId="45307E33">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AF3997D">
            <w:pPr>
              <w:widowControl/>
              <w:spacing w:line="360" w:lineRule="auto"/>
              <w:contextualSpacing/>
              <w:jc w:val="center"/>
              <w:rPr>
                <w:rFonts w:ascii="宋体" w:hAnsi="宋体" w:cs="宋体"/>
                <w:color w:val="auto"/>
                <w:kern w:val="0"/>
                <w:sz w:val="24"/>
                <w:highlight w:val="none"/>
              </w:rPr>
            </w:pPr>
            <w:r>
              <w:rPr>
                <w:rFonts w:hint="eastAsia" w:ascii="宋体" w:hAnsi="宋体" w:cs="宋体"/>
                <w:color w:val="auto"/>
                <w:kern w:val="0"/>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C446CB0">
            <w:pPr>
              <w:widowControl/>
              <w:spacing w:line="360" w:lineRule="auto"/>
              <w:contextualSpacing/>
              <w:jc w:val="center"/>
              <w:rPr>
                <w:rFonts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300D5D8">
            <w:pPr>
              <w:widowControl/>
              <w:spacing w:line="360" w:lineRule="auto"/>
              <w:contextualSpacing/>
              <w:jc w:val="center"/>
              <w:rPr>
                <w:rFonts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1872A7C">
            <w:pPr>
              <w:widowControl/>
              <w:spacing w:line="360" w:lineRule="auto"/>
              <w:contextualSpacing/>
              <w:jc w:val="center"/>
              <w:rPr>
                <w:rFonts w:ascii="宋体" w:hAnsi="宋体" w:cs="宋体"/>
                <w:color w:val="auto"/>
                <w:kern w:val="0"/>
                <w:sz w:val="24"/>
                <w:highlight w:val="none"/>
              </w:rPr>
            </w:pPr>
          </w:p>
        </w:tc>
      </w:tr>
      <w:tr w14:paraId="2D8D173A">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053206D">
            <w:pPr>
              <w:widowControl/>
              <w:spacing w:line="360" w:lineRule="auto"/>
              <w:contextualSpacing/>
              <w:jc w:val="center"/>
              <w:rPr>
                <w:rFonts w:ascii="宋体" w:hAnsi="宋体" w:cs="宋体"/>
                <w:color w:val="auto"/>
                <w:kern w:val="0"/>
                <w:sz w:val="24"/>
                <w:highlight w:val="none"/>
              </w:rPr>
            </w:pPr>
            <w:r>
              <w:rPr>
                <w:rFonts w:hint="eastAsia" w:ascii="宋体" w:hAnsi="宋体" w:cs="宋体"/>
                <w:color w:val="auto"/>
                <w:kern w:val="0"/>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6354902">
            <w:pPr>
              <w:widowControl/>
              <w:spacing w:line="360" w:lineRule="auto"/>
              <w:contextualSpacing/>
              <w:jc w:val="center"/>
              <w:rPr>
                <w:rFonts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FAE41BD">
            <w:pPr>
              <w:widowControl/>
              <w:spacing w:line="360" w:lineRule="auto"/>
              <w:contextualSpacing/>
              <w:jc w:val="center"/>
              <w:rPr>
                <w:rFonts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DCFE8A0">
            <w:pPr>
              <w:widowControl/>
              <w:spacing w:line="360" w:lineRule="auto"/>
              <w:contextualSpacing/>
              <w:jc w:val="center"/>
              <w:rPr>
                <w:rFonts w:ascii="宋体" w:hAnsi="宋体" w:cs="宋体"/>
                <w:color w:val="auto"/>
                <w:kern w:val="0"/>
                <w:sz w:val="24"/>
                <w:highlight w:val="none"/>
              </w:rPr>
            </w:pPr>
          </w:p>
        </w:tc>
      </w:tr>
      <w:tr w14:paraId="4404A64A">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C9CB912">
            <w:pPr>
              <w:widowControl/>
              <w:spacing w:line="360" w:lineRule="auto"/>
              <w:contextualSpacing/>
              <w:jc w:val="center"/>
              <w:rPr>
                <w:rFonts w:ascii="宋体" w:hAnsi="宋体" w:cs="宋体"/>
                <w:color w:val="auto"/>
                <w:kern w:val="0"/>
                <w:sz w:val="24"/>
                <w:highlight w:val="none"/>
              </w:rPr>
            </w:pPr>
            <w:r>
              <w:rPr>
                <w:rFonts w:hint="eastAsia" w:ascii="宋体" w:hAnsi="宋体" w:cs="宋体"/>
                <w:color w:val="auto"/>
                <w:kern w:val="0"/>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53671FE">
            <w:pPr>
              <w:widowControl/>
              <w:spacing w:line="360" w:lineRule="auto"/>
              <w:contextualSpacing/>
              <w:jc w:val="center"/>
              <w:rPr>
                <w:rFonts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C674C8E">
            <w:pPr>
              <w:widowControl/>
              <w:spacing w:line="360" w:lineRule="auto"/>
              <w:contextualSpacing/>
              <w:jc w:val="center"/>
              <w:rPr>
                <w:rFonts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0702E2D">
            <w:pPr>
              <w:widowControl/>
              <w:spacing w:line="360" w:lineRule="auto"/>
              <w:contextualSpacing/>
              <w:jc w:val="center"/>
              <w:rPr>
                <w:rFonts w:ascii="宋体" w:hAnsi="宋体" w:cs="宋体"/>
                <w:color w:val="auto"/>
                <w:kern w:val="0"/>
                <w:sz w:val="24"/>
                <w:highlight w:val="none"/>
              </w:rPr>
            </w:pPr>
          </w:p>
        </w:tc>
      </w:tr>
    </w:tbl>
    <w:p w14:paraId="5FA7F2A5">
      <w:pPr>
        <w:spacing w:line="360" w:lineRule="auto"/>
        <w:contextualSpacing/>
        <w:jc w:val="left"/>
        <w:rPr>
          <w:rFonts w:ascii="宋体" w:hAnsi="宋体"/>
          <w:color w:val="auto"/>
          <w:sz w:val="24"/>
          <w:highlight w:val="none"/>
        </w:rPr>
      </w:pPr>
      <w:r>
        <w:rPr>
          <w:rFonts w:hint="eastAsia" w:ascii="宋体" w:hAnsi="宋体"/>
          <w:color w:val="auto"/>
          <w:sz w:val="24"/>
          <w:highlight w:val="none"/>
        </w:rPr>
        <w:t>注：</w:t>
      </w:r>
    </w:p>
    <w:p w14:paraId="43A141D0">
      <w:pPr>
        <w:spacing w:line="360" w:lineRule="auto"/>
        <w:ind w:firstLine="480" w:firstLineChars="200"/>
        <w:contextualSpacing/>
        <w:jc w:val="left"/>
        <w:rPr>
          <w:rFonts w:ascii="宋体" w:hAnsi="宋体"/>
          <w:color w:val="auto"/>
          <w:sz w:val="24"/>
          <w:highlight w:val="none"/>
        </w:rPr>
      </w:pPr>
      <w:r>
        <w:rPr>
          <w:rFonts w:hint="eastAsia" w:ascii="宋体" w:hAnsi="宋体"/>
          <w:color w:val="auto"/>
          <w:sz w:val="24"/>
          <w:highlight w:val="none"/>
        </w:rPr>
        <w:t>1.管理关系：是指不具有出资持股关系的其他单位之间存在的管理与被管理关系，如一些上下级关系的事业单位和团体组织。</w:t>
      </w:r>
    </w:p>
    <w:p w14:paraId="4961383F">
      <w:pPr>
        <w:spacing w:line="360" w:lineRule="auto"/>
        <w:ind w:firstLine="480" w:firstLineChars="200"/>
        <w:contextualSpacing/>
        <w:jc w:val="left"/>
        <w:rPr>
          <w:rFonts w:ascii="宋体" w:hAnsi="宋体"/>
          <w:color w:val="auto"/>
          <w:sz w:val="24"/>
          <w:highlight w:val="none"/>
        </w:rPr>
      </w:pPr>
      <w:r>
        <w:rPr>
          <w:rFonts w:hint="eastAsia" w:ascii="宋体" w:hAnsi="宋体"/>
          <w:color w:val="auto"/>
          <w:sz w:val="24"/>
          <w:highlight w:val="none"/>
        </w:rPr>
        <w:t>2.</w:t>
      </w:r>
      <w:r>
        <w:rPr>
          <w:rFonts w:hint="eastAsia" w:ascii="宋体" w:hAnsi="宋体"/>
          <w:color w:val="auto"/>
          <w:spacing w:val="-6"/>
          <w:sz w:val="24"/>
          <w:highlight w:val="none"/>
        </w:rPr>
        <w:t>本表所指的管理关系仅限于直接管理关系，不包括间接的管理关系。</w:t>
      </w:r>
    </w:p>
    <w:p w14:paraId="78B152DD">
      <w:pPr>
        <w:spacing w:line="360" w:lineRule="auto"/>
        <w:ind w:firstLine="480" w:firstLineChars="200"/>
        <w:contextualSpacing/>
        <w:jc w:val="left"/>
        <w:rPr>
          <w:rFonts w:ascii="宋体" w:hAnsi="宋体"/>
          <w:color w:val="auto"/>
          <w:sz w:val="24"/>
          <w:highlight w:val="none"/>
        </w:rPr>
      </w:pPr>
      <w:r>
        <w:rPr>
          <w:rFonts w:hint="eastAsia" w:ascii="宋体" w:hAnsi="宋体"/>
          <w:color w:val="auto"/>
          <w:sz w:val="24"/>
          <w:highlight w:val="none"/>
        </w:rPr>
        <w:t>3.供应商不存在直接管理关系的，则在“直接管理关系单位名称”填“无”。</w:t>
      </w:r>
    </w:p>
    <w:p w14:paraId="3E83CCB3">
      <w:pPr>
        <w:spacing w:line="360" w:lineRule="auto"/>
        <w:contextualSpacing/>
        <w:jc w:val="left"/>
        <w:rPr>
          <w:rFonts w:ascii="宋体" w:hAnsi="宋体"/>
          <w:color w:val="auto"/>
          <w:sz w:val="28"/>
          <w:szCs w:val="28"/>
          <w:highlight w:val="none"/>
        </w:rPr>
      </w:pPr>
    </w:p>
    <w:p w14:paraId="74854685">
      <w:pPr>
        <w:spacing w:line="360" w:lineRule="auto"/>
        <w:contextualSpacing/>
        <w:jc w:val="left"/>
        <w:rPr>
          <w:rFonts w:ascii="宋体" w:hAnsi="宋体"/>
          <w:color w:val="auto"/>
          <w:sz w:val="28"/>
          <w:szCs w:val="28"/>
          <w:highlight w:val="none"/>
        </w:rPr>
      </w:pPr>
    </w:p>
    <w:p w14:paraId="20F49672">
      <w:pPr>
        <w:spacing w:line="360" w:lineRule="auto"/>
        <w:contextualSpacing/>
        <w:jc w:val="left"/>
        <w:rPr>
          <w:color w:val="auto"/>
          <w:sz w:val="28"/>
          <w:szCs w:val="28"/>
          <w:highlight w:val="none"/>
        </w:rPr>
      </w:pPr>
    </w:p>
    <w:p w14:paraId="7E73180D">
      <w:pPr>
        <w:spacing w:line="360" w:lineRule="auto"/>
        <w:contextualSpacing/>
        <w:jc w:val="left"/>
        <w:rPr>
          <w:color w:val="auto"/>
          <w:sz w:val="28"/>
          <w:szCs w:val="28"/>
          <w:highlight w:val="none"/>
        </w:rPr>
      </w:pPr>
    </w:p>
    <w:p w14:paraId="2EABEAEC">
      <w:pPr>
        <w:spacing w:line="360" w:lineRule="auto"/>
        <w:contextualSpacing/>
        <w:jc w:val="left"/>
        <w:rPr>
          <w:color w:val="auto"/>
          <w:sz w:val="28"/>
          <w:szCs w:val="28"/>
          <w:highlight w:val="none"/>
        </w:rPr>
      </w:pPr>
    </w:p>
    <w:p w14:paraId="42E6B006">
      <w:pPr>
        <w:spacing w:line="360" w:lineRule="auto"/>
        <w:contextualSpacing/>
        <w:jc w:val="left"/>
        <w:rPr>
          <w:rFonts w:ascii="宋体" w:hAnsi="宋体"/>
          <w:color w:val="auto"/>
          <w:sz w:val="28"/>
          <w:szCs w:val="28"/>
          <w:highlight w:val="none"/>
        </w:rPr>
      </w:pPr>
    </w:p>
    <w:p w14:paraId="53F87035">
      <w:pPr>
        <w:spacing w:line="360" w:lineRule="auto"/>
        <w:ind w:right="480"/>
        <w:contextualSpacing/>
        <w:jc w:val="center"/>
        <w:rPr>
          <w:rFonts w:ascii="宋体" w:hAnsi="宋体"/>
          <w:color w:val="auto"/>
          <w:sz w:val="24"/>
          <w:highlight w:val="none"/>
          <w:u w:val="single"/>
        </w:rPr>
      </w:pPr>
      <w:r>
        <w:rPr>
          <w:rFonts w:hint="eastAsia" w:ascii="宋体" w:hAnsi="宋体"/>
          <w:color w:val="auto"/>
          <w:sz w:val="24"/>
          <w:highlight w:val="none"/>
        </w:rPr>
        <w:t>法定代表人或者委托代理人（签字或者电子签名）：</w:t>
      </w:r>
    </w:p>
    <w:p w14:paraId="220C133A">
      <w:pPr>
        <w:spacing w:line="360" w:lineRule="auto"/>
        <w:ind w:right="480" w:firstLine="3360" w:firstLineChars="1400"/>
        <w:contextualSpacing/>
        <w:rPr>
          <w:rFonts w:ascii="宋体" w:hAnsi="宋体"/>
          <w:color w:val="auto"/>
          <w:sz w:val="24"/>
          <w:highlight w:val="none"/>
        </w:rPr>
      </w:pPr>
      <w:r>
        <w:rPr>
          <w:rFonts w:hint="eastAsia" w:ascii="宋体" w:hAnsi="宋体"/>
          <w:color w:val="auto"/>
          <w:sz w:val="24"/>
          <w:highlight w:val="none"/>
        </w:rPr>
        <w:t>供应商（电子签章）：</w:t>
      </w:r>
    </w:p>
    <w:p w14:paraId="5928C5AE">
      <w:pPr>
        <w:spacing w:line="360" w:lineRule="auto"/>
        <w:ind w:firstLine="480" w:firstLineChars="200"/>
        <w:contextualSpacing/>
        <w:jc w:val="left"/>
        <w:rPr>
          <w:rFonts w:ascii="宋体" w:hAnsi="宋体"/>
          <w:color w:val="auto"/>
          <w:sz w:val="28"/>
          <w:szCs w:val="28"/>
          <w:highlight w:val="none"/>
        </w:rPr>
      </w:pPr>
      <w:r>
        <w:rPr>
          <w:rFonts w:hint="eastAsia" w:ascii="宋体" w:hAnsi="宋体"/>
          <w:color w:val="auto"/>
          <w:sz w:val="24"/>
          <w:highlight w:val="none"/>
        </w:rPr>
        <w:t xml:space="preserve">                                        年    月    日</w:t>
      </w:r>
    </w:p>
    <w:p w14:paraId="3D5B334B">
      <w:pPr>
        <w:spacing w:line="320" w:lineRule="exact"/>
        <w:jc w:val="center"/>
        <w:rPr>
          <w:rFonts w:ascii="宋体" w:hAnsi="宋体"/>
          <w:b/>
          <w:color w:val="auto"/>
          <w:sz w:val="32"/>
          <w:szCs w:val="32"/>
          <w:highlight w:val="none"/>
        </w:rPr>
      </w:pPr>
      <w:r>
        <w:rPr>
          <w:rFonts w:ascii="宋体" w:hAnsi="宋体"/>
          <w:color w:val="auto"/>
          <w:sz w:val="28"/>
          <w:szCs w:val="28"/>
          <w:highlight w:val="none"/>
        </w:rPr>
        <w:br w:type="page"/>
      </w:r>
      <w:r>
        <w:rPr>
          <w:rFonts w:hint="eastAsia" w:ascii="宋体" w:hAnsi="宋体"/>
          <w:b/>
          <w:color w:val="auto"/>
          <w:sz w:val="32"/>
          <w:szCs w:val="32"/>
          <w:highlight w:val="none"/>
        </w:rPr>
        <w:t>竞标声明</w:t>
      </w:r>
    </w:p>
    <w:p w14:paraId="74F61DB7">
      <w:pPr>
        <w:spacing w:line="320" w:lineRule="exact"/>
        <w:jc w:val="center"/>
        <w:rPr>
          <w:rFonts w:ascii="宋体" w:hAnsi="宋体"/>
          <w:color w:val="auto"/>
          <w:sz w:val="24"/>
          <w:szCs w:val="20"/>
          <w:highlight w:val="none"/>
        </w:rPr>
      </w:pPr>
    </w:p>
    <w:p w14:paraId="4D17BCB2">
      <w:pPr>
        <w:spacing w:line="360" w:lineRule="auto"/>
        <w:contextualSpacing/>
        <w:rPr>
          <w:rFonts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（采购人名称）</w:t>
      </w:r>
      <w:r>
        <w:rPr>
          <w:rFonts w:hint="eastAsia" w:ascii="宋体" w:hAnsi="宋体" w:cs="宋体"/>
          <w:color w:val="auto"/>
          <w:sz w:val="24"/>
          <w:highlight w:val="none"/>
        </w:rPr>
        <w:t>：</w:t>
      </w:r>
    </w:p>
    <w:p w14:paraId="375AC8A4">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我方</w:t>
      </w:r>
      <w:r>
        <w:rPr>
          <w:rFonts w:hint="eastAsia" w:ascii="宋体" w:hAnsi="宋体" w:cs="宋体"/>
          <w:color w:val="auto"/>
          <w:sz w:val="24"/>
          <w:highlight w:val="none"/>
          <w:u w:val="single"/>
        </w:rPr>
        <w:t>（供应商名称）</w:t>
      </w:r>
      <w:r>
        <w:rPr>
          <w:rFonts w:hint="eastAsia" w:ascii="宋体" w:hAnsi="宋体" w:cs="宋体"/>
          <w:color w:val="auto"/>
          <w:sz w:val="24"/>
          <w:highlight w:val="none"/>
        </w:rPr>
        <w:t>系中华人民共和国合法供应商，经营地址。</w:t>
      </w:r>
    </w:p>
    <w:p w14:paraId="4F387A54">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我方愿意参加贵方组织的</w:t>
      </w:r>
      <w:r>
        <w:rPr>
          <w:rFonts w:hint="eastAsia" w:ascii="宋体" w:hAnsi="宋体" w:cs="宋体"/>
          <w:color w:val="auto"/>
          <w:sz w:val="24"/>
          <w:highlight w:val="none"/>
          <w:u w:val="single"/>
        </w:rPr>
        <w:t>（项目名称）（项目编号）</w:t>
      </w:r>
      <w:r>
        <w:rPr>
          <w:rFonts w:hint="eastAsia" w:ascii="宋体" w:hAnsi="宋体" w:cs="宋体"/>
          <w:color w:val="auto"/>
          <w:sz w:val="24"/>
          <w:highlight w:val="none"/>
        </w:rPr>
        <w:t>项目的竞标，为便于贵方公正、择优地确定成交供应商及其服务，我方就本次竞标有关事项郑重声明如下：</w:t>
      </w:r>
    </w:p>
    <w:p w14:paraId="46229C19">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1.我方向贵方提交的所有响应文件、资料都是准确的和真实的。</w:t>
      </w:r>
    </w:p>
    <w:p w14:paraId="61606162">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2.</w:t>
      </w:r>
      <w:r>
        <w:rPr>
          <w:rFonts w:hint="eastAsia" w:ascii="宋体" w:hAnsi="宋体"/>
          <w:color w:val="auto"/>
          <w:sz w:val="24"/>
          <w:highlight w:val="none"/>
        </w:rPr>
        <w:t>我方不是为本次采购项目提供整体设计、规范编制或者项目管理、监理、检测等服务的供应商</w:t>
      </w:r>
      <w:r>
        <w:rPr>
          <w:rFonts w:hint="eastAsia" w:ascii="宋体" w:hAnsi="宋体" w:cs="宋体"/>
          <w:color w:val="auto"/>
          <w:sz w:val="24"/>
          <w:highlight w:val="none"/>
        </w:rPr>
        <w:t>。</w:t>
      </w:r>
    </w:p>
    <w:p w14:paraId="66466359">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3.在此，我方宣布同意如下：</w:t>
      </w:r>
    </w:p>
    <w:p w14:paraId="212F9474">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（1）将按磋商文件的约定履行合同责任和义务；</w:t>
      </w:r>
    </w:p>
    <w:p w14:paraId="1B20AC37">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（2）已详细审查全部磋商文件，包括澄清或者更正公告（如有）；</w:t>
      </w:r>
    </w:p>
    <w:p w14:paraId="4FC0D200">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（3）同意提供按照贵方可能要求的与磋商有关的一切数据或者资料；</w:t>
      </w:r>
    </w:p>
    <w:p w14:paraId="2E63F0F6">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（4）响应磋商文件规定的竞标有效期。</w:t>
      </w:r>
    </w:p>
    <w:p w14:paraId="4EAF666E">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4.我方承诺符合《中华人民共和国政府采购法》第二十二条规定：</w:t>
      </w:r>
    </w:p>
    <w:p w14:paraId="2C0754DA">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（1）具有独立承担民事责任的能力；</w:t>
      </w:r>
    </w:p>
    <w:p w14:paraId="2C7D3140">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（2）具有良好的商业信誉和健全的财务会计制度；</w:t>
      </w:r>
    </w:p>
    <w:p w14:paraId="5330CDB5">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（3）具有履行合同所必需的设备和专业技术能力；</w:t>
      </w:r>
    </w:p>
    <w:p w14:paraId="71A70601">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（4）有依法缴纳税收和社会保障资金的良好记录；</w:t>
      </w:r>
    </w:p>
    <w:p w14:paraId="691B9698">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（5）参加政府采购活动前三年内，在经营活动中没有重大违法记录；</w:t>
      </w:r>
    </w:p>
    <w:p w14:paraId="1F55C086">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（6）法律、行政法规规定的其他条件。</w:t>
      </w:r>
    </w:p>
    <w:p w14:paraId="4ABDA7AA">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186F0CDA">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5EA9776D">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□我方本次响应文件</w:t>
      </w:r>
      <w:r>
        <w:rPr>
          <w:rFonts w:hint="eastAsia" w:ascii="宋体" w:hAnsi="宋体" w:cs="宋体"/>
          <w:color w:val="auto"/>
          <w:kern w:val="0"/>
          <w:sz w:val="24"/>
          <w:highlight w:val="none"/>
        </w:rPr>
        <w:t>内容中</w:t>
      </w:r>
      <w:r>
        <w:rPr>
          <w:rFonts w:hint="eastAsia" w:ascii="宋体" w:hAnsi="宋体" w:cs="宋体"/>
          <w:color w:val="auto"/>
          <w:sz w:val="24"/>
          <w:highlight w:val="none"/>
        </w:rPr>
        <w:t>未</w:t>
      </w:r>
      <w:r>
        <w:rPr>
          <w:rFonts w:hint="eastAsia" w:ascii="宋体" w:hAnsi="宋体" w:cs="宋体"/>
          <w:color w:val="auto"/>
          <w:kern w:val="0"/>
          <w:sz w:val="24"/>
          <w:highlight w:val="none"/>
        </w:rPr>
        <w:t>涉及商业秘密；</w:t>
      </w:r>
    </w:p>
    <w:p w14:paraId="55A98B4B">
      <w:pPr>
        <w:spacing w:line="360" w:lineRule="auto"/>
        <w:ind w:firstLine="480" w:firstLineChars="200"/>
        <w:contextualSpacing/>
        <w:rPr>
          <w:rFonts w:ascii="宋体" w:hAnsi="宋体" w:cs="宋体"/>
          <w:color w:val="auto"/>
          <w:sz w:val="24"/>
          <w:highlight w:val="none"/>
        </w:rPr>
      </w:pPr>
      <w:r>
        <w:rPr>
          <w:rFonts w:hint="eastAsia" w:ascii="宋体" w:hAnsi="宋体" w:cs="宋体"/>
          <w:color w:val="auto"/>
          <w:sz w:val="24"/>
          <w:highlight w:val="none"/>
        </w:rPr>
        <w:t>□我方本次响应文件</w:t>
      </w:r>
      <w:r>
        <w:rPr>
          <w:rFonts w:hint="eastAsia" w:ascii="宋体" w:hAnsi="宋体" w:cs="宋体"/>
          <w:color w:val="auto"/>
          <w:kern w:val="0"/>
          <w:sz w:val="24"/>
          <w:highlight w:val="none"/>
        </w:rPr>
        <w:t>涉及商业秘密的内容有</w:t>
      </w:r>
      <w:r>
        <w:rPr>
          <w:rFonts w:hint="eastAsia" w:ascii="宋体" w:hAnsi="宋体" w:cs="宋体"/>
          <w:color w:val="auto"/>
          <w:kern w:val="0"/>
          <w:sz w:val="24"/>
          <w:highlight w:val="none"/>
          <w:u w:val="single"/>
        </w:rPr>
        <w:t>：           ；</w:t>
      </w:r>
    </w:p>
    <w:p w14:paraId="29B50750">
      <w:pPr>
        <w:pStyle w:val="24"/>
        <w:spacing w:line="360" w:lineRule="auto"/>
        <w:ind w:firstLine="480" w:firstLineChars="200"/>
        <w:contextualSpacing/>
        <w:rPr>
          <w:rFonts w:hAnsi="宋体" w:cs="宋体"/>
          <w:color w:val="auto"/>
          <w:sz w:val="24"/>
          <w:szCs w:val="24"/>
          <w:highlight w:val="none"/>
          <w:u w:val="single"/>
        </w:rPr>
      </w:pPr>
      <w:r>
        <w:rPr>
          <w:rFonts w:hint="eastAsia" w:hAnsi="宋体" w:cs="宋体"/>
          <w:color w:val="auto"/>
          <w:sz w:val="24"/>
          <w:szCs w:val="24"/>
          <w:highlight w:val="none"/>
        </w:rPr>
        <w:t>7.与本磋商有关的一切正式往来信函请寄：邮政编号：</w:t>
      </w:r>
    </w:p>
    <w:p w14:paraId="56C2267B">
      <w:pPr>
        <w:pStyle w:val="24"/>
        <w:spacing w:line="360" w:lineRule="auto"/>
        <w:ind w:firstLine="480" w:firstLineChars="200"/>
        <w:contextualSpacing/>
        <w:rPr>
          <w:rFonts w:hAnsi="宋体" w:cs="宋体"/>
          <w:color w:val="auto"/>
          <w:sz w:val="24"/>
          <w:szCs w:val="24"/>
          <w:highlight w:val="none"/>
        </w:rPr>
      </w:pPr>
      <w:r>
        <w:rPr>
          <w:rFonts w:hint="eastAsia" w:hAnsi="宋体" w:cs="宋体"/>
          <w:color w:val="auto"/>
          <w:sz w:val="24"/>
          <w:szCs w:val="24"/>
          <w:highlight w:val="none"/>
        </w:rPr>
        <w:t>电话/传真： 电子邮箱：</w:t>
      </w:r>
    </w:p>
    <w:p w14:paraId="7C08DBDD">
      <w:pPr>
        <w:pStyle w:val="20"/>
        <w:tabs>
          <w:tab w:val="left" w:pos="939"/>
        </w:tabs>
        <w:spacing w:line="360" w:lineRule="auto"/>
        <w:ind w:left="141" w:leftChars="67" w:firstLine="360" w:firstLineChars="150"/>
        <w:rPr>
          <w:rFonts w:ascii="宋体" w:hAnsi="宋体" w:cs="宋体"/>
          <w:color w:val="auto"/>
          <w:sz w:val="24"/>
          <w:highlight w:val="none"/>
        </w:rPr>
      </w:pPr>
      <w:r>
        <w:rPr>
          <w:rFonts w:hint="eastAsia" w:ascii="宋体" w:hAnsi="宋体" w:cs="宋体"/>
          <w:color w:val="auto"/>
          <w:sz w:val="24"/>
          <w:highlight w:val="none"/>
        </w:rPr>
        <w:t>开户银行：  帐号：</w:t>
      </w:r>
    </w:p>
    <w:p w14:paraId="2F2272EF">
      <w:pPr>
        <w:pStyle w:val="20"/>
        <w:tabs>
          <w:tab w:val="left" w:pos="939"/>
        </w:tabs>
        <w:spacing w:line="360" w:lineRule="auto"/>
        <w:ind w:left="0" w:leftChars="0" w:firstLine="480" w:firstLineChars="200"/>
        <w:rPr>
          <w:rFonts w:ascii="宋体" w:hAnsi="宋体" w:cs="宋体"/>
          <w:color w:val="auto"/>
          <w:sz w:val="24"/>
          <w:highlight w:val="none"/>
        </w:rPr>
      </w:pPr>
      <w:r>
        <w:rPr>
          <w:rFonts w:hint="eastAsia" w:ascii="宋体" w:hAnsi="宋体" w:cs="宋体"/>
          <w:color w:val="auto"/>
          <w:sz w:val="24"/>
          <w:highlight w:val="none"/>
        </w:rPr>
        <w:t>8.以上事项如有虚假或者隐瞒，我方愿意承担一切后果，并不再寻求任何旨在减轻或者免除法律责任的辩解。</w:t>
      </w:r>
    </w:p>
    <w:p w14:paraId="7B95C774">
      <w:pPr>
        <w:pStyle w:val="20"/>
        <w:tabs>
          <w:tab w:val="left" w:pos="939"/>
        </w:tabs>
        <w:spacing w:line="360" w:lineRule="auto"/>
        <w:ind w:left="141" w:leftChars="67" w:firstLine="360" w:firstLineChars="150"/>
        <w:rPr>
          <w:rFonts w:ascii="宋体" w:hAnsi="宋体" w:cs="宋体"/>
          <w:color w:val="auto"/>
          <w:sz w:val="24"/>
          <w:highlight w:val="none"/>
        </w:rPr>
      </w:pPr>
      <w:r>
        <w:rPr>
          <w:rFonts w:hint="eastAsia" w:ascii="宋体" w:hAnsi="宋体" w:cs="宋体"/>
          <w:color w:val="auto"/>
          <w:sz w:val="24"/>
          <w:highlight w:val="none"/>
        </w:rPr>
        <w:t>特此承诺。</w:t>
      </w:r>
    </w:p>
    <w:p w14:paraId="1005B78A">
      <w:pPr>
        <w:spacing w:line="360" w:lineRule="auto"/>
        <w:ind w:firstLine="482" w:firstLineChars="200"/>
        <w:contextualSpacing/>
        <w:jc w:val="left"/>
        <w:rPr>
          <w:rFonts w:ascii="宋体" w:hAnsi="宋体"/>
          <w:b/>
          <w:color w:val="auto"/>
          <w:sz w:val="24"/>
          <w:highlight w:val="none"/>
        </w:rPr>
      </w:pPr>
      <w:r>
        <w:rPr>
          <w:rFonts w:hint="eastAsia" w:ascii="宋体" w:hAnsi="宋体" w:cs="宋体"/>
          <w:b/>
          <w:color w:val="auto"/>
          <w:sz w:val="24"/>
          <w:highlight w:val="none"/>
        </w:rPr>
        <w:t>注：</w:t>
      </w:r>
      <w:r>
        <w:rPr>
          <w:rFonts w:hint="eastAsia" w:ascii="宋体" w:hAnsi="宋体"/>
          <w:b/>
          <w:color w:val="auto"/>
          <w:sz w:val="24"/>
          <w:highlight w:val="none"/>
        </w:rPr>
        <w:t>如为联合体竞标，盖章处须加盖联合体牵头人电子签章并由联合体牵头人法定代表人分别签字或者盖章或者电子签名，否则响应文件按无效处理。</w:t>
      </w:r>
    </w:p>
    <w:p w14:paraId="52BB5339">
      <w:pPr>
        <w:spacing w:line="360" w:lineRule="auto"/>
        <w:contextualSpacing/>
        <w:jc w:val="left"/>
        <w:rPr>
          <w:rFonts w:ascii="宋体" w:hAnsi="宋体" w:cs="宋体"/>
          <w:color w:val="auto"/>
          <w:szCs w:val="21"/>
          <w:highlight w:val="none"/>
        </w:rPr>
      </w:pPr>
    </w:p>
    <w:p w14:paraId="39B6F992">
      <w:pPr>
        <w:spacing w:line="360" w:lineRule="auto"/>
        <w:ind w:firstLine="1575" w:firstLineChars="750"/>
        <w:contextualSpacing/>
        <w:rPr>
          <w:color w:val="auto"/>
          <w:highlight w:val="none"/>
        </w:rPr>
      </w:pPr>
      <w:r>
        <w:rPr>
          <w:rFonts w:hint="eastAsia"/>
          <w:color w:val="auto"/>
          <w:highlight w:val="none"/>
        </w:rPr>
        <w:t>法定代表人（</w:t>
      </w:r>
      <w:r>
        <w:rPr>
          <w:rFonts w:hint="eastAsia" w:ascii="宋体" w:hAnsi="宋体"/>
          <w:color w:val="auto"/>
          <w:sz w:val="24"/>
          <w:highlight w:val="none"/>
        </w:rPr>
        <w:t>签字或者盖章或者电子签名</w:t>
      </w:r>
      <w:r>
        <w:rPr>
          <w:rFonts w:hint="eastAsia"/>
          <w:color w:val="auto"/>
          <w:highlight w:val="none"/>
        </w:rPr>
        <w:t>）：</w:t>
      </w:r>
    </w:p>
    <w:p w14:paraId="3897EEED">
      <w:pPr>
        <w:spacing w:line="360" w:lineRule="auto"/>
        <w:ind w:firstLine="3780" w:firstLineChars="1800"/>
        <w:contextualSpacing/>
        <w:rPr>
          <w:rFonts w:ascii="宋体" w:hAnsi="宋体" w:cs="宋体"/>
          <w:color w:val="auto"/>
          <w:szCs w:val="21"/>
          <w:highlight w:val="none"/>
          <w:u w:val="single"/>
        </w:rPr>
      </w:pPr>
      <w:r>
        <w:rPr>
          <w:rFonts w:hint="eastAsia"/>
          <w:color w:val="auto"/>
          <w:highlight w:val="none"/>
        </w:rPr>
        <w:t>供应商（电子签章）：</w:t>
      </w:r>
    </w:p>
    <w:p w14:paraId="3781A1B4">
      <w:pPr>
        <w:pStyle w:val="20"/>
        <w:tabs>
          <w:tab w:val="left" w:pos="939"/>
        </w:tabs>
        <w:spacing w:line="360" w:lineRule="auto"/>
        <w:ind w:left="0" w:leftChars="0" w:firstLine="420" w:firstLineChars="200"/>
        <w:rPr>
          <w:color w:val="auto"/>
          <w:sz w:val="24"/>
          <w:highlight w:val="none"/>
        </w:rPr>
      </w:pPr>
      <w:r>
        <w:rPr>
          <w:rFonts w:hint="eastAsia"/>
          <w:color w:val="auto"/>
          <w:highlight w:val="none"/>
          <w:u w:val="single"/>
        </w:rPr>
        <w:t xml:space="preserve">    年  月  日</w:t>
      </w:r>
    </w:p>
    <w:p w14:paraId="2D6DE5B7">
      <w:pPr>
        <w:rPr>
          <w:rFonts w:hint="eastAsia" w:ascii="宋体" w:hAnsi="宋体" w:cs="方正小标宋简体"/>
          <w:b/>
          <w:color w:val="auto"/>
          <w:sz w:val="32"/>
          <w:szCs w:val="32"/>
          <w:highlight w:val="none"/>
        </w:rPr>
      </w:pPr>
      <w:r>
        <w:rPr>
          <w:rFonts w:hint="eastAsia"/>
          <w:color w:val="auto"/>
          <w:sz w:val="24"/>
          <w:highlight w:val="none"/>
        </w:rPr>
        <w:br w:type="page"/>
      </w:r>
    </w:p>
    <w:p w14:paraId="2FDA92E8">
      <w:pPr>
        <w:spacing w:line="360" w:lineRule="auto"/>
        <w:ind w:firstLine="321" w:firstLineChars="100"/>
        <w:contextualSpacing/>
        <w:jc w:val="center"/>
        <w:rPr>
          <w:rFonts w:ascii="宋体" w:hAnsi="宋体"/>
          <w:b/>
          <w:color w:val="auto"/>
          <w:sz w:val="32"/>
          <w:szCs w:val="32"/>
          <w:highlight w:val="none"/>
        </w:rPr>
      </w:pPr>
      <w:r>
        <w:rPr>
          <w:rFonts w:hint="eastAsia" w:ascii="宋体" w:hAnsi="宋体"/>
          <w:b/>
          <w:bCs/>
          <w:color w:val="auto"/>
          <w:sz w:val="32"/>
          <w:szCs w:val="32"/>
          <w:highlight w:val="none"/>
        </w:rPr>
        <w:t>二、</w:t>
      </w:r>
      <w:r>
        <w:rPr>
          <w:rFonts w:hint="eastAsia" w:ascii="宋体" w:hAnsi="宋体"/>
          <w:b/>
          <w:color w:val="auto"/>
          <w:sz w:val="32"/>
          <w:szCs w:val="32"/>
          <w:highlight w:val="none"/>
        </w:rPr>
        <w:t xml:space="preserve">报价文件格式 </w:t>
      </w:r>
    </w:p>
    <w:p w14:paraId="7FA4E713">
      <w:pPr>
        <w:snapToGrid w:val="0"/>
        <w:spacing w:beforeLines="50" w:after="50" w:line="360" w:lineRule="auto"/>
        <w:jc w:val="left"/>
        <w:rPr>
          <w:rFonts w:ascii="宋体" w:hAnsi="宋体"/>
          <w:b/>
          <w:color w:val="auto"/>
          <w:sz w:val="32"/>
          <w:szCs w:val="32"/>
          <w:highlight w:val="none"/>
        </w:rPr>
      </w:pPr>
      <w:r>
        <w:rPr>
          <w:rFonts w:hint="eastAsia" w:ascii="宋体" w:hAnsi="宋体"/>
          <w:b/>
          <w:color w:val="auto"/>
          <w:sz w:val="32"/>
          <w:szCs w:val="32"/>
          <w:highlight w:val="none"/>
        </w:rPr>
        <w:t>1.报价文件封面格式</w:t>
      </w:r>
    </w:p>
    <w:p w14:paraId="112DDBDB">
      <w:pPr>
        <w:snapToGrid w:val="0"/>
        <w:spacing w:beforeLines="50" w:after="50"/>
        <w:rPr>
          <w:rFonts w:ascii="宋体" w:hAnsi="宋体"/>
          <w:bCs/>
          <w:color w:val="auto"/>
          <w:sz w:val="32"/>
          <w:szCs w:val="20"/>
          <w:highlight w:val="none"/>
        </w:rPr>
      </w:pPr>
    </w:p>
    <w:p w14:paraId="71B530FF">
      <w:pPr>
        <w:snapToGrid w:val="0"/>
        <w:spacing w:beforeLines="50" w:after="50"/>
        <w:jc w:val="center"/>
        <w:rPr>
          <w:rFonts w:ascii="宋体" w:hAnsi="宋体"/>
          <w:color w:val="auto"/>
          <w:sz w:val="24"/>
          <w:szCs w:val="20"/>
          <w:highlight w:val="none"/>
        </w:rPr>
      </w:pPr>
      <w:r>
        <w:rPr>
          <w:rFonts w:hint="eastAsia" w:ascii="宋体" w:hAnsi="宋体"/>
          <w:color w:val="auto"/>
          <w:sz w:val="44"/>
          <w:szCs w:val="44"/>
          <w:highlight w:val="none"/>
        </w:rPr>
        <w:t>电 子 响 应 文 件</w:t>
      </w:r>
    </w:p>
    <w:p w14:paraId="27C4D447">
      <w:pPr>
        <w:snapToGrid w:val="0"/>
        <w:spacing w:beforeLines="50" w:after="50"/>
        <w:rPr>
          <w:rFonts w:ascii="宋体" w:hAnsi="宋体"/>
          <w:color w:val="auto"/>
          <w:sz w:val="24"/>
          <w:szCs w:val="20"/>
          <w:highlight w:val="none"/>
        </w:rPr>
      </w:pPr>
    </w:p>
    <w:p w14:paraId="02CCA465">
      <w:pPr>
        <w:snapToGrid w:val="0"/>
        <w:spacing w:beforeLines="50" w:after="50"/>
        <w:rPr>
          <w:rFonts w:ascii="宋体" w:hAnsi="宋体"/>
          <w:color w:val="auto"/>
          <w:sz w:val="24"/>
          <w:szCs w:val="20"/>
          <w:highlight w:val="none"/>
        </w:rPr>
      </w:pPr>
    </w:p>
    <w:p w14:paraId="622DCE3B">
      <w:pPr>
        <w:snapToGrid w:val="0"/>
        <w:spacing w:beforeLines="50" w:after="50"/>
        <w:jc w:val="center"/>
        <w:rPr>
          <w:rFonts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报  价  文  件</w:t>
      </w:r>
    </w:p>
    <w:p w14:paraId="41C4BA24">
      <w:pPr>
        <w:snapToGrid w:val="0"/>
        <w:spacing w:beforeLines="50" w:after="50"/>
        <w:rPr>
          <w:rFonts w:ascii="宋体" w:hAnsi="宋体"/>
          <w:bCs/>
          <w:color w:val="auto"/>
          <w:sz w:val="24"/>
          <w:szCs w:val="20"/>
          <w:highlight w:val="none"/>
        </w:rPr>
      </w:pPr>
    </w:p>
    <w:p w14:paraId="4E8C779E">
      <w:pPr>
        <w:snapToGrid w:val="0"/>
        <w:spacing w:beforeLines="50" w:after="50"/>
        <w:rPr>
          <w:rFonts w:ascii="宋体" w:hAnsi="宋体"/>
          <w:bCs/>
          <w:color w:val="auto"/>
          <w:sz w:val="24"/>
          <w:szCs w:val="20"/>
          <w:highlight w:val="none"/>
        </w:rPr>
      </w:pPr>
    </w:p>
    <w:p w14:paraId="1D9C51AB">
      <w:pPr>
        <w:snapToGrid w:val="0"/>
        <w:spacing w:beforeLines="50" w:after="50"/>
        <w:rPr>
          <w:rFonts w:ascii="宋体" w:hAnsi="宋体"/>
          <w:bCs/>
          <w:color w:val="auto"/>
          <w:sz w:val="24"/>
          <w:szCs w:val="20"/>
          <w:highlight w:val="none"/>
        </w:rPr>
      </w:pPr>
    </w:p>
    <w:p w14:paraId="5259C374">
      <w:pPr>
        <w:snapToGrid w:val="0"/>
        <w:spacing w:beforeLines="50" w:after="50"/>
        <w:rPr>
          <w:rFonts w:ascii="宋体" w:hAnsi="宋体"/>
          <w:bCs/>
          <w:color w:val="auto"/>
          <w:sz w:val="24"/>
          <w:szCs w:val="20"/>
          <w:highlight w:val="none"/>
        </w:rPr>
      </w:pPr>
    </w:p>
    <w:p w14:paraId="5168665A">
      <w:pPr>
        <w:snapToGrid w:val="0"/>
        <w:spacing w:beforeLines="50" w:after="50"/>
        <w:rPr>
          <w:rFonts w:ascii="宋体" w:hAnsi="宋体"/>
          <w:bCs/>
          <w:color w:val="auto"/>
          <w:sz w:val="24"/>
          <w:szCs w:val="20"/>
          <w:highlight w:val="none"/>
        </w:rPr>
      </w:pPr>
    </w:p>
    <w:p w14:paraId="6FF5B42D">
      <w:pPr>
        <w:snapToGrid w:val="0"/>
        <w:spacing w:beforeLines="50" w:after="50"/>
        <w:ind w:firstLine="640" w:firstLineChars="200"/>
        <w:rPr>
          <w:rFonts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2690B267">
      <w:pPr>
        <w:snapToGrid w:val="0"/>
        <w:spacing w:beforeLines="50" w:after="50"/>
        <w:ind w:firstLine="720" w:firstLineChars="225"/>
        <w:rPr>
          <w:rFonts w:ascii="宋体" w:hAnsi="宋体" w:cs="仿宋_GB2312"/>
          <w:bCs/>
          <w:color w:val="auto"/>
          <w:sz w:val="32"/>
          <w:szCs w:val="32"/>
          <w:highlight w:val="none"/>
        </w:rPr>
      </w:pPr>
    </w:p>
    <w:p w14:paraId="6FDF005A">
      <w:pPr>
        <w:snapToGrid w:val="0"/>
        <w:spacing w:beforeLines="50" w:after="50"/>
        <w:ind w:firstLine="640" w:firstLineChars="200"/>
        <w:rPr>
          <w:rFonts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1EE739A0">
      <w:pPr>
        <w:snapToGrid w:val="0"/>
        <w:spacing w:beforeLines="50" w:after="50"/>
        <w:ind w:firstLine="720" w:firstLineChars="225"/>
        <w:rPr>
          <w:rFonts w:ascii="宋体" w:hAnsi="宋体" w:cs="仿宋_GB2312"/>
          <w:bCs/>
          <w:color w:val="auto"/>
          <w:sz w:val="32"/>
          <w:szCs w:val="32"/>
          <w:highlight w:val="none"/>
        </w:rPr>
      </w:pPr>
    </w:p>
    <w:p w14:paraId="0D4B2E92">
      <w:pPr>
        <w:snapToGrid w:val="0"/>
        <w:spacing w:beforeLines="50" w:after="50"/>
        <w:ind w:firstLine="640" w:firstLineChars="200"/>
        <w:rPr>
          <w:rFonts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776BEE89">
      <w:pPr>
        <w:snapToGrid w:val="0"/>
        <w:spacing w:beforeLines="50" w:after="50"/>
        <w:ind w:firstLine="720" w:firstLineChars="225"/>
        <w:rPr>
          <w:rFonts w:ascii="宋体" w:hAnsi="宋体" w:cs="仿宋_GB2312"/>
          <w:bCs/>
          <w:color w:val="auto"/>
          <w:sz w:val="32"/>
          <w:szCs w:val="32"/>
          <w:highlight w:val="none"/>
        </w:rPr>
      </w:pPr>
    </w:p>
    <w:p w14:paraId="28FC9821">
      <w:pPr>
        <w:pStyle w:val="13"/>
        <w:snapToGrid w:val="0"/>
        <w:spacing w:before="50" w:after="50"/>
        <w:ind w:firstLine="640" w:firstLineChars="200"/>
        <w:rPr>
          <w:rFonts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13725A79">
      <w:pPr>
        <w:pStyle w:val="13"/>
        <w:snapToGrid w:val="0"/>
        <w:spacing w:before="50" w:after="50"/>
        <w:ind w:firstLine="640" w:firstLineChars="200"/>
        <w:rPr>
          <w:rFonts w:ascii="宋体" w:hAnsi="宋体" w:cs="仿宋_GB2312"/>
          <w:bCs/>
          <w:color w:val="auto"/>
          <w:sz w:val="32"/>
          <w:szCs w:val="32"/>
          <w:highlight w:val="none"/>
        </w:rPr>
      </w:pPr>
    </w:p>
    <w:p w14:paraId="32884596">
      <w:pPr>
        <w:pStyle w:val="13"/>
        <w:snapToGrid w:val="0"/>
        <w:spacing w:before="50" w:after="50"/>
        <w:ind w:firstLine="720" w:firstLineChars="225"/>
        <w:rPr>
          <w:rFonts w:ascii="宋体" w:hAnsi="宋体" w:cs="仿宋_GB2312"/>
          <w:bCs/>
          <w:color w:val="auto"/>
          <w:sz w:val="32"/>
          <w:szCs w:val="32"/>
          <w:highlight w:val="none"/>
        </w:rPr>
      </w:pPr>
    </w:p>
    <w:p w14:paraId="4B477A65">
      <w:pPr>
        <w:pStyle w:val="13"/>
        <w:snapToGrid w:val="0"/>
        <w:spacing w:before="50" w:after="50"/>
        <w:ind w:firstLine="0"/>
        <w:rPr>
          <w:rFonts w:ascii="宋体" w:hAnsi="宋体" w:cs="仿宋_GB2312"/>
          <w:bCs/>
          <w:color w:val="auto"/>
          <w:sz w:val="32"/>
          <w:szCs w:val="32"/>
          <w:highlight w:val="none"/>
        </w:rPr>
      </w:pPr>
    </w:p>
    <w:p w14:paraId="38ABBA74">
      <w:pPr>
        <w:pStyle w:val="13"/>
        <w:snapToGrid w:val="0"/>
        <w:spacing w:before="50" w:after="50"/>
        <w:ind w:firstLine="1280" w:firstLineChars="400"/>
        <w:rPr>
          <w:rFonts w:ascii="宋体" w:hAnsi="宋体" w:cs="仿宋_GB2312"/>
          <w:bCs/>
          <w:color w:val="auto"/>
          <w:sz w:val="32"/>
          <w:szCs w:val="32"/>
          <w:highlight w:val="none"/>
        </w:rPr>
      </w:pPr>
    </w:p>
    <w:p w14:paraId="543F696E">
      <w:pPr>
        <w:snapToGrid w:val="0"/>
        <w:spacing w:beforeLines="50" w:after="50"/>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6BE5A9C3">
      <w:pPr>
        <w:snapToGrid w:val="0"/>
        <w:spacing w:beforeLines="50" w:after="50" w:line="360" w:lineRule="auto"/>
        <w:ind w:left="142"/>
        <w:jc w:val="left"/>
        <w:rPr>
          <w:rFonts w:ascii="宋体" w:hAnsi="宋体"/>
          <w:b/>
          <w:bCs/>
          <w:color w:val="auto"/>
          <w:sz w:val="24"/>
          <w:highlight w:val="none"/>
        </w:rPr>
      </w:pPr>
      <w:r>
        <w:rPr>
          <w:rFonts w:hint="eastAsia" w:ascii="宋体" w:hAnsi="宋体"/>
          <w:color w:val="auto"/>
          <w:szCs w:val="21"/>
          <w:highlight w:val="none"/>
        </w:rPr>
        <w:br w:type="page"/>
      </w:r>
      <w:r>
        <w:rPr>
          <w:rFonts w:hint="eastAsia" w:ascii="宋体" w:hAnsi="宋体"/>
          <w:b/>
          <w:bCs/>
          <w:color w:val="auto"/>
          <w:sz w:val="32"/>
          <w:szCs w:val="32"/>
          <w:highlight w:val="none"/>
        </w:rPr>
        <w:t>2.报价文件目录</w:t>
      </w:r>
    </w:p>
    <w:p w14:paraId="731E9236">
      <w:pPr>
        <w:spacing w:line="520" w:lineRule="exact"/>
        <w:jc w:val="center"/>
        <w:rPr>
          <w:rFonts w:ascii="宋体" w:hAnsi="宋体" w:cs="方正小标宋简体"/>
          <w:b/>
          <w:bCs/>
          <w:color w:val="auto"/>
          <w:sz w:val="32"/>
          <w:szCs w:val="32"/>
          <w:highlight w:val="none"/>
        </w:rPr>
      </w:pPr>
      <w:r>
        <w:rPr>
          <w:rFonts w:hint="eastAsia" w:ascii="宋体" w:hAnsi="宋体"/>
          <w:color w:val="auto"/>
          <w:sz w:val="32"/>
          <w:szCs w:val="32"/>
          <w:highlight w:val="none"/>
        </w:rPr>
        <w:t>根据磋商文件规定及供应商提供的材料自行编写目录（部分格式后附）。</w:t>
      </w:r>
      <w:r>
        <w:rPr>
          <w:rFonts w:ascii="宋体" w:hAnsi="宋体"/>
          <w:b/>
          <w:bCs/>
          <w:color w:val="auto"/>
          <w:sz w:val="32"/>
          <w:szCs w:val="32"/>
          <w:highlight w:val="none"/>
        </w:rPr>
        <w:br w:type="page"/>
      </w:r>
      <w:r>
        <w:rPr>
          <w:rFonts w:hint="eastAsia" w:ascii="宋体" w:hAnsi="宋体" w:cs="方正小标宋简体"/>
          <w:b/>
          <w:bCs/>
          <w:color w:val="auto"/>
          <w:sz w:val="32"/>
          <w:szCs w:val="32"/>
          <w:highlight w:val="none"/>
        </w:rPr>
        <w:t>竞标函及竞标函附录</w:t>
      </w:r>
    </w:p>
    <w:p w14:paraId="30644B49">
      <w:pPr>
        <w:spacing w:line="520" w:lineRule="exact"/>
        <w:jc w:val="center"/>
        <w:rPr>
          <w:rFonts w:ascii="宋体" w:hAnsi="宋体" w:cs="方正小标宋简体"/>
          <w:b/>
          <w:bCs/>
          <w:color w:val="auto"/>
          <w:sz w:val="32"/>
          <w:szCs w:val="32"/>
          <w:highlight w:val="none"/>
        </w:rPr>
      </w:pPr>
    </w:p>
    <w:p w14:paraId="40F01517">
      <w:pPr>
        <w:spacing w:line="520" w:lineRule="exact"/>
        <w:jc w:val="center"/>
        <w:rPr>
          <w:rFonts w:ascii="宋体" w:hAnsi="宋体" w:cs="方正小标宋简体"/>
          <w:b/>
          <w:bCs/>
          <w:color w:val="auto"/>
          <w:sz w:val="32"/>
          <w:szCs w:val="32"/>
          <w:highlight w:val="none"/>
        </w:rPr>
      </w:pPr>
      <w:r>
        <w:rPr>
          <w:rFonts w:hint="eastAsia" w:ascii="宋体" w:hAnsi="宋体" w:cs="方正小标宋简体"/>
          <w:b/>
          <w:bCs/>
          <w:color w:val="auto"/>
          <w:sz w:val="32"/>
          <w:szCs w:val="32"/>
          <w:highlight w:val="none"/>
        </w:rPr>
        <w:t>（一）竞标函</w:t>
      </w:r>
    </w:p>
    <w:p w14:paraId="153A12FF">
      <w:pPr>
        <w:spacing w:line="520" w:lineRule="exact"/>
        <w:jc w:val="center"/>
        <w:rPr>
          <w:rFonts w:ascii="宋体" w:hAnsi="宋体" w:cs="方正小标宋简体"/>
          <w:b/>
          <w:bCs/>
          <w:color w:val="auto"/>
          <w:sz w:val="32"/>
          <w:szCs w:val="32"/>
          <w:highlight w:val="none"/>
        </w:rPr>
      </w:pPr>
    </w:p>
    <w:p w14:paraId="7E2B0A76">
      <w:pPr>
        <w:spacing w:line="360" w:lineRule="auto"/>
        <w:rPr>
          <w:color w:val="auto"/>
          <w:szCs w:val="21"/>
          <w:highlight w:val="none"/>
        </w:rPr>
      </w:pPr>
      <w:r>
        <w:rPr>
          <w:color w:val="auto"/>
          <w:szCs w:val="21"/>
          <w:highlight w:val="none"/>
        </w:rPr>
        <w:t>（</w:t>
      </w:r>
      <w:r>
        <w:rPr>
          <w:rFonts w:hint="eastAsia"/>
          <w:color w:val="auto"/>
          <w:szCs w:val="21"/>
          <w:highlight w:val="none"/>
          <w:lang w:val="zh-CN" w:bidi="zh-CN"/>
        </w:rPr>
        <w:t>采购人</w:t>
      </w:r>
      <w:r>
        <w:rPr>
          <w:color w:val="auto"/>
          <w:szCs w:val="21"/>
          <w:highlight w:val="none"/>
          <w:lang w:val="zh-CN" w:bidi="zh-CN"/>
        </w:rPr>
        <w:t>名称</w:t>
      </w:r>
      <w:r>
        <w:rPr>
          <w:color w:val="auto"/>
          <w:szCs w:val="21"/>
          <w:highlight w:val="none"/>
        </w:rPr>
        <w:t>）：</w:t>
      </w:r>
    </w:p>
    <w:p w14:paraId="1717E7D3">
      <w:pPr>
        <w:pStyle w:val="96"/>
        <w:numPr>
          <w:ilvl w:val="0"/>
          <w:numId w:val="2"/>
        </w:numPr>
        <w:tabs>
          <w:tab w:val="left" w:pos="762"/>
          <w:tab w:val="left" w:pos="2074"/>
          <w:tab w:val="left" w:pos="3430"/>
          <w:tab w:val="left" w:pos="4687"/>
          <w:tab w:val="left" w:pos="7898"/>
        </w:tabs>
        <w:ind w:firstLine="440"/>
        <w:rPr>
          <w:rFonts w:ascii="Times New Roman" w:hAnsi="Times New Roman" w:cs="Times New Roman"/>
          <w:color w:val="auto"/>
          <w:szCs w:val="21"/>
          <w:highlight w:val="none"/>
        </w:rPr>
      </w:pPr>
      <w:bookmarkStart w:id="89" w:name="bookmark2065"/>
      <w:bookmarkEnd w:id="89"/>
      <w:r>
        <w:rPr>
          <w:rFonts w:ascii="Times New Roman" w:hAnsi="Times New Roman" w:cs="Times New Roman"/>
          <w:color w:val="auto"/>
          <w:szCs w:val="21"/>
          <w:highlight w:val="none"/>
        </w:rPr>
        <w:t>我方已仔细研究了</w:t>
      </w:r>
      <w:r>
        <w:rPr>
          <w:rFonts w:ascii="Times New Roman" w:hAnsi="Times New Roman" w:cs="Times New Roman"/>
          <w:color w:val="auto"/>
          <w:szCs w:val="21"/>
          <w:highlight w:val="none"/>
          <w:u w:val="single"/>
        </w:rPr>
        <w:t>（项目名称</w:t>
      </w:r>
      <w:r>
        <w:rPr>
          <w:rFonts w:hint="eastAsia" w:ascii="Times New Roman" w:hAnsi="Times New Roman" w:cs="Times New Roman"/>
          <w:color w:val="auto"/>
          <w:szCs w:val="21"/>
          <w:highlight w:val="none"/>
          <w:u w:val="single"/>
        </w:rPr>
        <w:t>、项目编号</w:t>
      </w:r>
      <w:r>
        <w:rPr>
          <w:rFonts w:ascii="Times New Roman" w:hAnsi="Times New Roman" w:cs="Times New Roman"/>
          <w:color w:val="auto"/>
          <w:szCs w:val="21"/>
          <w:highlight w:val="none"/>
          <w:u w:val="single"/>
        </w:rPr>
        <w:t>）</w:t>
      </w:r>
      <w:r>
        <w:rPr>
          <w:rFonts w:hint="eastAsia" w:ascii="Times New Roman" w:hAnsi="Times New Roman" w:cs="Times New Roman"/>
          <w:color w:val="auto"/>
          <w:szCs w:val="21"/>
          <w:highlight w:val="none"/>
        </w:rPr>
        <w:t>磋商</w:t>
      </w:r>
      <w:r>
        <w:rPr>
          <w:rFonts w:ascii="Times New Roman" w:hAnsi="Times New Roman" w:cs="Times New Roman"/>
          <w:color w:val="auto"/>
          <w:szCs w:val="21"/>
          <w:highlight w:val="none"/>
        </w:rPr>
        <w:t>文件的全部内容，愿意以人民币</w:t>
      </w:r>
      <w:r>
        <w:rPr>
          <w:rFonts w:ascii="Times New Roman" w:hAnsi="Times New Roman" w:cs="Times New Roman"/>
          <w:color w:val="auto"/>
          <w:szCs w:val="21"/>
          <w:highlight w:val="none"/>
          <w:u w:val="single"/>
        </w:rPr>
        <w:t>（大写）</w:t>
      </w:r>
      <w:r>
        <w:rPr>
          <w:rFonts w:hint="eastAsia" w:ascii="Times New Roman" w:hAnsi="Times New Roman" w:cs="Times New Roman"/>
          <w:color w:val="auto"/>
          <w:szCs w:val="21"/>
          <w:highlight w:val="none"/>
          <w:u w:val="single"/>
          <w:lang w:val="en-US" w:eastAsia="zh-CN"/>
        </w:rPr>
        <w:t xml:space="preserve">        </w:t>
      </w:r>
      <w:r>
        <w:rPr>
          <w:rFonts w:ascii="Times New Roman" w:hAnsi="Times New Roman" w:cs="Times New Roman"/>
          <w:color w:val="auto"/>
          <w:szCs w:val="21"/>
          <w:highlight w:val="none"/>
          <w:u w:val="single"/>
        </w:rPr>
        <w:t>（¥</w:t>
      </w:r>
      <w:r>
        <w:rPr>
          <w:rFonts w:hint="eastAsia" w:ascii="Times New Roman" w:hAnsi="Times New Roman" w:cs="Times New Roman"/>
          <w:color w:val="auto"/>
          <w:szCs w:val="21"/>
          <w:highlight w:val="none"/>
          <w:u w:val="single"/>
          <w:lang w:val="en-US" w:eastAsia="zh-CN"/>
        </w:rPr>
        <w:t xml:space="preserve">      </w:t>
      </w:r>
      <w:r>
        <w:rPr>
          <w:rFonts w:ascii="Times New Roman" w:hAnsi="Times New Roman" w:cs="Times New Roman"/>
          <w:color w:val="auto"/>
          <w:szCs w:val="21"/>
          <w:highlight w:val="none"/>
          <w:u w:val="single"/>
        </w:rPr>
        <w:t>）</w:t>
      </w:r>
      <w:r>
        <w:rPr>
          <w:rFonts w:ascii="Times New Roman" w:hAnsi="Times New Roman" w:cs="Times New Roman"/>
          <w:color w:val="auto"/>
          <w:szCs w:val="21"/>
          <w:highlight w:val="none"/>
        </w:rPr>
        <w:t>的</w:t>
      </w:r>
      <w:r>
        <w:rPr>
          <w:rFonts w:hint="eastAsia" w:ascii="Times New Roman" w:hAnsi="Times New Roman" w:cs="Times New Roman"/>
          <w:color w:val="auto"/>
          <w:szCs w:val="21"/>
          <w:highlight w:val="none"/>
        </w:rPr>
        <w:t>竞</w:t>
      </w:r>
      <w:r>
        <w:rPr>
          <w:rFonts w:ascii="Times New Roman" w:hAnsi="Times New Roman" w:cs="Times New Roman"/>
          <w:color w:val="auto"/>
          <w:szCs w:val="21"/>
          <w:highlight w:val="none"/>
        </w:rPr>
        <w:t>标总报价，工期</w:t>
      </w:r>
      <w:r>
        <w:rPr>
          <w:rFonts w:hint="eastAsia" w:ascii="Times New Roman" w:hAnsi="Times New Roman" w:cs="Times New Roman"/>
          <w:color w:val="auto"/>
          <w:szCs w:val="21"/>
          <w:highlight w:val="none"/>
          <w:u w:val="single"/>
          <w:lang w:val="en-US" w:eastAsia="zh-CN"/>
        </w:rPr>
        <w:t xml:space="preserve">    </w:t>
      </w:r>
      <w:r>
        <w:rPr>
          <w:rFonts w:ascii="Times New Roman" w:hAnsi="Times New Roman" w:cs="Times New Roman"/>
          <w:color w:val="auto"/>
          <w:szCs w:val="21"/>
          <w:highlight w:val="none"/>
        </w:rPr>
        <w:t>日历天，按合同约定实施和完成承包工程，修补工程中的任何缺陷，工程质量达到</w:t>
      </w:r>
      <w:r>
        <w:rPr>
          <w:rFonts w:hint="eastAsia" w:ascii="Times New Roman" w:hAnsi="Times New Roman" w:cs="Times New Roman"/>
          <w:color w:val="auto"/>
          <w:szCs w:val="21"/>
          <w:highlight w:val="none"/>
        </w:rPr>
        <w:t>标准</w:t>
      </w:r>
      <w:r>
        <w:rPr>
          <w:rFonts w:ascii="Times New Roman" w:hAnsi="Times New Roman" w:cs="Times New Roman"/>
          <w:color w:val="auto"/>
          <w:szCs w:val="21"/>
          <w:highlight w:val="none"/>
          <w:lang w:val="en-US" w:bidi="en-US"/>
        </w:rPr>
        <w:t>。</w:t>
      </w:r>
    </w:p>
    <w:p w14:paraId="5FA649C1">
      <w:pPr>
        <w:pStyle w:val="96"/>
        <w:numPr>
          <w:ilvl w:val="0"/>
          <w:numId w:val="2"/>
        </w:numPr>
        <w:tabs>
          <w:tab w:val="left" w:pos="762"/>
        </w:tabs>
        <w:ind w:firstLine="420"/>
        <w:rPr>
          <w:rFonts w:ascii="Times New Roman" w:hAnsi="Times New Roman" w:cs="Times New Roman"/>
          <w:color w:val="auto"/>
          <w:szCs w:val="21"/>
          <w:highlight w:val="none"/>
        </w:rPr>
      </w:pPr>
      <w:bookmarkStart w:id="90" w:name="bookmark2068"/>
      <w:bookmarkEnd w:id="90"/>
      <w:bookmarkStart w:id="91" w:name="bookmark2067"/>
      <w:bookmarkEnd w:id="91"/>
      <w:bookmarkStart w:id="92" w:name="bookmark2066"/>
      <w:bookmarkEnd w:id="92"/>
      <w:r>
        <w:rPr>
          <w:rFonts w:hint="eastAsia"/>
          <w:color w:val="auto"/>
          <w:highlight w:val="none"/>
        </w:rPr>
        <w:t>我方承认竞标函附录是我方竞标函的组成部分。</w:t>
      </w:r>
    </w:p>
    <w:p w14:paraId="0AF93A3C">
      <w:pPr>
        <w:pStyle w:val="96"/>
        <w:numPr>
          <w:ilvl w:val="0"/>
          <w:numId w:val="2"/>
        </w:numPr>
        <w:tabs>
          <w:tab w:val="left" w:pos="762"/>
        </w:tabs>
        <w:ind w:firstLine="420"/>
        <w:rPr>
          <w:rFonts w:ascii="Times New Roman" w:hAnsi="Times New Roman" w:cs="Times New Roman"/>
          <w:color w:val="auto"/>
          <w:szCs w:val="21"/>
          <w:highlight w:val="none"/>
        </w:rPr>
      </w:pPr>
      <w:r>
        <w:rPr>
          <w:rFonts w:ascii="Times New Roman" w:hAnsi="Times New Roman" w:cs="Times New Roman"/>
          <w:color w:val="auto"/>
          <w:szCs w:val="21"/>
          <w:highlight w:val="none"/>
        </w:rPr>
        <w:t>如我方</w:t>
      </w:r>
      <w:r>
        <w:rPr>
          <w:rFonts w:hint="eastAsia" w:ascii="Times New Roman" w:hAnsi="Times New Roman" w:cs="Times New Roman"/>
          <w:color w:val="auto"/>
          <w:szCs w:val="21"/>
          <w:highlight w:val="none"/>
        </w:rPr>
        <w:t>成交</w:t>
      </w:r>
      <w:r>
        <w:rPr>
          <w:rFonts w:ascii="Times New Roman" w:hAnsi="Times New Roman" w:cs="Times New Roman"/>
          <w:color w:val="auto"/>
          <w:szCs w:val="21"/>
          <w:highlight w:val="none"/>
        </w:rPr>
        <w:t>：</w:t>
      </w:r>
    </w:p>
    <w:p w14:paraId="3B5527AB">
      <w:pPr>
        <w:pStyle w:val="96"/>
        <w:tabs>
          <w:tab w:val="left" w:pos="903"/>
        </w:tabs>
        <w:ind w:firstLine="420"/>
        <w:rPr>
          <w:rFonts w:ascii="Times New Roman" w:hAnsi="Times New Roman" w:cs="Times New Roman"/>
          <w:color w:val="auto"/>
          <w:szCs w:val="21"/>
          <w:highlight w:val="none"/>
        </w:rPr>
      </w:pPr>
      <w:bookmarkStart w:id="93" w:name="bookmark2069"/>
      <w:r>
        <w:rPr>
          <w:rFonts w:ascii="Times New Roman" w:hAnsi="Times New Roman" w:cs="Times New Roman"/>
          <w:color w:val="auto"/>
          <w:szCs w:val="21"/>
          <w:highlight w:val="none"/>
        </w:rPr>
        <w:t>（</w:t>
      </w:r>
      <w:bookmarkEnd w:id="93"/>
      <w:r>
        <w:rPr>
          <w:rFonts w:ascii="Times New Roman" w:hAnsi="Times New Roman" w:cs="Times New Roman"/>
          <w:color w:val="auto"/>
          <w:szCs w:val="21"/>
          <w:highlight w:val="none"/>
        </w:rPr>
        <w:t>1）我方承诺在收到</w:t>
      </w:r>
      <w:r>
        <w:rPr>
          <w:rFonts w:hint="eastAsia" w:ascii="Times New Roman" w:hAnsi="Times New Roman" w:cs="Times New Roman"/>
          <w:color w:val="auto"/>
          <w:szCs w:val="21"/>
          <w:highlight w:val="none"/>
        </w:rPr>
        <w:t>成交</w:t>
      </w:r>
      <w:r>
        <w:rPr>
          <w:rFonts w:ascii="Times New Roman" w:hAnsi="Times New Roman" w:cs="Times New Roman"/>
          <w:color w:val="auto"/>
          <w:szCs w:val="21"/>
          <w:highlight w:val="none"/>
        </w:rPr>
        <w:t>通知书后，在</w:t>
      </w:r>
      <w:r>
        <w:rPr>
          <w:rFonts w:hint="eastAsia" w:ascii="Times New Roman" w:hAnsi="Times New Roman" w:cs="Times New Roman"/>
          <w:color w:val="auto"/>
          <w:szCs w:val="21"/>
          <w:highlight w:val="none"/>
        </w:rPr>
        <w:t>成交</w:t>
      </w:r>
      <w:r>
        <w:rPr>
          <w:rFonts w:ascii="Times New Roman" w:hAnsi="Times New Roman" w:cs="Times New Roman"/>
          <w:color w:val="auto"/>
          <w:szCs w:val="21"/>
          <w:highlight w:val="none"/>
        </w:rPr>
        <w:t>通知书规定的期限内与你方签订合同。</w:t>
      </w:r>
    </w:p>
    <w:p w14:paraId="7A684BE3">
      <w:pPr>
        <w:pStyle w:val="96"/>
        <w:tabs>
          <w:tab w:val="left" w:pos="903"/>
        </w:tabs>
        <w:ind w:firstLine="420"/>
        <w:rPr>
          <w:rFonts w:ascii="Times New Roman" w:hAnsi="Times New Roman" w:cs="Times New Roman"/>
          <w:color w:val="auto"/>
          <w:szCs w:val="21"/>
          <w:highlight w:val="none"/>
        </w:rPr>
      </w:pPr>
      <w:bookmarkStart w:id="94" w:name="bookmark2070"/>
      <w:r>
        <w:rPr>
          <w:rFonts w:ascii="Times New Roman" w:hAnsi="Times New Roman" w:cs="Times New Roman"/>
          <w:color w:val="auto"/>
          <w:szCs w:val="21"/>
          <w:highlight w:val="none"/>
        </w:rPr>
        <w:t>（</w:t>
      </w:r>
      <w:bookmarkEnd w:id="94"/>
      <w:r>
        <w:rPr>
          <w:rFonts w:ascii="Times New Roman" w:hAnsi="Times New Roman" w:cs="Times New Roman"/>
          <w:color w:val="auto"/>
          <w:szCs w:val="21"/>
          <w:highlight w:val="none"/>
        </w:rPr>
        <w:t>2）</w:t>
      </w:r>
      <w:r>
        <w:rPr>
          <w:color w:val="auto"/>
          <w:highlight w:val="none"/>
        </w:rPr>
        <w:t>在签订合同时不向你方提出附加条件</w:t>
      </w:r>
      <w:r>
        <w:rPr>
          <w:rFonts w:ascii="Times New Roman" w:hAnsi="Times New Roman" w:cs="Times New Roman"/>
          <w:color w:val="auto"/>
          <w:szCs w:val="21"/>
          <w:highlight w:val="none"/>
        </w:rPr>
        <w:t>。</w:t>
      </w:r>
    </w:p>
    <w:p w14:paraId="5BF298E7">
      <w:pPr>
        <w:pStyle w:val="96"/>
        <w:tabs>
          <w:tab w:val="left" w:pos="903"/>
        </w:tabs>
        <w:ind w:firstLine="420"/>
        <w:rPr>
          <w:rFonts w:ascii="Times New Roman" w:hAnsi="Times New Roman" w:cs="Times New Roman"/>
          <w:color w:val="auto"/>
          <w:szCs w:val="21"/>
          <w:highlight w:val="none"/>
        </w:rPr>
      </w:pPr>
      <w:bookmarkStart w:id="95" w:name="bookmark2071"/>
      <w:r>
        <w:rPr>
          <w:rFonts w:ascii="Times New Roman" w:hAnsi="Times New Roman" w:cs="Times New Roman"/>
          <w:color w:val="auto"/>
          <w:szCs w:val="21"/>
          <w:highlight w:val="none"/>
        </w:rPr>
        <w:t>（</w:t>
      </w:r>
      <w:bookmarkEnd w:id="95"/>
      <w:r>
        <w:rPr>
          <w:rFonts w:ascii="Times New Roman" w:hAnsi="Times New Roman" w:cs="Times New Roman"/>
          <w:color w:val="auto"/>
          <w:szCs w:val="21"/>
          <w:highlight w:val="none"/>
        </w:rPr>
        <w:t>3）我方承诺按照</w:t>
      </w:r>
      <w:r>
        <w:rPr>
          <w:rFonts w:hint="eastAsia" w:ascii="Times New Roman" w:hAnsi="Times New Roman" w:cs="Times New Roman"/>
          <w:color w:val="auto"/>
          <w:szCs w:val="21"/>
          <w:highlight w:val="none"/>
        </w:rPr>
        <w:t>磋商</w:t>
      </w:r>
      <w:r>
        <w:rPr>
          <w:rFonts w:ascii="Times New Roman" w:hAnsi="Times New Roman" w:cs="Times New Roman"/>
          <w:color w:val="auto"/>
          <w:szCs w:val="21"/>
          <w:highlight w:val="none"/>
        </w:rPr>
        <w:t>文件规定向你方递交履约担保。</w:t>
      </w:r>
    </w:p>
    <w:p w14:paraId="587ECCD1">
      <w:pPr>
        <w:pStyle w:val="96"/>
        <w:tabs>
          <w:tab w:val="left" w:pos="903"/>
        </w:tabs>
        <w:ind w:firstLine="420"/>
        <w:rPr>
          <w:rFonts w:ascii="Times New Roman" w:hAnsi="Times New Roman" w:cs="Times New Roman"/>
          <w:color w:val="auto"/>
          <w:szCs w:val="21"/>
          <w:highlight w:val="none"/>
        </w:rPr>
      </w:pPr>
      <w:bookmarkStart w:id="96" w:name="bookmark2072"/>
      <w:r>
        <w:rPr>
          <w:rFonts w:ascii="Times New Roman" w:hAnsi="Times New Roman" w:cs="Times New Roman"/>
          <w:color w:val="auto"/>
          <w:szCs w:val="21"/>
          <w:highlight w:val="none"/>
        </w:rPr>
        <w:t>（</w:t>
      </w:r>
      <w:bookmarkEnd w:id="96"/>
      <w:r>
        <w:rPr>
          <w:rFonts w:ascii="Times New Roman" w:hAnsi="Times New Roman" w:cs="Times New Roman"/>
          <w:color w:val="auto"/>
          <w:szCs w:val="21"/>
          <w:highlight w:val="none"/>
        </w:rPr>
        <w:t>4）我方承诺在合同约定的期限内完成并移交全部合同工程。</w:t>
      </w:r>
    </w:p>
    <w:p w14:paraId="1099F967">
      <w:pPr>
        <w:pStyle w:val="96"/>
        <w:numPr>
          <w:ilvl w:val="0"/>
          <w:numId w:val="2"/>
        </w:numPr>
        <w:tabs>
          <w:tab w:val="left" w:pos="762"/>
        </w:tabs>
        <w:ind w:firstLine="440"/>
        <w:rPr>
          <w:rFonts w:ascii="Times New Roman" w:hAnsi="Times New Roman" w:cs="Times New Roman"/>
          <w:color w:val="auto"/>
          <w:szCs w:val="21"/>
          <w:highlight w:val="none"/>
        </w:rPr>
      </w:pPr>
      <w:bookmarkStart w:id="97" w:name="bookmark2073"/>
      <w:bookmarkEnd w:id="97"/>
      <w:r>
        <w:rPr>
          <w:color w:val="auto"/>
          <w:highlight w:val="none"/>
        </w:rPr>
        <w:t>在合同协议书正式签署生效之前，本</w:t>
      </w:r>
      <w:r>
        <w:rPr>
          <w:rFonts w:hint="eastAsia" w:ascii="Times New Roman" w:hAnsi="Times New Roman" w:cs="Times New Roman"/>
          <w:color w:val="auto"/>
          <w:szCs w:val="21"/>
          <w:highlight w:val="none"/>
        </w:rPr>
        <w:t>竞</w:t>
      </w:r>
      <w:r>
        <w:rPr>
          <w:rFonts w:ascii="Times New Roman" w:hAnsi="Times New Roman" w:cs="Times New Roman"/>
          <w:color w:val="auto"/>
          <w:szCs w:val="21"/>
          <w:highlight w:val="none"/>
        </w:rPr>
        <w:t>标</w:t>
      </w:r>
      <w:r>
        <w:rPr>
          <w:color w:val="auto"/>
          <w:highlight w:val="none"/>
        </w:rPr>
        <w:t>函连同你方的</w:t>
      </w:r>
      <w:r>
        <w:rPr>
          <w:rFonts w:hint="eastAsia"/>
          <w:color w:val="auto"/>
          <w:highlight w:val="none"/>
        </w:rPr>
        <w:t>成交</w:t>
      </w:r>
      <w:r>
        <w:rPr>
          <w:color w:val="auto"/>
          <w:highlight w:val="none"/>
        </w:rPr>
        <w:t>通知书将构成我们双方之间共同遵守的文件，对双方具有约束力</w:t>
      </w:r>
      <w:r>
        <w:rPr>
          <w:rFonts w:ascii="Times New Roman" w:hAnsi="Times New Roman" w:cs="Times New Roman"/>
          <w:color w:val="auto"/>
          <w:szCs w:val="21"/>
          <w:highlight w:val="none"/>
        </w:rPr>
        <w:t>。</w:t>
      </w:r>
    </w:p>
    <w:p w14:paraId="3375A9A2">
      <w:pPr>
        <w:spacing w:line="360" w:lineRule="auto"/>
        <w:ind w:firstLine="420" w:firstLineChars="200"/>
        <w:rPr>
          <w:color w:val="auto"/>
          <w:szCs w:val="21"/>
          <w:highlight w:val="none"/>
        </w:rPr>
      </w:pPr>
      <w:bookmarkStart w:id="98" w:name="bookmark2074"/>
      <w:bookmarkEnd w:id="98"/>
      <w:r>
        <w:rPr>
          <w:rFonts w:hint="eastAsia"/>
          <w:color w:val="auto"/>
          <w:szCs w:val="21"/>
          <w:highlight w:val="none"/>
        </w:rPr>
        <w:t>5.</w:t>
      </w:r>
      <w:r>
        <w:rPr>
          <w:color w:val="auto"/>
          <w:szCs w:val="21"/>
          <w:highlight w:val="none"/>
        </w:rPr>
        <w:t>（其他补充说明）。</w:t>
      </w:r>
    </w:p>
    <w:p w14:paraId="61478D8B">
      <w:pPr>
        <w:spacing w:line="360" w:lineRule="auto"/>
        <w:jc w:val="center"/>
        <w:rPr>
          <w:rFonts w:ascii="宋体" w:hAnsi="宋体" w:cs="方正小标宋简体"/>
          <w:b/>
          <w:bCs/>
          <w:color w:val="auto"/>
          <w:sz w:val="32"/>
          <w:szCs w:val="32"/>
          <w:highlight w:val="none"/>
        </w:rPr>
      </w:pPr>
    </w:p>
    <w:p w14:paraId="70227BAA">
      <w:pPr>
        <w:spacing w:line="360" w:lineRule="auto"/>
        <w:ind w:right="-817" w:rightChars="-389" w:firstLine="2640" w:firstLineChars="1100"/>
        <w:contextualSpacing/>
        <w:rPr>
          <w:rFonts w:ascii="宋体" w:hAnsi="宋体" w:cs="仿宋_GB2312"/>
          <w:color w:val="auto"/>
          <w:sz w:val="24"/>
          <w:highlight w:val="none"/>
        </w:rPr>
      </w:pPr>
      <w:r>
        <w:rPr>
          <w:rFonts w:hint="eastAsia" w:ascii="宋体" w:hAnsi="宋体" w:cs="仿宋_GB2312"/>
          <w:color w:val="auto"/>
          <w:sz w:val="24"/>
          <w:highlight w:val="none"/>
        </w:rPr>
        <w:t xml:space="preserve">法定代表人或者委托代理人（签字或者电子签名）：                    </w:t>
      </w:r>
    </w:p>
    <w:p w14:paraId="7B1E3087">
      <w:pPr>
        <w:spacing w:line="360" w:lineRule="auto"/>
        <w:ind w:right="-817" w:rightChars="-389" w:firstLine="2640" w:firstLineChars="1100"/>
        <w:contextualSpacing/>
        <w:rPr>
          <w:rFonts w:ascii="宋体" w:hAnsi="宋体" w:cs="仿宋_GB2312"/>
          <w:color w:val="auto"/>
          <w:sz w:val="24"/>
          <w:highlight w:val="none"/>
        </w:rPr>
      </w:pPr>
      <w:r>
        <w:rPr>
          <w:rFonts w:hint="eastAsia" w:ascii="宋体" w:hAnsi="宋体" w:cs="仿宋_GB2312"/>
          <w:color w:val="auto"/>
          <w:sz w:val="24"/>
          <w:highlight w:val="none"/>
        </w:rPr>
        <w:t xml:space="preserve">供应商（电子签章）：      </w:t>
      </w:r>
    </w:p>
    <w:p w14:paraId="405E3681">
      <w:pPr>
        <w:spacing w:line="360" w:lineRule="auto"/>
        <w:jc w:val="center"/>
        <w:rPr>
          <w:rFonts w:hint="eastAsia" w:ascii="宋体" w:hAnsi="宋体" w:eastAsia="宋体" w:cs="方正小标宋简体"/>
          <w:b/>
          <w:bCs/>
          <w:color w:val="auto"/>
          <w:sz w:val="32"/>
          <w:szCs w:val="32"/>
          <w:highlight w:val="none"/>
          <w:lang w:eastAsia="zh-CN"/>
        </w:rPr>
      </w:pPr>
      <w:r>
        <w:rPr>
          <w:rFonts w:hint="eastAsia" w:ascii="宋体" w:hAnsi="宋体" w:cs="仿宋_GB2312"/>
          <w:color w:val="auto"/>
          <w:sz w:val="24"/>
          <w:highlight w:val="none"/>
        </w:rPr>
        <w:t>日期：   年   月   日</w:t>
      </w:r>
      <w:r>
        <w:rPr>
          <w:rFonts w:ascii="宋体" w:hAnsi="宋体" w:cs="方正小标宋简体"/>
          <w:b/>
          <w:bCs/>
          <w:color w:val="auto"/>
          <w:sz w:val="32"/>
          <w:szCs w:val="32"/>
          <w:highlight w:val="none"/>
        </w:rPr>
        <w:br w:type="page"/>
      </w:r>
      <w:r>
        <w:rPr>
          <w:rFonts w:hint="eastAsia" w:ascii="宋体" w:hAnsi="宋体" w:cs="方正小标宋简体"/>
          <w:b/>
          <w:bCs/>
          <w:color w:val="auto"/>
          <w:sz w:val="32"/>
          <w:szCs w:val="32"/>
          <w:highlight w:val="none"/>
        </w:rPr>
        <w:t>（二）竞标函附录</w:t>
      </w:r>
    </w:p>
    <w:p w14:paraId="783F8067">
      <w:pPr>
        <w:spacing w:line="360" w:lineRule="auto"/>
        <w:jc w:val="center"/>
        <w:rPr>
          <w:rFonts w:ascii="宋体" w:hAnsi="宋体"/>
          <w:b/>
          <w:bCs/>
          <w:color w:val="auto"/>
          <w:sz w:val="32"/>
          <w:szCs w:val="32"/>
          <w:highlight w:val="none"/>
        </w:rPr>
      </w:pP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1800"/>
        <w:gridCol w:w="1515"/>
        <w:gridCol w:w="3630"/>
        <w:gridCol w:w="1206"/>
      </w:tblGrid>
      <w:tr w14:paraId="2BD1D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9" w:type="dxa"/>
            <w:vAlign w:val="center"/>
          </w:tcPr>
          <w:p w14:paraId="2BA90B56">
            <w:pPr>
              <w:jc w:val="center"/>
              <w:rPr>
                <w:color w:val="auto"/>
                <w:highlight w:val="none"/>
              </w:rPr>
            </w:pPr>
            <w:r>
              <w:rPr>
                <w:rFonts w:hint="eastAsia" w:cs="宋体"/>
                <w:color w:val="auto"/>
                <w:highlight w:val="none"/>
              </w:rPr>
              <w:t>序号</w:t>
            </w:r>
          </w:p>
        </w:tc>
        <w:tc>
          <w:tcPr>
            <w:tcW w:w="1800" w:type="dxa"/>
            <w:vAlign w:val="center"/>
          </w:tcPr>
          <w:p w14:paraId="26CA8E87">
            <w:pPr>
              <w:jc w:val="center"/>
              <w:rPr>
                <w:color w:val="auto"/>
                <w:highlight w:val="none"/>
              </w:rPr>
            </w:pPr>
            <w:r>
              <w:rPr>
                <w:rFonts w:hint="eastAsia" w:cs="宋体"/>
                <w:color w:val="auto"/>
                <w:highlight w:val="none"/>
              </w:rPr>
              <w:t>条款内容</w:t>
            </w:r>
          </w:p>
        </w:tc>
        <w:tc>
          <w:tcPr>
            <w:tcW w:w="1515" w:type="dxa"/>
            <w:vAlign w:val="center"/>
          </w:tcPr>
          <w:p w14:paraId="14052DDB">
            <w:pPr>
              <w:jc w:val="center"/>
              <w:rPr>
                <w:color w:val="auto"/>
                <w:highlight w:val="none"/>
              </w:rPr>
            </w:pPr>
            <w:r>
              <w:rPr>
                <w:rFonts w:hint="eastAsia" w:cs="宋体"/>
                <w:color w:val="auto"/>
                <w:highlight w:val="none"/>
              </w:rPr>
              <w:t>合同条款号</w:t>
            </w:r>
          </w:p>
        </w:tc>
        <w:tc>
          <w:tcPr>
            <w:tcW w:w="3630" w:type="dxa"/>
            <w:vAlign w:val="center"/>
          </w:tcPr>
          <w:p w14:paraId="5B3A1014">
            <w:pPr>
              <w:jc w:val="center"/>
              <w:rPr>
                <w:color w:val="auto"/>
                <w:highlight w:val="none"/>
              </w:rPr>
            </w:pPr>
            <w:r>
              <w:rPr>
                <w:rFonts w:hint="eastAsia" w:cs="宋体"/>
                <w:color w:val="auto"/>
                <w:highlight w:val="none"/>
              </w:rPr>
              <w:t>约定内容</w:t>
            </w:r>
          </w:p>
        </w:tc>
        <w:tc>
          <w:tcPr>
            <w:tcW w:w="1206" w:type="dxa"/>
            <w:vAlign w:val="center"/>
          </w:tcPr>
          <w:p w14:paraId="3B5A9AF8">
            <w:pPr>
              <w:jc w:val="center"/>
              <w:rPr>
                <w:color w:val="auto"/>
                <w:highlight w:val="none"/>
              </w:rPr>
            </w:pPr>
            <w:r>
              <w:rPr>
                <w:rFonts w:hint="eastAsia" w:cs="宋体"/>
                <w:color w:val="auto"/>
                <w:highlight w:val="none"/>
              </w:rPr>
              <w:t>供应商响应情况</w:t>
            </w:r>
          </w:p>
        </w:tc>
      </w:tr>
      <w:tr w14:paraId="52AD0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9" w:type="dxa"/>
            <w:vAlign w:val="center"/>
          </w:tcPr>
          <w:p w14:paraId="58D9C319">
            <w:pPr>
              <w:jc w:val="center"/>
              <w:rPr>
                <w:color w:val="auto"/>
                <w:highlight w:val="none"/>
              </w:rPr>
            </w:pPr>
            <w:r>
              <w:rPr>
                <w:color w:val="auto"/>
                <w:highlight w:val="none"/>
              </w:rPr>
              <w:t>1</w:t>
            </w:r>
          </w:p>
        </w:tc>
        <w:tc>
          <w:tcPr>
            <w:tcW w:w="1800" w:type="dxa"/>
            <w:vAlign w:val="center"/>
          </w:tcPr>
          <w:p w14:paraId="4D6251F0">
            <w:pPr>
              <w:rPr>
                <w:color w:val="auto"/>
                <w:highlight w:val="none"/>
              </w:rPr>
            </w:pPr>
            <w:r>
              <w:rPr>
                <w:rFonts w:hint="eastAsia" w:cs="宋体"/>
                <w:color w:val="auto"/>
                <w:highlight w:val="none"/>
              </w:rPr>
              <w:t>项目经理</w:t>
            </w:r>
          </w:p>
        </w:tc>
        <w:tc>
          <w:tcPr>
            <w:tcW w:w="1515" w:type="dxa"/>
            <w:tcMar>
              <w:left w:w="170" w:type="dxa"/>
            </w:tcMar>
            <w:vAlign w:val="center"/>
          </w:tcPr>
          <w:p w14:paraId="180952C5">
            <w:pPr>
              <w:jc w:val="center"/>
              <w:rPr>
                <w:color w:val="auto"/>
                <w:highlight w:val="none"/>
              </w:rPr>
            </w:pPr>
            <w:r>
              <w:rPr>
                <w:rFonts w:hint="eastAsia" w:cs="宋体"/>
                <w:color w:val="auto"/>
                <w:highlight w:val="none"/>
                <w:lang w:val="en-US" w:eastAsia="zh-CN"/>
              </w:rPr>
              <w:t>合同</w:t>
            </w:r>
            <w:r>
              <w:rPr>
                <w:rFonts w:hint="eastAsia" w:cs="宋体"/>
                <w:color w:val="auto"/>
                <w:highlight w:val="none"/>
              </w:rPr>
              <w:t>条款</w:t>
            </w:r>
          </w:p>
        </w:tc>
        <w:tc>
          <w:tcPr>
            <w:tcW w:w="3630" w:type="dxa"/>
            <w:vAlign w:val="center"/>
          </w:tcPr>
          <w:p w14:paraId="07DC8982">
            <w:pPr>
              <w:rPr>
                <w:color w:val="auto"/>
                <w:highlight w:val="none"/>
              </w:rPr>
            </w:pPr>
            <w:r>
              <w:rPr>
                <w:rFonts w:hint="eastAsia" w:cs="宋体"/>
                <w:color w:val="auto"/>
                <w:highlight w:val="none"/>
              </w:rPr>
              <w:t>姓名：</w:t>
            </w:r>
          </w:p>
        </w:tc>
        <w:tc>
          <w:tcPr>
            <w:tcW w:w="1206" w:type="dxa"/>
            <w:vAlign w:val="center"/>
          </w:tcPr>
          <w:p w14:paraId="2B5D90BF">
            <w:pPr>
              <w:jc w:val="center"/>
              <w:rPr>
                <w:color w:val="auto"/>
                <w:highlight w:val="none"/>
              </w:rPr>
            </w:pPr>
          </w:p>
        </w:tc>
      </w:tr>
      <w:tr w14:paraId="2C62F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9" w:type="dxa"/>
            <w:vAlign w:val="center"/>
          </w:tcPr>
          <w:p w14:paraId="0F9226CC">
            <w:pPr>
              <w:jc w:val="center"/>
              <w:rPr>
                <w:color w:val="auto"/>
                <w:highlight w:val="none"/>
              </w:rPr>
            </w:pPr>
            <w:r>
              <w:rPr>
                <w:color w:val="auto"/>
                <w:highlight w:val="none"/>
              </w:rPr>
              <w:t>2</w:t>
            </w:r>
          </w:p>
        </w:tc>
        <w:tc>
          <w:tcPr>
            <w:tcW w:w="1800" w:type="dxa"/>
            <w:vAlign w:val="center"/>
          </w:tcPr>
          <w:p w14:paraId="09D49825">
            <w:pPr>
              <w:rPr>
                <w:color w:val="auto"/>
                <w:highlight w:val="none"/>
              </w:rPr>
            </w:pPr>
            <w:r>
              <w:rPr>
                <w:rFonts w:hint="eastAsia" w:cs="宋体"/>
                <w:color w:val="auto"/>
                <w:highlight w:val="none"/>
              </w:rPr>
              <w:t>竞标有效期</w:t>
            </w:r>
          </w:p>
        </w:tc>
        <w:tc>
          <w:tcPr>
            <w:tcW w:w="1515" w:type="dxa"/>
            <w:tcMar>
              <w:left w:w="170" w:type="dxa"/>
            </w:tcMar>
            <w:vAlign w:val="center"/>
          </w:tcPr>
          <w:p w14:paraId="6635807D">
            <w:pPr>
              <w:rPr>
                <w:color w:val="auto"/>
                <w:highlight w:val="none"/>
              </w:rPr>
            </w:pPr>
          </w:p>
        </w:tc>
        <w:tc>
          <w:tcPr>
            <w:tcW w:w="3630" w:type="dxa"/>
            <w:vAlign w:val="center"/>
          </w:tcPr>
          <w:p w14:paraId="299E3E49">
            <w:pPr>
              <w:jc w:val="center"/>
              <w:rPr>
                <w:color w:val="auto"/>
                <w:highlight w:val="none"/>
                <w:u w:val="single"/>
              </w:rPr>
            </w:pPr>
            <w:r>
              <w:rPr>
                <w:rFonts w:hint="eastAsia" w:ascii="宋体" w:hAnsi="宋体" w:cs="宋体"/>
                <w:color w:val="auto"/>
                <w:szCs w:val="21"/>
                <w:highlight w:val="none"/>
              </w:rPr>
              <w:t>自首次响应文件提交截止之日起</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rPr>
              <w:t>日</w:t>
            </w:r>
          </w:p>
        </w:tc>
        <w:tc>
          <w:tcPr>
            <w:tcW w:w="1206" w:type="dxa"/>
            <w:vAlign w:val="center"/>
          </w:tcPr>
          <w:p w14:paraId="1A483C29">
            <w:pPr>
              <w:jc w:val="center"/>
              <w:rPr>
                <w:color w:val="auto"/>
                <w:highlight w:val="none"/>
              </w:rPr>
            </w:pPr>
          </w:p>
        </w:tc>
      </w:tr>
      <w:tr w14:paraId="41851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9" w:type="dxa"/>
            <w:vAlign w:val="center"/>
          </w:tcPr>
          <w:p w14:paraId="70065D06">
            <w:pPr>
              <w:jc w:val="center"/>
              <w:rPr>
                <w:color w:val="auto"/>
                <w:highlight w:val="none"/>
              </w:rPr>
            </w:pPr>
            <w:r>
              <w:rPr>
                <w:color w:val="auto"/>
                <w:highlight w:val="none"/>
              </w:rPr>
              <w:t>3</w:t>
            </w:r>
          </w:p>
        </w:tc>
        <w:tc>
          <w:tcPr>
            <w:tcW w:w="1800" w:type="dxa"/>
            <w:vAlign w:val="center"/>
          </w:tcPr>
          <w:p w14:paraId="3E7EA0B6">
            <w:pPr>
              <w:rPr>
                <w:color w:val="auto"/>
                <w:highlight w:val="none"/>
              </w:rPr>
            </w:pPr>
            <w:r>
              <w:rPr>
                <w:rFonts w:hint="eastAsia" w:cs="宋体"/>
                <w:color w:val="auto"/>
                <w:highlight w:val="none"/>
              </w:rPr>
              <w:t>工期</w:t>
            </w:r>
          </w:p>
        </w:tc>
        <w:tc>
          <w:tcPr>
            <w:tcW w:w="1515" w:type="dxa"/>
            <w:tcMar>
              <w:left w:w="170" w:type="dxa"/>
            </w:tcMar>
            <w:vAlign w:val="center"/>
          </w:tcPr>
          <w:p w14:paraId="6DF42577">
            <w:pPr>
              <w:jc w:val="center"/>
              <w:rPr>
                <w:color w:val="auto"/>
                <w:highlight w:val="none"/>
              </w:rPr>
            </w:pPr>
            <w:r>
              <w:rPr>
                <w:rFonts w:hint="eastAsia" w:cs="宋体"/>
                <w:color w:val="auto"/>
                <w:highlight w:val="none"/>
                <w:lang w:val="en-US" w:eastAsia="zh-CN"/>
              </w:rPr>
              <w:t>合同</w:t>
            </w:r>
            <w:r>
              <w:rPr>
                <w:rFonts w:hint="eastAsia" w:cs="宋体"/>
                <w:color w:val="auto"/>
                <w:highlight w:val="none"/>
              </w:rPr>
              <w:t>条款</w:t>
            </w:r>
          </w:p>
        </w:tc>
        <w:tc>
          <w:tcPr>
            <w:tcW w:w="3630" w:type="dxa"/>
            <w:vAlign w:val="center"/>
          </w:tcPr>
          <w:p w14:paraId="5D9D5E41">
            <w:pPr>
              <w:jc w:val="center"/>
              <w:rPr>
                <w:color w:val="auto"/>
                <w:highlight w:val="none"/>
              </w:rPr>
            </w:pPr>
            <w:r>
              <w:rPr>
                <w:rFonts w:hint="eastAsia"/>
                <w:color w:val="auto"/>
                <w:highlight w:val="none"/>
                <w:u w:val="single"/>
                <w:lang w:val="en-US" w:eastAsia="zh-CN"/>
              </w:rPr>
              <w:t xml:space="preserve">   </w:t>
            </w:r>
            <w:r>
              <w:rPr>
                <w:rFonts w:hint="eastAsia"/>
                <w:color w:val="auto"/>
                <w:highlight w:val="none"/>
                <w:lang w:val="en-US" w:eastAsia="zh-CN"/>
              </w:rPr>
              <w:t>日历日</w:t>
            </w:r>
          </w:p>
        </w:tc>
        <w:tc>
          <w:tcPr>
            <w:tcW w:w="1206" w:type="dxa"/>
            <w:vAlign w:val="center"/>
          </w:tcPr>
          <w:p w14:paraId="3338E3C0">
            <w:pPr>
              <w:jc w:val="center"/>
              <w:rPr>
                <w:color w:val="auto"/>
                <w:highlight w:val="none"/>
              </w:rPr>
            </w:pPr>
          </w:p>
        </w:tc>
      </w:tr>
      <w:tr w14:paraId="0343F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9" w:type="dxa"/>
            <w:vAlign w:val="center"/>
          </w:tcPr>
          <w:p w14:paraId="4EB2F0E4">
            <w:pPr>
              <w:jc w:val="center"/>
              <w:rPr>
                <w:color w:val="auto"/>
                <w:highlight w:val="none"/>
              </w:rPr>
            </w:pPr>
            <w:r>
              <w:rPr>
                <w:color w:val="auto"/>
                <w:highlight w:val="none"/>
              </w:rPr>
              <w:t>4</w:t>
            </w:r>
          </w:p>
        </w:tc>
        <w:tc>
          <w:tcPr>
            <w:tcW w:w="1800" w:type="dxa"/>
            <w:vAlign w:val="center"/>
          </w:tcPr>
          <w:p w14:paraId="72892DE0">
            <w:pPr>
              <w:rPr>
                <w:color w:val="auto"/>
                <w:highlight w:val="none"/>
              </w:rPr>
            </w:pPr>
            <w:r>
              <w:rPr>
                <w:rFonts w:hint="eastAsia" w:cs="宋体"/>
                <w:color w:val="auto"/>
                <w:highlight w:val="none"/>
              </w:rPr>
              <w:t>缺陷责任期</w:t>
            </w:r>
          </w:p>
        </w:tc>
        <w:tc>
          <w:tcPr>
            <w:tcW w:w="1515" w:type="dxa"/>
            <w:tcMar>
              <w:left w:w="170" w:type="dxa"/>
            </w:tcMar>
            <w:vAlign w:val="center"/>
          </w:tcPr>
          <w:p w14:paraId="51829983">
            <w:pPr>
              <w:jc w:val="center"/>
              <w:rPr>
                <w:color w:val="auto"/>
                <w:highlight w:val="none"/>
              </w:rPr>
            </w:pPr>
            <w:r>
              <w:rPr>
                <w:rFonts w:hint="eastAsia" w:cs="宋体"/>
                <w:color w:val="auto"/>
                <w:highlight w:val="none"/>
                <w:lang w:val="en-US" w:eastAsia="zh-CN"/>
              </w:rPr>
              <w:t>合同</w:t>
            </w:r>
            <w:r>
              <w:rPr>
                <w:rFonts w:hint="eastAsia" w:cs="宋体"/>
                <w:color w:val="auto"/>
                <w:highlight w:val="none"/>
              </w:rPr>
              <w:t>条款</w:t>
            </w:r>
          </w:p>
        </w:tc>
        <w:tc>
          <w:tcPr>
            <w:tcW w:w="3630" w:type="dxa"/>
            <w:vAlign w:val="center"/>
          </w:tcPr>
          <w:p w14:paraId="279D4B48">
            <w:pPr>
              <w:jc w:val="center"/>
              <w:rPr>
                <w:rFonts w:hint="default"/>
                <w:color w:val="auto"/>
                <w:highlight w:val="none"/>
                <w:lang w:val="en-US"/>
              </w:rPr>
            </w:pPr>
            <w:r>
              <w:rPr>
                <w:rFonts w:hint="eastAsia"/>
                <w:color w:val="auto"/>
                <w:highlight w:val="none"/>
                <w:lang w:val="en-US" w:eastAsia="zh-CN"/>
              </w:rPr>
              <w:t>24个月</w:t>
            </w:r>
          </w:p>
        </w:tc>
        <w:tc>
          <w:tcPr>
            <w:tcW w:w="1206" w:type="dxa"/>
            <w:vAlign w:val="center"/>
          </w:tcPr>
          <w:p w14:paraId="38F1A1BF">
            <w:pPr>
              <w:jc w:val="center"/>
              <w:rPr>
                <w:color w:val="auto"/>
                <w:highlight w:val="none"/>
              </w:rPr>
            </w:pPr>
          </w:p>
        </w:tc>
      </w:tr>
      <w:tr w14:paraId="1AA17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9" w:type="dxa"/>
            <w:vAlign w:val="center"/>
          </w:tcPr>
          <w:p w14:paraId="0C99F4F0">
            <w:pPr>
              <w:jc w:val="center"/>
              <w:rPr>
                <w:rFonts w:hint="eastAsia" w:eastAsia="宋体"/>
                <w:color w:val="auto"/>
                <w:highlight w:val="none"/>
                <w:lang w:eastAsia="zh-CN"/>
              </w:rPr>
            </w:pPr>
            <w:r>
              <w:rPr>
                <w:rFonts w:hint="eastAsia"/>
                <w:color w:val="auto"/>
                <w:highlight w:val="none"/>
                <w:lang w:val="en-US" w:eastAsia="zh-CN"/>
              </w:rPr>
              <w:t>5</w:t>
            </w:r>
          </w:p>
        </w:tc>
        <w:tc>
          <w:tcPr>
            <w:tcW w:w="1800" w:type="dxa"/>
            <w:vAlign w:val="center"/>
          </w:tcPr>
          <w:p w14:paraId="34034040">
            <w:pPr>
              <w:rPr>
                <w:color w:val="auto"/>
                <w:highlight w:val="none"/>
              </w:rPr>
            </w:pPr>
            <w:r>
              <w:rPr>
                <w:rFonts w:hint="eastAsia" w:cs="宋体"/>
                <w:color w:val="auto"/>
                <w:highlight w:val="none"/>
              </w:rPr>
              <w:t>逾期竣工违约金</w:t>
            </w:r>
          </w:p>
        </w:tc>
        <w:tc>
          <w:tcPr>
            <w:tcW w:w="1515" w:type="dxa"/>
            <w:tcMar>
              <w:left w:w="170" w:type="dxa"/>
            </w:tcMar>
            <w:vAlign w:val="center"/>
          </w:tcPr>
          <w:p w14:paraId="25142236">
            <w:pPr>
              <w:jc w:val="center"/>
              <w:rPr>
                <w:color w:val="auto"/>
                <w:highlight w:val="none"/>
              </w:rPr>
            </w:pPr>
            <w:r>
              <w:rPr>
                <w:rFonts w:hint="eastAsia" w:cs="宋体"/>
                <w:color w:val="auto"/>
                <w:highlight w:val="none"/>
                <w:lang w:val="en-US" w:eastAsia="zh-CN"/>
              </w:rPr>
              <w:t>合同</w:t>
            </w:r>
            <w:r>
              <w:rPr>
                <w:rFonts w:hint="eastAsia" w:cs="宋体"/>
                <w:color w:val="auto"/>
                <w:highlight w:val="none"/>
              </w:rPr>
              <w:t>条款</w:t>
            </w:r>
          </w:p>
        </w:tc>
        <w:tc>
          <w:tcPr>
            <w:tcW w:w="3630" w:type="dxa"/>
            <w:vAlign w:val="center"/>
          </w:tcPr>
          <w:p w14:paraId="1FCAD9CB">
            <w:pPr>
              <w:rPr>
                <w:color w:val="auto"/>
                <w:highlight w:val="none"/>
              </w:rPr>
            </w:pPr>
            <w:r>
              <w:rPr>
                <w:color w:val="auto"/>
                <w:highlight w:val="none"/>
              </w:rPr>
              <w:t>每延误</w:t>
            </w:r>
            <w:r>
              <w:rPr>
                <w:rFonts w:hint="eastAsia"/>
                <w:color w:val="auto"/>
                <w:highlight w:val="none"/>
              </w:rPr>
              <w:t>1</w:t>
            </w:r>
            <w:r>
              <w:rPr>
                <w:color w:val="auto"/>
                <w:highlight w:val="none"/>
              </w:rPr>
              <w:t>日，承包人按</w:t>
            </w:r>
            <w:r>
              <w:rPr>
                <w:rFonts w:hint="eastAsia"/>
                <w:color w:val="auto"/>
                <w:highlight w:val="none"/>
              </w:rPr>
              <w:t>10000元</w:t>
            </w:r>
            <w:r>
              <w:rPr>
                <w:color w:val="auto"/>
                <w:highlight w:val="none"/>
              </w:rPr>
              <w:t>/日向发包人支付违约金，并赔偿发包人因此而遭受的其它损失（包括但不限于因此造成发包人对第三方的违约而应支付的赔偿款、补偿款、违约金及诉讼或仲裁中产生的诉讼仲裁费、评估费、鉴定费、律师费等）</w:t>
            </w:r>
          </w:p>
        </w:tc>
        <w:tc>
          <w:tcPr>
            <w:tcW w:w="1206" w:type="dxa"/>
            <w:vAlign w:val="center"/>
          </w:tcPr>
          <w:p w14:paraId="6059B6F2">
            <w:pPr>
              <w:jc w:val="center"/>
              <w:rPr>
                <w:color w:val="auto"/>
                <w:highlight w:val="none"/>
              </w:rPr>
            </w:pPr>
          </w:p>
        </w:tc>
      </w:tr>
      <w:tr w14:paraId="1328D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9" w:type="dxa"/>
            <w:vAlign w:val="center"/>
          </w:tcPr>
          <w:p w14:paraId="166DA35B">
            <w:pPr>
              <w:jc w:val="center"/>
              <w:rPr>
                <w:rFonts w:hint="eastAsia" w:eastAsia="宋体"/>
                <w:color w:val="auto"/>
                <w:highlight w:val="none"/>
                <w:lang w:eastAsia="zh-CN"/>
              </w:rPr>
            </w:pPr>
            <w:r>
              <w:rPr>
                <w:rFonts w:hint="eastAsia"/>
                <w:color w:val="auto"/>
                <w:highlight w:val="none"/>
                <w:lang w:val="en-US" w:eastAsia="zh-CN"/>
              </w:rPr>
              <w:t>6</w:t>
            </w:r>
          </w:p>
        </w:tc>
        <w:tc>
          <w:tcPr>
            <w:tcW w:w="1800" w:type="dxa"/>
            <w:vAlign w:val="center"/>
          </w:tcPr>
          <w:p w14:paraId="791B9BD3">
            <w:pPr>
              <w:rPr>
                <w:color w:val="auto"/>
                <w:highlight w:val="none"/>
              </w:rPr>
            </w:pPr>
            <w:r>
              <w:rPr>
                <w:rFonts w:hint="eastAsia" w:cs="宋体"/>
                <w:color w:val="auto"/>
                <w:highlight w:val="none"/>
              </w:rPr>
              <w:t>逾期竣工违约金最高限额</w:t>
            </w:r>
          </w:p>
        </w:tc>
        <w:tc>
          <w:tcPr>
            <w:tcW w:w="1515" w:type="dxa"/>
            <w:tcMar>
              <w:left w:w="170" w:type="dxa"/>
            </w:tcMar>
            <w:vAlign w:val="center"/>
          </w:tcPr>
          <w:p w14:paraId="7B0CB671">
            <w:pPr>
              <w:jc w:val="center"/>
              <w:rPr>
                <w:color w:val="auto"/>
                <w:highlight w:val="none"/>
              </w:rPr>
            </w:pPr>
            <w:r>
              <w:rPr>
                <w:rFonts w:hint="eastAsia" w:cs="宋体"/>
                <w:color w:val="auto"/>
                <w:highlight w:val="none"/>
                <w:lang w:val="en-US" w:eastAsia="zh-CN"/>
              </w:rPr>
              <w:t>合同</w:t>
            </w:r>
            <w:r>
              <w:rPr>
                <w:rFonts w:hint="eastAsia" w:cs="宋体"/>
                <w:color w:val="auto"/>
                <w:highlight w:val="none"/>
              </w:rPr>
              <w:t>条款</w:t>
            </w:r>
          </w:p>
        </w:tc>
        <w:tc>
          <w:tcPr>
            <w:tcW w:w="3630" w:type="dxa"/>
            <w:vAlign w:val="center"/>
          </w:tcPr>
          <w:p w14:paraId="7C5BD746">
            <w:pPr>
              <w:jc w:val="center"/>
              <w:rPr>
                <w:color w:val="auto"/>
                <w:highlight w:val="none"/>
              </w:rPr>
            </w:pPr>
            <w:r>
              <w:rPr>
                <w:color w:val="auto"/>
                <w:highlight w:val="none"/>
              </w:rPr>
              <w:t>合同总价款的</w:t>
            </w:r>
            <w:r>
              <w:rPr>
                <w:rFonts w:hint="eastAsia"/>
                <w:color w:val="auto"/>
                <w:highlight w:val="none"/>
              </w:rPr>
              <w:t>2</w:t>
            </w:r>
            <w:r>
              <w:rPr>
                <w:color w:val="auto"/>
                <w:highlight w:val="none"/>
              </w:rPr>
              <w:t>0%</w:t>
            </w:r>
          </w:p>
        </w:tc>
        <w:tc>
          <w:tcPr>
            <w:tcW w:w="1206" w:type="dxa"/>
            <w:vAlign w:val="center"/>
          </w:tcPr>
          <w:p w14:paraId="21FA2A1D">
            <w:pPr>
              <w:jc w:val="center"/>
              <w:rPr>
                <w:color w:val="auto"/>
                <w:highlight w:val="none"/>
              </w:rPr>
            </w:pPr>
          </w:p>
        </w:tc>
      </w:tr>
      <w:tr w14:paraId="6BB4A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9" w:type="dxa"/>
            <w:vAlign w:val="center"/>
          </w:tcPr>
          <w:p w14:paraId="0081AD75">
            <w:pPr>
              <w:jc w:val="center"/>
              <w:rPr>
                <w:rFonts w:hint="eastAsia" w:eastAsia="宋体"/>
                <w:color w:val="auto"/>
                <w:highlight w:val="none"/>
                <w:lang w:eastAsia="zh-CN"/>
              </w:rPr>
            </w:pPr>
            <w:r>
              <w:rPr>
                <w:rFonts w:hint="eastAsia"/>
                <w:color w:val="auto"/>
                <w:highlight w:val="none"/>
                <w:lang w:val="en-US" w:eastAsia="zh-CN"/>
              </w:rPr>
              <w:t>7</w:t>
            </w:r>
          </w:p>
        </w:tc>
        <w:tc>
          <w:tcPr>
            <w:tcW w:w="1800" w:type="dxa"/>
            <w:vAlign w:val="center"/>
          </w:tcPr>
          <w:p w14:paraId="3219AA31">
            <w:pPr>
              <w:rPr>
                <w:color w:val="auto"/>
                <w:highlight w:val="none"/>
              </w:rPr>
            </w:pPr>
            <w:r>
              <w:rPr>
                <w:rFonts w:hint="eastAsia" w:cs="宋体"/>
                <w:color w:val="auto"/>
                <w:highlight w:val="none"/>
              </w:rPr>
              <w:t>质量标准</w:t>
            </w:r>
          </w:p>
        </w:tc>
        <w:tc>
          <w:tcPr>
            <w:tcW w:w="1515" w:type="dxa"/>
            <w:tcMar>
              <w:left w:w="170" w:type="dxa"/>
            </w:tcMar>
            <w:vAlign w:val="center"/>
          </w:tcPr>
          <w:p w14:paraId="07E91B72">
            <w:pPr>
              <w:jc w:val="center"/>
              <w:rPr>
                <w:color w:val="auto"/>
                <w:highlight w:val="none"/>
              </w:rPr>
            </w:pPr>
            <w:r>
              <w:rPr>
                <w:rFonts w:hint="eastAsia" w:cs="宋体"/>
                <w:color w:val="auto"/>
                <w:highlight w:val="none"/>
                <w:lang w:val="en-US" w:eastAsia="zh-CN"/>
              </w:rPr>
              <w:t>合同</w:t>
            </w:r>
            <w:r>
              <w:rPr>
                <w:rFonts w:hint="eastAsia" w:cs="宋体"/>
                <w:color w:val="auto"/>
                <w:highlight w:val="none"/>
              </w:rPr>
              <w:t>条款</w:t>
            </w:r>
          </w:p>
        </w:tc>
        <w:tc>
          <w:tcPr>
            <w:tcW w:w="3630" w:type="dxa"/>
            <w:vAlign w:val="center"/>
          </w:tcPr>
          <w:p w14:paraId="086615D5">
            <w:pPr>
              <w:jc w:val="center"/>
              <w:rPr>
                <w:color w:val="auto"/>
                <w:highlight w:val="none"/>
              </w:rPr>
            </w:pPr>
            <w:r>
              <w:rPr>
                <w:rFonts w:hint="eastAsia"/>
                <w:color w:val="auto"/>
                <w:highlight w:val="none"/>
              </w:rPr>
              <w:t>合格</w:t>
            </w:r>
          </w:p>
        </w:tc>
        <w:tc>
          <w:tcPr>
            <w:tcW w:w="1206" w:type="dxa"/>
            <w:vAlign w:val="center"/>
          </w:tcPr>
          <w:p w14:paraId="42DE1852">
            <w:pPr>
              <w:jc w:val="center"/>
              <w:rPr>
                <w:color w:val="auto"/>
                <w:highlight w:val="none"/>
              </w:rPr>
            </w:pPr>
          </w:p>
        </w:tc>
      </w:tr>
      <w:tr w14:paraId="0E594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9" w:type="dxa"/>
            <w:vAlign w:val="center"/>
          </w:tcPr>
          <w:p w14:paraId="5C94278D">
            <w:pPr>
              <w:jc w:val="center"/>
              <w:rPr>
                <w:rFonts w:hint="eastAsia" w:eastAsia="宋体"/>
                <w:color w:val="auto"/>
                <w:highlight w:val="none"/>
                <w:lang w:eastAsia="zh-CN"/>
              </w:rPr>
            </w:pPr>
            <w:r>
              <w:rPr>
                <w:rFonts w:hint="eastAsia"/>
                <w:color w:val="auto"/>
                <w:highlight w:val="none"/>
                <w:lang w:val="en-US" w:eastAsia="zh-CN"/>
              </w:rPr>
              <w:t>8</w:t>
            </w:r>
          </w:p>
        </w:tc>
        <w:tc>
          <w:tcPr>
            <w:tcW w:w="1800" w:type="dxa"/>
            <w:vAlign w:val="center"/>
          </w:tcPr>
          <w:p w14:paraId="69948A62">
            <w:pPr>
              <w:rPr>
                <w:color w:val="auto"/>
                <w:highlight w:val="none"/>
              </w:rPr>
            </w:pPr>
            <w:r>
              <w:rPr>
                <w:rFonts w:hint="eastAsia" w:cs="宋体"/>
                <w:color w:val="auto"/>
                <w:highlight w:val="none"/>
              </w:rPr>
              <w:t>质量保证金额度</w:t>
            </w:r>
          </w:p>
        </w:tc>
        <w:tc>
          <w:tcPr>
            <w:tcW w:w="1515" w:type="dxa"/>
            <w:tcMar>
              <w:left w:w="170" w:type="dxa"/>
            </w:tcMar>
            <w:vAlign w:val="center"/>
          </w:tcPr>
          <w:p w14:paraId="4988AB5B">
            <w:pPr>
              <w:jc w:val="center"/>
              <w:rPr>
                <w:color w:val="auto"/>
                <w:highlight w:val="none"/>
              </w:rPr>
            </w:pPr>
            <w:r>
              <w:rPr>
                <w:rFonts w:hint="eastAsia" w:cs="宋体"/>
                <w:color w:val="auto"/>
                <w:highlight w:val="none"/>
                <w:lang w:val="en-US" w:eastAsia="zh-CN"/>
              </w:rPr>
              <w:t>合同</w:t>
            </w:r>
            <w:r>
              <w:rPr>
                <w:rFonts w:hint="eastAsia" w:cs="宋体"/>
                <w:color w:val="auto"/>
                <w:highlight w:val="none"/>
              </w:rPr>
              <w:t>条款</w:t>
            </w:r>
          </w:p>
        </w:tc>
        <w:tc>
          <w:tcPr>
            <w:tcW w:w="3630" w:type="dxa"/>
            <w:vAlign w:val="center"/>
          </w:tcPr>
          <w:p w14:paraId="0B9F4ACC">
            <w:pPr>
              <w:jc w:val="center"/>
              <w:rPr>
                <w:color w:val="auto"/>
                <w:highlight w:val="none"/>
              </w:rPr>
            </w:pPr>
            <w:r>
              <w:rPr>
                <w:rFonts w:hint="eastAsia" w:cs="宋体"/>
                <w:color w:val="auto"/>
                <w:highlight w:val="none"/>
              </w:rPr>
              <w:t>结算价的</w:t>
            </w:r>
            <w:r>
              <w:rPr>
                <w:color w:val="auto"/>
                <w:highlight w:val="none"/>
                <w:u w:val="single"/>
              </w:rPr>
              <w:t xml:space="preserve">  3  </w:t>
            </w:r>
            <w:r>
              <w:rPr>
                <w:color w:val="auto"/>
                <w:highlight w:val="none"/>
              </w:rPr>
              <w:t xml:space="preserve">% </w:t>
            </w:r>
          </w:p>
        </w:tc>
        <w:tc>
          <w:tcPr>
            <w:tcW w:w="1206" w:type="dxa"/>
            <w:vAlign w:val="center"/>
          </w:tcPr>
          <w:p w14:paraId="272C71E2">
            <w:pPr>
              <w:jc w:val="center"/>
              <w:rPr>
                <w:color w:val="auto"/>
                <w:highlight w:val="none"/>
              </w:rPr>
            </w:pPr>
          </w:p>
        </w:tc>
      </w:tr>
      <w:tr w14:paraId="26B99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79" w:type="dxa"/>
            <w:vAlign w:val="center"/>
          </w:tcPr>
          <w:p w14:paraId="7C1EB277">
            <w:pPr>
              <w:jc w:val="center"/>
              <w:rPr>
                <w:color w:val="auto"/>
                <w:highlight w:val="none"/>
              </w:rPr>
            </w:pPr>
            <w:r>
              <w:rPr>
                <w:color w:val="auto"/>
                <w:highlight w:val="none"/>
              </w:rPr>
              <w:t>……</w:t>
            </w:r>
          </w:p>
        </w:tc>
        <w:tc>
          <w:tcPr>
            <w:tcW w:w="1800" w:type="dxa"/>
            <w:vAlign w:val="center"/>
          </w:tcPr>
          <w:p w14:paraId="53EF5001">
            <w:pPr>
              <w:jc w:val="center"/>
              <w:rPr>
                <w:color w:val="auto"/>
                <w:highlight w:val="none"/>
              </w:rPr>
            </w:pPr>
            <w:r>
              <w:rPr>
                <w:color w:val="auto"/>
                <w:highlight w:val="none"/>
              </w:rPr>
              <w:t>……</w:t>
            </w:r>
          </w:p>
        </w:tc>
        <w:tc>
          <w:tcPr>
            <w:tcW w:w="1515" w:type="dxa"/>
            <w:tcMar>
              <w:left w:w="170" w:type="dxa"/>
            </w:tcMar>
            <w:vAlign w:val="center"/>
          </w:tcPr>
          <w:p w14:paraId="6121F943">
            <w:pPr>
              <w:rPr>
                <w:color w:val="auto"/>
                <w:highlight w:val="none"/>
              </w:rPr>
            </w:pPr>
          </w:p>
        </w:tc>
        <w:tc>
          <w:tcPr>
            <w:tcW w:w="3630" w:type="dxa"/>
            <w:vAlign w:val="center"/>
          </w:tcPr>
          <w:p w14:paraId="56288F1E">
            <w:pPr>
              <w:jc w:val="center"/>
              <w:rPr>
                <w:color w:val="auto"/>
                <w:highlight w:val="none"/>
              </w:rPr>
            </w:pPr>
          </w:p>
        </w:tc>
        <w:tc>
          <w:tcPr>
            <w:tcW w:w="1206" w:type="dxa"/>
            <w:vAlign w:val="center"/>
          </w:tcPr>
          <w:p w14:paraId="08AF74BC">
            <w:pPr>
              <w:jc w:val="center"/>
              <w:rPr>
                <w:color w:val="auto"/>
                <w:highlight w:val="none"/>
              </w:rPr>
            </w:pPr>
          </w:p>
        </w:tc>
      </w:tr>
      <w:tr w14:paraId="37973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8930" w:type="dxa"/>
            <w:gridSpan w:val="5"/>
            <w:vAlign w:val="center"/>
          </w:tcPr>
          <w:p w14:paraId="4A3AB46C">
            <w:pPr>
              <w:spacing w:line="360" w:lineRule="auto"/>
              <w:rPr>
                <w:color w:val="auto"/>
                <w:highlight w:val="none"/>
              </w:rPr>
            </w:pPr>
            <w:r>
              <w:rPr>
                <w:rFonts w:hint="eastAsia" w:cs="宋体"/>
                <w:color w:val="auto"/>
                <w:highlight w:val="none"/>
              </w:rPr>
              <w:t>说明：供应商在响应磋商文件中规定的实质性要求和条件的基础上，可做出其他有利于采购人的承诺。此类承诺可在本表中予以补充填写。</w:t>
            </w:r>
          </w:p>
        </w:tc>
      </w:tr>
    </w:tbl>
    <w:p w14:paraId="61044887">
      <w:pPr>
        <w:spacing w:line="360" w:lineRule="auto"/>
        <w:ind w:right="-817" w:rightChars="-389" w:firstLine="2640" w:firstLineChars="1100"/>
        <w:contextualSpacing/>
        <w:rPr>
          <w:rFonts w:ascii="宋体" w:hAnsi="宋体" w:cs="仿宋_GB2312"/>
          <w:color w:val="auto"/>
          <w:sz w:val="24"/>
          <w:highlight w:val="none"/>
        </w:rPr>
      </w:pPr>
    </w:p>
    <w:p w14:paraId="401F1A66">
      <w:pPr>
        <w:spacing w:line="360" w:lineRule="auto"/>
        <w:ind w:right="-817" w:rightChars="-389" w:firstLine="2640" w:firstLineChars="1100"/>
        <w:contextualSpacing/>
        <w:rPr>
          <w:rFonts w:ascii="宋体" w:hAnsi="宋体" w:cs="仿宋_GB2312"/>
          <w:color w:val="auto"/>
          <w:sz w:val="24"/>
          <w:highlight w:val="none"/>
        </w:rPr>
      </w:pPr>
      <w:r>
        <w:rPr>
          <w:rFonts w:hint="eastAsia" w:ascii="宋体" w:hAnsi="宋体" w:cs="仿宋_GB2312"/>
          <w:color w:val="auto"/>
          <w:sz w:val="24"/>
          <w:highlight w:val="none"/>
        </w:rPr>
        <w:t xml:space="preserve">法定代表人或者委托代理人（签字或者电子签名）：                    </w:t>
      </w:r>
    </w:p>
    <w:p w14:paraId="399574BF">
      <w:pPr>
        <w:spacing w:line="360" w:lineRule="auto"/>
        <w:ind w:right="-817" w:rightChars="-389" w:firstLine="2640" w:firstLineChars="1100"/>
        <w:contextualSpacing/>
        <w:rPr>
          <w:rFonts w:ascii="宋体" w:hAnsi="宋体" w:cs="仿宋_GB2312"/>
          <w:color w:val="auto"/>
          <w:sz w:val="24"/>
          <w:highlight w:val="none"/>
        </w:rPr>
      </w:pPr>
      <w:r>
        <w:rPr>
          <w:rFonts w:hint="eastAsia" w:ascii="宋体" w:hAnsi="宋体" w:cs="仿宋_GB2312"/>
          <w:color w:val="auto"/>
          <w:sz w:val="24"/>
          <w:highlight w:val="none"/>
        </w:rPr>
        <w:t xml:space="preserve">供应商（电子签章）：      </w:t>
      </w:r>
    </w:p>
    <w:p w14:paraId="3C360B05">
      <w:pPr>
        <w:spacing w:line="360" w:lineRule="auto"/>
        <w:jc w:val="center"/>
        <w:rPr>
          <w:rFonts w:ascii="宋体" w:hAnsi="宋体" w:cs="仿宋_GB2312"/>
          <w:color w:val="auto"/>
          <w:sz w:val="24"/>
          <w:highlight w:val="none"/>
        </w:rPr>
      </w:pPr>
      <w:r>
        <w:rPr>
          <w:rFonts w:hint="eastAsia" w:ascii="宋体" w:hAnsi="宋体" w:cs="仿宋_GB2312"/>
          <w:color w:val="auto"/>
          <w:sz w:val="24"/>
          <w:highlight w:val="none"/>
        </w:rPr>
        <w:t>日期：   年   月   日</w:t>
      </w:r>
    </w:p>
    <w:p w14:paraId="2F3A21F0">
      <w:pPr>
        <w:jc w:val="center"/>
        <w:rPr>
          <w:rFonts w:ascii="方正小标宋简体" w:hAnsi="方正小标宋简体" w:eastAsia="方正小标宋简体" w:cs="方正小标宋简体"/>
          <w:bCs/>
          <w:color w:val="auto"/>
          <w:sz w:val="32"/>
          <w:szCs w:val="32"/>
          <w:highlight w:val="none"/>
        </w:rPr>
      </w:pPr>
      <w:r>
        <w:rPr>
          <w:rFonts w:ascii="宋体" w:hAnsi="宋体" w:cs="仿宋_GB2312"/>
          <w:color w:val="auto"/>
          <w:sz w:val="24"/>
          <w:highlight w:val="none"/>
        </w:rPr>
        <w:br w:type="page"/>
      </w:r>
      <w:r>
        <w:rPr>
          <w:rFonts w:hint="eastAsia" w:ascii="宋体" w:hAnsi="宋体" w:cs="方正小标宋简体"/>
          <w:b/>
          <w:bCs/>
          <w:color w:val="auto"/>
          <w:sz w:val="32"/>
          <w:szCs w:val="32"/>
          <w:highlight w:val="none"/>
        </w:rPr>
        <w:t>竞标报价表</w:t>
      </w:r>
    </w:p>
    <w:p w14:paraId="3B0DF3AF">
      <w:pPr>
        <w:spacing w:line="440" w:lineRule="exact"/>
        <w:jc w:val="center"/>
        <w:rPr>
          <w:rFonts w:ascii="方正小标宋简体" w:hAnsi="方正小标宋简体" w:eastAsia="方正小标宋简体" w:cs="方正小标宋简体"/>
          <w:bCs/>
          <w:color w:val="auto"/>
          <w:sz w:val="32"/>
          <w:szCs w:val="32"/>
          <w:highlight w:val="none"/>
        </w:rPr>
      </w:pPr>
    </w:p>
    <w:p w14:paraId="169BE9D7">
      <w:pPr>
        <w:spacing w:line="360" w:lineRule="auto"/>
        <w:contextualSpacing/>
        <w:rPr>
          <w:rFonts w:ascii="宋体" w:hAnsi="宋体" w:cs="仿宋_GB2312"/>
          <w:color w:val="auto"/>
          <w:sz w:val="24"/>
          <w:highlight w:val="none"/>
        </w:rPr>
      </w:pPr>
      <w:r>
        <w:rPr>
          <w:rFonts w:hint="eastAsia" w:ascii="宋体" w:hAnsi="宋体" w:cs="仿宋_GB2312"/>
          <w:color w:val="auto"/>
          <w:sz w:val="24"/>
          <w:highlight w:val="none"/>
        </w:rPr>
        <w:t>项目名称：项目编号：</w:t>
      </w:r>
    </w:p>
    <w:p w14:paraId="513F36B3">
      <w:pPr>
        <w:spacing w:line="360" w:lineRule="auto"/>
        <w:contextualSpacing/>
        <w:rPr>
          <w:rFonts w:ascii="宋体" w:hAnsi="宋体" w:cs="仿宋_GB2312"/>
          <w:color w:val="auto"/>
          <w:sz w:val="24"/>
          <w:highlight w:val="none"/>
          <w:u w:val="single"/>
        </w:rPr>
      </w:pPr>
      <w:r>
        <w:rPr>
          <w:rFonts w:hint="eastAsia" w:ascii="宋体" w:hAnsi="宋体" w:cs="仿宋_GB2312"/>
          <w:color w:val="auto"/>
          <w:sz w:val="24"/>
          <w:highlight w:val="none"/>
        </w:rPr>
        <w:t>分标（如有）：</w:t>
      </w:r>
    </w:p>
    <w:p w14:paraId="4A4FB4B5">
      <w:pPr>
        <w:spacing w:line="360" w:lineRule="auto"/>
        <w:contextualSpacing/>
        <w:rPr>
          <w:rFonts w:ascii="宋体" w:hAnsi="宋体" w:cs="仿宋_GB2312"/>
          <w:color w:val="auto"/>
          <w:sz w:val="24"/>
          <w:highlight w:val="none"/>
        </w:rPr>
      </w:pPr>
      <w:r>
        <w:rPr>
          <w:rFonts w:hint="eastAsia" w:ascii="宋体" w:hAnsi="宋体" w:cs="仿宋_GB2312"/>
          <w:color w:val="auto"/>
          <w:sz w:val="24"/>
          <w:highlight w:val="none"/>
        </w:rPr>
        <w:t>供应商名称：</w:t>
      </w:r>
    </w:p>
    <w:p w14:paraId="40022244">
      <w:pPr>
        <w:spacing w:line="360" w:lineRule="auto"/>
        <w:contextualSpacing/>
        <w:rPr>
          <w:rFonts w:ascii="宋体" w:hAnsi="宋体" w:cs="仿宋_GB2312"/>
          <w:color w:val="auto"/>
          <w:sz w:val="24"/>
          <w:highlight w:val="none"/>
        </w:rPr>
      </w:pPr>
      <w:r>
        <w:rPr>
          <w:rFonts w:hint="eastAsia" w:ascii="宋体" w:hAnsi="宋体" w:cs="仿宋_GB2312"/>
          <w:color w:val="auto"/>
          <w:sz w:val="24"/>
          <w:highlight w:val="none"/>
        </w:rPr>
        <w:t xml:space="preserve">                                                单位：元</w:t>
      </w:r>
    </w:p>
    <w:tbl>
      <w:tblPr>
        <w:tblStyle w:val="45"/>
        <w:tblW w:w="4998"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1"/>
        <w:gridCol w:w="2969"/>
        <w:gridCol w:w="1647"/>
        <w:gridCol w:w="3402"/>
        <w:gridCol w:w="1299"/>
      </w:tblGrid>
      <w:tr w14:paraId="50DF6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97" w:hRule="atLeast"/>
          <w:jc w:val="right"/>
        </w:trPr>
        <w:tc>
          <w:tcPr>
            <w:tcW w:w="322" w:type="pct"/>
            <w:tcBorders>
              <w:top w:val="single" w:color="auto" w:sz="4" w:space="0"/>
              <w:left w:val="single" w:color="auto" w:sz="4" w:space="0"/>
              <w:bottom w:val="single" w:color="auto" w:sz="4" w:space="0"/>
              <w:right w:val="single" w:color="auto" w:sz="4" w:space="0"/>
            </w:tcBorders>
            <w:vAlign w:val="center"/>
          </w:tcPr>
          <w:p w14:paraId="5D5FEB64">
            <w:pPr>
              <w:spacing w:line="360" w:lineRule="auto"/>
              <w:contextualSpacing/>
              <w:jc w:val="center"/>
              <w:rPr>
                <w:rFonts w:ascii="宋体" w:hAnsi="宋体" w:cs="仿宋_GB2312"/>
                <w:color w:val="auto"/>
                <w:sz w:val="24"/>
                <w:highlight w:val="none"/>
              </w:rPr>
            </w:pPr>
            <w:r>
              <w:rPr>
                <w:rFonts w:ascii="宋体" w:hAnsi="宋体" w:cs="仿宋_GB2312"/>
                <w:color w:val="auto"/>
                <w:sz w:val="24"/>
                <w:highlight w:val="none"/>
              </w:rPr>
              <w:t>序号</w:t>
            </w:r>
          </w:p>
        </w:tc>
        <w:tc>
          <w:tcPr>
            <w:tcW w:w="1491" w:type="pct"/>
            <w:tcBorders>
              <w:top w:val="single" w:color="auto" w:sz="4" w:space="0"/>
              <w:left w:val="single" w:color="auto" w:sz="4" w:space="0"/>
              <w:bottom w:val="single" w:color="auto" w:sz="4" w:space="0"/>
              <w:right w:val="single" w:color="auto" w:sz="4" w:space="0"/>
            </w:tcBorders>
            <w:vAlign w:val="center"/>
          </w:tcPr>
          <w:p w14:paraId="3A4D0CE9">
            <w:pPr>
              <w:spacing w:line="360" w:lineRule="auto"/>
              <w:contextualSpacing/>
              <w:jc w:val="center"/>
              <w:rPr>
                <w:rFonts w:ascii="宋体" w:hAnsi="宋体" w:cs="仿宋_GB2312"/>
                <w:color w:val="auto"/>
                <w:sz w:val="24"/>
                <w:highlight w:val="none"/>
              </w:rPr>
            </w:pPr>
            <w:r>
              <w:rPr>
                <w:rFonts w:hint="eastAsia" w:ascii="宋体" w:hAnsi="宋体" w:cs="仿宋_GB2312"/>
                <w:color w:val="auto"/>
                <w:sz w:val="24"/>
                <w:highlight w:val="none"/>
              </w:rPr>
              <w:t>标的</w:t>
            </w:r>
            <w:r>
              <w:rPr>
                <w:rFonts w:hint="eastAsia" w:ascii="宋体" w:hAnsi="宋体" w:cs="仿宋_GB2312"/>
                <w:color w:val="auto"/>
                <w:sz w:val="24"/>
                <w:highlight w:val="none"/>
                <w:lang w:eastAsia="zh-CN"/>
              </w:rPr>
              <w:t>的</w:t>
            </w:r>
            <w:r>
              <w:rPr>
                <w:rFonts w:ascii="宋体" w:hAnsi="宋体" w:cs="仿宋_GB2312"/>
                <w:color w:val="auto"/>
                <w:sz w:val="24"/>
                <w:highlight w:val="none"/>
              </w:rPr>
              <w:t>名称</w:t>
            </w:r>
          </w:p>
        </w:tc>
        <w:tc>
          <w:tcPr>
            <w:tcW w:w="827" w:type="pct"/>
            <w:tcBorders>
              <w:top w:val="single" w:color="auto" w:sz="4" w:space="0"/>
              <w:left w:val="single" w:color="auto" w:sz="4" w:space="0"/>
              <w:bottom w:val="single" w:color="auto" w:sz="4" w:space="0"/>
              <w:right w:val="single" w:color="auto" w:sz="4" w:space="0"/>
            </w:tcBorders>
            <w:vAlign w:val="center"/>
          </w:tcPr>
          <w:p w14:paraId="4E7F483E">
            <w:pPr>
              <w:spacing w:line="360" w:lineRule="auto"/>
              <w:contextualSpacing/>
              <w:jc w:val="center"/>
              <w:rPr>
                <w:rFonts w:ascii="宋体" w:hAnsi="宋体" w:cs="仿宋_GB2312"/>
                <w:color w:val="auto"/>
                <w:sz w:val="24"/>
                <w:highlight w:val="none"/>
              </w:rPr>
            </w:pPr>
            <w:r>
              <w:rPr>
                <w:rFonts w:hint="eastAsia" w:ascii="宋体" w:hAnsi="宋体" w:cs="仿宋_GB2312"/>
                <w:color w:val="auto"/>
                <w:sz w:val="24"/>
                <w:highlight w:val="none"/>
              </w:rPr>
              <w:t>数量及单位</w:t>
            </w:r>
          </w:p>
        </w:tc>
        <w:tc>
          <w:tcPr>
            <w:tcW w:w="1708" w:type="pct"/>
            <w:tcBorders>
              <w:top w:val="single" w:color="auto" w:sz="4" w:space="0"/>
              <w:left w:val="single" w:color="auto" w:sz="4" w:space="0"/>
              <w:bottom w:val="single" w:color="auto" w:sz="4" w:space="0"/>
              <w:right w:val="single" w:color="auto" w:sz="4" w:space="0"/>
            </w:tcBorders>
            <w:vAlign w:val="center"/>
          </w:tcPr>
          <w:p w14:paraId="421D5CA5">
            <w:pPr>
              <w:spacing w:line="360" w:lineRule="auto"/>
              <w:contextualSpacing/>
              <w:jc w:val="center"/>
              <w:rPr>
                <w:rFonts w:ascii="宋体" w:hAnsi="宋体" w:cs="仿宋_GB2312"/>
                <w:color w:val="auto"/>
                <w:sz w:val="24"/>
                <w:highlight w:val="none"/>
              </w:rPr>
            </w:pPr>
            <w:r>
              <w:rPr>
                <w:rFonts w:hint="eastAsia" w:ascii="宋体" w:hAnsi="宋体" w:cs="仿宋_GB2312"/>
                <w:color w:val="auto"/>
                <w:sz w:val="24"/>
                <w:highlight w:val="none"/>
              </w:rPr>
              <w:t>总价</w:t>
            </w:r>
          </w:p>
        </w:tc>
        <w:tc>
          <w:tcPr>
            <w:tcW w:w="650" w:type="pct"/>
            <w:tcBorders>
              <w:top w:val="single" w:color="auto" w:sz="4" w:space="0"/>
              <w:left w:val="single" w:color="auto" w:sz="4" w:space="0"/>
              <w:bottom w:val="single" w:color="auto" w:sz="4" w:space="0"/>
              <w:right w:val="single" w:color="auto" w:sz="4" w:space="0"/>
            </w:tcBorders>
            <w:vAlign w:val="center"/>
          </w:tcPr>
          <w:p w14:paraId="58091300">
            <w:pPr>
              <w:spacing w:line="360" w:lineRule="auto"/>
              <w:contextualSpacing/>
              <w:jc w:val="center"/>
              <w:rPr>
                <w:rFonts w:ascii="宋体" w:hAnsi="宋体" w:cs="仿宋_GB2312"/>
                <w:color w:val="auto"/>
                <w:sz w:val="24"/>
                <w:highlight w:val="none"/>
              </w:rPr>
            </w:pPr>
            <w:r>
              <w:rPr>
                <w:rFonts w:ascii="宋体" w:hAnsi="宋体" w:cs="仿宋_GB2312"/>
                <w:color w:val="auto"/>
                <w:sz w:val="24"/>
                <w:highlight w:val="none"/>
              </w:rPr>
              <w:t>备注</w:t>
            </w:r>
          </w:p>
        </w:tc>
      </w:tr>
      <w:tr w14:paraId="209E2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322" w:type="pct"/>
            <w:tcBorders>
              <w:top w:val="single" w:color="auto" w:sz="4" w:space="0"/>
              <w:left w:val="single" w:color="auto" w:sz="4" w:space="0"/>
              <w:bottom w:val="single" w:color="auto" w:sz="4" w:space="0"/>
              <w:right w:val="single" w:color="auto" w:sz="4" w:space="0"/>
            </w:tcBorders>
            <w:vAlign w:val="center"/>
          </w:tcPr>
          <w:p w14:paraId="578E31A5">
            <w:pPr>
              <w:spacing w:line="360" w:lineRule="auto"/>
              <w:contextualSpacing/>
              <w:jc w:val="center"/>
              <w:rPr>
                <w:rFonts w:ascii="宋体" w:hAnsi="宋体" w:cs="仿宋_GB2312"/>
                <w:color w:val="auto"/>
                <w:sz w:val="24"/>
                <w:highlight w:val="none"/>
              </w:rPr>
            </w:pPr>
            <w:r>
              <w:rPr>
                <w:rFonts w:ascii="宋体" w:hAnsi="宋体" w:cs="仿宋_GB2312"/>
                <w:color w:val="auto"/>
                <w:sz w:val="24"/>
                <w:highlight w:val="none"/>
              </w:rPr>
              <w:t>1</w:t>
            </w:r>
          </w:p>
        </w:tc>
        <w:tc>
          <w:tcPr>
            <w:tcW w:w="1491" w:type="pct"/>
            <w:tcBorders>
              <w:top w:val="single" w:color="auto" w:sz="4" w:space="0"/>
              <w:left w:val="single" w:color="auto" w:sz="4" w:space="0"/>
              <w:bottom w:val="single" w:color="auto" w:sz="4" w:space="0"/>
              <w:right w:val="single" w:color="auto" w:sz="4" w:space="0"/>
            </w:tcBorders>
            <w:vAlign w:val="center"/>
          </w:tcPr>
          <w:p w14:paraId="5602FEA8">
            <w:pPr>
              <w:spacing w:line="360" w:lineRule="auto"/>
              <w:contextualSpacing/>
              <w:jc w:val="left"/>
              <w:rPr>
                <w:rFonts w:hint="eastAsia" w:ascii="宋体" w:hAnsi="宋体" w:eastAsia="宋体" w:cs="仿宋_GB2312"/>
                <w:color w:val="auto"/>
                <w:sz w:val="24"/>
                <w:highlight w:val="none"/>
                <w:lang w:val="en-US" w:eastAsia="zh-CN"/>
              </w:rPr>
            </w:pPr>
          </w:p>
        </w:tc>
        <w:tc>
          <w:tcPr>
            <w:tcW w:w="827" w:type="pct"/>
            <w:tcBorders>
              <w:top w:val="single" w:color="auto" w:sz="4" w:space="0"/>
              <w:left w:val="single" w:color="auto" w:sz="4" w:space="0"/>
              <w:bottom w:val="single" w:color="auto" w:sz="4" w:space="0"/>
              <w:right w:val="single" w:color="auto" w:sz="4" w:space="0"/>
            </w:tcBorders>
            <w:vAlign w:val="center"/>
          </w:tcPr>
          <w:p w14:paraId="6822CAC6">
            <w:pPr>
              <w:spacing w:line="360" w:lineRule="auto"/>
              <w:contextualSpacing/>
              <w:jc w:val="center"/>
              <w:rPr>
                <w:rFonts w:ascii="宋体" w:hAnsi="宋体" w:cs="仿宋_GB2312"/>
                <w:color w:val="auto"/>
                <w:sz w:val="24"/>
                <w:highlight w:val="none"/>
              </w:rPr>
            </w:pPr>
            <w:r>
              <w:rPr>
                <w:rFonts w:hint="eastAsia" w:ascii="宋体" w:hAnsi="宋体" w:cs="仿宋_GB2312"/>
                <w:color w:val="auto"/>
                <w:sz w:val="24"/>
                <w:highlight w:val="none"/>
              </w:rPr>
              <w:t>1项</w:t>
            </w:r>
          </w:p>
        </w:tc>
        <w:tc>
          <w:tcPr>
            <w:tcW w:w="1708" w:type="pct"/>
            <w:tcBorders>
              <w:top w:val="single" w:color="auto" w:sz="4" w:space="0"/>
              <w:left w:val="single" w:color="auto" w:sz="4" w:space="0"/>
              <w:bottom w:val="single" w:color="auto" w:sz="4" w:space="0"/>
              <w:right w:val="single" w:color="auto" w:sz="4" w:space="0"/>
            </w:tcBorders>
          </w:tcPr>
          <w:p w14:paraId="772C5641">
            <w:pPr>
              <w:spacing w:line="360" w:lineRule="auto"/>
              <w:contextualSpacing/>
              <w:rPr>
                <w:rFonts w:ascii="宋体" w:hAnsi="宋体" w:cs="仿宋_GB2312"/>
                <w:color w:val="auto"/>
                <w:sz w:val="24"/>
                <w:highlight w:val="none"/>
              </w:rPr>
            </w:pPr>
          </w:p>
        </w:tc>
        <w:tc>
          <w:tcPr>
            <w:tcW w:w="650" w:type="pct"/>
            <w:tcBorders>
              <w:top w:val="single" w:color="auto" w:sz="4" w:space="0"/>
              <w:left w:val="single" w:color="auto" w:sz="4" w:space="0"/>
              <w:bottom w:val="single" w:color="auto" w:sz="4" w:space="0"/>
              <w:right w:val="single" w:color="auto" w:sz="4" w:space="0"/>
            </w:tcBorders>
            <w:vAlign w:val="center"/>
          </w:tcPr>
          <w:p w14:paraId="5297FB94">
            <w:pPr>
              <w:spacing w:line="360" w:lineRule="auto"/>
              <w:contextualSpacing/>
              <w:rPr>
                <w:rFonts w:ascii="宋体" w:hAnsi="宋体" w:cs="仿宋_GB2312"/>
                <w:color w:val="auto"/>
                <w:sz w:val="24"/>
                <w:highlight w:val="none"/>
              </w:rPr>
            </w:pPr>
          </w:p>
        </w:tc>
      </w:tr>
      <w:tr w14:paraId="60490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5000" w:type="pct"/>
            <w:gridSpan w:val="5"/>
            <w:tcBorders>
              <w:top w:val="single" w:color="auto" w:sz="4" w:space="0"/>
              <w:left w:val="single" w:color="auto" w:sz="4" w:space="0"/>
              <w:bottom w:val="single" w:color="auto" w:sz="4" w:space="0"/>
              <w:right w:val="single" w:color="auto" w:sz="4" w:space="0"/>
            </w:tcBorders>
            <w:vAlign w:val="center"/>
          </w:tcPr>
          <w:p w14:paraId="48C25658">
            <w:pPr>
              <w:spacing w:line="360" w:lineRule="auto"/>
              <w:contextualSpacing/>
              <w:rPr>
                <w:rFonts w:ascii="宋体" w:hAnsi="宋体" w:cs="仿宋_GB2312"/>
                <w:color w:val="auto"/>
                <w:sz w:val="24"/>
                <w:highlight w:val="none"/>
              </w:rPr>
            </w:pPr>
            <w:r>
              <w:rPr>
                <w:rFonts w:hint="eastAsia" w:ascii="宋体" w:hAnsi="宋体" w:cs="仿宋_GB2312"/>
                <w:color w:val="auto"/>
                <w:sz w:val="24"/>
                <w:highlight w:val="none"/>
                <w:lang w:val="en-US" w:eastAsia="zh-CN"/>
              </w:rPr>
              <w:t>合计：人民币大写：</w:t>
            </w:r>
            <w:r>
              <w:rPr>
                <w:rFonts w:hint="eastAsia" w:ascii="宋体" w:hAnsi="宋体" w:cs="仿宋_GB2312"/>
                <w:color w:val="auto"/>
                <w:sz w:val="24"/>
                <w:highlight w:val="none"/>
                <w:u w:val="single"/>
                <w:lang w:val="en-US" w:eastAsia="zh-CN"/>
              </w:rPr>
              <w:t xml:space="preserve">                    </w:t>
            </w:r>
          </w:p>
        </w:tc>
      </w:tr>
    </w:tbl>
    <w:p w14:paraId="34BC2555">
      <w:pPr>
        <w:spacing w:line="360" w:lineRule="auto"/>
        <w:contextualSpacing/>
        <w:jc w:val="left"/>
        <w:rPr>
          <w:rFonts w:ascii="宋体" w:hAnsi="宋体" w:cs="仿宋_GB2312"/>
          <w:color w:val="auto"/>
          <w:sz w:val="24"/>
          <w:highlight w:val="none"/>
        </w:rPr>
      </w:pPr>
    </w:p>
    <w:p w14:paraId="0932AFDF">
      <w:pPr>
        <w:spacing w:line="360" w:lineRule="auto"/>
        <w:contextualSpacing/>
        <w:jc w:val="left"/>
        <w:rPr>
          <w:rFonts w:ascii="宋体" w:hAnsi="宋体" w:cs="仿宋_GB2312"/>
          <w:color w:val="auto"/>
          <w:sz w:val="24"/>
          <w:highlight w:val="none"/>
        </w:rPr>
      </w:pPr>
      <w:r>
        <w:rPr>
          <w:rFonts w:hint="eastAsia" w:ascii="宋体" w:hAnsi="宋体" w:cs="仿宋_GB2312"/>
          <w:color w:val="auto"/>
          <w:sz w:val="24"/>
          <w:highlight w:val="none"/>
        </w:rPr>
        <w:t xml:space="preserve">注: </w:t>
      </w:r>
    </w:p>
    <w:p w14:paraId="6770F9DF">
      <w:pPr>
        <w:spacing w:line="360" w:lineRule="auto"/>
        <w:ind w:firstLine="480" w:firstLineChars="200"/>
        <w:contextualSpacing/>
        <w:jc w:val="left"/>
        <w:rPr>
          <w:rFonts w:ascii="宋体" w:hAnsi="宋体" w:cs="仿宋_GB2312"/>
          <w:color w:val="auto"/>
          <w:sz w:val="21"/>
          <w:szCs w:val="21"/>
          <w:highlight w:val="none"/>
        </w:rPr>
      </w:pPr>
      <w:r>
        <w:rPr>
          <w:rFonts w:hint="eastAsia" w:ascii="宋体" w:hAnsi="宋体" w:cs="仿宋_GB2312"/>
          <w:color w:val="auto"/>
          <w:sz w:val="24"/>
          <w:highlight w:val="none"/>
        </w:rPr>
        <w:t>1. 供应商的</w:t>
      </w:r>
      <w:r>
        <w:rPr>
          <w:rFonts w:hint="eastAsia" w:ascii="宋体" w:hAnsi="宋体" w:cs="仿宋_GB2312"/>
          <w:color w:val="auto"/>
          <w:sz w:val="21"/>
          <w:szCs w:val="21"/>
          <w:highlight w:val="none"/>
        </w:rPr>
        <w:t>报价表必须加盖供应商电子签章并由法定代表人或者委托代理人签字或者电子签名，</w:t>
      </w:r>
      <w:r>
        <w:rPr>
          <w:rFonts w:hint="eastAsia" w:ascii="宋体" w:hAnsi="宋体" w:cs="仿宋_GB2312"/>
          <w:b/>
          <w:color w:val="auto"/>
          <w:sz w:val="21"/>
          <w:szCs w:val="21"/>
          <w:highlight w:val="none"/>
        </w:rPr>
        <w:t>否则其响应文件按无效处理</w:t>
      </w:r>
      <w:r>
        <w:rPr>
          <w:rFonts w:hint="eastAsia" w:ascii="宋体" w:hAnsi="宋体" w:cs="仿宋_GB2312"/>
          <w:color w:val="auto"/>
          <w:sz w:val="21"/>
          <w:szCs w:val="21"/>
          <w:highlight w:val="none"/>
        </w:rPr>
        <w:t>。</w:t>
      </w:r>
    </w:p>
    <w:p w14:paraId="7D78FB86">
      <w:pPr>
        <w:spacing w:line="360" w:lineRule="auto"/>
        <w:ind w:firstLine="420" w:firstLineChars="200"/>
        <w:contextualSpacing/>
        <w:jc w:val="left"/>
        <w:rPr>
          <w:rFonts w:ascii="宋体" w:hAnsi="宋体" w:cs="仿宋_GB2312"/>
          <w:b/>
          <w:color w:val="auto"/>
          <w:sz w:val="21"/>
          <w:szCs w:val="21"/>
          <w:highlight w:val="none"/>
        </w:rPr>
      </w:pPr>
      <w:r>
        <w:rPr>
          <w:rFonts w:hint="eastAsia" w:ascii="宋体" w:hAnsi="宋体" w:cs="仿宋_GB2312"/>
          <w:bCs/>
          <w:color w:val="auto"/>
          <w:sz w:val="21"/>
          <w:szCs w:val="21"/>
          <w:highlight w:val="none"/>
        </w:rPr>
        <w:t>2.</w:t>
      </w:r>
      <w:r>
        <w:rPr>
          <w:rFonts w:hint="eastAsia" w:ascii="宋体" w:hAnsi="宋体" w:cs="仿宋_GB2312"/>
          <w:color w:val="auto"/>
          <w:sz w:val="21"/>
          <w:szCs w:val="21"/>
          <w:highlight w:val="none"/>
        </w:rPr>
        <w:t xml:space="preserve"> 报价一经涂改，应在涂改处加盖供应商公章或者加盖电子签章或者由法定代表人或者授权委托人签字</w:t>
      </w:r>
      <w:r>
        <w:rPr>
          <w:rFonts w:hint="eastAsia" w:ascii="宋体" w:hAnsi="宋体"/>
          <w:color w:val="auto"/>
          <w:sz w:val="21"/>
          <w:szCs w:val="21"/>
          <w:highlight w:val="none"/>
        </w:rPr>
        <w:t>（或者电子签名）</w:t>
      </w:r>
      <w:r>
        <w:rPr>
          <w:rFonts w:hint="eastAsia" w:ascii="宋体" w:hAnsi="宋体" w:cs="仿宋_GB2312"/>
          <w:b/>
          <w:color w:val="auto"/>
          <w:sz w:val="21"/>
          <w:szCs w:val="21"/>
          <w:highlight w:val="none"/>
        </w:rPr>
        <w:t>，否则其响应文件按无效处理。</w:t>
      </w:r>
    </w:p>
    <w:p w14:paraId="2D172A56">
      <w:pPr>
        <w:spacing w:line="360" w:lineRule="auto"/>
        <w:ind w:firstLine="420" w:firstLineChars="200"/>
        <w:contextualSpacing/>
        <w:jc w:val="left"/>
        <w:rPr>
          <w:rFonts w:ascii="宋体" w:hAnsi="宋体" w:cs="仿宋_GB2312"/>
          <w:b/>
          <w:color w:val="auto"/>
          <w:sz w:val="21"/>
          <w:szCs w:val="21"/>
          <w:highlight w:val="none"/>
        </w:rPr>
      </w:pPr>
      <w:r>
        <w:rPr>
          <w:rFonts w:ascii="宋体" w:hAnsi="宋体" w:cs="仿宋_GB2312"/>
          <w:color w:val="auto"/>
          <w:sz w:val="21"/>
          <w:szCs w:val="21"/>
          <w:highlight w:val="none"/>
        </w:rPr>
        <w:t>3</w:t>
      </w:r>
      <w:r>
        <w:rPr>
          <w:rFonts w:hint="eastAsia" w:ascii="宋体" w:hAnsi="宋体" w:cs="仿宋_GB2312"/>
          <w:color w:val="auto"/>
          <w:sz w:val="21"/>
          <w:szCs w:val="21"/>
          <w:highlight w:val="none"/>
        </w:rPr>
        <w:t>.如为联合体竞标，“供应商名称”处必须列明联合体各方名称，标注联合体牵头人名称，</w:t>
      </w:r>
      <w:r>
        <w:rPr>
          <w:rFonts w:hint="eastAsia" w:ascii="宋体" w:hAnsi="宋体" w:cs="仿宋_GB2312"/>
          <w:b/>
          <w:color w:val="auto"/>
          <w:sz w:val="21"/>
          <w:szCs w:val="21"/>
          <w:highlight w:val="none"/>
        </w:rPr>
        <w:t>否则其响应文件按无效处理。</w:t>
      </w:r>
    </w:p>
    <w:p w14:paraId="7ED2AEE3">
      <w:pPr>
        <w:spacing w:line="360" w:lineRule="auto"/>
        <w:ind w:firstLine="420" w:firstLineChars="200"/>
        <w:contextualSpacing/>
        <w:jc w:val="left"/>
        <w:rPr>
          <w:rFonts w:ascii="宋体" w:hAnsi="宋体" w:cs="仿宋_GB2312"/>
          <w:color w:val="auto"/>
          <w:sz w:val="21"/>
          <w:szCs w:val="21"/>
          <w:highlight w:val="none"/>
        </w:rPr>
      </w:pPr>
      <w:r>
        <w:rPr>
          <w:rFonts w:ascii="宋体" w:hAnsi="宋体" w:cs="仿宋_GB2312"/>
          <w:color w:val="auto"/>
          <w:sz w:val="21"/>
          <w:szCs w:val="21"/>
          <w:highlight w:val="none"/>
        </w:rPr>
        <w:t>4</w:t>
      </w:r>
      <w:r>
        <w:rPr>
          <w:rFonts w:hint="eastAsia" w:ascii="宋体" w:hAnsi="宋体" w:cs="仿宋_GB2312"/>
          <w:color w:val="auto"/>
          <w:sz w:val="21"/>
          <w:szCs w:val="21"/>
          <w:highlight w:val="none"/>
        </w:rPr>
        <w:t>. 如为联合体竞标，</w:t>
      </w:r>
      <w:r>
        <w:rPr>
          <w:rFonts w:hint="eastAsia" w:ascii="宋体" w:hAnsi="宋体"/>
          <w:color w:val="auto"/>
          <w:spacing w:val="-6"/>
          <w:sz w:val="21"/>
          <w:szCs w:val="21"/>
          <w:highlight w:val="none"/>
        </w:rPr>
        <w:t xml:space="preserve"> 盖章处须加盖联合体牵头人电子签章</w:t>
      </w:r>
      <w:r>
        <w:rPr>
          <w:rFonts w:hint="eastAsia" w:ascii="宋体" w:hAnsi="宋体" w:cs="仿宋_GB2312"/>
          <w:color w:val="auto"/>
          <w:sz w:val="21"/>
          <w:szCs w:val="21"/>
          <w:highlight w:val="none"/>
        </w:rPr>
        <w:t>，</w:t>
      </w:r>
      <w:r>
        <w:rPr>
          <w:rFonts w:hint="eastAsia" w:ascii="宋体" w:hAnsi="宋体" w:cs="仿宋_GB2312"/>
          <w:b/>
          <w:color w:val="auto"/>
          <w:sz w:val="21"/>
          <w:szCs w:val="21"/>
          <w:highlight w:val="none"/>
        </w:rPr>
        <w:t>否则其响应文件按无效处理。</w:t>
      </w:r>
    </w:p>
    <w:p w14:paraId="293F0359">
      <w:pPr>
        <w:spacing w:line="360" w:lineRule="auto"/>
        <w:ind w:firstLine="420" w:firstLineChars="200"/>
        <w:contextualSpacing/>
        <w:rPr>
          <w:rFonts w:ascii="宋体" w:hAnsi="宋体" w:cs="仿宋_GB2312"/>
          <w:color w:val="auto"/>
          <w:sz w:val="21"/>
          <w:szCs w:val="21"/>
          <w:highlight w:val="none"/>
        </w:rPr>
      </w:pPr>
      <w:r>
        <w:rPr>
          <w:rFonts w:ascii="宋体" w:hAnsi="宋体" w:cs="仿宋_GB2312"/>
          <w:color w:val="auto"/>
          <w:sz w:val="21"/>
          <w:szCs w:val="21"/>
          <w:highlight w:val="none"/>
        </w:rPr>
        <w:t>5</w:t>
      </w:r>
      <w:r>
        <w:rPr>
          <w:rFonts w:hint="eastAsia" w:ascii="宋体" w:hAnsi="宋体" w:cs="仿宋_GB2312"/>
          <w:color w:val="auto"/>
          <w:sz w:val="21"/>
          <w:szCs w:val="21"/>
          <w:highlight w:val="none"/>
        </w:rPr>
        <w:t>.</w:t>
      </w:r>
      <w:r>
        <w:rPr>
          <w:rFonts w:hint="eastAsia" w:ascii="宋体" w:hAnsi="宋体" w:cs="仿宋_GB2312"/>
          <w:color w:val="auto"/>
          <w:spacing w:val="-6"/>
          <w:sz w:val="21"/>
          <w:szCs w:val="21"/>
          <w:highlight w:val="none"/>
        </w:rPr>
        <w:t>如有多分标，分别列明各分标的报价表，</w:t>
      </w:r>
      <w:r>
        <w:rPr>
          <w:rFonts w:hint="eastAsia" w:ascii="宋体" w:hAnsi="宋体" w:cs="仿宋_GB2312"/>
          <w:b/>
          <w:color w:val="auto"/>
          <w:spacing w:val="-6"/>
          <w:sz w:val="21"/>
          <w:szCs w:val="21"/>
          <w:highlight w:val="none"/>
        </w:rPr>
        <w:t>否则其响应文件按无效处理。</w:t>
      </w:r>
    </w:p>
    <w:p w14:paraId="2C5C991C">
      <w:pPr>
        <w:spacing w:line="360" w:lineRule="auto"/>
        <w:ind w:right="-817" w:rightChars="-389"/>
        <w:contextualSpacing/>
        <w:rPr>
          <w:rFonts w:ascii="宋体" w:hAnsi="宋体" w:cs="仿宋_GB2312"/>
          <w:color w:val="auto"/>
          <w:sz w:val="21"/>
          <w:szCs w:val="21"/>
          <w:highlight w:val="none"/>
        </w:rPr>
      </w:pPr>
    </w:p>
    <w:p w14:paraId="651BB88F">
      <w:pPr>
        <w:spacing w:line="360" w:lineRule="auto"/>
        <w:ind w:right="-817" w:rightChars="-389" w:firstLine="2310" w:firstLineChars="1100"/>
        <w:contextualSpacing/>
        <w:rPr>
          <w:rFonts w:ascii="宋体" w:hAnsi="宋体" w:cs="仿宋_GB2312"/>
          <w:color w:val="auto"/>
          <w:sz w:val="21"/>
          <w:szCs w:val="21"/>
          <w:highlight w:val="none"/>
        </w:rPr>
      </w:pPr>
      <w:r>
        <w:rPr>
          <w:rFonts w:hint="eastAsia" w:ascii="宋体" w:hAnsi="宋体" w:cs="仿宋_GB2312"/>
          <w:color w:val="auto"/>
          <w:sz w:val="21"/>
          <w:szCs w:val="21"/>
          <w:highlight w:val="none"/>
        </w:rPr>
        <w:t xml:space="preserve">法定代表人或者委托代理人（签字或者电子签名）：                    </w:t>
      </w:r>
    </w:p>
    <w:p w14:paraId="3AB995BC">
      <w:pPr>
        <w:spacing w:line="360" w:lineRule="auto"/>
        <w:ind w:right="-817" w:rightChars="-389" w:firstLine="2310" w:firstLineChars="1100"/>
        <w:contextualSpacing/>
        <w:rPr>
          <w:rFonts w:ascii="宋体" w:hAnsi="宋体" w:cs="仿宋_GB2312"/>
          <w:color w:val="auto"/>
          <w:sz w:val="21"/>
          <w:szCs w:val="21"/>
          <w:highlight w:val="none"/>
        </w:rPr>
      </w:pPr>
      <w:r>
        <w:rPr>
          <w:rFonts w:hint="eastAsia" w:ascii="宋体" w:hAnsi="宋体" w:cs="仿宋_GB2312"/>
          <w:color w:val="auto"/>
          <w:sz w:val="21"/>
          <w:szCs w:val="21"/>
          <w:highlight w:val="none"/>
        </w:rPr>
        <w:t xml:space="preserve">供应商（电子签章）：      </w:t>
      </w:r>
    </w:p>
    <w:p w14:paraId="4FC7EE1C">
      <w:pPr>
        <w:spacing w:line="360" w:lineRule="auto"/>
        <w:ind w:right="-817" w:rightChars="-389" w:firstLine="3570" w:firstLineChars="1700"/>
        <w:contextualSpacing/>
        <w:rPr>
          <w:rFonts w:ascii="宋体" w:hAnsi="宋体" w:cs="仿宋_GB2312"/>
          <w:color w:val="auto"/>
          <w:sz w:val="21"/>
          <w:szCs w:val="21"/>
          <w:highlight w:val="none"/>
        </w:rPr>
      </w:pPr>
      <w:r>
        <w:rPr>
          <w:rFonts w:hint="eastAsia" w:ascii="宋体" w:hAnsi="宋体" w:cs="仿宋_GB2312"/>
          <w:color w:val="auto"/>
          <w:sz w:val="21"/>
          <w:szCs w:val="21"/>
          <w:highlight w:val="none"/>
        </w:rPr>
        <w:t>日期：   年   月   日</w:t>
      </w:r>
    </w:p>
    <w:p w14:paraId="504EC89A">
      <w:pPr>
        <w:spacing w:line="360" w:lineRule="auto"/>
        <w:contextualSpacing/>
        <w:jc w:val="center"/>
        <w:rPr>
          <w:rFonts w:ascii="宋体" w:hAnsi="宋体" w:cs="仿宋_GB2312"/>
          <w:b/>
          <w:color w:val="auto"/>
          <w:sz w:val="32"/>
          <w:szCs w:val="32"/>
          <w:highlight w:val="none"/>
        </w:rPr>
      </w:pPr>
      <w:r>
        <w:rPr>
          <w:rFonts w:ascii="宋体" w:hAnsi="宋体" w:cs="仿宋_GB2312"/>
          <w:color w:val="auto"/>
          <w:sz w:val="21"/>
          <w:szCs w:val="21"/>
          <w:highlight w:val="none"/>
        </w:rPr>
        <w:br w:type="page"/>
      </w:r>
      <w:r>
        <w:rPr>
          <w:rFonts w:hint="eastAsia" w:ascii="宋体" w:hAnsi="宋体" w:cs="宋体"/>
          <w:b/>
          <w:color w:val="auto"/>
          <w:sz w:val="32"/>
          <w:szCs w:val="32"/>
          <w:highlight w:val="none"/>
        </w:rPr>
        <w:t>已标价工程量清单</w:t>
      </w:r>
    </w:p>
    <w:p w14:paraId="1A234951">
      <w:pPr>
        <w:spacing w:line="360" w:lineRule="auto"/>
        <w:ind w:firstLine="420" w:firstLineChars="200"/>
        <w:rPr>
          <w:color w:val="auto"/>
          <w:highlight w:val="none"/>
        </w:rPr>
      </w:pPr>
      <w:r>
        <w:rPr>
          <w:rFonts w:hint="eastAsia"/>
          <w:color w:val="auto"/>
          <w:highlight w:val="none"/>
        </w:rPr>
        <w:t>已标价工程量清单应按第五章“工程量清单及图纸”中的相关表格及竞标报价说明填写。构成合同文件的已标价工程量清单包括第五章“工程量清单及图纸”有关工程量清单、竞标报价以及其他说明的内容。</w:t>
      </w:r>
    </w:p>
    <w:p w14:paraId="34881FAF">
      <w:pPr>
        <w:jc w:val="center"/>
        <w:rPr>
          <w:rFonts w:ascii="方正小标宋简体" w:hAnsi="方正小标宋简体" w:eastAsia="方正小标宋简体" w:cs="方正小标宋简体"/>
          <w:color w:val="auto"/>
          <w:sz w:val="44"/>
          <w:szCs w:val="44"/>
          <w:highlight w:val="none"/>
        </w:rPr>
      </w:pPr>
      <w:r>
        <w:rPr>
          <w:rFonts w:ascii="宋体" w:hAnsi="宋体"/>
          <w:b/>
          <w:bCs/>
          <w:color w:val="auto"/>
          <w:sz w:val="32"/>
          <w:szCs w:val="32"/>
          <w:highlight w:val="none"/>
        </w:rPr>
        <w:br w:type="page"/>
      </w:r>
      <w:bookmarkStart w:id="99" w:name="_Toc71365926"/>
      <w:r>
        <w:rPr>
          <w:rFonts w:hint="eastAsia" w:ascii="方正小标宋简体" w:hAnsi="方正小标宋简体" w:eastAsia="方正小标宋简体" w:cs="方正小标宋简体"/>
          <w:color w:val="auto"/>
          <w:sz w:val="44"/>
          <w:szCs w:val="44"/>
          <w:highlight w:val="none"/>
        </w:rPr>
        <w:t>中小企业声明函（工程）</w:t>
      </w:r>
      <w:bookmarkEnd w:id="99"/>
    </w:p>
    <w:p w14:paraId="08B05289">
      <w:pPr>
        <w:spacing w:before="2" w:line="500" w:lineRule="exact"/>
        <w:ind w:firstLine="708" w:firstLineChars="294"/>
        <w:rPr>
          <w:rFonts w:ascii="宋体" w:hAnsi="宋体" w:cs="宋体"/>
          <w:b/>
          <w:bCs/>
          <w:color w:val="auto"/>
          <w:sz w:val="24"/>
          <w:highlight w:val="none"/>
        </w:rPr>
      </w:pPr>
    </w:p>
    <w:p w14:paraId="1C655F79">
      <w:pPr>
        <w:pStyle w:val="18"/>
        <w:spacing w:line="500" w:lineRule="exact"/>
        <w:ind w:right="142" w:firstLine="705" w:firstLineChars="294"/>
        <w:rPr>
          <w:rFonts w:ascii="宋体" w:hAnsi="宋体"/>
          <w:color w:val="auto"/>
          <w:sz w:val="24"/>
          <w:highlight w:val="none"/>
        </w:rPr>
      </w:pPr>
      <w:r>
        <w:rPr>
          <w:rFonts w:ascii="宋体" w:hAnsi="宋体"/>
          <w:color w:val="auto"/>
          <w:sz w:val="24"/>
          <w:highlight w:val="none"/>
        </w:rPr>
        <w:t>本公司（联合体）郑重声明，根据《政府采购促进中小企业发展管理办法》（财库﹝2020﹞46号）的规定，本公司（联合体）参加</w:t>
      </w:r>
      <w:r>
        <w:rPr>
          <w:rFonts w:ascii="宋体" w:hAnsi="宋体"/>
          <w:color w:val="auto"/>
          <w:sz w:val="24"/>
          <w:highlight w:val="none"/>
          <w:u w:val="single"/>
        </w:rPr>
        <w:t>（单位名称）</w:t>
      </w:r>
      <w:r>
        <w:rPr>
          <w:rFonts w:ascii="宋体" w:hAnsi="宋体"/>
          <w:color w:val="auto"/>
          <w:sz w:val="24"/>
          <w:highlight w:val="none"/>
        </w:rPr>
        <w:t>的</w:t>
      </w:r>
      <w:r>
        <w:rPr>
          <w:rFonts w:ascii="宋体" w:hAnsi="宋体"/>
          <w:color w:val="auto"/>
          <w:sz w:val="24"/>
          <w:highlight w:val="none"/>
          <w:u w:val="single"/>
        </w:rPr>
        <w:t>（项目名称）</w:t>
      </w:r>
      <w:r>
        <w:rPr>
          <w:rFonts w:ascii="宋体" w:hAnsi="宋体"/>
          <w:color w:val="auto"/>
          <w:sz w:val="24"/>
          <w:highlight w:val="none"/>
        </w:rPr>
        <w:t>采购活动，</w:t>
      </w:r>
      <w:r>
        <w:rPr>
          <w:rFonts w:hint="eastAsia" w:ascii="宋体" w:hAnsi="宋体"/>
          <w:color w:val="auto"/>
          <w:sz w:val="24"/>
          <w:highlight w:val="none"/>
        </w:rPr>
        <w:t>工程的施工单位全部为符合政策要求的中小企业。相关企业（含联合体中的中小企业、签订分包意向协议的中小企业）的具体情况如下：</w:t>
      </w:r>
    </w:p>
    <w:p w14:paraId="7616EB11">
      <w:pPr>
        <w:tabs>
          <w:tab w:val="left" w:pos="1384"/>
          <w:tab w:val="left" w:pos="4562"/>
          <w:tab w:val="left" w:pos="6803"/>
        </w:tabs>
        <w:spacing w:before="13" w:line="500" w:lineRule="exact"/>
        <w:ind w:right="142" w:firstLine="772" w:firstLineChars="322"/>
        <w:rPr>
          <w:rFonts w:ascii="宋体" w:hAnsi="宋体"/>
          <w:color w:val="auto"/>
          <w:sz w:val="24"/>
          <w:highlight w:val="none"/>
        </w:rPr>
      </w:pPr>
      <w:r>
        <w:rPr>
          <w:rFonts w:ascii="宋体" w:hAnsi="宋体"/>
          <w:color w:val="auto"/>
          <w:sz w:val="24"/>
          <w:highlight w:val="none"/>
        </w:rPr>
        <w:t>1.</w:t>
      </w:r>
      <w:r>
        <w:rPr>
          <w:rFonts w:ascii="宋体" w:hAnsi="宋体"/>
          <w:color w:val="auto"/>
          <w:sz w:val="24"/>
          <w:highlight w:val="none"/>
          <w:u w:val="single"/>
        </w:rPr>
        <w:t>（标的名称）</w:t>
      </w:r>
      <w:r>
        <w:rPr>
          <w:rFonts w:ascii="宋体" w:hAnsi="宋体"/>
          <w:color w:val="auto"/>
          <w:sz w:val="24"/>
          <w:highlight w:val="none"/>
        </w:rPr>
        <w:t>，属于</w:t>
      </w:r>
      <w:r>
        <w:rPr>
          <w:rFonts w:ascii="宋体" w:hAnsi="宋体"/>
          <w:color w:val="auto"/>
          <w:sz w:val="24"/>
          <w:highlight w:val="none"/>
          <w:u w:val="single"/>
        </w:rPr>
        <w:t>（采购文件中明确的所属</w:t>
      </w:r>
      <w:r>
        <w:rPr>
          <w:rFonts w:hint="eastAsia" w:ascii="宋体" w:hAnsi="宋体"/>
          <w:color w:val="auto"/>
          <w:sz w:val="24"/>
          <w:highlight w:val="none"/>
          <w:u w:val="single"/>
        </w:rPr>
        <w:t>行</w:t>
      </w:r>
      <w:r>
        <w:rPr>
          <w:rFonts w:ascii="宋体" w:hAnsi="宋体"/>
          <w:color w:val="auto"/>
          <w:sz w:val="24"/>
          <w:highlight w:val="none"/>
          <w:u w:val="single"/>
        </w:rPr>
        <w:t>业）</w:t>
      </w:r>
      <w:r>
        <w:rPr>
          <w:rFonts w:ascii="宋体" w:hAnsi="宋体"/>
          <w:color w:val="auto"/>
          <w:sz w:val="24"/>
          <w:highlight w:val="none"/>
        </w:rPr>
        <w:t>；</w:t>
      </w:r>
      <w:r>
        <w:rPr>
          <w:rFonts w:hint="eastAsia" w:ascii="宋体" w:hAnsi="宋体"/>
          <w:color w:val="auto"/>
          <w:sz w:val="24"/>
          <w:highlight w:val="none"/>
        </w:rPr>
        <w:t>承建企业为</w:t>
      </w:r>
      <w:r>
        <w:rPr>
          <w:rFonts w:hint="eastAsia" w:ascii="宋体" w:hAnsi="宋体"/>
          <w:color w:val="auto"/>
          <w:sz w:val="24"/>
          <w:highlight w:val="none"/>
          <w:u w:val="single"/>
        </w:rPr>
        <w:t>（企业名称）</w:t>
      </w:r>
      <w:r>
        <w:rPr>
          <w:rFonts w:hint="eastAsia" w:ascii="宋体" w:hAnsi="宋体"/>
          <w:color w:val="auto"/>
          <w:sz w:val="24"/>
          <w:highlight w:val="none"/>
        </w:rPr>
        <w:t>，从业人员</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rPr>
        <w:t>人，营业收入为</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rPr>
        <w:t>万元，资产总额为</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rPr>
        <w:t>万元</w:t>
      </w:r>
      <w:r>
        <w:rPr>
          <w:rFonts w:ascii="宋体" w:hAnsi="宋体"/>
          <w:color w:val="auto"/>
          <w:sz w:val="24"/>
          <w:highlight w:val="none"/>
        </w:rPr>
        <w:t>，属于</w:t>
      </w:r>
      <w:r>
        <w:rPr>
          <w:rFonts w:ascii="宋体" w:hAnsi="宋体"/>
          <w:color w:val="auto"/>
          <w:sz w:val="24"/>
          <w:highlight w:val="none"/>
          <w:u w:val="single"/>
        </w:rPr>
        <w:t>（中型企业、</w:t>
      </w:r>
      <w:r>
        <w:rPr>
          <w:rFonts w:hint="eastAsia" w:ascii="宋体" w:hAnsi="宋体"/>
          <w:color w:val="auto"/>
          <w:sz w:val="24"/>
          <w:highlight w:val="none"/>
          <w:u w:val="single"/>
        </w:rPr>
        <w:t>小型企业、微型企业）</w:t>
      </w:r>
      <w:r>
        <w:rPr>
          <w:rFonts w:hint="eastAsia" w:ascii="宋体" w:hAnsi="宋体"/>
          <w:color w:val="auto"/>
          <w:sz w:val="24"/>
          <w:highlight w:val="none"/>
        </w:rPr>
        <w:t>；</w:t>
      </w:r>
    </w:p>
    <w:p w14:paraId="4E6F8E61">
      <w:pPr>
        <w:tabs>
          <w:tab w:val="left" w:pos="1065"/>
          <w:tab w:val="left" w:pos="4262"/>
          <w:tab w:val="left" w:pos="6477"/>
        </w:tabs>
        <w:spacing w:before="20" w:line="500" w:lineRule="exact"/>
        <w:ind w:right="84" w:firstLine="772" w:firstLineChars="322"/>
        <w:rPr>
          <w:rFonts w:ascii="宋体" w:hAnsi="宋体"/>
          <w:color w:val="auto"/>
          <w:sz w:val="24"/>
          <w:highlight w:val="none"/>
          <w:u w:val="single"/>
        </w:rPr>
      </w:pPr>
      <w:r>
        <w:rPr>
          <w:rFonts w:ascii="宋体" w:hAnsi="宋体"/>
          <w:color w:val="auto"/>
          <w:sz w:val="24"/>
          <w:highlight w:val="none"/>
        </w:rPr>
        <w:t>2.</w:t>
      </w:r>
      <w:r>
        <w:rPr>
          <w:rFonts w:ascii="宋体" w:hAnsi="宋体"/>
          <w:color w:val="auto"/>
          <w:sz w:val="24"/>
          <w:highlight w:val="none"/>
          <w:u w:val="single"/>
        </w:rPr>
        <w:t>（标的名称）</w:t>
      </w:r>
      <w:r>
        <w:rPr>
          <w:rFonts w:ascii="宋体" w:hAnsi="宋体"/>
          <w:color w:val="auto"/>
          <w:sz w:val="24"/>
          <w:highlight w:val="none"/>
        </w:rPr>
        <w:t>，属于</w:t>
      </w:r>
      <w:r>
        <w:rPr>
          <w:rFonts w:ascii="宋体" w:hAnsi="宋体"/>
          <w:color w:val="auto"/>
          <w:sz w:val="24"/>
          <w:highlight w:val="none"/>
          <w:u w:val="single"/>
        </w:rPr>
        <w:t>（采购文件中明确的所属</w:t>
      </w:r>
      <w:r>
        <w:rPr>
          <w:rFonts w:hint="eastAsia" w:ascii="宋体" w:hAnsi="宋体"/>
          <w:color w:val="auto"/>
          <w:sz w:val="24"/>
          <w:highlight w:val="none"/>
          <w:u w:val="single"/>
        </w:rPr>
        <w:t>行业</w:t>
      </w:r>
      <w:r>
        <w:rPr>
          <w:rFonts w:ascii="宋体" w:hAnsi="宋体"/>
          <w:color w:val="auto"/>
          <w:sz w:val="24"/>
          <w:highlight w:val="none"/>
          <w:u w:val="single"/>
        </w:rPr>
        <w:t>）</w:t>
      </w:r>
      <w:r>
        <w:rPr>
          <w:rFonts w:ascii="宋体" w:hAnsi="宋体"/>
          <w:color w:val="auto"/>
          <w:sz w:val="24"/>
          <w:highlight w:val="none"/>
        </w:rPr>
        <w:t>；</w:t>
      </w:r>
      <w:r>
        <w:rPr>
          <w:rFonts w:hint="eastAsia" w:ascii="宋体" w:hAnsi="宋体"/>
          <w:color w:val="auto"/>
          <w:sz w:val="24"/>
          <w:highlight w:val="none"/>
        </w:rPr>
        <w:t>承建企业为</w:t>
      </w:r>
      <w:r>
        <w:rPr>
          <w:rFonts w:hint="eastAsia" w:ascii="宋体" w:hAnsi="宋体"/>
          <w:color w:val="auto"/>
          <w:sz w:val="24"/>
          <w:highlight w:val="none"/>
          <w:u w:val="single"/>
        </w:rPr>
        <w:t>（企业名称）</w:t>
      </w:r>
      <w:r>
        <w:rPr>
          <w:rFonts w:hint="eastAsia" w:ascii="宋体" w:hAnsi="宋体"/>
          <w:color w:val="auto"/>
          <w:sz w:val="24"/>
          <w:highlight w:val="none"/>
        </w:rPr>
        <w:t>，从业人员</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rPr>
        <w:t>人，营业收入为</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rPr>
        <w:t>万元，资产总额为</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rPr>
        <w:t>万元</w:t>
      </w:r>
      <w:r>
        <w:rPr>
          <w:rFonts w:ascii="宋体" w:hAnsi="宋体"/>
          <w:color w:val="auto"/>
          <w:sz w:val="24"/>
          <w:highlight w:val="none"/>
        </w:rPr>
        <w:t>，属于</w:t>
      </w:r>
      <w:r>
        <w:rPr>
          <w:rFonts w:ascii="宋体" w:hAnsi="宋体"/>
          <w:color w:val="auto"/>
          <w:sz w:val="24"/>
          <w:highlight w:val="none"/>
          <w:u w:val="single"/>
        </w:rPr>
        <w:t>（中型企业、</w:t>
      </w:r>
      <w:r>
        <w:rPr>
          <w:rFonts w:hint="eastAsia" w:ascii="宋体" w:hAnsi="宋体"/>
          <w:color w:val="auto"/>
          <w:sz w:val="24"/>
          <w:highlight w:val="none"/>
          <w:u w:val="single"/>
        </w:rPr>
        <w:t>小型企业、微型企业）</w:t>
      </w:r>
      <w:r>
        <w:rPr>
          <w:rFonts w:hint="eastAsia" w:ascii="宋体" w:hAnsi="宋体"/>
          <w:color w:val="auto"/>
          <w:sz w:val="24"/>
          <w:highlight w:val="none"/>
        </w:rPr>
        <w:t>；</w:t>
      </w:r>
    </w:p>
    <w:p w14:paraId="5B534C7C">
      <w:pPr>
        <w:pStyle w:val="18"/>
        <w:spacing w:before="34" w:line="500" w:lineRule="exact"/>
        <w:ind w:right="142" w:firstLine="705" w:firstLineChars="294"/>
        <w:rPr>
          <w:rFonts w:ascii="宋体" w:hAnsi="宋体"/>
          <w:color w:val="auto"/>
          <w:sz w:val="24"/>
          <w:highlight w:val="none"/>
        </w:rPr>
      </w:pPr>
      <w:r>
        <w:rPr>
          <w:rFonts w:ascii="宋体" w:hAnsi="宋体"/>
          <w:color w:val="auto"/>
          <w:sz w:val="24"/>
          <w:highlight w:val="none"/>
        </w:rPr>
        <w:t xml:space="preserve">…… </w:t>
      </w:r>
    </w:p>
    <w:p w14:paraId="20F45614">
      <w:pPr>
        <w:pStyle w:val="18"/>
        <w:spacing w:before="34" w:line="500" w:lineRule="exact"/>
        <w:ind w:right="142" w:firstLine="705" w:firstLineChars="294"/>
        <w:rPr>
          <w:rFonts w:ascii="宋体" w:hAnsi="宋体"/>
          <w:color w:val="auto"/>
          <w:sz w:val="24"/>
          <w:highlight w:val="none"/>
        </w:rPr>
      </w:pPr>
      <w:r>
        <w:rPr>
          <w:rFonts w:ascii="宋体" w:hAnsi="宋体"/>
          <w:color w:val="auto"/>
          <w:sz w:val="24"/>
          <w:highlight w:val="none"/>
        </w:rPr>
        <w:t>以上企业，不属于大企业的分支机构，不存在控股股东为大企业的情形，也不存在与大企业的负责人为同一人的情形。</w:t>
      </w:r>
    </w:p>
    <w:p w14:paraId="17E7620A">
      <w:pPr>
        <w:pStyle w:val="18"/>
        <w:spacing w:before="25" w:line="500" w:lineRule="exact"/>
        <w:ind w:right="142" w:firstLine="705" w:firstLineChars="294"/>
        <w:rPr>
          <w:rFonts w:ascii="宋体" w:hAnsi="宋体"/>
          <w:color w:val="auto"/>
          <w:sz w:val="24"/>
          <w:highlight w:val="none"/>
        </w:rPr>
      </w:pPr>
      <w:r>
        <w:rPr>
          <w:rFonts w:ascii="宋体" w:hAnsi="宋体"/>
          <w:color w:val="auto"/>
          <w:sz w:val="24"/>
          <w:highlight w:val="none"/>
        </w:rPr>
        <w:t>本企业对上述声明内容的真实性负责。如有虚假，将依法承担相应责任。</w:t>
      </w:r>
    </w:p>
    <w:p w14:paraId="4448064F">
      <w:pPr>
        <w:pStyle w:val="18"/>
        <w:spacing w:before="56" w:line="500" w:lineRule="exact"/>
        <w:ind w:right="1808" w:firstLine="705" w:firstLineChars="294"/>
        <w:rPr>
          <w:rFonts w:ascii="宋体" w:hAnsi="宋体"/>
          <w:color w:val="auto"/>
          <w:sz w:val="24"/>
          <w:highlight w:val="none"/>
        </w:rPr>
      </w:pPr>
    </w:p>
    <w:p w14:paraId="451BDA1F">
      <w:pPr>
        <w:pStyle w:val="18"/>
        <w:spacing w:before="56" w:line="500" w:lineRule="exact"/>
        <w:ind w:right="650" w:firstLine="5625" w:firstLineChars="2344"/>
        <w:rPr>
          <w:rFonts w:ascii="宋体" w:hAnsi="宋体"/>
          <w:color w:val="auto"/>
          <w:sz w:val="24"/>
          <w:highlight w:val="none"/>
        </w:rPr>
      </w:pPr>
      <w:r>
        <w:rPr>
          <w:rFonts w:ascii="宋体" w:hAnsi="宋体"/>
          <w:color w:val="auto"/>
          <w:sz w:val="24"/>
          <w:highlight w:val="none"/>
        </w:rPr>
        <w:t xml:space="preserve">企业名称（章）： </w:t>
      </w:r>
    </w:p>
    <w:p w14:paraId="1C420CEE">
      <w:pPr>
        <w:pStyle w:val="18"/>
        <w:spacing w:before="56" w:line="500" w:lineRule="exact"/>
        <w:ind w:right="1808" w:firstLine="5625" w:firstLineChars="2344"/>
        <w:rPr>
          <w:rFonts w:ascii="宋体" w:hAnsi="宋体"/>
          <w:color w:val="auto"/>
          <w:sz w:val="24"/>
          <w:highlight w:val="none"/>
        </w:rPr>
      </w:pPr>
      <w:r>
        <w:rPr>
          <w:rFonts w:ascii="宋体" w:hAnsi="宋体"/>
          <w:color w:val="auto"/>
          <w:sz w:val="24"/>
          <w:highlight w:val="none"/>
        </w:rPr>
        <w:t>日 期：</w:t>
      </w:r>
    </w:p>
    <w:p w14:paraId="3F70E4DD">
      <w:pPr>
        <w:spacing w:line="520" w:lineRule="exact"/>
        <w:jc w:val="left"/>
        <w:rPr>
          <w:rFonts w:ascii="宋体" w:hAnsi="宋体" w:cs="仿宋_GB2312"/>
          <w:color w:val="auto"/>
          <w:sz w:val="24"/>
          <w:highlight w:val="none"/>
        </w:rPr>
      </w:pPr>
      <w:r>
        <w:rPr>
          <w:rFonts w:hint="eastAsia" w:ascii="宋体" w:hAnsi="宋体" w:cs="仿宋_GB2312"/>
          <w:color w:val="auto"/>
          <w:sz w:val="24"/>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08AEA6E0">
      <w:pPr>
        <w:spacing w:line="520" w:lineRule="exact"/>
        <w:jc w:val="center"/>
        <w:rPr>
          <w:rFonts w:ascii="仿宋_GB2312" w:hAnsi="仿宋_GB2312" w:eastAsia="仿宋_GB2312" w:cs="仿宋_GB2312"/>
          <w:color w:val="auto"/>
          <w:sz w:val="32"/>
          <w:szCs w:val="32"/>
          <w:highlight w:val="none"/>
        </w:rPr>
      </w:pPr>
      <w:r>
        <w:rPr>
          <w:rFonts w:ascii="宋体" w:hAnsi="宋体"/>
          <w:color w:val="auto"/>
          <w:sz w:val="24"/>
          <w:highlight w:val="none"/>
        </w:rPr>
        <w:br w:type="page"/>
      </w:r>
      <w:r>
        <w:rPr>
          <w:rFonts w:hint="eastAsia" w:ascii="方正小标宋简体" w:hAnsi="方正小标宋简体" w:eastAsia="方正小标宋简体" w:cs="方正小标宋简体"/>
          <w:color w:val="auto"/>
          <w:sz w:val="44"/>
          <w:szCs w:val="44"/>
          <w:highlight w:val="none"/>
        </w:rPr>
        <w:t>残疾人福利性单位声明函</w:t>
      </w:r>
    </w:p>
    <w:p w14:paraId="65754DE5">
      <w:pPr>
        <w:spacing w:line="360" w:lineRule="auto"/>
        <w:contextualSpacing/>
        <w:rPr>
          <w:rFonts w:ascii="仿宋_GB2312" w:hAnsi="仿宋_GB2312" w:eastAsia="仿宋_GB2312" w:cs="仿宋_GB2312"/>
          <w:color w:val="auto"/>
          <w:sz w:val="32"/>
          <w:szCs w:val="32"/>
          <w:highlight w:val="none"/>
        </w:rPr>
      </w:pPr>
    </w:p>
    <w:p w14:paraId="3E678FAA">
      <w:pPr>
        <w:spacing w:line="360" w:lineRule="auto"/>
        <w:ind w:firstLine="480" w:firstLineChars="200"/>
        <w:contextualSpacing/>
        <w:rPr>
          <w:rFonts w:ascii="宋体" w:hAnsi="宋体" w:cs="仿宋_GB2312"/>
          <w:color w:val="auto"/>
          <w:sz w:val="24"/>
          <w:highlight w:val="none"/>
        </w:rPr>
      </w:pPr>
      <w:r>
        <w:rPr>
          <w:rFonts w:hint="eastAsia" w:ascii="宋体" w:hAnsi="宋体" w:cs="仿宋_GB2312"/>
          <w:color w:val="auto"/>
          <w:sz w:val="24"/>
          <w:highlight w:val="none"/>
        </w:rPr>
        <w:t>本单位郑重声明，根据《财政部 民政部 中国残疾人联合会关于促进残疾人就业政府采购政策的通知》（财库〔2017〕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05B89152">
      <w:pPr>
        <w:spacing w:line="360" w:lineRule="auto"/>
        <w:ind w:firstLine="480" w:firstLineChars="200"/>
        <w:contextualSpacing/>
        <w:rPr>
          <w:rFonts w:ascii="宋体" w:hAnsi="宋体" w:cs="仿宋_GB2312"/>
          <w:color w:val="auto"/>
          <w:sz w:val="24"/>
          <w:highlight w:val="none"/>
        </w:rPr>
      </w:pPr>
      <w:r>
        <w:rPr>
          <w:rFonts w:hint="eastAsia" w:ascii="宋体" w:hAnsi="宋体" w:cs="仿宋_GB2312"/>
          <w:color w:val="auto"/>
          <w:sz w:val="24"/>
          <w:highlight w:val="none"/>
        </w:rPr>
        <w:t>本单位对上述声明的真实性负责。如有虚假，将依法承担相应责任。</w:t>
      </w:r>
    </w:p>
    <w:p w14:paraId="26EE5E2C">
      <w:pPr>
        <w:spacing w:line="360" w:lineRule="auto"/>
        <w:contextualSpacing/>
        <w:rPr>
          <w:rFonts w:ascii="宋体" w:hAnsi="宋体" w:cs="仿宋_GB2312"/>
          <w:color w:val="auto"/>
          <w:sz w:val="24"/>
          <w:highlight w:val="none"/>
        </w:rPr>
      </w:pPr>
    </w:p>
    <w:p w14:paraId="074F6FA4">
      <w:pPr>
        <w:spacing w:line="360" w:lineRule="auto"/>
        <w:contextualSpacing/>
        <w:rPr>
          <w:rFonts w:ascii="宋体" w:hAnsi="宋体" w:cs="仿宋_GB2312"/>
          <w:color w:val="auto"/>
          <w:sz w:val="24"/>
          <w:highlight w:val="none"/>
        </w:rPr>
      </w:pPr>
    </w:p>
    <w:p w14:paraId="2B74ACEE">
      <w:pPr>
        <w:spacing w:line="360" w:lineRule="auto"/>
        <w:contextualSpacing/>
        <w:rPr>
          <w:rFonts w:ascii="宋体" w:hAnsi="宋体" w:cs="仿宋_GB2312"/>
          <w:color w:val="auto"/>
          <w:sz w:val="24"/>
          <w:highlight w:val="none"/>
        </w:rPr>
      </w:pPr>
    </w:p>
    <w:p w14:paraId="24170538">
      <w:pPr>
        <w:spacing w:line="360" w:lineRule="auto"/>
        <w:ind w:firstLine="2400" w:firstLineChars="1000"/>
        <w:contextualSpacing/>
        <w:rPr>
          <w:rFonts w:ascii="宋体" w:hAnsi="宋体" w:cs="仿宋_GB2312"/>
          <w:color w:val="auto"/>
          <w:sz w:val="24"/>
          <w:highlight w:val="none"/>
        </w:rPr>
      </w:pPr>
      <w:r>
        <w:rPr>
          <w:rFonts w:hint="eastAsia" w:ascii="宋体" w:hAnsi="宋体" w:cs="仿宋_GB2312"/>
          <w:color w:val="auto"/>
          <w:sz w:val="24"/>
          <w:highlight w:val="none"/>
        </w:rPr>
        <w:t>单位名称（盖章）：</w:t>
      </w:r>
    </w:p>
    <w:p w14:paraId="74D935FD">
      <w:pPr>
        <w:spacing w:line="360" w:lineRule="auto"/>
        <w:ind w:firstLine="3600" w:firstLineChars="1500"/>
        <w:contextualSpacing/>
        <w:rPr>
          <w:rFonts w:ascii="宋体" w:hAnsi="宋体" w:cs="仿宋_GB2312"/>
          <w:color w:val="auto"/>
          <w:sz w:val="24"/>
          <w:highlight w:val="none"/>
        </w:rPr>
      </w:pPr>
      <w:r>
        <w:rPr>
          <w:rFonts w:hint="eastAsia" w:ascii="宋体" w:hAnsi="宋体" w:cs="仿宋_GB2312"/>
          <w:color w:val="auto"/>
          <w:sz w:val="24"/>
          <w:highlight w:val="none"/>
        </w:rPr>
        <w:t>日  期：</w:t>
      </w:r>
    </w:p>
    <w:p w14:paraId="3E5B9F80">
      <w:pPr>
        <w:spacing w:line="360" w:lineRule="auto"/>
        <w:contextualSpacing/>
        <w:rPr>
          <w:rFonts w:ascii="宋体" w:hAnsi="宋体" w:cs="仿宋_GB2312"/>
          <w:color w:val="auto"/>
          <w:sz w:val="24"/>
          <w:highlight w:val="none"/>
        </w:rPr>
      </w:pPr>
    </w:p>
    <w:p w14:paraId="20C22B0F">
      <w:pPr>
        <w:spacing w:line="360" w:lineRule="auto"/>
        <w:contextualSpacing/>
        <w:rPr>
          <w:rFonts w:ascii="宋体" w:hAnsi="宋体" w:cs="仿宋_GB2312"/>
          <w:color w:val="auto"/>
          <w:sz w:val="24"/>
          <w:highlight w:val="none"/>
        </w:rPr>
      </w:pPr>
    </w:p>
    <w:p w14:paraId="7D15DBC7">
      <w:pPr>
        <w:spacing w:line="360" w:lineRule="auto"/>
        <w:contextualSpacing/>
        <w:rPr>
          <w:rFonts w:ascii="宋体" w:hAnsi="宋体" w:cs="仿宋_GB2312"/>
          <w:color w:val="auto"/>
          <w:sz w:val="24"/>
          <w:highlight w:val="none"/>
        </w:rPr>
      </w:pPr>
    </w:p>
    <w:p w14:paraId="1FA06F72">
      <w:pPr>
        <w:spacing w:line="360" w:lineRule="auto"/>
        <w:contextualSpacing/>
        <w:rPr>
          <w:rFonts w:ascii="宋体" w:hAnsi="宋体" w:cs="仿宋_GB2312"/>
          <w:color w:val="auto"/>
          <w:sz w:val="24"/>
          <w:highlight w:val="none"/>
        </w:rPr>
      </w:pPr>
      <w:r>
        <w:rPr>
          <w:rFonts w:hint="eastAsia" w:ascii="宋体" w:hAnsi="宋体" w:cs="仿宋_GB2312"/>
          <w:color w:val="auto"/>
          <w:sz w:val="24"/>
          <w:highlight w:val="none"/>
        </w:rPr>
        <w:t>注：请根据自己的真实情况出具《残疾人福利性单位声明函》。依法享受中小企业优惠政策的，采购人或者采购代理机构在公告成交结果时，同时公告其《残疾人福利性单位声明函》，接受社会监督。</w:t>
      </w:r>
    </w:p>
    <w:p w14:paraId="714ED4AE">
      <w:pPr>
        <w:rPr>
          <w:rFonts w:hint="eastAsia"/>
          <w:color w:val="auto"/>
          <w:sz w:val="24"/>
          <w:highlight w:val="none"/>
        </w:rPr>
      </w:pPr>
    </w:p>
    <w:p w14:paraId="46B52875">
      <w:pPr>
        <w:rPr>
          <w:rFonts w:hint="eastAsia" w:ascii="宋体" w:hAnsi="宋体" w:cs="方正小标宋简体"/>
          <w:b/>
          <w:color w:val="auto"/>
          <w:sz w:val="32"/>
          <w:szCs w:val="32"/>
          <w:highlight w:val="none"/>
        </w:rPr>
      </w:pPr>
      <w:r>
        <w:rPr>
          <w:rFonts w:hint="eastAsia" w:ascii="宋体" w:hAnsi="宋体" w:cs="方正小标宋简体"/>
          <w:b/>
          <w:color w:val="auto"/>
          <w:sz w:val="32"/>
          <w:szCs w:val="32"/>
          <w:highlight w:val="none"/>
        </w:rPr>
        <w:br w:type="page"/>
      </w:r>
    </w:p>
    <w:p w14:paraId="30326030">
      <w:pPr>
        <w:spacing w:line="360" w:lineRule="auto"/>
        <w:ind w:right="420"/>
        <w:contextualSpacing/>
        <w:jc w:val="center"/>
        <w:rPr>
          <w:rFonts w:ascii="宋体" w:hAnsi="宋体"/>
          <w:b/>
          <w:bCs/>
          <w:color w:val="auto"/>
          <w:sz w:val="32"/>
          <w:szCs w:val="32"/>
          <w:highlight w:val="none"/>
        </w:rPr>
      </w:pPr>
    </w:p>
    <w:p w14:paraId="68427651">
      <w:pPr>
        <w:spacing w:line="360" w:lineRule="auto"/>
        <w:ind w:firstLine="643" w:firstLineChars="200"/>
        <w:contextualSpacing/>
        <w:jc w:val="center"/>
        <w:rPr>
          <w:rFonts w:ascii="宋体" w:hAnsi="宋体"/>
          <w:b/>
          <w:color w:val="auto"/>
          <w:sz w:val="32"/>
          <w:szCs w:val="32"/>
          <w:highlight w:val="none"/>
        </w:rPr>
      </w:pPr>
      <w:r>
        <w:rPr>
          <w:rFonts w:hint="eastAsia" w:ascii="宋体" w:hAnsi="宋体"/>
          <w:b/>
          <w:bCs/>
          <w:color w:val="auto"/>
          <w:sz w:val="32"/>
          <w:szCs w:val="32"/>
          <w:highlight w:val="none"/>
        </w:rPr>
        <w:t>三、</w:t>
      </w:r>
      <w:r>
        <w:rPr>
          <w:rFonts w:hint="eastAsia" w:ascii="宋体" w:hAnsi="宋体"/>
          <w:b/>
          <w:color w:val="auto"/>
          <w:sz w:val="32"/>
          <w:szCs w:val="32"/>
          <w:highlight w:val="none"/>
        </w:rPr>
        <w:t>商务技术文件格式</w:t>
      </w:r>
    </w:p>
    <w:p w14:paraId="10D9237F">
      <w:pPr>
        <w:snapToGrid w:val="0"/>
        <w:spacing w:beforeLines="50" w:after="50" w:line="360" w:lineRule="auto"/>
        <w:jc w:val="left"/>
        <w:rPr>
          <w:rFonts w:ascii="宋体" w:hAnsi="宋体"/>
          <w:b/>
          <w:color w:val="auto"/>
          <w:sz w:val="32"/>
          <w:szCs w:val="32"/>
          <w:highlight w:val="none"/>
        </w:rPr>
      </w:pPr>
      <w:r>
        <w:rPr>
          <w:rFonts w:hint="eastAsia" w:ascii="宋体" w:hAnsi="宋体"/>
          <w:b/>
          <w:color w:val="auto"/>
          <w:sz w:val="32"/>
          <w:szCs w:val="32"/>
          <w:highlight w:val="none"/>
        </w:rPr>
        <w:t>1.商务技术文件封面格式</w:t>
      </w:r>
    </w:p>
    <w:p w14:paraId="45591522">
      <w:pPr>
        <w:snapToGrid w:val="0"/>
        <w:spacing w:beforeLines="50" w:after="50"/>
        <w:rPr>
          <w:rFonts w:ascii="宋体" w:hAnsi="宋体"/>
          <w:bCs/>
          <w:color w:val="auto"/>
          <w:sz w:val="32"/>
          <w:szCs w:val="20"/>
          <w:highlight w:val="none"/>
        </w:rPr>
      </w:pPr>
    </w:p>
    <w:p w14:paraId="1E74B4CF">
      <w:pPr>
        <w:snapToGrid w:val="0"/>
        <w:spacing w:beforeLines="50" w:after="50"/>
        <w:jc w:val="center"/>
        <w:rPr>
          <w:rFonts w:ascii="宋体" w:hAnsi="宋体"/>
          <w:color w:val="auto"/>
          <w:sz w:val="24"/>
          <w:szCs w:val="20"/>
          <w:highlight w:val="none"/>
        </w:rPr>
      </w:pPr>
      <w:r>
        <w:rPr>
          <w:rFonts w:hint="eastAsia" w:ascii="宋体" w:hAnsi="宋体"/>
          <w:color w:val="auto"/>
          <w:sz w:val="44"/>
          <w:szCs w:val="44"/>
          <w:highlight w:val="none"/>
        </w:rPr>
        <w:t>电 子 响 应 文 件</w:t>
      </w:r>
    </w:p>
    <w:p w14:paraId="3974BBE4">
      <w:pPr>
        <w:snapToGrid w:val="0"/>
        <w:spacing w:beforeLines="50" w:after="50"/>
        <w:rPr>
          <w:rFonts w:ascii="宋体" w:hAnsi="宋体"/>
          <w:color w:val="auto"/>
          <w:sz w:val="24"/>
          <w:szCs w:val="20"/>
          <w:highlight w:val="none"/>
        </w:rPr>
      </w:pPr>
    </w:p>
    <w:p w14:paraId="7E71BF98">
      <w:pPr>
        <w:snapToGrid w:val="0"/>
        <w:spacing w:beforeLines="50" w:after="50"/>
        <w:rPr>
          <w:rFonts w:ascii="宋体" w:hAnsi="宋体"/>
          <w:color w:val="auto"/>
          <w:sz w:val="24"/>
          <w:szCs w:val="20"/>
          <w:highlight w:val="none"/>
        </w:rPr>
      </w:pPr>
    </w:p>
    <w:p w14:paraId="525F199A">
      <w:pPr>
        <w:snapToGrid w:val="0"/>
        <w:spacing w:beforeLines="50" w:after="50"/>
        <w:jc w:val="center"/>
        <w:rPr>
          <w:rFonts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商  务  技  术  文  件</w:t>
      </w:r>
    </w:p>
    <w:p w14:paraId="665489A6">
      <w:pPr>
        <w:snapToGrid w:val="0"/>
        <w:spacing w:beforeLines="50" w:after="50"/>
        <w:rPr>
          <w:rFonts w:ascii="宋体" w:hAnsi="宋体"/>
          <w:bCs/>
          <w:color w:val="auto"/>
          <w:sz w:val="24"/>
          <w:szCs w:val="20"/>
          <w:highlight w:val="none"/>
        </w:rPr>
      </w:pPr>
    </w:p>
    <w:p w14:paraId="655C8D19">
      <w:pPr>
        <w:snapToGrid w:val="0"/>
        <w:spacing w:beforeLines="50" w:after="50"/>
        <w:rPr>
          <w:rFonts w:ascii="宋体" w:hAnsi="宋体"/>
          <w:bCs/>
          <w:color w:val="auto"/>
          <w:sz w:val="24"/>
          <w:szCs w:val="20"/>
          <w:highlight w:val="none"/>
        </w:rPr>
      </w:pPr>
    </w:p>
    <w:p w14:paraId="067FFE3E">
      <w:pPr>
        <w:snapToGrid w:val="0"/>
        <w:spacing w:beforeLines="50" w:after="50"/>
        <w:rPr>
          <w:rFonts w:ascii="宋体" w:hAnsi="宋体"/>
          <w:bCs/>
          <w:color w:val="auto"/>
          <w:sz w:val="24"/>
          <w:szCs w:val="20"/>
          <w:highlight w:val="none"/>
        </w:rPr>
      </w:pPr>
    </w:p>
    <w:p w14:paraId="769A24F4">
      <w:pPr>
        <w:snapToGrid w:val="0"/>
        <w:spacing w:beforeLines="50" w:after="50"/>
        <w:rPr>
          <w:rFonts w:ascii="宋体" w:hAnsi="宋体"/>
          <w:bCs/>
          <w:color w:val="auto"/>
          <w:sz w:val="24"/>
          <w:szCs w:val="20"/>
          <w:highlight w:val="none"/>
        </w:rPr>
      </w:pPr>
    </w:p>
    <w:p w14:paraId="7EAEC30B">
      <w:pPr>
        <w:snapToGrid w:val="0"/>
        <w:spacing w:beforeLines="50" w:after="50"/>
        <w:rPr>
          <w:rFonts w:ascii="宋体" w:hAnsi="宋体"/>
          <w:bCs/>
          <w:color w:val="auto"/>
          <w:sz w:val="24"/>
          <w:szCs w:val="20"/>
          <w:highlight w:val="none"/>
        </w:rPr>
      </w:pPr>
    </w:p>
    <w:p w14:paraId="49814676">
      <w:pPr>
        <w:snapToGrid w:val="0"/>
        <w:spacing w:beforeLines="50" w:after="50"/>
        <w:ind w:firstLine="640" w:firstLineChars="200"/>
        <w:rPr>
          <w:rFonts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0FEF60F7">
      <w:pPr>
        <w:snapToGrid w:val="0"/>
        <w:spacing w:beforeLines="50" w:after="50"/>
        <w:ind w:firstLine="720" w:firstLineChars="225"/>
        <w:rPr>
          <w:rFonts w:ascii="宋体" w:hAnsi="宋体" w:cs="仿宋_GB2312"/>
          <w:bCs/>
          <w:color w:val="auto"/>
          <w:sz w:val="32"/>
          <w:szCs w:val="32"/>
          <w:highlight w:val="none"/>
        </w:rPr>
      </w:pPr>
    </w:p>
    <w:p w14:paraId="70A5B7F5">
      <w:pPr>
        <w:snapToGrid w:val="0"/>
        <w:spacing w:beforeLines="50" w:after="50"/>
        <w:ind w:firstLine="640" w:firstLineChars="200"/>
        <w:rPr>
          <w:rFonts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2E22630C">
      <w:pPr>
        <w:snapToGrid w:val="0"/>
        <w:spacing w:beforeLines="50" w:after="50"/>
        <w:ind w:firstLine="720" w:firstLineChars="225"/>
        <w:rPr>
          <w:rFonts w:ascii="宋体" w:hAnsi="宋体" w:cs="仿宋_GB2312"/>
          <w:bCs/>
          <w:color w:val="auto"/>
          <w:sz w:val="32"/>
          <w:szCs w:val="32"/>
          <w:highlight w:val="none"/>
        </w:rPr>
      </w:pPr>
    </w:p>
    <w:p w14:paraId="246C1522">
      <w:pPr>
        <w:snapToGrid w:val="0"/>
        <w:spacing w:beforeLines="50" w:after="50"/>
        <w:ind w:firstLine="640" w:firstLineChars="200"/>
        <w:rPr>
          <w:rFonts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689AC3EA">
      <w:pPr>
        <w:snapToGrid w:val="0"/>
        <w:spacing w:beforeLines="50" w:after="50"/>
        <w:ind w:firstLine="720" w:firstLineChars="225"/>
        <w:rPr>
          <w:rFonts w:ascii="宋体" w:hAnsi="宋体" w:cs="仿宋_GB2312"/>
          <w:bCs/>
          <w:color w:val="auto"/>
          <w:sz w:val="32"/>
          <w:szCs w:val="32"/>
          <w:highlight w:val="none"/>
        </w:rPr>
      </w:pPr>
    </w:p>
    <w:p w14:paraId="1664B845">
      <w:pPr>
        <w:pStyle w:val="13"/>
        <w:snapToGrid w:val="0"/>
        <w:spacing w:before="50" w:after="50"/>
        <w:ind w:firstLine="640" w:firstLineChars="200"/>
        <w:rPr>
          <w:rFonts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5BB126A6">
      <w:pPr>
        <w:pStyle w:val="13"/>
        <w:snapToGrid w:val="0"/>
        <w:spacing w:before="50" w:after="50"/>
        <w:ind w:firstLine="640" w:firstLineChars="200"/>
        <w:rPr>
          <w:rFonts w:ascii="宋体" w:hAnsi="宋体" w:cs="仿宋_GB2312"/>
          <w:bCs/>
          <w:color w:val="auto"/>
          <w:sz w:val="32"/>
          <w:szCs w:val="32"/>
          <w:highlight w:val="none"/>
        </w:rPr>
      </w:pPr>
    </w:p>
    <w:p w14:paraId="229C3542">
      <w:pPr>
        <w:pStyle w:val="13"/>
        <w:snapToGrid w:val="0"/>
        <w:spacing w:before="50" w:after="50"/>
        <w:ind w:firstLine="720" w:firstLineChars="225"/>
        <w:rPr>
          <w:rFonts w:ascii="宋体" w:hAnsi="宋体" w:cs="仿宋_GB2312"/>
          <w:bCs/>
          <w:color w:val="auto"/>
          <w:sz w:val="32"/>
          <w:szCs w:val="32"/>
          <w:highlight w:val="none"/>
        </w:rPr>
      </w:pPr>
    </w:p>
    <w:p w14:paraId="0125C886">
      <w:pPr>
        <w:pStyle w:val="13"/>
        <w:snapToGrid w:val="0"/>
        <w:spacing w:before="50" w:after="50"/>
        <w:ind w:firstLine="0"/>
        <w:rPr>
          <w:rFonts w:ascii="宋体" w:hAnsi="宋体" w:cs="仿宋_GB2312"/>
          <w:bCs/>
          <w:color w:val="auto"/>
          <w:sz w:val="32"/>
          <w:szCs w:val="32"/>
          <w:highlight w:val="none"/>
        </w:rPr>
      </w:pPr>
    </w:p>
    <w:p w14:paraId="602264F4">
      <w:pPr>
        <w:pStyle w:val="13"/>
        <w:snapToGrid w:val="0"/>
        <w:spacing w:before="50" w:after="50"/>
        <w:ind w:firstLine="1280" w:firstLineChars="400"/>
        <w:rPr>
          <w:rFonts w:ascii="宋体" w:hAnsi="宋体" w:cs="仿宋_GB2312"/>
          <w:bCs/>
          <w:color w:val="auto"/>
          <w:sz w:val="32"/>
          <w:szCs w:val="32"/>
          <w:highlight w:val="none"/>
        </w:rPr>
      </w:pPr>
    </w:p>
    <w:p w14:paraId="7FA639CC">
      <w:pPr>
        <w:snapToGrid w:val="0"/>
        <w:spacing w:beforeLines="50" w:after="50"/>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6AD5A36E">
      <w:pPr>
        <w:snapToGrid w:val="0"/>
        <w:spacing w:beforeLines="50" w:after="50" w:line="360" w:lineRule="auto"/>
        <w:ind w:right="480" w:firstLine="240" w:firstLineChars="100"/>
        <w:jc w:val="left"/>
        <w:rPr>
          <w:rFonts w:ascii="宋体" w:hAnsi="宋体"/>
          <w:b/>
          <w:bCs/>
          <w:color w:val="auto"/>
          <w:sz w:val="24"/>
          <w:highlight w:val="none"/>
        </w:rPr>
      </w:pPr>
      <w:r>
        <w:rPr>
          <w:rFonts w:ascii="宋体" w:hAnsi="宋体"/>
          <w:color w:val="auto"/>
          <w:sz w:val="24"/>
          <w:highlight w:val="none"/>
        </w:rPr>
        <w:br w:type="page"/>
      </w:r>
      <w:r>
        <w:rPr>
          <w:rFonts w:hint="eastAsia" w:ascii="宋体" w:hAnsi="宋体"/>
          <w:b/>
          <w:bCs/>
          <w:color w:val="auto"/>
          <w:sz w:val="32"/>
          <w:szCs w:val="32"/>
          <w:highlight w:val="none"/>
        </w:rPr>
        <w:t>2.商务技术文件目录</w:t>
      </w:r>
    </w:p>
    <w:p w14:paraId="647113B5">
      <w:pPr>
        <w:snapToGrid w:val="0"/>
        <w:spacing w:beforeLines="50" w:after="50" w:line="360" w:lineRule="auto"/>
        <w:ind w:firstLine="640" w:firstLineChars="200"/>
        <w:rPr>
          <w:rFonts w:ascii="宋体" w:hAnsi="宋体"/>
          <w:color w:val="auto"/>
          <w:sz w:val="32"/>
          <w:szCs w:val="32"/>
          <w:highlight w:val="none"/>
        </w:rPr>
      </w:pPr>
      <w:r>
        <w:rPr>
          <w:rFonts w:hint="eastAsia" w:ascii="宋体" w:hAnsi="宋体"/>
          <w:color w:val="auto"/>
          <w:sz w:val="32"/>
          <w:szCs w:val="32"/>
          <w:highlight w:val="none"/>
        </w:rPr>
        <w:t>根据磋商文件规定及供应商提供的材料自行编写目录（部分格式后附）。</w:t>
      </w:r>
    </w:p>
    <w:p w14:paraId="716DC826">
      <w:pPr>
        <w:spacing w:line="400" w:lineRule="exact"/>
        <w:rPr>
          <w:rFonts w:ascii="仿宋_GB2312" w:hAnsi="仿宋_GB2312" w:eastAsia="仿宋_GB2312" w:cs="仿宋_GB2312"/>
          <w:color w:val="auto"/>
          <w:sz w:val="32"/>
          <w:szCs w:val="32"/>
          <w:highlight w:val="none"/>
        </w:rPr>
      </w:pPr>
    </w:p>
    <w:p w14:paraId="1958544F">
      <w:pPr>
        <w:spacing w:line="520" w:lineRule="exact"/>
        <w:jc w:val="center"/>
        <w:rPr>
          <w:rFonts w:ascii="仿宋_GB2312" w:hAnsi="仿宋_GB2312" w:eastAsia="仿宋_GB2312" w:cs="仿宋_GB2312"/>
          <w:color w:val="auto"/>
          <w:sz w:val="32"/>
          <w:szCs w:val="32"/>
          <w:highlight w:val="none"/>
        </w:rPr>
      </w:pPr>
      <w:r>
        <w:rPr>
          <w:rFonts w:hint="eastAsia" w:ascii="方正小标宋简体" w:hAnsi="方正小标宋简体" w:eastAsia="方正小标宋简体" w:cs="方正小标宋简体"/>
          <w:color w:val="auto"/>
          <w:sz w:val="44"/>
          <w:szCs w:val="44"/>
          <w:highlight w:val="none"/>
        </w:rPr>
        <w:br w:type="page"/>
      </w:r>
      <w:r>
        <w:rPr>
          <w:rFonts w:hint="eastAsia" w:ascii="方正小标宋简体" w:hAnsi="方正小标宋简体" w:eastAsia="方正小标宋简体" w:cs="方正小标宋简体"/>
          <w:color w:val="auto"/>
          <w:sz w:val="44"/>
          <w:szCs w:val="44"/>
          <w:highlight w:val="none"/>
        </w:rPr>
        <w:t>无串通竞标行为的承诺函</w:t>
      </w:r>
    </w:p>
    <w:p w14:paraId="59ECB9CB">
      <w:pPr>
        <w:spacing w:line="360" w:lineRule="auto"/>
        <w:ind w:firstLine="640" w:firstLineChars="200"/>
        <w:contextualSpacing/>
        <w:rPr>
          <w:rFonts w:ascii="仿宋_GB2312" w:hAnsi="仿宋_GB2312" w:eastAsia="仿宋_GB2312" w:cs="仿宋_GB2312"/>
          <w:color w:val="auto"/>
          <w:sz w:val="32"/>
          <w:szCs w:val="32"/>
          <w:highlight w:val="none"/>
        </w:rPr>
      </w:pPr>
    </w:p>
    <w:p w14:paraId="5AF14AF4">
      <w:pPr>
        <w:spacing w:line="360" w:lineRule="auto"/>
        <w:ind w:firstLine="482" w:firstLineChars="200"/>
        <w:contextualSpacing/>
        <w:rPr>
          <w:rFonts w:ascii="宋体" w:hAnsi="宋体" w:cs="仿宋_GB2312"/>
          <w:b/>
          <w:bCs/>
          <w:color w:val="auto"/>
          <w:sz w:val="24"/>
          <w:highlight w:val="none"/>
        </w:rPr>
      </w:pPr>
      <w:r>
        <w:rPr>
          <w:rFonts w:hint="eastAsia" w:ascii="宋体" w:hAnsi="宋体" w:cs="仿宋_GB2312"/>
          <w:b/>
          <w:bCs/>
          <w:color w:val="auto"/>
          <w:sz w:val="24"/>
          <w:highlight w:val="none"/>
        </w:rPr>
        <w:t>一、我方承诺无下列相互串通竞标的情形：</w:t>
      </w:r>
    </w:p>
    <w:p w14:paraId="04363CDF">
      <w:pPr>
        <w:spacing w:line="360" w:lineRule="auto"/>
        <w:ind w:firstLine="480" w:firstLineChars="200"/>
        <w:contextualSpacing/>
        <w:rPr>
          <w:rFonts w:ascii="宋体" w:hAnsi="宋体" w:cs="仿宋_GB2312"/>
          <w:color w:val="auto"/>
          <w:sz w:val="24"/>
          <w:highlight w:val="none"/>
        </w:rPr>
      </w:pPr>
      <w:r>
        <w:rPr>
          <w:rFonts w:hint="eastAsia" w:ascii="宋体" w:hAnsi="宋体" w:cs="仿宋_GB2312"/>
          <w:color w:val="auto"/>
          <w:sz w:val="24"/>
          <w:highlight w:val="none"/>
        </w:rPr>
        <w:t xml:space="preserve">1.不同供应商的响应文件由同一单位或者个人编制； </w:t>
      </w:r>
    </w:p>
    <w:p w14:paraId="655FA658">
      <w:pPr>
        <w:spacing w:line="360" w:lineRule="auto"/>
        <w:ind w:firstLine="480" w:firstLineChars="200"/>
        <w:contextualSpacing/>
        <w:rPr>
          <w:rFonts w:ascii="宋体" w:hAnsi="宋体" w:cs="仿宋_GB2312"/>
          <w:color w:val="auto"/>
          <w:sz w:val="24"/>
          <w:highlight w:val="none"/>
        </w:rPr>
      </w:pPr>
      <w:r>
        <w:rPr>
          <w:rFonts w:hint="eastAsia" w:ascii="宋体" w:hAnsi="宋体" w:cs="仿宋_GB2312"/>
          <w:color w:val="auto"/>
          <w:sz w:val="24"/>
          <w:highlight w:val="none"/>
        </w:rPr>
        <w:t>2.不同供应商委托同一单位或者个人办理竞标事宜；</w:t>
      </w:r>
    </w:p>
    <w:p w14:paraId="152FEF8E">
      <w:pPr>
        <w:spacing w:line="360" w:lineRule="auto"/>
        <w:ind w:firstLine="480" w:firstLineChars="200"/>
        <w:contextualSpacing/>
        <w:rPr>
          <w:rFonts w:ascii="宋体" w:hAnsi="宋体" w:cs="仿宋_GB2312"/>
          <w:color w:val="auto"/>
          <w:sz w:val="24"/>
          <w:highlight w:val="none"/>
        </w:rPr>
      </w:pPr>
      <w:r>
        <w:rPr>
          <w:rFonts w:hint="eastAsia" w:ascii="宋体" w:hAnsi="宋体" w:cs="仿宋_GB2312"/>
          <w:color w:val="auto"/>
          <w:sz w:val="24"/>
          <w:highlight w:val="none"/>
        </w:rPr>
        <w:t>3.不同供应商的响应文件载明的项目管理员为同一个人；</w:t>
      </w:r>
    </w:p>
    <w:p w14:paraId="175C2DFB">
      <w:pPr>
        <w:spacing w:line="360" w:lineRule="auto"/>
        <w:ind w:firstLine="480" w:firstLineChars="200"/>
        <w:contextualSpacing/>
        <w:rPr>
          <w:rFonts w:ascii="宋体" w:hAnsi="宋体" w:cs="仿宋_GB2312"/>
          <w:color w:val="auto"/>
          <w:sz w:val="24"/>
          <w:highlight w:val="none"/>
        </w:rPr>
      </w:pPr>
      <w:r>
        <w:rPr>
          <w:rFonts w:hint="eastAsia" w:ascii="宋体" w:hAnsi="宋体" w:cs="仿宋_GB2312"/>
          <w:color w:val="auto"/>
          <w:sz w:val="24"/>
          <w:highlight w:val="none"/>
        </w:rPr>
        <w:t>4.不</w:t>
      </w:r>
      <w:r>
        <w:rPr>
          <w:rFonts w:hint="eastAsia" w:ascii="宋体" w:hAnsi="宋体" w:cs="仿宋_GB2312"/>
          <w:color w:val="auto"/>
          <w:spacing w:val="-6"/>
          <w:sz w:val="24"/>
          <w:highlight w:val="none"/>
        </w:rPr>
        <w:t>同供应商的响应文件异常一致或者竞标报价呈规律性差异；</w:t>
      </w:r>
    </w:p>
    <w:p w14:paraId="2C08904A">
      <w:pPr>
        <w:spacing w:line="360" w:lineRule="auto"/>
        <w:ind w:firstLine="480" w:firstLineChars="200"/>
        <w:contextualSpacing/>
        <w:rPr>
          <w:rFonts w:ascii="宋体" w:hAnsi="宋体" w:cs="仿宋_GB2312"/>
          <w:color w:val="auto"/>
          <w:sz w:val="24"/>
          <w:highlight w:val="none"/>
        </w:rPr>
      </w:pPr>
      <w:r>
        <w:rPr>
          <w:rFonts w:hint="eastAsia" w:ascii="宋体" w:hAnsi="宋体" w:cs="仿宋_GB2312"/>
          <w:color w:val="auto"/>
          <w:sz w:val="24"/>
          <w:highlight w:val="none"/>
        </w:rPr>
        <w:t>5.不同供应商的响应文件相互混装；</w:t>
      </w:r>
    </w:p>
    <w:p w14:paraId="29F1CA1E">
      <w:pPr>
        <w:spacing w:line="360" w:lineRule="auto"/>
        <w:ind w:firstLine="480" w:firstLineChars="200"/>
        <w:contextualSpacing/>
        <w:rPr>
          <w:rFonts w:ascii="宋体" w:hAnsi="宋体" w:cs="仿宋_GB2312"/>
          <w:color w:val="auto"/>
          <w:sz w:val="24"/>
          <w:highlight w:val="none"/>
        </w:rPr>
      </w:pPr>
      <w:r>
        <w:rPr>
          <w:rFonts w:hint="eastAsia" w:ascii="宋体" w:hAnsi="宋体" w:cs="仿宋_GB2312"/>
          <w:color w:val="auto"/>
          <w:sz w:val="24"/>
          <w:highlight w:val="none"/>
        </w:rPr>
        <w:t>6.不同供应商的磋商保证金从同一单位或者个人账户转出。</w:t>
      </w:r>
    </w:p>
    <w:p w14:paraId="633DEFBF">
      <w:pPr>
        <w:spacing w:line="360" w:lineRule="auto"/>
        <w:ind w:firstLine="482" w:firstLineChars="200"/>
        <w:contextualSpacing/>
        <w:rPr>
          <w:rFonts w:ascii="宋体" w:hAnsi="宋体" w:cs="仿宋_GB2312"/>
          <w:b/>
          <w:bCs/>
          <w:color w:val="auto"/>
          <w:sz w:val="24"/>
          <w:highlight w:val="none"/>
        </w:rPr>
      </w:pPr>
      <w:r>
        <w:rPr>
          <w:rFonts w:hint="eastAsia" w:ascii="宋体" w:hAnsi="宋体" w:cs="仿宋_GB2312"/>
          <w:b/>
          <w:bCs/>
          <w:color w:val="auto"/>
          <w:sz w:val="24"/>
          <w:highlight w:val="none"/>
        </w:rPr>
        <w:t>二、我方承诺无下列恶意串通的情形：</w:t>
      </w:r>
    </w:p>
    <w:p w14:paraId="0EA19799">
      <w:pPr>
        <w:spacing w:line="360" w:lineRule="auto"/>
        <w:ind w:firstLine="480" w:firstLineChars="200"/>
        <w:contextualSpacing/>
        <w:rPr>
          <w:rFonts w:ascii="宋体" w:hAnsi="宋体" w:cs="仿宋_GB2312"/>
          <w:color w:val="auto"/>
          <w:sz w:val="24"/>
          <w:highlight w:val="none"/>
        </w:rPr>
      </w:pPr>
      <w:r>
        <w:rPr>
          <w:rFonts w:hint="eastAsia" w:ascii="宋体" w:hAnsi="宋体" w:cs="仿宋_GB2312"/>
          <w:color w:val="auto"/>
          <w:sz w:val="24"/>
          <w:highlight w:val="none"/>
        </w:rPr>
        <w:t>1.供应商直接或者间接从采购人或者采购代理机构处获得其他供应商的相关信息并修改其响应文件；</w:t>
      </w:r>
    </w:p>
    <w:p w14:paraId="614FD1EA">
      <w:pPr>
        <w:spacing w:line="360" w:lineRule="auto"/>
        <w:ind w:firstLine="480" w:firstLineChars="200"/>
        <w:contextualSpacing/>
        <w:rPr>
          <w:rFonts w:ascii="宋体" w:hAnsi="宋体" w:cs="仿宋_GB2312"/>
          <w:color w:val="auto"/>
          <w:sz w:val="24"/>
          <w:highlight w:val="none"/>
        </w:rPr>
      </w:pPr>
      <w:r>
        <w:rPr>
          <w:rFonts w:hint="eastAsia" w:ascii="宋体" w:hAnsi="宋体" w:cs="仿宋_GB2312"/>
          <w:color w:val="auto"/>
          <w:sz w:val="24"/>
          <w:highlight w:val="none"/>
        </w:rPr>
        <w:t>2.供应商按照采购人或者采购代理机构的授意撤换、修改响应文件；</w:t>
      </w:r>
    </w:p>
    <w:p w14:paraId="440FDA99">
      <w:pPr>
        <w:spacing w:line="360" w:lineRule="auto"/>
        <w:ind w:firstLine="480" w:firstLineChars="200"/>
        <w:contextualSpacing/>
        <w:rPr>
          <w:rFonts w:ascii="宋体" w:hAnsi="宋体" w:cs="仿宋_GB2312"/>
          <w:color w:val="auto"/>
          <w:sz w:val="24"/>
          <w:highlight w:val="none"/>
        </w:rPr>
      </w:pPr>
      <w:r>
        <w:rPr>
          <w:rFonts w:hint="eastAsia" w:ascii="宋体" w:hAnsi="宋体" w:cs="仿宋_GB2312"/>
          <w:color w:val="auto"/>
          <w:sz w:val="24"/>
          <w:highlight w:val="none"/>
        </w:rPr>
        <w:t>3.供</w:t>
      </w:r>
      <w:r>
        <w:rPr>
          <w:rFonts w:hint="eastAsia" w:ascii="宋体" w:hAnsi="宋体" w:cs="仿宋_GB2312"/>
          <w:color w:val="auto"/>
          <w:spacing w:val="-6"/>
          <w:sz w:val="24"/>
          <w:highlight w:val="none"/>
        </w:rPr>
        <w:t>应商之间协商报价、技术方案等响应文件的实质性内容；</w:t>
      </w:r>
    </w:p>
    <w:p w14:paraId="1D57B8A1">
      <w:pPr>
        <w:spacing w:line="360" w:lineRule="auto"/>
        <w:ind w:firstLine="480" w:firstLineChars="200"/>
        <w:contextualSpacing/>
        <w:rPr>
          <w:rFonts w:ascii="宋体" w:hAnsi="宋体" w:cs="仿宋_GB2312"/>
          <w:color w:val="auto"/>
          <w:sz w:val="24"/>
          <w:highlight w:val="none"/>
        </w:rPr>
      </w:pPr>
      <w:r>
        <w:rPr>
          <w:rFonts w:hint="eastAsia" w:ascii="宋体" w:hAnsi="宋体" w:cs="仿宋_GB2312"/>
          <w:color w:val="auto"/>
          <w:sz w:val="24"/>
          <w:highlight w:val="none"/>
        </w:rPr>
        <w:t>4.属于同一集团、协会、商会等组织成员的供应商按照该组织要求协同参加政府采购活动；</w:t>
      </w:r>
    </w:p>
    <w:p w14:paraId="382CBFC6">
      <w:pPr>
        <w:spacing w:line="360" w:lineRule="auto"/>
        <w:ind w:firstLine="480" w:firstLineChars="200"/>
        <w:contextualSpacing/>
        <w:rPr>
          <w:rFonts w:ascii="宋体" w:hAnsi="宋体" w:cs="仿宋_GB2312"/>
          <w:color w:val="auto"/>
          <w:sz w:val="24"/>
          <w:highlight w:val="none"/>
        </w:rPr>
      </w:pPr>
      <w:r>
        <w:rPr>
          <w:rFonts w:hint="eastAsia" w:ascii="宋体" w:hAnsi="宋体" w:cs="仿宋_GB2312"/>
          <w:color w:val="auto"/>
          <w:sz w:val="24"/>
          <w:highlight w:val="none"/>
        </w:rPr>
        <w:t>5.供应商之间事先约定一致抬高或者压低竞标报价，或者在竞争性磋商项目中事先约定轮流以高价位或者低价位成交，或者事先约定由某一特定供应商成交，然后再参加竞标；</w:t>
      </w:r>
    </w:p>
    <w:p w14:paraId="75445F9C">
      <w:pPr>
        <w:spacing w:line="360" w:lineRule="auto"/>
        <w:ind w:firstLine="480" w:firstLineChars="200"/>
        <w:contextualSpacing/>
        <w:rPr>
          <w:rFonts w:ascii="宋体" w:hAnsi="宋体" w:cs="仿宋_GB2312"/>
          <w:color w:val="auto"/>
          <w:sz w:val="24"/>
          <w:highlight w:val="none"/>
        </w:rPr>
      </w:pPr>
      <w:r>
        <w:rPr>
          <w:rFonts w:hint="eastAsia" w:ascii="宋体" w:hAnsi="宋体" w:cs="仿宋_GB2312"/>
          <w:color w:val="auto"/>
          <w:sz w:val="24"/>
          <w:highlight w:val="none"/>
        </w:rPr>
        <w:t>6.供应商之间商定部分供应商放弃参加政府采购活动或者放弃成交；</w:t>
      </w:r>
    </w:p>
    <w:p w14:paraId="641FFF71">
      <w:pPr>
        <w:spacing w:line="360" w:lineRule="auto"/>
        <w:ind w:firstLine="480" w:firstLineChars="200"/>
        <w:contextualSpacing/>
        <w:rPr>
          <w:rFonts w:ascii="宋体" w:hAnsi="宋体" w:cs="仿宋_GB2312"/>
          <w:color w:val="auto"/>
          <w:sz w:val="24"/>
          <w:highlight w:val="none"/>
        </w:rPr>
      </w:pPr>
      <w:r>
        <w:rPr>
          <w:rFonts w:hint="eastAsia" w:ascii="宋体" w:hAnsi="宋体" w:cs="仿宋_GB2312"/>
          <w:color w:val="auto"/>
          <w:sz w:val="24"/>
          <w:highlight w:val="none"/>
        </w:rPr>
        <w:t>7.供应商与采购人或者采购代理机构之间、供应商相互之间，为</w:t>
      </w:r>
      <w:r>
        <w:rPr>
          <w:rFonts w:hint="eastAsia" w:ascii="宋体" w:hAnsi="宋体" w:cs="仿宋_GB2312"/>
          <w:color w:val="auto"/>
          <w:spacing w:val="-6"/>
          <w:sz w:val="24"/>
          <w:highlight w:val="none"/>
        </w:rPr>
        <w:t>谋求特定供应商成交或者排斥其他供应商的其他串通行为。</w:t>
      </w:r>
    </w:p>
    <w:p w14:paraId="07255D9A">
      <w:pPr>
        <w:spacing w:line="360" w:lineRule="auto"/>
        <w:ind w:firstLine="480" w:firstLineChars="200"/>
        <w:contextualSpacing/>
        <w:rPr>
          <w:rFonts w:ascii="宋体" w:hAnsi="宋体" w:cs="仿宋_GB2312"/>
          <w:color w:val="auto"/>
          <w:sz w:val="24"/>
          <w:highlight w:val="none"/>
        </w:rPr>
      </w:pPr>
    </w:p>
    <w:p w14:paraId="0CBDE91E">
      <w:pPr>
        <w:spacing w:line="360" w:lineRule="auto"/>
        <w:ind w:firstLine="482" w:firstLineChars="200"/>
        <w:contextualSpacing/>
        <w:rPr>
          <w:rFonts w:ascii="宋体" w:hAnsi="宋体" w:cs="仿宋_GB2312"/>
          <w:b/>
          <w:bCs/>
          <w:color w:val="auto"/>
          <w:sz w:val="24"/>
          <w:highlight w:val="none"/>
        </w:rPr>
      </w:pPr>
      <w:r>
        <w:rPr>
          <w:rFonts w:hint="eastAsia" w:ascii="宋体" w:hAnsi="宋体" w:cs="仿宋_GB2312"/>
          <w:b/>
          <w:bCs/>
          <w:color w:val="auto"/>
          <w:sz w:val="24"/>
          <w:highlight w:val="none"/>
        </w:rPr>
        <w:t>以上情形一经核查属实，我方愿意承担一切后果，并不再寻求任何旨在减轻或者免除法律责任的辩解。</w:t>
      </w:r>
    </w:p>
    <w:p w14:paraId="79126CA6">
      <w:pPr>
        <w:spacing w:line="360" w:lineRule="auto"/>
        <w:contextualSpacing/>
        <w:rPr>
          <w:rFonts w:ascii="宋体" w:hAnsi="宋体" w:cs="仿宋_GB2312"/>
          <w:color w:val="auto"/>
          <w:sz w:val="24"/>
          <w:highlight w:val="none"/>
        </w:rPr>
      </w:pPr>
    </w:p>
    <w:p w14:paraId="54245E23">
      <w:pPr>
        <w:spacing w:line="360" w:lineRule="auto"/>
        <w:ind w:firstLine="3600" w:firstLineChars="1500"/>
        <w:contextualSpacing/>
        <w:rPr>
          <w:rFonts w:ascii="宋体" w:hAnsi="宋体" w:cs="仿宋_GB2312"/>
          <w:color w:val="auto"/>
          <w:sz w:val="24"/>
          <w:highlight w:val="none"/>
        </w:rPr>
      </w:pPr>
      <w:r>
        <w:rPr>
          <w:rFonts w:hint="eastAsia" w:ascii="宋体" w:hAnsi="宋体" w:cs="仿宋_GB2312"/>
          <w:color w:val="auto"/>
          <w:sz w:val="24"/>
          <w:highlight w:val="none"/>
        </w:rPr>
        <w:t>供应商（电子签章）：</w:t>
      </w:r>
    </w:p>
    <w:p w14:paraId="3E5A27F5">
      <w:pPr>
        <w:spacing w:line="360" w:lineRule="auto"/>
        <w:ind w:firstLine="480" w:firstLineChars="200"/>
        <w:contextualSpacing/>
        <w:jc w:val="center"/>
        <w:rPr>
          <w:rFonts w:ascii="仿宋_GB2312" w:hAnsi="仿宋_GB2312" w:eastAsia="仿宋_GB2312" w:cs="仿宋_GB2312"/>
          <w:color w:val="auto"/>
          <w:sz w:val="32"/>
          <w:szCs w:val="32"/>
          <w:highlight w:val="none"/>
        </w:rPr>
      </w:pPr>
      <w:r>
        <w:rPr>
          <w:rFonts w:hint="eastAsia" w:ascii="宋体" w:hAnsi="宋体" w:cs="仿宋_GB2312"/>
          <w:color w:val="auto"/>
          <w:sz w:val="24"/>
          <w:highlight w:val="none"/>
        </w:rPr>
        <w:t xml:space="preserve">                               年   月   日</w:t>
      </w:r>
    </w:p>
    <w:p w14:paraId="3B189E9A">
      <w:pPr>
        <w:spacing w:line="520" w:lineRule="exact"/>
        <w:jc w:val="center"/>
        <w:rPr>
          <w:rFonts w:ascii="仿宋_GB2312" w:hAnsi="仿宋_GB2312" w:eastAsia="仿宋_GB2312" w:cs="仿宋_GB2312"/>
          <w:color w:val="auto"/>
          <w:sz w:val="32"/>
          <w:szCs w:val="32"/>
          <w:highlight w:val="none"/>
        </w:rPr>
      </w:pPr>
      <w:r>
        <w:rPr>
          <w:rFonts w:hint="eastAsia" w:ascii="方正小标宋简体" w:hAnsi="方正小标宋简体" w:eastAsia="方正小标宋简体" w:cs="方正小标宋简体"/>
          <w:bCs/>
          <w:color w:val="auto"/>
          <w:sz w:val="44"/>
          <w:szCs w:val="44"/>
          <w:highlight w:val="none"/>
        </w:rPr>
        <w:br w:type="page"/>
      </w:r>
      <w:r>
        <w:rPr>
          <w:rFonts w:hint="eastAsia" w:ascii="方正小标宋简体" w:hAnsi="方正小标宋简体" w:eastAsia="方正小标宋简体" w:cs="方正小标宋简体"/>
          <w:bCs/>
          <w:color w:val="auto"/>
          <w:sz w:val="44"/>
          <w:szCs w:val="44"/>
          <w:highlight w:val="none"/>
        </w:rPr>
        <w:t>法定代表人证明书</w:t>
      </w:r>
    </w:p>
    <w:p w14:paraId="1BDB879E">
      <w:pPr>
        <w:spacing w:line="360" w:lineRule="auto"/>
        <w:ind w:left="540"/>
        <w:contextualSpacing/>
        <w:rPr>
          <w:rFonts w:ascii="仿宋_GB2312" w:hAnsi="仿宋_GB2312" w:eastAsia="仿宋_GB2312" w:cs="仿宋_GB2312"/>
          <w:color w:val="auto"/>
          <w:sz w:val="32"/>
          <w:szCs w:val="32"/>
          <w:highlight w:val="none"/>
        </w:rPr>
      </w:pPr>
    </w:p>
    <w:p w14:paraId="514AAE8C">
      <w:pPr>
        <w:spacing w:line="360" w:lineRule="auto"/>
        <w:ind w:left="540"/>
        <w:contextualSpacing/>
        <w:rPr>
          <w:rFonts w:ascii="宋体" w:hAnsi="宋体" w:cs="仿宋_GB2312"/>
          <w:color w:val="auto"/>
          <w:sz w:val="24"/>
          <w:highlight w:val="none"/>
        </w:rPr>
      </w:pPr>
      <w:r>
        <w:rPr>
          <w:rFonts w:hint="eastAsia" w:ascii="宋体" w:hAnsi="宋体" w:cs="仿宋_GB2312"/>
          <w:color w:val="auto"/>
          <w:sz w:val="24"/>
          <w:highlight w:val="none"/>
        </w:rPr>
        <w:t>供应商名称：</w:t>
      </w:r>
    </w:p>
    <w:p w14:paraId="585EC6C5">
      <w:pPr>
        <w:spacing w:line="360" w:lineRule="auto"/>
        <w:ind w:left="540"/>
        <w:contextualSpacing/>
        <w:rPr>
          <w:rFonts w:ascii="宋体" w:hAnsi="宋体" w:cs="仿宋_GB2312"/>
          <w:color w:val="auto"/>
          <w:sz w:val="24"/>
          <w:highlight w:val="none"/>
        </w:rPr>
      </w:pPr>
      <w:r>
        <w:rPr>
          <w:rFonts w:hint="eastAsia" w:ascii="宋体" w:hAnsi="宋体" w:cs="仿宋_GB2312"/>
          <w:color w:val="auto"/>
          <w:sz w:val="24"/>
          <w:highlight w:val="none"/>
        </w:rPr>
        <w:t>地    址：</w:t>
      </w:r>
    </w:p>
    <w:p w14:paraId="521C1DB1">
      <w:pPr>
        <w:spacing w:line="360" w:lineRule="auto"/>
        <w:ind w:left="540"/>
        <w:contextualSpacing/>
        <w:rPr>
          <w:rFonts w:ascii="宋体" w:hAnsi="宋体" w:cs="仿宋_GB2312"/>
          <w:color w:val="auto"/>
          <w:sz w:val="24"/>
          <w:highlight w:val="none"/>
        </w:rPr>
      </w:pPr>
      <w:r>
        <w:rPr>
          <w:rFonts w:hint="eastAsia" w:ascii="宋体" w:hAnsi="宋体" w:cs="仿宋_GB2312"/>
          <w:color w:val="auto"/>
          <w:sz w:val="24"/>
          <w:highlight w:val="none"/>
        </w:rPr>
        <w:t>姓    名：性     别：</w:t>
      </w:r>
    </w:p>
    <w:p w14:paraId="418088BA">
      <w:pPr>
        <w:spacing w:line="360" w:lineRule="auto"/>
        <w:ind w:left="540"/>
        <w:contextualSpacing/>
        <w:rPr>
          <w:rFonts w:ascii="宋体" w:hAnsi="宋体" w:cs="仿宋_GB2312"/>
          <w:color w:val="auto"/>
          <w:sz w:val="24"/>
          <w:highlight w:val="none"/>
          <w:u w:val="single"/>
        </w:rPr>
      </w:pPr>
      <w:r>
        <w:rPr>
          <w:rFonts w:hint="eastAsia" w:ascii="宋体" w:hAnsi="宋体" w:cs="仿宋_GB2312"/>
          <w:color w:val="auto"/>
          <w:sz w:val="24"/>
          <w:highlight w:val="none"/>
        </w:rPr>
        <w:t>年    龄：职     务：</w:t>
      </w:r>
    </w:p>
    <w:p w14:paraId="11CC6D72">
      <w:pPr>
        <w:spacing w:line="360" w:lineRule="auto"/>
        <w:ind w:left="540"/>
        <w:contextualSpacing/>
        <w:rPr>
          <w:rFonts w:ascii="宋体" w:hAnsi="宋体" w:cs="仿宋_GB2312"/>
          <w:color w:val="auto"/>
          <w:sz w:val="24"/>
          <w:highlight w:val="none"/>
        </w:rPr>
      </w:pPr>
      <w:r>
        <w:rPr>
          <w:rFonts w:hint="eastAsia" w:ascii="宋体" w:hAnsi="宋体" w:cs="仿宋_GB2312"/>
          <w:color w:val="auto"/>
          <w:sz w:val="24"/>
          <w:highlight w:val="none"/>
        </w:rPr>
        <w:t>身份证号码：</w:t>
      </w:r>
    </w:p>
    <w:p w14:paraId="2E91E847">
      <w:pPr>
        <w:spacing w:line="360" w:lineRule="auto"/>
        <w:ind w:firstLine="480" w:firstLineChars="200"/>
        <w:contextualSpacing/>
        <w:rPr>
          <w:rFonts w:ascii="宋体" w:hAnsi="宋体" w:cs="仿宋_GB2312"/>
          <w:color w:val="auto"/>
          <w:sz w:val="24"/>
          <w:highlight w:val="none"/>
        </w:rPr>
      </w:pPr>
      <w:r>
        <w:rPr>
          <w:rFonts w:hint="eastAsia" w:ascii="宋体" w:hAnsi="宋体" w:cs="仿宋_GB2312"/>
          <w:color w:val="auto"/>
          <w:sz w:val="24"/>
          <w:highlight w:val="none"/>
        </w:rPr>
        <w:t>系</w:t>
      </w:r>
      <w:r>
        <w:rPr>
          <w:rFonts w:hint="eastAsia" w:ascii="宋体" w:hAnsi="宋体" w:cs="仿宋_GB2312"/>
          <w:color w:val="auto"/>
          <w:sz w:val="24"/>
          <w:highlight w:val="none"/>
          <w:u w:val="single"/>
        </w:rPr>
        <w:t>（供应商名称）</w:t>
      </w:r>
      <w:r>
        <w:rPr>
          <w:rFonts w:hint="eastAsia" w:ascii="宋体" w:hAnsi="宋体" w:cs="仿宋_GB2312"/>
          <w:color w:val="auto"/>
          <w:sz w:val="24"/>
          <w:highlight w:val="none"/>
        </w:rPr>
        <w:t>的法定代表人。</w:t>
      </w:r>
    </w:p>
    <w:p w14:paraId="64F14CE2">
      <w:pPr>
        <w:spacing w:line="360" w:lineRule="auto"/>
        <w:ind w:left="540"/>
        <w:contextualSpacing/>
        <w:rPr>
          <w:rFonts w:ascii="宋体" w:hAnsi="宋体" w:cs="仿宋_GB2312"/>
          <w:color w:val="auto"/>
          <w:sz w:val="24"/>
          <w:highlight w:val="none"/>
        </w:rPr>
      </w:pPr>
      <w:r>
        <w:rPr>
          <w:rFonts w:hint="eastAsia" w:ascii="宋体" w:hAnsi="宋体" w:cs="仿宋_GB2312"/>
          <w:color w:val="auto"/>
          <w:sz w:val="24"/>
          <w:highlight w:val="none"/>
        </w:rPr>
        <w:t>特此证明。</w:t>
      </w:r>
    </w:p>
    <w:p w14:paraId="70E72C7D">
      <w:pPr>
        <w:spacing w:line="360" w:lineRule="auto"/>
        <w:ind w:left="540"/>
        <w:contextualSpacing/>
        <w:rPr>
          <w:rFonts w:ascii="宋体" w:hAnsi="宋体" w:cs="仿宋_GB2312"/>
          <w:color w:val="auto"/>
          <w:sz w:val="24"/>
          <w:highlight w:val="none"/>
        </w:rPr>
      </w:pPr>
    </w:p>
    <w:p w14:paraId="2DFE3D9F">
      <w:pPr>
        <w:spacing w:line="360" w:lineRule="auto"/>
        <w:ind w:left="540"/>
        <w:contextualSpacing/>
        <w:rPr>
          <w:rFonts w:ascii="宋体" w:hAnsi="宋体" w:cs="仿宋_GB2312"/>
          <w:color w:val="auto"/>
          <w:sz w:val="24"/>
          <w:highlight w:val="none"/>
        </w:rPr>
      </w:pPr>
    </w:p>
    <w:p w14:paraId="503C7856">
      <w:pPr>
        <w:spacing w:line="360" w:lineRule="auto"/>
        <w:ind w:left="540"/>
        <w:contextualSpacing/>
        <w:rPr>
          <w:rFonts w:ascii="宋体" w:hAnsi="宋体" w:cs="仿宋_GB2312"/>
          <w:color w:val="auto"/>
          <w:sz w:val="24"/>
          <w:highlight w:val="none"/>
        </w:rPr>
      </w:pPr>
    </w:p>
    <w:p w14:paraId="2D9E502E">
      <w:pPr>
        <w:spacing w:line="360" w:lineRule="auto"/>
        <w:ind w:left="540"/>
        <w:contextualSpacing/>
        <w:rPr>
          <w:rFonts w:ascii="宋体" w:hAnsi="宋体" w:cs="仿宋_GB2312"/>
          <w:color w:val="auto"/>
          <w:sz w:val="24"/>
          <w:highlight w:val="none"/>
        </w:rPr>
      </w:pPr>
      <w:r>
        <w:rPr>
          <w:rFonts w:hint="eastAsia" w:ascii="宋体" w:hAnsi="宋体" w:cs="仿宋_GB2312"/>
          <w:color w:val="auto"/>
          <w:sz w:val="24"/>
          <w:highlight w:val="none"/>
        </w:rPr>
        <w:t>附件：法定代表人有效身份证正反面扫描件</w:t>
      </w:r>
    </w:p>
    <w:p w14:paraId="6C80E5F8">
      <w:pPr>
        <w:spacing w:line="360" w:lineRule="auto"/>
        <w:ind w:left="540"/>
        <w:contextualSpacing/>
        <w:rPr>
          <w:rFonts w:ascii="宋体" w:hAnsi="宋体" w:cs="仿宋_GB2312"/>
          <w:color w:val="auto"/>
          <w:sz w:val="24"/>
          <w:highlight w:val="none"/>
        </w:rPr>
      </w:pPr>
    </w:p>
    <w:p w14:paraId="47173E51">
      <w:pPr>
        <w:spacing w:line="360" w:lineRule="auto"/>
        <w:ind w:left="540" w:firstLine="3000" w:firstLineChars="1250"/>
        <w:contextualSpacing/>
        <w:jc w:val="left"/>
        <w:rPr>
          <w:rFonts w:ascii="宋体" w:hAnsi="宋体" w:cs="仿宋_GB2312"/>
          <w:color w:val="auto"/>
          <w:sz w:val="24"/>
          <w:highlight w:val="none"/>
        </w:rPr>
      </w:pPr>
      <w:r>
        <w:rPr>
          <w:rFonts w:hint="eastAsia" w:ascii="宋体" w:hAnsi="宋体" w:cs="仿宋_GB2312"/>
          <w:color w:val="auto"/>
          <w:sz w:val="24"/>
          <w:highlight w:val="none"/>
        </w:rPr>
        <w:t>供应商（电子签章）：</w:t>
      </w:r>
    </w:p>
    <w:p w14:paraId="70361C24">
      <w:pPr>
        <w:spacing w:line="360" w:lineRule="auto"/>
        <w:ind w:firstLine="4080" w:firstLineChars="1700"/>
        <w:contextualSpacing/>
        <w:rPr>
          <w:rFonts w:ascii="宋体" w:hAnsi="宋体" w:cs="仿宋_GB2312"/>
          <w:color w:val="auto"/>
          <w:sz w:val="24"/>
          <w:highlight w:val="none"/>
        </w:rPr>
      </w:pPr>
      <w:r>
        <w:rPr>
          <w:rFonts w:hint="eastAsia" w:ascii="宋体" w:hAnsi="宋体" w:cs="仿宋_GB2312"/>
          <w:color w:val="auto"/>
          <w:sz w:val="24"/>
          <w:highlight w:val="none"/>
        </w:rPr>
        <w:t xml:space="preserve">    年  月  日</w:t>
      </w:r>
    </w:p>
    <w:p w14:paraId="074CF2C7">
      <w:pPr>
        <w:spacing w:line="360" w:lineRule="auto"/>
        <w:contextualSpacing/>
        <w:jc w:val="center"/>
        <w:rPr>
          <w:rFonts w:ascii="宋体" w:hAnsi="宋体" w:cs="仿宋_GB2312"/>
          <w:b/>
          <w:color w:val="auto"/>
          <w:sz w:val="24"/>
          <w:highlight w:val="none"/>
        </w:rPr>
      </w:pPr>
    </w:p>
    <w:p w14:paraId="3AB5647F">
      <w:pPr>
        <w:spacing w:line="360" w:lineRule="auto"/>
        <w:contextualSpacing/>
        <w:jc w:val="left"/>
        <w:rPr>
          <w:rFonts w:ascii="宋体" w:hAnsi="宋体" w:cs="仿宋_GB2312"/>
          <w:color w:val="auto"/>
          <w:sz w:val="24"/>
          <w:highlight w:val="none"/>
        </w:rPr>
      </w:pPr>
    </w:p>
    <w:p w14:paraId="5FF287DE">
      <w:pPr>
        <w:adjustRightInd w:val="0"/>
        <w:snapToGrid w:val="0"/>
        <w:spacing w:line="300" w:lineRule="auto"/>
        <w:jc w:val="left"/>
        <w:rPr>
          <w:rFonts w:ascii="宋体" w:hAnsi="宋体"/>
          <w:b/>
          <w:color w:val="auto"/>
          <w:szCs w:val="21"/>
          <w:highlight w:val="none"/>
        </w:rPr>
      </w:pPr>
    </w:p>
    <w:p w14:paraId="2F96FDD2">
      <w:pPr>
        <w:spacing w:line="500" w:lineRule="exact"/>
        <w:jc w:val="center"/>
        <w:rPr>
          <w:rFonts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br w:type="page"/>
      </w:r>
    </w:p>
    <w:p w14:paraId="69DF5740">
      <w:pPr>
        <w:spacing w:line="520" w:lineRule="exact"/>
        <w:jc w:val="center"/>
        <w:rPr>
          <w:rFonts w:ascii="方正小标宋简体" w:hAnsi="方正小标宋简体" w:eastAsia="方正小标宋简体" w:cs="方正小标宋简体"/>
          <w:color w:val="auto"/>
          <w:sz w:val="44"/>
          <w:szCs w:val="44"/>
          <w:highlight w:val="none"/>
        </w:rPr>
      </w:pPr>
      <w:bookmarkStart w:id="100" w:name="_Hlk65853643"/>
      <w:r>
        <w:rPr>
          <w:rFonts w:hint="eastAsia" w:ascii="方正小标宋简体" w:hAnsi="方正小标宋简体" w:eastAsia="方正小标宋简体" w:cs="方正小标宋简体"/>
          <w:color w:val="auto"/>
          <w:sz w:val="44"/>
          <w:szCs w:val="44"/>
          <w:highlight w:val="none"/>
        </w:rPr>
        <w:t>授权委托书</w:t>
      </w:r>
    </w:p>
    <w:p w14:paraId="245BB877">
      <w:pPr>
        <w:spacing w:line="520" w:lineRule="exact"/>
        <w:jc w:val="center"/>
        <w:rPr>
          <w:rFonts w:ascii="方正小标宋简体" w:hAnsi="方正小标宋简体" w:eastAsia="方正小标宋简体" w:cs="方正小标宋简体"/>
          <w:color w:val="auto"/>
          <w:sz w:val="32"/>
          <w:szCs w:val="32"/>
          <w:highlight w:val="none"/>
        </w:rPr>
      </w:pPr>
      <w:r>
        <w:rPr>
          <w:rFonts w:hint="eastAsia" w:ascii="方正小标宋简体" w:hAnsi="方正小标宋简体" w:eastAsia="方正小标宋简体" w:cs="方正小标宋简体"/>
          <w:color w:val="auto"/>
          <w:sz w:val="32"/>
          <w:szCs w:val="32"/>
          <w:highlight w:val="none"/>
        </w:rPr>
        <w:t>（非联合体竞标格式）</w:t>
      </w:r>
    </w:p>
    <w:p w14:paraId="76217F97">
      <w:pPr>
        <w:spacing w:line="520" w:lineRule="exact"/>
        <w:jc w:val="center"/>
        <w:rPr>
          <w:rFonts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32"/>
          <w:szCs w:val="32"/>
          <w:highlight w:val="none"/>
        </w:rPr>
        <w:t>（如有委托时）</w:t>
      </w:r>
    </w:p>
    <w:p w14:paraId="770361B4">
      <w:pPr>
        <w:spacing w:line="520" w:lineRule="exact"/>
        <w:rPr>
          <w:rFonts w:ascii="仿宋_GB2312" w:hAnsi="仿宋_GB2312" w:eastAsia="仿宋_GB2312" w:cs="仿宋_GB2312"/>
          <w:color w:val="auto"/>
          <w:sz w:val="32"/>
          <w:szCs w:val="32"/>
          <w:highlight w:val="none"/>
        </w:rPr>
      </w:pPr>
    </w:p>
    <w:p w14:paraId="2C337870">
      <w:pPr>
        <w:spacing w:line="360" w:lineRule="auto"/>
        <w:rPr>
          <w:rFonts w:ascii="宋体" w:hAnsi="宋体" w:cs="仿宋_GB2312"/>
          <w:color w:val="auto"/>
          <w:sz w:val="24"/>
          <w:highlight w:val="none"/>
        </w:rPr>
      </w:pPr>
      <w:r>
        <w:rPr>
          <w:rFonts w:hint="eastAsia" w:ascii="宋体" w:hAnsi="宋体" w:cs="仿宋_GB2312"/>
          <w:color w:val="auto"/>
          <w:sz w:val="24"/>
          <w:highlight w:val="none"/>
        </w:rPr>
        <w:t>致：</w:t>
      </w:r>
      <w:r>
        <w:rPr>
          <w:rFonts w:hint="eastAsia" w:ascii="宋体" w:hAnsi="宋体" w:cs="仿宋_GB2312"/>
          <w:color w:val="auto"/>
          <w:sz w:val="24"/>
          <w:highlight w:val="none"/>
          <w:u w:val="single"/>
        </w:rPr>
        <w:t>（采购人名称）</w:t>
      </w:r>
      <w:r>
        <w:rPr>
          <w:rFonts w:hint="eastAsia" w:ascii="宋体" w:hAnsi="宋体" w:cs="仿宋_GB2312"/>
          <w:color w:val="auto"/>
          <w:sz w:val="24"/>
          <w:highlight w:val="none"/>
        </w:rPr>
        <w:t>：</w:t>
      </w:r>
    </w:p>
    <w:p w14:paraId="49AE4A58">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我</w:t>
      </w:r>
      <w:r>
        <w:rPr>
          <w:rFonts w:hint="eastAsia" w:ascii="宋体" w:hAnsi="宋体" w:cs="仿宋_GB2312"/>
          <w:color w:val="auto"/>
          <w:sz w:val="24"/>
          <w:highlight w:val="none"/>
          <w:u w:val="single"/>
        </w:rPr>
        <w:t xml:space="preserve">  （姓名）  </w:t>
      </w:r>
      <w:r>
        <w:rPr>
          <w:rFonts w:hint="eastAsia" w:ascii="宋体" w:hAnsi="宋体" w:cs="仿宋_GB2312"/>
          <w:color w:val="auto"/>
          <w:sz w:val="24"/>
          <w:highlight w:val="none"/>
        </w:rPr>
        <w:t>系</w:t>
      </w:r>
      <w:r>
        <w:rPr>
          <w:rFonts w:hint="eastAsia" w:ascii="宋体" w:hAnsi="宋体" w:cs="仿宋_GB2312"/>
          <w:color w:val="auto"/>
          <w:sz w:val="24"/>
          <w:highlight w:val="none"/>
          <w:u w:val="single"/>
        </w:rPr>
        <w:t xml:space="preserve">  （供应商名称）  </w:t>
      </w:r>
      <w:r>
        <w:rPr>
          <w:rFonts w:hint="eastAsia" w:ascii="宋体" w:hAnsi="宋体" w:cs="仿宋_GB2312"/>
          <w:color w:val="auto"/>
          <w:sz w:val="24"/>
          <w:highlight w:val="none"/>
        </w:rPr>
        <w:t>的（</w:t>
      </w:r>
      <w:r>
        <w:rPr>
          <w:rFonts w:hint="eastAsia" w:ascii="宋体" w:hAnsi="宋体" w:cs="仿宋_GB2312"/>
          <w:color w:val="auto"/>
          <w:sz w:val="24"/>
          <w:highlight w:val="none"/>
          <w:u w:val="single"/>
        </w:rPr>
        <w:t>□法定代表人/□负责人</w:t>
      </w:r>
      <w:r>
        <w:rPr>
          <w:rFonts w:hint="eastAsia" w:ascii="宋体" w:hAnsi="宋体" w:cs="仿宋_GB2312"/>
          <w:color w:val="auto"/>
          <w:sz w:val="24"/>
          <w:highlight w:val="none"/>
        </w:rPr>
        <w:t>），现授权</w:t>
      </w:r>
      <w:r>
        <w:rPr>
          <w:rFonts w:hint="eastAsia" w:ascii="宋体" w:hAnsi="宋体" w:cs="仿宋_GB2312"/>
          <w:color w:val="auto"/>
          <w:sz w:val="24"/>
          <w:highlight w:val="none"/>
          <w:u w:val="single"/>
        </w:rPr>
        <w:t xml:space="preserve"> （姓名） </w:t>
      </w:r>
      <w:r>
        <w:rPr>
          <w:rFonts w:hint="eastAsia" w:ascii="宋体" w:hAnsi="宋体" w:cs="仿宋_GB2312"/>
          <w:color w:val="auto"/>
          <w:sz w:val="24"/>
          <w:highlight w:val="none"/>
        </w:rPr>
        <w:t>以我方的名义参加项目的竞标活动，并代表我方全权办理针对上述项目的所有采购程序和环节的具体事务和签署相关文件。</w:t>
      </w:r>
    </w:p>
    <w:p w14:paraId="4B3C6EA6">
      <w:pPr>
        <w:spacing w:line="360" w:lineRule="auto"/>
        <w:rPr>
          <w:rFonts w:ascii="宋体" w:hAnsi="宋体" w:cs="仿宋_GB2312"/>
          <w:color w:val="auto"/>
          <w:sz w:val="24"/>
          <w:highlight w:val="none"/>
        </w:rPr>
      </w:pPr>
      <w:r>
        <w:rPr>
          <w:rFonts w:hint="eastAsia" w:ascii="宋体" w:hAnsi="宋体" w:cs="仿宋_GB2312"/>
          <w:color w:val="auto"/>
          <w:sz w:val="24"/>
          <w:highlight w:val="none"/>
        </w:rPr>
        <w:t xml:space="preserve">    我方对委托代理人的签字</w:t>
      </w:r>
      <w:r>
        <w:rPr>
          <w:rFonts w:hint="eastAsia" w:ascii="宋体" w:hAnsi="宋体"/>
          <w:color w:val="auto"/>
          <w:sz w:val="24"/>
          <w:highlight w:val="none"/>
        </w:rPr>
        <w:t>或者电子签名</w:t>
      </w:r>
      <w:r>
        <w:rPr>
          <w:rFonts w:hint="eastAsia" w:ascii="宋体" w:hAnsi="宋体" w:cs="仿宋_GB2312"/>
          <w:color w:val="auto"/>
          <w:sz w:val="24"/>
          <w:highlight w:val="none"/>
        </w:rPr>
        <w:t>事项负全部责任。</w:t>
      </w:r>
    </w:p>
    <w:p w14:paraId="46C3E86F">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本授权书自签署之日起生效，在撤销授权的书面通知以前，本授权书一直有效。委托代理人在授权书有效期内签署的所有文件不因授权的撤销而失效。</w:t>
      </w:r>
    </w:p>
    <w:p w14:paraId="3700F3B1">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委托代理人无转委托权，特此委托。</w:t>
      </w:r>
    </w:p>
    <w:p w14:paraId="5027A068">
      <w:pPr>
        <w:spacing w:line="360" w:lineRule="auto"/>
        <w:ind w:firstLine="480" w:firstLineChars="200"/>
        <w:rPr>
          <w:rFonts w:ascii="宋体" w:hAnsi="宋体" w:cs="仿宋_GB2312"/>
          <w:color w:val="auto"/>
          <w:sz w:val="24"/>
          <w:highlight w:val="none"/>
        </w:rPr>
      </w:pPr>
      <w:r>
        <w:rPr>
          <w:rFonts w:hint="eastAsia" w:ascii="宋体" w:hAnsi="宋体" w:cs="仿宋_GB2312"/>
          <w:color w:val="auto"/>
          <w:sz w:val="24"/>
          <w:highlight w:val="none"/>
        </w:rPr>
        <w:t>附：法定代表人身份证明书及委托代理人有效身份证正反面扫描件</w:t>
      </w:r>
    </w:p>
    <w:p w14:paraId="348C5601">
      <w:pPr>
        <w:spacing w:line="360" w:lineRule="auto"/>
        <w:rPr>
          <w:rFonts w:ascii="宋体" w:hAnsi="宋体" w:cs="仿宋_GB2312"/>
          <w:color w:val="auto"/>
          <w:sz w:val="24"/>
          <w:highlight w:val="none"/>
        </w:rPr>
      </w:pPr>
    </w:p>
    <w:p w14:paraId="06A635BA">
      <w:pPr>
        <w:spacing w:line="360" w:lineRule="auto"/>
        <w:contextualSpacing/>
        <w:rPr>
          <w:rFonts w:ascii="宋体" w:hAnsi="宋体" w:cs="仿宋_GB2312"/>
          <w:color w:val="auto"/>
          <w:sz w:val="24"/>
          <w:highlight w:val="none"/>
        </w:rPr>
      </w:pPr>
      <w:r>
        <w:rPr>
          <w:rFonts w:hint="eastAsia" w:ascii="宋体" w:hAnsi="宋体" w:cs="仿宋_GB2312"/>
          <w:color w:val="auto"/>
          <w:sz w:val="24"/>
          <w:highlight w:val="none"/>
        </w:rPr>
        <w:t>委托代理人（</w:t>
      </w:r>
      <w:r>
        <w:rPr>
          <w:rFonts w:hint="eastAsia" w:ascii="宋体" w:hAnsi="宋体"/>
          <w:color w:val="auto"/>
          <w:sz w:val="24"/>
          <w:highlight w:val="none"/>
        </w:rPr>
        <w:t>签字或者电子签名</w:t>
      </w:r>
      <w:r>
        <w:rPr>
          <w:rFonts w:hint="eastAsia" w:ascii="宋体" w:hAnsi="宋体" w:cs="仿宋_GB2312"/>
          <w:color w:val="auto"/>
          <w:sz w:val="24"/>
          <w:highlight w:val="none"/>
        </w:rPr>
        <w:t xml:space="preserve">）：     法定代表人（签字或者盖章或者电子签名）：                    </w:t>
      </w:r>
    </w:p>
    <w:p w14:paraId="3710BCAB">
      <w:pPr>
        <w:spacing w:line="360" w:lineRule="auto"/>
        <w:contextualSpacing/>
        <w:rPr>
          <w:rFonts w:ascii="宋体" w:hAnsi="宋体" w:cs="仿宋_GB2312"/>
          <w:color w:val="auto"/>
          <w:sz w:val="24"/>
          <w:highlight w:val="none"/>
        </w:rPr>
      </w:pPr>
      <w:r>
        <w:rPr>
          <w:rFonts w:hint="eastAsia" w:ascii="宋体" w:hAnsi="宋体" w:cs="仿宋_GB2312"/>
          <w:color w:val="auto"/>
          <w:sz w:val="24"/>
          <w:highlight w:val="none"/>
        </w:rPr>
        <w:t xml:space="preserve">委托代理人身份证号码：                              </w:t>
      </w:r>
    </w:p>
    <w:p w14:paraId="6936B848">
      <w:pPr>
        <w:spacing w:line="360" w:lineRule="auto"/>
        <w:contextualSpacing/>
        <w:rPr>
          <w:rFonts w:ascii="宋体" w:hAnsi="宋体" w:cs="仿宋_GB2312"/>
          <w:color w:val="auto"/>
          <w:sz w:val="24"/>
          <w:highlight w:val="none"/>
        </w:rPr>
      </w:pPr>
    </w:p>
    <w:p w14:paraId="4A06E716">
      <w:pPr>
        <w:spacing w:line="360" w:lineRule="auto"/>
        <w:rPr>
          <w:rFonts w:ascii="宋体" w:hAnsi="宋体" w:cs="仿宋_GB2312"/>
          <w:color w:val="auto"/>
          <w:sz w:val="24"/>
          <w:highlight w:val="none"/>
        </w:rPr>
      </w:pPr>
      <w:r>
        <w:rPr>
          <w:rFonts w:hint="eastAsia" w:ascii="宋体" w:hAnsi="宋体" w:cs="仿宋_GB2312"/>
          <w:color w:val="auto"/>
          <w:sz w:val="24"/>
          <w:highlight w:val="none"/>
        </w:rPr>
        <w:t xml:space="preserve">                         供应商（电子签章）：                      </w:t>
      </w:r>
    </w:p>
    <w:p w14:paraId="23E25729">
      <w:pPr>
        <w:spacing w:line="360" w:lineRule="auto"/>
        <w:rPr>
          <w:rFonts w:ascii="宋体" w:hAnsi="宋体" w:cs="仿宋_GB2312"/>
          <w:color w:val="auto"/>
          <w:sz w:val="24"/>
          <w:highlight w:val="none"/>
        </w:rPr>
      </w:pPr>
      <w:r>
        <w:rPr>
          <w:rFonts w:hint="eastAsia" w:ascii="宋体" w:hAnsi="宋体" w:cs="仿宋_GB2312"/>
          <w:color w:val="auto"/>
          <w:sz w:val="24"/>
          <w:highlight w:val="none"/>
        </w:rPr>
        <w:t xml:space="preserve">                                         年    月    日</w:t>
      </w:r>
    </w:p>
    <w:p w14:paraId="29C3C8BA">
      <w:pPr>
        <w:spacing w:line="360" w:lineRule="auto"/>
        <w:rPr>
          <w:rFonts w:ascii="宋体" w:hAnsi="宋体" w:cs="仿宋_GB2312"/>
          <w:color w:val="auto"/>
          <w:sz w:val="24"/>
          <w:highlight w:val="none"/>
        </w:rPr>
      </w:pPr>
    </w:p>
    <w:p w14:paraId="658911C6">
      <w:pPr>
        <w:spacing w:line="360" w:lineRule="auto"/>
        <w:rPr>
          <w:rFonts w:ascii="宋体" w:hAnsi="宋体" w:cs="仿宋_GB2312"/>
          <w:color w:val="auto"/>
          <w:sz w:val="24"/>
          <w:highlight w:val="none"/>
        </w:rPr>
      </w:pPr>
      <w:r>
        <w:rPr>
          <w:rFonts w:hint="eastAsia" w:ascii="宋体" w:hAnsi="宋体" w:cs="仿宋_GB2312"/>
          <w:color w:val="auto"/>
          <w:sz w:val="24"/>
          <w:highlight w:val="none"/>
        </w:rPr>
        <w:t>注：法定代表人必须在授权委托书上签字或者盖章</w:t>
      </w:r>
      <w:r>
        <w:rPr>
          <w:rFonts w:hint="eastAsia" w:ascii="宋体" w:hAnsi="宋体"/>
          <w:color w:val="auto"/>
          <w:sz w:val="24"/>
          <w:highlight w:val="none"/>
        </w:rPr>
        <w:t>或者电子签名</w:t>
      </w:r>
      <w:r>
        <w:rPr>
          <w:rFonts w:hint="eastAsia" w:ascii="宋体" w:hAnsi="宋体" w:cs="仿宋_GB2312"/>
          <w:color w:val="auto"/>
          <w:sz w:val="24"/>
          <w:highlight w:val="none"/>
        </w:rPr>
        <w:t>，委托代理人必须在授权委托书上签字或者电子签名，</w:t>
      </w:r>
      <w:r>
        <w:rPr>
          <w:rFonts w:hint="eastAsia" w:ascii="宋体" w:hAnsi="宋体" w:cs="仿宋_GB2312"/>
          <w:b/>
          <w:color w:val="auto"/>
          <w:sz w:val="24"/>
          <w:highlight w:val="none"/>
        </w:rPr>
        <w:t>否则其响应文件按无效处理。</w:t>
      </w:r>
    </w:p>
    <w:p w14:paraId="135AD933">
      <w:pPr>
        <w:spacing w:line="360" w:lineRule="auto"/>
        <w:ind w:firstLine="420" w:firstLineChars="200"/>
        <w:jc w:val="left"/>
        <w:rPr>
          <w:rFonts w:ascii="仿宋_GB2312" w:hAnsi="仿宋_GB2312" w:eastAsia="仿宋_GB2312" w:cs="仿宋_GB2312"/>
          <w:color w:val="auto"/>
          <w:szCs w:val="21"/>
          <w:highlight w:val="none"/>
        </w:rPr>
      </w:pPr>
    </w:p>
    <w:p w14:paraId="1D64FAF6">
      <w:pPr>
        <w:spacing w:line="500" w:lineRule="exact"/>
        <w:jc w:val="center"/>
        <w:rPr>
          <w:rFonts w:ascii="方正小标宋简体" w:hAnsi="方正小标宋简体" w:eastAsia="方正小标宋简体" w:cs="方正小标宋简体"/>
          <w:color w:val="auto"/>
          <w:sz w:val="44"/>
          <w:szCs w:val="44"/>
          <w:highlight w:val="none"/>
        </w:rPr>
      </w:pPr>
      <w:r>
        <w:rPr>
          <w:rFonts w:ascii="仿宋_GB2312" w:hAnsi="仿宋_GB2312" w:eastAsia="仿宋_GB2312" w:cs="仿宋_GB2312"/>
          <w:color w:val="auto"/>
          <w:szCs w:val="21"/>
          <w:highlight w:val="none"/>
        </w:rPr>
        <w:br w:type="page"/>
      </w:r>
      <w:r>
        <w:rPr>
          <w:rFonts w:hint="eastAsia" w:ascii="方正小标宋简体" w:hAnsi="方正小标宋简体" w:eastAsia="方正小标宋简体" w:cs="方正小标宋简体"/>
          <w:color w:val="auto"/>
          <w:sz w:val="44"/>
          <w:szCs w:val="44"/>
          <w:highlight w:val="none"/>
        </w:rPr>
        <w:t>授权委托书</w:t>
      </w:r>
    </w:p>
    <w:p w14:paraId="49B8F087">
      <w:pPr>
        <w:spacing w:line="500" w:lineRule="exact"/>
        <w:jc w:val="center"/>
        <w:rPr>
          <w:rFonts w:ascii="方正小标宋简体" w:hAnsi="方正小标宋简体" w:eastAsia="方正小标宋简体" w:cs="方正小标宋简体"/>
          <w:color w:val="auto"/>
          <w:sz w:val="32"/>
          <w:szCs w:val="32"/>
          <w:highlight w:val="none"/>
        </w:rPr>
      </w:pPr>
      <w:r>
        <w:rPr>
          <w:rFonts w:hint="eastAsia" w:ascii="方正小标宋简体" w:hAnsi="方正小标宋简体" w:eastAsia="方正小标宋简体" w:cs="方正小标宋简体"/>
          <w:color w:val="auto"/>
          <w:sz w:val="32"/>
          <w:szCs w:val="32"/>
          <w:highlight w:val="none"/>
        </w:rPr>
        <w:t>（联合体竞标格式）</w:t>
      </w:r>
    </w:p>
    <w:p w14:paraId="60E7C9CF">
      <w:pPr>
        <w:spacing w:line="500" w:lineRule="exact"/>
        <w:jc w:val="center"/>
        <w:rPr>
          <w:rFonts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32"/>
          <w:szCs w:val="32"/>
          <w:highlight w:val="none"/>
        </w:rPr>
        <w:t>（如有委托时）</w:t>
      </w:r>
    </w:p>
    <w:p w14:paraId="657C8E5C">
      <w:pPr>
        <w:spacing w:line="500" w:lineRule="exact"/>
        <w:jc w:val="center"/>
        <w:rPr>
          <w:rFonts w:ascii="方正小标宋简体" w:hAnsi="方正小标宋简体" w:eastAsia="方正小标宋简体" w:cs="方正小标宋简体"/>
          <w:color w:val="auto"/>
          <w:sz w:val="44"/>
          <w:szCs w:val="44"/>
          <w:highlight w:val="none"/>
        </w:rPr>
      </w:pPr>
    </w:p>
    <w:p w14:paraId="24C02F28">
      <w:pPr>
        <w:spacing w:line="500" w:lineRule="exact"/>
        <w:jc w:val="center"/>
        <w:rPr>
          <w:rFonts w:ascii="仿宋_GB2312" w:hAnsi="仿宋_GB2312" w:eastAsia="仿宋_GB2312" w:cs="仿宋_GB2312"/>
          <w:color w:val="auto"/>
          <w:sz w:val="32"/>
          <w:szCs w:val="32"/>
          <w:highlight w:val="none"/>
        </w:rPr>
      </w:pPr>
    </w:p>
    <w:p w14:paraId="435C7DD5">
      <w:pPr>
        <w:spacing w:line="360" w:lineRule="auto"/>
        <w:ind w:firstLine="480" w:firstLineChars="200"/>
        <w:jc w:val="left"/>
        <w:rPr>
          <w:rFonts w:ascii="宋体" w:hAnsi="宋体" w:cs="仿宋_GB2312"/>
          <w:color w:val="auto"/>
          <w:sz w:val="24"/>
          <w:highlight w:val="none"/>
        </w:rPr>
      </w:pPr>
      <w:r>
        <w:rPr>
          <w:rFonts w:hint="eastAsia" w:ascii="宋体" w:hAnsi="宋体" w:cs="仿宋_GB2312"/>
          <w:color w:val="auto"/>
          <w:sz w:val="24"/>
          <w:highlight w:val="none"/>
        </w:rPr>
        <w:t>本授权委托书声明：根据（牵头人名称）与（联合体其他成员名称）签订的《联合体竞标协议书》的内容，（牵头人名称）的法定代表人（姓名）现授权（姓名）为联合委托代理人，并代表我方全权办理针对上述项目的所有采购程序和环节的具体事务和签署相关文件。</w:t>
      </w:r>
    </w:p>
    <w:p w14:paraId="1663FC51">
      <w:pPr>
        <w:spacing w:line="360" w:lineRule="auto"/>
        <w:ind w:firstLine="480" w:firstLineChars="200"/>
        <w:contextualSpacing/>
        <w:rPr>
          <w:rFonts w:ascii="宋体" w:hAnsi="宋体" w:cs="仿宋_GB2312"/>
          <w:color w:val="auto"/>
          <w:sz w:val="24"/>
          <w:highlight w:val="none"/>
        </w:rPr>
      </w:pPr>
      <w:r>
        <w:rPr>
          <w:rFonts w:hint="eastAsia" w:ascii="宋体" w:hAnsi="宋体" w:cs="仿宋_GB2312"/>
          <w:color w:val="auto"/>
          <w:sz w:val="24"/>
          <w:highlight w:val="none"/>
        </w:rPr>
        <w:t>我方对委托代理人的</w:t>
      </w:r>
      <w:r>
        <w:rPr>
          <w:rFonts w:hint="eastAsia" w:ascii="宋体" w:hAnsi="宋体"/>
          <w:color w:val="auto"/>
          <w:sz w:val="24"/>
          <w:highlight w:val="none"/>
        </w:rPr>
        <w:t>签字或者电子签名</w:t>
      </w:r>
      <w:r>
        <w:rPr>
          <w:rFonts w:hint="eastAsia" w:ascii="宋体" w:hAnsi="宋体" w:cs="仿宋_GB2312"/>
          <w:color w:val="auto"/>
          <w:sz w:val="24"/>
          <w:highlight w:val="none"/>
        </w:rPr>
        <w:t>事项负全部责任。</w:t>
      </w:r>
    </w:p>
    <w:p w14:paraId="479ADCA2">
      <w:pPr>
        <w:spacing w:line="360" w:lineRule="auto"/>
        <w:ind w:firstLine="480" w:firstLineChars="200"/>
        <w:contextualSpacing/>
        <w:rPr>
          <w:rFonts w:ascii="宋体" w:hAnsi="宋体" w:cs="仿宋_GB2312"/>
          <w:color w:val="auto"/>
          <w:sz w:val="24"/>
          <w:highlight w:val="none"/>
        </w:rPr>
      </w:pPr>
      <w:r>
        <w:rPr>
          <w:rFonts w:hint="eastAsia" w:ascii="宋体" w:hAnsi="宋体" w:cs="仿宋_GB2312"/>
          <w:color w:val="auto"/>
          <w:sz w:val="24"/>
          <w:highlight w:val="none"/>
        </w:rPr>
        <w:t>本授权书自签署之日起生效，在撤销授权的书面通知以前，本授权书一直有效。委托代理人在授权书有效期内签署的所有文件不因授权的撤销而失效。</w:t>
      </w:r>
    </w:p>
    <w:p w14:paraId="38E0A1F8">
      <w:pPr>
        <w:spacing w:line="360" w:lineRule="auto"/>
        <w:ind w:firstLine="480" w:firstLineChars="200"/>
        <w:contextualSpacing/>
        <w:rPr>
          <w:rFonts w:ascii="宋体" w:hAnsi="宋体" w:cs="仿宋_GB2312"/>
          <w:color w:val="auto"/>
          <w:sz w:val="24"/>
          <w:highlight w:val="none"/>
        </w:rPr>
      </w:pPr>
      <w:r>
        <w:rPr>
          <w:rFonts w:hint="eastAsia" w:ascii="宋体" w:hAnsi="宋体" w:cs="仿宋_GB2312"/>
          <w:color w:val="auto"/>
          <w:sz w:val="24"/>
          <w:highlight w:val="none"/>
        </w:rPr>
        <w:t>委托代理人无转委托权，特此委托。</w:t>
      </w:r>
    </w:p>
    <w:p w14:paraId="7AA4FAB8">
      <w:pPr>
        <w:spacing w:line="360" w:lineRule="auto"/>
        <w:contextualSpacing/>
        <w:rPr>
          <w:rFonts w:ascii="宋体" w:hAnsi="宋体" w:cs="仿宋_GB2312"/>
          <w:color w:val="auto"/>
          <w:sz w:val="24"/>
          <w:highlight w:val="none"/>
        </w:rPr>
      </w:pPr>
      <w:r>
        <w:rPr>
          <w:rFonts w:hint="eastAsia" w:ascii="宋体" w:hAnsi="宋体" w:cs="仿宋_GB2312"/>
          <w:color w:val="auto"/>
          <w:sz w:val="24"/>
          <w:highlight w:val="none"/>
        </w:rPr>
        <w:t xml:space="preserve">    附：法定代表人身份证明书及委托代理人有效身份证正反面扫描件</w:t>
      </w:r>
    </w:p>
    <w:p w14:paraId="5691B300">
      <w:pPr>
        <w:spacing w:line="360" w:lineRule="auto"/>
        <w:ind w:firstLine="480" w:firstLineChars="200"/>
        <w:contextualSpacing/>
        <w:rPr>
          <w:rFonts w:ascii="宋体" w:hAnsi="宋体" w:cs="仿宋_GB2312"/>
          <w:color w:val="auto"/>
          <w:sz w:val="24"/>
          <w:highlight w:val="none"/>
        </w:rPr>
      </w:pPr>
      <w:r>
        <w:rPr>
          <w:rFonts w:hint="eastAsia" w:ascii="宋体" w:hAnsi="宋体" w:cs="仿宋_GB2312"/>
          <w:color w:val="auto"/>
          <w:sz w:val="24"/>
          <w:highlight w:val="none"/>
        </w:rPr>
        <w:t>牵头人法定代表人（签字或者盖章或者电子签名）：</w:t>
      </w:r>
    </w:p>
    <w:p w14:paraId="1D84189F">
      <w:pPr>
        <w:spacing w:line="360" w:lineRule="auto"/>
        <w:ind w:firstLine="3120" w:firstLineChars="1300"/>
        <w:contextualSpacing/>
        <w:rPr>
          <w:rFonts w:ascii="宋体" w:hAnsi="宋体" w:cs="仿宋_GB2312"/>
          <w:color w:val="auto"/>
          <w:sz w:val="24"/>
          <w:highlight w:val="none"/>
        </w:rPr>
      </w:pPr>
      <w:r>
        <w:rPr>
          <w:rFonts w:hint="eastAsia" w:ascii="宋体" w:hAnsi="宋体" w:cs="仿宋_GB2312"/>
          <w:color w:val="auto"/>
          <w:sz w:val="24"/>
          <w:highlight w:val="none"/>
        </w:rPr>
        <w:t>牵头人（电子签章）：</w:t>
      </w:r>
    </w:p>
    <w:p w14:paraId="6DF55466">
      <w:pPr>
        <w:spacing w:line="360" w:lineRule="auto"/>
        <w:ind w:firstLine="3840" w:firstLineChars="1600"/>
        <w:contextualSpacing/>
        <w:rPr>
          <w:rFonts w:ascii="宋体" w:hAnsi="宋体" w:cs="仿宋_GB2312"/>
          <w:color w:val="auto"/>
          <w:sz w:val="24"/>
          <w:highlight w:val="none"/>
        </w:rPr>
      </w:pPr>
      <w:r>
        <w:rPr>
          <w:rFonts w:hint="eastAsia" w:ascii="宋体" w:hAnsi="宋体" w:cs="仿宋_GB2312"/>
          <w:color w:val="auto"/>
          <w:sz w:val="24"/>
          <w:highlight w:val="none"/>
        </w:rPr>
        <w:t>日期：    年   月   日</w:t>
      </w:r>
    </w:p>
    <w:p w14:paraId="4AF4C5E5">
      <w:pPr>
        <w:spacing w:line="360" w:lineRule="auto"/>
        <w:contextualSpacing/>
        <w:rPr>
          <w:rFonts w:ascii="宋体" w:hAnsi="宋体" w:cs="仿宋_GB2312"/>
          <w:color w:val="auto"/>
          <w:sz w:val="24"/>
          <w:highlight w:val="none"/>
        </w:rPr>
      </w:pPr>
    </w:p>
    <w:p w14:paraId="479809F9">
      <w:pPr>
        <w:spacing w:line="360" w:lineRule="auto"/>
        <w:ind w:firstLine="3120" w:firstLineChars="1300"/>
        <w:contextualSpacing/>
        <w:rPr>
          <w:rFonts w:ascii="宋体" w:hAnsi="宋体" w:cs="仿宋_GB2312"/>
          <w:color w:val="auto"/>
          <w:sz w:val="24"/>
          <w:highlight w:val="none"/>
        </w:rPr>
      </w:pPr>
      <w:r>
        <w:rPr>
          <w:rFonts w:hint="eastAsia" w:ascii="宋体" w:hAnsi="宋体" w:cs="仿宋_GB2312"/>
          <w:color w:val="auto"/>
          <w:sz w:val="24"/>
          <w:highlight w:val="none"/>
        </w:rPr>
        <w:t>被授权人（签字或者电子签名）：</w:t>
      </w:r>
    </w:p>
    <w:p w14:paraId="02B1B5A2">
      <w:pPr>
        <w:spacing w:line="360" w:lineRule="auto"/>
        <w:ind w:firstLine="3840" w:firstLineChars="1600"/>
        <w:contextualSpacing/>
        <w:rPr>
          <w:rFonts w:ascii="宋体" w:hAnsi="宋体" w:cs="仿宋_GB2312"/>
          <w:color w:val="auto"/>
          <w:sz w:val="24"/>
          <w:highlight w:val="none"/>
        </w:rPr>
      </w:pPr>
      <w:r>
        <w:rPr>
          <w:rFonts w:hint="eastAsia" w:ascii="宋体" w:hAnsi="宋体" w:cs="仿宋_GB2312"/>
          <w:color w:val="auto"/>
          <w:sz w:val="24"/>
          <w:highlight w:val="none"/>
        </w:rPr>
        <w:t>日期：    年   月   日</w:t>
      </w:r>
    </w:p>
    <w:p w14:paraId="61A95B4B">
      <w:pPr>
        <w:spacing w:line="360" w:lineRule="auto"/>
        <w:contextualSpacing/>
        <w:rPr>
          <w:rFonts w:ascii="宋体" w:hAnsi="宋体" w:cs="仿宋_GB2312"/>
          <w:color w:val="auto"/>
          <w:sz w:val="24"/>
          <w:highlight w:val="none"/>
        </w:rPr>
      </w:pPr>
    </w:p>
    <w:p w14:paraId="18A5D8D8">
      <w:pPr>
        <w:spacing w:line="360" w:lineRule="auto"/>
        <w:contextualSpacing/>
        <w:rPr>
          <w:rFonts w:ascii="宋体" w:hAnsi="宋体" w:cs="仿宋_GB2312"/>
          <w:color w:val="auto"/>
          <w:sz w:val="24"/>
          <w:highlight w:val="none"/>
        </w:rPr>
      </w:pPr>
      <w:r>
        <w:rPr>
          <w:rFonts w:hint="eastAsia" w:ascii="宋体" w:hAnsi="宋体" w:cs="仿宋_GB2312"/>
          <w:color w:val="auto"/>
          <w:sz w:val="24"/>
          <w:highlight w:val="none"/>
        </w:rPr>
        <w:t>注：法定代表人必须在授权委托书上签字或者盖章</w:t>
      </w:r>
      <w:r>
        <w:rPr>
          <w:rFonts w:hint="eastAsia" w:ascii="宋体" w:hAnsi="宋体"/>
          <w:color w:val="auto"/>
          <w:sz w:val="24"/>
          <w:highlight w:val="none"/>
        </w:rPr>
        <w:t>或者电子签名</w:t>
      </w:r>
      <w:r>
        <w:rPr>
          <w:rFonts w:hint="eastAsia" w:ascii="宋体" w:hAnsi="宋体" w:cs="仿宋_GB2312"/>
          <w:color w:val="auto"/>
          <w:sz w:val="24"/>
          <w:highlight w:val="none"/>
        </w:rPr>
        <w:t>，委托代理人必须在授权委托书上签字或者电子签名，</w:t>
      </w:r>
      <w:r>
        <w:rPr>
          <w:rFonts w:hint="eastAsia" w:ascii="宋体" w:hAnsi="宋体" w:cs="仿宋_GB2312"/>
          <w:b/>
          <w:color w:val="auto"/>
          <w:sz w:val="24"/>
          <w:highlight w:val="none"/>
        </w:rPr>
        <w:t>否则其响应文件按无效处理。</w:t>
      </w:r>
    </w:p>
    <w:bookmarkEnd w:id="100"/>
    <w:p w14:paraId="0CAB7652">
      <w:pPr>
        <w:spacing w:line="500" w:lineRule="exact"/>
        <w:jc w:val="center"/>
        <w:rPr>
          <w:rFonts w:ascii="方正小标宋简体" w:hAnsi="方正小标宋简体" w:eastAsia="方正小标宋简体" w:cs="方正小标宋简体"/>
          <w:bCs/>
          <w:color w:val="auto"/>
          <w:sz w:val="44"/>
          <w:szCs w:val="44"/>
          <w:highlight w:val="none"/>
        </w:rPr>
      </w:pPr>
      <w:r>
        <w:rPr>
          <w:rFonts w:hint="eastAsia" w:ascii="仿宋_GB2312" w:hAnsi="仿宋_GB2312" w:eastAsia="仿宋_GB2312" w:cs="仿宋_GB2312"/>
          <w:color w:val="auto"/>
          <w:sz w:val="32"/>
          <w:szCs w:val="32"/>
          <w:highlight w:val="none"/>
        </w:rPr>
        <w:br w:type="page"/>
      </w:r>
      <w:r>
        <w:rPr>
          <w:rFonts w:hint="eastAsia" w:ascii="方正小标宋简体" w:hAnsi="方正小标宋简体" w:eastAsia="方正小标宋简体" w:cs="方正小标宋简体"/>
          <w:bCs/>
          <w:color w:val="auto"/>
          <w:sz w:val="44"/>
          <w:szCs w:val="44"/>
          <w:highlight w:val="none"/>
        </w:rPr>
        <w:t>施工组织设计</w:t>
      </w:r>
    </w:p>
    <w:p w14:paraId="5176F8BF">
      <w:pPr>
        <w:spacing w:line="360" w:lineRule="auto"/>
        <w:ind w:firstLine="420" w:firstLineChars="200"/>
        <w:rPr>
          <w:rFonts w:cs="宋体"/>
          <w:color w:val="auto"/>
          <w:highlight w:val="none"/>
        </w:rPr>
      </w:pPr>
      <w:r>
        <w:rPr>
          <w:rFonts w:hint="eastAsia"/>
          <w:color w:val="auto"/>
          <w:highlight w:val="none"/>
        </w:rPr>
        <w:t>1.</w:t>
      </w:r>
      <w:r>
        <w:rPr>
          <w:color w:val="auto"/>
          <w:highlight w:val="none"/>
        </w:rPr>
        <w:t>施工组织</w:t>
      </w:r>
      <w:r>
        <w:rPr>
          <w:rFonts w:hint="eastAsia"/>
          <w:color w:val="auto"/>
          <w:highlight w:val="none"/>
        </w:rPr>
        <w:t>设计</w:t>
      </w:r>
      <w:r>
        <w:rPr>
          <w:rFonts w:hint="eastAsia" w:ascii="宋体" w:hAnsi="宋体"/>
          <w:color w:val="auto"/>
          <w:highlight w:val="none"/>
        </w:rPr>
        <w:t>应</w:t>
      </w:r>
      <w:r>
        <w:rPr>
          <w:rFonts w:hint="eastAsia"/>
          <w:color w:val="auto"/>
          <w:highlight w:val="none"/>
        </w:rPr>
        <w:t>以下内容顺序编制，可</w:t>
      </w:r>
      <w:r>
        <w:rPr>
          <w:rFonts w:hint="eastAsia" w:ascii="宋体" w:hAnsi="宋体"/>
          <w:color w:val="auto"/>
          <w:highlight w:val="none"/>
        </w:rPr>
        <w:t>采用文字并结合图表形式说明施工方法，</w:t>
      </w:r>
      <w:r>
        <w:rPr>
          <w:color w:val="auto"/>
          <w:highlight w:val="none"/>
        </w:rPr>
        <w:t>施工组织</w:t>
      </w:r>
      <w:r>
        <w:rPr>
          <w:rFonts w:hint="eastAsia"/>
          <w:color w:val="auto"/>
          <w:highlight w:val="none"/>
        </w:rPr>
        <w:t>设计具体</w:t>
      </w:r>
      <w:r>
        <w:rPr>
          <w:color w:val="auto"/>
          <w:highlight w:val="none"/>
        </w:rPr>
        <w:t>内容</w:t>
      </w:r>
      <w:r>
        <w:rPr>
          <w:rFonts w:hint="eastAsia" w:cs="宋体"/>
          <w:color w:val="auto"/>
          <w:highlight w:val="none"/>
        </w:rPr>
        <w:t>如下：</w:t>
      </w:r>
    </w:p>
    <w:p w14:paraId="1C093159">
      <w:pPr>
        <w:spacing w:line="360" w:lineRule="auto"/>
        <w:ind w:firstLine="420" w:firstLineChars="200"/>
        <w:rPr>
          <w:color w:val="auto"/>
          <w:highlight w:val="none"/>
        </w:rPr>
      </w:pPr>
      <w:r>
        <w:rPr>
          <w:rFonts w:hint="eastAsia"/>
          <w:color w:val="auto"/>
          <w:highlight w:val="none"/>
        </w:rPr>
        <w:t>（1）概述</w:t>
      </w:r>
    </w:p>
    <w:p w14:paraId="2DA237C7">
      <w:pPr>
        <w:spacing w:line="360" w:lineRule="auto"/>
        <w:ind w:firstLine="420" w:firstLineChars="200"/>
        <w:rPr>
          <w:color w:val="auto"/>
          <w:highlight w:val="none"/>
        </w:rPr>
      </w:pPr>
      <w:r>
        <w:rPr>
          <w:rFonts w:hint="eastAsia"/>
          <w:color w:val="auto"/>
          <w:highlight w:val="none"/>
        </w:rPr>
        <w:t>（2）主要施工方法；</w:t>
      </w:r>
    </w:p>
    <w:p w14:paraId="0AA2C027">
      <w:pPr>
        <w:spacing w:line="360" w:lineRule="auto"/>
        <w:ind w:firstLine="420" w:firstLineChars="200"/>
        <w:rPr>
          <w:color w:val="auto"/>
          <w:highlight w:val="none"/>
        </w:rPr>
      </w:pPr>
      <w:r>
        <w:rPr>
          <w:rFonts w:hint="eastAsia"/>
          <w:color w:val="auto"/>
          <w:highlight w:val="none"/>
        </w:rPr>
        <w:t>（</w:t>
      </w:r>
      <w:r>
        <w:rPr>
          <w:rFonts w:hint="eastAsia"/>
          <w:color w:val="auto"/>
          <w:highlight w:val="none"/>
          <w:lang w:val="en-US" w:eastAsia="zh-CN"/>
        </w:rPr>
        <w:t>3</w:t>
      </w:r>
      <w:r>
        <w:rPr>
          <w:rFonts w:hint="eastAsia"/>
          <w:color w:val="auto"/>
          <w:highlight w:val="none"/>
        </w:rPr>
        <w:t>）确保工程质量的技术组织措施；</w:t>
      </w:r>
    </w:p>
    <w:p w14:paraId="2D3B48EE">
      <w:pPr>
        <w:spacing w:line="360" w:lineRule="auto"/>
        <w:ind w:firstLine="420" w:firstLineChars="200"/>
        <w:rPr>
          <w:color w:val="auto"/>
          <w:highlight w:val="none"/>
        </w:rPr>
      </w:pPr>
      <w:r>
        <w:rPr>
          <w:rFonts w:hint="eastAsia"/>
          <w:color w:val="auto"/>
          <w:highlight w:val="none"/>
        </w:rPr>
        <w:t>（</w:t>
      </w:r>
      <w:r>
        <w:rPr>
          <w:rFonts w:hint="eastAsia"/>
          <w:color w:val="auto"/>
          <w:highlight w:val="none"/>
          <w:lang w:val="en-US" w:eastAsia="zh-CN"/>
        </w:rPr>
        <w:t>4</w:t>
      </w:r>
      <w:r>
        <w:rPr>
          <w:rFonts w:hint="eastAsia"/>
          <w:color w:val="auto"/>
          <w:highlight w:val="none"/>
        </w:rPr>
        <w:t>）确保安全生产的技术组织措施；</w:t>
      </w:r>
    </w:p>
    <w:p w14:paraId="24A247E8">
      <w:pPr>
        <w:spacing w:line="360" w:lineRule="auto"/>
        <w:ind w:firstLine="420" w:firstLineChars="200"/>
        <w:rPr>
          <w:color w:val="auto"/>
          <w:highlight w:val="none"/>
        </w:rPr>
      </w:pPr>
      <w:r>
        <w:rPr>
          <w:rFonts w:hint="eastAsia"/>
          <w:color w:val="auto"/>
          <w:highlight w:val="none"/>
        </w:rPr>
        <w:t>（</w:t>
      </w:r>
      <w:r>
        <w:rPr>
          <w:rFonts w:hint="eastAsia"/>
          <w:color w:val="auto"/>
          <w:highlight w:val="none"/>
          <w:lang w:val="en-US" w:eastAsia="zh-CN"/>
        </w:rPr>
        <w:t>5</w:t>
      </w:r>
      <w:r>
        <w:rPr>
          <w:rFonts w:hint="eastAsia"/>
          <w:color w:val="auto"/>
          <w:highlight w:val="none"/>
        </w:rPr>
        <w:t>）确保工期的技术组织措施；</w:t>
      </w:r>
    </w:p>
    <w:p w14:paraId="610DB917">
      <w:pPr>
        <w:spacing w:line="360" w:lineRule="auto"/>
        <w:ind w:firstLine="420" w:firstLineChars="200"/>
        <w:rPr>
          <w:rFonts w:hint="eastAsia"/>
          <w:color w:val="auto"/>
          <w:highlight w:val="none"/>
        </w:rPr>
      </w:pPr>
      <w:r>
        <w:rPr>
          <w:rFonts w:hint="eastAsia"/>
          <w:color w:val="auto"/>
          <w:highlight w:val="none"/>
        </w:rPr>
        <w:t>（</w:t>
      </w:r>
      <w:r>
        <w:rPr>
          <w:rFonts w:hint="eastAsia"/>
          <w:color w:val="auto"/>
          <w:highlight w:val="none"/>
          <w:lang w:val="en-US" w:eastAsia="zh-CN"/>
        </w:rPr>
        <w:t>6</w:t>
      </w:r>
      <w:r>
        <w:rPr>
          <w:rFonts w:hint="eastAsia"/>
          <w:color w:val="auto"/>
          <w:highlight w:val="none"/>
        </w:rPr>
        <w:t>）确保文明施工的技术组织措施；</w:t>
      </w:r>
    </w:p>
    <w:p w14:paraId="1C3F64CF">
      <w:pPr>
        <w:spacing w:line="360" w:lineRule="auto"/>
        <w:ind w:firstLine="420" w:firstLineChars="200"/>
        <w:rPr>
          <w:color w:val="auto"/>
          <w:highlight w:val="none"/>
        </w:rPr>
      </w:pPr>
      <w:r>
        <w:rPr>
          <w:rFonts w:hint="eastAsia"/>
          <w:color w:val="auto"/>
          <w:highlight w:val="none"/>
        </w:rPr>
        <w:t>（</w:t>
      </w:r>
      <w:r>
        <w:rPr>
          <w:rFonts w:hint="eastAsia"/>
          <w:color w:val="auto"/>
          <w:highlight w:val="none"/>
          <w:lang w:val="en-US" w:eastAsia="zh-CN"/>
        </w:rPr>
        <w:t>7</w:t>
      </w:r>
      <w:r>
        <w:rPr>
          <w:rFonts w:hint="eastAsia"/>
          <w:color w:val="auto"/>
          <w:highlight w:val="none"/>
        </w:rPr>
        <w:t>）拟投入的主要物资计划</w:t>
      </w:r>
    </w:p>
    <w:p w14:paraId="053A8514">
      <w:pPr>
        <w:spacing w:line="360" w:lineRule="auto"/>
        <w:ind w:firstLine="420" w:firstLineChars="200"/>
        <w:rPr>
          <w:rFonts w:hint="eastAsia"/>
          <w:color w:val="auto"/>
          <w:highlight w:val="none"/>
        </w:rPr>
      </w:pPr>
      <w:r>
        <w:rPr>
          <w:rFonts w:hint="eastAsia"/>
          <w:color w:val="auto"/>
          <w:highlight w:val="none"/>
        </w:rPr>
        <w:t>（</w:t>
      </w:r>
      <w:r>
        <w:rPr>
          <w:rFonts w:hint="eastAsia"/>
          <w:color w:val="auto"/>
          <w:highlight w:val="none"/>
          <w:lang w:val="en-US" w:eastAsia="zh-CN"/>
        </w:rPr>
        <w:t>8</w:t>
      </w:r>
      <w:r>
        <w:rPr>
          <w:rFonts w:hint="eastAsia"/>
          <w:color w:val="auto"/>
          <w:highlight w:val="none"/>
        </w:rPr>
        <w:t>）拟投入的主要施工机械、设备计划</w:t>
      </w:r>
    </w:p>
    <w:p w14:paraId="37B8BB86">
      <w:pPr>
        <w:spacing w:line="360" w:lineRule="auto"/>
        <w:ind w:firstLine="420" w:firstLineChars="200"/>
        <w:rPr>
          <w:color w:val="auto"/>
          <w:highlight w:val="none"/>
        </w:rPr>
      </w:pPr>
      <w:r>
        <w:rPr>
          <w:rFonts w:hint="eastAsia"/>
          <w:color w:val="auto"/>
          <w:highlight w:val="none"/>
        </w:rPr>
        <w:t>（</w:t>
      </w:r>
      <w:r>
        <w:rPr>
          <w:rFonts w:hint="eastAsia"/>
          <w:color w:val="auto"/>
          <w:highlight w:val="none"/>
          <w:lang w:val="en-US" w:eastAsia="zh-CN"/>
        </w:rPr>
        <w:t>9</w:t>
      </w:r>
      <w:r>
        <w:rPr>
          <w:rFonts w:hint="eastAsia"/>
          <w:color w:val="auto"/>
          <w:highlight w:val="none"/>
        </w:rPr>
        <w:t>）劳动力安排计划；</w:t>
      </w:r>
    </w:p>
    <w:p w14:paraId="3A1CD7BC">
      <w:pPr>
        <w:spacing w:line="360" w:lineRule="auto"/>
        <w:ind w:firstLine="420" w:firstLineChars="200"/>
        <w:rPr>
          <w:color w:val="auto"/>
          <w:highlight w:val="none"/>
        </w:rPr>
      </w:pPr>
      <w:r>
        <w:rPr>
          <w:rFonts w:hint="eastAsia"/>
          <w:color w:val="auto"/>
          <w:highlight w:val="none"/>
        </w:rPr>
        <w:t>（</w:t>
      </w:r>
      <w:r>
        <w:rPr>
          <w:rFonts w:hint="eastAsia"/>
          <w:color w:val="auto"/>
          <w:highlight w:val="none"/>
          <w:lang w:val="en-US" w:eastAsia="zh-CN"/>
        </w:rPr>
        <w:t>10</w:t>
      </w:r>
      <w:r>
        <w:rPr>
          <w:rFonts w:hint="eastAsia"/>
          <w:color w:val="auto"/>
          <w:highlight w:val="none"/>
        </w:rPr>
        <w:t>）工程施工的重点和难点及保证措施；</w:t>
      </w:r>
    </w:p>
    <w:p w14:paraId="635FD7E9">
      <w:pPr>
        <w:spacing w:line="360" w:lineRule="auto"/>
        <w:ind w:firstLine="420" w:firstLineChars="200"/>
        <w:rPr>
          <w:color w:val="auto"/>
          <w:highlight w:val="none"/>
        </w:rPr>
      </w:pPr>
      <w:r>
        <w:rPr>
          <w:rFonts w:hint="eastAsia"/>
          <w:color w:val="auto"/>
          <w:highlight w:val="none"/>
        </w:rPr>
        <w:t>（1</w:t>
      </w:r>
      <w:r>
        <w:rPr>
          <w:color w:val="auto"/>
          <w:highlight w:val="none"/>
        </w:rPr>
        <w:t>1</w:t>
      </w:r>
      <w:r>
        <w:rPr>
          <w:rFonts w:hint="eastAsia"/>
          <w:color w:val="auto"/>
          <w:highlight w:val="none"/>
        </w:rPr>
        <w:t>）其他（</w:t>
      </w:r>
      <w:r>
        <w:rPr>
          <w:color w:val="auto"/>
          <w:highlight w:val="none"/>
        </w:rPr>
        <w:t>如有）</w:t>
      </w:r>
      <w:r>
        <w:rPr>
          <w:rFonts w:hint="eastAsia"/>
          <w:color w:val="auto"/>
          <w:highlight w:val="none"/>
        </w:rPr>
        <w:t>（与第四章“评审程序、评审方法和评审标准”中的评审</w:t>
      </w:r>
      <w:r>
        <w:rPr>
          <w:color w:val="auto"/>
          <w:highlight w:val="none"/>
        </w:rPr>
        <w:t>标准一致</w:t>
      </w:r>
      <w:r>
        <w:rPr>
          <w:rFonts w:hint="eastAsia"/>
          <w:color w:val="auto"/>
          <w:highlight w:val="none"/>
        </w:rPr>
        <w:t>）</w:t>
      </w:r>
    </w:p>
    <w:p w14:paraId="1162B878">
      <w:pPr>
        <w:spacing w:line="360" w:lineRule="auto"/>
        <w:ind w:firstLine="420" w:firstLineChars="200"/>
        <w:rPr>
          <w:color w:val="auto"/>
          <w:highlight w:val="none"/>
        </w:rPr>
      </w:pPr>
      <w:r>
        <w:rPr>
          <w:rFonts w:hint="eastAsia"/>
          <w:color w:val="auto"/>
          <w:highlight w:val="none"/>
        </w:rPr>
        <w:t>2. 技术标</w:t>
      </w:r>
      <w:r>
        <w:rPr>
          <w:color w:val="auto"/>
          <w:highlight w:val="none"/>
        </w:rPr>
        <w:t>施工组织</w:t>
      </w:r>
      <w:r>
        <w:rPr>
          <w:rFonts w:hint="eastAsia"/>
          <w:color w:val="auto"/>
          <w:highlight w:val="none"/>
        </w:rPr>
        <w:t>设计除采用文字表述外可附下列图表，图表及格式要求附后。</w:t>
      </w:r>
    </w:p>
    <w:p w14:paraId="05341DF3">
      <w:pPr>
        <w:spacing w:line="360" w:lineRule="auto"/>
        <w:ind w:firstLine="420" w:firstLineChars="200"/>
        <w:rPr>
          <w:color w:val="auto"/>
          <w:highlight w:val="none"/>
        </w:rPr>
      </w:pPr>
      <w:r>
        <w:rPr>
          <w:rFonts w:hint="eastAsia"/>
          <w:color w:val="auto"/>
          <w:highlight w:val="none"/>
        </w:rPr>
        <w:t>附表一劳动力计划表</w:t>
      </w:r>
    </w:p>
    <w:p w14:paraId="0ECFEC2E">
      <w:pPr>
        <w:spacing w:line="360" w:lineRule="auto"/>
        <w:ind w:firstLine="420" w:firstLineChars="200"/>
        <w:rPr>
          <w:color w:val="auto"/>
          <w:highlight w:val="none"/>
        </w:rPr>
      </w:pPr>
      <w:r>
        <w:rPr>
          <w:rFonts w:hint="eastAsia"/>
          <w:color w:val="auto"/>
          <w:highlight w:val="none"/>
        </w:rPr>
        <w:t>附表二计划开、竣工日期和施工进度计划（网络图或横道图）</w:t>
      </w:r>
    </w:p>
    <w:p w14:paraId="39F58332">
      <w:pPr>
        <w:spacing w:line="360" w:lineRule="auto"/>
        <w:ind w:firstLine="420" w:firstLineChars="200"/>
        <w:rPr>
          <w:color w:val="auto"/>
          <w:highlight w:val="none"/>
        </w:rPr>
      </w:pPr>
      <w:r>
        <w:rPr>
          <w:rFonts w:hint="eastAsia"/>
          <w:color w:val="auto"/>
          <w:highlight w:val="none"/>
        </w:rPr>
        <w:t>附表三施工总平面图</w:t>
      </w:r>
    </w:p>
    <w:p w14:paraId="31A31252">
      <w:pPr>
        <w:spacing w:line="360" w:lineRule="auto"/>
        <w:ind w:firstLine="420" w:firstLineChars="200"/>
        <w:rPr>
          <w:color w:val="auto"/>
          <w:highlight w:val="none"/>
        </w:rPr>
      </w:pPr>
      <w:r>
        <w:rPr>
          <w:rFonts w:hint="eastAsia"/>
          <w:color w:val="auto"/>
          <w:highlight w:val="none"/>
        </w:rPr>
        <w:t>附表四临时用地表</w:t>
      </w:r>
    </w:p>
    <w:p w14:paraId="5B921283">
      <w:pPr>
        <w:spacing w:line="360" w:lineRule="auto"/>
        <w:ind w:firstLine="420" w:firstLineChars="200"/>
        <w:rPr>
          <w:color w:val="auto"/>
          <w:highlight w:val="none"/>
        </w:rPr>
      </w:pPr>
    </w:p>
    <w:p w14:paraId="6A95855E">
      <w:pPr>
        <w:rPr>
          <w:color w:val="auto"/>
          <w:highlight w:val="none"/>
        </w:rPr>
      </w:pPr>
      <w:r>
        <w:rPr>
          <w:rFonts w:hint="eastAsia" w:cs="宋体"/>
          <w:color w:val="auto"/>
          <w:highlight w:val="none"/>
        </w:rPr>
        <w:t>附表一：劳动力计划表</w:t>
      </w:r>
    </w:p>
    <w:p w14:paraId="030C3D48">
      <w:pPr>
        <w:ind w:firstLine="7245" w:firstLineChars="3450"/>
        <w:rPr>
          <w:color w:val="auto"/>
          <w:highlight w:val="none"/>
        </w:rPr>
      </w:pPr>
      <w:r>
        <w:rPr>
          <w:rFonts w:hint="eastAsia" w:cs="宋体"/>
          <w:color w:val="auto"/>
          <w:highlight w:val="none"/>
        </w:rPr>
        <w:t>单位：人</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3"/>
        <w:gridCol w:w="961"/>
        <w:gridCol w:w="1257"/>
        <w:gridCol w:w="1257"/>
        <w:gridCol w:w="1258"/>
        <w:gridCol w:w="1257"/>
        <w:gridCol w:w="1258"/>
      </w:tblGrid>
      <w:tr w14:paraId="162C8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3" w:type="dxa"/>
            <w:vAlign w:val="center"/>
          </w:tcPr>
          <w:p w14:paraId="68C781B6">
            <w:pPr>
              <w:spacing w:line="360" w:lineRule="auto"/>
              <w:jc w:val="center"/>
              <w:rPr>
                <w:color w:val="auto"/>
                <w:highlight w:val="none"/>
              </w:rPr>
            </w:pPr>
            <w:r>
              <w:rPr>
                <w:rFonts w:hint="eastAsia" w:cs="宋体"/>
                <w:color w:val="auto"/>
                <w:highlight w:val="none"/>
              </w:rPr>
              <w:t>工种</w:t>
            </w:r>
          </w:p>
        </w:tc>
        <w:tc>
          <w:tcPr>
            <w:tcW w:w="7248" w:type="dxa"/>
            <w:gridSpan w:val="6"/>
            <w:vAlign w:val="center"/>
          </w:tcPr>
          <w:p w14:paraId="34D54F86">
            <w:pPr>
              <w:spacing w:line="360" w:lineRule="auto"/>
              <w:jc w:val="center"/>
              <w:rPr>
                <w:color w:val="auto"/>
                <w:highlight w:val="none"/>
              </w:rPr>
            </w:pPr>
            <w:r>
              <w:rPr>
                <w:rFonts w:hint="eastAsia" w:cs="宋体"/>
                <w:color w:val="auto"/>
                <w:highlight w:val="none"/>
              </w:rPr>
              <w:t>按工程施工阶段投入劳动力情况</w:t>
            </w:r>
          </w:p>
        </w:tc>
      </w:tr>
      <w:tr w14:paraId="148E1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3" w:type="dxa"/>
            <w:vAlign w:val="center"/>
          </w:tcPr>
          <w:p w14:paraId="2E61C8CE">
            <w:pPr>
              <w:spacing w:line="360" w:lineRule="auto"/>
              <w:jc w:val="center"/>
              <w:rPr>
                <w:color w:val="auto"/>
                <w:highlight w:val="none"/>
              </w:rPr>
            </w:pPr>
          </w:p>
        </w:tc>
        <w:tc>
          <w:tcPr>
            <w:tcW w:w="961" w:type="dxa"/>
            <w:vAlign w:val="center"/>
          </w:tcPr>
          <w:p w14:paraId="55630768">
            <w:pPr>
              <w:spacing w:line="360" w:lineRule="auto"/>
              <w:jc w:val="center"/>
              <w:rPr>
                <w:color w:val="auto"/>
                <w:highlight w:val="none"/>
              </w:rPr>
            </w:pPr>
          </w:p>
        </w:tc>
        <w:tc>
          <w:tcPr>
            <w:tcW w:w="1257" w:type="dxa"/>
            <w:vAlign w:val="center"/>
          </w:tcPr>
          <w:p w14:paraId="24A3CD42">
            <w:pPr>
              <w:spacing w:line="360" w:lineRule="auto"/>
              <w:jc w:val="center"/>
              <w:rPr>
                <w:color w:val="auto"/>
                <w:highlight w:val="none"/>
              </w:rPr>
            </w:pPr>
          </w:p>
        </w:tc>
        <w:tc>
          <w:tcPr>
            <w:tcW w:w="1257" w:type="dxa"/>
            <w:vAlign w:val="center"/>
          </w:tcPr>
          <w:p w14:paraId="0E2844E7">
            <w:pPr>
              <w:spacing w:line="360" w:lineRule="auto"/>
              <w:jc w:val="center"/>
              <w:rPr>
                <w:color w:val="auto"/>
                <w:highlight w:val="none"/>
              </w:rPr>
            </w:pPr>
          </w:p>
        </w:tc>
        <w:tc>
          <w:tcPr>
            <w:tcW w:w="1258" w:type="dxa"/>
            <w:vAlign w:val="center"/>
          </w:tcPr>
          <w:p w14:paraId="245351FD">
            <w:pPr>
              <w:spacing w:line="360" w:lineRule="auto"/>
              <w:jc w:val="center"/>
              <w:rPr>
                <w:color w:val="auto"/>
                <w:highlight w:val="none"/>
              </w:rPr>
            </w:pPr>
          </w:p>
        </w:tc>
        <w:tc>
          <w:tcPr>
            <w:tcW w:w="1257" w:type="dxa"/>
            <w:vAlign w:val="center"/>
          </w:tcPr>
          <w:p w14:paraId="2BFB2DDA">
            <w:pPr>
              <w:spacing w:line="360" w:lineRule="auto"/>
              <w:jc w:val="center"/>
              <w:rPr>
                <w:color w:val="auto"/>
                <w:highlight w:val="none"/>
              </w:rPr>
            </w:pPr>
          </w:p>
        </w:tc>
        <w:tc>
          <w:tcPr>
            <w:tcW w:w="1258" w:type="dxa"/>
            <w:vAlign w:val="center"/>
          </w:tcPr>
          <w:p w14:paraId="10B65F18">
            <w:pPr>
              <w:spacing w:line="360" w:lineRule="auto"/>
              <w:jc w:val="center"/>
              <w:rPr>
                <w:color w:val="auto"/>
                <w:highlight w:val="none"/>
              </w:rPr>
            </w:pPr>
          </w:p>
        </w:tc>
      </w:tr>
      <w:tr w14:paraId="439F3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3" w:type="dxa"/>
            <w:vAlign w:val="center"/>
          </w:tcPr>
          <w:p w14:paraId="70270AFC">
            <w:pPr>
              <w:spacing w:line="360" w:lineRule="auto"/>
              <w:jc w:val="center"/>
              <w:rPr>
                <w:color w:val="auto"/>
                <w:highlight w:val="none"/>
              </w:rPr>
            </w:pPr>
          </w:p>
        </w:tc>
        <w:tc>
          <w:tcPr>
            <w:tcW w:w="961" w:type="dxa"/>
            <w:vAlign w:val="center"/>
          </w:tcPr>
          <w:p w14:paraId="215D0BB0">
            <w:pPr>
              <w:spacing w:line="360" w:lineRule="auto"/>
              <w:jc w:val="center"/>
              <w:rPr>
                <w:color w:val="auto"/>
                <w:highlight w:val="none"/>
              </w:rPr>
            </w:pPr>
          </w:p>
        </w:tc>
        <w:tc>
          <w:tcPr>
            <w:tcW w:w="1257" w:type="dxa"/>
            <w:vAlign w:val="center"/>
          </w:tcPr>
          <w:p w14:paraId="18FD0149">
            <w:pPr>
              <w:spacing w:line="360" w:lineRule="auto"/>
              <w:jc w:val="center"/>
              <w:rPr>
                <w:color w:val="auto"/>
                <w:highlight w:val="none"/>
              </w:rPr>
            </w:pPr>
          </w:p>
        </w:tc>
        <w:tc>
          <w:tcPr>
            <w:tcW w:w="1257" w:type="dxa"/>
            <w:vAlign w:val="center"/>
          </w:tcPr>
          <w:p w14:paraId="48E31DF4">
            <w:pPr>
              <w:spacing w:line="360" w:lineRule="auto"/>
              <w:jc w:val="center"/>
              <w:rPr>
                <w:color w:val="auto"/>
                <w:highlight w:val="none"/>
              </w:rPr>
            </w:pPr>
          </w:p>
        </w:tc>
        <w:tc>
          <w:tcPr>
            <w:tcW w:w="1258" w:type="dxa"/>
            <w:vAlign w:val="center"/>
          </w:tcPr>
          <w:p w14:paraId="20FD9D5D">
            <w:pPr>
              <w:spacing w:line="360" w:lineRule="auto"/>
              <w:jc w:val="center"/>
              <w:rPr>
                <w:color w:val="auto"/>
                <w:highlight w:val="none"/>
              </w:rPr>
            </w:pPr>
          </w:p>
        </w:tc>
        <w:tc>
          <w:tcPr>
            <w:tcW w:w="1257" w:type="dxa"/>
            <w:vAlign w:val="center"/>
          </w:tcPr>
          <w:p w14:paraId="3993A5FF">
            <w:pPr>
              <w:spacing w:line="360" w:lineRule="auto"/>
              <w:jc w:val="center"/>
              <w:rPr>
                <w:color w:val="auto"/>
                <w:highlight w:val="none"/>
              </w:rPr>
            </w:pPr>
          </w:p>
        </w:tc>
        <w:tc>
          <w:tcPr>
            <w:tcW w:w="1258" w:type="dxa"/>
            <w:vAlign w:val="center"/>
          </w:tcPr>
          <w:p w14:paraId="160F5BB6">
            <w:pPr>
              <w:spacing w:line="360" w:lineRule="auto"/>
              <w:jc w:val="center"/>
              <w:rPr>
                <w:color w:val="auto"/>
                <w:highlight w:val="none"/>
              </w:rPr>
            </w:pPr>
          </w:p>
        </w:tc>
      </w:tr>
      <w:tr w14:paraId="1C0B0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3" w:type="dxa"/>
            <w:vAlign w:val="center"/>
          </w:tcPr>
          <w:p w14:paraId="7C0EE783">
            <w:pPr>
              <w:spacing w:line="360" w:lineRule="auto"/>
              <w:jc w:val="center"/>
              <w:rPr>
                <w:color w:val="auto"/>
                <w:highlight w:val="none"/>
              </w:rPr>
            </w:pPr>
          </w:p>
        </w:tc>
        <w:tc>
          <w:tcPr>
            <w:tcW w:w="961" w:type="dxa"/>
            <w:vAlign w:val="center"/>
          </w:tcPr>
          <w:p w14:paraId="52AD685E">
            <w:pPr>
              <w:spacing w:line="360" w:lineRule="auto"/>
              <w:jc w:val="center"/>
              <w:rPr>
                <w:color w:val="auto"/>
                <w:highlight w:val="none"/>
              </w:rPr>
            </w:pPr>
          </w:p>
        </w:tc>
        <w:tc>
          <w:tcPr>
            <w:tcW w:w="1257" w:type="dxa"/>
            <w:vAlign w:val="center"/>
          </w:tcPr>
          <w:p w14:paraId="411C82AA">
            <w:pPr>
              <w:spacing w:line="360" w:lineRule="auto"/>
              <w:jc w:val="center"/>
              <w:rPr>
                <w:color w:val="auto"/>
                <w:highlight w:val="none"/>
              </w:rPr>
            </w:pPr>
          </w:p>
        </w:tc>
        <w:tc>
          <w:tcPr>
            <w:tcW w:w="1257" w:type="dxa"/>
            <w:vAlign w:val="center"/>
          </w:tcPr>
          <w:p w14:paraId="3B9116C5">
            <w:pPr>
              <w:spacing w:line="360" w:lineRule="auto"/>
              <w:jc w:val="center"/>
              <w:rPr>
                <w:color w:val="auto"/>
                <w:highlight w:val="none"/>
              </w:rPr>
            </w:pPr>
          </w:p>
        </w:tc>
        <w:tc>
          <w:tcPr>
            <w:tcW w:w="1258" w:type="dxa"/>
            <w:vAlign w:val="center"/>
          </w:tcPr>
          <w:p w14:paraId="0A92ADDB">
            <w:pPr>
              <w:spacing w:line="360" w:lineRule="auto"/>
              <w:jc w:val="center"/>
              <w:rPr>
                <w:color w:val="auto"/>
                <w:highlight w:val="none"/>
              </w:rPr>
            </w:pPr>
          </w:p>
        </w:tc>
        <w:tc>
          <w:tcPr>
            <w:tcW w:w="1257" w:type="dxa"/>
            <w:vAlign w:val="center"/>
          </w:tcPr>
          <w:p w14:paraId="336F45CD">
            <w:pPr>
              <w:spacing w:line="360" w:lineRule="auto"/>
              <w:jc w:val="center"/>
              <w:rPr>
                <w:color w:val="auto"/>
                <w:highlight w:val="none"/>
              </w:rPr>
            </w:pPr>
          </w:p>
        </w:tc>
        <w:tc>
          <w:tcPr>
            <w:tcW w:w="1258" w:type="dxa"/>
            <w:vAlign w:val="center"/>
          </w:tcPr>
          <w:p w14:paraId="2A9C202E">
            <w:pPr>
              <w:spacing w:line="360" w:lineRule="auto"/>
              <w:jc w:val="center"/>
              <w:rPr>
                <w:color w:val="auto"/>
                <w:highlight w:val="none"/>
              </w:rPr>
            </w:pPr>
          </w:p>
        </w:tc>
      </w:tr>
      <w:tr w14:paraId="2F975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3" w:type="dxa"/>
            <w:vAlign w:val="center"/>
          </w:tcPr>
          <w:p w14:paraId="3B4BF94F">
            <w:pPr>
              <w:spacing w:line="360" w:lineRule="auto"/>
              <w:jc w:val="center"/>
              <w:rPr>
                <w:color w:val="auto"/>
                <w:highlight w:val="none"/>
              </w:rPr>
            </w:pPr>
          </w:p>
        </w:tc>
        <w:tc>
          <w:tcPr>
            <w:tcW w:w="961" w:type="dxa"/>
            <w:vAlign w:val="center"/>
          </w:tcPr>
          <w:p w14:paraId="7EA2E0DC">
            <w:pPr>
              <w:spacing w:line="360" w:lineRule="auto"/>
              <w:jc w:val="center"/>
              <w:rPr>
                <w:color w:val="auto"/>
                <w:highlight w:val="none"/>
              </w:rPr>
            </w:pPr>
          </w:p>
        </w:tc>
        <w:tc>
          <w:tcPr>
            <w:tcW w:w="1257" w:type="dxa"/>
            <w:vAlign w:val="center"/>
          </w:tcPr>
          <w:p w14:paraId="3978709B">
            <w:pPr>
              <w:spacing w:line="360" w:lineRule="auto"/>
              <w:jc w:val="center"/>
              <w:rPr>
                <w:color w:val="auto"/>
                <w:highlight w:val="none"/>
              </w:rPr>
            </w:pPr>
          </w:p>
        </w:tc>
        <w:tc>
          <w:tcPr>
            <w:tcW w:w="1257" w:type="dxa"/>
            <w:vAlign w:val="center"/>
          </w:tcPr>
          <w:p w14:paraId="05ED7C2E">
            <w:pPr>
              <w:spacing w:line="360" w:lineRule="auto"/>
              <w:jc w:val="center"/>
              <w:rPr>
                <w:color w:val="auto"/>
                <w:highlight w:val="none"/>
              </w:rPr>
            </w:pPr>
          </w:p>
        </w:tc>
        <w:tc>
          <w:tcPr>
            <w:tcW w:w="1258" w:type="dxa"/>
            <w:vAlign w:val="center"/>
          </w:tcPr>
          <w:p w14:paraId="1F772E66">
            <w:pPr>
              <w:spacing w:line="360" w:lineRule="auto"/>
              <w:jc w:val="center"/>
              <w:rPr>
                <w:color w:val="auto"/>
                <w:highlight w:val="none"/>
              </w:rPr>
            </w:pPr>
          </w:p>
        </w:tc>
        <w:tc>
          <w:tcPr>
            <w:tcW w:w="1257" w:type="dxa"/>
            <w:vAlign w:val="center"/>
          </w:tcPr>
          <w:p w14:paraId="79F29415">
            <w:pPr>
              <w:spacing w:line="360" w:lineRule="auto"/>
              <w:jc w:val="center"/>
              <w:rPr>
                <w:color w:val="auto"/>
                <w:highlight w:val="none"/>
              </w:rPr>
            </w:pPr>
          </w:p>
        </w:tc>
        <w:tc>
          <w:tcPr>
            <w:tcW w:w="1258" w:type="dxa"/>
            <w:vAlign w:val="center"/>
          </w:tcPr>
          <w:p w14:paraId="1C97A0AE">
            <w:pPr>
              <w:spacing w:line="360" w:lineRule="auto"/>
              <w:jc w:val="center"/>
              <w:rPr>
                <w:color w:val="auto"/>
                <w:highlight w:val="none"/>
              </w:rPr>
            </w:pPr>
          </w:p>
        </w:tc>
      </w:tr>
      <w:tr w14:paraId="6B31E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3" w:type="dxa"/>
            <w:vAlign w:val="center"/>
          </w:tcPr>
          <w:p w14:paraId="16D287ED">
            <w:pPr>
              <w:spacing w:line="360" w:lineRule="auto"/>
              <w:jc w:val="center"/>
              <w:rPr>
                <w:color w:val="auto"/>
                <w:highlight w:val="none"/>
              </w:rPr>
            </w:pPr>
          </w:p>
        </w:tc>
        <w:tc>
          <w:tcPr>
            <w:tcW w:w="961" w:type="dxa"/>
            <w:vAlign w:val="center"/>
          </w:tcPr>
          <w:p w14:paraId="77EEFD3B">
            <w:pPr>
              <w:spacing w:line="360" w:lineRule="auto"/>
              <w:jc w:val="center"/>
              <w:rPr>
                <w:color w:val="auto"/>
                <w:highlight w:val="none"/>
              </w:rPr>
            </w:pPr>
          </w:p>
        </w:tc>
        <w:tc>
          <w:tcPr>
            <w:tcW w:w="1257" w:type="dxa"/>
            <w:vAlign w:val="center"/>
          </w:tcPr>
          <w:p w14:paraId="404B6D6E">
            <w:pPr>
              <w:spacing w:line="360" w:lineRule="auto"/>
              <w:jc w:val="center"/>
              <w:rPr>
                <w:color w:val="auto"/>
                <w:highlight w:val="none"/>
              </w:rPr>
            </w:pPr>
          </w:p>
        </w:tc>
        <w:tc>
          <w:tcPr>
            <w:tcW w:w="1257" w:type="dxa"/>
            <w:vAlign w:val="center"/>
          </w:tcPr>
          <w:p w14:paraId="516032D7">
            <w:pPr>
              <w:spacing w:line="360" w:lineRule="auto"/>
              <w:jc w:val="center"/>
              <w:rPr>
                <w:color w:val="auto"/>
                <w:highlight w:val="none"/>
              </w:rPr>
            </w:pPr>
          </w:p>
        </w:tc>
        <w:tc>
          <w:tcPr>
            <w:tcW w:w="1258" w:type="dxa"/>
            <w:vAlign w:val="center"/>
          </w:tcPr>
          <w:p w14:paraId="1B6CA85B">
            <w:pPr>
              <w:spacing w:line="360" w:lineRule="auto"/>
              <w:jc w:val="center"/>
              <w:rPr>
                <w:color w:val="auto"/>
                <w:highlight w:val="none"/>
              </w:rPr>
            </w:pPr>
          </w:p>
        </w:tc>
        <w:tc>
          <w:tcPr>
            <w:tcW w:w="1257" w:type="dxa"/>
            <w:vAlign w:val="center"/>
          </w:tcPr>
          <w:p w14:paraId="75311F7B">
            <w:pPr>
              <w:spacing w:line="360" w:lineRule="auto"/>
              <w:jc w:val="center"/>
              <w:rPr>
                <w:color w:val="auto"/>
                <w:highlight w:val="none"/>
              </w:rPr>
            </w:pPr>
          </w:p>
        </w:tc>
        <w:tc>
          <w:tcPr>
            <w:tcW w:w="1258" w:type="dxa"/>
            <w:vAlign w:val="center"/>
          </w:tcPr>
          <w:p w14:paraId="169C0C15">
            <w:pPr>
              <w:spacing w:line="360" w:lineRule="auto"/>
              <w:jc w:val="center"/>
              <w:rPr>
                <w:color w:val="auto"/>
                <w:highlight w:val="none"/>
              </w:rPr>
            </w:pPr>
          </w:p>
        </w:tc>
      </w:tr>
      <w:tr w14:paraId="2400F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3" w:type="dxa"/>
            <w:vAlign w:val="center"/>
          </w:tcPr>
          <w:p w14:paraId="46BC2C34">
            <w:pPr>
              <w:spacing w:line="360" w:lineRule="auto"/>
              <w:jc w:val="center"/>
              <w:rPr>
                <w:color w:val="auto"/>
                <w:highlight w:val="none"/>
              </w:rPr>
            </w:pPr>
          </w:p>
        </w:tc>
        <w:tc>
          <w:tcPr>
            <w:tcW w:w="961" w:type="dxa"/>
            <w:vAlign w:val="center"/>
          </w:tcPr>
          <w:p w14:paraId="487E5A49">
            <w:pPr>
              <w:spacing w:line="360" w:lineRule="auto"/>
              <w:jc w:val="center"/>
              <w:rPr>
                <w:color w:val="auto"/>
                <w:highlight w:val="none"/>
              </w:rPr>
            </w:pPr>
          </w:p>
        </w:tc>
        <w:tc>
          <w:tcPr>
            <w:tcW w:w="1257" w:type="dxa"/>
            <w:vAlign w:val="center"/>
          </w:tcPr>
          <w:p w14:paraId="6CAC3C7F">
            <w:pPr>
              <w:spacing w:line="360" w:lineRule="auto"/>
              <w:jc w:val="center"/>
              <w:rPr>
                <w:color w:val="auto"/>
                <w:highlight w:val="none"/>
              </w:rPr>
            </w:pPr>
          </w:p>
        </w:tc>
        <w:tc>
          <w:tcPr>
            <w:tcW w:w="1257" w:type="dxa"/>
            <w:vAlign w:val="center"/>
          </w:tcPr>
          <w:p w14:paraId="26A0127C">
            <w:pPr>
              <w:spacing w:line="360" w:lineRule="auto"/>
              <w:jc w:val="center"/>
              <w:rPr>
                <w:color w:val="auto"/>
                <w:highlight w:val="none"/>
              </w:rPr>
            </w:pPr>
          </w:p>
        </w:tc>
        <w:tc>
          <w:tcPr>
            <w:tcW w:w="1258" w:type="dxa"/>
            <w:vAlign w:val="center"/>
          </w:tcPr>
          <w:p w14:paraId="39D24221">
            <w:pPr>
              <w:spacing w:line="360" w:lineRule="auto"/>
              <w:jc w:val="center"/>
              <w:rPr>
                <w:color w:val="auto"/>
                <w:highlight w:val="none"/>
              </w:rPr>
            </w:pPr>
          </w:p>
        </w:tc>
        <w:tc>
          <w:tcPr>
            <w:tcW w:w="1257" w:type="dxa"/>
            <w:vAlign w:val="center"/>
          </w:tcPr>
          <w:p w14:paraId="7E98FA40">
            <w:pPr>
              <w:spacing w:line="360" w:lineRule="auto"/>
              <w:jc w:val="center"/>
              <w:rPr>
                <w:color w:val="auto"/>
                <w:highlight w:val="none"/>
              </w:rPr>
            </w:pPr>
          </w:p>
        </w:tc>
        <w:tc>
          <w:tcPr>
            <w:tcW w:w="1258" w:type="dxa"/>
            <w:vAlign w:val="center"/>
          </w:tcPr>
          <w:p w14:paraId="2A03233A">
            <w:pPr>
              <w:spacing w:line="360" w:lineRule="auto"/>
              <w:jc w:val="center"/>
              <w:rPr>
                <w:color w:val="auto"/>
                <w:highlight w:val="none"/>
              </w:rPr>
            </w:pPr>
          </w:p>
        </w:tc>
      </w:tr>
    </w:tbl>
    <w:p w14:paraId="17504D8B">
      <w:pPr>
        <w:rPr>
          <w:color w:val="auto"/>
          <w:highlight w:val="none"/>
        </w:rPr>
      </w:pPr>
    </w:p>
    <w:p w14:paraId="7021C421">
      <w:pPr>
        <w:rPr>
          <w:b/>
          <w:bCs/>
          <w:color w:val="auto"/>
          <w:highlight w:val="none"/>
        </w:rPr>
      </w:pPr>
    </w:p>
    <w:p w14:paraId="44FF8E9C">
      <w:pPr>
        <w:rPr>
          <w:color w:val="auto"/>
          <w:highlight w:val="none"/>
        </w:rPr>
      </w:pPr>
      <w:r>
        <w:rPr>
          <w:rFonts w:hint="eastAsia" w:cs="宋体"/>
          <w:color w:val="auto"/>
          <w:highlight w:val="none"/>
        </w:rPr>
        <w:t>附表二：计划开、竣工日期和施工进度计划（网络图或横道图）</w:t>
      </w:r>
    </w:p>
    <w:p w14:paraId="4D641A7E">
      <w:pPr>
        <w:spacing w:line="460" w:lineRule="exact"/>
        <w:ind w:left="-6" w:firstLine="420"/>
        <w:rPr>
          <w:color w:val="auto"/>
          <w:highlight w:val="none"/>
        </w:rPr>
      </w:pPr>
      <w:r>
        <w:rPr>
          <w:color w:val="auto"/>
          <w:highlight w:val="none"/>
        </w:rPr>
        <w:t xml:space="preserve">1. </w:t>
      </w:r>
      <w:r>
        <w:rPr>
          <w:rFonts w:hint="eastAsia" w:cs="宋体"/>
          <w:color w:val="auto"/>
          <w:highlight w:val="none"/>
        </w:rPr>
        <w:t>供应商应提交施工进度计划，说明按磋商文件要求的工期进行施工的各个关键日期。成交的供应商还应按合同条件有关条款的要求提交详细的施工进度计划。</w:t>
      </w:r>
    </w:p>
    <w:p w14:paraId="5295BFC7">
      <w:pPr>
        <w:spacing w:line="460" w:lineRule="exact"/>
        <w:ind w:left="-6" w:firstLine="420"/>
        <w:rPr>
          <w:color w:val="auto"/>
          <w:highlight w:val="none"/>
        </w:rPr>
      </w:pPr>
      <w:r>
        <w:rPr>
          <w:color w:val="auto"/>
          <w:highlight w:val="none"/>
        </w:rPr>
        <w:t xml:space="preserve">2. </w:t>
      </w:r>
      <w:r>
        <w:rPr>
          <w:rFonts w:hint="eastAsia" w:cs="宋体"/>
          <w:color w:val="auto"/>
          <w:highlight w:val="none"/>
        </w:rPr>
        <w:t>施工进度计划可采用网络图（或横道图）表示，说明计划开工日期和各分项工程各阶段的完工日期和分包合同签订的日期。</w:t>
      </w:r>
    </w:p>
    <w:p w14:paraId="56A4EB98">
      <w:pPr>
        <w:spacing w:line="460" w:lineRule="exact"/>
        <w:ind w:left="-6" w:firstLine="420"/>
        <w:rPr>
          <w:color w:val="auto"/>
          <w:highlight w:val="none"/>
        </w:rPr>
      </w:pPr>
      <w:r>
        <w:rPr>
          <w:color w:val="auto"/>
          <w:highlight w:val="none"/>
        </w:rPr>
        <w:t xml:space="preserve">3. </w:t>
      </w:r>
      <w:r>
        <w:rPr>
          <w:rFonts w:hint="eastAsia" w:cs="宋体"/>
          <w:color w:val="auto"/>
          <w:highlight w:val="none"/>
        </w:rPr>
        <w:t>施工进度计划应与施工组织设计相适应。</w:t>
      </w:r>
    </w:p>
    <w:p w14:paraId="1ECFA5AF">
      <w:pPr>
        <w:spacing w:line="360" w:lineRule="auto"/>
        <w:ind w:left="-6" w:firstLine="420"/>
        <w:rPr>
          <w:color w:val="auto"/>
          <w:highlight w:val="none"/>
        </w:rPr>
      </w:pPr>
    </w:p>
    <w:p w14:paraId="63ADCAAA">
      <w:pPr>
        <w:rPr>
          <w:color w:val="auto"/>
          <w:highlight w:val="none"/>
        </w:rPr>
      </w:pPr>
    </w:p>
    <w:p w14:paraId="5FEB382D">
      <w:pPr>
        <w:rPr>
          <w:color w:val="auto"/>
          <w:highlight w:val="none"/>
        </w:rPr>
      </w:pPr>
      <w:r>
        <w:rPr>
          <w:rFonts w:hint="eastAsia" w:cs="宋体"/>
          <w:color w:val="auto"/>
          <w:highlight w:val="none"/>
        </w:rPr>
        <w:t>附表三：施工总平面图</w:t>
      </w:r>
    </w:p>
    <w:p w14:paraId="7DA6D5DA">
      <w:pPr>
        <w:spacing w:line="460" w:lineRule="exact"/>
        <w:ind w:firstLine="420" w:firstLineChars="200"/>
        <w:rPr>
          <w:color w:val="auto"/>
          <w:highlight w:val="none"/>
        </w:rPr>
      </w:pPr>
      <w:r>
        <w:rPr>
          <w:rFonts w:hint="eastAsia" w:cs="宋体"/>
          <w:color w:val="auto"/>
          <w:highlight w:val="none"/>
        </w:rPr>
        <w:t>供应商应递交一份施工总平面图，绘出现场临时设施布置图表并附文字说明，说明临时设施、加工车间、现场办公、设备及仓储、供电、供水、卫生、生活、道路、消防等设施的情况和布置。</w:t>
      </w:r>
    </w:p>
    <w:p w14:paraId="12232023">
      <w:pPr>
        <w:rPr>
          <w:color w:val="auto"/>
          <w:highlight w:val="none"/>
        </w:rPr>
      </w:pPr>
    </w:p>
    <w:p w14:paraId="6B2D88A9">
      <w:pPr>
        <w:rPr>
          <w:color w:val="auto"/>
          <w:highlight w:val="none"/>
        </w:rPr>
      </w:pPr>
    </w:p>
    <w:p w14:paraId="286954F7">
      <w:pPr>
        <w:rPr>
          <w:color w:val="auto"/>
          <w:highlight w:val="none"/>
        </w:rPr>
      </w:pPr>
      <w:r>
        <w:rPr>
          <w:rFonts w:hint="eastAsia" w:cs="宋体"/>
          <w:color w:val="auto"/>
          <w:highlight w:val="none"/>
        </w:rPr>
        <w:t>附表四：临时用地表</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56"/>
        <w:gridCol w:w="2357"/>
        <w:gridCol w:w="2356"/>
        <w:gridCol w:w="2136"/>
      </w:tblGrid>
      <w:tr w14:paraId="7B359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2356" w:type="dxa"/>
            <w:vAlign w:val="center"/>
          </w:tcPr>
          <w:p w14:paraId="04BA365E">
            <w:pPr>
              <w:jc w:val="center"/>
              <w:rPr>
                <w:color w:val="auto"/>
                <w:highlight w:val="none"/>
              </w:rPr>
            </w:pPr>
            <w:r>
              <w:rPr>
                <w:rFonts w:hint="eastAsia" w:cs="宋体"/>
                <w:color w:val="auto"/>
                <w:highlight w:val="none"/>
              </w:rPr>
              <w:t>用途</w:t>
            </w:r>
          </w:p>
        </w:tc>
        <w:tc>
          <w:tcPr>
            <w:tcW w:w="2357" w:type="dxa"/>
            <w:vAlign w:val="center"/>
          </w:tcPr>
          <w:p w14:paraId="1122C30C">
            <w:pPr>
              <w:jc w:val="center"/>
              <w:rPr>
                <w:color w:val="auto"/>
                <w:highlight w:val="none"/>
              </w:rPr>
            </w:pPr>
            <w:r>
              <w:rPr>
                <w:rFonts w:hint="eastAsia" w:cs="宋体"/>
                <w:color w:val="auto"/>
                <w:highlight w:val="none"/>
              </w:rPr>
              <w:t>面积（平方米）</w:t>
            </w:r>
          </w:p>
        </w:tc>
        <w:tc>
          <w:tcPr>
            <w:tcW w:w="2356" w:type="dxa"/>
            <w:vAlign w:val="center"/>
          </w:tcPr>
          <w:p w14:paraId="6677522C">
            <w:pPr>
              <w:jc w:val="center"/>
              <w:rPr>
                <w:color w:val="auto"/>
                <w:highlight w:val="none"/>
              </w:rPr>
            </w:pPr>
            <w:r>
              <w:rPr>
                <w:rFonts w:hint="eastAsia" w:cs="宋体"/>
                <w:color w:val="auto"/>
                <w:highlight w:val="none"/>
              </w:rPr>
              <w:t>位置</w:t>
            </w:r>
          </w:p>
        </w:tc>
        <w:tc>
          <w:tcPr>
            <w:tcW w:w="2136" w:type="dxa"/>
            <w:vAlign w:val="center"/>
          </w:tcPr>
          <w:p w14:paraId="1886C0AB">
            <w:pPr>
              <w:jc w:val="center"/>
              <w:rPr>
                <w:color w:val="auto"/>
                <w:highlight w:val="none"/>
              </w:rPr>
            </w:pPr>
            <w:r>
              <w:rPr>
                <w:rFonts w:hint="eastAsia" w:cs="宋体"/>
                <w:color w:val="auto"/>
                <w:highlight w:val="none"/>
              </w:rPr>
              <w:t>需用时间</w:t>
            </w:r>
          </w:p>
        </w:tc>
      </w:tr>
      <w:tr w14:paraId="33575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56" w:type="dxa"/>
          </w:tcPr>
          <w:p w14:paraId="1821DF55">
            <w:pPr>
              <w:rPr>
                <w:color w:val="auto"/>
                <w:highlight w:val="none"/>
              </w:rPr>
            </w:pPr>
          </w:p>
        </w:tc>
        <w:tc>
          <w:tcPr>
            <w:tcW w:w="2357" w:type="dxa"/>
          </w:tcPr>
          <w:p w14:paraId="07C62CE2">
            <w:pPr>
              <w:rPr>
                <w:color w:val="auto"/>
                <w:highlight w:val="none"/>
              </w:rPr>
            </w:pPr>
          </w:p>
        </w:tc>
        <w:tc>
          <w:tcPr>
            <w:tcW w:w="2356" w:type="dxa"/>
          </w:tcPr>
          <w:p w14:paraId="43CE47D6">
            <w:pPr>
              <w:rPr>
                <w:color w:val="auto"/>
                <w:highlight w:val="none"/>
              </w:rPr>
            </w:pPr>
          </w:p>
        </w:tc>
        <w:tc>
          <w:tcPr>
            <w:tcW w:w="2136" w:type="dxa"/>
          </w:tcPr>
          <w:p w14:paraId="470006FF">
            <w:pPr>
              <w:rPr>
                <w:color w:val="auto"/>
                <w:highlight w:val="none"/>
              </w:rPr>
            </w:pPr>
          </w:p>
        </w:tc>
      </w:tr>
      <w:tr w14:paraId="78159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56" w:type="dxa"/>
          </w:tcPr>
          <w:p w14:paraId="68391BB4">
            <w:pPr>
              <w:rPr>
                <w:color w:val="auto"/>
                <w:highlight w:val="none"/>
              </w:rPr>
            </w:pPr>
          </w:p>
        </w:tc>
        <w:tc>
          <w:tcPr>
            <w:tcW w:w="2357" w:type="dxa"/>
          </w:tcPr>
          <w:p w14:paraId="0BF6FE0A">
            <w:pPr>
              <w:rPr>
                <w:color w:val="auto"/>
                <w:highlight w:val="none"/>
              </w:rPr>
            </w:pPr>
          </w:p>
        </w:tc>
        <w:tc>
          <w:tcPr>
            <w:tcW w:w="2356" w:type="dxa"/>
          </w:tcPr>
          <w:p w14:paraId="270D88EB">
            <w:pPr>
              <w:rPr>
                <w:color w:val="auto"/>
                <w:highlight w:val="none"/>
              </w:rPr>
            </w:pPr>
          </w:p>
        </w:tc>
        <w:tc>
          <w:tcPr>
            <w:tcW w:w="2136" w:type="dxa"/>
          </w:tcPr>
          <w:p w14:paraId="1ED703FF">
            <w:pPr>
              <w:rPr>
                <w:color w:val="auto"/>
                <w:highlight w:val="none"/>
              </w:rPr>
            </w:pPr>
          </w:p>
        </w:tc>
      </w:tr>
      <w:tr w14:paraId="1B26A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2356" w:type="dxa"/>
          </w:tcPr>
          <w:p w14:paraId="43080F10">
            <w:pPr>
              <w:rPr>
                <w:color w:val="auto"/>
                <w:highlight w:val="none"/>
              </w:rPr>
            </w:pPr>
          </w:p>
        </w:tc>
        <w:tc>
          <w:tcPr>
            <w:tcW w:w="2357" w:type="dxa"/>
          </w:tcPr>
          <w:p w14:paraId="6B78550F">
            <w:pPr>
              <w:rPr>
                <w:color w:val="auto"/>
                <w:highlight w:val="none"/>
              </w:rPr>
            </w:pPr>
          </w:p>
        </w:tc>
        <w:tc>
          <w:tcPr>
            <w:tcW w:w="2356" w:type="dxa"/>
          </w:tcPr>
          <w:p w14:paraId="2A3F2EB2">
            <w:pPr>
              <w:rPr>
                <w:color w:val="auto"/>
                <w:highlight w:val="none"/>
              </w:rPr>
            </w:pPr>
          </w:p>
        </w:tc>
        <w:tc>
          <w:tcPr>
            <w:tcW w:w="2136" w:type="dxa"/>
          </w:tcPr>
          <w:p w14:paraId="7620A46A">
            <w:pPr>
              <w:rPr>
                <w:color w:val="auto"/>
                <w:highlight w:val="none"/>
              </w:rPr>
            </w:pPr>
          </w:p>
        </w:tc>
      </w:tr>
      <w:tr w14:paraId="2FC85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56" w:type="dxa"/>
          </w:tcPr>
          <w:p w14:paraId="005A9CB4">
            <w:pPr>
              <w:rPr>
                <w:color w:val="auto"/>
                <w:highlight w:val="none"/>
              </w:rPr>
            </w:pPr>
          </w:p>
        </w:tc>
        <w:tc>
          <w:tcPr>
            <w:tcW w:w="2357" w:type="dxa"/>
          </w:tcPr>
          <w:p w14:paraId="33D84FAA">
            <w:pPr>
              <w:rPr>
                <w:color w:val="auto"/>
                <w:highlight w:val="none"/>
              </w:rPr>
            </w:pPr>
          </w:p>
        </w:tc>
        <w:tc>
          <w:tcPr>
            <w:tcW w:w="2356" w:type="dxa"/>
          </w:tcPr>
          <w:p w14:paraId="188F8FD9">
            <w:pPr>
              <w:rPr>
                <w:color w:val="auto"/>
                <w:highlight w:val="none"/>
              </w:rPr>
            </w:pPr>
          </w:p>
        </w:tc>
        <w:tc>
          <w:tcPr>
            <w:tcW w:w="2136" w:type="dxa"/>
          </w:tcPr>
          <w:p w14:paraId="3E7DBF2E">
            <w:pPr>
              <w:rPr>
                <w:color w:val="auto"/>
                <w:highlight w:val="none"/>
              </w:rPr>
            </w:pPr>
          </w:p>
        </w:tc>
      </w:tr>
    </w:tbl>
    <w:p w14:paraId="2F141941">
      <w:pPr>
        <w:spacing w:line="360" w:lineRule="auto"/>
        <w:ind w:firstLine="880" w:firstLineChars="200"/>
        <w:rPr>
          <w:rFonts w:ascii="方正小标宋简体" w:hAnsi="方正小标宋简体" w:eastAsia="方正小标宋简体" w:cs="方正小标宋简体"/>
          <w:bCs/>
          <w:color w:val="auto"/>
          <w:sz w:val="44"/>
          <w:szCs w:val="44"/>
          <w:highlight w:val="none"/>
        </w:rPr>
      </w:pPr>
    </w:p>
    <w:p w14:paraId="6076DCAC">
      <w:pPr>
        <w:spacing w:line="360" w:lineRule="auto"/>
        <w:jc w:val="center"/>
        <w:rPr>
          <w:rFonts w:ascii="方正小标宋简体" w:hAnsi="方正小标宋简体" w:eastAsia="方正小标宋简体" w:cs="方正小标宋简体"/>
          <w:bCs/>
          <w:color w:val="auto"/>
          <w:sz w:val="44"/>
          <w:szCs w:val="44"/>
          <w:highlight w:val="none"/>
        </w:rPr>
      </w:pPr>
      <w:r>
        <w:rPr>
          <w:rFonts w:ascii="方正小标宋简体" w:hAnsi="方正小标宋简体" w:eastAsia="方正小标宋简体" w:cs="方正小标宋简体"/>
          <w:bCs/>
          <w:color w:val="auto"/>
          <w:sz w:val="44"/>
          <w:szCs w:val="44"/>
          <w:highlight w:val="none"/>
        </w:rPr>
        <w:br w:type="page"/>
      </w:r>
    </w:p>
    <w:p w14:paraId="5DE1AB4A">
      <w:pPr>
        <w:adjustRightInd w:val="0"/>
        <w:snapToGrid w:val="0"/>
        <w:spacing w:line="300" w:lineRule="auto"/>
        <w:jc w:val="center"/>
        <w:rPr>
          <w:rFonts w:ascii="宋体" w:hAnsi="宋体"/>
          <w:b/>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项目管理机构配备情况表及主要人员简历表</w:t>
      </w:r>
    </w:p>
    <w:p w14:paraId="16E6845D">
      <w:pPr>
        <w:snapToGrid w:val="0"/>
        <w:spacing w:beforeLines="50" w:after="50"/>
        <w:jc w:val="center"/>
        <w:rPr>
          <w:rFonts w:ascii="宋体" w:hAnsi="宋体"/>
          <w:b/>
          <w:color w:val="auto"/>
          <w:sz w:val="32"/>
          <w:szCs w:val="32"/>
          <w:highlight w:val="none"/>
        </w:rPr>
      </w:pPr>
      <w:r>
        <w:rPr>
          <w:rFonts w:hint="eastAsia" w:ascii="宋体" w:hAnsi="宋体"/>
          <w:b/>
          <w:color w:val="auto"/>
          <w:sz w:val="32"/>
          <w:szCs w:val="32"/>
          <w:highlight w:val="none"/>
        </w:rPr>
        <w:t>（一）项目管理机构配备情况表</w:t>
      </w:r>
    </w:p>
    <w:p w14:paraId="0FB262C0">
      <w:pPr>
        <w:pStyle w:val="24"/>
        <w:spacing w:line="360" w:lineRule="auto"/>
        <w:contextualSpacing/>
        <w:rPr>
          <w:color w:val="auto"/>
          <w:sz w:val="24"/>
          <w:szCs w:val="24"/>
          <w:highlight w:val="none"/>
        </w:rPr>
      </w:pPr>
      <w:r>
        <w:rPr>
          <w:rFonts w:hint="eastAsia" w:hAnsi="宋体" w:cs="仿宋_GB2312"/>
          <w:color w:val="auto"/>
          <w:sz w:val="24"/>
          <w:highlight w:val="none"/>
        </w:rPr>
        <w:t>分标（如有）</w:t>
      </w:r>
      <w:r>
        <w:rPr>
          <w:rFonts w:hint="eastAsia"/>
          <w:color w:val="auto"/>
          <w:sz w:val="24"/>
          <w:szCs w:val="24"/>
          <w:highlight w:val="none"/>
        </w:rPr>
        <w:t>：</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
        <w:gridCol w:w="670"/>
        <w:gridCol w:w="829"/>
        <w:gridCol w:w="816"/>
        <w:gridCol w:w="1148"/>
        <w:gridCol w:w="1148"/>
        <w:gridCol w:w="1148"/>
        <w:gridCol w:w="744"/>
        <w:gridCol w:w="1167"/>
        <w:gridCol w:w="1276"/>
      </w:tblGrid>
      <w:tr w14:paraId="1CAB2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920" w:type="dxa"/>
            <w:vMerge w:val="restart"/>
            <w:vAlign w:val="center"/>
          </w:tcPr>
          <w:p w14:paraId="7FA49C5F">
            <w:pPr>
              <w:ind w:left="223" w:hanging="222" w:hangingChars="106"/>
              <w:jc w:val="center"/>
              <w:rPr>
                <w:color w:val="auto"/>
                <w:highlight w:val="none"/>
              </w:rPr>
            </w:pPr>
            <w:r>
              <w:rPr>
                <w:color w:val="auto"/>
                <w:highlight w:val="none"/>
              </w:rPr>
              <w:t>岗位</w:t>
            </w:r>
          </w:p>
        </w:tc>
        <w:tc>
          <w:tcPr>
            <w:tcW w:w="670" w:type="dxa"/>
            <w:vMerge w:val="restart"/>
            <w:vAlign w:val="center"/>
          </w:tcPr>
          <w:p w14:paraId="1CA51533">
            <w:pPr>
              <w:ind w:left="223" w:hanging="222" w:hangingChars="106"/>
              <w:jc w:val="center"/>
              <w:rPr>
                <w:color w:val="auto"/>
                <w:highlight w:val="none"/>
              </w:rPr>
            </w:pPr>
            <w:r>
              <w:rPr>
                <w:color w:val="auto"/>
                <w:highlight w:val="none"/>
              </w:rPr>
              <w:t>姓名</w:t>
            </w:r>
          </w:p>
        </w:tc>
        <w:tc>
          <w:tcPr>
            <w:tcW w:w="829" w:type="dxa"/>
            <w:vMerge w:val="restart"/>
            <w:vAlign w:val="center"/>
          </w:tcPr>
          <w:p w14:paraId="62166513">
            <w:pPr>
              <w:jc w:val="center"/>
              <w:rPr>
                <w:color w:val="auto"/>
                <w:highlight w:val="none"/>
              </w:rPr>
            </w:pPr>
            <w:r>
              <w:rPr>
                <w:color w:val="auto"/>
                <w:highlight w:val="none"/>
              </w:rPr>
              <w:t>身份证号</w:t>
            </w:r>
          </w:p>
        </w:tc>
        <w:tc>
          <w:tcPr>
            <w:tcW w:w="816" w:type="dxa"/>
            <w:vMerge w:val="restart"/>
            <w:vAlign w:val="center"/>
          </w:tcPr>
          <w:p w14:paraId="274985CC">
            <w:pPr>
              <w:ind w:left="223" w:hanging="222" w:hangingChars="106"/>
              <w:jc w:val="center"/>
              <w:rPr>
                <w:color w:val="auto"/>
                <w:highlight w:val="none"/>
              </w:rPr>
            </w:pPr>
            <w:r>
              <w:rPr>
                <w:color w:val="auto"/>
                <w:highlight w:val="none"/>
              </w:rPr>
              <w:t>职称</w:t>
            </w:r>
          </w:p>
        </w:tc>
        <w:tc>
          <w:tcPr>
            <w:tcW w:w="4188" w:type="dxa"/>
            <w:gridSpan w:val="4"/>
            <w:vAlign w:val="center"/>
          </w:tcPr>
          <w:p w14:paraId="462CEF16">
            <w:pPr>
              <w:ind w:left="223" w:hanging="222" w:hangingChars="106"/>
              <w:jc w:val="center"/>
              <w:rPr>
                <w:color w:val="auto"/>
                <w:highlight w:val="none"/>
              </w:rPr>
            </w:pPr>
            <w:r>
              <w:rPr>
                <w:color w:val="auto"/>
                <w:highlight w:val="none"/>
              </w:rPr>
              <w:t>执业或职业资格</w:t>
            </w:r>
          </w:p>
        </w:tc>
        <w:tc>
          <w:tcPr>
            <w:tcW w:w="2443" w:type="dxa"/>
            <w:gridSpan w:val="2"/>
            <w:vAlign w:val="center"/>
          </w:tcPr>
          <w:p w14:paraId="7D37C682">
            <w:pPr>
              <w:jc w:val="left"/>
              <w:rPr>
                <w:color w:val="auto"/>
                <w:highlight w:val="none"/>
              </w:rPr>
            </w:pPr>
            <w:r>
              <w:rPr>
                <w:color w:val="auto"/>
                <w:highlight w:val="none"/>
              </w:rPr>
              <w:t>承担完工</w:t>
            </w:r>
            <w:r>
              <w:rPr>
                <w:rFonts w:hint="eastAsia"/>
                <w:color w:val="auto"/>
                <w:highlight w:val="none"/>
              </w:rPr>
              <w:t>、</w:t>
            </w:r>
            <w:r>
              <w:rPr>
                <w:color w:val="auto"/>
                <w:highlight w:val="none"/>
              </w:rPr>
              <w:t>在建工程情况</w:t>
            </w:r>
          </w:p>
        </w:tc>
      </w:tr>
      <w:tr w14:paraId="074A7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920" w:type="dxa"/>
            <w:vMerge w:val="continue"/>
            <w:vAlign w:val="center"/>
          </w:tcPr>
          <w:p w14:paraId="75465002">
            <w:pPr>
              <w:ind w:left="223" w:hanging="222" w:hangingChars="106"/>
              <w:jc w:val="center"/>
              <w:rPr>
                <w:color w:val="auto"/>
                <w:highlight w:val="none"/>
              </w:rPr>
            </w:pPr>
          </w:p>
        </w:tc>
        <w:tc>
          <w:tcPr>
            <w:tcW w:w="670" w:type="dxa"/>
            <w:vMerge w:val="continue"/>
            <w:vAlign w:val="center"/>
          </w:tcPr>
          <w:p w14:paraId="4897EA05">
            <w:pPr>
              <w:ind w:left="223" w:hanging="222" w:hangingChars="106"/>
              <w:jc w:val="center"/>
              <w:rPr>
                <w:color w:val="auto"/>
                <w:highlight w:val="none"/>
              </w:rPr>
            </w:pPr>
          </w:p>
        </w:tc>
        <w:tc>
          <w:tcPr>
            <w:tcW w:w="829" w:type="dxa"/>
            <w:vMerge w:val="continue"/>
            <w:vAlign w:val="center"/>
          </w:tcPr>
          <w:p w14:paraId="3455A151">
            <w:pPr>
              <w:ind w:left="223" w:hanging="222" w:hangingChars="106"/>
              <w:jc w:val="center"/>
              <w:rPr>
                <w:color w:val="auto"/>
                <w:highlight w:val="none"/>
              </w:rPr>
            </w:pPr>
          </w:p>
        </w:tc>
        <w:tc>
          <w:tcPr>
            <w:tcW w:w="816" w:type="dxa"/>
            <w:vMerge w:val="continue"/>
            <w:vAlign w:val="center"/>
          </w:tcPr>
          <w:p w14:paraId="645F9EF3">
            <w:pPr>
              <w:ind w:left="223" w:hanging="222" w:hangingChars="106"/>
              <w:jc w:val="center"/>
              <w:rPr>
                <w:color w:val="auto"/>
                <w:highlight w:val="none"/>
              </w:rPr>
            </w:pPr>
          </w:p>
        </w:tc>
        <w:tc>
          <w:tcPr>
            <w:tcW w:w="1148" w:type="dxa"/>
            <w:vAlign w:val="center"/>
          </w:tcPr>
          <w:p w14:paraId="1E1CC6E9">
            <w:pPr>
              <w:ind w:left="223" w:hanging="222" w:hangingChars="106"/>
              <w:jc w:val="center"/>
              <w:rPr>
                <w:color w:val="auto"/>
                <w:highlight w:val="none"/>
              </w:rPr>
            </w:pPr>
            <w:r>
              <w:rPr>
                <w:color w:val="auto"/>
                <w:highlight w:val="none"/>
              </w:rPr>
              <w:t>证书名称</w:t>
            </w:r>
          </w:p>
        </w:tc>
        <w:tc>
          <w:tcPr>
            <w:tcW w:w="1148" w:type="dxa"/>
            <w:vAlign w:val="center"/>
          </w:tcPr>
          <w:p w14:paraId="7C75C198">
            <w:pPr>
              <w:ind w:left="223" w:hanging="222" w:hangingChars="106"/>
              <w:jc w:val="center"/>
              <w:rPr>
                <w:color w:val="auto"/>
                <w:highlight w:val="none"/>
              </w:rPr>
            </w:pPr>
            <w:r>
              <w:rPr>
                <w:color w:val="auto"/>
                <w:highlight w:val="none"/>
              </w:rPr>
              <w:t>级别</w:t>
            </w:r>
          </w:p>
        </w:tc>
        <w:tc>
          <w:tcPr>
            <w:tcW w:w="1148" w:type="dxa"/>
            <w:vAlign w:val="center"/>
          </w:tcPr>
          <w:p w14:paraId="5A12A25E">
            <w:pPr>
              <w:ind w:left="223" w:hanging="222" w:hangingChars="106"/>
              <w:jc w:val="center"/>
              <w:rPr>
                <w:color w:val="auto"/>
                <w:highlight w:val="none"/>
              </w:rPr>
            </w:pPr>
            <w:r>
              <w:rPr>
                <w:color w:val="auto"/>
                <w:highlight w:val="none"/>
              </w:rPr>
              <w:t>证号</w:t>
            </w:r>
          </w:p>
        </w:tc>
        <w:tc>
          <w:tcPr>
            <w:tcW w:w="744" w:type="dxa"/>
            <w:vAlign w:val="center"/>
          </w:tcPr>
          <w:p w14:paraId="4B7EC248">
            <w:pPr>
              <w:ind w:left="223" w:hanging="222" w:hangingChars="106"/>
              <w:jc w:val="center"/>
              <w:rPr>
                <w:color w:val="auto"/>
                <w:highlight w:val="none"/>
              </w:rPr>
            </w:pPr>
            <w:r>
              <w:rPr>
                <w:color w:val="auto"/>
                <w:highlight w:val="none"/>
              </w:rPr>
              <w:t>专业</w:t>
            </w:r>
          </w:p>
        </w:tc>
        <w:tc>
          <w:tcPr>
            <w:tcW w:w="1167" w:type="dxa"/>
            <w:vAlign w:val="center"/>
          </w:tcPr>
          <w:p w14:paraId="297D1FB4">
            <w:pPr>
              <w:jc w:val="center"/>
              <w:rPr>
                <w:color w:val="auto"/>
                <w:highlight w:val="none"/>
              </w:rPr>
            </w:pPr>
            <w:r>
              <w:rPr>
                <w:rFonts w:hint="eastAsia"/>
                <w:color w:val="auto"/>
                <w:highlight w:val="none"/>
              </w:rPr>
              <w:t>完工/在建</w:t>
            </w:r>
          </w:p>
        </w:tc>
        <w:tc>
          <w:tcPr>
            <w:tcW w:w="1276" w:type="dxa"/>
            <w:vAlign w:val="center"/>
          </w:tcPr>
          <w:p w14:paraId="73CCC18F">
            <w:pPr>
              <w:jc w:val="center"/>
              <w:rPr>
                <w:color w:val="auto"/>
                <w:highlight w:val="none"/>
              </w:rPr>
            </w:pPr>
            <w:r>
              <w:rPr>
                <w:color w:val="auto"/>
                <w:highlight w:val="none"/>
              </w:rPr>
              <w:t>主要项目</w:t>
            </w:r>
          </w:p>
          <w:p w14:paraId="71E23F1C">
            <w:pPr>
              <w:jc w:val="center"/>
              <w:rPr>
                <w:color w:val="auto"/>
                <w:highlight w:val="none"/>
              </w:rPr>
            </w:pPr>
            <w:r>
              <w:rPr>
                <w:color w:val="auto"/>
                <w:highlight w:val="none"/>
              </w:rPr>
              <w:t>名称</w:t>
            </w:r>
          </w:p>
        </w:tc>
      </w:tr>
      <w:tr w14:paraId="7C990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vAlign w:val="center"/>
          </w:tcPr>
          <w:p w14:paraId="22D34BBF">
            <w:pPr>
              <w:pStyle w:val="171"/>
              <w:spacing w:line="240" w:lineRule="auto"/>
              <w:ind w:firstLine="0"/>
              <w:rPr>
                <w:color w:val="auto"/>
                <w:sz w:val="21"/>
                <w:szCs w:val="21"/>
                <w:highlight w:val="none"/>
              </w:rPr>
            </w:pPr>
            <w:r>
              <w:rPr>
                <w:rFonts w:ascii="Times New Roman" w:hAnsi="Times New Roman" w:eastAsia="Times New Roman" w:cs="Times New Roman"/>
                <w:color w:val="auto"/>
                <w:sz w:val="21"/>
                <w:szCs w:val="21"/>
                <w:highlight w:val="none"/>
                <w:lang w:val="en-US" w:eastAsia="en-US" w:bidi="en-US"/>
              </w:rPr>
              <w:t>1.</w:t>
            </w:r>
            <w:r>
              <w:rPr>
                <w:color w:val="auto"/>
                <w:sz w:val="21"/>
                <w:szCs w:val="21"/>
                <w:highlight w:val="none"/>
              </w:rPr>
              <w:t>项目经理</w:t>
            </w:r>
          </w:p>
        </w:tc>
        <w:tc>
          <w:tcPr>
            <w:tcW w:w="670" w:type="dxa"/>
            <w:vAlign w:val="center"/>
          </w:tcPr>
          <w:p w14:paraId="62DBF35A">
            <w:pPr>
              <w:ind w:left="223" w:hanging="222" w:hangingChars="106"/>
              <w:jc w:val="center"/>
              <w:rPr>
                <w:color w:val="auto"/>
                <w:szCs w:val="21"/>
                <w:highlight w:val="none"/>
              </w:rPr>
            </w:pPr>
          </w:p>
        </w:tc>
        <w:tc>
          <w:tcPr>
            <w:tcW w:w="829" w:type="dxa"/>
            <w:vAlign w:val="center"/>
          </w:tcPr>
          <w:p w14:paraId="757021F1">
            <w:pPr>
              <w:ind w:left="223" w:hanging="222" w:hangingChars="106"/>
              <w:jc w:val="center"/>
              <w:rPr>
                <w:color w:val="auto"/>
                <w:szCs w:val="21"/>
                <w:highlight w:val="none"/>
              </w:rPr>
            </w:pPr>
          </w:p>
        </w:tc>
        <w:tc>
          <w:tcPr>
            <w:tcW w:w="816" w:type="dxa"/>
            <w:vAlign w:val="center"/>
          </w:tcPr>
          <w:p w14:paraId="7AE4F9E2">
            <w:pPr>
              <w:ind w:left="223" w:hanging="222" w:hangingChars="106"/>
              <w:jc w:val="center"/>
              <w:rPr>
                <w:color w:val="auto"/>
                <w:szCs w:val="21"/>
                <w:highlight w:val="none"/>
              </w:rPr>
            </w:pPr>
          </w:p>
        </w:tc>
        <w:tc>
          <w:tcPr>
            <w:tcW w:w="1148" w:type="dxa"/>
            <w:vAlign w:val="center"/>
          </w:tcPr>
          <w:p w14:paraId="1E43BD7D">
            <w:pPr>
              <w:ind w:left="223" w:hanging="222" w:hangingChars="106"/>
              <w:jc w:val="center"/>
              <w:rPr>
                <w:color w:val="auto"/>
                <w:szCs w:val="21"/>
                <w:highlight w:val="none"/>
              </w:rPr>
            </w:pPr>
          </w:p>
        </w:tc>
        <w:tc>
          <w:tcPr>
            <w:tcW w:w="1148" w:type="dxa"/>
            <w:vAlign w:val="center"/>
          </w:tcPr>
          <w:p w14:paraId="7C954C10">
            <w:pPr>
              <w:ind w:left="223" w:hanging="222" w:hangingChars="106"/>
              <w:jc w:val="center"/>
              <w:rPr>
                <w:color w:val="auto"/>
                <w:szCs w:val="21"/>
                <w:highlight w:val="none"/>
              </w:rPr>
            </w:pPr>
          </w:p>
        </w:tc>
        <w:tc>
          <w:tcPr>
            <w:tcW w:w="1148" w:type="dxa"/>
            <w:vAlign w:val="center"/>
          </w:tcPr>
          <w:p w14:paraId="1868E07E">
            <w:pPr>
              <w:ind w:left="223" w:hanging="222" w:hangingChars="106"/>
              <w:jc w:val="center"/>
              <w:rPr>
                <w:color w:val="auto"/>
                <w:szCs w:val="21"/>
                <w:highlight w:val="none"/>
              </w:rPr>
            </w:pPr>
          </w:p>
        </w:tc>
        <w:tc>
          <w:tcPr>
            <w:tcW w:w="744" w:type="dxa"/>
            <w:vAlign w:val="center"/>
          </w:tcPr>
          <w:p w14:paraId="73203E2A">
            <w:pPr>
              <w:ind w:left="223" w:hanging="222" w:hangingChars="106"/>
              <w:jc w:val="center"/>
              <w:rPr>
                <w:color w:val="auto"/>
                <w:szCs w:val="21"/>
                <w:highlight w:val="none"/>
              </w:rPr>
            </w:pPr>
          </w:p>
        </w:tc>
        <w:tc>
          <w:tcPr>
            <w:tcW w:w="1167" w:type="dxa"/>
            <w:vAlign w:val="center"/>
          </w:tcPr>
          <w:p w14:paraId="31165038">
            <w:pPr>
              <w:ind w:left="223" w:hanging="222" w:hangingChars="106"/>
              <w:jc w:val="center"/>
              <w:rPr>
                <w:color w:val="auto"/>
                <w:szCs w:val="21"/>
                <w:highlight w:val="none"/>
              </w:rPr>
            </w:pPr>
          </w:p>
        </w:tc>
        <w:tc>
          <w:tcPr>
            <w:tcW w:w="1276" w:type="dxa"/>
            <w:vAlign w:val="center"/>
          </w:tcPr>
          <w:p w14:paraId="4437E2FE">
            <w:pPr>
              <w:ind w:left="223" w:hanging="222" w:hangingChars="106"/>
              <w:jc w:val="center"/>
              <w:rPr>
                <w:color w:val="auto"/>
                <w:szCs w:val="21"/>
                <w:highlight w:val="none"/>
              </w:rPr>
            </w:pPr>
          </w:p>
        </w:tc>
      </w:tr>
      <w:tr w14:paraId="6D625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vAlign w:val="center"/>
          </w:tcPr>
          <w:p w14:paraId="0F3D9909">
            <w:pPr>
              <w:pStyle w:val="171"/>
              <w:spacing w:line="240" w:lineRule="auto"/>
              <w:ind w:firstLine="0"/>
              <w:rPr>
                <w:color w:val="auto"/>
                <w:sz w:val="21"/>
                <w:szCs w:val="21"/>
                <w:highlight w:val="none"/>
              </w:rPr>
            </w:pPr>
            <w:r>
              <w:rPr>
                <w:rFonts w:ascii="Times New Roman" w:hAnsi="Times New Roman" w:eastAsia="Times New Roman" w:cs="Times New Roman"/>
                <w:color w:val="auto"/>
                <w:sz w:val="21"/>
                <w:szCs w:val="21"/>
                <w:highlight w:val="none"/>
                <w:lang w:val="en-US" w:bidi="en-US"/>
              </w:rPr>
              <w:t>2.</w:t>
            </w:r>
            <w:r>
              <w:rPr>
                <w:color w:val="auto"/>
                <w:sz w:val="21"/>
                <w:szCs w:val="21"/>
                <w:highlight w:val="none"/>
              </w:rPr>
              <w:t>技术负责人</w:t>
            </w:r>
            <w:r>
              <w:rPr>
                <w:rFonts w:hint="eastAsia"/>
                <w:color w:val="auto"/>
                <w:sz w:val="21"/>
                <w:szCs w:val="21"/>
                <w:highlight w:val="none"/>
              </w:rPr>
              <w:t>（项目总工）</w:t>
            </w:r>
          </w:p>
        </w:tc>
        <w:tc>
          <w:tcPr>
            <w:tcW w:w="670" w:type="dxa"/>
            <w:vAlign w:val="center"/>
          </w:tcPr>
          <w:p w14:paraId="27C4886C">
            <w:pPr>
              <w:ind w:left="223" w:hanging="222" w:hangingChars="106"/>
              <w:jc w:val="center"/>
              <w:rPr>
                <w:color w:val="auto"/>
                <w:szCs w:val="21"/>
                <w:highlight w:val="none"/>
              </w:rPr>
            </w:pPr>
          </w:p>
        </w:tc>
        <w:tc>
          <w:tcPr>
            <w:tcW w:w="829" w:type="dxa"/>
            <w:vAlign w:val="center"/>
          </w:tcPr>
          <w:p w14:paraId="712B67DE">
            <w:pPr>
              <w:ind w:left="223" w:hanging="222" w:hangingChars="106"/>
              <w:jc w:val="center"/>
              <w:rPr>
                <w:color w:val="auto"/>
                <w:szCs w:val="21"/>
                <w:highlight w:val="none"/>
              </w:rPr>
            </w:pPr>
          </w:p>
        </w:tc>
        <w:tc>
          <w:tcPr>
            <w:tcW w:w="816" w:type="dxa"/>
            <w:vAlign w:val="center"/>
          </w:tcPr>
          <w:p w14:paraId="5A234518">
            <w:pPr>
              <w:ind w:left="223" w:hanging="222" w:hangingChars="106"/>
              <w:jc w:val="center"/>
              <w:rPr>
                <w:color w:val="auto"/>
                <w:szCs w:val="21"/>
                <w:highlight w:val="none"/>
              </w:rPr>
            </w:pPr>
          </w:p>
        </w:tc>
        <w:tc>
          <w:tcPr>
            <w:tcW w:w="1148" w:type="dxa"/>
            <w:vAlign w:val="center"/>
          </w:tcPr>
          <w:p w14:paraId="5886CE3E">
            <w:pPr>
              <w:ind w:left="223" w:hanging="222" w:hangingChars="106"/>
              <w:jc w:val="center"/>
              <w:rPr>
                <w:color w:val="auto"/>
                <w:szCs w:val="21"/>
                <w:highlight w:val="none"/>
              </w:rPr>
            </w:pPr>
          </w:p>
        </w:tc>
        <w:tc>
          <w:tcPr>
            <w:tcW w:w="1148" w:type="dxa"/>
            <w:vAlign w:val="center"/>
          </w:tcPr>
          <w:p w14:paraId="4366E7A4">
            <w:pPr>
              <w:ind w:left="223" w:hanging="222" w:hangingChars="106"/>
              <w:jc w:val="center"/>
              <w:rPr>
                <w:color w:val="auto"/>
                <w:szCs w:val="21"/>
                <w:highlight w:val="none"/>
              </w:rPr>
            </w:pPr>
          </w:p>
        </w:tc>
        <w:tc>
          <w:tcPr>
            <w:tcW w:w="1148" w:type="dxa"/>
            <w:vAlign w:val="center"/>
          </w:tcPr>
          <w:p w14:paraId="50E52085">
            <w:pPr>
              <w:ind w:left="223" w:hanging="222" w:hangingChars="106"/>
              <w:jc w:val="center"/>
              <w:rPr>
                <w:color w:val="auto"/>
                <w:szCs w:val="21"/>
                <w:highlight w:val="none"/>
              </w:rPr>
            </w:pPr>
          </w:p>
        </w:tc>
        <w:tc>
          <w:tcPr>
            <w:tcW w:w="744" w:type="dxa"/>
            <w:vAlign w:val="center"/>
          </w:tcPr>
          <w:p w14:paraId="18DB4AF2">
            <w:pPr>
              <w:ind w:left="223" w:hanging="222" w:hangingChars="106"/>
              <w:jc w:val="center"/>
              <w:rPr>
                <w:color w:val="auto"/>
                <w:szCs w:val="21"/>
                <w:highlight w:val="none"/>
              </w:rPr>
            </w:pPr>
          </w:p>
        </w:tc>
        <w:tc>
          <w:tcPr>
            <w:tcW w:w="1167" w:type="dxa"/>
            <w:vAlign w:val="center"/>
          </w:tcPr>
          <w:p w14:paraId="38399657">
            <w:pPr>
              <w:ind w:left="223" w:hanging="222" w:hangingChars="106"/>
              <w:jc w:val="center"/>
              <w:rPr>
                <w:color w:val="auto"/>
                <w:szCs w:val="21"/>
                <w:highlight w:val="none"/>
              </w:rPr>
            </w:pPr>
          </w:p>
        </w:tc>
        <w:tc>
          <w:tcPr>
            <w:tcW w:w="1276" w:type="dxa"/>
            <w:vAlign w:val="center"/>
          </w:tcPr>
          <w:p w14:paraId="24A79D31">
            <w:pPr>
              <w:ind w:left="223" w:hanging="222" w:hangingChars="106"/>
              <w:jc w:val="center"/>
              <w:rPr>
                <w:color w:val="auto"/>
                <w:szCs w:val="21"/>
                <w:highlight w:val="none"/>
              </w:rPr>
            </w:pPr>
          </w:p>
        </w:tc>
      </w:tr>
      <w:tr w14:paraId="16C04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vAlign w:val="center"/>
          </w:tcPr>
          <w:p w14:paraId="001082D1">
            <w:pPr>
              <w:pStyle w:val="171"/>
              <w:spacing w:line="240" w:lineRule="auto"/>
              <w:ind w:firstLine="0"/>
              <w:rPr>
                <w:color w:val="auto"/>
                <w:sz w:val="21"/>
                <w:szCs w:val="21"/>
                <w:highlight w:val="none"/>
              </w:rPr>
            </w:pPr>
            <w:r>
              <w:rPr>
                <w:rFonts w:ascii="Times New Roman" w:hAnsi="Times New Roman" w:eastAsia="Times New Roman" w:cs="Times New Roman"/>
                <w:color w:val="auto"/>
                <w:sz w:val="21"/>
                <w:szCs w:val="21"/>
                <w:highlight w:val="none"/>
                <w:lang w:val="en-US" w:eastAsia="en-US" w:bidi="en-US"/>
              </w:rPr>
              <w:t>3.</w:t>
            </w:r>
            <w:r>
              <w:rPr>
                <w:rFonts w:hint="eastAsia"/>
                <w:color w:val="auto"/>
                <w:sz w:val="21"/>
                <w:szCs w:val="21"/>
                <w:highlight w:val="none"/>
              </w:rPr>
              <w:t xml:space="preserve"> 施工员</w:t>
            </w:r>
          </w:p>
        </w:tc>
        <w:tc>
          <w:tcPr>
            <w:tcW w:w="670" w:type="dxa"/>
            <w:vAlign w:val="center"/>
          </w:tcPr>
          <w:p w14:paraId="69F4C449">
            <w:pPr>
              <w:ind w:left="223" w:hanging="222" w:hangingChars="106"/>
              <w:jc w:val="center"/>
              <w:rPr>
                <w:color w:val="auto"/>
                <w:szCs w:val="21"/>
                <w:highlight w:val="none"/>
              </w:rPr>
            </w:pPr>
          </w:p>
        </w:tc>
        <w:tc>
          <w:tcPr>
            <w:tcW w:w="829" w:type="dxa"/>
            <w:vAlign w:val="center"/>
          </w:tcPr>
          <w:p w14:paraId="66646150">
            <w:pPr>
              <w:ind w:left="223" w:hanging="222" w:hangingChars="106"/>
              <w:jc w:val="center"/>
              <w:rPr>
                <w:color w:val="auto"/>
                <w:szCs w:val="21"/>
                <w:highlight w:val="none"/>
              </w:rPr>
            </w:pPr>
          </w:p>
        </w:tc>
        <w:tc>
          <w:tcPr>
            <w:tcW w:w="816" w:type="dxa"/>
            <w:vAlign w:val="center"/>
          </w:tcPr>
          <w:p w14:paraId="697190CD">
            <w:pPr>
              <w:ind w:left="223" w:hanging="222" w:hangingChars="106"/>
              <w:jc w:val="center"/>
              <w:rPr>
                <w:color w:val="auto"/>
                <w:szCs w:val="21"/>
                <w:highlight w:val="none"/>
              </w:rPr>
            </w:pPr>
          </w:p>
        </w:tc>
        <w:tc>
          <w:tcPr>
            <w:tcW w:w="1148" w:type="dxa"/>
            <w:vAlign w:val="center"/>
          </w:tcPr>
          <w:p w14:paraId="76AE7FE9">
            <w:pPr>
              <w:ind w:left="223" w:hanging="222" w:hangingChars="106"/>
              <w:jc w:val="center"/>
              <w:rPr>
                <w:color w:val="auto"/>
                <w:szCs w:val="21"/>
                <w:highlight w:val="none"/>
              </w:rPr>
            </w:pPr>
          </w:p>
        </w:tc>
        <w:tc>
          <w:tcPr>
            <w:tcW w:w="1148" w:type="dxa"/>
            <w:vAlign w:val="center"/>
          </w:tcPr>
          <w:p w14:paraId="1CB16D32">
            <w:pPr>
              <w:ind w:left="223" w:hanging="222" w:hangingChars="106"/>
              <w:jc w:val="center"/>
              <w:rPr>
                <w:color w:val="auto"/>
                <w:szCs w:val="21"/>
                <w:highlight w:val="none"/>
              </w:rPr>
            </w:pPr>
          </w:p>
        </w:tc>
        <w:tc>
          <w:tcPr>
            <w:tcW w:w="1148" w:type="dxa"/>
            <w:vAlign w:val="center"/>
          </w:tcPr>
          <w:p w14:paraId="0DF49865">
            <w:pPr>
              <w:ind w:left="223" w:hanging="222" w:hangingChars="106"/>
              <w:jc w:val="center"/>
              <w:rPr>
                <w:color w:val="auto"/>
                <w:szCs w:val="21"/>
                <w:highlight w:val="none"/>
              </w:rPr>
            </w:pPr>
          </w:p>
        </w:tc>
        <w:tc>
          <w:tcPr>
            <w:tcW w:w="744" w:type="dxa"/>
            <w:vAlign w:val="center"/>
          </w:tcPr>
          <w:p w14:paraId="2594DED0">
            <w:pPr>
              <w:ind w:left="223" w:hanging="222" w:hangingChars="106"/>
              <w:jc w:val="center"/>
              <w:rPr>
                <w:color w:val="auto"/>
                <w:szCs w:val="21"/>
                <w:highlight w:val="none"/>
              </w:rPr>
            </w:pPr>
          </w:p>
        </w:tc>
        <w:tc>
          <w:tcPr>
            <w:tcW w:w="1167" w:type="dxa"/>
            <w:vAlign w:val="center"/>
          </w:tcPr>
          <w:p w14:paraId="4189DC69">
            <w:pPr>
              <w:ind w:left="223" w:hanging="222" w:hangingChars="106"/>
              <w:jc w:val="center"/>
              <w:rPr>
                <w:color w:val="auto"/>
                <w:szCs w:val="21"/>
                <w:highlight w:val="none"/>
              </w:rPr>
            </w:pPr>
          </w:p>
        </w:tc>
        <w:tc>
          <w:tcPr>
            <w:tcW w:w="1276" w:type="dxa"/>
            <w:vAlign w:val="center"/>
          </w:tcPr>
          <w:p w14:paraId="46264056">
            <w:pPr>
              <w:ind w:left="223" w:hanging="222" w:hangingChars="106"/>
              <w:jc w:val="center"/>
              <w:rPr>
                <w:color w:val="auto"/>
                <w:szCs w:val="21"/>
                <w:highlight w:val="none"/>
              </w:rPr>
            </w:pPr>
          </w:p>
        </w:tc>
      </w:tr>
      <w:tr w14:paraId="2ABDA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vAlign w:val="center"/>
          </w:tcPr>
          <w:p w14:paraId="0C7165FA">
            <w:pPr>
              <w:pStyle w:val="171"/>
              <w:spacing w:line="240" w:lineRule="auto"/>
              <w:ind w:firstLine="0"/>
              <w:rPr>
                <w:color w:val="auto"/>
                <w:sz w:val="21"/>
                <w:szCs w:val="21"/>
                <w:highlight w:val="none"/>
              </w:rPr>
            </w:pPr>
            <w:r>
              <w:rPr>
                <w:rFonts w:ascii="Times New Roman" w:hAnsi="Times New Roman" w:eastAsia="Times New Roman" w:cs="Times New Roman"/>
                <w:color w:val="auto"/>
                <w:sz w:val="21"/>
                <w:szCs w:val="21"/>
                <w:highlight w:val="none"/>
                <w:lang w:val="en-US" w:eastAsia="en-US" w:bidi="en-US"/>
              </w:rPr>
              <w:t>4.</w:t>
            </w:r>
            <w:r>
              <w:rPr>
                <w:color w:val="auto"/>
                <w:sz w:val="21"/>
                <w:szCs w:val="21"/>
                <w:highlight w:val="none"/>
              </w:rPr>
              <w:t>安全员</w:t>
            </w:r>
          </w:p>
        </w:tc>
        <w:tc>
          <w:tcPr>
            <w:tcW w:w="670" w:type="dxa"/>
            <w:vAlign w:val="center"/>
          </w:tcPr>
          <w:p w14:paraId="4AE54F4E">
            <w:pPr>
              <w:ind w:left="223" w:hanging="222" w:hangingChars="106"/>
              <w:jc w:val="center"/>
              <w:rPr>
                <w:color w:val="auto"/>
                <w:szCs w:val="21"/>
                <w:highlight w:val="none"/>
              </w:rPr>
            </w:pPr>
          </w:p>
        </w:tc>
        <w:tc>
          <w:tcPr>
            <w:tcW w:w="829" w:type="dxa"/>
            <w:vAlign w:val="center"/>
          </w:tcPr>
          <w:p w14:paraId="2ED6C02C">
            <w:pPr>
              <w:ind w:left="223" w:hanging="222" w:hangingChars="106"/>
              <w:jc w:val="center"/>
              <w:rPr>
                <w:color w:val="auto"/>
                <w:szCs w:val="21"/>
                <w:highlight w:val="none"/>
              </w:rPr>
            </w:pPr>
          </w:p>
        </w:tc>
        <w:tc>
          <w:tcPr>
            <w:tcW w:w="816" w:type="dxa"/>
            <w:vAlign w:val="center"/>
          </w:tcPr>
          <w:p w14:paraId="2B0C36B5">
            <w:pPr>
              <w:ind w:left="223" w:hanging="222" w:hangingChars="106"/>
              <w:jc w:val="center"/>
              <w:rPr>
                <w:color w:val="auto"/>
                <w:szCs w:val="21"/>
                <w:highlight w:val="none"/>
              </w:rPr>
            </w:pPr>
          </w:p>
        </w:tc>
        <w:tc>
          <w:tcPr>
            <w:tcW w:w="1148" w:type="dxa"/>
            <w:vAlign w:val="center"/>
          </w:tcPr>
          <w:p w14:paraId="631DE7C7">
            <w:pPr>
              <w:ind w:left="223" w:hanging="222" w:hangingChars="106"/>
              <w:jc w:val="center"/>
              <w:rPr>
                <w:color w:val="auto"/>
                <w:szCs w:val="21"/>
                <w:highlight w:val="none"/>
              </w:rPr>
            </w:pPr>
          </w:p>
        </w:tc>
        <w:tc>
          <w:tcPr>
            <w:tcW w:w="1148" w:type="dxa"/>
            <w:vAlign w:val="center"/>
          </w:tcPr>
          <w:p w14:paraId="1FCAD5EC">
            <w:pPr>
              <w:ind w:left="223" w:hanging="222" w:hangingChars="106"/>
              <w:jc w:val="center"/>
              <w:rPr>
                <w:color w:val="auto"/>
                <w:szCs w:val="21"/>
                <w:highlight w:val="none"/>
              </w:rPr>
            </w:pPr>
          </w:p>
        </w:tc>
        <w:tc>
          <w:tcPr>
            <w:tcW w:w="1148" w:type="dxa"/>
            <w:vAlign w:val="center"/>
          </w:tcPr>
          <w:p w14:paraId="73727C37">
            <w:pPr>
              <w:ind w:left="223" w:hanging="222" w:hangingChars="106"/>
              <w:jc w:val="center"/>
              <w:rPr>
                <w:color w:val="auto"/>
                <w:szCs w:val="21"/>
                <w:highlight w:val="none"/>
              </w:rPr>
            </w:pPr>
          </w:p>
        </w:tc>
        <w:tc>
          <w:tcPr>
            <w:tcW w:w="744" w:type="dxa"/>
            <w:vAlign w:val="center"/>
          </w:tcPr>
          <w:p w14:paraId="531BAA06">
            <w:pPr>
              <w:ind w:left="223" w:hanging="222" w:hangingChars="106"/>
              <w:jc w:val="center"/>
              <w:rPr>
                <w:color w:val="auto"/>
                <w:szCs w:val="21"/>
                <w:highlight w:val="none"/>
              </w:rPr>
            </w:pPr>
          </w:p>
        </w:tc>
        <w:tc>
          <w:tcPr>
            <w:tcW w:w="1167" w:type="dxa"/>
            <w:vAlign w:val="center"/>
          </w:tcPr>
          <w:p w14:paraId="2452B81E">
            <w:pPr>
              <w:ind w:left="223" w:hanging="222" w:hangingChars="106"/>
              <w:jc w:val="center"/>
              <w:rPr>
                <w:color w:val="auto"/>
                <w:szCs w:val="21"/>
                <w:highlight w:val="none"/>
              </w:rPr>
            </w:pPr>
          </w:p>
        </w:tc>
        <w:tc>
          <w:tcPr>
            <w:tcW w:w="1276" w:type="dxa"/>
            <w:vAlign w:val="center"/>
          </w:tcPr>
          <w:p w14:paraId="3B53A950">
            <w:pPr>
              <w:ind w:left="223" w:hanging="222" w:hangingChars="106"/>
              <w:jc w:val="center"/>
              <w:rPr>
                <w:color w:val="auto"/>
                <w:szCs w:val="21"/>
                <w:highlight w:val="none"/>
              </w:rPr>
            </w:pPr>
          </w:p>
        </w:tc>
      </w:tr>
      <w:tr w14:paraId="21F5A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vAlign w:val="center"/>
          </w:tcPr>
          <w:p w14:paraId="176258E9">
            <w:pPr>
              <w:jc w:val="left"/>
              <w:rPr>
                <w:color w:val="auto"/>
                <w:szCs w:val="21"/>
                <w:highlight w:val="none"/>
              </w:rPr>
            </w:pPr>
            <w:r>
              <w:rPr>
                <w:rFonts w:hint="eastAsia"/>
                <w:color w:val="auto"/>
                <w:szCs w:val="21"/>
                <w:highlight w:val="none"/>
              </w:rPr>
              <w:t>5.</w:t>
            </w:r>
            <w:r>
              <w:rPr>
                <w:color w:val="auto"/>
                <w:szCs w:val="21"/>
                <w:highlight w:val="none"/>
              </w:rPr>
              <w:t>质量员</w:t>
            </w:r>
          </w:p>
        </w:tc>
        <w:tc>
          <w:tcPr>
            <w:tcW w:w="670" w:type="dxa"/>
            <w:vAlign w:val="center"/>
          </w:tcPr>
          <w:p w14:paraId="66B8BA79">
            <w:pPr>
              <w:ind w:left="223" w:hanging="222" w:hangingChars="106"/>
              <w:jc w:val="center"/>
              <w:rPr>
                <w:color w:val="auto"/>
                <w:szCs w:val="21"/>
                <w:highlight w:val="none"/>
              </w:rPr>
            </w:pPr>
          </w:p>
        </w:tc>
        <w:tc>
          <w:tcPr>
            <w:tcW w:w="829" w:type="dxa"/>
            <w:vAlign w:val="center"/>
          </w:tcPr>
          <w:p w14:paraId="4E764E44">
            <w:pPr>
              <w:ind w:left="223" w:hanging="222" w:hangingChars="106"/>
              <w:jc w:val="center"/>
              <w:rPr>
                <w:color w:val="auto"/>
                <w:szCs w:val="21"/>
                <w:highlight w:val="none"/>
              </w:rPr>
            </w:pPr>
          </w:p>
        </w:tc>
        <w:tc>
          <w:tcPr>
            <w:tcW w:w="816" w:type="dxa"/>
            <w:vAlign w:val="center"/>
          </w:tcPr>
          <w:p w14:paraId="1BFC0A46">
            <w:pPr>
              <w:ind w:left="223" w:hanging="222" w:hangingChars="106"/>
              <w:jc w:val="center"/>
              <w:rPr>
                <w:color w:val="auto"/>
                <w:szCs w:val="21"/>
                <w:highlight w:val="none"/>
              </w:rPr>
            </w:pPr>
          </w:p>
        </w:tc>
        <w:tc>
          <w:tcPr>
            <w:tcW w:w="1148" w:type="dxa"/>
            <w:vAlign w:val="center"/>
          </w:tcPr>
          <w:p w14:paraId="04E462AA">
            <w:pPr>
              <w:ind w:left="223" w:hanging="222" w:hangingChars="106"/>
              <w:jc w:val="center"/>
              <w:rPr>
                <w:color w:val="auto"/>
                <w:szCs w:val="21"/>
                <w:highlight w:val="none"/>
              </w:rPr>
            </w:pPr>
          </w:p>
        </w:tc>
        <w:tc>
          <w:tcPr>
            <w:tcW w:w="1148" w:type="dxa"/>
            <w:vAlign w:val="center"/>
          </w:tcPr>
          <w:p w14:paraId="58E67A03">
            <w:pPr>
              <w:ind w:left="223" w:hanging="222" w:hangingChars="106"/>
              <w:jc w:val="center"/>
              <w:rPr>
                <w:color w:val="auto"/>
                <w:szCs w:val="21"/>
                <w:highlight w:val="none"/>
              </w:rPr>
            </w:pPr>
          </w:p>
        </w:tc>
        <w:tc>
          <w:tcPr>
            <w:tcW w:w="1148" w:type="dxa"/>
            <w:vAlign w:val="center"/>
          </w:tcPr>
          <w:p w14:paraId="773F5367">
            <w:pPr>
              <w:ind w:left="223" w:hanging="222" w:hangingChars="106"/>
              <w:jc w:val="center"/>
              <w:rPr>
                <w:color w:val="auto"/>
                <w:szCs w:val="21"/>
                <w:highlight w:val="none"/>
              </w:rPr>
            </w:pPr>
          </w:p>
        </w:tc>
        <w:tc>
          <w:tcPr>
            <w:tcW w:w="744" w:type="dxa"/>
            <w:vAlign w:val="center"/>
          </w:tcPr>
          <w:p w14:paraId="0553C33D">
            <w:pPr>
              <w:ind w:left="223" w:hanging="222" w:hangingChars="106"/>
              <w:jc w:val="center"/>
              <w:rPr>
                <w:color w:val="auto"/>
                <w:szCs w:val="21"/>
                <w:highlight w:val="none"/>
              </w:rPr>
            </w:pPr>
          </w:p>
        </w:tc>
        <w:tc>
          <w:tcPr>
            <w:tcW w:w="1167" w:type="dxa"/>
            <w:vAlign w:val="center"/>
          </w:tcPr>
          <w:p w14:paraId="3F925F72">
            <w:pPr>
              <w:ind w:left="223" w:hanging="222" w:hangingChars="106"/>
              <w:jc w:val="center"/>
              <w:rPr>
                <w:color w:val="auto"/>
                <w:szCs w:val="21"/>
                <w:highlight w:val="none"/>
              </w:rPr>
            </w:pPr>
          </w:p>
        </w:tc>
        <w:tc>
          <w:tcPr>
            <w:tcW w:w="1276" w:type="dxa"/>
            <w:vAlign w:val="center"/>
          </w:tcPr>
          <w:p w14:paraId="7FA51399">
            <w:pPr>
              <w:ind w:left="223" w:hanging="222" w:hangingChars="106"/>
              <w:jc w:val="center"/>
              <w:rPr>
                <w:color w:val="auto"/>
                <w:szCs w:val="21"/>
                <w:highlight w:val="none"/>
              </w:rPr>
            </w:pPr>
          </w:p>
        </w:tc>
      </w:tr>
      <w:tr w14:paraId="24183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vAlign w:val="center"/>
          </w:tcPr>
          <w:p w14:paraId="3F9A20CB">
            <w:pPr>
              <w:jc w:val="left"/>
              <w:rPr>
                <w:color w:val="auto"/>
                <w:szCs w:val="21"/>
                <w:highlight w:val="none"/>
              </w:rPr>
            </w:pPr>
            <w:r>
              <w:rPr>
                <w:rFonts w:hint="eastAsia"/>
                <w:color w:val="auto"/>
                <w:szCs w:val="21"/>
                <w:highlight w:val="none"/>
              </w:rPr>
              <w:t>6.材料员</w:t>
            </w:r>
          </w:p>
        </w:tc>
        <w:tc>
          <w:tcPr>
            <w:tcW w:w="670" w:type="dxa"/>
            <w:vAlign w:val="center"/>
          </w:tcPr>
          <w:p w14:paraId="39BF2301">
            <w:pPr>
              <w:ind w:left="223" w:hanging="222" w:hangingChars="106"/>
              <w:jc w:val="center"/>
              <w:rPr>
                <w:color w:val="auto"/>
                <w:szCs w:val="21"/>
                <w:highlight w:val="none"/>
              </w:rPr>
            </w:pPr>
          </w:p>
        </w:tc>
        <w:tc>
          <w:tcPr>
            <w:tcW w:w="829" w:type="dxa"/>
            <w:vAlign w:val="center"/>
          </w:tcPr>
          <w:p w14:paraId="428FC293">
            <w:pPr>
              <w:ind w:left="223" w:hanging="222" w:hangingChars="106"/>
              <w:jc w:val="center"/>
              <w:rPr>
                <w:color w:val="auto"/>
                <w:szCs w:val="21"/>
                <w:highlight w:val="none"/>
              </w:rPr>
            </w:pPr>
          </w:p>
        </w:tc>
        <w:tc>
          <w:tcPr>
            <w:tcW w:w="816" w:type="dxa"/>
            <w:vAlign w:val="center"/>
          </w:tcPr>
          <w:p w14:paraId="154AE227">
            <w:pPr>
              <w:ind w:left="223" w:hanging="222" w:hangingChars="106"/>
              <w:jc w:val="center"/>
              <w:rPr>
                <w:color w:val="auto"/>
                <w:szCs w:val="21"/>
                <w:highlight w:val="none"/>
              </w:rPr>
            </w:pPr>
          </w:p>
        </w:tc>
        <w:tc>
          <w:tcPr>
            <w:tcW w:w="1148" w:type="dxa"/>
            <w:vAlign w:val="center"/>
          </w:tcPr>
          <w:p w14:paraId="0CB43CC2">
            <w:pPr>
              <w:ind w:left="223" w:hanging="222" w:hangingChars="106"/>
              <w:jc w:val="center"/>
              <w:rPr>
                <w:color w:val="auto"/>
                <w:szCs w:val="21"/>
                <w:highlight w:val="none"/>
              </w:rPr>
            </w:pPr>
          </w:p>
        </w:tc>
        <w:tc>
          <w:tcPr>
            <w:tcW w:w="1148" w:type="dxa"/>
            <w:vAlign w:val="center"/>
          </w:tcPr>
          <w:p w14:paraId="5261B9ED">
            <w:pPr>
              <w:ind w:left="223" w:hanging="222" w:hangingChars="106"/>
              <w:jc w:val="center"/>
              <w:rPr>
                <w:color w:val="auto"/>
                <w:szCs w:val="21"/>
                <w:highlight w:val="none"/>
              </w:rPr>
            </w:pPr>
          </w:p>
        </w:tc>
        <w:tc>
          <w:tcPr>
            <w:tcW w:w="1148" w:type="dxa"/>
            <w:vAlign w:val="center"/>
          </w:tcPr>
          <w:p w14:paraId="50CBA8DE">
            <w:pPr>
              <w:ind w:left="223" w:hanging="222" w:hangingChars="106"/>
              <w:jc w:val="center"/>
              <w:rPr>
                <w:color w:val="auto"/>
                <w:szCs w:val="21"/>
                <w:highlight w:val="none"/>
              </w:rPr>
            </w:pPr>
          </w:p>
        </w:tc>
        <w:tc>
          <w:tcPr>
            <w:tcW w:w="744" w:type="dxa"/>
            <w:vAlign w:val="center"/>
          </w:tcPr>
          <w:p w14:paraId="06BEC33B">
            <w:pPr>
              <w:ind w:left="223" w:hanging="222" w:hangingChars="106"/>
              <w:jc w:val="center"/>
              <w:rPr>
                <w:color w:val="auto"/>
                <w:szCs w:val="21"/>
                <w:highlight w:val="none"/>
              </w:rPr>
            </w:pPr>
          </w:p>
        </w:tc>
        <w:tc>
          <w:tcPr>
            <w:tcW w:w="1167" w:type="dxa"/>
            <w:vAlign w:val="center"/>
          </w:tcPr>
          <w:p w14:paraId="6B3ABC5E">
            <w:pPr>
              <w:ind w:left="223" w:hanging="222" w:hangingChars="106"/>
              <w:jc w:val="center"/>
              <w:rPr>
                <w:color w:val="auto"/>
                <w:szCs w:val="21"/>
                <w:highlight w:val="none"/>
              </w:rPr>
            </w:pPr>
          </w:p>
        </w:tc>
        <w:tc>
          <w:tcPr>
            <w:tcW w:w="1276" w:type="dxa"/>
            <w:vAlign w:val="center"/>
          </w:tcPr>
          <w:p w14:paraId="26C453AC">
            <w:pPr>
              <w:ind w:left="223" w:hanging="222" w:hangingChars="106"/>
              <w:jc w:val="center"/>
              <w:rPr>
                <w:color w:val="auto"/>
                <w:szCs w:val="21"/>
                <w:highlight w:val="none"/>
              </w:rPr>
            </w:pPr>
          </w:p>
        </w:tc>
      </w:tr>
      <w:tr w14:paraId="7E72C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vAlign w:val="center"/>
          </w:tcPr>
          <w:p w14:paraId="199649CB">
            <w:pPr>
              <w:ind w:left="223" w:hanging="222" w:hangingChars="106"/>
              <w:jc w:val="left"/>
              <w:rPr>
                <w:rFonts w:hint="eastAsia" w:eastAsia="宋体"/>
                <w:color w:val="auto"/>
                <w:szCs w:val="21"/>
                <w:highlight w:val="none"/>
                <w:lang w:val="en" w:eastAsia="zh-CN"/>
              </w:rPr>
            </w:pPr>
            <w:r>
              <w:rPr>
                <w:rFonts w:hint="default"/>
                <w:color w:val="auto"/>
                <w:szCs w:val="21"/>
                <w:highlight w:val="none"/>
                <w:lang w:val="en"/>
              </w:rPr>
              <w:t>7.</w:t>
            </w:r>
            <w:r>
              <w:rPr>
                <w:rFonts w:hint="eastAsia"/>
                <w:color w:val="auto"/>
                <w:szCs w:val="21"/>
                <w:highlight w:val="none"/>
                <w:lang w:val="en-US" w:eastAsia="zh-CN"/>
              </w:rPr>
              <w:t>造价员</w:t>
            </w:r>
          </w:p>
        </w:tc>
        <w:tc>
          <w:tcPr>
            <w:tcW w:w="670" w:type="dxa"/>
            <w:vAlign w:val="center"/>
          </w:tcPr>
          <w:p w14:paraId="793BE240">
            <w:pPr>
              <w:ind w:left="223" w:hanging="222" w:hangingChars="106"/>
              <w:jc w:val="center"/>
              <w:rPr>
                <w:color w:val="auto"/>
                <w:szCs w:val="21"/>
                <w:highlight w:val="none"/>
              </w:rPr>
            </w:pPr>
          </w:p>
        </w:tc>
        <w:tc>
          <w:tcPr>
            <w:tcW w:w="829" w:type="dxa"/>
            <w:vAlign w:val="center"/>
          </w:tcPr>
          <w:p w14:paraId="5EF53ADA">
            <w:pPr>
              <w:ind w:left="223" w:hanging="222" w:hangingChars="106"/>
              <w:jc w:val="center"/>
              <w:rPr>
                <w:color w:val="auto"/>
                <w:szCs w:val="21"/>
                <w:highlight w:val="none"/>
              </w:rPr>
            </w:pPr>
          </w:p>
        </w:tc>
        <w:tc>
          <w:tcPr>
            <w:tcW w:w="816" w:type="dxa"/>
            <w:vAlign w:val="center"/>
          </w:tcPr>
          <w:p w14:paraId="38E53EEC">
            <w:pPr>
              <w:ind w:left="223" w:hanging="222" w:hangingChars="106"/>
              <w:jc w:val="center"/>
              <w:rPr>
                <w:color w:val="auto"/>
                <w:szCs w:val="21"/>
                <w:highlight w:val="none"/>
              </w:rPr>
            </w:pPr>
          </w:p>
        </w:tc>
        <w:tc>
          <w:tcPr>
            <w:tcW w:w="1148" w:type="dxa"/>
            <w:vAlign w:val="center"/>
          </w:tcPr>
          <w:p w14:paraId="21BEA5F0">
            <w:pPr>
              <w:ind w:left="223" w:hanging="222" w:hangingChars="106"/>
              <w:jc w:val="center"/>
              <w:rPr>
                <w:color w:val="auto"/>
                <w:szCs w:val="21"/>
                <w:highlight w:val="none"/>
              </w:rPr>
            </w:pPr>
          </w:p>
        </w:tc>
        <w:tc>
          <w:tcPr>
            <w:tcW w:w="1148" w:type="dxa"/>
            <w:vAlign w:val="center"/>
          </w:tcPr>
          <w:p w14:paraId="79292507">
            <w:pPr>
              <w:ind w:left="223" w:hanging="222" w:hangingChars="106"/>
              <w:jc w:val="center"/>
              <w:rPr>
                <w:color w:val="auto"/>
                <w:szCs w:val="21"/>
                <w:highlight w:val="none"/>
              </w:rPr>
            </w:pPr>
          </w:p>
        </w:tc>
        <w:tc>
          <w:tcPr>
            <w:tcW w:w="1148" w:type="dxa"/>
            <w:vAlign w:val="center"/>
          </w:tcPr>
          <w:p w14:paraId="0F699C59">
            <w:pPr>
              <w:ind w:left="223" w:hanging="222" w:hangingChars="106"/>
              <w:jc w:val="center"/>
              <w:rPr>
                <w:color w:val="auto"/>
                <w:szCs w:val="21"/>
                <w:highlight w:val="none"/>
              </w:rPr>
            </w:pPr>
          </w:p>
        </w:tc>
        <w:tc>
          <w:tcPr>
            <w:tcW w:w="744" w:type="dxa"/>
            <w:vAlign w:val="center"/>
          </w:tcPr>
          <w:p w14:paraId="2BE773EB">
            <w:pPr>
              <w:ind w:left="223" w:hanging="222" w:hangingChars="106"/>
              <w:jc w:val="center"/>
              <w:rPr>
                <w:color w:val="auto"/>
                <w:szCs w:val="21"/>
                <w:highlight w:val="none"/>
              </w:rPr>
            </w:pPr>
          </w:p>
        </w:tc>
        <w:tc>
          <w:tcPr>
            <w:tcW w:w="1167" w:type="dxa"/>
            <w:vAlign w:val="center"/>
          </w:tcPr>
          <w:p w14:paraId="69C2FFEC">
            <w:pPr>
              <w:ind w:left="223" w:hanging="222" w:hangingChars="106"/>
              <w:jc w:val="center"/>
              <w:rPr>
                <w:color w:val="auto"/>
                <w:szCs w:val="21"/>
                <w:highlight w:val="none"/>
              </w:rPr>
            </w:pPr>
          </w:p>
        </w:tc>
        <w:tc>
          <w:tcPr>
            <w:tcW w:w="1276" w:type="dxa"/>
            <w:vAlign w:val="center"/>
          </w:tcPr>
          <w:p w14:paraId="7791643B">
            <w:pPr>
              <w:ind w:left="223" w:hanging="222" w:hangingChars="106"/>
              <w:jc w:val="center"/>
              <w:rPr>
                <w:color w:val="auto"/>
                <w:szCs w:val="21"/>
                <w:highlight w:val="none"/>
              </w:rPr>
            </w:pPr>
          </w:p>
        </w:tc>
      </w:tr>
      <w:tr w14:paraId="5F226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vAlign w:val="center"/>
          </w:tcPr>
          <w:p w14:paraId="7342FBBB">
            <w:pPr>
              <w:ind w:left="223" w:hanging="222" w:hangingChars="106"/>
              <w:jc w:val="left"/>
              <w:rPr>
                <w:rFonts w:hint="default" w:eastAsia="宋体"/>
                <w:color w:val="auto"/>
                <w:szCs w:val="21"/>
                <w:highlight w:val="none"/>
                <w:lang w:val="en-US" w:eastAsia="zh-CN"/>
              </w:rPr>
            </w:pPr>
            <w:r>
              <w:rPr>
                <w:rFonts w:hint="eastAsia"/>
                <w:color w:val="auto"/>
                <w:szCs w:val="21"/>
                <w:highlight w:val="none"/>
                <w:lang w:val="en-US" w:eastAsia="zh-CN"/>
              </w:rPr>
              <w:t>...</w:t>
            </w:r>
          </w:p>
        </w:tc>
        <w:tc>
          <w:tcPr>
            <w:tcW w:w="670" w:type="dxa"/>
            <w:vAlign w:val="center"/>
          </w:tcPr>
          <w:p w14:paraId="423C6BAA">
            <w:pPr>
              <w:ind w:left="223" w:hanging="222" w:hangingChars="106"/>
              <w:jc w:val="center"/>
              <w:rPr>
                <w:color w:val="auto"/>
                <w:szCs w:val="21"/>
                <w:highlight w:val="none"/>
              </w:rPr>
            </w:pPr>
          </w:p>
        </w:tc>
        <w:tc>
          <w:tcPr>
            <w:tcW w:w="829" w:type="dxa"/>
            <w:vAlign w:val="center"/>
          </w:tcPr>
          <w:p w14:paraId="626A1EF1">
            <w:pPr>
              <w:ind w:left="223" w:hanging="222" w:hangingChars="106"/>
              <w:jc w:val="center"/>
              <w:rPr>
                <w:color w:val="auto"/>
                <w:szCs w:val="21"/>
                <w:highlight w:val="none"/>
              </w:rPr>
            </w:pPr>
          </w:p>
        </w:tc>
        <w:tc>
          <w:tcPr>
            <w:tcW w:w="816" w:type="dxa"/>
            <w:vAlign w:val="center"/>
          </w:tcPr>
          <w:p w14:paraId="4911E411">
            <w:pPr>
              <w:ind w:left="223" w:hanging="222" w:hangingChars="106"/>
              <w:jc w:val="center"/>
              <w:rPr>
                <w:color w:val="auto"/>
                <w:szCs w:val="21"/>
                <w:highlight w:val="none"/>
              </w:rPr>
            </w:pPr>
          </w:p>
        </w:tc>
        <w:tc>
          <w:tcPr>
            <w:tcW w:w="1148" w:type="dxa"/>
            <w:vAlign w:val="center"/>
          </w:tcPr>
          <w:p w14:paraId="59DEAFDD">
            <w:pPr>
              <w:ind w:left="223" w:hanging="222" w:hangingChars="106"/>
              <w:jc w:val="center"/>
              <w:rPr>
                <w:color w:val="auto"/>
                <w:szCs w:val="21"/>
                <w:highlight w:val="none"/>
              </w:rPr>
            </w:pPr>
          </w:p>
        </w:tc>
        <w:tc>
          <w:tcPr>
            <w:tcW w:w="1148" w:type="dxa"/>
            <w:vAlign w:val="center"/>
          </w:tcPr>
          <w:p w14:paraId="511B6285">
            <w:pPr>
              <w:ind w:left="223" w:hanging="222" w:hangingChars="106"/>
              <w:jc w:val="center"/>
              <w:rPr>
                <w:color w:val="auto"/>
                <w:szCs w:val="21"/>
                <w:highlight w:val="none"/>
              </w:rPr>
            </w:pPr>
          </w:p>
        </w:tc>
        <w:tc>
          <w:tcPr>
            <w:tcW w:w="1148" w:type="dxa"/>
            <w:vAlign w:val="center"/>
          </w:tcPr>
          <w:p w14:paraId="7AC0A425">
            <w:pPr>
              <w:ind w:left="223" w:hanging="222" w:hangingChars="106"/>
              <w:jc w:val="center"/>
              <w:rPr>
                <w:color w:val="auto"/>
                <w:szCs w:val="21"/>
                <w:highlight w:val="none"/>
              </w:rPr>
            </w:pPr>
          </w:p>
        </w:tc>
        <w:tc>
          <w:tcPr>
            <w:tcW w:w="744" w:type="dxa"/>
            <w:vAlign w:val="center"/>
          </w:tcPr>
          <w:p w14:paraId="03433D48">
            <w:pPr>
              <w:ind w:left="223" w:hanging="222" w:hangingChars="106"/>
              <w:jc w:val="center"/>
              <w:rPr>
                <w:color w:val="auto"/>
                <w:szCs w:val="21"/>
                <w:highlight w:val="none"/>
              </w:rPr>
            </w:pPr>
          </w:p>
        </w:tc>
        <w:tc>
          <w:tcPr>
            <w:tcW w:w="1167" w:type="dxa"/>
            <w:vAlign w:val="center"/>
          </w:tcPr>
          <w:p w14:paraId="5A2169A0">
            <w:pPr>
              <w:ind w:left="223" w:hanging="222" w:hangingChars="106"/>
              <w:jc w:val="center"/>
              <w:rPr>
                <w:color w:val="auto"/>
                <w:szCs w:val="21"/>
                <w:highlight w:val="none"/>
              </w:rPr>
            </w:pPr>
          </w:p>
        </w:tc>
        <w:tc>
          <w:tcPr>
            <w:tcW w:w="1276" w:type="dxa"/>
            <w:vAlign w:val="center"/>
          </w:tcPr>
          <w:p w14:paraId="72243C32">
            <w:pPr>
              <w:ind w:left="223" w:hanging="222" w:hangingChars="106"/>
              <w:jc w:val="center"/>
              <w:rPr>
                <w:color w:val="auto"/>
                <w:szCs w:val="21"/>
                <w:highlight w:val="none"/>
              </w:rPr>
            </w:pPr>
          </w:p>
        </w:tc>
      </w:tr>
      <w:tr w14:paraId="3C607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866" w:type="dxa"/>
            <w:gridSpan w:val="10"/>
            <w:vAlign w:val="center"/>
          </w:tcPr>
          <w:p w14:paraId="55EC7337">
            <w:pPr>
              <w:ind w:left="223" w:hanging="222" w:hangingChars="106"/>
              <w:jc w:val="center"/>
              <w:rPr>
                <w:color w:val="auto"/>
                <w:highlight w:val="none"/>
              </w:rPr>
            </w:pPr>
            <w:r>
              <w:rPr>
                <w:rFonts w:hint="eastAsia"/>
                <w:color w:val="auto"/>
                <w:highlight w:val="none"/>
              </w:rPr>
              <w:t>一旦我单位成交，将实行项目经理负责制，我方保证并配备上述项目管理机构。上述填报内容真实，若不真实，愿按有关规定接受处理。项目管理班子机构设置、职责分工等情况另附资料说明。</w:t>
            </w:r>
          </w:p>
        </w:tc>
      </w:tr>
    </w:tbl>
    <w:p w14:paraId="169657AF">
      <w:pPr>
        <w:spacing w:line="360" w:lineRule="auto"/>
        <w:contextualSpacing/>
        <w:jc w:val="left"/>
        <w:rPr>
          <w:rFonts w:ascii="宋体" w:hAnsi="宋体"/>
          <w:color w:val="auto"/>
          <w:sz w:val="24"/>
          <w:szCs w:val="20"/>
          <w:highlight w:val="none"/>
        </w:rPr>
      </w:pPr>
      <w:r>
        <w:rPr>
          <w:rFonts w:hint="eastAsia" w:ascii="宋体" w:hAnsi="宋体"/>
          <w:color w:val="auto"/>
          <w:sz w:val="24"/>
          <w:szCs w:val="20"/>
          <w:highlight w:val="none"/>
        </w:rPr>
        <w:t>备注：</w:t>
      </w:r>
    </w:p>
    <w:p w14:paraId="42E220E8">
      <w:pPr>
        <w:spacing w:line="360" w:lineRule="auto"/>
        <w:ind w:firstLine="480" w:firstLineChars="200"/>
        <w:contextualSpacing/>
        <w:jc w:val="left"/>
        <w:rPr>
          <w:rFonts w:ascii="宋体" w:hAnsi="宋体"/>
          <w:color w:val="auto"/>
          <w:sz w:val="24"/>
          <w:szCs w:val="20"/>
          <w:highlight w:val="none"/>
        </w:rPr>
      </w:pPr>
      <w:r>
        <w:rPr>
          <w:rFonts w:hint="eastAsia" w:ascii="宋体" w:hAnsi="宋体"/>
          <w:color w:val="auto"/>
          <w:sz w:val="24"/>
          <w:szCs w:val="20"/>
          <w:highlight w:val="none"/>
        </w:rPr>
        <w:t>1</w:t>
      </w:r>
      <w:r>
        <w:rPr>
          <w:rFonts w:ascii="宋体" w:hAnsi="宋体"/>
          <w:color w:val="auto"/>
          <w:sz w:val="24"/>
          <w:szCs w:val="20"/>
          <w:highlight w:val="none"/>
        </w:rPr>
        <w:t>.</w:t>
      </w:r>
      <w:r>
        <w:rPr>
          <w:rFonts w:hint="eastAsia" w:ascii="宋体" w:hAnsi="宋体"/>
          <w:color w:val="auto"/>
          <w:sz w:val="24"/>
          <w:szCs w:val="20"/>
          <w:highlight w:val="none"/>
        </w:rPr>
        <w:t>本表所列岗位的所有管理人员的情况均应如实填写。可按以上格式扩展为多页填写。</w:t>
      </w:r>
    </w:p>
    <w:p w14:paraId="71143431">
      <w:pPr>
        <w:spacing w:line="360" w:lineRule="auto"/>
        <w:ind w:firstLine="480" w:firstLineChars="200"/>
        <w:contextualSpacing/>
        <w:jc w:val="left"/>
        <w:rPr>
          <w:rFonts w:ascii="宋体" w:hAnsi="宋体"/>
          <w:color w:val="auto"/>
          <w:sz w:val="24"/>
          <w:szCs w:val="20"/>
          <w:highlight w:val="none"/>
        </w:rPr>
      </w:pPr>
      <w:r>
        <w:rPr>
          <w:rFonts w:hint="eastAsia" w:ascii="宋体" w:hAnsi="宋体"/>
          <w:color w:val="auto"/>
          <w:sz w:val="24"/>
          <w:szCs w:val="20"/>
          <w:highlight w:val="none"/>
        </w:rPr>
        <w:t>2</w:t>
      </w:r>
      <w:r>
        <w:rPr>
          <w:rFonts w:ascii="宋体" w:hAnsi="宋体"/>
          <w:color w:val="auto"/>
          <w:sz w:val="24"/>
          <w:szCs w:val="20"/>
          <w:highlight w:val="none"/>
        </w:rPr>
        <w:t>.</w:t>
      </w:r>
      <w:r>
        <w:rPr>
          <w:rFonts w:hint="eastAsia" w:ascii="宋体" w:hAnsi="宋体"/>
          <w:color w:val="auto"/>
          <w:sz w:val="24"/>
          <w:szCs w:val="20"/>
          <w:highlight w:val="none"/>
        </w:rPr>
        <w:t>供应商应当在本表后附所有管理人员的身份证、职称证、执业或职业资格证书并加盖供应商电子签章。</w:t>
      </w:r>
    </w:p>
    <w:p w14:paraId="2E8366B2">
      <w:pPr>
        <w:spacing w:line="360" w:lineRule="auto"/>
        <w:ind w:firstLine="480" w:firstLineChars="200"/>
        <w:contextualSpacing/>
        <w:rPr>
          <w:rFonts w:ascii="宋体" w:hAnsi="宋体"/>
          <w:color w:val="auto"/>
          <w:spacing w:val="20"/>
          <w:sz w:val="24"/>
          <w:szCs w:val="20"/>
          <w:highlight w:val="none"/>
          <w:u w:val="single"/>
        </w:rPr>
      </w:pPr>
      <w:r>
        <w:rPr>
          <w:rFonts w:hint="eastAsia" w:ascii="宋体" w:hAnsi="宋体"/>
          <w:color w:val="auto"/>
          <w:sz w:val="24"/>
          <w:highlight w:val="none"/>
        </w:rPr>
        <w:t>法定代表人或者委托代理人</w:t>
      </w:r>
      <w:r>
        <w:rPr>
          <w:rFonts w:hint="eastAsia" w:ascii="宋体" w:hAnsi="宋体"/>
          <w:color w:val="auto"/>
          <w:spacing w:val="20"/>
          <w:sz w:val="24"/>
          <w:highlight w:val="none"/>
        </w:rPr>
        <w:t>签字：</w:t>
      </w:r>
    </w:p>
    <w:p w14:paraId="084C3187">
      <w:pPr>
        <w:spacing w:line="360" w:lineRule="auto"/>
        <w:ind w:firstLine="560" w:firstLineChars="200"/>
        <w:contextualSpacing/>
        <w:jc w:val="left"/>
        <w:rPr>
          <w:rFonts w:ascii="宋体" w:hAnsi="宋体"/>
          <w:color w:val="auto"/>
          <w:sz w:val="24"/>
          <w:szCs w:val="20"/>
          <w:highlight w:val="none"/>
        </w:rPr>
      </w:pPr>
      <w:r>
        <w:rPr>
          <w:rFonts w:hint="eastAsia" w:ascii="宋体" w:hAnsi="宋体"/>
          <w:color w:val="auto"/>
          <w:spacing w:val="20"/>
          <w:sz w:val="24"/>
          <w:highlight w:val="none"/>
        </w:rPr>
        <w:t>供应商（电子签章）：       日 期：</w:t>
      </w:r>
    </w:p>
    <w:p w14:paraId="5F5E49F8">
      <w:pPr>
        <w:spacing w:line="360" w:lineRule="auto"/>
        <w:jc w:val="center"/>
        <w:rPr>
          <w:rFonts w:ascii="宋体" w:hAnsi="宋体"/>
          <w:b/>
          <w:color w:val="auto"/>
          <w:sz w:val="32"/>
          <w:szCs w:val="32"/>
          <w:highlight w:val="none"/>
        </w:rPr>
      </w:pPr>
      <w:r>
        <w:rPr>
          <w:rFonts w:ascii="宋体" w:hAnsi="宋体"/>
          <w:b/>
          <w:color w:val="auto"/>
          <w:sz w:val="32"/>
          <w:szCs w:val="32"/>
          <w:highlight w:val="none"/>
        </w:rPr>
        <w:br w:type="page"/>
      </w:r>
      <w:r>
        <w:rPr>
          <w:rFonts w:hint="eastAsia" w:ascii="宋体" w:hAnsi="宋体"/>
          <w:b/>
          <w:color w:val="auto"/>
          <w:sz w:val="32"/>
          <w:szCs w:val="32"/>
          <w:highlight w:val="none"/>
        </w:rPr>
        <w:t>（二）拟投入的主要人员简历表</w:t>
      </w:r>
    </w:p>
    <w:p w14:paraId="536AFF11">
      <w:pPr>
        <w:spacing w:line="360" w:lineRule="auto"/>
        <w:ind w:firstLine="643" w:firstLineChars="200"/>
        <w:jc w:val="center"/>
        <w:rPr>
          <w:color w:val="auto"/>
          <w:highlight w:val="none"/>
          <w:u w:val="single"/>
        </w:rPr>
      </w:pPr>
      <w:r>
        <w:rPr>
          <w:rFonts w:hint="eastAsia" w:cs="宋体"/>
          <w:b/>
          <w:color w:val="auto"/>
          <w:sz w:val="32"/>
          <w:szCs w:val="32"/>
          <w:highlight w:val="none"/>
        </w:rPr>
        <w:t>项目经理简历表</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
        <w:gridCol w:w="1176"/>
        <w:gridCol w:w="55"/>
        <w:gridCol w:w="387"/>
        <w:gridCol w:w="888"/>
        <w:gridCol w:w="660"/>
        <w:gridCol w:w="328"/>
        <w:gridCol w:w="234"/>
        <w:gridCol w:w="66"/>
        <w:gridCol w:w="1209"/>
        <w:gridCol w:w="142"/>
        <w:gridCol w:w="242"/>
        <w:gridCol w:w="1088"/>
        <w:gridCol w:w="88"/>
        <w:gridCol w:w="409"/>
        <w:gridCol w:w="1108"/>
        <w:gridCol w:w="36"/>
        <w:gridCol w:w="79"/>
        <w:gridCol w:w="1405"/>
        <w:gridCol w:w="11"/>
      </w:tblGrid>
      <w:tr w14:paraId="10940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Before w:val="1"/>
          <w:wBefore w:w="8" w:type="dxa"/>
          <w:trHeight w:val="600" w:hRule="atLeast"/>
          <w:jc w:val="center"/>
        </w:trPr>
        <w:tc>
          <w:tcPr>
            <w:tcW w:w="1176" w:type="dxa"/>
            <w:vAlign w:val="center"/>
          </w:tcPr>
          <w:p w14:paraId="7B21B105">
            <w:pPr>
              <w:jc w:val="center"/>
              <w:rPr>
                <w:color w:val="auto"/>
                <w:highlight w:val="none"/>
              </w:rPr>
            </w:pPr>
            <w:r>
              <w:rPr>
                <w:rFonts w:hint="eastAsia" w:cs="宋体"/>
                <w:color w:val="auto"/>
                <w:highlight w:val="none"/>
              </w:rPr>
              <w:t>姓名</w:t>
            </w:r>
          </w:p>
        </w:tc>
        <w:tc>
          <w:tcPr>
            <w:tcW w:w="2318" w:type="dxa"/>
            <w:gridSpan w:val="5"/>
            <w:vAlign w:val="center"/>
          </w:tcPr>
          <w:p w14:paraId="68F73801">
            <w:pPr>
              <w:jc w:val="center"/>
              <w:rPr>
                <w:color w:val="auto"/>
                <w:highlight w:val="none"/>
              </w:rPr>
            </w:pPr>
          </w:p>
        </w:tc>
        <w:tc>
          <w:tcPr>
            <w:tcW w:w="1893" w:type="dxa"/>
            <w:gridSpan w:val="5"/>
            <w:vAlign w:val="center"/>
          </w:tcPr>
          <w:p w14:paraId="5BEC1C56">
            <w:pPr>
              <w:jc w:val="center"/>
              <w:rPr>
                <w:color w:val="auto"/>
                <w:highlight w:val="none"/>
              </w:rPr>
            </w:pPr>
            <w:r>
              <w:rPr>
                <w:rFonts w:hint="eastAsia" w:cs="宋体"/>
                <w:color w:val="auto"/>
                <w:highlight w:val="none"/>
              </w:rPr>
              <w:t>性别</w:t>
            </w:r>
          </w:p>
        </w:tc>
        <w:tc>
          <w:tcPr>
            <w:tcW w:w="1585" w:type="dxa"/>
            <w:gridSpan w:val="3"/>
            <w:vAlign w:val="center"/>
          </w:tcPr>
          <w:p w14:paraId="59FBE509">
            <w:pPr>
              <w:jc w:val="center"/>
              <w:rPr>
                <w:color w:val="auto"/>
                <w:highlight w:val="none"/>
              </w:rPr>
            </w:pPr>
          </w:p>
        </w:tc>
        <w:tc>
          <w:tcPr>
            <w:tcW w:w="1108" w:type="dxa"/>
            <w:vAlign w:val="center"/>
          </w:tcPr>
          <w:p w14:paraId="2BCCD828">
            <w:pPr>
              <w:jc w:val="center"/>
              <w:rPr>
                <w:color w:val="auto"/>
                <w:highlight w:val="none"/>
              </w:rPr>
            </w:pPr>
            <w:r>
              <w:rPr>
                <w:rFonts w:hint="eastAsia" w:cs="宋体"/>
                <w:color w:val="auto"/>
                <w:highlight w:val="none"/>
              </w:rPr>
              <w:t>年龄</w:t>
            </w:r>
          </w:p>
        </w:tc>
        <w:tc>
          <w:tcPr>
            <w:tcW w:w="1531" w:type="dxa"/>
            <w:gridSpan w:val="4"/>
            <w:vAlign w:val="center"/>
          </w:tcPr>
          <w:p w14:paraId="4F16EA93">
            <w:pPr>
              <w:jc w:val="center"/>
              <w:rPr>
                <w:color w:val="auto"/>
                <w:highlight w:val="none"/>
              </w:rPr>
            </w:pPr>
          </w:p>
        </w:tc>
      </w:tr>
      <w:tr w14:paraId="04531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3" w:hRule="atLeast"/>
          <w:jc w:val="center"/>
        </w:trPr>
        <w:tc>
          <w:tcPr>
            <w:tcW w:w="1176" w:type="dxa"/>
            <w:vAlign w:val="center"/>
          </w:tcPr>
          <w:p w14:paraId="67FBDBE5">
            <w:pPr>
              <w:jc w:val="center"/>
              <w:rPr>
                <w:color w:val="auto"/>
                <w:highlight w:val="none"/>
              </w:rPr>
            </w:pPr>
            <w:r>
              <w:rPr>
                <w:rFonts w:hint="eastAsia" w:cs="宋体"/>
                <w:color w:val="auto"/>
                <w:highlight w:val="none"/>
              </w:rPr>
              <w:t>岗位</w:t>
            </w:r>
          </w:p>
        </w:tc>
        <w:tc>
          <w:tcPr>
            <w:tcW w:w="2318" w:type="dxa"/>
            <w:gridSpan w:val="5"/>
            <w:vAlign w:val="center"/>
          </w:tcPr>
          <w:p w14:paraId="065400F4">
            <w:pPr>
              <w:jc w:val="center"/>
              <w:rPr>
                <w:color w:val="auto"/>
                <w:highlight w:val="none"/>
              </w:rPr>
            </w:pPr>
            <w:r>
              <w:rPr>
                <w:rFonts w:hint="eastAsia"/>
                <w:color w:val="auto"/>
                <w:highlight w:val="none"/>
              </w:rPr>
              <w:t>项目经理</w:t>
            </w:r>
          </w:p>
        </w:tc>
        <w:tc>
          <w:tcPr>
            <w:tcW w:w="1893" w:type="dxa"/>
            <w:gridSpan w:val="5"/>
            <w:vAlign w:val="center"/>
          </w:tcPr>
          <w:p w14:paraId="1DA51E27">
            <w:pPr>
              <w:jc w:val="center"/>
              <w:rPr>
                <w:color w:val="auto"/>
                <w:highlight w:val="none"/>
              </w:rPr>
            </w:pPr>
            <w:r>
              <w:rPr>
                <w:rFonts w:hint="eastAsia" w:cs="宋体"/>
                <w:color w:val="auto"/>
                <w:highlight w:val="none"/>
              </w:rPr>
              <w:t>职称</w:t>
            </w:r>
          </w:p>
        </w:tc>
        <w:tc>
          <w:tcPr>
            <w:tcW w:w="1585" w:type="dxa"/>
            <w:gridSpan w:val="3"/>
            <w:vAlign w:val="center"/>
          </w:tcPr>
          <w:p w14:paraId="3287A0C4">
            <w:pPr>
              <w:jc w:val="center"/>
              <w:rPr>
                <w:color w:val="auto"/>
                <w:highlight w:val="none"/>
              </w:rPr>
            </w:pPr>
          </w:p>
        </w:tc>
        <w:tc>
          <w:tcPr>
            <w:tcW w:w="1108" w:type="dxa"/>
            <w:vAlign w:val="center"/>
          </w:tcPr>
          <w:p w14:paraId="5068BF47">
            <w:pPr>
              <w:jc w:val="center"/>
              <w:rPr>
                <w:color w:val="auto"/>
                <w:highlight w:val="none"/>
              </w:rPr>
            </w:pPr>
            <w:r>
              <w:rPr>
                <w:rFonts w:hint="eastAsia" w:cs="宋体"/>
                <w:color w:val="auto"/>
                <w:highlight w:val="none"/>
              </w:rPr>
              <w:t>学历</w:t>
            </w:r>
          </w:p>
        </w:tc>
        <w:tc>
          <w:tcPr>
            <w:tcW w:w="1531" w:type="dxa"/>
            <w:gridSpan w:val="4"/>
            <w:vAlign w:val="center"/>
          </w:tcPr>
          <w:p w14:paraId="734DFCF6">
            <w:pPr>
              <w:jc w:val="center"/>
              <w:rPr>
                <w:color w:val="auto"/>
                <w:highlight w:val="none"/>
              </w:rPr>
            </w:pPr>
          </w:p>
        </w:tc>
      </w:tr>
      <w:tr w14:paraId="3E3EA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3" w:hRule="atLeast"/>
          <w:jc w:val="center"/>
        </w:trPr>
        <w:tc>
          <w:tcPr>
            <w:tcW w:w="1176" w:type="dxa"/>
            <w:vAlign w:val="center"/>
          </w:tcPr>
          <w:p w14:paraId="666A9B94">
            <w:pPr>
              <w:jc w:val="center"/>
              <w:rPr>
                <w:rFonts w:cs="宋体"/>
                <w:color w:val="auto"/>
                <w:highlight w:val="none"/>
              </w:rPr>
            </w:pPr>
            <w:r>
              <w:rPr>
                <w:rFonts w:hint="eastAsia" w:cs="宋体"/>
                <w:color w:val="auto"/>
                <w:highlight w:val="none"/>
              </w:rPr>
              <w:t>从业开始时间</w:t>
            </w:r>
          </w:p>
        </w:tc>
        <w:tc>
          <w:tcPr>
            <w:tcW w:w="2318" w:type="dxa"/>
            <w:gridSpan w:val="5"/>
            <w:vAlign w:val="center"/>
          </w:tcPr>
          <w:p w14:paraId="0660483E">
            <w:pPr>
              <w:jc w:val="center"/>
              <w:rPr>
                <w:color w:val="auto"/>
                <w:highlight w:val="none"/>
              </w:rPr>
            </w:pPr>
          </w:p>
        </w:tc>
        <w:tc>
          <w:tcPr>
            <w:tcW w:w="1893" w:type="dxa"/>
            <w:gridSpan w:val="5"/>
            <w:vAlign w:val="center"/>
          </w:tcPr>
          <w:p w14:paraId="76420C71">
            <w:pPr>
              <w:jc w:val="center"/>
              <w:rPr>
                <w:rFonts w:cs="宋体"/>
                <w:color w:val="auto"/>
                <w:highlight w:val="none"/>
              </w:rPr>
            </w:pPr>
            <w:r>
              <w:rPr>
                <w:rFonts w:hint="eastAsia" w:cs="宋体"/>
                <w:color w:val="auto"/>
                <w:highlight w:val="none"/>
              </w:rPr>
              <w:t>职称</w:t>
            </w:r>
            <w:r>
              <w:rPr>
                <w:rFonts w:cs="宋体"/>
                <w:color w:val="auto"/>
                <w:highlight w:val="none"/>
              </w:rPr>
              <w:t>获</w:t>
            </w:r>
            <w:r>
              <w:rPr>
                <w:rFonts w:hint="eastAsia" w:cs="宋体"/>
                <w:color w:val="auto"/>
                <w:highlight w:val="none"/>
              </w:rPr>
              <w:t>得</w:t>
            </w:r>
            <w:r>
              <w:rPr>
                <w:rFonts w:cs="宋体"/>
                <w:color w:val="auto"/>
                <w:highlight w:val="none"/>
              </w:rPr>
              <w:t>时间</w:t>
            </w:r>
          </w:p>
        </w:tc>
        <w:tc>
          <w:tcPr>
            <w:tcW w:w="1585" w:type="dxa"/>
            <w:gridSpan w:val="3"/>
            <w:vAlign w:val="center"/>
          </w:tcPr>
          <w:p w14:paraId="46C9E7E4">
            <w:pPr>
              <w:jc w:val="center"/>
              <w:rPr>
                <w:color w:val="auto"/>
                <w:highlight w:val="none"/>
              </w:rPr>
            </w:pPr>
          </w:p>
        </w:tc>
        <w:tc>
          <w:tcPr>
            <w:tcW w:w="1108" w:type="dxa"/>
            <w:vAlign w:val="center"/>
          </w:tcPr>
          <w:p w14:paraId="3D82E7A7">
            <w:pPr>
              <w:jc w:val="center"/>
              <w:rPr>
                <w:rFonts w:cs="宋体"/>
                <w:color w:val="auto"/>
                <w:highlight w:val="none"/>
              </w:rPr>
            </w:pPr>
            <w:r>
              <w:rPr>
                <w:rFonts w:hint="eastAsia" w:cs="宋体"/>
                <w:color w:val="auto"/>
                <w:highlight w:val="none"/>
              </w:rPr>
              <w:t>毕业时间</w:t>
            </w:r>
          </w:p>
        </w:tc>
        <w:tc>
          <w:tcPr>
            <w:tcW w:w="1531" w:type="dxa"/>
            <w:gridSpan w:val="4"/>
            <w:vAlign w:val="center"/>
          </w:tcPr>
          <w:p w14:paraId="02E082C9">
            <w:pPr>
              <w:jc w:val="center"/>
              <w:rPr>
                <w:color w:val="auto"/>
                <w:highlight w:val="none"/>
              </w:rPr>
            </w:pPr>
          </w:p>
        </w:tc>
      </w:tr>
      <w:tr w14:paraId="732EC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gridSpan w:val="2"/>
            <w:vAlign w:val="center"/>
          </w:tcPr>
          <w:p w14:paraId="62FB342B">
            <w:pPr>
              <w:jc w:val="center"/>
              <w:rPr>
                <w:color w:val="auto"/>
                <w:highlight w:val="none"/>
              </w:rPr>
            </w:pPr>
            <w:r>
              <w:rPr>
                <w:rFonts w:hint="eastAsia" w:cs="宋体"/>
                <w:color w:val="auto"/>
                <w:highlight w:val="none"/>
              </w:rPr>
              <w:t>担任项目经理年限</w:t>
            </w:r>
          </w:p>
        </w:tc>
        <w:tc>
          <w:tcPr>
            <w:tcW w:w="2563" w:type="dxa"/>
            <w:gridSpan w:val="6"/>
            <w:vAlign w:val="center"/>
          </w:tcPr>
          <w:p w14:paraId="530D2CD5">
            <w:pPr>
              <w:jc w:val="center"/>
              <w:rPr>
                <w:color w:val="auto"/>
                <w:highlight w:val="none"/>
              </w:rPr>
            </w:pPr>
          </w:p>
        </w:tc>
        <w:tc>
          <w:tcPr>
            <w:tcW w:w="1209" w:type="dxa"/>
            <w:vAlign w:val="center"/>
          </w:tcPr>
          <w:p w14:paraId="333F91FA">
            <w:pPr>
              <w:jc w:val="center"/>
              <w:rPr>
                <w:color w:val="auto"/>
                <w:highlight w:val="none"/>
              </w:rPr>
            </w:pPr>
            <w:r>
              <w:rPr>
                <w:rFonts w:hint="eastAsia"/>
                <w:color w:val="auto"/>
                <w:highlight w:val="none"/>
              </w:rPr>
              <w:t>身份</w:t>
            </w:r>
            <w:r>
              <w:rPr>
                <w:color w:val="auto"/>
                <w:highlight w:val="none"/>
              </w:rPr>
              <w:t>证号码</w:t>
            </w:r>
          </w:p>
        </w:tc>
        <w:tc>
          <w:tcPr>
            <w:tcW w:w="4608" w:type="dxa"/>
            <w:gridSpan w:val="10"/>
            <w:vAlign w:val="center"/>
          </w:tcPr>
          <w:p w14:paraId="154BF8B4">
            <w:pPr>
              <w:jc w:val="center"/>
              <w:rPr>
                <w:color w:val="auto"/>
                <w:highlight w:val="none"/>
              </w:rPr>
            </w:pPr>
          </w:p>
        </w:tc>
      </w:tr>
      <w:tr w14:paraId="1CC58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gridSpan w:val="2"/>
            <w:vAlign w:val="center"/>
          </w:tcPr>
          <w:p w14:paraId="6E30EC4A">
            <w:pPr>
              <w:jc w:val="center"/>
              <w:rPr>
                <w:color w:val="auto"/>
                <w:highlight w:val="none"/>
              </w:rPr>
            </w:pPr>
            <w:r>
              <w:rPr>
                <w:rFonts w:hint="eastAsia"/>
                <w:color w:val="auto"/>
                <w:highlight w:val="none"/>
              </w:rPr>
              <w:t>证书名称</w:t>
            </w:r>
          </w:p>
        </w:tc>
        <w:tc>
          <w:tcPr>
            <w:tcW w:w="1275" w:type="dxa"/>
            <w:gridSpan w:val="2"/>
            <w:vAlign w:val="center"/>
          </w:tcPr>
          <w:p w14:paraId="1BD5681E">
            <w:pPr>
              <w:jc w:val="center"/>
              <w:rPr>
                <w:color w:val="auto"/>
                <w:highlight w:val="none"/>
              </w:rPr>
            </w:pPr>
            <w:r>
              <w:rPr>
                <w:rFonts w:hint="eastAsia"/>
                <w:color w:val="auto"/>
                <w:highlight w:val="none"/>
              </w:rPr>
              <w:t>注册专业</w:t>
            </w:r>
          </w:p>
        </w:tc>
        <w:tc>
          <w:tcPr>
            <w:tcW w:w="1222" w:type="dxa"/>
            <w:gridSpan w:val="3"/>
            <w:vAlign w:val="center"/>
          </w:tcPr>
          <w:p w14:paraId="188B283A">
            <w:pPr>
              <w:jc w:val="center"/>
              <w:rPr>
                <w:color w:val="auto"/>
                <w:highlight w:val="none"/>
              </w:rPr>
            </w:pPr>
            <w:r>
              <w:rPr>
                <w:color w:val="auto"/>
                <w:highlight w:val="none"/>
              </w:rPr>
              <w:t>级别</w:t>
            </w:r>
          </w:p>
        </w:tc>
        <w:tc>
          <w:tcPr>
            <w:tcW w:w="1417" w:type="dxa"/>
            <w:gridSpan w:val="3"/>
            <w:vAlign w:val="center"/>
          </w:tcPr>
          <w:p w14:paraId="68FED095">
            <w:pPr>
              <w:jc w:val="center"/>
              <w:rPr>
                <w:color w:val="auto"/>
                <w:highlight w:val="none"/>
              </w:rPr>
            </w:pPr>
            <w:r>
              <w:rPr>
                <w:rFonts w:hint="eastAsia" w:cs="宋体"/>
                <w:color w:val="auto"/>
                <w:highlight w:val="none"/>
              </w:rPr>
              <w:t>证书编号</w:t>
            </w:r>
          </w:p>
        </w:tc>
        <w:tc>
          <w:tcPr>
            <w:tcW w:w="1418" w:type="dxa"/>
            <w:gridSpan w:val="3"/>
            <w:vAlign w:val="center"/>
          </w:tcPr>
          <w:p w14:paraId="6E7AD492">
            <w:pPr>
              <w:jc w:val="center"/>
              <w:rPr>
                <w:color w:val="auto"/>
                <w:highlight w:val="none"/>
              </w:rPr>
            </w:pPr>
            <w:r>
              <w:rPr>
                <w:rFonts w:hint="eastAsia"/>
                <w:color w:val="auto"/>
                <w:highlight w:val="none"/>
              </w:rPr>
              <w:t>注册时间</w:t>
            </w:r>
          </w:p>
        </w:tc>
        <w:tc>
          <w:tcPr>
            <w:tcW w:w="1632" w:type="dxa"/>
            <w:gridSpan w:val="4"/>
            <w:vAlign w:val="center"/>
          </w:tcPr>
          <w:p w14:paraId="625C3816">
            <w:pPr>
              <w:jc w:val="center"/>
              <w:rPr>
                <w:color w:val="auto"/>
                <w:highlight w:val="none"/>
              </w:rPr>
            </w:pPr>
            <w:r>
              <w:rPr>
                <w:rFonts w:hint="eastAsia"/>
                <w:color w:val="auto"/>
                <w:highlight w:val="none"/>
              </w:rPr>
              <w:t>注册单位</w:t>
            </w:r>
          </w:p>
        </w:tc>
        <w:tc>
          <w:tcPr>
            <w:tcW w:w="1416" w:type="dxa"/>
            <w:gridSpan w:val="2"/>
            <w:vAlign w:val="center"/>
          </w:tcPr>
          <w:p w14:paraId="4B0B9D9C">
            <w:pPr>
              <w:jc w:val="center"/>
              <w:rPr>
                <w:color w:val="auto"/>
                <w:highlight w:val="none"/>
              </w:rPr>
            </w:pPr>
            <w:r>
              <w:rPr>
                <w:rFonts w:hint="eastAsia"/>
                <w:color w:val="auto"/>
                <w:highlight w:val="none"/>
              </w:rPr>
              <w:t>注册有效期</w:t>
            </w:r>
          </w:p>
        </w:tc>
      </w:tr>
      <w:tr w14:paraId="5F69E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gridSpan w:val="2"/>
            <w:vAlign w:val="center"/>
          </w:tcPr>
          <w:p w14:paraId="07665BE1">
            <w:pPr>
              <w:jc w:val="center"/>
              <w:rPr>
                <w:color w:val="auto"/>
                <w:highlight w:val="none"/>
              </w:rPr>
            </w:pPr>
          </w:p>
        </w:tc>
        <w:tc>
          <w:tcPr>
            <w:tcW w:w="1275" w:type="dxa"/>
            <w:gridSpan w:val="2"/>
            <w:vAlign w:val="center"/>
          </w:tcPr>
          <w:p w14:paraId="411E395B">
            <w:pPr>
              <w:jc w:val="center"/>
              <w:rPr>
                <w:color w:val="auto"/>
                <w:highlight w:val="none"/>
              </w:rPr>
            </w:pPr>
          </w:p>
        </w:tc>
        <w:tc>
          <w:tcPr>
            <w:tcW w:w="1222" w:type="dxa"/>
            <w:gridSpan w:val="3"/>
            <w:vAlign w:val="center"/>
          </w:tcPr>
          <w:p w14:paraId="23ECF309">
            <w:pPr>
              <w:jc w:val="center"/>
              <w:rPr>
                <w:rFonts w:cs="宋体"/>
                <w:color w:val="auto"/>
                <w:highlight w:val="none"/>
              </w:rPr>
            </w:pPr>
          </w:p>
        </w:tc>
        <w:tc>
          <w:tcPr>
            <w:tcW w:w="1417" w:type="dxa"/>
            <w:gridSpan w:val="3"/>
            <w:vAlign w:val="center"/>
          </w:tcPr>
          <w:p w14:paraId="06C09EF6">
            <w:pPr>
              <w:jc w:val="center"/>
              <w:rPr>
                <w:color w:val="auto"/>
                <w:highlight w:val="none"/>
              </w:rPr>
            </w:pPr>
          </w:p>
        </w:tc>
        <w:tc>
          <w:tcPr>
            <w:tcW w:w="1418" w:type="dxa"/>
            <w:gridSpan w:val="3"/>
            <w:vAlign w:val="center"/>
          </w:tcPr>
          <w:p w14:paraId="33675756">
            <w:pPr>
              <w:jc w:val="center"/>
              <w:rPr>
                <w:color w:val="auto"/>
                <w:highlight w:val="none"/>
              </w:rPr>
            </w:pPr>
          </w:p>
        </w:tc>
        <w:tc>
          <w:tcPr>
            <w:tcW w:w="1632" w:type="dxa"/>
            <w:gridSpan w:val="4"/>
            <w:vAlign w:val="center"/>
          </w:tcPr>
          <w:p w14:paraId="6A4B36E2">
            <w:pPr>
              <w:jc w:val="center"/>
              <w:rPr>
                <w:color w:val="auto"/>
                <w:highlight w:val="none"/>
              </w:rPr>
            </w:pPr>
          </w:p>
        </w:tc>
        <w:tc>
          <w:tcPr>
            <w:tcW w:w="1416" w:type="dxa"/>
            <w:gridSpan w:val="2"/>
            <w:vAlign w:val="center"/>
          </w:tcPr>
          <w:p w14:paraId="030B3FFE">
            <w:pPr>
              <w:jc w:val="center"/>
              <w:rPr>
                <w:color w:val="auto"/>
                <w:highlight w:val="none"/>
              </w:rPr>
            </w:pPr>
          </w:p>
        </w:tc>
      </w:tr>
      <w:tr w14:paraId="0AE85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gridSpan w:val="2"/>
            <w:vAlign w:val="center"/>
          </w:tcPr>
          <w:p w14:paraId="129D20D4">
            <w:pPr>
              <w:jc w:val="center"/>
              <w:rPr>
                <w:color w:val="auto"/>
                <w:highlight w:val="none"/>
              </w:rPr>
            </w:pPr>
            <w:r>
              <w:rPr>
                <w:rFonts w:hint="eastAsia"/>
                <w:color w:val="auto"/>
                <w:highlight w:val="none"/>
              </w:rPr>
              <w:t>安全生产考核合格证书</w:t>
            </w:r>
          </w:p>
        </w:tc>
        <w:tc>
          <w:tcPr>
            <w:tcW w:w="1275" w:type="dxa"/>
            <w:gridSpan w:val="2"/>
            <w:vAlign w:val="center"/>
          </w:tcPr>
          <w:p w14:paraId="5E63B953">
            <w:pPr>
              <w:jc w:val="center"/>
              <w:rPr>
                <w:color w:val="auto"/>
                <w:highlight w:val="none"/>
              </w:rPr>
            </w:pPr>
          </w:p>
        </w:tc>
        <w:tc>
          <w:tcPr>
            <w:tcW w:w="1222" w:type="dxa"/>
            <w:gridSpan w:val="3"/>
            <w:vAlign w:val="center"/>
          </w:tcPr>
          <w:p w14:paraId="6DACEC5F">
            <w:pPr>
              <w:jc w:val="center"/>
              <w:rPr>
                <w:rFonts w:cs="宋体"/>
                <w:color w:val="auto"/>
                <w:highlight w:val="none"/>
              </w:rPr>
            </w:pPr>
            <w:r>
              <w:rPr>
                <w:rFonts w:hint="eastAsia"/>
                <w:color w:val="auto"/>
                <w:highlight w:val="none"/>
              </w:rPr>
              <w:t>B类</w:t>
            </w:r>
          </w:p>
        </w:tc>
        <w:tc>
          <w:tcPr>
            <w:tcW w:w="1417" w:type="dxa"/>
            <w:gridSpan w:val="3"/>
            <w:vAlign w:val="center"/>
          </w:tcPr>
          <w:p w14:paraId="5AE4A862">
            <w:pPr>
              <w:jc w:val="center"/>
              <w:rPr>
                <w:color w:val="auto"/>
                <w:highlight w:val="none"/>
              </w:rPr>
            </w:pPr>
          </w:p>
        </w:tc>
        <w:tc>
          <w:tcPr>
            <w:tcW w:w="1418" w:type="dxa"/>
            <w:gridSpan w:val="3"/>
            <w:vAlign w:val="center"/>
          </w:tcPr>
          <w:p w14:paraId="27685E59">
            <w:pPr>
              <w:jc w:val="center"/>
              <w:rPr>
                <w:color w:val="auto"/>
                <w:highlight w:val="none"/>
              </w:rPr>
            </w:pPr>
          </w:p>
        </w:tc>
        <w:tc>
          <w:tcPr>
            <w:tcW w:w="1632" w:type="dxa"/>
            <w:gridSpan w:val="4"/>
            <w:vAlign w:val="center"/>
          </w:tcPr>
          <w:p w14:paraId="1C428DF4">
            <w:pPr>
              <w:jc w:val="center"/>
              <w:rPr>
                <w:color w:val="auto"/>
                <w:highlight w:val="none"/>
              </w:rPr>
            </w:pPr>
          </w:p>
        </w:tc>
        <w:tc>
          <w:tcPr>
            <w:tcW w:w="1416" w:type="dxa"/>
            <w:gridSpan w:val="2"/>
            <w:vAlign w:val="center"/>
          </w:tcPr>
          <w:p w14:paraId="3D565A65">
            <w:pPr>
              <w:jc w:val="center"/>
              <w:rPr>
                <w:color w:val="auto"/>
                <w:highlight w:val="none"/>
              </w:rPr>
            </w:pPr>
          </w:p>
        </w:tc>
      </w:tr>
      <w:tr w14:paraId="1E6B1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0" w:hRule="atLeast"/>
          <w:jc w:val="center"/>
        </w:trPr>
        <w:tc>
          <w:tcPr>
            <w:tcW w:w="9611" w:type="dxa"/>
            <w:gridSpan w:val="19"/>
            <w:vAlign w:val="center"/>
          </w:tcPr>
          <w:p w14:paraId="2489A287">
            <w:pPr>
              <w:jc w:val="center"/>
              <w:rPr>
                <w:color w:val="auto"/>
                <w:highlight w:val="none"/>
              </w:rPr>
            </w:pPr>
            <w:r>
              <w:rPr>
                <w:rFonts w:hint="eastAsia" w:cs="宋体"/>
                <w:color w:val="auto"/>
                <w:highlight w:val="none"/>
              </w:rPr>
              <w:t>在建和已完工程项目情况</w:t>
            </w:r>
          </w:p>
        </w:tc>
      </w:tr>
      <w:tr w14:paraId="64C54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jc w:val="center"/>
        </w:trPr>
        <w:tc>
          <w:tcPr>
            <w:tcW w:w="1626" w:type="dxa"/>
            <w:gridSpan w:val="4"/>
            <w:vAlign w:val="center"/>
          </w:tcPr>
          <w:p w14:paraId="15CBDAE9">
            <w:pPr>
              <w:jc w:val="center"/>
              <w:rPr>
                <w:color w:val="auto"/>
                <w:highlight w:val="none"/>
              </w:rPr>
            </w:pPr>
          </w:p>
        </w:tc>
        <w:tc>
          <w:tcPr>
            <w:tcW w:w="1548" w:type="dxa"/>
            <w:gridSpan w:val="2"/>
            <w:vAlign w:val="center"/>
          </w:tcPr>
          <w:p w14:paraId="102A230D">
            <w:pPr>
              <w:jc w:val="center"/>
              <w:rPr>
                <w:color w:val="auto"/>
                <w:highlight w:val="none"/>
              </w:rPr>
            </w:pPr>
            <w:r>
              <w:rPr>
                <w:rFonts w:hint="eastAsia"/>
                <w:color w:val="auto"/>
                <w:highlight w:val="none"/>
              </w:rPr>
              <w:t>项目1</w:t>
            </w:r>
          </w:p>
        </w:tc>
        <w:tc>
          <w:tcPr>
            <w:tcW w:w="1837" w:type="dxa"/>
            <w:gridSpan w:val="4"/>
            <w:vAlign w:val="center"/>
          </w:tcPr>
          <w:p w14:paraId="770026CC">
            <w:pPr>
              <w:jc w:val="center"/>
              <w:rPr>
                <w:color w:val="auto"/>
                <w:highlight w:val="none"/>
              </w:rPr>
            </w:pPr>
            <w:r>
              <w:rPr>
                <w:rFonts w:hint="eastAsia"/>
                <w:color w:val="auto"/>
                <w:highlight w:val="none"/>
              </w:rPr>
              <w:t>项目2</w:t>
            </w:r>
          </w:p>
        </w:tc>
        <w:tc>
          <w:tcPr>
            <w:tcW w:w="1472" w:type="dxa"/>
            <w:gridSpan w:val="3"/>
            <w:vAlign w:val="center"/>
          </w:tcPr>
          <w:p w14:paraId="3A4C7BD0">
            <w:pPr>
              <w:jc w:val="center"/>
              <w:rPr>
                <w:color w:val="auto"/>
                <w:highlight w:val="none"/>
              </w:rPr>
            </w:pPr>
            <w:r>
              <w:rPr>
                <w:rFonts w:hint="eastAsia"/>
                <w:color w:val="auto"/>
                <w:highlight w:val="none"/>
              </w:rPr>
              <w:t>项目3</w:t>
            </w:r>
          </w:p>
        </w:tc>
        <w:tc>
          <w:tcPr>
            <w:tcW w:w="1641" w:type="dxa"/>
            <w:gridSpan w:val="4"/>
            <w:vAlign w:val="center"/>
          </w:tcPr>
          <w:p w14:paraId="4BBC2CCE">
            <w:pPr>
              <w:jc w:val="center"/>
              <w:rPr>
                <w:color w:val="auto"/>
                <w:highlight w:val="none"/>
              </w:rPr>
            </w:pPr>
            <w:r>
              <w:rPr>
                <w:rFonts w:hint="eastAsia"/>
                <w:color w:val="auto"/>
                <w:highlight w:val="none"/>
              </w:rPr>
              <w:t>项目4</w:t>
            </w:r>
          </w:p>
        </w:tc>
        <w:tc>
          <w:tcPr>
            <w:tcW w:w="1484" w:type="dxa"/>
            <w:gridSpan w:val="2"/>
            <w:vAlign w:val="center"/>
          </w:tcPr>
          <w:p w14:paraId="3A14731B">
            <w:pPr>
              <w:jc w:val="center"/>
              <w:rPr>
                <w:color w:val="auto"/>
                <w:highlight w:val="none"/>
              </w:rPr>
            </w:pPr>
            <w:r>
              <w:rPr>
                <w:rFonts w:hint="eastAsia"/>
                <w:color w:val="auto"/>
                <w:highlight w:val="none"/>
              </w:rPr>
              <w:t>……</w:t>
            </w:r>
          </w:p>
        </w:tc>
      </w:tr>
      <w:tr w14:paraId="65722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jc w:val="center"/>
        </w:trPr>
        <w:tc>
          <w:tcPr>
            <w:tcW w:w="1626" w:type="dxa"/>
            <w:gridSpan w:val="4"/>
            <w:vAlign w:val="center"/>
          </w:tcPr>
          <w:p w14:paraId="3E580461">
            <w:pPr>
              <w:jc w:val="center"/>
              <w:rPr>
                <w:color w:val="auto"/>
                <w:highlight w:val="none"/>
              </w:rPr>
            </w:pPr>
            <w:r>
              <w:rPr>
                <w:rFonts w:hint="eastAsia"/>
                <w:color w:val="auto"/>
                <w:highlight w:val="none"/>
              </w:rPr>
              <w:t>项目名称</w:t>
            </w:r>
          </w:p>
        </w:tc>
        <w:tc>
          <w:tcPr>
            <w:tcW w:w="1548" w:type="dxa"/>
            <w:gridSpan w:val="2"/>
            <w:vAlign w:val="center"/>
          </w:tcPr>
          <w:p w14:paraId="294D3A88">
            <w:pPr>
              <w:jc w:val="center"/>
              <w:rPr>
                <w:color w:val="auto"/>
                <w:highlight w:val="none"/>
              </w:rPr>
            </w:pPr>
          </w:p>
        </w:tc>
        <w:tc>
          <w:tcPr>
            <w:tcW w:w="1837" w:type="dxa"/>
            <w:gridSpan w:val="4"/>
            <w:vAlign w:val="center"/>
          </w:tcPr>
          <w:p w14:paraId="0E0A44C6">
            <w:pPr>
              <w:jc w:val="center"/>
              <w:rPr>
                <w:color w:val="auto"/>
                <w:highlight w:val="none"/>
              </w:rPr>
            </w:pPr>
          </w:p>
        </w:tc>
        <w:tc>
          <w:tcPr>
            <w:tcW w:w="1472" w:type="dxa"/>
            <w:gridSpan w:val="3"/>
            <w:vAlign w:val="center"/>
          </w:tcPr>
          <w:p w14:paraId="2D2683C6">
            <w:pPr>
              <w:jc w:val="center"/>
              <w:rPr>
                <w:color w:val="auto"/>
                <w:highlight w:val="none"/>
              </w:rPr>
            </w:pPr>
          </w:p>
        </w:tc>
        <w:tc>
          <w:tcPr>
            <w:tcW w:w="1641" w:type="dxa"/>
            <w:gridSpan w:val="4"/>
            <w:vAlign w:val="center"/>
          </w:tcPr>
          <w:p w14:paraId="6E5DB516">
            <w:pPr>
              <w:jc w:val="center"/>
              <w:rPr>
                <w:color w:val="auto"/>
                <w:highlight w:val="none"/>
              </w:rPr>
            </w:pPr>
          </w:p>
        </w:tc>
        <w:tc>
          <w:tcPr>
            <w:tcW w:w="1484" w:type="dxa"/>
            <w:gridSpan w:val="2"/>
            <w:vAlign w:val="center"/>
          </w:tcPr>
          <w:p w14:paraId="334A2A67">
            <w:pPr>
              <w:jc w:val="center"/>
              <w:rPr>
                <w:color w:val="auto"/>
                <w:highlight w:val="none"/>
              </w:rPr>
            </w:pPr>
          </w:p>
        </w:tc>
      </w:tr>
      <w:tr w14:paraId="13306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50F62F86">
            <w:pPr>
              <w:jc w:val="center"/>
              <w:rPr>
                <w:color w:val="auto"/>
                <w:highlight w:val="none"/>
              </w:rPr>
            </w:pPr>
            <w:r>
              <w:rPr>
                <w:rFonts w:hint="eastAsia" w:cs="宋体"/>
                <w:color w:val="auto"/>
                <w:highlight w:val="none"/>
              </w:rPr>
              <w:t>建设单位</w:t>
            </w:r>
          </w:p>
        </w:tc>
        <w:tc>
          <w:tcPr>
            <w:tcW w:w="1548" w:type="dxa"/>
            <w:gridSpan w:val="2"/>
            <w:vAlign w:val="center"/>
          </w:tcPr>
          <w:p w14:paraId="21F13970">
            <w:pPr>
              <w:jc w:val="center"/>
              <w:rPr>
                <w:color w:val="auto"/>
                <w:highlight w:val="none"/>
              </w:rPr>
            </w:pPr>
          </w:p>
        </w:tc>
        <w:tc>
          <w:tcPr>
            <w:tcW w:w="1837" w:type="dxa"/>
            <w:gridSpan w:val="4"/>
            <w:vAlign w:val="center"/>
          </w:tcPr>
          <w:p w14:paraId="1238E4C3">
            <w:pPr>
              <w:jc w:val="center"/>
              <w:rPr>
                <w:color w:val="auto"/>
                <w:highlight w:val="none"/>
              </w:rPr>
            </w:pPr>
          </w:p>
        </w:tc>
        <w:tc>
          <w:tcPr>
            <w:tcW w:w="1472" w:type="dxa"/>
            <w:gridSpan w:val="3"/>
            <w:vAlign w:val="center"/>
          </w:tcPr>
          <w:p w14:paraId="5114384D">
            <w:pPr>
              <w:jc w:val="center"/>
              <w:rPr>
                <w:color w:val="auto"/>
                <w:highlight w:val="none"/>
              </w:rPr>
            </w:pPr>
          </w:p>
        </w:tc>
        <w:tc>
          <w:tcPr>
            <w:tcW w:w="1641" w:type="dxa"/>
            <w:gridSpan w:val="4"/>
            <w:vAlign w:val="center"/>
          </w:tcPr>
          <w:p w14:paraId="27313DAF">
            <w:pPr>
              <w:jc w:val="center"/>
              <w:rPr>
                <w:color w:val="auto"/>
                <w:highlight w:val="none"/>
              </w:rPr>
            </w:pPr>
          </w:p>
        </w:tc>
        <w:tc>
          <w:tcPr>
            <w:tcW w:w="1484" w:type="dxa"/>
            <w:gridSpan w:val="2"/>
            <w:vAlign w:val="center"/>
          </w:tcPr>
          <w:p w14:paraId="01975558">
            <w:pPr>
              <w:jc w:val="center"/>
              <w:rPr>
                <w:color w:val="auto"/>
                <w:highlight w:val="none"/>
              </w:rPr>
            </w:pPr>
          </w:p>
        </w:tc>
      </w:tr>
      <w:tr w14:paraId="37B59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533537A9">
            <w:pPr>
              <w:jc w:val="center"/>
              <w:rPr>
                <w:color w:val="auto"/>
                <w:highlight w:val="none"/>
              </w:rPr>
            </w:pPr>
            <w:r>
              <w:rPr>
                <w:rFonts w:hint="eastAsia" w:cs="宋体"/>
                <w:color w:val="auto"/>
                <w:highlight w:val="none"/>
              </w:rPr>
              <w:t>建设规模</w:t>
            </w:r>
          </w:p>
        </w:tc>
        <w:tc>
          <w:tcPr>
            <w:tcW w:w="1548" w:type="dxa"/>
            <w:gridSpan w:val="2"/>
            <w:vAlign w:val="center"/>
          </w:tcPr>
          <w:p w14:paraId="11A5A5FD">
            <w:pPr>
              <w:jc w:val="center"/>
              <w:rPr>
                <w:color w:val="auto"/>
                <w:highlight w:val="none"/>
              </w:rPr>
            </w:pPr>
          </w:p>
        </w:tc>
        <w:tc>
          <w:tcPr>
            <w:tcW w:w="1837" w:type="dxa"/>
            <w:gridSpan w:val="4"/>
            <w:vAlign w:val="center"/>
          </w:tcPr>
          <w:p w14:paraId="753E4469">
            <w:pPr>
              <w:jc w:val="center"/>
              <w:rPr>
                <w:color w:val="auto"/>
                <w:highlight w:val="none"/>
              </w:rPr>
            </w:pPr>
          </w:p>
        </w:tc>
        <w:tc>
          <w:tcPr>
            <w:tcW w:w="1472" w:type="dxa"/>
            <w:gridSpan w:val="3"/>
            <w:vAlign w:val="center"/>
          </w:tcPr>
          <w:p w14:paraId="12417EBA">
            <w:pPr>
              <w:jc w:val="center"/>
              <w:rPr>
                <w:color w:val="auto"/>
                <w:highlight w:val="none"/>
              </w:rPr>
            </w:pPr>
          </w:p>
        </w:tc>
        <w:tc>
          <w:tcPr>
            <w:tcW w:w="1641" w:type="dxa"/>
            <w:gridSpan w:val="4"/>
            <w:vAlign w:val="center"/>
          </w:tcPr>
          <w:p w14:paraId="2A9C4505">
            <w:pPr>
              <w:jc w:val="center"/>
              <w:rPr>
                <w:color w:val="auto"/>
                <w:highlight w:val="none"/>
              </w:rPr>
            </w:pPr>
          </w:p>
        </w:tc>
        <w:tc>
          <w:tcPr>
            <w:tcW w:w="1484" w:type="dxa"/>
            <w:gridSpan w:val="2"/>
            <w:vAlign w:val="center"/>
          </w:tcPr>
          <w:p w14:paraId="1F1DB112">
            <w:pPr>
              <w:jc w:val="center"/>
              <w:rPr>
                <w:color w:val="auto"/>
                <w:highlight w:val="none"/>
              </w:rPr>
            </w:pPr>
          </w:p>
        </w:tc>
      </w:tr>
      <w:tr w14:paraId="16B91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16E823C2">
            <w:pPr>
              <w:jc w:val="center"/>
              <w:rPr>
                <w:rFonts w:ascii="宋体" w:hAnsi="宋体" w:cs="宋体"/>
                <w:color w:val="auto"/>
                <w:sz w:val="27"/>
                <w:szCs w:val="27"/>
                <w:highlight w:val="none"/>
              </w:rPr>
            </w:pPr>
            <w:r>
              <w:rPr>
                <w:rFonts w:hint="eastAsia" w:cs="宋体"/>
                <w:color w:val="auto"/>
                <w:highlight w:val="none"/>
              </w:rPr>
              <w:t>开工日期</w:t>
            </w:r>
          </w:p>
        </w:tc>
        <w:tc>
          <w:tcPr>
            <w:tcW w:w="1548" w:type="dxa"/>
            <w:gridSpan w:val="2"/>
            <w:vAlign w:val="center"/>
          </w:tcPr>
          <w:p w14:paraId="3FFDDAEA">
            <w:pPr>
              <w:jc w:val="center"/>
              <w:rPr>
                <w:color w:val="auto"/>
                <w:highlight w:val="none"/>
              </w:rPr>
            </w:pPr>
          </w:p>
        </w:tc>
        <w:tc>
          <w:tcPr>
            <w:tcW w:w="1837" w:type="dxa"/>
            <w:gridSpan w:val="4"/>
            <w:vAlign w:val="center"/>
          </w:tcPr>
          <w:p w14:paraId="3C810F45">
            <w:pPr>
              <w:jc w:val="center"/>
              <w:rPr>
                <w:color w:val="auto"/>
                <w:highlight w:val="none"/>
              </w:rPr>
            </w:pPr>
          </w:p>
        </w:tc>
        <w:tc>
          <w:tcPr>
            <w:tcW w:w="1472" w:type="dxa"/>
            <w:gridSpan w:val="3"/>
            <w:vAlign w:val="center"/>
          </w:tcPr>
          <w:p w14:paraId="51FF8D0C">
            <w:pPr>
              <w:jc w:val="center"/>
              <w:rPr>
                <w:color w:val="auto"/>
                <w:highlight w:val="none"/>
              </w:rPr>
            </w:pPr>
          </w:p>
        </w:tc>
        <w:tc>
          <w:tcPr>
            <w:tcW w:w="1641" w:type="dxa"/>
            <w:gridSpan w:val="4"/>
            <w:vAlign w:val="center"/>
          </w:tcPr>
          <w:p w14:paraId="2EF4CFD3">
            <w:pPr>
              <w:jc w:val="center"/>
              <w:rPr>
                <w:color w:val="auto"/>
                <w:highlight w:val="none"/>
              </w:rPr>
            </w:pPr>
          </w:p>
        </w:tc>
        <w:tc>
          <w:tcPr>
            <w:tcW w:w="1484" w:type="dxa"/>
            <w:gridSpan w:val="2"/>
            <w:vAlign w:val="center"/>
          </w:tcPr>
          <w:p w14:paraId="27393195">
            <w:pPr>
              <w:jc w:val="center"/>
              <w:rPr>
                <w:color w:val="auto"/>
                <w:highlight w:val="none"/>
              </w:rPr>
            </w:pPr>
          </w:p>
        </w:tc>
      </w:tr>
      <w:tr w14:paraId="5E105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1241FC27">
            <w:pPr>
              <w:jc w:val="center"/>
              <w:rPr>
                <w:color w:val="auto"/>
                <w:highlight w:val="none"/>
              </w:rPr>
            </w:pPr>
            <w:r>
              <w:rPr>
                <w:rFonts w:hint="eastAsia" w:cs="宋体"/>
                <w:color w:val="auto"/>
                <w:highlight w:val="none"/>
              </w:rPr>
              <w:t>竣工日期</w:t>
            </w:r>
          </w:p>
        </w:tc>
        <w:tc>
          <w:tcPr>
            <w:tcW w:w="1548" w:type="dxa"/>
            <w:gridSpan w:val="2"/>
            <w:vAlign w:val="center"/>
          </w:tcPr>
          <w:p w14:paraId="085E923A">
            <w:pPr>
              <w:jc w:val="center"/>
              <w:rPr>
                <w:color w:val="auto"/>
                <w:highlight w:val="none"/>
              </w:rPr>
            </w:pPr>
          </w:p>
        </w:tc>
        <w:tc>
          <w:tcPr>
            <w:tcW w:w="1837" w:type="dxa"/>
            <w:gridSpan w:val="4"/>
            <w:vAlign w:val="center"/>
          </w:tcPr>
          <w:p w14:paraId="72ABC296">
            <w:pPr>
              <w:jc w:val="center"/>
              <w:rPr>
                <w:color w:val="auto"/>
                <w:highlight w:val="none"/>
              </w:rPr>
            </w:pPr>
          </w:p>
        </w:tc>
        <w:tc>
          <w:tcPr>
            <w:tcW w:w="1472" w:type="dxa"/>
            <w:gridSpan w:val="3"/>
            <w:vAlign w:val="center"/>
          </w:tcPr>
          <w:p w14:paraId="0E0A8571">
            <w:pPr>
              <w:jc w:val="center"/>
              <w:rPr>
                <w:color w:val="auto"/>
                <w:highlight w:val="none"/>
              </w:rPr>
            </w:pPr>
          </w:p>
        </w:tc>
        <w:tc>
          <w:tcPr>
            <w:tcW w:w="1641" w:type="dxa"/>
            <w:gridSpan w:val="4"/>
            <w:vAlign w:val="center"/>
          </w:tcPr>
          <w:p w14:paraId="63F374CC">
            <w:pPr>
              <w:jc w:val="center"/>
              <w:rPr>
                <w:color w:val="auto"/>
                <w:highlight w:val="none"/>
              </w:rPr>
            </w:pPr>
          </w:p>
        </w:tc>
        <w:tc>
          <w:tcPr>
            <w:tcW w:w="1484" w:type="dxa"/>
            <w:gridSpan w:val="2"/>
            <w:vAlign w:val="center"/>
          </w:tcPr>
          <w:p w14:paraId="71F6E117">
            <w:pPr>
              <w:jc w:val="center"/>
              <w:rPr>
                <w:color w:val="auto"/>
                <w:highlight w:val="none"/>
              </w:rPr>
            </w:pPr>
          </w:p>
        </w:tc>
      </w:tr>
      <w:tr w14:paraId="5DFBE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2084F37A">
            <w:pPr>
              <w:jc w:val="center"/>
              <w:rPr>
                <w:rFonts w:cs="宋体"/>
                <w:color w:val="auto"/>
                <w:highlight w:val="none"/>
              </w:rPr>
            </w:pPr>
            <w:r>
              <w:rPr>
                <w:rFonts w:hint="eastAsia" w:cs="宋体"/>
                <w:color w:val="auto"/>
                <w:highlight w:val="none"/>
              </w:rPr>
              <w:t>人员角色</w:t>
            </w:r>
          </w:p>
        </w:tc>
        <w:tc>
          <w:tcPr>
            <w:tcW w:w="1548" w:type="dxa"/>
            <w:gridSpan w:val="2"/>
            <w:vAlign w:val="center"/>
          </w:tcPr>
          <w:p w14:paraId="09466BE8">
            <w:pPr>
              <w:jc w:val="center"/>
              <w:rPr>
                <w:color w:val="auto"/>
                <w:highlight w:val="none"/>
              </w:rPr>
            </w:pPr>
          </w:p>
        </w:tc>
        <w:tc>
          <w:tcPr>
            <w:tcW w:w="1837" w:type="dxa"/>
            <w:gridSpan w:val="4"/>
            <w:vAlign w:val="center"/>
          </w:tcPr>
          <w:p w14:paraId="27BE0DD0">
            <w:pPr>
              <w:jc w:val="center"/>
              <w:rPr>
                <w:color w:val="auto"/>
                <w:highlight w:val="none"/>
              </w:rPr>
            </w:pPr>
          </w:p>
        </w:tc>
        <w:tc>
          <w:tcPr>
            <w:tcW w:w="1472" w:type="dxa"/>
            <w:gridSpan w:val="3"/>
            <w:vAlign w:val="center"/>
          </w:tcPr>
          <w:p w14:paraId="539F9D6A">
            <w:pPr>
              <w:jc w:val="center"/>
              <w:rPr>
                <w:color w:val="auto"/>
                <w:highlight w:val="none"/>
              </w:rPr>
            </w:pPr>
          </w:p>
        </w:tc>
        <w:tc>
          <w:tcPr>
            <w:tcW w:w="1641" w:type="dxa"/>
            <w:gridSpan w:val="4"/>
            <w:vAlign w:val="center"/>
          </w:tcPr>
          <w:p w14:paraId="609E5D27">
            <w:pPr>
              <w:jc w:val="center"/>
              <w:rPr>
                <w:color w:val="auto"/>
                <w:highlight w:val="none"/>
              </w:rPr>
            </w:pPr>
          </w:p>
        </w:tc>
        <w:tc>
          <w:tcPr>
            <w:tcW w:w="1484" w:type="dxa"/>
            <w:gridSpan w:val="2"/>
            <w:vAlign w:val="center"/>
          </w:tcPr>
          <w:p w14:paraId="379138FC">
            <w:pPr>
              <w:jc w:val="center"/>
              <w:rPr>
                <w:color w:val="auto"/>
                <w:highlight w:val="none"/>
              </w:rPr>
            </w:pPr>
          </w:p>
        </w:tc>
      </w:tr>
      <w:tr w14:paraId="6FEA7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2240D38A">
            <w:pPr>
              <w:jc w:val="center"/>
              <w:rPr>
                <w:rFonts w:cs="宋体"/>
                <w:color w:val="auto"/>
                <w:highlight w:val="none"/>
              </w:rPr>
            </w:pPr>
            <w:r>
              <w:rPr>
                <w:rFonts w:hint="eastAsia" w:cs="宋体"/>
                <w:color w:val="auto"/>
                <w:highlight w:val="none"/>
              </w:rPr>
              <w:t>在建或已完</w:t>
            </w:r>
          </w:p>
        </w:tc>
        <w:tc>
          <w:tcPr>
            <w:tcW w:w="1548" w:type="dxa"/>
            <w:gridSpan w:val="2"/>
            <w:vAlign w:val="center"/>
          </w:tcPr>
          <w:p w14:paraId="301D512C">
            <w:pPr>
              <w:jc w:val="center"/>
              <w:rPr>
                <w:color w:val="auto"/>
                <w:highlight w:val="none"/>
              </w:rPr>
            </w:pPr>
          </w:p>
        </w:tc>
        <w:tc>
          <w:tcPr>
            <w:tcW w:w="1837" w:type="dxa"/>
            <w:gridSpan w:val="4"/>
            <w:vAlign w:val="center"/>
          </w:tcPr>
          <w:p w14:paraId="1C5190F4">
            <w:pPr>
              <w:jc w:val="center"/>
              <w:rPr>
                <w:color w:val="auto"/>
                <w:highlight w:val="none"/>
              </w:rPr>
            </w:pPr>
          </w:p>
        </w:tc>
        <w:tc>
          <w:tcPr>
            <w:tcW w:w="1472" w:type="dxa"/>
            <w:gridSpan w:val="3"/>
            <w:vAlign w:val="center"/>
          </w:tcPr>
          <w:p w14:paraId="4270C6AA">
            <w:pPr>
              <w:jc w:val="center"/>
              <w:rPr>
                <w:color w:val="auto"/>
                <w:highlight w:val="none"/>
              </w:rPr>
            </w:pPr>
          </w:p>
        </w:tc>
        <w:tc>
          <w:tcPr>
            <w:tcW w:w="1641" w:type="dxa"/>
            <w:gridSpan w:val="4"/>
            <w:vAlign w:val="center"/>
          </w:tcPr>
          <w:p w14:paraId="1B852B47">
            <w:pPr>
              <w:jc w:val="center"/>
              <w:rPr>
                <w:color w:val="auto"/>
                <w:highlight w:val="none"/>
              </w:rPr>
            </w:pPr>
          </w:p>
        </w:tc>
        <w:tc>
          <w:tcPr>
            <w:tcW w:w="1484" w:type="dxa"/>
            <w:gridSpan w:val="2"/>
            <w:vAlign w:val="center"/>
          </w:tcPr>
          <w:p w14:paraId="1E339F7B">
            <w:pPr>
              <w:jc w:val="center"/>
              <w:rPr>
                <w:color w:val="auto"/>
                <w:highlight w:val="none"/>
              </w:rPr>
            </w:pPr>
          </w:p>
        </w:tc>
      </w:tr>
      <w:tr w14:paraId="4BE0E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42C82BE4">
            <w:pPr>
              <w:jc w:val="center"/>
              <w:rPr>
                <w:rFonts w:cs="宋体"/>
                <w:color w:val="auto"/>
                <w:highlight w:val="none"/>
              </w:rPr>
            </w:pPr>
            <w:r>
              <w:rPr>
                <w:rFonts w:hint="eastAsia" w:cs="宋体"/>
                <w:color w:val="auto"/>
                <w:highlight w:val="none"/>
              </w:rPr>
              <w:t>工程质量</w:t>
            </w:r>
          </w:p>
        </w:tc>
        <w:tc>
          <w:tcPr>
            <w:tcW w:w="1548" w:type="dxa"/>
            <w:gridSpan w:val="2"/>
            <w:vAlign w:val="center"/>
          </w:tcPr>
          <w:p w14:paraId="7EF03A7F">
            <w:pPr>
              <w:jc w:val="center"/>
              <w:rPr>
                <w:color w:val="auto"/>
                <w:highlight w:val="none"/>
              </w:rPr>
            </w:pPr>
          </w:p>
        </w:tc>
        <w:tc>
          <w:tcPr>
            <w:tcW w:w="1837" w:type="dxa"/>
            <w:gridSpan w:val="4"/>
            <w:vAlign w:val="center"/>
          </w:tcPr>
          <w:p w14:paraId="4A17765B">
            <w:pPr>
              <w:jc w:val="center"/>
              <w:rPr>
                <w:color w:val="auto"/>
                <w:highlight w:val="none"/>
              </w:rPr>
            </w:pPr>
          </w:p>
        </w:tc>
        <w:tc>
          <w:tcPr>
            <w:tcW w:w="1472" w:type="dxa"/>
            <w:gridSpan w:val="3"/>
            <w:vAlign w:val="center"/>
          </w:tcPr>
          <w:p w14:paraId="62DA9A48">
            <w:pPr>
              <w:jc w:val="center"/>
              <w:rPr>
                <w:color w:val="auto"/>
                <w:highlight w:val="none"/>
              </w:rPr>
            </w:pPr>
          </w:p>
        </w:tc>
        <w:tc>
          <w:tcPr>
            <w:tcW w:w="1641" w:type="dxa"/>
            <w:gridSpan w:val="4"/>
            <w:vAlign w:val="center"/>
          </w:tcPr>
          <w:p w14:paraId="758149EA">
            <w:pPr>
              <w:jc w:val="center"/>
              <w:rPr>
                <w:color w:val="auto"/>
                <w:highlight w:val="none"/>
              </w:rPr>
            </w:pPr>
          </w:p>
        </w:tc>
        <w:tc>
          <w:tcPr>
            <w:tcW w:w="1484" w:type="dxa"/>
            <w:gridSpan w:val="2"/>
            <w:vAlign w:val="center"/>
          </w:tcPr>
          <w:p w14:paraId="3123727E">
            <w:pPr>
              <w:jc w:val="center"/>
              <w:rPr>
                <w:color w:val="auto"/>
                <w:highlight w:val="none"/>
              </w:rPr>
            </w:pPr>
          </w:p>
        </w:tc>
      </w:tr>
      <w:tr w14:paraId="0916E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027C9ADD">
            <w:pPr>
              <w:jc w:val="center"/>
              <w:rPr>
                <w:rFonts w:cs="宋体"/>
                <w:color w:val="auto"/>
                <w:highlight w:val="none"/>
              </w:rPr>
            </w:pPr>
            <w:r>
              <w:rPr>
                <w:rFonts w:hint="eastAsia" w:cs="宋体"/>
                <w:color w:val="auto"/>
                <w:highlight w:val="none"/>
              </w:rPr>
              <w:t>受奖情况</w:t>
            </w:r>
          </w:p>
        </w:tc>
        <w:tc>
          <w:tcPr>
            <w:tcW w:w="1548" w:type="dxa"/>
            <w:gridSpan w:val="2"/>
            <w:vAlign w:val="center"/>
          </w:tcPr>
          <w:p w14:paraId="273E59C2">
            <w:pPr>
              <w:jc w:val="center"/>
              <w:rPr>
                <w:color w:val="auto"/>
                <w:highlight w:val="none"/>
              </w:rPr>
            </w:pPr>
          </w:p>
        </w:tc>
        <w:tc>
          <w:tcPr>
            <w:tcW w:w="1837" w:type="dxa"/>
            <w:gridSpan w:val="4"/>
            <w:vAlign w:val="center"/>
          </w:tcPr>
          <w:p w14:paraId="0346E2D1">
            <w:pPr>
              <w:jc w:val="center"/>
              <w:rPr>
                <w:color w:val="auto"/>
                <w:highlight w:val="none"/>
              </w:rPr>
            </w:pPr>
          </w:p>
        </w:tc>
        <w:tc>
          <w:tcPr>
            <w:tcW w:w="1472" w:type="dxa"/>
            <w:gridSpan w:val="3"/>
            <w:vAlign w:val="center"/>
          </w:tcPr>
          <w:p w14:paraId="3F65BC87">
            <w:pPr>
              <w:jc w:val="center"/>
              <w:rPr>
                <w:color w:val="auto"/>
                <w:highlight w:val="none"/>
              </w:rPr>
            </w:pPr>
          </w:p>
        </w:tc>
        <w:tc>
          <w:tcPr>
            <w:tcW w:w="1641" w:type="dxa"/>
            <w:gridSpan w:val="4"/>
            <w:vAlign w:val="center"/>
          </w:tcPr>
          <w:p w14:paraId="748DD8AA">
            <w:pPr>
              <w:jc w:val="center"/>
              <w:rPr>
                <w:color w:val="auto"/>
                <w:highlight w:val="none"/>
              </w:rPr>
            </w:pPr>
          </w:p>
        </w:tc>
        <w:tc>
          <w:tcPr>
            <w:tcW w:w="1484" w:type="dxa"/>
            <w:gridSpan w:val="2"/>
            <w:vAlign w:val="center"/>
          </w:tcPr>
          <w:p w14:paraId="18786948">
            <w:pPr>
              <w:jc w:val="center"/>
              <w:rPr>
                <w:color w:val="auto"/>
                <w:highlight w:val="none"/>
              </w:rPr>
            </w:pPr>
          </w:p>
        </w:tc>
      </w:tr>
    </w:tbl>
    <w:p w14:paraId="3C7B25F1">
      <w:pPr>
        <w:rPr>
          <w:rFonts w:ascii="宋体" w:hAnsi="宋体"/>
          <w:color w:val="auto"/>
          <w:szCs w:val="21"/>
          <w:highlight w:val="none"/>
        </w:rPr>
      </w:pPr>
      <w:r>
        <w:rPr>
          <w:rFonts w:hint="eastAsia" w:ascii="宋体" w:hAnsi="宋体" w:cs="楷体_GB2312"/>
          <w:color w:val="auto"/>
          <w:szCs w:val="21"/>
          <w:highlight w:val="none"/>
        </w:rPr>
        <w:t>备注：</w:t>
      </w:r>
    </w:p>
    <w:p w14:paraId="72D0304A">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1.项目</w:t>
      </w:r>
      <w:r>
        <w:rPr>
          <w:rFonts w:ascii="宋体" w:hAnsi="宋体"/>
          <w:color w:val="auto"/>
          <w:szCs w:val="21"/>
          <w:highlight w:val="none"/>
        </w:rPr>
        <w:t>数</w:t>
      </w:r>
      <w:r>
        <w:rPr>
          <w:rFonts w:hint="eastAsia" w:ascii="宋体" w:hAnsi="宋体"/>
          <w:color w:val="auto"/>
          <w:szCs w:val="21"/>
          <w:highlight w:val="none"/>
        </w:rPr>
        <w:t>可</w:t>
      </w:r>
      <w:r>
        <w:rPr>
          <w:rFonts w:ascii="宋体" w:hAnsi="宋体"/>
          <w:color w:val="auto"/>
          <w:szCs w:val="21"/>
          <w:highlight w:val="none"/>
        </w:rPr>
        <w:t>以根据需要增加</w:t>
      </w:r>
      <w:r>
        <w:rPr>
          <w:rFonts w:hint="eastAsia" w:ascii="宋体" w:hAnsi="宋体"/>
          <w:color w:val="auto"/>
          <w:szCs w:val="21"/>
          <w:highlight w:val="none"/>
        </w:rPr>
        <w:t>。</w:t>
      </w:r>
    </w:p>
    <w:p w14:paraId="229797A2">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2.本表后附项目经理的</w:t>
      </w:r>
      <w:r>
        <w:rPr>
          <w:rFonts w:hint="eastAsia" w:ascii="宋体" w:hAnsi="宋体"/>
          <w:color w:val="auto"/>
          <w:szCs w:val="21"/>
          <w:highlight w:val="none"/>
          <w:lang w:val="en-US" w:eastAsia="zh-CN"/>
        </w:rPr>
        <w:t>资格</w:t>
      </w:r>
      <w:r>
        <w:rPr>
          <w:rFonts w:hint="eastAsia" w:ascii="宋体" w:hAnsi="宋体"/>
          <w:color w:val="auto"/>
          <w:szCs w:val="21"/>
          <w:highlight w:val="none"/>
        </w:rPr>
        <w:t>证</w:t>
      </w:r>
      <w:r>
        <w:rPr>
          <w:rFonts w:hint="eastAsia" w:ascii="宋体" w:hAnsi="宋体"/>
          <w:color w:val="auto"/>
          <w:szCs w:val="21"/>
          <w:highlight w:val="none"/>
          <w:lang w:eastAsia="zh-CN"/>
        </w:rPr>
        <w:t>、</w:t>
      </w:r>
      <w:r>
        <w:rPr>
          <w:rFonts w:hint="eastAsia" w:ascii="宋体" w:hAnsi="宋体"/>
          <w:color w:val="auto"/>
          <w:szCs w:val="21"/>
          <w:highlight w:val="none"/>
        </w:rPr>
        <w:t>安全生产考核合格证（B类）、本表所列证书扫描件并加盖供应商电子签章。</w:t>
      </w:r>
    </w:p>
    <w:p w14:paraId="562230EE">
      <w:pPr>
        <w:spacing w:beforeLines="50"/>
        <w:ind w:firstLine="643" w:firstLineChars="200"/>
        <w:jc w:val="center"/>
        <w:rPr>
          <w:color w:val="auto"/>
          <w:highlight w:val="none"/>
          <w:u w:val="single"/>
        </w:rPr>
      </w:pPr>
      <w:r>
        <w:rPr>
          <w:rFonts w:cs="宋体"/>
          <w:b/>
          <w:color w:val="auto"/>
          <w:sz w:val="32"/>
          <w:szCs w:val="32"/>
          <w:highlight w:val="none"/>
        </w:rPr>
        <w:br w:type="page"/>
      </w:r>
      <w:r>
        <w:rPr>
          <w:rFonts w:hint="eastAsia" w:cs="宋体"/>
          <w:b/>
          <w:color w:val="auto"/>
          <w:sz w:val="32"/>
          <w:szCs w:val="32"/>
          <w:highlight w:val="none"/>
        </w:rPr>
        <w:t>项目技术负责人（项目总工）简历表</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
        <w:gridCol w:w="1154"/>
        <w:gridCol w:w="164"/>
        <w:gridCol w:w="300"/>
        <w:gridCol w:w="888"/>
        <w:gridCol w:w="660"/>
        <w:gridCol w:w="328"/>
        <w:gridCol w:w="234"/>
        <w:gridCol w:w="66"/>
        <w:gridCol w:w="1209"/>
        <w:gridCol w:w="142"/>
        <w:gridCol w:w="242"/>
        <w:gridCol w:w="1088"/>
        <w:gridCol w:w="88"/>
        <w:gridCol w:w="409"/>
        <w:gridCol w:w="1108"/>
        <w:gridCol w:w="36"/>
        <w:gridCol w:w="79"/>
        <w:gridCol w:w="1405"/>
        <w:gridCol w:w="11"/>
      </w:tblGrid>
      <w:tr w14:paraId="729ED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154" w:type="dxa"/>
            <w:vAlign w:val="center"/>
          </w:tcPr>
          <w:p w14:paraId="5B7D2EF1">
            <w:pPr>
              <w:jc w:val="center"/>
              <w:rPr>
                <w:color w:val="auto"/>
                <w:highlight w:val="none"/>
              </w:rPr>
            </w:pPr>
            <w:r>
              <w:rPr>
                <w:rFonts w:hint="eastAsia" w:cs="宋体"/>
                <w:color w:val="auto"/>
                <w:highlight w:val="none"/>
              </w:rPr>
              <w:t>姓名</w:t>
            </w:r>
          </w:p>
        </w:tc>
        <w:tc>
          <w:tcPr>
            <w:tcW w:w="2340" w:type="dxa"/>
            <w:gridSpan w:val="5"/>
            <w:vAlign w:val="center"/>
          </w:tcPr>
          <w:p w14:paraId="2C473C88">
            <w:pPr>
              <w:jc w:val="center"/>
              <w:rPr>
                <w:color w:val="auto"/>
                <w:highlight w:val="none"/>
              </w:rPr>
            </w:pPr>
          </w:p>
        </w:tc>
        <w:tc>
          <w:tcPr>
            <w:tcW w:w="1893" w:type="dxa"/>
            <w:gridSpan w:val="5"/>
            <w:vAlign w:val="center"/>
          </w:tcPr>
          <w:p w14:paraId="18391FD8">
            <w:pPr>
              <w:jc w:val="center"/>
              <w:rPr>
                <w:color w:val="auto"/>
                <w:highlight w:val="none"/>
              </w:rPr>
            </w:pPr>
            <w:r>
              <w:rPr>
                <w:rFonts w:hint="eastAsia" w:cs="宋体"/>
                <w:color w:val="auto"/>
                <w:highlight w:val="none"/>
              </w:rPr>
              <w:t>性别</w:t>
            </w:r>
          </w:p>
        </w:tc>
        <w:tc>
          <w:tcPr>
            <w:tcW w:w="1585" w:type="dxa"/>
            <w:gridSpan w:val="3"/>
            <w:vAlign w:val="center"/>
          </w:tcPr>
          <w:p w14:paraId="2B1F7134">
            <w:pPr>
              <w:jc w:val="center"/>
              <w:rPr>
                <w:color w:val="auto"/>
                <w:highlight w:val="none"/>
              </w:rPr>
            </w:pPr>
          </w:p>
        </w:tc>
        <w:tc>
          <w:tcPr>
            <w:tcW w:w="1108" w:type="dxa"/>
            <w:vAlign w:val="center"/>
          </w:tcPr>
          <w:p w14:paraId="7A35C75A">
            <w:pPr>
              <w:jc w:val="center"/>
              <w:rPr>
                <w:color w:val="auto"/>
                <w:highlight w:val="none"/>
              </w:rPr>
            </w:pPr>
            <w:r>
              <w:rPr>
                <w:rFonts w:hint="eastAsia" w:cs="宋体"/>
                <w:color w:val="auto"/>
                <w:highlight w:val="none"/>
              </w:rPr>
              <w:t>年龄</w:t>
            </w:r>
          </w:p>
        </w:tc>
        <w:tc>
          <w:tcPr>
            <w:tcW w:w="1531" w:type="dxa"/>
            <w:gridSpan w:val="4"/>
            <w:vAlign w:val="center"/>
          </w:tcPr>
          <w:p w14:paraId="637C6900">
            <w:pPr>
              <w:jc w:val="center"/>
              <w:rPr>
                <w:color w:val="auto"/>
                <w:highlight w:val="none"/>
              </w:rPr>
            </w:pPr>
          </w:p>
        </w:tc>
      </w:tr>
      <w:tr w14:paraId="58C84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3" w:hRule="atLeast"/>
          <w:jc w:val="center"/>
        </w:trPr>
        <w:tc>
          <w:tcPr>
            <w:tcW w:w="1154" w:type="dxa"/>
            <w:vAlign w:val="center"/>
          </w:tcPr>
          <w:p w14:paraId="618C8DFE">
            <w:pPr>
              <w:jc w:val="center"/>
              <w:rPr>
                <w:color w:val="auto"/>
                <w:highlight w:val="none"/>
              </w:rPr>
            </w:pPr>
            <w:r>
              <w:rPr>
                <w:rFonts w:hint="eastAsia" w:cs="宋体"/>
                <w:color w:val="auto"/>
                <w:highlight w:val="none"/>
              </w:rPr>
              <w:t>岗位</w:t>
            </w:r>
          </w:p>
        </w:tc>
        <w:tc>
          <w:tcPr>
            <w:tcW w:w="2340" w:type="dxa"/>
            <w:gridSpan w:val="5"/>
            <w:vAlign w:val="center"/>
          </w:tcPr>
          <w:p w14:paraId="7D01E5B8">
            <w:pPr>
              <w:jc w:val="center"/>
              <w:rPr>
                <w:color w:val="auto"/>
                <w:highlight w:val="none"/>
              </w:rPr>
            </w:pPr>
            <w:r>
              <w:rPr>
                <w:rFonts w:hint="eastAsia"/>
                <w:color w:val="auto"/>
                <w:highlight w:val="none"/>
              </w:rPr>
              <w:t>项目技术负责人（项目总工）</w:t>
            </w:r>
          </w:p>
        </w:tc>
        <w:tc>
          <w:tcPr>
            <w:tcW w:w="1893" w:type="dxa"/>
            <w:gridSpan w:val="5"/>
            <w:vAlign w:val="center"/>
          </w:tcPr>
          <w:p w14:paraId="1853402C">
            <w:pPr>
              <w:jc w:val="center"/>
              <w:rPr>
                <w:color w:val="auto"/>
                <w:highlight w:val="none"/>
              </w:rPr>
            </w:pPr>
            <w:r>
              <w:rPr>
                <w:rFonts w:hint="eastAsia" w:cs="宋体"/>
                <w:color w:val="auto"/>
                <w:highlight w:val="none"/>
              </w:rPr>
              <w:t>职称</w:t>
            </w:r>
          </w:p>
        </w:tc>
        <w:tc>
          <w:tcPr>
            <w:tcW w:w="1585" w:type="dxa"/>
            <w:gridSpan w:val="3"/>
            <w:vAlign w:val="center"/>
          </w:tcPr>
          <w:p w14:paraId="479430EE">
            <w:pPr>
              <w:jc w:val="center"/>
              <w:rPr>
                <w:color w:val="auto"/>
                <w:highlight w:val="none"/>
              </w:rPr>
            </w:pPr>
          </w:p>
        </w:tc>
        <w:tc>
          <w:tcPr>
            <w:tcW w:w="1108" w:type="dxa"/>
            <w:vAlign w:val="center"/>
          </w:tcPr>
          <w:p w14:paraId="25982759">
            <w:pPr>
              <w:jc w:val="center"/>
              <w:rPr>
                <w:color w:val="auto"/>
                <w:highlight w:val="none"/>
              </w:rPr>
            </w:pPr>
            <w:r>
              <w:rPr>
                <w:rFonts w:hint="eastAsia" w:cs="宋体"/>
                <w:color w:val="auto"/>
                <w:highlight w:val="none"/>
              </w:rPr>
              <w:t>学历</w:t>
            </w:r>
          </w:p>
        </w:tc>
        <w:tc>
          <w:tcPr>
            <w:tcW w:w="1531" w:type="dxa"/>
            <w:gridSpan w:val="4"/>
            <w:vAlign w:val="center"/>
          </w:tcPr>
          <w:p w14:paraId="224814AB">
            <w:pPr>
              <w:jc w:val="center"/>
              <w:rPr>
                <w:color w:val="auto"/>
                <w:highlight w:val="none"/>
              </w:rPr>
            </w:pPr>
          </w:p>
        </w:tc>
      </w:tr>
      <w:tr w14:paraId="59314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3" w:hRule="atLeast"/>
          <w:jc w:val="center"/>
        </w:trPr>
        <w:tc>
          <w:tcPr>
            <w:tcW w:w="1154" w:type="dxa"/>
            <w:vAlign w:val="center"/>
          </w:tcPr>
          <w:p w14:paraId="4E23E653">
            <w:pPr>
              <w:jc w:val="center"/>
              <w:rPr>
                <w:rFonts w:cs="宋体"/>
                <w:color w:val="auto"/>
                <w:highlight w:val="none"/>
              </w:rPr>
            </w:pPr>
            <w:r>
              <w:rPr>
                <w:rFonts w:hint="eastAsia" w:cs="宋体"/>
                <w:color w:val="auto"/>
                <w:highlight w:val="none"/>
              </w:rPr>
              <w:t>从业开始时间</w:t>
            </w:r>
          </w:p>
        </w:tc>
        <w:tc>
          <w:tcPr>
            <w:tcW w:w="2340" w:type="dxa"/>
            <w:gridSpan w:val="5"/>
            <w:vAlign w:val="center"/>
          </w:tcPr>
          <w:p w14:paraId="11F52A3F">
            <w:pPr>
              <w:jc w:val="center"/>
              <w:rPr>
                <w:color w:val="auto"/>
                <w:highlight w:val="none"/>
              </w:rPr>
            </w:pPr>
          </w:p>
        </w:tc>
        <w:tc>
          <w:tcPr>
            <w:tcW w:w="1893" w:type="dxa"/>
            <w:gridSpan w:val="5"/>
            <w:vAlign w:val="center"/>
          </w:tcPr>
          <w:p w14:paraId="704B75B9">
            <w:pPr>
              <w:jc w:val="center"/>
              <w:rPr>
                <w:rFonts w:cs="宋体"/>
                <w:color w:val="auto"/>
                <w:highlight w:val="none"/>
              </w:rPr>
            </w:pPr>
            <w:r>
              <w:rPr>
                <w:rFonts w:hint="eastAsia" w:cs="宋体"/>
                <w:color w:val="auto"/>
                <w:highlight w:val="none"/>
              </w:rPr>
              <w:t>职称</w:t>
            </w:r>
            <w:r>
              <w:rPr>
                <w:rFonts w:cs="宋体"/>
                <w:color w:val="auto"/>
                <w:highlight w:val="none"/>
              </w:rPr>
              <w:t>获</w:t>
            </w:r>
            <w:r>
              <w:rPr>
                <w:rFonts w:hint="eastAsia" w:cs="宋体"/>
                <w:color w:val="auto"/>
                <w:highlight w:val="none"/>
              </w:rPr>
              <w:t>得</w:t>
            </w:r>
            <w:r>
              <w:rPr>
                <w:rFonts w:cs="宋体"/>
                <w:color w:val="auto"/>
                <w:highlight w:val="none"/>
              </w:rPr>
              <w:t>时间</w:t>
            </w:r>
          </w:p>
        </w:tc>
        <w:tc>
          <w:tcPr>
            <w:tcW w:w="1585" w:type="dxa"/>
            <w:gridSpan w:val="3"/>
            <w:vAlign w:val="center"/>
          </w:tcPr>
          <w:p w14:paraId="4752DC15">
            <w:pPr>
              <w:jc w:val="center"/>
              <w:rPr>
                <w:color w:val="auto"/>
                <w:highlight w:val="none"/>
              </w:rPr>
            </w:pPr>
          </w:p>
        </w:tc>
        <w:tc>
          <w:tcPr>
            <w:tcW w:w="1108" w:type="dxa"/>
            <w:vAlign w:val="center"/>
          </w:tcPr>
          <w:p w14:paraId="6B2F56CB">
            <w:pPr>
              <w:jc w:val="center"/>
              <w:rPr>
                <w:rFonts w:cs="宋体"/>
                <w:color w:val="auto"/>
                <w:highlight w:val="none"/>
              </w:rPr>
            </w:pPr>
            <w:r>
              <w:rPr>
                <w:rFonts w:hint="eastAsia" w:cs="宋体"/>
                <w:color w:val="auto"/>
                <w:highlight w:val="none"/>
              </w:rPr>
              <w:t>毕业时间</w:t>
            </w:r>
          </w:p>
        </w:tc>
        <w:tc>
          <w:tcPr>
            <w:tcW w:w="1531" w:type="dxa"/>
            <w:gridSpan w:val="4"/>
            <w:vAlign w:val="center"/>
          </w:tcPr>
          <w:p w14:paraId="2D7797FC">
            <w:pPr>
              <w:jc w:val="center"/>
              <w:rPr>
                <w:color w:val="auto"/>
                <w:highlight w:val="none"/>
              </w:rPr>
            </w:pPr>
          </w:p>
        </w:tc>
      </w:tr>
      <w:tr w14:paraId="23E63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318" w:type="dxa"/>
            <w:gridSpan w:val="2"/>
            <w:vAlign w:val="center"/>
          </w:tcPr>
          <w:p w14:paraId="1F1CD8F2">
            <w:pPr>
              <w:jc w:val="center"/>
              <w:rPr>
                <w:color w:val="auto"/>
                <w:highlight w:val="none"/>
              </w:rPr>
            </w:pPr>
            <w:r>
              <w:rPr>
                <w:rFonts w:hint="eastAsia" w:cs="宋体"/>
                <w:color w:val="auto"/>
                <w:highlight w:val="none"/>
              </w:rPr>
              <w:t>担任</w:t>
            </w:r>
            <w:r>
              <w:rPr>
                <w:rFonts w:hint="eastAsia"/>
                <w:color w:val="auto"/>
                <w:highlight w:val="none"/>
              </w:rPr>
              <w:t>……</w:t>
            </w:r>
            <w:r>
              <w:rPr>
                <w:rFonts w:hint="eastAsia" w:cs="宋体"/>
                <w:color w:val="auto"/>
                <w:highlight w:val="none"/>
              </w:rPr>
              <w:t>年限</w:t>
            </w:r>
          </w:p>
        </w:tc>
        <w:tc>
          <w:tcPr>
            <w:tcW w:w="2476" w:type="dxa"/>
            <w:gridSpan w:val="6"/>
            <w:vAlign w:val="center"/>
          </w:tcPr>
          <w:p w14:paraId="35045177">
            <w:pPr>
              <w:jc w:val="center"/>
              <w:rPr>
                <w:color w:val="auto"/>
                <w:highlight w:val="none"/>
              </w:rPr>
            </w:pPr>
          </w:p>
        </w:tc>
        <w:tc>
          <w:tcPr>
            <w:tcW w:w="1209" w:type="dxa"/>
            <w:vAlign w:val="center"/>
          </w:tcPr>
          <w:p w14:paraId="443824A8">
            <w:pPr>
              <w:jc w:val="center"/>
              <w:rPr>
                <w:color w:val="auto"/>
                <w:highlight w:val="none"/>
              </w:rPr>
            </w:pPr>
            <w:r>
              <w:rPr>
                <w:rFonts w:hint="eastAsia"/>
                <w:color w:val="auto"/>
                <w:highlight w:val="none"/>
              </w:rPr>
              <w:t>身份</w:t>
            </w:r>
            <w:r>
              <w:rPr>
                <w:color w:val="auto"/>
                <w:highlight w:val="none"/>
              </w:rPr>
              <w:t>证号码</w:t>
            </w:r>
          </w:p>
        </w:tc>
        <w:tc>
          <w:tcPr>
            <w:tcW w:w="4608" w:type="dxa"/>
            <w:gridSpan w:val="10"/>
            <w:vAlign w:val="center"/>
          </w:tcPr>
          <w:p w14:paraId="460825E7">
            <w:pPr>
              <w:jc w:val="center"/>
              <w:rPr>
                <w:color w:val="auto"/>
                <w:highlight w:val="none"/>
              </w:rPr>
            </w:pPr>
          </w:p>
        </w:tc>
      </w:tr>
      <w:tr w14:paraId="1D2B4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318" w:type="dxa"/>
            <w:gridSpan w:val="2"/>
            <w:vAlign w:val="center"/>
          </w:tcPr>
          <w:p w14:paraId="742C5F5E">
            <w:pPr>
              <w:jc w:val="center"/>
              <w:rPr>
                <w:color w:val="auto"/>
                <w:highlight w:val="none"/>
              </w:rPr>
            </w:pPr>
            <w:r>
              <w:rPr>
                <w:rFonts w:hint="eastAsia"/>
                <w:color w:val="auto"/>
                <w:highlight w:val="none"/>
              </w:rPr>
              <w:t>证书名称</w:t>
            </w:r>
          </w:p>
        </w:tc>
        <w:tc>
          <w:tcPr>
            <w:tcW w:w="1188" w:type="dxa"/>
            <w:gridSpan w:val="2"/>
            <w:vAlign w:val="center"/>
          </w:tcPr>
          <w:p w14:paraId="2233F3EB">
            <w:pPr>
              <w:jc w:val="center"/>
              <w:rPr>
                <w:color w:val="auto"/>
                <w:highlight w:val="none"/>
              </w:rPr>
            </w:pPr>
            <w:r>
              <w:rPr>
                <w:rFonts w:hint="eastAsia"/>
                <w:color w:val="auto"/>
                <w:highlight w:val="none"/>
              </w:rPr>
              <w:t>注册专业</w:t>
            </w:r>
          </w:p>
        </w:tc>
        <w:tc>
          <w:tcPr>
            <w:tcW w:w="1222" w:type="dxa"/>
            <w:gridSpan w:val="3"/>
            <w:vAlign w:val="center"/>
          </w:tcPr>
          <w:p w14:paraId="0DCB0197">
            <w:pPr>
              <w:jc w:val="center"/>
              <w:rPr>
                <w:color w:val="auto"/>
                <w:highlight w:val="none"/>
              </w:rPr>
            </w:pPr>
            <w:r>
              <w:rPr>
                <w:color w:val="auto"/>
                <w:highlight w:val="none"/>
              </w:rPr>
              <w:t>级别</w:t>
            </w:r>
          </w:p>
        </w:tc>
        <w:tc>
          <w:tcPr>
            <w:tcW w:w="1417" w:type="dxa"/>
            <w:gridSpan w:val="3"/>
            <w:vAlign w:val="center"/>
          </w:tcPr>
          <w:p w14:paraId="5FB57C3E">
            <w:pPr>
              <w:jc w:val="center"/>
              <w:rPr>
                <w:color w:val="auto"/>
                <w:highlight w:val="none"/>
              </w:rPr>
            </w:pPr>
            <w:r>
              <w:rPr>
                <w:rFonts w:hint="eastAsia" w:cs="宋体"/>
                <w:color w:val="auto"/>
                <w:highlight w:val="none"/>
              </w:rPr>
              <w:t>证书编号</w:t>
            </w:r>
          </w:p>
        </w:tc>
        <w:tc>
          <w:tcPr>
            <w:tcW w:w="1418" w:type="dxa"/>
            <w:gridSpan w:val="3"/>
            <w:vAlign w:val="center"/>
          </w:tcPr>
          <w:p w14:paraId="7A776B2B">
            <w:pPr>
              <w:jc w:val="center"/>
              <w:rPr>
                <w:color w:val="auto"/>
                <w:highlight w:val="none"/>
              </w:rPr>
            </w:pPr>
            <w:r>
              <w:rPr>
                <w:rFonts w:hint="eastAsia"/>
                <w:color w:val="auto"/>
                <w:highlight w:val="none"/>
              </w:rPr>
              <w:t>注册时间</w:t>
            </w:r>
          </w:p>
        </w:tc>
        <w:tc>
          <w:tcPr>
            <w:tcW w:w="1632" w:type="dxa"/>
            <w:gridSpan w:val="4"/>
            <w:vAlign w:val="center"/>
          </w:tcPr>
          <w:p w14:paraId="28BCBA70">
            <w:pPr>
              <w:jc w:val="center"/>
              <w:rPr>
                <w:color w:val="auto"/>
                <w:highlight w:val="none"/>
              </w:rPr>
            </w:pPr>
            <w:r>
              <w:rPr>
                <w:rFonts w:hint="eastAsia"/>
                <w:color w:val="auto"/>
                <w:highlight w:val="none"/>
              </w:rPr>
              <w:t>注册单位</w:t>
            </w:r>
          </w:p>
        </w:tc>
        <w:tc>
          <w:tcPr>
            <w:tcW w:w="1416" w:type="dxa"/>
            <w:gridSpan w:val="2"/>
            <w:vAlign w:val="center"/>
          </w:tcPr>
          <w:p w14:paraId="4C0C899A">
            <w:pPr>
              <w:jc w:val="center"/>
              <w:rPr>
                <w:color w:val="auto"/>
                <w:highlight w:val="none"/>
              </w:rPr>
            </w:pPr>
            <w:r>
              <w:rPr>
                <w:rFonts w:hint="eastAsia"/>
                <w:color w:val="auto"/>
                <w:highlight w:val="none"/>
              </w:rPr>
              <w:t>注册有效期</w:t>
            </w:r>
          </w:p>
        </w:tc>
      </w:tr>
      <w:tr w14:paraId="06182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318" w:type="dxa"/>
            <w:gridSpan w:val="2"/>
            <w:vAlign w:val="center"/>
          </w:tcPr>
          <w:p w14:paraId="737CFF87">
            <w:pPr>
              <w:jc w:val="center"/>
              <w:rPr>
                <w:color w:val="auto"/>
                <w:highlight w:val="none"/>
              </w:rPr>
            </w:pPr>
          </w:p>
        </w:tc>
        <w:tc>
          <w:tcPr>
            <w:tcW w:w="1188" w:type="dxa"/>
            <w:gridSpan w:val="2"/>
            <w:vAlign w:val="center"/>
          </w:tcPr>
          <w:p w14:paraId="3EA94241">
            <w:pPr>
              <w:jc w:val="center"/>
              <w:rPr>
                <w:color w:val="auto"/>
                <w:highlight w:val="none"/>
              </w:rPr>
            </w:pPr>
          </w:p>
        </w:tc>
        <w:tc>
          <w:tcPr>
            <w:tcW w:w="1222" w:type="dxa"/>
            <w:gridSpan w:val="3"/>
            <w:vAlign w:val="center"/>
          </w:tcPr>
          <w:p w14:paraId="7000ECBE">
            <w:pPr>
              <w:jc w:val="center"/>
              <w:rPr>
                <w:rFonts w:cs="宋体"/>
                <w:color w:val="auto"/>
                <w:highlight w:val="none"/>
              </w:rPr>
            </w:pPr>
          </w:p>
        </w:tc>
        <w:tc>
          <w:tcPr>
            <w:tcW w:w="1417" w:type="dxa"/>
            <w:gridSpan w:val="3"/>
            <w:vAlign w:val="center"/>
          </w:tcPr>
          <w:p w14:paraId="58B173E7">
            <w:pPr>
              <w:jc w:val="center"/>
              <w:rPr>
                <w:color w:val="auto"/>
                <w:highlight w:val="none"/>
              </w:rPr>
            </w:pPr>
          </w:p>
        </w:tc>
        <w:tc>
          <w:tcPr>
            <w:tcW w:w="1418" w:type="dxa"/>
            <w:gridSpan w:val="3"/>
            <w:vAlign w:val="center"/>
          </w:tcPr>
          <w:p w14:paraId="76A4D90F">
            <w:pPr>
              <w:jc w:val="center"/>
              <w:rPr>
                <w:color w:val="auto"/>
                <w:highlight w:val="none"/>
              </w:rPr>
            </w:pPr>
          </w:p>
        </w:tc>
        <w:tc>
          <w:tcPr>
            <w:tcW w:w="1632" w:type="dxa"/>
            <w:gridSpan w:val="4"/>
            <w:vAlign w:val="center"/>
          </w:tcPr>
          <w:p w14:paraId="4CCDC662">
            <w:pPr>
              <w:jc w:val="center"/>
              <w:rPr>
                <w:color w:val="auto"/>
                <w:highlight w:val="none"/>
              </w:rPr>
            </w:pPr>
          </w:p>
        </w:tc>
        <w:tc>
          <w:tcPr>
            <w:tcW w:w="1416" w:type="dxa"/>
            <w:gridSpan w:val="2"/>
            <w:vAlign w:val="center"/>
          </w:tcPr>
          <w:p w14:paraId="4570ABF1">
            <w:pPr>
              <w:jc w:val="center"/>
              <w:rPr>
                <w:color w:val="auto"/>
                <w:highlight w:val="none"/>
              </w:rPr>
            </w:pPr>
          </w:p>
        </w:tc>
      </w:tr>
      <w:tr w14:paraId="653D0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318" w:type="dxa"/>
            <w:gridSpan w:val="2"/>
            <w:vAlign w:val="center"/>
          </w:tcPr>
          <w:p w14:paraId="001F38BB">
            <w:pPr>
              <w:jc w:val="center"/>
              <w:rPr>
                <w:color w:val="auto"/>
                <w:highlight w:val="none"/>
              </w:rPr>
            </w:pPr>
          </w:p>
        </w:tc>
        <w:tc>
          <w:tcPr>
            <w:tcW w:w="1188" w:type="dxa"/>
            <w:gridSpan w:val="2"/>
            <w:vAlign w:val="center"/>
          </w:tcPr>
          <w:p w14:paraId="3E217630">
            <w:pPr>
              <w:jc w:val="center"/>
              <w:rPr>
                <w:color w:val="auto"/>
                <w:highlight w:val="none"/>
              </w:rPr>
            </w:pPr>
          </w:p>
        </w:tc>
        <w:tc>
          <w:tcPr>
            <w:tcW w:w="1222" w:type="dxa"/>
            <w:gridSpan w:val="3"/>
            <w:vAlign w:val="center"/>
          </w:tcPr>
          <w:p w14:paraId="669FFFF8">
            <w:pPr>
              <w:jc w:val="center"/>
              <w:rPr>
                <w:rFonts w:cs="宋体"/>
                <w:color w:val="auto"/>
                <w:highlight w:val="none"/>
              </w:rPr>
            </w:pPr>
          </w:p>
        </w:tc>
        <w:tc>
          <w:tcPr>
            <w:tcW w:w="1417" w:type="dxa"/>
            <w:gridSpan w:val="3"/>
            <w:vAlign w:val="center"/>
          </w:tcPr>
          <w:p w14:paraId="66ED64DD">
            <w:pPr>
              <w:jc w:val="center"/>
              <w:rPr>
                <w:color w:val="auto"/>
                <w:highlight w:val="none"/>
              </w:rPr>
            </w:pPr>
          </w:p>
        </w:tc>
        <w:tc>
          <w:tcPr>
            <w:tcW w:w="1418" w:type="dxa"/>
            <w:gridSpan w:val="3"/>
            <w:vAlign w:val="center"/>
          </w:tcPr>
          <w:p w14:paraId="6D911B65">
            <w:pPr>
              <w:jc w:val="center"/>
              <w:rPr>
                <w:color w:val="auto"/>
                <w:highlight w:val="none"/>
              </w:rPr>
            </w:pPr>
          </w:p>
        </w:tc>
        <w:tc>
          <w:tcPr>
            <w:tcW w:w="1632" w:type="dxa"/>
            <w:gridSpan w:val="4"/>
            <w:vAlign w:val="center"/>
          </w:tcPr>
          <w:p w14:paraId="6C98F0A3">
            <w:pPr>
              <w:jc w:val="center"/>
              <w:rPr>
                <w:color w:val="auto"/>
                <w:highlight w:val="none"/>
              </w:rPr>
            </w:pPr>
          </w:p>
        </w:tc>
        <w:tc>
          <w:tcPr>
            <w:tcW w:w="1416" w:type="dxa"/>
            <w:gridSpan w:val="2"/>
            <w:vAlign w:val="center"/>
          </w:tcPr>
          <w:p w14:paraId="21059205">
            <w:pPr>
              <w:jc w:val="center"/>
              <w:rPr>
                <w:color w:val="auto"/>
                <w:highlight w:val="none"/>
              </w:rPr>
            </w:pPr>
          </w:p>
        </w:tc>
      </w:tr>
      <w:tr w14:paraId="2816A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0" w:hRule="atLeast"/>
          <w:jc w:val="center"/>
        </w:trPr>
        <w:tc>
          <w:tcPr>
            <w:tcW w:w="9611" w:type="dxa"/>
            <w:gridSpan w:val="19"/>
            <w:vAlign w:val="center"/>
          </w:tcPr>
          <w:p w14:paraId="010C741D">
            <w:pPr>
              <w:jc w:val="center"/>
              <w:rPr>
                <w:color w:val="auto"/>
                <w:highlight w:val="none"/>
              </w:rPr>
            </w:pPr>
            <w:r>
              <w:rPr>
                <w:rFonts w:hint="eastAsia" w:cs="宋体"/>
                <w:color w:val="auto"/>
                <w:highlight w:val="none"/>
              </w:rPr>
              <w:t>在建和已完工程项目情况</w:t>
            </w:r>
          </w:p>
        </w:tc>
      </w:tr>
      <w:tr w14:paraId="1F739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jc w:val="center"/>
        </w:trPr>
        <w:tc>
          <w:tcPr>
            <w:tcW w:w="1626" w:type="dxa"/>
            <w:gridSpan w:val="4"/>
            <w:vAlign w:val="center"/>
          </w:tcPr>
          <w:p w14:paraId="1C829088">
            <w:pPr>
              <w:jc w:val="center"/>
              <w:rPr>
                <w:color w:val="auto"/>
                <w:highlight w:val="none"/>
              </w:rPr>
            </w:pPr>
          </w:p>
        </w:tc>
        <w:tc>
          <w:tcPr>
            <w:tcW w:w="1548" w:type="dxa"/>
            <w:gridSpan w:val="2"/>
            <w:vAlign w:val="center"/>
          </w:tcPr>
          <w:p w14:paraId="5551209D">
            <w:pPr>
              <w:jc w:val="center"/>
              <w:rPr>
                <w:color w:val="auto"/>
                <w:highlight w:val="none"/>
              </w:rPr>
            </w:pPr>
            <w:r>
              <w:rPr>
                <w:rFonts w:hint="eastAsia"/>
                <w:color w:val="auto"/>
                <w:highlight w:val="none"/>
              </w:rPr>
              <w:t>项目1</w:t>
            </w:r>
          </w:p>
        </w:tc>
        <w:tc>
          <w:tcPr>
            <w:tcW w:w="1837" w:type="dxa"/>
            <w:gridSpan w:val="4"/>
            <w:vAlign w:val="center"/>
          </w:tcPr>
          <w:p w14:paraId="1A2D5AE7">
            <w:pPr>
              <w:jc w:val="center"/>
              <w:rPr>
                <w:color w:val="auto"/>
                <w:highlight w:val="none"/>
              </w:rPr>
            </w:pPr>
            <w:r>
              <w:rPr>
                <w:rFonts w:hint="eastAsia"/>
                <w:color w:val="auto"/>
                <w:highlight w:val="none"/>
              </w:rPr>
              <w:t>项目2</w:t>
            </w:r>
          </w:p>
        </w:tc>
        <w:tc>
          <w:tcPr>
            <w:tcW w:w="1472" w:type="dxa"/>
            <w:gridSpan w:val="3"/>
            <w:vAlign w:val="center"/>
          </w:tcPr>
          <w:p w14:paraId="0E5CFFFB">
            <w:pPr>
              <w:jc w:val="center"/>
              <w:rPr>
                <w:color w:val="auto"/>
                <w:highlight w:val="none"/>
              </w:rPr>
            </w:pPr>
            <w:r>
              <w:rPr>
                <w:rFonts w:hint="eastAsia"/>
                <w:color w:val="auto"/>
                <w:highlight w:val="none"/>
              </w:rPr>
              <w:t>项目3</w:t>
            </w:r>
          </w:p>
        </w:tc>
        <w:tc>
          <w:tcPr>
            <w:tcW w:w="1641" w:type="dxa"/>
            <w:gridSpan w:val="4"/>
            <w:vAlign w:val="center"/>
          </w:tcPr>
          <w:p w14:paraId="1D09B793">
            <w:pPr>
              <w:jc w:val="center"/>
              <w:rPr>
                <w:color w:val="auto"/>
                <w:highlight w:val="none"/>
              </w:rPr>
            </w:pPr>
            <w:r>
              <w:rPr>
                <w:rFonts w:hint="eastAsia"/>
                <w:color w:val="auto"/>
                <w:highlight w:val="none"/>
              </w:rPr>
              <w:t>项目4</w:t>
            </w:r>
          </w:p>
        </w:tc>
        <w:tc>
          <w:tcPr>
            <w:tcW w:w="1484" w:type="dxa"/>
            <w:gridSpan w:val="2"/>
            <w:vAlign w:val="center"/>
          </w:tcPr>
          <w:p w14:paraId="6BDB5873">
            <w:pPr>
              <w:jc w:val="center"/>
              <w:rPr>
                <w:color w:val="auto"/>
                <w:highlight w:val="none"/>
              </w:rPr>
            </w:pPr>
            <w:r>
              <w:rPr>
                <w:rFonts w:hint="eastAsia"/>
                <w:color w:val="auto"/>
                <w:highlight w:val="none"/>
              </w:rPr>
              <w:t>……</w:t>
            </w:r>
          </w:p>
        </w:tc>
      </w:tr>
      <w:tr w14:paraId="3BF95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jc w:val="center"/>
        </w:trPr>
        <w:tc>
          <w:tcPr>
            <w:tcW w:w="1626" w:type="dxa"/>
            <w:gridSpan w:val="4"/>
            <w:vAlign w:val="center"/>
          </w:tcPr>
          <w:p w14:paraId="59DAE3D0">
            <w:pPr>
              <w:jc w:val="center"/>
              <w:rPr>
                <w:color w:val="auto"/>
                <w:highlight w:val="none"/>
              </w:rPr>
            </w:pPr>
            <w:r>
              <w:rPr>
                <w:rFonts w:hint="eastAsia"/>
                <w:color w:val="auto"/>
                <w:highlight w:val="none"/>
              </w:rPr>
              <w:t>项目名称</w:t>
            </w:r>
          </w:p>
        </w:tc>
        <w:tc>
          <w:tcPr>
            <w:tcW w:w="1548" w:type="dxa"/>
            <w:gridSpan w:val="2"/>
            <w:vAlign w:val="center"/>
          </w:tcPr>
          <w:p w14:paraId="79F2C8AC">
            <w:pPr>
              <w:jc w:val="center"/>
              <w:rPr>
                <w:color w:val="auto"/>
                <w:highlight w:val="none"/>
              </w:rPr>
            </w:pPr>
          </w:p>
        </w:tc>
        <w:tc>
          <w:tcPr>
            <w:tcW w:w="1837" w:type="dxa"/>
            <w:gridSpan w:val="4"/>
            <w:vAlign w:val="center"/>
          </w:tcPr>
          <w:p w14:paraId="1DE8F3D0">
            <w:pPr>
              <w:jc w:val="center"/>
              <w:rPr>
                <w:color w:val="auto"/>
                <w:highlight w:val="none"/>
              </w:rPr>
            </w:pPr>
          </w:p>
        </w:tc>
        <w:tc>
          <w:tcPr>
            <w:tcW w:w="1472" w:type="dxa"/>
            <w:gridSpan w:val="3"/>
            <w:vAlign w:val="center"/>
          </w:tcPr>
          <w:p w14:paraId="59D59F91">
            <w:pPr>
              <w:jc w:val="center"/>
              <w:rPr>
                <w:color w:val="auto"/>
                <w:highlight w:val="none"/>
              </w:rPr>
            </w:pPr>
          </w:p>
        </w:tc>
        <w:tc>
          <w:tcPr>
            <w:tcW w:w="1641" w:type="dxa"/>
            <w:gridSpan w:val="4"/>
            <w:vAlign w:val="center"/>
          </w:tcPr>
          <w:p w14:paraId="67F57017">
            <w:pPr>
              <w:jc w:val="center"/>
              <w:rPr>
                <w:color w:val="auto"/>
                <w:highlight w:val="none"/>
              </w:rPr>
            </w:pPr>
          </w:p>
        </w:tc>
        <w:tc>
          <w:tcPr>
            <w:tcW w:w="1484" w:type="dxa"/>
            <w:gridSpan w:val="2"/>
            <w:vAlign w:val="center"/>
          </w:tcPr>
          <w:p w14:paraId="0FCFB0DD">
            <w:pPr>
              <w:jc w:val="center"/>
              <w:rPr>
                <w:color w:val="auto"/>
                <w:highlight w:val="none"/>
              </w:rPr>
            </w:pPr>
          </w:p>
        </w:tc>
      </w:tr>
      <w:tr w14:paraId="66ADF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355A6E4F">
            <w:pPr>
              <w:jc w:val="center"/>
              <w:rPr>
                <w:color w:val="auto"/>
                <w:highlight w:val="none"/>
              </w:rPr>
            </w:pPr>
            <w:r>
              <w:rPr>
                <w:rFonts w:hint="eastAsia" w:cs="宋体"/>
                <w:color w:val="auto"/>
                <w:highlight w:val="none"/>
              </w:rPr>
              <w:t>建设单位</w:t>
            </w:r>
          </w:p>
        </w:tc>
        <w:tc>
          <w:tcPr>
            <w:tcW w:w="1548" w:type="dxa"/>
            <w:gridSpan w:val="2"/>
            <w:vAlign w:val="center"/>
          </w:tcPr>
          <w:p w14:paraId="54720FFE">
            <w:pPr>
              <w:jc w:val="center"/>
              <w:rPr>
                <w:color w:val="auto"/>
                <w:highlight w:val="none"/>
              </w:rPr>
            </w:pPr>
          </w:p>
        </w:tc>
        <w:tc>
          <w:tcPr>
            <w:tcW w:w="1837" w:type="dxa"/>
            <w:gridSpan w:val="4"/>
            <w:vAlign w:val="center"/>
          </w:tcPr>
          <w:p w14:paraId="7CE6E2B4">
            <w:pPr>
              <w:jc w:val="center"/>
              <w:rPr>
                <w:color w:val="auto"/>
                <w:highlight w:val="none"/>
              </w:rPr>
            </w:pPr>
          </w:p>
        </w:tc>
        <w:tc>
          <w:tcPr>
            <w:tcW w:w="1472" w:type="dxa"/>
            <w:gridSpan w:val="3"/>
            <w:vAlign w:val="center"/>
          </w:tcPr>
          <w:p w14:paraId="17AC5FF2">
            <w:pPr>
              <w:jc w:val="center"/>
              <w:rPr>
                <w:color w:val="auto"/>
                <w:highlight w:val="none"/>
              </w:rPr>
            </w:pPr>
          </w:p>
        </w:tc>
        <w:tc>
          <w:tcPr>
            <w:tcW w:w="1641" w:type="dxa"/>
            <w:gridSpan w:val="4"/>
            <w:vAlign w:val="center"/>
          </w:tcPr>
          <w:p w14:paraId="7C52595F">
            <w:pPr>
              <w:jc w:val="center"/>
              <w:rPr>
                <w:color w:val="auto"/>
                <w:highlight w:val="none"/>
              </w:rPr>
            </w:pPr>
          </w:p>
        </w:tc>
        <w:tc>
          <w:tcPr>
            <w:tcW w:w="1484" w:type="dxa"/>
            <w:gridSpan w:val="2"/>
            <w:vAlign w:val="center"/>
          </w:tcPr>
          <w:p w14:paraId="177ED5D0">
            <w:pPr>
              <w:jc w:val="center"/>
              <w:rPr>
                <w:color w:val="auto"/>
                <w:highlight w:val="none"/>
              </w:rPr>
            </w:pPr>
          </w:p>
        </w:tc>
      </w:tr>
      <w:tr w14:paraId="3A911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7637D190">
            <w:pPr>
              <w:jc w:val="center"/>
              <w:rPr>
                <w:color w:val="auto"/>
                <w:highlight w:val="none"/>
              </w:rPr>
            </w:pPr>
            <w:r>
              <w:rPr>
                <w:rFonts w:hint="eastAsia" w:cs="宋体"/>
                <w:color w:val="auto"/>
                <w:highlight w:val="none"/>
              </w:rPr>
              <w:t>建设规模</w:t>
            </w:r>
          </w:p>
        </w:tc>
        <w:tc>
          <w:tcPr>
            <w:tcW w:w="1548" w:type="dxa"/>
            <w:gridSpan w:val="2"/>
            <w:vAlign w:val="center"/>
          </w:tcPr>
          <w:p w14:paraId="00E4DED5">
            <w:pPr>
              <w:jc w:val="center"/>
              <w:rPr>
                <w:color w:val="auto"/>
                <w:highlight w:val="none"/>
              </w:rPr>
            </w:pPr>
          </w:p>
        </w:tc>
        <w:tc>
          <w:tcPr>
            <w:tcW w:w="1837" w:type="dxa"/>
            <w:gridSpan w:val="4"/>
            <w:vAlign w:val="center"/>
          </w:tcPr>
          <w:p w14:paraId="1D8DF1C3">
            <w:pPr>
              <w:jc w:val="center"/>
              <w:rPr>
                <w:color w:val="auto"/>
                <w:highlight w:val="none"/>
              </w:rPr>
            </w:pPr>
          </w:p>
        </w:tc>
        <w:tc>
          <w:tcPr>
            <w:tcW w:w="1472" w:type="dxa"/>
            <w:gridSpan w:val="3"/>
            <w:vAlign w:val="center"/>
          </w:tcPr>
          <w:p w14:paraId="5F14A2F3">
            <w:pPr>
              <w:jc w:val="center"/>
              <w:rPr>
                <w:color w:val="auto"/>
                <w:highlight w:val="none"/>
              </w:rPr>
            </w:pPr>
          </w:p>
        </w:tc>
        <w:tc>
          <w:tcPr>
            <w:tcW w:w="1641" w:type="dxa"/>
            <w:gridSpan w:val="4"/>
            <w:vAlign w:val="center"/>
          </w:tcPr>
          <w:p w14:paraId="74967E96">
            <w:pPr>
              <w:jc w:val="center"/>
              <w:rPr>
                <w:color w:val="auto"/>
                <w:highlight w:val="none"/>
              </w:rPr>
            </w:pPr>
          </w:p>
        </w:tc>
        <w:tc>
          <w:tcPr>
            <w:tcW w:w="1484" w:type="dxa"/>
            <w:gridSpan w:val="2"/>
            <w:vAlign w:val="center"/>
          </w:tcPr>
          <w:p w14:paraId="5FDD2B19">
            <w:pPr>
              <w:jc w:val="center"/>
              <w:rPr>
                <w:color w:val="auto"/>
                <w:highlight w:val="none"/>
              </w:rPr>
            </w:pPr>
          </w:p>
        </w:tc>
      </w:tr>
      <w:tr w14:paraId="693F4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71C7CD2A">
            <w:pPr>
              <w:jc w:val="center"/>
              <w:rPr>
                <w:rFonts w:ascii="宋体" w:hAnsi="宋体" w:cs="宋体"/>
                <w:color w:val="auto"/>
                <w:sz w:val="27"/>
                <w:szCs w:val="27"/>
                <w:highlight w:val="none"/>
              </w:rPr>
            </w:pPr>
            <w:r>
              <w:rPr>
                <w:rFonts w:hint="eastAsia" w:cs="宋体"/>
                <w:color w:val="auto"/>
                <w:highlight w:val="none"/>
              </w:rPr>
              <w:t>开工日期</w:t>
            </w:r>
          </w:p>
        </w:tc>
        <w:tc>
          <w:tcPr>
            <w:tcW w:w="1548" w:type="dxa"/>
            <w:gridSpan w:val="2"/>
            <w:vAlign w:val="center"/>
          </w:tcPr>
          <w:p w14:paraId="19FBAA62">
            <w:pPr>
              <w:jc w:val="center"/>
              <w:rPr>
                <w:color w:val="auto"/>
                <w:highlight w:val="none"/>
              </w:rPr>
            </w:pPr>
          </w:p>
        </w:tc>
        <w:tc>
          <w:tcPr>
            <w:tcW w:w="1837" w:type="dxa"/>
            <w:gridSpan w:val="4"/>
            <w:vAlign w:val="center"/>
          </w:tcPr>
          <w:p w14:paraId="0CD38741">
            <w:pPr>
              <w:jc w:val="center"/>
              <w:rPr>
                <w:color w:val="auto"/>
                <w:highlight w:val="none"/>
              </w:rPr>
            </w:pPr>
          </w:p>
        </w:tc>
        <w:tc>
          <w:tcPr>
            <w:tcW w:w="1472" w:type="dxa"/>
            <w:gridSpan w:val="3"/>
            <w:vAlign w:val="center"/>
          </w:tcPr>
          <w:p w14:paraId="56A43D40">
            <w:pPr>
              <w:jc w:val="center"/>
              <w:rPr>
                <w:color w:val="auto"/>
                <w:highlight w:val="none"/>
              </w:rPr>
            </w:pPr>
          </w:p>
        </w:tc>
        <w:tc>
          <w:tcPr>
            <w:tcW w:w="1641" w:type="dxa"/>
            <w:gridSpan w:val="4"/>
            <w:vAlign w:val="center"/>
          </w:tcPr>
          <w:p w14:paraId="5EB03C1B">
            <w:pPr>
              <w:jc w:val="center"/>
              <w:rPr>
                <w:color w:val="auto"/>
                <w:highlight w:val="none"/>
              </w:rPr>
            </w:pPr>
          </w:p>
        </w:tc>
        <w:tc>
          <w:tcPr>
            <w:tcW w:w="1484" w:type="dxa"/>
            <w:gridSpan w:val="2"/>
            <w:vAlign w:val="center"/>
          </w:tcPr>
          <w:p w14:paraId="584E1DF5">
            <w:pPr>
              <w:jc w:val="center"/>
              <w:rPr>
                <w:color w:val="auto"/>
                <w:highlight w:val="none"/>
              </w:rPr>
            </w:pPr>
          </w:p>
        </w:tc>
      </w:tr>
      <w:tr w14:paraId="2438E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22206408">
            <w:pPr>
              <w:jc w:val="center"/>
              <w:rPr>
                <w:color w:val="auto"/>
                <w:highlight w:val="none"/>
              </w:rPr>
            </w:pPr>
            <w:r>
              <w:rPr>
                <w:rFonts w:hint="eastAsia" w:cs="宋体"/>
                <w:color w:val="auto"/>
                <w:highlight w:val="none"/>
              </w:rPr>
              <w:t>竣工日期</w:t>
            </w:r>
          </w:p>
        </w:tc>
        <w:tc>
          <w:tcPr>
            <w:tcW w:w="1548" w:type="dxa"/>
            <w:gridSpan w:val="2"/>
            <w:vAlign w:val="center"/>
          </w:tcPr>
          <w:p w14:paraId="4241282D">
            <w:pPr>
              <w:jc w:val="center"/>
              <w:rPr>
                <w:color w:val="auto"/>
                <w:highlight w:val="none"/>
              </w:rPr>
            </w:pPr>
          </w:p>
        </w:tc>
        <w:tc>
          <w:tcPr>
            <w:tcW w:w="1837" w:type="dxa"/>
            <w:gridSpan w:val="4"/>
            <w:vAlign w:val="center"/>
          </w:tcPr>
          <w:p w14:paraId="2E064569">
            <w:pPr>
              <w:jc w:val="center"/>
              <w:rPr>
                <w:color w:val="auto"/>
                <w:highlight w:val="none"/>
              </w:rPr>
            </w:pPr>
          </w:p>
        </w:tc>
        <w:tc>
          <w:tcPr>
            <w:tcW w:w="1472" w:type="dxa"/>
            <w:gridSpan w:val="3"/>
            <w:vAlign w:val="center"/>
          </w:tcPr>
          <w:p w14:paraId="0DC1DF28">
            <w:pPr>
              <w:jc w:val="center"/>
              <w:rPr>
                <w:color w:val="auto"/>
                <w:highlight w:val="none"/>
              </w:rPr>
            </w:pPr>
          </w:p>
        </w:tc>
        <w:tc>
          <w:tcPr>
            <w:tcW w:w="1641" w:type="dxa"/>
            <w:gridSpan w:val="4"/>
            <w:vAlign w:val="center"/>
          </w:tcPr>
          <w:p w14:paraId="67CAD8B4">
            <w:pPr>
              <w:jc w:val="center"/>
              <w:rPr>
                <w:color w:val="auto"/>
                <w:highlight w:val="none"/>
              </w:rPr>
            </w:pPr>
          </w:p>
        </w:tc>
        <w:tc>
          <w:tcPr>
            <w:tcW w:w="1484" w:type="dxa"/>
            <w:gridSpan w:val="2"/>
            <w:vAlign w:val="center"/>
          </w:tcPr>
          <w:p w14:paraId="47069985">
            <w:pPr>
              <w:jc w:val="center"/>
              <w:rPr>
                <w:color w:val="auto"/>
                <w:highlight w:val="none"/>
              </w:rPr>
            </w:pPr>
          </w:p>
        </w:tc>
      </w:tr>
      <w:tr w14:paraId="677C0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2D81FEF2">
            <w:pPr>
              <w:jc w:val="center"/>
              <w:rPr>
                <w:rFonts w:cs="宋体"/>
                <w:color w:val="auto"/>
                <w:highlight w:val="none"/>
              </w:rPr>
            </w:pPr>
            <w:r>
              <w:rPr>
                <w:rFonts w:hint="eastAsia" w:cs="宋体"/>
                <w:color w:val="auto"/>
                <w:highlight w:val="none"/>
              </w:rPr>
              <w:t>人员角色</w:t>
            </w:r>
          </w:p>
        </w:tc>
        <w:tc>
          <w:tcPr>
            <w:tcW w:w="1548" w:type="dxa"/>
            <w:gridSpan w:val="2"/>
            <w:vAlign w:val="center"/>
          </w:tcPr>
          <w:p w14:paraId="09234DEE">
            <w:pPr>
              <w:jc w:val="center"/>
              <w:rPr>
                <w:color w:val="auto"/>
                <w:highlight w:val="none"/>
              </w:rPr>
            </w:pPr>
          </w:p>
        </w:tc>
        <w:tc>
          <w:tcPr>
            <w:tcW w:w="1837" w:type="dxa"/>
            <w:gridSpan w:val="4"/>
            <w:vAlign w:val="center"/>
          </w:tcPr>
          <w:p w14:paraId="630647D1">
            <w:pPr>
              <w:jc w:val="center"/>
              <w:rPr>
                <w:color w:val="auto"/>
                <w:highlight w:val="none"/>
              </w:rPr>
            </w:pPr>
          </w:p>
        </w:tc>
        <w:tc>
          <w:tcPr>
            <w:tcW w:w="1472" w:type="dxa"/>
            <w:gridSpan w:val="3"/>
            <w:vAlign w:val="center"/>
          </w:tcPr>
          <w:p w14:paraId="6B5343BE">
            <w:pPr>
              <w:jc w:val="center"/>
              <w:rPr>
                <w:color w:val="auto"/>
                <w:highlight w:val="none"/>
              </w:rPr>
            </w:pPr>
          </w:p>
        </w:tc>
        <w:tc>
          <w:tcPr>
            <w:tcW w:w="1641" w:type="dxa"/>
            <w:gridSpan w:val="4"/>
            <w:vAlign w:val="center"/>
          </w:tcPr>
          <w:p w14:paraId="4D2AE9CC">
            <w:pPr>
              <w:jc w:val="center"/>
              <w:rPr>
                <w:color w:val="auto"/>
                <w:highlight w:val="none"/>
              </w:rPr>
            </w:pPr>
          </w:p>
        </w:tc>
        <w:tc>
          <w:tcPr>
            <w:tcW w:w="1484" w:type="dxa"/>
            <w:gridSpan w:val="2"/>
            <w:vAlign w:val="center"/>
          </w:tcPr>
          <w:p w14:paraId="61343067">
            <w:pPr>
              <w:jc w:val="center"/>
              <w:rPr>
                <w:color w:val="auto"/>
                <w:highlight w:val="none"/>
              </w:rPr>
            </w:pPr>
          </w:p>
        </w:tc>
      </w:tr>
      <w:tr w14:paraId="1A9B2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4F77ACE7">
            <w:pPr>
              <w:jc w:val="center"/>
              <w:rPr>
                <w:rFonts w:cs="宋体"/>
                <w:color w:val="auto"/>
                <w:highlight w:val="none"/>
              </w:rPr>
            </w:pPr>
            <w:r>
              <w:rPr>
                <w:rFonts w:hint="eastAsia" w:cs="宋体"/>
                <w:color w:val="auto"/>
                <w:highlight w:val="none"/>
              </w:rPr>
              <w:t>在建或已完</w:t>
            </w:r>
          </w:p>
        </w:tc>
        <w:tc>
          <w:tcPr>
            <w:tcW w:w="1548" w:type="dxa"/>
            <w:gridSpan w:val="2"/>
            <w:vAlign w:val="center"/>
          </w:tcPr>
          <w:p w14:paraId="39DF5EDC">
            <w:pPr>
              <w:jc w:val="center"/>
              <w:rPr>
                <w:color w:val="auto"/>
                <w:highlight w:val="none"/>
              </w:rPr>
            </w:pPr>
          </w:p>
        </w:tc>
        <w:tc>
          <w:tcPr>
            <w:tcW w:w="1837" w:type="dxa"/>
            <w:gridSpan w:val="4"/>
            <w:vAlign w:val="center"/>
          </w:tcPr>
          <w:p w14:paraId="0793B00E">
            <w:pPr>
              <w:jc w:val="center"/>
              <w:rPr>
                <w:color w:val="auto"/>
                <w:highlight w:val="none"/>
              </w:rPr>
            </w:pPr>
          </w:p>
        </w:tc>
        <w:tc>
          <w:tcPr>
            <w:tcW w:w="1472" w:type="dxa"/>
            <w:gridSpan w:val="3"/>
            <w:vAlign w:val="center"/>
          </w:tcPr>
          <w:p w14:paraId="29556FE4">
            <w:pPr>
              <w:jc w:val="center"/>
              <w:rPr>
                <w:color w:val="auto"/>
                <w:highlight w:val="none"/>
              </w:rPr>
            </w:pPr>
          </w:p>
        </w:tc>
        <w:tc>
          <w:tcPr>
            <w:tcW w:w="1641" w:type="dxa"/>
            <w:gridSpan w:val="4"/>
            <w:vAlign w:val="center"/>
          </w:tcPr>
          <w:p w14:paraId="0892EDBF">
            <w:pPr>
              <w:jc w:val="center"/>
              <w:rPr>
                <w:color w:val="auto"/>
                <w:highlight w:val="none"/>
              </w:rPr>
            </w:pPr>
          </w:p>
        </w:tc>
        <w:tc>
          <w:tcPr>
            <w:tcW w:w="1484" w:type="dxa"/>
            <w:gridSpan w:val="2"/>
            <w:vAlign w:val="center"/>
          </w:tcPr>
          <w:p w14:paraId="23AB7EE5">
            <w:pPr>
              <w:jc w:val="center"/>
              <w:rPr>
                <w:color w:val="auto"/>
                <w:highlight w:val="none"/>
              </w:rPr>
            </w:pPr>
          </w:p>
        </w:tc>
      </w:tr>
      <w:tr w14:paraId="17243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3D8CBF38">
            <w:pPr>
              <w:jc w:val="center"/>
              <w:rPr>
                <w:rFonts w:cs="宋体"/>
                <w:color w:val="auto"/>
                <w:highlight w:val="none"/>
              </w:rPr>
            </w:pPr>
            <w:r>
              <w:rPr>
                <w:rFonts w:hint="eastAsia" w:cs="宋体"/>
                <w:color w:val="auto"/>
                <w:highlight w:val="none"/>
              </w:rPr>
              <w:t>工程质量</w:t>
            </w:r>
          </w:p>
        </w:tc>
        <w:tc>
          <w:tcPr>
            <w:tcW w:w="1548" w:type="dxa"/>
            <w:gridSpan w:val="2"/>
            <w:vAlign w:val="center"/>
          </w:tcPr>
          <w:p w14:paraId="241AFB06">
            <w:pPr>
              <w:jc w:val="center"/>
              <w:rPr>
                <w:color w:val="auto"/>
                <w:highlight w:val="none"/>
              </w:rPr>
            </w:pPr>
          </w:p>
        </w:tc>
        <w:tc>
          <w:tcPr>
            <w:tcW w:w="1837" w:type="dxa"/>
            <w:gridSpan w:val="4"/>
            <w:vAlign w:val="center"/>
          </w:tcPr>
          <w:p w14:paraId="154DCA83">
            <w:pPr>
              <w:jc w:val="center"/>
              <w:rPr>
                <w:color w:val="auto"/>
                <w:highlight w:val="none"/>
              </w:rPr>
            </w:pPr>
          </w:p>
        </w:tc>
        <w:tc>
          <w:tcPr>
            <w:tcW w:w="1472" w:type="dxa"/>
            <w:gridSpan w:val="3"/>
            <w:vAlign w:val="center"/>
          </w:tcPr>
          <w:p w14:paraId="591E40A6">
            <w:pPr>
              <w:jc w:val="center"/>
              <w:rPr>
                <w:color w:val="auto"/>
                <w:highlight w:val="none"/>
              </w:rPr>
            </w:pPr>
          </w:p>
        </w:tc>
        <w:tc>
          <w:tcPr>
            <w:tcW w:w="1641" w:type="dxa"/>
            <w:gridSpan w:val="4"/>
            <w:vAlign w:val="center"/>
          </w:tcPr>
          <w:p w14:paraId="38367D39">
            <w:pPr>
              <w:jc w:val="center"/>
              <w:rPr>
                <w:color w:val="auto"/>
                <w:highlight w:val="none"/>
              </w:rPr>
            </w:pPr>
          </w:p>
        </w:tc>
        <w:tc>
          <w:tcPr>
            <w:tcW w:w="1484" w:type="dxa"/>
            <w:gridSpan w:val="2"/>
            <w:vAlign w:val="center"/>
          </w:tcPr>
          <w:p w14:paraId="2C137AD4">
            <w:pPr>
              <w:jc w:val="center"/>
              <w:rPr>
                <w:color w:val="auto"/>
                <w:highlight w:val="none"/>
              </w:rPr>
            </w:pPr>
          </w:p>
        </w:tc>
      </w:tr>
      <w:tr w14:paraId="21515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6185E87D">
            <w:pPr>
              <w:jc w:val="center"/>
              <w:rPr>
                <w:rFonts w:cs="宋体"/>
                <w:color w:val="auto"/>
                <w:highlight w:val="none"/>
              </w:rPr>
            </w:pPr>
            <w:r>
              <w:rPr>
                <w:rFonts w:hint="eastAsia" w:cs="宋体"/>
                <w:color w:val="auto"/>
                <w:highlight w:val="none"/>
              </w:rPr>
              <w:t>受奖情况</w:t>
            </w:r>
          </w:p>
        </w:tc>
        <w:tc>
          <w:tcPr>
            <w:tcW w:w="1548" w:type="dxa"/>
            <w:gridSpan w:val="2"/>
            <w:vAlign w:val="center"/>
          </w:tcPr>
          <w:p w14:paraId="6A542B68">
            <w:pPr>
              <w:jc w:val="center"/>
              <w:rPr>
                <w:color w:val="auto"/>
                <w:highlight w:val="none"/>
              </w:rPr>
            </w:pPr>
          </w:p>
        </w:tc>
        <w:tc>
          <w:tcPr>
            <w:tcW w:w="1837" w:type="dxa"/>
            <w:gridSpan w:val="4"/>
            <w:vAlign w:val="center"/>
          </w:tcPr>
          <w:p w14:paraId="4CD444EB">
            <w:pPr>
              <w:jc w:val="center"/>
              <w:rPr>
                <w:color w:val="auto"/>
                <w:highlight w:val="none"/>
              </w:rPr>
            </w:pPr>
          </w:p>
        </w:tc>
        <w:tc>
          <w:tcPr>
            <w:tcW w:w="1472" w:type="dxa"/>
            <w:gridSpan w:val="3"/>
            <w:vAlign w:val="center"/>
          </w:tcPr>
          <w:p w14:paraId="0FCC8007">
            <w:pPr>
              <w:jc w:val="center"/>
              <w:rPr>
                <w:color w:val="auto"/>
                <w:highlight w:val="none"/>
              </w:rPr>
            </w:pPr>
          </w:p>
        </w:tc>
        <w:tc>
          <w:tcPr>
            <w:tcW w:w="1641" w:type="dxa"/>
            <w:gridSpan w:val="4"/>
            <w:vAlign w:val="center"/>
          </w:tcPr>
          <w:p w14:paraId="6857AFC2">
            <w:pPr>
              <w:jc w:val="center"/>
              <w:rPr>
                <w:color w:val="auto"/>
                <w:highlight w:val="none"/>
              </w:rPr>
            </w:pPr>
          </w:p>
        </w:tc>
        <w:tc>
          <w:tcPr>
            <w:tcW w:w="1484" w:type="dxa"/>
            <w:gridSpan w:val="2"/>
            <w:vAlign w:val="center"/>
          </w:tcPr>
          <w:p w14:paraId="24F27BF3">
            <w:pPr>
              <w:jc w:val="center"/>
              <w:rPr>
                <w:color w:val="auto"/>
                <w:highlight w:val="none"/>
              </w:rPr>
            </w:pPr>
          </w:p>
        </w:tc>
      </w:tr>
    </w:tbl>
    <w:p w14:paraId="2C0694F7">
      <w:pPr>
        <w:spacing w:line="360" w:lineRule="auto"/>
        <w:rPr>
          <w:rFonts w:ascii="宋体" w:hAnsi="宋体"/>
          <w:color w:val="auto"/>
          <w:szCs w:val="21"/>
          <w:highlight w:val="none"/>
        </w:rPr>
      </w:pPr>
      <w:r>
        <w:rPr>
          <w:rFonts w:hint="eastAsia" w:ascii="宋体" w:hAnsi="宋体" w:cs="楷体_GB2312"/>
          <w:color w:val="auto"/>
          <w:szCs w:val="21"/>
          <w:highlight w:val="none"/>
        </w:rPr>
        <w:t>备注：</w:t>
      </w:r>
    </w:p>
    <w:p w14:paraId="69554D88">
      <w:pPr>
        <w:spacing w:line="360" w:lineRule="auto"/>
        <w:ind w:firstLine="420" w:firstLineChars="200"/>
        <w:rPr>
          <w:rFonts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.项目</w:t>
      </w:r>
      <w:r>
        <w:rPr>
          <w:rFonts w:ascii="宋体" w:hAnsi="宋体"/>
          <w:color w:val="auto"/>
          <w:szCs w:val="21"/>
          <w:highlight w:val="none"/>
        </w:rPr>
        <w:t>数</w:t>
      </w:r>
      <w:r>
        <w:rPr>
          <w:rFonts w:hint="eastAsia" w:ascii="宋体" w:hAnsi="宋体"/>
          <w:color w:val="auto"/>
          <w:szCs w:val="21"/>
          <w:highlight w:val="none"/>
        </w:rPr>
        <w:t>可</w:t>
      </w:r>
      <w:r>
        <w:rPr>
          <w:rFonts w:ascii="宋体" w:hAnsi="宋体"/>
          <w:color w:val="auto"/>
          <w:szCs w:val="21"/>
          <w:highlight w:val="none"/>
        </w:rPr>
        <w:t>以根据需要增加。</w:t>
      </w:r>
    </w:p>
    <w:p w14:paraId="5FE8FA9C">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2.本表后附项目技术负责人（项目总工）的</w:t>
      </w:r>
      <w:r>
        <w:rPr>
          <w:rFonts w:hint="eastAsia" w:ascii="宋体" w:hAnsi="宋体"/>
          <w:color w:val="auto"/>
          <w:szCs w:val="21"/>
          <w:highlight w:val="none"/>
          <w:lang w:val="en-US" w:eastAsia="zh-CN"/>
        </w:rPr>
        <w:t>资格证</w:t>
      </w:r>
      <w:r>
        <w:rPr>
          <w:rFonts w:hint="eastAsia" w:ascii="宋体" w:hAnsi="宋体"/>
          <w:color w:val="auto"/>
          <w:szCs w:val="21"/>
          <w:highlight w:val="none"/>
        </w:rPr>
        <w:t>、本表所列证书扫描件并加盖供应商电子签章。</w:t>
      </w:r>
    </w:p>
    <w:p w14:paraId="011B3DB6">
      <w:pPr>
        <w:spacing w:line="360" w:lineRule="auto"/>
        <w:rPr>
          <w:rFonts w:eastAsia="楷体_GB2312"/>
          <w:color w:val="auto"/>
          <w:highlight w:val="none"/>
        </w:rPr>
      </w:pPr>
    </w:p>
    <w:p w14:paraId="50D03DD5">
      <w:pPr>
        <w:pStyle w:val="198"/>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color w:val="auto"/>
          <w:highlight w:val="none"/>
          <w:u w:val="single"/>
        </w:rPr>
      </w:pPr>
      <w:r>
        <w:rPr>
          <w:rFonts w:cs="宋体"/>
          <w:b/>
          <w:bCs/>
          <w:color w:val="auto"/>
          <w:sz w:val="28"/>
          <w:szCs w:val="28"/>
          <w:highlight w:val="none"/>
        </w:rPr>
        <w:br w:type="page"/>
      </w:r>
      <w:r>
        <w:rPr>
          <w:rFonts w:hint="eastAsia" w:cs="宋体"/>
          <w:b/>
          <w:color w:val="auto"/>
          <w:sz w:val="32"/>
          <w:szCs w:val="32"/>
          <w:highlight w:val="none"/>
        </w:rPr>
        <w:t>专职安全生产管理人员</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
        <w:gridCol w:w="1154"/>
        <w:gridCol w:w="77"/>
        <w:gridCol w:w="387"/>
        <w:gridCol w:w="888"/>
        <w:gridCol w:w="660"/>
        <w:gridCol w:w="328"/>
        <w:gridCol w:w="234"/>
        <w:gridCol w:w="66"/>
        <w:gridCol w:w="1209"/>
        <w:gridCol w:w="142"/>
        <w:gridCol w:w="242"/>
        <w:gridCol w:w="1088"/>
        <w:gridCol w:w="88"/>
        <w:gridCol w:w="409"/>
        <w:gridCol w:w="1108"/>
        <w:gridCol w:w="36"/>
        <w:gridCol w:w="79"/>
        <w:gridCol w:w="1405"/>
        <w:gridCol w:w="11"/>
      </w:tblGrid>
      <w:tr w14:paraId="0FEE1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154" w:type="dxa"/>
            <w:vAlign w:val="center"/>
          </w:tcPr>
          <w:p w14:paraId="30A338A5">
            <w:pPr>
              <w:jc w:val="center"/>
              <w:rPr>
                <w:color w:val="auto"/>
                <w:highlight w:val="none"/>
              </w:rPr>
            </w:pPr>
            <w:r>
              <w:rPr>
                <w:rFonts w:hint="eastAsia" w:cs="宋体"/>
                <w:color w:val="auto"/>
                <w:highlight w:val="none"/>
              </w:rPr>
              <w:t>姓名</w:t>
            </w:r>
          </w:p>
        </w:tc>
        <w:tc>
          <w:tcPr>
            <w:tcW w:w="2340" w:type="dxa"/>
            <w:gridSpan w:val="5"/>
            <w:vAlign w:val="center"/>
          </w:tcPr>
          <w:p w14:paraId="3A22A4B2">
            <w:pPr>
              <w:jc w:val="center"/>
              <w:rPr>
                <w:color w:val="auto"/>
                <w:highlight w:val="none"/>
              </w:rPr>
            </w:pPr>
          </w:p>
        </w:tc>
        <w:tc>
          <w:tcPr>
            <w:tcW w:w="1893" w:type="dxa"/>
            <w:gridSpan w:val="5"/>
            <w:vAlign w:val="center"/>
          </w:tcPr>
          <w:p w14:paraId="6824F5B6">
            <w:pPr>
              <w:jc w:val="center"/>
              <w:rPr>
                <w:color w:val="auto"/>
                <w:highlight w:val="none"/>
              </w:rPr>
            </w:pPr>
            <w:r>
              <w:rPr>
                <w:rFonts w:hint="eastAsia" w:cs="宋体"/>
                <w:color w:val="auto"/>
                <w:highlight w:val="none"/>
              </w:rPr>
              <w:t>性别</w:t>
            </w:r>
          </w:p>
        </w:tc>
        <w:tc>
          <w:tcPr>
            <w:tcW w:w="1585" w:type="dxa"/>
            <w:gridSpan w:val="3"/>
            <w:vAlign w:val="center"/>
          </w:tcPr>
          <w:p w14:paraId="32559D80">
            <w:pPr>
              <w:jc w:val="center"/>
              <w:rPr>
                <w:color w:val="auto"/>
                <w:highlight w:val="none"/>
              </w:rPr>
            </w:pPr>
          </w:p>
        </w:tc>
        <w:tc>
          <w:tcPr>
            <w:tcW w:w="1108" w:type="dxa"/>
            <w:vAlign w:val="center"/>
          </w:tcPr>
          <w:p w14:paraId="72719D44">
            <w:pPr>
              <w:jc w:val="center"/>
              <w:rPr>
                <w:color w:val="auto"/>
                <w:highlight w:val="none"/>
              </w:rPr>
            </w:pPr>
            <w:r>
              <w:rPr>
                <w:rFonts w:hint="eastAsia" w:cs="宋体"/>
                <w:color w:val="auto"/>
                <w:highlight w:val="none"/>
              </w:rPr>
              <w:t>年龄</w:t>
            </w:r>
          </w:p>
        </w:tc>
        <w:tc>
          <w:tcPr>
            <w:tcW w:w="1531" w:type="dxa"/>
            <w:gridSpan w:val="4"/>
            <w:vAlign w:val="center"/>
          </w:tcPr>
          <w:p w14:paraId="3F95E94B">
            <w:pPr>
              <w:jc w:val="center"/>
              <w:rPr>
                <w:color w:val="auto"/>
                <w:highlight w:val="none"/>
              </w:rPr>
            </w:pPr>
          </w:p>
        </w:tc>
      </w:tr>
      <w:tr w14:paraId="67365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3" w:hRule="atLeast"/>
          <w:jc w:val="center"/>
        </w:trPr>
        <w:tc>
          <w:tcPr>
            <w:tcW w:w="1154" w:type="dxa"/>
            <w:vAlign w:val="center"/>
          </w:tcPr>
          <w:p w14:paraId="0CF551B5">
            <w:pPr>
              <w:jc w:val="center"/>
              <w:rPr>
                <w:color w:val="auto"/>
                <w:highlight w:val="none"/>
              </w:rPr>
            </w:pPr>
            <w:r>
              <w:rPr>
                <w:rFonts w:hint="eastAsia" w:cs="宋体"/>
                <w:color w:val="auto"/>
                <w:highlight w:val="none"/>
              </w:rPr>
              <w:t>岗位</w:t>
            </w:r>
          </w:p>
        </w:tc>
        <w:tc>
          <w:tcPr>
            <w:tcW w:w="2340" w:type="dxa"/>
            <w:gridSpan w:val="5"/>
            <w:vAlign w:val="center"/>
          </w:tcPr>
          <w:p w14:paraId="247B0450">
            <w:pPr>
              <w:jc w:val="center"/>
              <w:rPr>
                <w:color w:val="auto"/>
                <w:highlight w:val="none"/>
              </w:rPr>
            </w:pPr>
            <w:r>
              <w:rPr>
                <w:rFonts w:hint="eastAsia"/>
                <w:color w:val="auto"/>
                <w:highlight w:val="none"/>
              </w:rPr>
              <w:t>专职安全生产管理人员</w:t>
            </w:r>
          </w:p>
        </w:tc>
        <w:tc>
          <w:tcPr>
            <w:tcW w:w="1893" w:type="dxa"/>
            <w:gridSpan w:val="5"/>
            <w:vAlign w:val="center"/>
          </w:tcPr>
          <w:p w14:paraId="4D5FF091">
            <w:pPr>
              <w:jc w:val="center"/>
              <w:rPr>
                <w:color w:val="auto"/>
                <w:highlight w:val="none"/>
              </w:rPr>
            </w:pPr>
            <w:r>
              <w:rPr>
                <w:rFonts w:hint="eastAsia" w:cs="宋体"/>
                <w:color w:val="auto"/>
                <w:highlight w:val="none"/>
              </w:rPr>
              <w:t>职称</w:t>
            </w:r>
          </w:p>
        </w:tc>
        <w:tc>
          <w:tcPr>
            <w:tcW w:w="1585" w:type="dxa"/>
            <w:gridSpan w:val="3"/>
            <w:vAlign w:val="center"/>
          </w:tcPr>
          <w:p w14:paraId="642DB4E9">
            <w:pPr>
              <w:jc w:val="center"/>
              <w:rPr>
                <w:color w:val="auto"/>
                <w:highlight w:val="none"/>
              </w:rPr>
            </w:pPr>
          </w:p>
        </w:tc>
        <w:tc>
          <w:tcPr>
            <w:tcW w:w="1108" w:type="dxa"/>
            <w:vAlign w:val="center"/>
          </w:tcPr>
          <w:p w14:paraId="2602C872">
            <w:pPr>
              <w:jc w:val="center"/>
              <w:rPr>
                <w:color w:val="auto"/>
                <w:highlight w:val="none"/>
              </w:rPr>
            </w:pPr>
            <w:r>
              <w:rPr>
                <w:rFonts w:hint="eastAsia" w:cs="宋体"/>
                <w:color w:val="auto"/>
                <w:highlight w:val="none"/>
              </w:rPr>
              <w:t>学历</w:t>
            </w:r>
          </w:p>
        </w:tc>
        <w:tc>
          <w:tcPr>
            <w:tcW w:w="1531" w:type="dxa"/>
            <w:gridSpan w:val="4"/>
            <w:vAlign w:val="center"/>
          </w:tcPr>
          <w:p w14:paraId="26638E32">
            <w:pPr>
              <w:jc w:val="center"/>
              <w:rPr>
                <w:color w:val="auto"/>
                <w:highlight w:val="none"/>
              </w:rPr>
            </w:pPr>
          </w:p>
        </w:tc>
      </w:tr>
      <w:tr w14:paraId="62C26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3" w:hRule="atLeast"/>
          <w:jc w:val="center"/>
        </w:trPr>
        <w:tc>
          <w:tcPr>
            <w:tcW w:w="1154" w:type="dxa"/>
            <w:vAlign w:val="center"/>
          </w:tcPr>
          <w:p w14:paraId="58ED64C2">
            <w:pPr>
              <w:jc w:val="center"/>
              <w:rPr>
                <w:rFonts w:cs="宋体"/>
                <w:color w:val="auto"/>
                <w:highlight w:val="none"/>
              </w:rPr>
            </w:pPr>
            <w:r>
              <w:rPr>
                <w:rFonts w:hint="eastAsia" w:cs="宋体"/>
                <w:color w:val="auto"/>
                <w:highlight w:val="none"/>
              </w:rPr>
              <w:t>从业开始时间</w:t>
            </w:r>
          </w:p>
        </w:tc>
        <w:tc>
          <w:tcPr>
            <w:tcW w:w="2340" w:type="dxa"/>
            <w:gridSpan w:val="5"/>
            <w:vAlign w:val="center"/>
          </w:tcPr>
          <w:p w14:paraId="018BC094">
            <w:pPr>
              <w:jc w:val="center"/>
              <w:rPr>
                <w:color w:val="auto"/>
                <w:highlight w:val="none"/>
              </w:rPr>
            </w:pPr>
          </w:p>
        </w:tc>
        <w:tc>
          <w:tcPr>
            <w:tcW w:w="1893" w:type="dxa"/>
            <w:gridSpan w:val="5"/>
            <w:vAlign w:val="center"/>
          </w:tcPr>
          <w:p w14:paraId="6337445B">
            <w:pPr>
              <w:jc w:val="center"/>
              <w:rPr>
                <w:rFonts w:cs="宋体"/>
                <w:color w:val="auto"/>
                <w:highlight w:val="none"/>
              </w:rPr>
            </w:pPr>
            <w:r>
              <w:rPr>
                <w:rFonts w:hint="eastAsia" w:cs="宋体"/>
                <w:color w:val="auto"/>
                <w:highlight w:val="none"/>
              </w:rPr>
              <w:t>职称</w:t>
            </w:r>
            <w:r>
              <w:rPr>
                <w:rFonts w:cs="宋体"/>
                <w:color w:val="auto"/>
                <w:highlight w:val="none"/>
              </w:rPr>
              <w:t>获</w:t>
            </w:r>
            <w:r>
              <w:rPr>
                <w:rFonts w:hint="eastAsia" w:cs="宋体"/>
                <w:color w:val="auto"/>
                <w:highlight w:val="none"/>
              </w:rPr>
              <w:t>得</w:t>
            </w:r>
            <w:r>
              <w:rPr>
                <w:rFonts w:cs="宋体"/>
                <w:color w:val="auto"/>
                <w:highlight w:val="none"/>
              </w:rPr>
              <w:t>时间</w:t>
            </w:r>
          </w:p>
        </w:tc>
        <w:tc>
          <w:tcPr>
            <w:tcW w:w="1585" w:type="dxa"/>
            <w:gridSpan w:val="3"/>
            <w:vAlign w:val="center"/>
          </w:tcPr>
          <w:p w14:paraId="35308DBF">
            <w:pPr>
              <w:jc w:val="center"/>
              <w:rPr>
                <w:color w:val="auto"/>
                <w:highlight w:val="none"/>
              </w:rPr>
            </w:pPr>
          </w:p>
        </w:tc>
        <w:tc>
          <w:tcPr>
            <w:tcW w:w="1108" w:type="dxa"/>
            <w:vAlign w:val="center"/>
          </w:tcPr>
          <w:p w14:paraId="63CCE7B8">
            <w:pPr>
              <w:jc w:val="center"/>
              <w:rPr>
                <w:rFonts w:cs="宋体"/>
                <w:color w:val="auto"/>
                <w:highlight w:val="none"/>
              </w:rPr>
            </w:pPr>
            <w:r>
              <w:rPr>
                <w:rFonts w:hint="eastAsia" w:cs="宋体"/>
                <w:color w:val="auto"/>
                <w:highlight w:val="none"/>
              </w:rPr>
              <w:t>毕业时间</w:t>
            </w:r>
          </w:p>
        </w:tc>
        <w:tc>
          <w:tcPr>
            <w:tcW w:w="1531" w:type="dxa"/>
            <w:gridSpan w:val="4"/>
            <w:vAlign w:val="center"/>
          </w:tcPr>
          <w:p w14:paraId="75446B67">
            <w:pPr>
              <w:jc w:val="center"/>
              <w:rPr>
                <w:color w:val="auto"/>
                <w:highlight w:val="none"/>
              </w:rPr>
            </w:pPr>
          </w:p>
        </w:tc>
      </w:tr>
      <w:tr w14:paraId="7F8FF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gridSpan w:val="2"/>
            <w:vAlign w:val="center"/>
          </w:tcPr>
          <w:p w14:paraId="28B7C023">
            <w:pPr>
              <w:jc w:val="center"/>
              <w:rPr>
                <w:color w:val="auto"/>
                <w:highlight w:val="none"/>
              </w:rPr>
            </w:pPr>
            <w:r>
              <w:rPr>
                <w:rFonts w:hint="eastAsia" w:cs="宋体"/>
                <w:color w:val="auto"/>
                <w:highlight w:val="none"/>
              </w:rPr>
              <w:t>担任……年限</w:t>
            </w:r>
          </w:p>
        </w:tc>
        <w:tc>
          <w:tcPr>
            <w:tcW w:w="2563" w:type="dxa"/>
            <w:gridSpan w:val="6"/>
            <w:vAlign w:val="center"/>
          </w:tcPr>
          <w:p w14:paraId="732A59A6">
            <w:pPr>
              <w:jc w:val="center"/>
              <w:rPr>
                <w:color w:val="auto"/>
                <w:highlight w:val="none"/>
              </w:rPr>
            </w:pPr>
          </w:p>
        </w:tc>
        <w:tc>
          <w:tcPr>
            <w:tcW w:w="1209" w:type="dxa"/>
            <w:vAlign w:val="center"/>
          </w:tcPr>
          <w:p w14:paraId="30761B31">
            <w:pPr>
              <w:jc w:val="center"/>
              <w:rPr>
                <w:color w:val="auto"/>
                <w:highlight w:val="none"/>
              </w:rPr>
            </w:pPr>
            <w:r>
              <w:rPr>
                <w:rFonts w:hint="eastAsia"/>
                <w:color w:val="auto"/>
                <w:highlight w:val="none"/>
              </w:rPr>
              <w:t>身份</w:t>
            </w:r>
            <w:r>
              <w:rPr>
                <w:color w:val="auto"/>
                <w:highlight w:val="none"/>
              </w:rPr>
              <w:t>证号码</w:t>
            </w:r>
          </w:p>
        </w:tc>
        <w:tc>
          <w:tcPr>
            <w:tcW w:w="4608" w:type="dxa"/>
            <w:gridSpan w:val="10"/>
            <w:vAlign w:val="center"/>
          </w:tcPr>
          <w:p w14:paraId="403AF709">
            <w:pPr>
              <w:jc w:val="center"/>
              <w:rPr>
                <w:color w:val="auto"/>
                <w:highlight w:val="none"/>
              </w:rPr>
            </w:pPr>
          </w:p>
        </w:tc>
      </w:tr>
      <w:tr w14:paraId="51FD3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gridSpan w:val="2"/>
            <w:vAlign w:val="center"/>
          </w:tcPr>
          <w:p w14:paraId="2B41EB51">
            <w:pPr>
              <w:jc w:val="center"/>
              <w:rPr>
                <w:color w:val="auto"/>
                <w:highlight w:val="none"/>
              </w:rPr>
            </w:pPr>
            <w:r>
              <w:rPr>
                <w:rFonts w:hint="eastAsia"/>
                <w:color w:val="auto"/>
                <w:highlight w:val="none"/>
              </w:rPr>
              <w:t>证书名称</w:t>
            </w:r>
          </w:p>
        </w:tc>
        <w:tc>
          <w:tcPr>
            <w:tcW w:w="1275" w:type="dxa"/>
            <w:gridSpan w:val="2"/>
            <w:vAlign w:val="center"/>
          </w:tcPr>
          <w:p w14:paraId="6D731680">
            <w:pPr>
              <w:jc w:val="center"/>
              <w:rPr>
                <w:color w:val="auto"/>
                <w:highlight w:val="none"/>
              </w:rPr>
            </w:pPr>
            <w:r>
              <w:rPr>
                <w:rFonts w:hint="eastAsia"/>
                <w:color w:val="auto"/>
                <w:highlight w:val="none"/>
              </w:rPr>
              <w:t>注册专业</w:t>
            </w:r>
          </w:p>
        </w:tc>
        <w:tc>
          <w:tcPr>
            <w:tcW w:w="1222" w:type="dxa"/>
            <w:gridSpan w:val="3"/>
            <w:vAlign w:val="center"/>
          </w:tcPr>
          <w:p w14:paraId="17BC7578">
            <w:pPr>
              <w:jc w:val="center"/>
              <w:rPr>
                <w:color w:val="auto"/>
                <w:highlight w:val="none"/>
              </w:rPr>
            </w:pPr>
            <w:r>
              <w:rPr>
                <w:color w:val="auto"/>
                <w:highlight w:val="none"/>
              </w:rPr>
              <w:t>级别</w:t>
            </w:r>
          </w:p>
        </w:tc>
        <w:tc>
          <w:tcPr>
            <w:tcW w:w="1417" w:type="dxa"/>
            <w:gridSpan w:val="3"/>
            <w:vAlign w:val="center"/>
          </w:tcPr>
          <w:p w14:paraId="2C1C2BC8">
            <w:pPr>
              <w:jc w:val="center"/>
              <w:rPr>
                <w:color w:val="auto"/>
                <w:highlight w:val="none"/>
              </w:rPr>
            </w:pPr>
            <w:r>
              <w:rPr>
                <w:rFonts w:hint="eastAsia" w:cs="宋体"/>
                <w:color w:val="auto"/>
                <w:highlight w:val="none"/>
              </w:rPr>
              <w:t>证书编号</w:t>
            </w:r>
          </w:p>
        </w:tc>
        <w:tc>
          <w:tcPr>
            <w:tcW w:w="1418" w:type="dxa"/>
            <w:gridSpan w:val="3"/>
            <w:vAlign w:val="center"/>
          </w:tcPr>
          <w:p w14:paraId="71B1C6BC">
            <w:pPr>
              <w:jc w:val="center"/>
              <w:rPr>
                <w:color w:val="auto"/>
                <w:highlight w:val="none"/>
              </w:rPr>
            </w:pPr>
            <w:r>
              <w:rPr>
                <w:rFonts w:hint="eastAsia"/>
                <w:color w:val="auto"/>
                <w:highlight w:val="none"/>
              </w:rPr>
              <w:t>注册时间</w:t>
            </w:r>
          </w:p>
        </w:tc>
        <w:tc>
          <w:tcPr>
            <w:tcW w:w="1632" w:type="dxa"/>
            <w:gridSpan w:val="4"/>
            <w:vAlign w:val="center"/>
          </w:tcPr>
          <w:p w14:paraId="1D7D635D">
            <w:pPr>
              <w:jc w:val="center"/>
              <w:rPr>
                <w:color w:val="auto"/>
                <w:highlight w:val="none"/>
              </w:rPr>
            </w:pPr>
            <w:r>
              <w:rPr>
                <w:rFonts w:hint="eastAsia"/>
                <w:color w:val="auto"/>
                <w:highlight w:val="none"/>
              </w:rPr>
              <w:t>注册单位</w:t>
            </w:r>
          </w:p>
        </w:tc>
        <w:tc>
          <w:tcPr>
            <w:tcW w:w="1416" w:type="dxa"/>
            <w:gridSpan w:val="2"/>
            <w:vAlign w:val="center"/>
          </w:tcPr>
          <w:p w14:paraId="0213497C">
            <w:pPr>
              <w:jc w:val="center"/>
              <w:rPr>
                <w:color w:val="auto"/>
                <w:highlight w:val="none"/>
              </w:rPr>
            </w:pPr>
            <w:r>
              <w:rPr>
                <w:rFonts w:hint="eastAsia"/>
                <w:color w:val="auto"/>
                <w:highlight w:val="none"/>
              </w:rPr>
              <w:t>注册有效期</w:t>
            </w:r>
          </w:p>
        </w:tc>
      </w:tr>
      <w:tr w14:paraId="01F58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gridSpan w:val="2"/>
            <w:vAlign w:val="center"/>
          </w:tcPr>
          <w:p w14:paraId="3D9E9E2A">
            <w:pPr>
              <w:jc w:val="center"/>
              <w:rPr>
                <w:color w:val="auto"/>
                <w:highlight w:val="none"/>
              </w:rPr>
            </w:pPr>
            <w:r>
              <w:rPr>
                <w:rFonts w:hint="eastAsia"/>
                <w:color w:val="auto"/>
                <w:highlight w:val="none"/>
              </w:rPr>
              <w:t>安全生产考核合格证书</w:t>
            </w:r>
          </w:p>
        </w:tc>
        <w:tc>
          <w:tcPr>
            <w:tcW w:w="1275" w:type="dxa"/>
            <w:gridSpan w:val="2"/>
            <w:vAlign w:val="center"/>
          </w:tcPr>
          <w:p w14:paraId="54DCBE34">
            <w:pPr>
              <w:jc w:val="center"/>
              <w:rPr>
                <w:color w:val="auto"/>
                <w:highlight w:val="none"/>
              </w:rPr>
            </w:pPr>
          </w:p>
        </w:tc>
        <w:tc>
          <w:tcPr>
            <w:tcW w:w="1222" w:type="dxa"/>
            <w:gridSpan w:val="3"/>
            <w:vAlign w:val="center"/>
          </w:tcPr>
          <w:p w14:paraId="3F5E98D2">
            <w:pPr>
              <w:jc w:val="center"/>
              <w:rPr>
                <w:rFonts w:cs="宋体"/>
                <w:color w:val="auto"/>
                <w:highlight w:val="none"/>
              </w:rPr>
            </w:pPr>
            <w:r>
              <w:rPr>
                <w:rFonts w:hint="eastAsia" w:cs="宋体"/>
                <w:color w:val="auto"/>
                <w:highlight w:val="none"/>
              </w:rPr>
              <w:t>C类</w:t>
            </w:r>
          </w:p>
        </w:tc>
        <w:tc>
          <w:tcPr>
            <w:tcW w:w="1417" w:type="dxa"/>
            <w:gridSpan w:val="3"/>
            <w:vAlign w:val="center"/>
          </w:tcPr>
          <w:p w14:paraId="4120B851">
            <w:pPr>
              <w:jc w:val="center"/>
              <w:rPr>
                <w:color w:val="auto"/>
                <w:highlight w:val="none"/>
              </w:rPr>
            </w:pPr>
          </w:p>
        </w:tc>
        <w:tc>
          <w:tcPr>
            <w:tcW w:w="1418" w:type="dxa"/>
            <w:gridSpan w:val="3"/>
            <w:vAlign w:val="center"/>
          </w:tcPr>
          <w:p w14:paraId="0EE8741B">
            <w:pPr>
              <w:jc w:val="center"/>
              <w:rPr>
                <w:color w:val="auto"/>
                <w:highlight w:val="none"/>
              </w:rPr>
            </w:pPr>
          </w:p>
        </w:tc>
        <w:tc>
          <w:tcPr>
            <w:tcW w:w="1632" w:type="dxa"/>
            <w:gridSpan w:val="4"/>
            <w:vAlign w:val="center"/>
          </w:tcPr>
          <w:p w14:paraId="0211B80D">
            <w:pPr>
              <w:jc w:val="center"/>
              <w:rPr>
                <w:color w:val="auto"/>
                <w:highlight w:val="none"/>
              </w:rPr>
            </w:pPr>
          </w:p>
        </w:tc>
        <w:tc>
          <w:tcPr>
            <w:tcW w:w="1416" w:type="dxa"/>
            <w:gridSpan w:val="2"/>
            <w:vAlign w:val="center"/>
          </w:tcPr>
          <w:p w14:paraId="114778FC">
            <w:pPr>
              <w:jc w:val="center"/>
              <w:rPr>
                <w:color w:val="auto"/>
                <w:highlight w:val="none"/>
              </w:rPr>
            </w:pPr>
          </w:p>
        </w:tc>
      </w:tr>
      <w:tr w14:paraId="38D01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00" w:hRule="atLeast"/>
          <w:jc w:val="center"/>
        </w:trPr>
        <w:tc>
          <w:tcPr>
            <w:tcW w:w="1231" w:type="dxa"/>
            <w:gridSpan w:val="2"/>
            <w:vAlign w:val="center"/>
          </w:tcPr>
          <w:p w14:paraId="32ACC9CC">
            <w:pPr>
              <w:jc w:val="center"/>
              <w:rPr>
                <w:color w:val="auto"/>
                <w:highlight w:val="none"/>
              </w:rPr>
            </w:pPr>
          </w:p>
        </w:tc>
        <w:tc>
          <w:tcPr>
            <w:tcW w:w="1275" w:type="dxa"/>
            <w:gridSpan w:val="2"/>
            <w:vAlign w:val="center"/>
          </w:tcPr>
          <w:p w14:paraId="3AAB6FE5">
            <w:pPr>
              <w:jc w:val="center"/>
              <w:rPr>
                <w:color w:val="auto"/>
                <w:highlight w:val="none"/>
              </w:rPr>
            </w:pPr>
          </w:p>
        </w:tc>
        <w:tc>
          <w:tcPr>
            <w:tcW w:w="1222" w:type="dxa"/>
            <w:gridSpan w:val="3"/>
            <w:vAlign w:val="center"/>
          </w:tcPr>
          <w:p w14:paraId="6A136F17">
            <w:pPr>
              <w:jc w:val="center"/>
              <w:rPr>
                <w:rFonts w:cs="宋体"/>
                <w:color w:val="auto"/>
                <w:highlight w:val="none"/>
              </w:rPr>
            </w:pPr>
          </w:p>
        </w:tc>
        <w:tc>
          <w:tcPr>
            <w:tcW w:w="1417" w:type="dxa"/>
            <w:gridSpan w:val="3"/>
            <w:vAlign w:val="center"/>
          </w:tcPr>
          <w:p w14:paraId="09512910">
            <w:pPr>
              <w:jc w:val="center"/>
              <w:rPr>
                <w:color w:val="auto"/>
                <w:highlight w:val="none"/>
              </w:rPr>
            </w:pPr>
          </w:p>
        </w:tc>
        <w:tc>
          <w:tcPr>
            <w:tcW w:w="1418" w:type="dxa"/>
            <w:gridSpan w:val="3"/>
            <w:vAlign w:val="center"/>
          </w:tcPr>
          <w:p w14:paraId="37B5F9EE">
            <w:pPr>
              <w:jc w:val="center"/>
              <w:rPr>
                <w:color w:val="auto"/>
                <w:highlight w:val="none"/>
              </w:rPr>
            </w:pPr>
          </w:p>
        </w:tc>
        <w:tc>
          <w:tcPr>
            <w:tcW w:w="1632" w:type="dxa"/>
            <w:gridSpan w:val="4"/>
            <w:vAlign w:val="center"/>
          </w:tcPr>
          <w:p w14:paraId="4CDA3CC6">
            <w:pPr>
              <w:jc w:val="center"/>
              <w:rPr>
                <w:color w:val="auto"/>
                <w:highlight w:val="none"/>
              </w:rPr>
            </w:pPr>
          </w:p>
        </w:tc>
        <w:tc>
          <w:tcPr>
            <w:tcW w:w="1416" w:type="dxa"/>
            <w:gridSpan w:val="2"/>
            <w:vAlign w:val="center"/>
          </w:tcPr>
          <w:p w14:paraId="5EB9F3C6">
            <w:pPr>
              <w:jc w:val="center"/>
              <w:rPr>
                <w:color w:val="auto"/>
                <w:highlight w:val="none"/>
              </w:rPr>
            </w:pPr>
          </w:p>
        </w:tc>
      </w:tr>
      <w:tr w14:paraId="27915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8" w:type="dxa"/>
          <w:trHeight w:val="620" w:hRule="atLeast"/>
          <w:jc w:val="center"/>
        </w:trPr>
        <w:tc>
          <w:tcPr>
            <w:tcW w:w="9611" w:type="dxa"/>
            <w:gridSpan w:val="19"/>
            <w:vAlign w:val="center"/>
          </w:tcPr>
          <w:p w14:paraId="3C3AFA48">
            <w:pPr>
              <w:jc w:val="center"/>
              <w:rPr>
                <w:color w:val="auto"/>
                <w:highlight w:val="none"/>
              </w:rPr>
            </w:pPr>
            <w:r>
              <w:rPr>
                <w:rFonts w:hint="eastAsia" w:cs="宋体"/>
                <w:color w:val="auto"/>
                <w:highlight w:val="none"/>
              </w:rPr>
              <w:t>在建和已完工程项目情况</w:t>
            </w:r>
          </w:p>
        </w:tc>
      </w:tr>
      <w:tr w14:paraId="0C564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jc w:val="center"/>
        </w:trPr>
        <w:tc>
          <w:tcPr>
            <w:tcW w:w="1626" w:type="dxa"/>
            <w:gridSpan w:val="4"/>
            <w:vAlign w:val="center"/>
          </w:tcPr>
          <w:p w14:paraId="4BF6B51E">
            <w:pPr>
              <w:jc w:val="center"/>
              <w:rPr>
                <w:color w:val="auto"/>
                <w:highlight w:val="none"/>
              </w:rPr>
            </w:pPr>
          </w:p>
        </w:tc>
        <w:tc>
          <w:tcPr>
            <w:tcW w:w="1548" w:type="dxa"/>
            <w:gridSpan w:val="2"/>
            <w:vAlign w:val="center"/>
          </w:tcPr>
          <w:p w14:paraId="4E7EAD61">
            <w:pPr>
              <w:jc w:val="center"/>
              <w:rPr>
                <w:color w:val="auto"/>
                <w:highlight w:val="none"/>
              </w:rPr>
            </w:pPr>
            <w:r>
              <w:rPr>
                <w:rFonts w:hint="eastAsia"/>
                <w:color w:val="auto"/>
                <w:highlight w:val="none"/>
              </w:rPr>
              <w:t>项目1</w:t>
            </w:r>
          </w:p>
        </w:tc>
        <w:tc>
          <w:tcPr>
            <w:tcW w:w="1837" w:type="dxa"/>
            <w:gridSpan w:val="4"/>
            <w:vAlign w:val="center"/>
          </w:tcPr>
          <w:p w14:paraId="221DFCCE">
            <w:pPr>
              <w:jc w:val="center"/>
              <w:rPr>
                <w:color w:val="auto"/>
                <w:highlight w:val="none"/>
              </w:rPr>
            </w:pPr>
            <w:r>
              <w:rPr>
                <w:rFonts w:hint="eastAsia"/>
                <w:color w:val="auto"/>
                <w:highlight w:val="none"/>
              </w:rPr>
              <w:t>项目2</w:t>
            </w:r>
          </w:p>
        </w:tc>
        <w:tc>
          <w:tcPr>
            <w:tcW w:w="1472" w:type="dxa"/>
            <w:gridSpan w:val="3"/>
            <w:vAlign w:val="center"/>
          </w:tcPr>
          <w:p w14:paraId="2103DC8B">
            <w:pPr>
              <w:jc w:val="center"/>
              <w:rPr>
                <w:color w:val="auto"/>
                <w:highlight w:val="none"/>
              </w:rPr>
            </w:pPr>
            <w:r>
              <w:rPr>
                <w:rFonts w:hint="eastAsia"/>
                <w:color w:val="auto"/>
                <w:highlight w:val="none"/>
              </w:rPr>
              <w:t>项目3</w:t>
            </w:r>
          </w:p>
        </w:tc>
        <w:tc>
          <w:tcPr>
            <w:tcW w:w="1641" w:type="dxa"/>
            <w:gridSpan w:val="4"/>
            <w:vAlign w:val="center"/>
          </w:tcPr>
          <w:p w14:paraId="0D546C2D">
            <w:pPr>
              <w:jc w:val="center"/>
              <w:rPr>
                <w:color w:val="auto"/>
                <w:highlight w:val="none"/>
              </w:rPr>
            </w:pPr>
            <w:r>
              <w:rPr>
                <w:rFonts w:hint="eastAsia"/>
                <w:color w:val="auto"/>
                <w:highlight w:val="none"/>
              </w:rPr>
              <w:t>项目4</w:t>
            </w:r>
          </w:p>
        </w:tc>
        <w:tc>
          <w:tcPr>
            <w:tcW w:w="1484" w:type="dxa"/>
            <w:gridSpan w:val="2"/>
            <w:vAlign w:val="center"/>
          </w:tcPr>
          <w:p w14:paraId="4403E650">
            <w:pPr>
              <w:jc w:val="center"/>
              <w:rPr>
                <w:color w:val="auto"/>
                <w:highlight w:val="none"/>
              </w:rPr>
            </w:pPr>
            <w:r>
              <w:rPr>
                <w:rFonts w:hint="eastAsia"/>
                <w:color w:val="auto"/>
                <w:highlight w:val="none"/>
              </w:rPr>
              <w:t>……</w:t>
            </w:r>
          </w:p>
        </w:tc>
      </w:tr>
      <w:tr w14:paraId="0F645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jc w:val="center"/>
        </w:trPr>
        <w:tc>
          <w:tcPr>
            <w:tcW w:w="1626" w:type="dxa"/>
            <w:gridSpan w:val="4"/>
            <w:vAlign w:val="center"/>
          </w:tcPr>
          <w:p w14:paraId="4772D009">
            <w:pPr>
              <w:jc w:val="center"/>
              <w:rPr>
                <w:color w:val="auto"/>
                <w:highlight w:val="none"/>
              </w:rPr>
            </w:pPr>
            <w:r>
              <w:rPr>
                <w:rFonts w:hint="eastAsia"/>
                <w:color w:val="auto"/>
                <w:highlight w:val="none"/>
              </w:rPr>
              <w:t>项目名称</w:t>
            </w:r>
          </w:p>
        </w:tc>
        <w:tc>
          <w:tcPr>
            <w:tcW w:w="1548" w:type="dxa"/>
            <w:gridSpan w:val="2"/>
            <w:vAlign w:val="center"/>
          </w:tcPr>
          <w:p w14:paraId="5F71EE29">
            <w:pPr>
              <w:jc w:val="center"/>
              <w:rPr>
                <w:color w:val="auto"/>
                <w:highlight w:val="none"/>
              </w:rPr>
            </w:pPr>
          </w:p>
        </w:tc>
        <w:tc>
          <w:tcPr>
            <w:tcW w:w="1837" w:type="dxa"/>
            <w:gridSpan w:val="4"/>
            <w:vAlign w:val="center"/>
          </w:tcPr>
          <w:p w14:paraId="00FF2CD8">
            <w:pPr>
              <w:jc w:val="center"/>
              <w:rPr>
                <w:color w:val="auto"/>
                <w:highlight w:val="none"/>
              </w:rPr>
            </w:pPr>
          </w:p>
        </w:tc>
        <w:tc>
          <w:tcPr>
            <w:tcW w:w="1472" w:type="dxa"/>
            <w:gridSpan w:val="3"/>
            <w:vAlign w:val="center"/>
          </w:tcPr>
          <w:p w14:paraId="4DF37DF5">
            <w:pPr>
              <w:jc w:val="center"/>
              <w:rPr>
                <w:color w:val="auto"/>
                <w:highlight w:val="none"/>
              </w:rPr>
            </w:pPr>
          </w:p>
        </w:tc>
        <w:tc>
          <w:tcPr>
            <w:tcW w:w="1641" w:type="dxa"/>
            <w:gridSpan w:val="4"/>
            <w:vAlign w:val="center"/>
          </w:tcPr>
          <w:p w14:paraId="0E768FBC">
            <w:pPr>
              <w:jc w:val="center"/>
              <w:rPr>
                <w:color w:val="auto"/>
                <w:highlight w:val="none"/>
              </w:rPr>
            </w:pPr>
          </w:p>
        </w:tc>
        <w:tc>
          <w:tcPr>
            <w:tcW w:w="1484" w:type="dxa"/>
            <w:gridSpan w:val="2"/>
            <w:vAlign w:val="center"/>
          </w:tcPr>
          <w:p w14:paraId="48C3EE8C">
            <w:pPr>
              <w:jc w:val="center"/>
              <w:rPr>
                <w:color w:val="auto"/>
                <w:highlight w:val="none"/>
              </w:rPr>
            </w:pPr>
          </w:p>
        </w:tc>
      </w:tr>
      <w:tr w14:paraId="72E67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782A6C19">
            <w:pPr>
              <w:jc w:val="center"/>
              <w:rPr>
                <w:color w:val="auto"/>
                <w:highlight w:val="none"/>
              </w:rPr>
            </w:pPr>
            <w:r>
              <w:rPr>
                <w:rFonts w:hint="eastAsia" w:cs="宋体"/>
                <w:color w:val="auto"/>
                <w:highlight w:val="none"/>
              </w:rPr>
              <w:t>建设单位</w:t>
            </w:r>
          </w:p>
        </w:tc>
        <w:tc>
          <w:tcPr>
            <w:tcW w:w="1548" w:type="dxa"/>
            <w:gridSpan w:val="2"/>
            <w:vAlign w:val="center"/>
          </w:tcPr>
          <w:p w14:paraId="46E210F8">
            <w:pPr>
              <w:jc w:val="center"/>
              <w:rPr>
                <w:color w:val="auto"/>
                <w:highlight w:val="none"/>
              </w:rPr>
            </w:pPr>
          </w:p>
        </w:tc>
        <w:tc>
          <w:tcPr>
            <w:tcW w:w="1837" w:type="dxa"/>
            <w:gridSpan w:val="4"/>
            <w:vAlign w:val="center"/>
          </w:tcPr>
          <w:p w14:paraId="3D81C7BB">
            <w:pPr>
              <w:jc w:val="center"/>
              <w:rPr>
                <w:color w:val="auto"/>
                <w:highlight w:val="none"/>
              </w:rPr>
            </w:pPr>
          </w:p>
        </w:tc>
        <w:tc>
          <w:tcPr>
            <w:tcW w:w="1472" w:type="dxa"/>
            <w:gridSpan w:val="3"/>
            <w:vAlign w:val="center"/>
          </w:tcPr>
          <w:p w14:paraId="78DA19D0">
            <w:pPr>
              <w:jc w:val="center"/>
              <w:rPr>
                <w:color w:val="auto"/>
                <w:highlight w:val="none"/>
              </w:rPr>
            </w:pPr>
          </w:p>
        </w:tc>
        <w:tc>
          <w:tcPr>
            <w:tcW w:w="1641" w:type="dxa"/>
            <w:gridSpan w:val="4"/>
            <w:vAlign w:val="center"/>
          </w:tcPr>
          <w:p w14:paraId="773F9313">
            <w:pPr>
              <w:jc w:val="center"/>
              <w:rPr>
                <w:color w:val="auto"/>
                <w:highlight w:val="none"/>
              </w:rPr>
            </w:pPr>
          </w:p>
        </w:tc>
        <w:tc>
          <w:tcPr>
            <w:tcW w:w="1484" w:type="dxa"/>
            <w:gridSpan w:val="2"/>
            <w:vAlign w:val="center"/>
          </w:tcPr>
          <w:p w14:paraId="400A91AA">
            <w:pPr>
              <w:jc w:val="center"/>
              <w:rPr>
                <w:color w:val="auto"/>
                <w:highlight w:val="none"/>
              </w:rPr>
            </w:pPr>
          </w:p>
        </w:tc>
      </w:tr>
      <w:tr w14:paraId="2A148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2E270DC9">
            <w:pPr>
              <w:jc w:val="center"/>
              <w:rPr>
                <w:color w:val="auto"/>
                <w:highlight w:val="none"/>
              </w:rPr>
            </w:pPr>
            <w:r>
              <w:rPr>
                <w:rFonts w:hint="eastAsia" w:cs="宋体"/>
                <w:color w:val="auto"/>
                <w:highlight w:val="none"/>
              </w:rPr>
              <w:t>建设规模</w:t>
            </w:r>
          </w:p>
        </w:tc>
        <w:tc>
          <w:tcPr>
            <w:tcW w:w="1548" w:type="dxa"/>
            <w:gridSpan w:val="2"/>
            <w:vAlign w:val="center"/>
          </w:tcPr>
          <w:p w14:paraId="5B28B478">
            <w:pPr>
              <w:jc w:val="center"/>
              <w:rPr>
                <w:color w:val="auto"/>
                <w:highlight w:val="none"/>
              </w:rPr>
            </w:pPr>
          </w:p>
        </w:tc>
        <w:tc>
          <w:tcPr>
            <w:tcW w:w="1837" w:type="dxa"/>
            <w:gridSpan w:val="4"/>
            <w:vAlign w:val="center"/>
          </w:tcPr>
          <w:p w14:paraId="74A5A458">
            <w:pPr>
              <w:jc w:val="center"/>
              <w:rPr>
                <w:color w:val="auto"/>
                <w:highlight w:val="none"/>
              </w:rPr>
            </w:pPr>
          </w:p>
        </w:tc>
        <w:tc>
          <w:tcPr>
            <w:tcW w:w="1472" w:type="dxa"/>
            <w:gridSpan w:val="3"/>
            <w:vAlign w:val="center"/>
          </w:tcPr>
          <w:p w14:paraId="44D2B982">
            <w:pPr>
              <w:jc w:val="center"/>
              <w:rPr>
                <w:color w:val="auto"/>
                <w:highlight w:val="none"/>
              </w:rPr>
            </w:pPr>
          </w:p>
        </w:tc>
        <w:tc>
          <w:tcPr>
            <w:tcW w:w="1641" w:type="dxa"/>
            <w:gridSpan w:val="4"/>
            <w:vAlign w:val="center"/>
          </w:tcPr>
          <w:p w14:paraId="5E25C315">
            <w:pPr>
              <w:jc w:val="center"/>
              <w:rPr>
                <w:color w:val="auto"/>
                <w:highlight w:val="none"/>
              </w:rPr>
            </w:pPr>
          </w:p>
        </w:tc>
        <w:tc>
          <w:tcPr>
            <w:tcW w:w="1484" w:type="dxa"/>
            <w:gridSpan w:val="2"/>
            <w:vAlign w:val="center"/>
          </w:tcPr>
          <w:p w14:paraId="709A797B">
            <w:pPr>
              <w:jc w:val="center"/>
              <w:rPr>
                <w:color w:val="auto"/>
                <w:highlight w:val="none"/>
              </w:rPr>
            </w:pPr>
          </w:p>
        </w:tc>
      </w:tr>
      <w:tr w14:paraId="7F1B4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4"/>
            <w:vAlign w:val="center"/>
          </w:tcPr>
          <w:p w14:paraId="7F16B741">
            <w:pPr>
              <w:jc w:val="center"/>
              <w:rPr>
                <w:rFonts w:ascii="宋体" w:hAnsi="宋体" w:cs="宋体"/>
                <w:color w:val="auto"/>
                <w:sz w:val="27"/>
                <w:szCs w:val="27"/>
                <w:highlight w:val="none"/>
              </w:rPr>
            </w:pPr>
            <w:r>
              <w:rPr>
                <w:rFonts w:hint="eastAsia" w:cs="宋体"/>
                <w:color w:val="auto"/>
                <w:highlight w:val="none"/>
              </w:rPr>
              <w:t>开工日期</w:t>
            </w:r>
          </w:p>
        </w:tc>
        <w:tc>
          <w:tcPr>
            <w:tcW w:w="1548" w:type="dxa"/>
            <w:gridSpan w:val="2"/>
            <w:vAlign w:val="center"/>
          </w:tcPr>
          <w:p w14:paraId="5A3C6FFC">
            <w:pPr>
              <w:jc w:val="center"/>
              <w:rPr>
                <w:color w:val="auto"/>
                <w:highlight w:val="none"/>
              </w:rPr>
            </w:pPr>
          </w:p>
        </w:tc>
        <w:tc>
          <w:tcPr>
            <w:tcW w:w="1837" w:type="dxa"/>
            <w:gridSpan w:val="4"/>
            <w:vAlign w:val="center"/>
          </w:tcPr>
          <w:p w14:paraId="1C575448">
            <w:pPr>
              <w:jc w:val="center"/>
              <w:rPr>
                <w:color w:val="auto"/>
                <w:highlight w:val="none"/>
              </w:rPr>
            </w:pPr>
          </w:p>
        </w:tc>
        <w:tc>
          <w:tcPr>
            <w:tcW w:w="1472" w:type="dxa"/>
            <w:gridSpan w:val="3"/>
            <w:vAlign w:val="center"/>
          </w:tcPr>
          <w:p w14:paraId="4C8D9389">
            <w:pPr>
              <w:jc w:val="center"/>
              <w:rPr>
                <w:color w:val="auto"/>
                <w:highlight w:val="none"/>
              </w:rPr>
            </w:pPr>
          </w:p>
        </w:tc>
        <w:tc>
          <w:tcPr>
            <w:tcW w:w="1641" w:type="dxa"/>
            <w:gridSpan w:val="4"/>
            <w:vAlign w:val="center"/>
          </w:tcPr>
          <w:p w14:paraId="01AB4079">
            <w:pPr>
              <w:jc w:val="center"/>
              <w:rPr>
                <w:color w:val="auto"/>
                <w:highlight w:val="none"/>
              </w:rPr>
            </w:pPr>
          </w:p>
        </w:tc>
        <w:tc>
          <w:tcPr>
            <w:tcW w:w="1484" w:type="dxa"/>
            <w:gridSpan w:val="2"/>
            <w:vAlign w:val="center"/>
          </w:tcPr>
          <w:p w14:paraId="3E1F2F28">
            <w:pPr>
              <w:jc w:val="center"/>
              <w:rPr>
                <w:color w:val="auto"/>
                <w:highlight w:val="none"/>
              </w:rPr>
            </w:pPr>
          </w:p>
        </w:tc>
      </w:tr>
      <w:tr w14:paraId="7D2B4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4DF2FBBD">
            <w:pPr>
              <w:jc w:val="center"/>
              <w:rPr>
                <w:color w:val="auto"/>
                <w:highlight w:val="none"/>
              </w:rPr>
            </w:pPr>
            <w:r>
              <w:rPr>
                <w:rFonts w:hint="eastAsia" w:cs="宋体"/>
                <w:color w:val="auto"/>
                <w:highlight w:val="none"/>
              </w:rPr>
              <w:t>竣工日期</w:t>
            </w:r>
          </w:p>
        </w:tc>
        <w:tc>
          <w:tcPr>
            <w:tcW w:w="1548" w:type="dxa"/>
            <w:gridSpan w:val="2"/>
            <w:vAlign w:val="center"/>
          </w:tcPr>
          <w:p w14:paraId="1EB9CC56">
            <w:pPr>
              <w:jc w:val="center"/>
              <w:rPr>
                <w:color w:val="auto"/>
                <w:highlight w:val="none"/>
              </w:rPr>
            </w:pPr>
          </w:p>
        </w:tc>
        <w:tc>
          <w:tcPr>
            <w:tcW w:w="1837" w:type="dxa"/>
            <w:gridSpan w:val="4"/>
            <w:vAlign w:val="center"/>
          </w:tcPr>
          <w:p w14:paraId="20E6E1CE">
            <w:pPr>
              <w:jc w:val="center"/>
              <w:rPr>
                <w:color w:val="auto"/>
                <w:highlight w:val="none"/>
              </w:rPr>
            </w:pPr>
          </w:p>
        </w:tc>
        <w:tc>
          <w:tcPr>
            <w:tcW w:w="1472" w:type="dxa"/>
            <w:gridSpan w:val="3"/>
            <w:vAlign w:val="center"/>
          </w:tcPr>
          <w:p w14:paraId="2C6FF880">
            <w:pPr>
              <w:jc w:val="center"/>
              <w:rPr>
                <w:color w:val="auto"/>
                <w:highlight w:val="none"/>
              </w:rPr>
            </w:pPr>
          </w:p>
        </w:tc>
        <w:tc>
          <w:tcPr>
            <w:tcW w:w="1641" w:type="dxa"/>
            <w:gridSpan w:val="4"/>
            <w:vAlign w:val="center"/>
          </w:tcPr>
          <w:p w14:paraId="25DCFA12">
            <w:pPr>
              <w:jc w:val="center"/>
              <w:rPr>
                <w:color w:val="auto"/>
                <w:highlight w:val="none"/>
              </w:rPr>
            </w:pPr>
          </w:p>
        </w:tc>
        <w:tc>
          <w:tcPr>
            <w:tcW w:w="1484" w:type="dxa"/>
            <w:gridSpan w:val="2"/>
            <w:vAlign w:val="center"/>
          </w:tcPr>
          <w:p w14:paraId="13585C44">
            <w:pPr>
              <w:jc w:val="center"/>
              <w:rPr>
                <w:color w:val="auto"/>
                <w:highlight w:val="none"/>
              </w:rPr>
            </w:pPr>
          </w:p>
        </w:tc>
      </w:tr>
      <w:tr w14:paraId="0E284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7490C882">
            <w:pPr>
              <w:jc w:val="center"/>
              <w:rPr>
                <w:rFonts w:cs="宋体"/>
                <w:color w:val="auto"/>
                <w:highlight w:val="none"/>
              </w:rPr>
            </w:pPr>
            <w:r>
              <w:rPr>
                <w:rFonts w:hint="eastAsia" w:cs="宋体"/>
                <w:color w:val="auto"/>
                <w:highlight w:val="none"/>
              </w:rPr>
              <w:t>人员角色</w:t>
            </w:r>
          </w:p>
        </w:tc>
        <w:tc>
          <w:tcPr>
            <w:tcW w:w="1548" w:type="dxa"/>
            <w:gridSpan w:val="2"/>
            <w:vAlign w:val="center"/>
          </w:tcPr>
          <w:p w14:paraId="1D4141B8">
            <w:pPr>
              <w:jc w:val="center"/>
              <w:rPr>
                <w:color w:val="auto"/>
                <w:highlight w:val="none"/>
              </w:rPr>
            </w:pPr>
          </w:p>
        </w:tc>
        <w:tc>
          <w:tcPr>
            <w:tcW w:w="1837" w:type="dxa"/>
            <w:gridSpan w:val="4"/>
            <w:vAlign w:val="center"/>
          </w:tcPr>
          <w:p w14:paraId="541C6A12">
            <w:pPr>
              <w:jc w:val="center"/>
              <w:rPr>
                <w:color w:val="auto"/>
                <w:highlight w:val="none"/>
              </w:rPr>
            </w:pPr>
          </w:p>
        </w:tc>
        <w:tc>
          <w:tcPr>
            <w:tcW w:w="1472" w:type="dxa"/>
            <w:gridSpan w:val="3"/>
            <w:vAlign w:val="center"/>
          </w:tcPr>
          <w:p w14:paraId="5112BAD2">
            <w:pPr>
              <w:jc w:val="center"/>
              <w:rPr>
                <w:color w:val="auto"/>
                <w:highlight w:val="none"/>
              </w:rPr>
            </w:pPr>
          </w:p>
        </w:tc>
        <w:tc>
          <w:tcPr>
            <w:tcW w:w="1641" w:type="dxa"/>
            <w:gridSpan w:val="4"/>
            <w:vAlign w:val="center"/>
          </w:tcPr>
          <w:p w14:paraId="61688268">
            <w:pPr>
              <w:jc w:val="center"/>
              <w:rPr>
                <w:color w:val="auto"/>
                <w:highlight w:val="none"/>
              </w:rPr>
            </w:pPr>
          </w:p>
        </w:tc>
        <w:tc>
          <w:tcPr>
            <w:tcW w:w="1484" w:type="dxa"/>
            <w:gridSpan w:val="2"/>
            <w:vAlign w:val="center"/>
          </w:tcPr>
          <w:p w14:paraId="6D1528D0">
            <w:pPr>
              <w:jc w:val="center"/>
              <w:rPr>
                <w:color w:val="auto"/>
                <w:highlight w:val="none"/>
              </w:rPr>
            </w:pPr>
          </w:p>
        </w:tc>
      </w:tr>
      <w:tr w14:paraId="0C500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3AF90873">
            <w:pPr>
              <w:jc w:val="center"/>
              <w:rPr>
                <w:rFonts w:cs="宋体"/>
                <w:color w:val="auto"/>
                <w:highlight w:val="none"/>
              </w:rPr>
            </w:pPr>
            <w:r>
              <w:rPr>
                <w:rFonts w:hint="eastAsia" w:cs="宋体"/>
                <w:color w:val="auto"/>
                <w:highlight w:val="none"/>
              </w:rPr>
              <w:t>在建或已完</w:t>
            </w:r>
          </w:p>
        </w:tc>
        <w:tc>
          <w:tcPr>
            <w:tcW w:w="1548" w:type="dxa"/>
            <w:gridSpan w:val="2"/>
            <w:vAlign w:val="center"/>
          </w:tcPr>
          <w:p w14:paraId="1DD8CE2A">
            <w:pPr>
              <w:jc w:val="center"/>
              <w:rPr>
                <w:color w:val="auto"/>
                <w:highlight w:val="none"/>
              </w:rPr>
            </w:pPr>
          </w:p>
        </w:tc>
        <w:tc>
          <w:tcPr>
            <w:tcW w:w="1837" w:type="dxa"/>
            <w:gridSpan w:val="4"/>
            <w:vAlign w:val="center"/>
          </w:tcPr>
          <w:p w14:paraId="766901D3">
            <w:pPr>
              <w:jc w:val="center"/>
              <w:rPr>
                <w:color w:val="auto"/>
                <w:highlight w:val="none"/>
              </w:rPr>
            </w:pPr>
          </w:p>
        </w:tc>
        <w:tc>
          <w:tcPr>
            <w:tcW w:w="1472" w:type="dxa"/>
            <w:gridSpan w:val="3"/>
            <w:vAlign w:val="center"/>
          </w:tcPr>
          <w:p w14:paraId="6BBCE98C">
            <w:pPr>
              <w:jc w:val="center"/>
              <w:rPr>
                <w:color w:val="auto"/>
                <w:highlight w:val="none"/>
              </w:rPr>
            </w:pPr>
          </w:p>
        </w:tc>
        <w:tc>
          <w:tcPr>
            <w:tcW w:w="1641" w:type="dxa"/>
            <w:gridSpan w:val="4"/>
            <w:vAlign w:val="center"/>
          </w:tcPr>
          <w:p w14:paraId="322EAC9A">
            <w:pPr>
              <w:jc w:val="center"/>
              <w:rPr>
                <w:color w:val="auto"/>
                <w:highlight w:val="none"/>
              </w:rPr>
            </w:pPr>
          </w:p>
        </w:tc>
        <w:tc>
          <w:tcPr>
            <w:tcW w:w="1484" w:type="dxa"/>
            <w:gridSpan w:val="2"/>
            <w:vAlign w:val="center"/>
          </w:tcPr>
          <w:p w14:paraId="40DD806E">
            <w:pPr>
              <w:jc w:val="center"/>
              <w:rPr>
                <w:color w:val="auto"/>
                <w:highlight w:val="none"/>
              </w:rPr>
            </w:pPr>
          </w:p>
        </w:tc>
      </w:tr>
      <w:tr w14:paraId="51560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0A2EF306">
            <w:pPr>
              <w:jc w:val="center"/>
              <w:rPr>
                <w:rFonts w:cs="宋体"/>
                <w:color w:val="auto"/>
                <w:highlight w:val="none"/>
              </w:rPr>
            </w:pPr>
            <w:r>
              <w:rPr>
                <w:rFonts w:hint="eastAsia" w:cs="宋体"/>
                <w:color w:val="auto"/>
                <w:highlight w:val="none"/>
              </w:rPr>
              <w:t>工程质量</w:t>
            </w:r>
          </w:p>
        </w:tc>
        <w:tc>
          <w:tcPr>
            <w:tcW w:w="1548" w:type="dxa"/>
            <w:gridSpan w:val="2"/>
            <w:vAlign w:val="center"/>
          </w:tcPr>
          <w:p w14:paraId="4AEB06DF">
            <w:pPr>
              <w:jc w:val="center"/>
              <w:rPr>
                <w:color w:val="auto"/>
                <w:highlight w:val="none"/>
              </w:rPr>
            </w:pPr>
          </w:p>
        </w:tc>
        <w:tc>
          <w:tcPr>
            <w:tcW w:w="1837" w:type="dxa"/>
            <w:gridSpan w:val="4"/>
            <w:vAlign w:val="center"/>
          </w:tcPr>
          <w:p w14:paraId="58FBEF47">
            <w:pPr>
              <w:jc w:val="center"/>
              <w:rPr>
                <w:color w:val="auto"/>
                <w:highlight w:val="none"/>
              </w:rPr>
            </w:pPr>
          </w:p>
        </w:tc>
        <w:tc>
          <w:tcPr>
            <w:tcW w:w="1472" w:type="dxa"/>
            <w:gridSpan w:val="3"/>
            <w:vAlign w:val="center"/>
          </w:tcPr>
          <w:p w14:paraId="7E540BE8">
            <w:pPr>
              <w:jc w:val="center"/>
              <w:rPr>
                <w:color w:val="auto"/>
                <w:highlight w:val="none"/>
              </w:rPr>
            </w:pPr>
          </w:p>
        </w:tc>
        <w:tc>
          <w:tcPr>
            <w:tcW w:w="1641" w:type="dxa"/>
            <w:gridSpan w:val="4"/>
            <w:vAlign w:val="center"/>
          </w:tcPr>
          <w:p w14:paraId="73674ED4">
            <w:pPr>
              <w:jc w:val="center"/>
              <w:rPr>
                <w:color w:val="auto"/>
                <w:highlight w:val="none"/>
              </w:rPr>
            </w:pPr>
          </w:p>
        </w:tc>
        <w:tc>
          <w:tcPr>
            <w:tcW w:w="1484" w:type="dxa"/>
            <w:gridSpan w:val="2"/>
            <w:vAlign w:val="center"/>
          </w:tcPr>
          <w:p w14:paraId="4D4BF879">
            <w:pPr>
              <w:jc w:val="center"/>
              <w:rPr>
                <w:color w:val="auto"/>
                <w:highlight w:val="none"/>
              </w:rPr>
            </w:pPr>
          </w:p>
        </w:tc>
      </w:tr>
      <w:tr w14:paraId="11612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4"/>
            <w:vAlign w:val="center"/>
          </w:tcPr>
          <w:p w14:paraId="41D10E9A">
            <w:pPr>
              <w:jc w:val="center"/>
              <w:rPr>
                <w:rFonts w:cs="宋体"/>
                <w:color w:val="auto"/>
                <w:highlight w:val="none"/>
              </w:rPr>
            </w:pPr>
            <w:r>
              <w:rPr>
                <w:rFonts w:hint="eastAsia" w:cs="宋体"/>
                <w:color w:val="auto"/>
                <w:highlight w:val="none"/>
              </w:rPr>
              <w:t>受奖情况</w:t>
            </w:r>
          </w:p>
        </w:tc>
        <w:tc>
          <w:tcPr>
            <w:tcW w:w="1548" w:type="dxa"/>
            <w:gridSpan w:val="2"/>
            <w:vAlign w:val="center"/>
          </w:tcPr>
          <w:p w14:paraId="29CFF37F">
            <w:pPr>
              <w:jc w:val="center"/>
              <w:rPr>
                <w:color w:val="auto"/>
                <w:highlight w:val="none"/>
              </w:rPr>
            </w:pPr>
          </w:p>
        </w:tc>
        <w:tc>
          <w:tcPr>
            <w:tcW w:w="1837" w:type="dxa"/>
            <w:gridSpan w:val="4"/>
            <w:vAlign w:val="center"/>
          </w:tcPr>
          <w:p w14:paraId="52DC08BA">
            <w:pPr>
              <w:jc w:val="center"/>
              <w:rPr>
                <w:color w:val="auto"/>
                <w:highlight w:val="none"/>
              </w:rPr>
            </w:pPr>
          </w:p>
        </w:tc>
        <w:tc>
          <w:tcPr>
            <w:tcW w:w="1472" w:type="dxa"/>
            <w:gridSpan w:val="3"/>
            <w:vAlign w:val="center"/>
          </w:tcPr>
          <w:p w14:paraId="3657116C">
            <w:pPr>
              <w:jc w:val="center"/>
              <w:rPr>
                <w:color w:val="auto"/>
                <w:highlight w:val="none"/>
              </w:rPr>
            </w:pPr>
          </w:p>
        </w:tc>
        <w:tc>
          <w:tcPr>
            <w:tcW w:w="1641" w:type="dxa"/>
            <w:gridSpan w:val="4"/>
            <w:vAlign w:val="center"/>
          </w:tcPr>
          <w:p w14:paraId="332759ED">
            <w:pPr>
              <w:jc w:val="center"/>
              <w:rPr>
                <w:color w:val="auto"/>
                <w:highlight w:val="none"/>
              </w:rPr>
            </w:pPr>
          </w:p>
        </w:tc>
        <w:tc>
          <w:tcPr>
            <w:tcW w:w="1484" w:type="dxa"/>
            <w:gridSpan w:val="2"/>
            <w:vAlign w:val="center"/>
          </w:tcPr>
          <w:p w14:paraId="3E1F6215">
            <w:pPr>
              <w:jc w:val="center"/>
              <w:rPr>
                <w:color w:val="auto"/>
                <w:highlight w:val="none"/>
              </w:rPr>
            </w:pPr>
          </w:p>
        </w:tc>
      </w:tr>
    </w:tbl>
    <w:p w14:paraId="0195969E">
      <w:pPr>
        <w:spacing w:line="360" w:lineRule="auto"/>
        <w:rPr>
          <w:rFonts w:ascii="宋体" w:hAnsi="宋体"/>
          <w:color w:val="auto"/>
          <w:highlight w:val="none"/>
        </w:rPr>
      </w:pPr>
      <w:r>
        <w:rPr>
          <w:rFonts w:hint="eastAsia" w:ascii="宋体" w:hAnsi="宋体" w:cs="楷体_GB2312"/>
          <w:color w:val="auto"/>
          <w:highlight w:val="none"/>
        </w:rPr>
        <w:t>备注：</w:t>
      </w:r>
    </w:p>
    <w:p w14:paraId="791597EF">
      <w:pPr>
        <w:spacing w:line="360" w:lineRule="auto"/>
        <w:ind w:firstLine="420" w:firstLineChars="200"/>
        <w:rPr>
          <w:rFonts w:ascii="宋体" w:hAnsi="宋体"/>
          <w:color w:val="auto"/>
          <w:highlight w:val="none"/>
        </w:rPr>
      </w:pPr>
      <w:r>
        <w:rPr>
          <w:rFonts w:hint="eastAsia" w:ascii="宋体" w:hAnsi="宋体"/>
          <w:color w:val="auto"/>
          <w:highlight w:val="none"/>
        </w:rPr>
        <w:t>1.供应商可以根据项目情况增减表格内容，项目数可以根据需要增加。</w:t>
      </w:r>
    </w:p>
    <w:p w14:paraId="53544024">
      <w:pPr>
        <w:spacing w:line="360" w:lineRule="auto"/>
        <w:ind w:firstLine="420" w:firstLineChars="200"/>
        <w:rPr>
          <w:rFonts w:ascii="宋体" w:hAnsi="宋体"/>
          <w:color w:val="auto"/>
          <w:szCs w:val="21"/>
          <w:highlight w:val="none"/>
        </w:rPr>
      </w:pPr>
      <w:r>
        <w:rPr>
          <w:rFonts w:hint="eastAsia" w:ascii="宋体" w:hAnsi="宋体"/>
          <w:color w:val="auto"/>
          <w:highlight w:val="none"/>
        </w:rPr>
        <w:t>2.</w:t>
      </w:r>
      <w:r>
        <w:rPr>
          <w:rFonts w:hint="eastAsia" w:ascii="宋体" w:hAnsi="宋体"/>
          <w:color w:val="auto"/>
          <w:szCs w:val="21"/>
          <w:highlight w:val="none"/>
        </w:rPr>
        <w:t>本表后附专职安全生产管理人员的</w:t>
      </w:r>
      <w:r>
        <w:rPr>
          <w:rFonts w:hint="eastAsia" w:ascii="宋体" w:hAnsi="宋体"/>
          <w:color w:val="auto"/>
          <w:szCs w:val="21"/>
          <w:highlight w:val="none"/>
          <w:lang w:val="en-US" w:eastAsia="zh-CN"/>
        </w:rPr>
        <w:t>资格</w:t>
      </w:r>
      <w:r>
        <w:rPr>
          <w:rFonts w:hint="eastAsia" w:ascii="宋体" w:hAnsi="宋体"/>
          <w:color w:val="auto"/>
          <w:szCs w:val="21"/>
          <w:highlight w:val="none"/>
        </w:rPr>
        <w:t>证、安全生产考核合格证（C类）、本表所列证书扫描件并加盖供应商电子签章。</w:t>
      </w:r>
    </w:p>
    <w:p w14:paraId="3E3EC9B6">
      <w:pPr>
        <w:rPr>
          <w:rFonts w:ascii="宋体" w:hAnsi="宋体"/>
          <w:b/>
          <w:bCs/>
          <w:color w:val="auto"/>
          <w:sz w:val="24"/>
          <w:highlight w:val="none"/>
        </w:rPr>
      </w:pPr>
      <w:r>
        <w:rPr>
          <w:rFonts w:ascii="宋体" w:hAnsi="宋体"/>
          <w:b/>
          <w:bCs/>
          <w:color w:val="auto"/>
          <w:sz w:val="24"/>
          <w:highlight w:val="none"/>
        </w:rPr>
        <w:br w:type="page"/>
      </w:r>
    </w:p>
    <w:p w14:paraId="5B59B961">
      <w:pPr>
        <w:pStyle w:val="34"/>
        <w:snapToGrid w:val="0"/>
        <w:ind w:left="480" w:hanging="480"/>
        <w:jc w:val="center"/>
        <w:rPr>
          <w:rFonts w:hint="eastAsia" w:ascii="宋体" w:hAnsi="宋体" w:eastAsia="宋体" w:cs="Times New Roman"/>
          <w:b/>
          <w:color w:val="auto"/>
          <w:kern w:val="2"/>
          <w:sz w:val="24"/>
          <w:szCs w:val="24"/>
          <w:highlight w:val="none"/>
          <w:lang w:val="en-US" w:eastAsia="zh-CN" w:bidi="ar-SA"/>
        </w:rPr>
      </w:pPr>
      <w:r>
        <w:rPr>
          <w:rFonts w:hint="eastAsia" w:ascii="宋体" w:hAnsi="宋体" w:eastAsia="宋体" w:cs="Times New Roman"/>
          <w:b/>
          <w:color w:val="auto"/>
          <w:kern w:val="2"/>
          <w:sz w:val="24"/>
          <w:szCs w:val="24"/>
          <w:highlight w:val="none"/>
          <w:lang w:val="en-US" w:eastAsia="zh-CN" w:bidi="ar-SA"/>
        </w:rPr>
        <w:t>供应商业绩情况一览表（格式）</w:t>
      </w:r>
    </w:p>
    <w:tbl>
      <w:tblPr>
        <w:tblStyle w:val="45"/>
        <w:tblW w:w="4988"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858"/>
        <w:gridCol w:w="1893"/>
        <w:gridCol w:w="1770"/>
        <w:gridCol w:w="1362"/>
        <w:gridCol w:w="1344"/>
        <w:gridCol w:w="1711"/>
      </w:tblGrid>
      <w:tr w14:paraId="0EF08C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465" w:hRule="atLeast"/>
        </w:trPr>
        <w:tc>
          <w:tcPr>
            <w:tcW w:w="934" w:type="pct"/>
            <w:tcBorders>
              <w:top w:val="single" w:color="auto" w:sz="4" w:space="0"/>
              <w:left w:val="single" w:color="auto" w:sz="4" w:space="0"/>
              <w:bottom w:val="single" w:color="auto" w:sz="4" w:space="0"/>
              <w:right w:val="single" w:color="auto" w:sz="4" w:space="0"/>
            </w:tcBorders>
            <w:noWrap w:val="0"/>
            <w:vAlign w:val="center"/>
          </w:tcPr>
          <w:p w14:paraId="34FA064F">
            <w:pPr>
              <w:snapToGrid w:val="0"/>
              <w:spacing w:line="240" w:lineRule="auto"/>
              <w:jc w:val="center"/>
              <w:rPr>
                <w:rFonts w:hint="eastAsia" w:ascii="宋体" w:hAnsi="宋体"/>
                <w:color w:val="auto"/>
                <w:sz w:val="24"/>
                <w:highlight w:val="none"/>
              </w:rPr>
            </w:pPr>
            <w:r>
              <w:rPr>
                <w:rFonts w:hint="eastAsia" w:ascii="宋体" w:hAnsi="宋体"/>
                <w:color w:val="auto"/>
                <w:sz w:val="24"/>
                <w:highlight w:val="none"/>
              </w:rPr>
              <w:t>采购人名称</w:t>
            </w:r>
          </w:p>
        </w:tc>
        <w:tc>
          <w:tcPr>
            <w:tcW w:w="952" w:type="pct"/>
            <w:tcBorders>
              <w:top w:val="single" w:color="auto" w:sz="4" w:space="0"/>
              <w:left w:val="single" w:color="auto" w:sz="4" w:space="0"/>
              <w:bottom w:val="single" w:color="auto" w:sz="4" w:space="0"/>
              <w:right w:val="single" w:color="auto" w:sz="4" w:space="0"/>
            </w:tcBorders>
            <w:noWrap w:val="0"/>
            <w:vAlign w:val="center"/>
          </w:tcPr>
          <w:p w14:paraId="4DB3B1AA">
            <w:pPr>
              <w:snapToGrid w:val="0"/>
              <w:spacing w:line="240" w:lineRule="auto"/>
              <w:jc w:val="center"/>
              <w:rPr>
                <w:rFonts w:hint="eastAsia" w:ascii="宋体" w:hAnsi="宋体"/>
                <w:color w:val="auto"/>
                <w:sz w:val="24"/>
                <w:highlight w:val="none"/>
              </w:rPr>
            </w:pPr>
            <w:r>
              <w:rPr>
                <w:rFonts w:hint="eastAsia" w:ascii="宋体" w:hAnsi="宋体"/>
                <w:color w:val="auto"/>
                <w:sz w:val="24"/>
                <w:highlight w:val="none"/>
              </w:rPr>
              <w:t>项目名称</w:t>
            </w:r>
          </w:p>
        </w:tc>
        <w:tc>
          <w:tcPr>
            <w:tcW w:w="890" w:type="pct"/>
            <w:tcBorders>
              <w:top w:val="single" w:color="auto" w:sz="4" w:space="0"/>
              <w:left w:val="single" w:color="auto" w:sz="4" w:space="0"/>
              <w:bottom w:val="single" w:color="auto" w:sz="4" w:space="0"/>
              <w:right w:val="single" w:color="auto" w:sz="4" w:space="0"/>
            </w:tcBorders>
            <w:noWrap w:val="0"/>
            <w:vAlign w:val="center"/>
          </w:tcPr>
          <w:p w14:paraId="229C3BE6">
            <w:pPr>
              <w:snapToGrid w:val="0"/>
              <w:spacing w:line="240" w:lineRule="auto"/>
              <w:jc w:val="center"/>
              <w:rPr>
                <w:rFonts w:hint="default" w:ascii="宋体" w:hAnsi="宋体" w:eastAsia="宋体"/>
                <w:color w:val="auto"/>
                <w:sz w:val="24"/>
                <w:highlight w:val="none"/>
                <w:lang w:val="en-US" w:eastAsia="zh-CN"/>
              </w:rPr>
            </w:pPr>
            <w:r>
              <w:rPr>
                <w:rFonts w:hint="eastAsia" w:ascii="宋体" w:hAnsi="宋体"/>
                <w:color w:val="auto"/>
                <w:sz w:val="24"/>
                <w:highlight w:val="none"/>
                <w:lang w:val="en-US" w:eastAsia="zh-CN"/>
              </w:rPr>
              <w:t>合同主要内容</w:t>
            </w:r>
          </w:p>
        </w:tc>
        <w:tc>
          <w:tcPr>
            <w:tcW w:w="685" w:type="pct"/>
            <w:tcBorders>
              <w:top w:val="single" w:color="auto" w:sz="4" w:space="0"/>
              <w:left w:val="single" w:color="auto" w:sz="4" w:space="0"/>
              <w:bottom w:val="single" w:color="auto" w:sz="4" w:space="0"/>
              <w:right w:val="single" w:color="auto" w:sz="4" w:space="0"/>
            </w:tcBorders>
            <w:noWrap w:val="0"/>
            <w:vAlign w:val="center"/>
          </w:tcPr>
          <w:p w14:paraId="1ABD9C53">
            <w:pPr>
              <w:snapToGrid w:val="0"/>
              <w:spacing w:line="240" w:lineRule="auto"/>
              <w:jc w:val="center"/>
              <w:rPr>
                <w:rFonts w:hint="eastAsia" w:ascii="宋体" w:hAnsi="宋体"/>
                <w:color w:val="auto"/>
                <w:sz w:val="24"/>
                <w:highlight w:val="none"/>
              </w:rPr>
            </w:pPr>
            <w:r>
              <w:rPr>
                <w:rFonts w:hint="eastAsia" w:ascii="宋体" w:hAnsi="宋体"/>
                <w:color w:val="auto"/>
                <w:sz w:val="24"/>
                <w:highlight w:val="none"/>
              </w:rPr>
              <w:t>合同金额（万元）</w:t>
            </w:r>
          </w:p>
        </w:tc>
        <w:tc>
          <w:tcPr>
            <w:tcW w:w="676" w:type="pct"/>
            <w:tcBorders>
              <w:top w:val="single" w:color="auto" w:sz="4" w:space="0"/>
              <w:left w:val="single" w:color="auto" w:sz="4" w:space="0"/>
              <w:bottom w:val="single" w:color="auto" w:sz="4" w:space="0"/>
              <w:right w:val="single" w:color="auto" w:sz="4" w:space="0"/>
            </w:tcBorders>
            <w:noWrap w:val="0"/>
            <w:vAlign w:val="center"/>
          </w:tcPr>
          <w:p w14:paraId="5F97876C">
            <w:pPr>
              <w:snapToGrid w:val="0"/>
              <w:spacing w:line="240" w:lineRule="auto"/>
              <w:jc w:val="center"/>
              <w:rPr>
                <w:rFonts w:hint="default" w:ascii="宋体" w:hAnsi="宋体" w:eastAsia="宋体"/>
                <w:color w:val="auto"/>
                <w:sz w:val="24"/>
                <w:highlight w:val="none"/>
                <w:lang w:val="en-US" w:eastAsia="zh-CN"/>
              </w:rPr>
            </w:pPr>
            <w:r>
              <w:rPr>
                <w:rFonts w:hint="eastAsia" w:ascii="宋体" w:hAnsi="宋体"/>
                <w:color w:val="auto"/>
                <w:sz w:val="24"/>
                <w:highlight w:val="none"/>
                <w:lang w:val="en-US" w:eastAsia="zh-CN"/>
              </w:rPr>
              <w:t>合同签订时间</w:t>
            </w:r>
          </w:p>
        </w:tc>
        <w:tc>
          <w:tcPr>
            <w:tcW w:w="860" w:type="pct"/>
            <w:tcBorders>
              <w:top w:val="single" w:color="auto" w:sz="4" w:space="0"/>
              <w:left w:val="single" w:color="auto" w:sz="4" w:space="0"/>
              <w:bottom w:val="single" w:color="auto" w:sz="4" w:space="0"/>
              <w:right w:val="single" w:color="auto" w:sz="4" w:space="0"/>
            </w:tcBorders>
            <w:noWrap w:val="0"/>
            <w:vAlign w:val="center"/>
          </w:tcPr>
          <w:p w14:paraId="515CB758">
            <w:pPr>
              <w:snapToGrid w:val="0"/>
              <w:spacing w:line="240" w:lineRule="auto"/>
              <w:jc w:val="center"/>
              <w:rPr>
                <w:rFonts w:hint="eastAsia" w:ascii="宋体" w:hAnsi="宋体"/>
                <w:color w:val="auto"/>
                <w:sz w:val="24"/>
                <w:highlight w:val="none"/>
              </w:rPr>
            </w:pPr>
            <w:r>
              <w:rPr>
                <w:rFonts w:hint="eastAsia" w:ascii="宋体" w:hAnsi="宋体"/>
                <w:color w:val="auto"/>
                <w:sz w:val="24"/>
                <w:highlight w:val="none"/>
              </w:rPr>
              <w:t>采购人联系人及联系电话</w:t>
            </w:r>
          </w:p>
        </w:tc>
      </w:tr>
      <w:tr w14:paraId="09EC76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934" w:type="pct"/>
            <w:tcBorders>
              <w:top w:val="single" w:color="auto" w:sz="4" w:space="0"/>
              <w:left w:val="single" w:color="auto" w:sz="4" w:space="0"/>
              <w:bottom w:val="single" w:color="auto" w:sz="4" w:space="0"/>
              <w:right w:val="single" w:color="auto" w:sz="4" w:space="0"/>
            </w:tcBorders>
            <w:noWrap w:val="0"/>
            <w:vAlign w:val="top"/>
          </w:tcPr>
          <w:p w14:paraId="2D61241C">
            <w:pPr>
              <w:snapToGrid w:val="0"/>
              <w:spacing w:line="240" w:lineRule="exact"/>
              <w:jc w:val="left"/>
              <w:rPr>
                <w:rFonts w:hint="eastAsia" w:ascii="宋体" w:hAnsi="宋体"/>
                <w:color w:val="auto"/>
                <w:sz w:val="24"/>
                <w:highlight w:val="none"/>
              </w:rPr>
            </w:pPr>
          </w:p>
        </w:tc>
        <w:tc>
          <w:tcPr>
            <w:tcW w:w="952" w:type="pct"/>
            <w:tcBorders>
              <w:top w:val="single" w:color="auto" w:sz="4" w:space="0"/>
              <w:left w:val="single" w:color="auto" w:sz="4" w:space="0"/>
              <w:bottom w:val="single" w:color="auto" w:sz="4" w:space="0"/>
              <w:right w:val="single" w:color="auto" w:sz="4" w:space="0"/>
            </w:tcBorders>
            <w:noWrap w:val="0"/>
            <w:vAlign w:val="top"/>
          </w:tcPr>
          <w:p w14:paraId="08D17703">
            <w:pPr>
              <w:snapToGrid w:val="0"/>
              <w:spacing w:line="240" w:lineRule="exact"/>
              <w:jc w:val="left"/>
              <w:rPr>
                <w:rFonts w:hint="eastAsia" w:ascii="宋体" w:hAnsi="宋体"/>
                <w:color w:val="auto"/>
                <w:sz w:val="24"/>
                <w:highlight w:val="none"/>
              </w:rPr>
            </w:pPr>
          </w:p>
        </w:tc>
        <w:tc>
          <w:tcPr>
            <w:tcW w:w="890" w:type="pct"/>
            <w:tcBorders>
              <w:top w:val="single" w:color="auto" w:sz="4" w:space="0"/>
              <w:left w:val="single" w:color="auto" w:sz="4" w:space="0"/>
              <w:bottom w:val="single" w:color="auto" w:sz="4" w:space="0"/>
              <w:right w:val="single" w:color="auto" w:sz="4" w:space="0"/>
            </w:tcBorders>
            <w:noWrap w:val="0"/>
            <w:vAlign w:val="top"/>
          </w:tcPr>
          <w:p w14:paraId="272505EB">
            <w:pPr>
              <w:snapToGrid w:val="0"/>
              <w:spacing w:line="240" w:lineRule="exact"/>
              <w:jc w:val="left"/>
              <w:rPr>
                <w:rFonts w:hint="eastAsia" w:ascii="宋体" w:hAnsi="宋体"/>
                <w:color w:val="auto"/>
                <w:sz w:val="24"/>
                <w:highlight w:val="none"/>
              </w:rPr>
            </w:pPr>
          </w:p>
        </w:tc>
        <w:tc>
          <w:tcPr>
            <w:tcW w:w="685" w:type="pct"/>
            <w:tcBorders>
              <w:top w:val="single" w:color="auto" w:sz="4" w:space="0"/>
              <w:left w:val="single" w:color="auto" w:sz="4" w:space="0"/>
              <w:bottom w:val="single" w:color="auto" w:sz="4" w:space="0"/>
              <w:right w:val="single" w:color="auto" w:sz="4" w:space="0"/>
            </w:tcBorders>
            <w:noWrap w:val="0"/>
            <w:vAlign w:val="top"/>
          </w:tcPr>
          <w:p w14:paraId="6D11D196">
            <w:pPr>
              <w:snapToGrid w:val="0"/>
              <w:spacing w:line="240" w:lineRule="exact"/>
              <w:jc w:val="left"/>
              <w:rPr>
                <w:rFonts w:hint="eastAsia" w:ascii="宋体" w:hAnsi="宋体"/>
                <w:color w:val="auto"/>
                <w:sz w:val="24"/>
                <w:highlight w:val="none"/>
              </w:rPr>
            </w:pPr>
          </w:p>
        </w:tc>
        <w:tc>
          <w:tcPr>
            <w:tcW w:w="676" w:type="pct"/>
            <w:tcBorders>
              <w:top w:val="single" w:color="auto" w:sz="4" w:space="0"/>
              <w:left w:val="single" w:color="auto" w:sz="4" w:space="0"/>
              <w:bottom w:val="single" w:color="auto" w:sz="4" w:space="0"/>
              <w:right w:val="single" w:color="auto" w:sz="4" w:space="0"/>
            </w:tcBorders>
            <w:noWrap w:val="0"/>
            <w:vAlign w:val="top"/>
          </w:tcPr>
          <w:p w14:paraId="06966BE6">
            <w:pPr>
              <w:snapToGrid w:val="0"/>
              <w:spacing w:line="240" w:lineRule="exact"/>
              <w:jc w:val="left"/>
              <w:rPr>
                <w:rFonts w:hint="eastAsia" w:ascii="宋体" w:hAnsi="宋体"/>
                <w:color w:val="auto"/>
                <w:sz w:val="24"/>
                <w:highlight w:val="none"/>
              </w:rPr>
            </w:pPr>
          </w:p>
        </w:tc>
        <w:tc>
          <w:tcPr>
            <w:tcW w:w="860" w:type="pct"/>
            <w:tcBorders>
              <w:top w:val="single" w:color="auto" w:sz="4" w:space="0"/>
              <w:left w:val="single" w:color="auto" w:sz="4" w:space="0"/>
              <w:bottom w:val="single" w:color="auto" w:sz="4" w:space="0"/>
              <w:right w:val="single" w:color="auto" w:sz="4" w:space="0"/>
            </w:tcBorders>
            <w:noWrap w:val="0"/>
            <w:vAlign w:val="top"/>
          </w:tcPr>
          <w:p w14:paraId="33F066C0">
            <w:pPr>
              <w:snapToGrid w:val="0"/>
              <w:spacing w:line="240" w:lineRule="exact"/>
              <w:jc w:val="left"/>
              <w:rPr>
                <w:rFonts w:hint="eastAsia" w:ascii="宋体" w:hAnsi="宋体"/>
                <w:color w:val="auto"/>
                <w:sz w:val="24"/>
                <w:highlight w:val="none"/>
              </w:rPr>
            </w:pPr>
          </w:p>
        </w:tc>
      </w:tr>
      <w:tr w14:paraId="723383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34" w:type="pct"/>
            <w:tcBorders>
              <w:top w:val="single" w:color="auto" w:sz="4" w:space="0"/>
              <w:left w:val="single" w:color="auto" w:sz="4" w:space="0"/>
              <w:bottom w:val="single" w:color="auto" w:sz="4" w:space="0"/>
              <w:right w:val="single" w:color="auto" w:sz="4" w:space="0"/>
            </w:tcBorders>
            <w:noWrap w:val="0"/>
            <w:vAlign w:val="top"/>
          </w:tcPr>
          <w:p w14:paraId="7BC825F1">
            <w:pPr>
              <w:snapToGrid w:val="0"/>
              <w:spacing w:before="50" w:after="120" w:afterLines="50" w:line="400" w:lineRule="exact"/>
              <w:jc w:val="left"/>
              <w:rPr>
                <w:rFonts w:hint="eastAsia" w:ascii="宋体" w:hAnsi="宋体"/>
                <w:color w:val="auto"/>
                <w:sz w:val="24"/>
                <w:highlight w:val="none"/>
              </w:rPr>
            </w:pPr>
          </w:p>
        </w:tc>
        <w:tc>
          <w:tcPr>
            <w:tcW w:w="952" w:type="pct"/>
            <w:tcBorders>
              <w:top w:val="single" w:color="auto" w:sz="4" w:space="0"/>
              <w:left w:val="single" w:color="auto" w:sz="4" w:space="0"/>
              <w:bottom w:val="single" w:color="auto" w:sz="4" w:space="0"/>
              <w:right w:val="single" w:color="auto" w:sz="4" w:space="0"/>
            </w:tcBorders>
            <w:noWrap w:val="0"/>
            <w:vAlign w:val="top"/>
          </w:tcPr>
          <w:p w14:paraId="520DA51E">
            <w:pPr>
              <w:snapToGrid w:val="0"/>
              <w:spacing w:before="50" w:after="120" w:afterLines="50" w:line="400" w:lineRule="exact"/>
              <w:jc w:val="left"/>
              <w:rPr>
                <w:rFonts w:hint="eastAsia" w:ascii="宋体" w:hAnsi="宋体"/>
                <w:color w:val="auto"/>
                <w:sz w:val="24"/>
                <w:highlight w:val="none"/>
              </w:rPr>
            </w:pPr>
          </w:p>
        </w:tc>
        <w:tc>
          <w:tcPr>
            <w:tcW w:w="890" w:type="pct"/>
            <w:tcBorders>
              <w:top w:val="single" w:color="auto" w:sz="4" w:space="0"/>
              <w:left w:val="single" w:color="auto" w:sz="4" w:space="0"/>
              <w:bottom w:val="single" w:color="auto" w:sz="4" w:space="0"/>
              <w:right w:val="single" w:color="auto" w:sz="4" w:space="0"/>
            </w:tcBorders>
            <w:noWrap w:val="0"/>
            <w:vAlign w:val="top"/>
          </w:tcPr>
          <w:p w14:paraId="71C0D39C">
            <w:pPr>
              <w:snapToGrid w:val="0"/>
              <w:spacing w:before="50" w:after="120" w:afterLines="50" w:line="400" w:lineRule="exact"/>
              <w:jc w:val="left"/>
              <w:rPr>
                <w:rFonts w:hint="eastAsia" w:ascii="宋体" w:hAnsi="宋体"/>
                <w:color w:val="auto"/>
                <w:sz w:val="24"/>
                <w:highlight w:val="none"/>
              </w:rPr>
            </w:pPr>
          </w:p>
        </w:tc>
        <w:tc>
          <w:tcPr>
            <w:tcW w:w="685" w:type="pct"/>
            <w:tcBorders>
              <w:top w:val="single" w:color="auto" w:sz="4" w:space="0"/>
              <w:left w:val="single" w:color="auto" w:sz="4" w:space="0"/>
              <w:bottom w:val="single" w:color="auto" w:sz="4" w:space="0"/>
              <w:right w:val="single" w:color="auto" w:sz="4" w:space="0"/>
            </w:tcBorders>
            <w:noWrap w:val="0"/>
            <w:vAlign w:val="top"/>
          </w:tcPr>
          <w:p w14:paraId="16A6F51C">
            <w:pPr>
              <w:snapToGrid w:val="0"/>
              <w:spacing w:before="50" w:after="120" w:afterLines="50" w:line="400" w:lineRule="exact"/>
              <w:jc w:val="left"/>
              <w:rPr>
                <w:rFonts w:hint="eastAsia" w:ascii="宋体" w:hAnsi="宋体"/>
                <w:color w:val="auto"/>
                <w:sz w:val="24"/>
                <w:highlight w:val="none"/>
              </w:rPr>
            </w:pPr>
          </w:p>
        </w:tc>
        <w:tc>
          <w:tcPr>
            <w:tcW w:w="676" w:type="pct"/>
            <w:tcBorders>
              <w:top w:val="single" w:color="auto" w:sz="4" w:space="0"/>
              <w:left w:val="single" w:color="auto" w:sz="4" w:space="0"/>
              <w:bottom w:val="single" w:color="auto" w:sz="4" w:space="0"/>
              <w:right w:val="single" w:color="auto" w:sz="4" w:space="0"/>
            </w:tcBorders>
            <w:noWrap w:val="0"/>
            <w:vAlign w:val="top"/>
          </w:tcPr>
          <w:p w14:paraId="0BD4A333">
            <w:pPr>
              <w:snapToGrid w:val="0"/>
              <w:spacing w:before="50" w:after="120" w:afterLines="50" w:line="400" w:lineRule="exact"/>
              <w:jc w:val="left"/>
              <w:rPr>
                <w:rFonts w:hint="eastAsia" w:ascii="宋体" w:hAnsi="宋体"/>
                <w:color w:val="auto"/>
                <w:sz w:val="24"/>
                <w:highlight w:val="none"/>
              </w:rPr>
            </w:pPr>
          </w:p>
        </w:tc>
        <w:tc>
          <w:tcPr>
            <w:tcW w:w="860" w:type="pct"/>
            <w:tcBorders>
              <w:top w:val="single" w:color="auto" w:sz="4" w:space="0"/>
              <w:left w:val="single" w:color="auto" w:sz="4" w:space="0"/>
              <w:bottom w:val="single" w:color="auto" w:sz="4" w:space="0"/>
              <w:right w:val="single" w:color="auto" w:sz="4" w:space="0"/>
            </w:tcBorders>
            <w:noWrap w:val="0"/>
            <w:vAlign w:val="top"/>
          </w:tcPr>
          <w:p w14:paraId="1E3B1B6C">
            <w:pPr>
              <w:snapToGrid w:val="0"/>
              <w:spacing w:before="50" w:after="120" w:afterLines="50" w:line="400" w:lineRule="exact"/>
              <w:jc w:val="left"/>
              <w:rPr>
                <w:rFonts w:hint="eastAsia" w:ascii="宋体" w:hAnsi="宋体"/>
                <w:color w:val="auto"/>
                <w:sz w:val="24"/>
                <w:highlight w:val="none"/>
              </w:rPr>
            </w:pPr>
          </w:p>
        </w:tc>
      </w:tr>
      <w:tr w14:paraId="0C32EB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934" w:type="pct"/>
            <w:tcBorders>
              <w:top w:val="single" w:color="auto" w:sz="4" w:space="0"/>
              <w:left w:val="single" w:color="auto" w:sz="4" w:space="0"/>
              <w:bottom w:val="single" w:color="auto" w:sz="4" w:space="0"/>
              <w:right w:val="single" w:color="auto" w:sz="4" w:space="0"/>
            </w:tcBorders>
            <w:noWrap w:val="0"/>
            <w:vAlign w:val="top"/>
          </w:tcPr>
          <w:p w14:paraId="1F67E5C4">
            <w:pPr>
              <w:snapToGrid w:val="0"/>
              <w:spacing w:before="50" w:after="120" w:afterLines="50" w:line="400" w:lineRule="exact"/>
              <w:jc w:val="left"/>
              <w:rPr>
                <w:rFonts w:hint="eastAsia" w:ascii="宋体" w:hAnsi="宋体"/>
                <w:color w:val="auto"/>
                <w:sz w:val="24"/>
                <w:highlight w:val="none"/>
              </w:rPr>
            </w:pPr>
          </w:p>
        </w:tc>
        <w:tc>
          <w:tcPr>
            <w:tcW w:w="952" w:type="pct"/>
            <w:tcBorders>
              <w:top w:val="single" w:color="auto" w:sz="4" w:space="0"/>
              <w:left w:val="single" w:color="auto" w:sz="4" w:space="0"/>
              <w:bottom w:val="single" w:color="auto" w:sz="4" w:space="0"/>
              <w:right w:val="single" w:color="auto" w:sz="4" w:space="0"/>
            </w:tcBorders>
            <w:noWrap w:val="0"/>
            <w:vAlign w:val="top"/>
          </w:tcPr>
          <w:p w14:paraId="04F3E7CC">
            <w:pPr>
              <w:snapToGrid w:val="0"/>
              <w:spacing w:before="50" w:after="120" w:afterLines="50" w:line="400" w:lineRule="exact"/>
              <w:jc w:val="left"/>
              <w:rPr>
                <w:rFonts w:hint="eastAsia" w:ascii="宋体" w:hAnsi="宋体"/>
                <w:color w:val="auto"/>
                <w:sz w:val="24"/>
                <w:highlight w:val="none"/>
              </w:rPr>
            </w:pPr>
          </w:p>
        </w:tc>
        <w:tc>
          <w:tcPr>
            <w:tcW w:w="890" w:type="pct"/>
            <w:tcBorders>
              <w:top w:val="single" w:color="auto" w:sz="4" w:space="0"/>
              <w:left w:val="single" w:color="auto" w:sz="4" w:space="0"/>
              <w:bottom w:val="single" w:color="auto" w:sz="4" w:space="0"/>
              <w:right w:val="single" w:color="auto" w:sz="4" w:space="0"/>
            </w:tcBorders>
            <w:noWrap w:val="0"/>
            <w:vAlign w:val="top"/>
          </w:tcPr>
          <w:p w14:paraId="1C52ECEC">
            <w:pPr>
              <w:snapToGrid w:val="0"/>
              <w:spacing w:before="50" w:after="120" w:afterLines="50" w:line="400" w:lineRule="exact"/>
              <w:jc w:val="left"/>
              <w:rPr>
                <w:rFonts w:hint="eastAsia" w:ascii="宋体" w:hAnsi="宋体"/>
                <w:color w:val="auto"/>
                <w:sz w:val="24"/>
                <w:highlight w:val="none"/>
              </w:rPr>
            </w:pPr>
          </w:p>
        </w:tc>
        <w:tc>
          <w:tcPr>
            <w:tcW w:w="685" w:type="pct"/>
            <w:tcBorders>
              <w:top w:val="single" w:color="auto" w:sz="4" w:space="0"/>
              <w:left w:val="single" w:color="auto" w:sz="4" w:space="0"/>
              <w:bottom w:val="single" w:color="auto" w:sz="4" w:space="0"/>
              <w:right w:val="single" w:color="auto" w:sz="4" w:space="0"/>
            </w:tcBorders>
            <w:noWrap w:val="0"/>
            <w:vAlign w:val="top"/>
          </w:tcPr>
          <w:p w14:paraId="78C0189E">
            <w:pPr>
              <w:snapToGrid w:val="0"/>
              <w:spacing w:before="50" w:after="120" w:afterLines="50" w:line="400" w:lineRule="exact"/>
              <w:jc w:val="left"/>
              <w:rPr>
                <w:rFonts w:hint="eastAsia" w:ascii="宋体" w:hAnsi="宋体"/>
                <w:color w:val="auto"/>
                <w:sz w:val="24"/>
                <w:highlight w:val="none"/>
              </w:rPr>
            </w:pPr>
          </w:p>
        </w:tc>
        <w:tc>
          <w:tcPr>
            <w:tcW w:w="676" w:type="pct"/>
            <w:tcBorders>
              <w:top w:val="single" w:color="auto" w:sz="4" w:space="0"/>
              <w:left w:val="single" w:color="auto" w:sz="4" w:space="0"/>
              <w:bottom w:val="single" w:color="auto" w:sz="4" w:space="0"/>
              <w:right w:val="single" w:color="auto" w:sz="4" w:space="0"/>
            </w:tcBorders>
            <w:noWrap w:val="0"/>
            <w:vAlign w:val="top"/>
          </w:tcPr>
          <w:p w14:paraId="60A5A3A4">
            <w:pPr>
              <w:snapToGrid w:val="0"/>
              <w:spacing w:before="50" w:after="120" w:afterLines="50" w:line="400" w:lineRule="exact"/>
              <w:jc w:val="left"/>
              <w:rPr>
                <w:rFonts w:hint="eastAsia" w:ascii="宋体" w:hAnsi="宋体"/>
                <w:color w:val="auto"/>
                <w:sz w:val="24"/>
                <w:highlight w:val="none"/>
              </w:rPr>
            </w:pPr>
          </w:p>
        </w:tc>
        <w:tc>
          <w:tcPr>
            <w:tcW w:w="860" w:type="pct"/>
            <w:tcBorders>
              <w:top w:val="single" w:color="auto" w:sz="4" w:space="0"/>
              <w:left w:val="single" w:color="auto" w:sz="4" w:space="0"/>
              <w:bottom w:val="single" w:color="auto" w:sz="4" w:space="0"/>
              <w:right w:val="single" w:color="auto" w:sz="4" w:space="0"/>
            </w:tcBorders>
            <w:noWrap w:val="0"/>
            <w:vAlign w:val="top"/>
          </w:tcPr>
          <w:p w14:paraId="183F1B5E">
            <w:pPr>
              <w:snapToGrid w:val="0"/>
              <w:spacing w:before="50" w:after="120" w:afterLines="50" w:line="400" w:lineRule="exact"/>
              <w:jc w:val="left"/>
              <w:rPr>
                <w:rFonts w:hint="eastAsia" w:ascii="宋体" w:hAnsi="宋体"/>
                <w:color w:val="auto"/>
                <w:sz w:val="24"/>
                <w:highlight w:val="none"/>
              </w:rPr>
            </w:pPr>
          </w:p>
        </w:tc>
      </w:tr>
      <w:tr w14:paraId="42DD3D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34" w:type="pct"/>
            <w:tcBorders>
              <w:top w:val="single" w:color="auto" w:sz="4" w:space="0"/>
              <w:left w:val="single" w:color="auto" w:sz="4" w:space="0"/>
              <w:bottom w:val="single" w:color="auto" w:sz="4" w:space="0"/>
              <w:right w:val="single" w:color="auto" w:sz="4" w:space="0"/>
            </w:tcBorders>
            <w:noWrap w:val="0"/>
            <w:vAlign w:val="top"/>
          </w:tcPr>
          <w:p w14:paraId="0FC46F78">
            <w:pPr>
              <w:snapToGrid w:val="0"/>
              <w:spacing w:before="50" w:after="120" w:afterLines="50" w:line="400" w:lineRule="exact"/>
              <w:jc w:val="left"/>
              <w:rPr>
                <w:rFonts w:hint="eastAsia" w:ascii="宋体" w:hAnsi="宋体"/>
                <w:color w:val="auto"/>
                <w:sz w:val="24"/>
                <w:highlight w:val="none"/>
              </w:rPr>
            </w:pPr>
          </w:p>
        </w:tc>
        <w:tc>
          <w:tcPr>
            <w:tcW w:w="952" w:type="pct"/>
            <w:tcBorders>
              <w:top w:val="single" w:color="auto" w:sz="4" w:space="0"/>
              <w:left w:val="single" w:color="auto" w:sz="4" w:space="0"/>
              <w:bottom w:val="single" w:color="auto" w:sz="4" w:space="0"/>
              <w:right w:val="single" w:color="auto" w:sz="4" w:space="0"/>
            </w:tcBorders>
            <w:noWrap w:val="0"/>
            <w:vAlign w:val="top"/>
          </w:tcPr>
          <w:p w14:paraId="19F31FA3">
            <w:pPr>
              <w:snapToGrid w:val="0"/>
              <w:spacing w:before="50" w:after="120" w:afterLines="50" w:line="400" w:lineRule="exact"/>
              <w:jc w:val="left"/>
              <w:rPr>
                <w:rFonts w:hint="eastAsia" w:ascii="宋体" w:hAnsi="宋体"/>
                <w:color w:val="auto"/>
                <w:sz w:val="24"/>
                <w:highlight w:val="none"/>
              </w:rPr>
            </w:pPr>
          </w:p>
        </w:tc>
        <w:tc>
          <w:tcPr>
            <w:tcW w:w="890" w:type="pct"/>
            <w:tcBorders>
              <w:top w:val="single" w:color="auto" w:sz="4" w:space="0"/>
              <w:left w:val="single" w:color="auto" w:sz="4" w:space="0"/>
              <w:bottom w:val="single" w:color="auto" w:sz="4" w:space="0"/>
              <w:right w:val="single" w:color="auto" w:sz="4" w:space="0"/>
            </w:tcBorders>
            <w:noWrap w:val="0"/>
            <w:vAlign w:val="top"/>
          </w:tcPr>
          <w:p w14:paraId="0C37041D">
            <w:pPr>
              <w:snapToGrid w:val="0"/>
              <w:spacing w:before="50" w:after="120" w:afterLines="50" w:line="400" w:lineRule="exact"/>
              <w:jc w:val="left"/>
              <w:rPr>
                <w:rFonts w:hint="eastAsia" w:ascii="宋体" w:hAnsi="宋体"/>
                <w:color w:val="auto"/>
                <w:sz w:val="24"/>
                <w:highlight w:val="none"/>
              </w:rPr>
            </w:pPr>
          </w:p>
        </w:tc>
        <w:tc>
          <w:tcPr>
            <w:tcW w:w="685" w:type="pct"/>
            <w:tcBorders>
              <w:top w:val="single" w:color="auto" w:sz="4" w:space="0"/>
              <w:left w:val="single" w:color="auto" w:sz="4" w:space="0"/>
              <w:bottom w:val="single" w:color="auto" w:sz="4" w:space="0"/>
              <w:right w:val="single" w:color="auto" w:sz="4" w:space="0"/>
            </w:tcBorders>
            <w:noWrap w:val="0"/>
            <w:vAlign w:val="top"/>
          </w:tcPr>
          <w:p w14:paraId="20397467">
            <w:pPr>
              <w:snapToGrid w:val="0"/>
              <w:spacing w:before="50" w:after="120" w:afterLines="50" w:line="400" w:lineRule="exact"/>
              <w:jc w:val="left"/>
              <w:rPr>
                <w:rFonts w:hint="eastAsia" w:ascii="宋体" w:hAnsi="宋体"/>
                <w:color w:val="auto"/>
                <w:sz w:val="24"/>
                <w:highlight w:val="none"/>
              </w:rPr>
            </w:pPr>
          </w:p>
        </w:tc>
        <w:tc>
          <w:tcPr>
            <w:tcW w:w="676" w:type="pct"/>
            <w:tcBorders>
              <w:top w:val="single" w:color="auto" w:sz="4" w:space="0"/>
              <w:left w:val="single" w:color="auto" w:sz="4" w:space="0"/>
              <w:bottom w:val="single" w:color="auto" w:sz="4" w:space="0"/>
              <w:right w:val="single" w:color="auto" w:sz="4" w:space="0"/>
            </w:tcBorders>
            <w:noWrap w:val="0"/>
            <w:vAlign w:val="top"/>
          </w:tcPr>
          <w:p w14:paraId="6AF4CA71">
            <w:pPr>
              <w:snapToGrid w:val="0"/>
              <w:spacing w:before="50" w:after="120" w:afterLines="50" w:line="400" w:lineRule="exact"/>
              <w:jc w:val="left"/>
              <w:rPr>
                <w:rFonts w:hint="eastAsia" w:ascii="宋体" w:hAnsi="宋体"/>
                <w:color w:val="auto"/>
                <w:sz w:val="24"/>
                <w:highlight w:val="none"/>
              </w:rPr>
            </w:pPr>
          </w:p>
        </w:tc>
        <w:tc>
          <w:tcPr>
            <w:tcW w:w="860" w:type="pct"/>
            <w:tcBorders>
              <w:top w:val="single" w:color="auto" w:sz="4" w:space="0"/>
              <w:left w:val="single" w:color="auto" w:sz="4" w:space="0"/>
              <w:bottom w:val="single" w:color="auto" w:sz="4" w:space="0"/>
              <w:right w:val="single" w:color="auto" w:sz="4" w:space="0"/>
            </w:tcBorders>
            <w:noWrap w:val="0"/>
            <w:vAlign w:val="top"/>
          </w:tcPr>
          <w:p w14:paraId="4F5C47D6">
            <w:pPr>
              <w:snapToGrid w:val="0"/>
              <w:spacing w:before="50" w:after="120" w:afterLines="50" w:line="400" w:lineRule="exact"/>
              <w:jc w:val="left"/>
              <w:rPr>
                <w:rFonts w:hint="eastAsia" w:ascii="宋体" w:hAnsi="宋体"/>
                <w:color w:val="auto"/>
                <w:sz w:val="24"/>
                <w:highlight w:val="none"/>
              </w:rPr>
            </w:pPr>
          </w:p>
        </w:tc>
      </w:tr>
      <w:tr w14:paraId="69C647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34" w:type="pct"/>
            <w:tcBorders>
              <w:top w:val="single" w:color="auto" w:sz="4" w:space="0"/>
              <w:left w:val="single" w:color="auto" w:sz="4" w:space="0"/>
              <w:bottom w:val="single" w:color="auto" w:sz="4" w:space="0"/>
              <w:right w:val="single" w:color="auto" w:sz="4" w:space="0"/>
            </w:tcBorders>
            <w:noWrap w:val="0"/>
            <w:vAlign w:val="top"/>
          </w:tcPr>
          <w:p w14:paraId="1FC703A0">
            <w:pPr>
              <w:snapToGrid w:val="0"/>
              <w:spacing w:before="50" w:after="120" w:afterLines="50" w:line="400" w:lineRule="exact"/>
              <w:jc w:val="left"/>
              <w:rPr>
                <w:rFonts w:hint="eastAsia" w:ascii="宋体" w:hAnsi="宋体"/>
                <w:color w:val="auto"/>
                <w:sz w:val="24"/>
                <w:highlight w:val="none"/>
              </w:rPr>
            </w:pPr>
          </w:p>
        </w:tc>
        <w:tc>
          <w:tcPr>
            <w:tcW w:w="952" w:type="pct"/>
            <w:tcBorders>
              <w:top w:val="single" w:color="auto" w:sz="4" w:space="0"/>
              <w:left w:val="single" w:color="auto" w:sz="4" w:space="0"/>
              <w:bottom w:val="single" w:color="auto" w:sz="4" w:space="0"/>
              <w:right w:val="single" w:color="auto" w:sz="4" w:space="0"/>
            </w:tcBorders>
            <w:noWrap w:val="0"/>
            <w:vAlign w:val="top"/>
          </w:tcPr>
          <w:p w14:paraId="376ECAAA">
            <w:pPr>
              <w:snapToGrid w:val="0"/>
              <w:spacing w:before="50" w:after="120" w:afterLines="50" w:line="400" w:lineRule="exact"/>
              <w:jc w:val="left"/>
              <w:rPr>
                <w:rFonts w:hint="eastAsia" w:ascii="宋体" w:hAnsi="宋体"/>
                <w:color w:val="auto"/>
                <w:sz w:val="24"/>
                <w:highlight w:val="none"/>
              </w:rPr>
            </w:pPr>
          </w:p>
        </w:tc>
        <w:tc>
          <w:tcPr>
            <w:tcW w:w="890" w:type="pct"/>
            <w:tcBorders>
              <w:top w:val="single" w:color="auto" w:sz="4" w:space="0"/>
              <w:left w:val="single" w:color="auto" w:sz="4" w:space="0"/>
              <w:bottom w:val="single" w:color="auto" w:sz="4" w:space="0"/>
              <w:right w:val="single" w:color="auto" w:sz="4" w:space="0"/>
            </w:tcBorders>
            <w:noWrap w:val="0"/>
            <w:vAlign w:val="top"/>
          </w:tcPr>
          <w:p w14:paraId="379DE2F5">
            <w:pPr>
              <w:snapToGrid w:val="0"/>
              <w:spacing w:before="50" w:after="120" w:afterLines="50" w:line="400" w:lineRule="exact"/>
              <w:jc w:val="left"/>
              <w:rPr>
                <w:rFonts w:hint="eastAsia" w:ascii="宋体" w:hAnsi="宋体"/>
                <w:color w:val="auto"/>
                <w:sz w:val="24"/>
                <w:highlight w:val="none"/>
              </w:rPr>
            </w:pPr>
          </w:p>
        </w:tc>
        <w:tc>
          <w:tcPr>
            <w:tcW w:w="685" w:type="pct"/>
            <w:tcBorders>
              <w:top w:val="single" w:color="auto" w:sz="4" w:space="0"/>
              <w:left w:val="single" w:color="auto" w:sz="4" w:space="0"/>
              <w:bottom w:val="single" w:color="auto" w:sz="4" w:space="0"/>
              <w:right w:val="single" w:color="auto" w:sz="4" w:space="0"/>
            </w:tcBorders>
            <w:noWrap w:val="0"/>
            <w:vAlign w:val="top"/>
          </w:tcPr>
          <w:p w14:paraId="6F4A6767">
            <w:pPr>
              <w:snapToGrid w:val="0"/>
              <w:spacing w:before="50" w:after="120" w:afterLines="50" w:line="400" w:lineRule="exact"/>
              <w:jc w:val="left"/>
              <w:rPr>
                <w:rFonts w:hint="eastAsia" w:ascii="宋体" w:hAnsi="宋体"/>
                <w:color w:val="auto"/>
                <w:sz w:val="24"/>
                <w:highlight w:val="none"/>
              </w:rPr>
            </w:pPr>
          </w:p>
        </w:tc>
        <w:tc>
          <w:tcPr>
            <w:tcW w:w="676" w:type="pct"/>
            <w:tcBorders>
              <w:top w:val="single" w:color="auto" w:sz="4" w:space="0"/>
              <w:left w:val="single" w:color="auto" w:sz="4" w:space="0"/>
              <w:bottom w:val="single" w:color="auto" w:sz="4" w:space="0"/>
              <w:right w:val="single" w:color="auto" w:sz="4" w:space="0"/>
            </w:tcBorders>
            <w:noWrap w:val="0"/>
            <w:vAlign w:val="top"/>
          </w:tcPr>
          <w:p w14:paraId="245E21EB">
            <w:pPr>
              <w:snapToGrid w:val="0"/>
              <w:spacing w:before="50" w:after="120" w:afterLines="50" w:line="400" w:lineRule="exact"/>
              <w:jc w:val="left"/>
              <w:rPr>
                <w:rFonts w:hint="eastAsia" w:ascii="宋体" w:hAnsi="宋体"/>
                <w:color w:val="auto"/>
                <w:sz w:val="24"/>
                <w:highlight w:val="none"/>
              </w:rPr>
            </w:pPr>
          </w:p>
        </w:tc>
        <w:tc>
          <w:tcPr>
            <w:tcW w:w="860" w:type="pct"/>
            <w:tcBorders>
              <w:top w:val="single" w:color="auto" w:sz="4" w:space="0"/>
              <w:left w:val="single" w:color="auto" w:sz="4" w:space="0"/>
              <w:bottom w:val="single" w:color="auto" w:sz="4" w:space="0"/>
              <w:right w:val="single" w:color="auto" w:sz="4" w:space="0"/>
            </w:tcBorders>
            <w:noWrap w:val="0"/>
            <w:vAlign w:val="top"/>
          </w:tcPr>
          <w:p w14:paraId="7EC51249">
            <w:pPr>
              <w:snapToGrid w:val="0"/>
              <w:spacing w:before="50" w:after="120" w:afterLines="50" w:line="400" w:lineRule="exact"/>
              <w:jc w:val="left"/>
              <w:rPr>
                <w:rFonts w:hint="eastAsia" w:ascii="宋体" w:hAnsi="宋体"/>
                <w:color w:val="auto"/>
                <w:sz w:val="24"/>
                <w:highlight w:val="none"/>
              </w:rPr>
            </w:pPr>
          </w:p>
        </w:tc>
      </w:tr>
    </w:tbl>
    <w:p w14:paraId="5BE0C3A7">
      <w:pPr>
        <w:pStyle w:val="14"/>
        <w:spacing w:before="0" w:after="0" w:line="360" w:lineRule="auto"/>
        <w:contextualSpacing/>
        <w:rPr>
          <w:rFonts w:hint="eastAsia" w:ascii="宋体" w:hAnsi="宋体" w:eastAsia="宋体"/>
          <w:color w:val="auto"/>
          <w:sz w:val="24"/>
          <w:szCs w:val="24"/>
          <w:highlight w:val="none"/>
        </w:rPr>
      </w:pPr>
    </w:p>
    <w:p w14:paraId="3ADB4FF0">
      <w:pPr>
        <w:pStyle w:val="14"/>
        <w:spacing w:before="0" w:after="0" w:line="360" w:lineRule="auto"/>
        <w:contextualSpacing/>
        <w:jc w:val="lef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注：</w:t>
      </w:r>
      <w:r>
        <w:rPr>
          <w:rFonts w:hint="eastAsia" w:ascii="宋体" w:hAnsi="宋体"/>
          <w:color w:val="auto"/>
          <w:sz w:val="24"/>
          <w:highlight w:val="none"/>
          <w:lang w:val="en-US" w:eastAsia="zh-CN"/>
        </w:rPr>
        <w:t>供应商</w:t>
      </w:r>
      <w:r>
        <w:rPr>
          <w:rFonts w:hint="eastAsia" w:ascii="宋体" w:hAnsi="宋体"/>
          <w:color w:val="auto"/>
          <w:sz w:val="24"/>
          <w:highlight w:val="none"/>
        </w:rPr>
        <w:t>根据评</w:t>
      </w:r>
      <w:r>
        <w:rPr>
          <w:rFonts w:hint="eastAsia" w:ascii="宋体" w:hAnsi="宋体"/>
          <w:color w:val="auto"/>
          <w:sz w:val="24"/>
          <w:highlight w:val="none"/>
          <w:lang w:val="en-US" w:eastAsia="zh-CN"/>
        </w:rPr>
        <w:t>审</w:t>
      </w:r>
      <w:r>
        <w:rPr>
          <w:rFonts w:hint="eastAsia" w:ascii="宋体" w:hAnsi="宋体"/>
          <w:color w:val="auto"/>
          <w:sz w:val="24"/>
          <w:highlight w:val="none"/>
        </w:rPr>
        <w:t>标准具体要求附业绩证明材料。</w:t>
      </w:r>
    </w:p>
    <w:p w14:paraId="6AF8C409">
      <w:pPr>
        <w:pStyle w:val="14"/>
        <w:spacing w:before="0" w:after="0" w:line="360" w:lineRule="auto"/>
        <w:contextualSpacing/>
        <w:jc w:val="left"/>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法定代表人（负责人）或者委托代理人（签字或者电子签名）：</w:t>
      </w:r>
      <w:r>
        <w:rPr>
          <w:rFonts w:hint="eastAsia" w:ascii="宋体" w:hAnsi="宋体" w:eastAsia="宋体"/>
          <w:color w:val="auto"/>
          <w:sz w:val="24"/>
          <w:szCs w:val="24"/>
          <w:highlight w:val="none"/>
          <w:u w:val="single"/>
        </w:rPr>
        <w:t>　　　　　</w:t>
      </w:r>
    </w:p>
    <w:p w14:paraId="770B2F48">
      <w:pPr>
        <w:spacing w:line="360" w:lineRule="auto"/>
        <w:ind w:right="480"/>
        <w:contextualSpacing/>
        <w:jc w:val="left"/>
        <w:rPr>
          <w:rFonts w:hint="eastAsia" w:ascii="宋体" w:hAnsi="宋体"/>
          <w:color w:val="auto"/>
          <w:sz w:val="24"/>
          <w:szCs w:val="20"/>
          <w:highlight w:val="none"/>
        </w:rPr>
      </w:pPr>
      <w:r>
        <w:rPr>
          <w:rFonts w:hint="eastAsia" w:ascii="宋体" w:hAnsi="宋体" w:cs="Arial"/>
          <w:color w:val="auto"/>
          <w:sz w:val="24"/>
          <w:highlight w:val="none"/>
          <w:lang w:val="en-US" w:eastAsia="zh-CN"/>
        </w:rPr>
        <w:t>供应商</w:t>
      </w:r>
      <w:r>
        <w:rPr>
          <w:rFonts w:hint="eastAsia" w:ascii="宋体" w:hAnsi="宋体" w:cs="Arial"/>
          <w:color w:val="auto"/>
          <w:sz w:val="24"/>
          <w:highlight w:val="none"/>
        </w:rPr>
        <w:t xml:space="preserve">名称（电子签章）： </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年    月    日</w:t>
      </w:r>
    </w:p>
    <w:p w14:paraId="4BD8E378">
      <w:pPr>
        <w:rPr>
          <w:rFonts w:ascii="宋体" w:hAnsi="宋体"/>
          <w:b/>
          <w:bCs/>
          <w:color w:val="auto"/>
          <w:sz w:val="24"/>
          <w:highlight w:val="none"/>
        </w:rPr>
      </w:pPr>
      <w:r>
        <w:rPr>
          <w:rFonts w:ascii="宋体" w:hAnsi="宋体"/>
          <w:b/>
          <w:bCs/>
          <w:color w:val="auto"/>
          <w:sz w:val="24"/>
          <w:highlight w:val="none"/>
        </w:rPr>
        <w:br w:type="page"/>
      </w:r>
    </w:p>
    <w:p w14:paraId="4F4761DF">
      <w:pPr>
        <w:pStyle w:val="34"/>
        <w:snapToGrid w:val="0"/>
        <w:ind w:left="480" w:hanging="480"/>
        <w:jc w:val="center"/>
        <w:rPr>
          <w:rFonts w:hint="eastAsia" w:ascii="宋体" w:hAnsi="宋体" w:eastAsia="宋体" w:cs="Times New Roman"/>
          <w:b/>
          <w:color w:val="auto"/>
          <w:kern w:val="2"/>
          <w:sz w:val="24"/>
          <w:szCs w:val="24"/>
          <w:highlight w:val="none"/>
          <w:lang w:val="en-US" w:eastAsia="zh-CN" w:bidi="ar-SA"/>
        </w:rPr>
      </w:pPr>
      <w:r>
        <w:rPr>
          <w:rFonts w:hint="eastAsia" w:ascii="宋体" w:hAnsi="宋体" w:cs="Times New Roman"/>
          <w:b/>
          <w:color w:val="auto"/>
          <w:kern w:val="2"/>
          <w:sz w:val="24"/>
          <w:szCs w:val="24"/>
          <w:highlight w:val="none"/>
          <w:lang w:val="en-US" w:eastAsia="zh-CN" w:bidi="ar-SA"/>
        </w:rPr>
        <w:t>信誉证书</w:t>
      </w:r>
      <w:r>
        <w:rPr>
          <w:rFonts w:hint="eastAsia" w:ascii="宋体" w:hAnsi="宋体" w:eastAsia="宋体" w:cs="Times New Roman"/>
          <w:b/>
          <w:color w:val="auto"/>
          <w:kern w:val="2"/>
          <w:sz w:val="24"/>
          <w:szCs w:val="24"/>
          <w:highlight w:val="none"/>
          <w:lang w:val="en-US" w:eastAsia="zh-CN" w:bidi="ar-SA"/>
        </w:rPr>
        <w:t>情况一览表（格式）</w:t>
      </w:r>
    </w:p>
    <w:tbl>
      <w:tblPr>
        <w:tblStyle w:val="45"/>
        <w:tblW w:w="4916"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515"/>
        <w:gridCol w:w="1517"/>
        <w:gridCol w:w="1536"/>
        <w:gridCol w:w="1538"/>
        <w:gridCol w:w="1544"/>
        <w:gridCol w:w="2145"/>
      </w:tblGrid>
      <w:tr w14:paraId="1B112B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317" w:hRule="atLeast"/>
        </w:trPr>
        <w:tc>
          <w:tcPr>
            <w:tcW w:w="773" w:type="pct"/>
            <w:tcBorders>
              <w:top w:val="single" w:color="auto" w:sz="4" w:space="0"/>
              <w:left w:val="single" w:color="auto" w:sz="4" w:space="0"/>
              <w:bottom w:val="single" w:color="auto" w:sz="4" w:space="0"/>
              <w:right w:val="single" w:color="auto" w:sz="4" w:space="0"/>
            </w:tcBorders>
            <w:noWrap w:val="0"/>
            <w:vAlign w:val="center"/>
          </w:tcPr>
          <w:p w14:paraId="5F3D32A0">
            <w:pPr>
              <w:snapToGrid w:val="0"/>
              <w:spacing w:line="240" w:lineRule="auto"/>
              <w:jc w:val="center"/>
              <w:rPr>
                <w:rFonts w:hint="eastAsia" w:ascii="宋体" w:hAnsi="宋体" w:eastAsia="宋体"/>
                <w:color w:val="auto"/>
                <w:sz w:val="24"/>
                <w:highlight w:val="none"/>
                <w:lang w:val="en-US" w:eastAsia="zh-CN"/>
              </w:rPr>
            </w:pPr>
            <w:r>
              <w:rPr>
                <w:rFonts w:hint="eastAsia" w:ascii="宋体" w:hAnsi="宋体"/>
                <w:color w:val="auto"/>
                <w:sz w:val="24"/>
                <w:highlight w:val="none"/>
                <w:lang w:val="en-US" w:eastAsia="zh-CN"/>
              </w:rPr>
              <w:t>序号</w:t>
            </w:r>
          </w:p>
        </w:tc>
        <w:tc>
          <w:tcPr>
            <w:tcW w:w="774" w:type="pct"/>
            <w:tcBorders>
              <w:top w:val="single" w:color="auto" w:sz="4" w:space="0"/>
              <w:left w:val="single" w:color="auto" w:sz="4" w:space="0"/>
              <w:bottom w:val="single" w:color="auto" w:sz="4" w:space="0"/>
              <w:right w:val="single" w:color="auto" w:sz="4" w:space="0"/>
            </w:tcBorders>
            <w:noWrap w:val="0"/>
            <w:vAlign w:val="center"/>
          </w:tcPr>
          <w:p w14:paraId="59911DDF">
            <w:pPr>
              <w:snapToGrid w:val="0"/>
              <w:spacing w:line="240" w:lineRule="auto"/>
              <w:jc w:val="center"/>
              <w:rPr>
                <w:rFonts w:hint="eastAsia" w:ascii="宋体" w:hAnsi="宋体"/>
                <w:color w:val="auto"/>
                <w:sz w:val="24"/>
                <w:highlight w:val="none"/>
                <w:lang w:val="en-US" w:eastAsia="zh-CN"/>
              </w:rPr>
            </w:pPr>
            <w:r>
              <w:rPr>
                <w:rFonts w:hint="eastAsia" w:ascii="宋体" w:hAnsi="宋体"/>
                <w:color w:val="auto"/>
                <w:sz w:val="24"/>
                <w:highlight w:val="none"/>
                <w:lang w:val="en-US" w:eastAsia="zh-CN"/>
              </w:rPr>
              <w:t>证书</w:t>
            </w:r>
            <w:r>
              <w:rPr>
                <w:rFonts w:hint="eastAsia" w:ascii="宋体" w:hAnsi="宋体"/>
                <w:color w:val="auto"/>
                <w:sz w:val="24"/>
                <w:highlight w:val="none"/>
              </w:rPr>
              <w:t>名称</w:t>
            </w:r>
          </w:p>
        </w:tc>
        <w:tc>
          <w:tcPr>
            <w:tcW w:w="784" w:type="pct"/>
            <w:tcBorders>
              <w:top w:val="single" w:color="auto" w:sz="4" w:space="0"/>
              <w:left w:val="single" w:color="auto" w:sz="4" w:space="0"/>
              <w:bottom w:val="single" w:color="auto" w:sz="4" w:space="0"/>
              <w:right w:val="single" w:color="auto" w:sz="4" w:space="0"/>
            </w:tcBorders>
            <w:noWrap w:val="0"/>
            <w:vAlign w:val="center"/>
          </w:tcPr>
          <w:p w14:paraId="43C6FE06">
            <w:pPr>
              <w:snapToGrid w:val="0"/>
              <w:spacing w:line="240" w:lineRule="auto"/>
              <w:jc w:val="center"/>
              <w:rPr>
                <w:rFonts w:hint="default" w:ascii="宋体" w:hAnsi="宋体" w:eastAsia="宋体"/>
                <w:color w:val="auto"/>
                <w:sz w:val="24"/>
                <w:highlight w:val="none"/>
                <w:lang w:val="en-US" w:eastAsia="zh-CN"/>
              </w:rPr>
            </w:pPr>
            <w:r>
              <w:rPr>
                <w:rFonts w:hint="eastAsia" w:ascii="宋体" w:hAnsi="宋体"/>
                <w:color w:val="auto"/>
                <w:sz w:val="24"/>
                <w:highlight w:val="none"/>
                <w:lang w:val="en-US" w:eastAsia="zh-CN"/>
              </w:rPr>
              <w:t>证书编号</w:t>
            </w:r>
          </w:p>
        </w:tc>
        <w:tc>
          <w:tcPr>
            <w:tcW w:w="785" w:type="pct"/>
            <w:tcBorders>
              <w:top w:val="single" w:color="auto" w:sz="4" w:space="0"/>
              <w:left w:val="single" w:color="auto" w:sz="4" w:space="0"/>
              <w:bottom w:val="single" w:color="auto" w:sz="4" w:space="0"/>
              <w:right w:val="single" w:color="auto" w:sz="4" w:space="0"/>
            </w:tcBorders>
            <w:noWrap w:val="0"/>
            <w:vAlign w:val="center"/>
          </w:tcPr>
          <w:p w14:paraId="667FD6A8">
            <w:pPr>
              <w:snapToGrid w:val="0"/>
              <w:spacing w:line="240" w:lineRule="auto"/>
              <w:jc w:val="center"/>
              <w:rPr>
                <w:rFonts w:hint="eastAsia" w:ascii="宋体" w:hAnsi="宋体"/>
                <w:color w:val="auto"/>
                <w:sz w:val="24"/>
                <w:highlight w:val="none"/>
                <w:lang w:val="en-US" w:eastAsia="zh-CN"/>
              </w:rPr>
            </w:pPr>
            <w:r>
              <w:rPr>
                <w:rFonts w:hint="eastAsia" w:ascii="宋体" w:hAnsi="宋体"/>
                <w:color w:val="auto"/>
                <w:sz w:val="24"/>
                <w:highlight w:val="none"/>
                <w:lang w:val="en-US" w:eastAsia="zh-CN"/>
              </w:rPr>
              <w:t>认证范围</w:t>
            </w:r>
          </w:p>
        </w:tc>
        <w:tc>
          <w:tcPr>
            <w:tcW w:w="788" w:type="pct"/>
            <w:tcBorders>
              <w:top w:val="single" w:color="auto" w:sz="4" w:space="0"/>
              <w:left w:val="single" w:color="auto" w:sz="4" w:space="0"/>
              <w:bottom w:val="single" w:color="auto" w:sz="4" w:space="0"/>
              <w:right w:val="single" w:color="auto" w:sz="4" w:space="0"/>
            </w:tcBorders>
            <w:noWrap w:val="0"/>
            <w:vAlign w:val="center"/>
          </w:tcPr>
          <w:p w14:paraId="64F5F79B">
            <w:pPr>
              <w:snapToGrid w:val="0"/>
              <w:spacing w:line="240" w:lineRule="auto"/>
              <w:jc w:val="center"/>
              <w:rPr>
                <w:rFonts w:hint="default" w:ascii="宋体" w:hAnsi="宋体"/>
                <w:color w:val="auto"/>
                <w:sz w:val="24"/>
                <w:highlight w:val="none"/>
                <w:lang w:val="en-US" w:eastAsia="zh-CN"/>
              </w:rPr>
            </w:pPr>
            <w:r>
              <w:rPr>
                <w:rFonts w:hint="eastAsia" w:ascii="宋体" w:hAnsi="宋体"/>
                <w:color w:val="auto"/>
                <w:sz w:val="24"/>
                <w:highlight w:val="none"/>
                <w:lang w:val="en-US" w:eastAsia="zh-CN"/>
              </w:rPr>
              <w:t>发证日期</w:t>
            </w:r>
          </w:p>
        </w:tc>
        <w:tc>
          <w:tcPr>
            <w:tcW w:w="1094" w:type="pct"/>
            <w:tcBorders>
              <w:top w:val="single" w:color="auto" w:sz="4" w:space="0"/>
              <w:left w:val="single" w:color="auto" w:sz="4" w:space="0"/>
              <w:bottom w:val="single" w:color="auto" w:sz="4" w:space="0"/>
              <w:right w:val="single" w:color="auto" w:sz="4" w:space="0"/>
            </w:tcBorders>
            <w:noWrap w:val="0"/>
            <w:vAlign w:val="center"/>
          </w:tcPr>
          <w:p w14:paraId="2F7ACF13">
            <w:pPr>
              <w:snapToGrid w:val="0"/>
              <w:spacing w:line="240" w:lineRule="auto"/>
              <w:jc w:val="center"/>
              <w:rPr>
                <w:rFonts w:hint="default" w:ascii="宋体" w:hAnsi="宋体" w:eastAsia="宋体"/>
                <w:color w:val="auto"/>
                <w:sz w:val="24"/>
                <w:highlight w:val="none"/>
                <w:lang w:val="en-US" w:eastAsia="zh-CN"/>
              </w:rPr>
            </w:pPr>
            <w:r>
              <w:rPr>
                <w:rFonts w:hint="eastAsia" w:ascii="宋体" w:hAnsi="宋体"/>
                <w:color w:val="auto"/>
                <w:sz w:val="24"/>
                <w:highlight w:val="none"/>
                <w:lang w:val="en-US" w:eastAsia="zh-CN"/>
              </w:rPr>
              <w:t>有效日期</w:t>
            </w:r>
          </w:p>
        </w:tc>
      </w:tr>
      <w:tr w14:paraId="2D149D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773" w:type="pct"/>
            <w:tcBorders>
              <w:top w:val="single" w:color="auto" w:sz="4" w:space="0"/>
              <w:left w:val="single" w:color="auto" w:sz="4" w:space="0"/>
              <w:bottom w:val="single" w:color="auto" w:sz="4" w:space="0"/>
              <w:right w:val="single" w:color="auto" w:sz="4" w:space="0"/>
            </w:tcBorders>
            <w:noWrap w:val="0"/>
            <w:vAlign w:val="top"/>
          </w:tcPr>
          <w:p w14:paraId="6AAA9487">
            <w:pPr>
              <w:snapToGrid w:val="0"/>
              <w:spacing w:line="240" w:lineRule="exact"/>
              <w:jc w:val="center"/>
              <w:rPr>
                <w:rFonts w:hint="eastAsia" w:ascii="宋体" w:hAnsi="宋体" w:eastAsia="宋体"/>
                <w:color w:val="auto"/>
                <w:sz w:val="24"/>
                <w:highlight w:val="none"/>
                <w:lang w:val="en-US" w:eastAsia="zh-CN"/>
              </w:rPr>
            </w:pPr>
            <w:r>
              <w:rPr>
                <w:rFonts w:hint="eastAsia" w:ascii="宋体" w:hAnsi="宋体"/>
                <w:color w:val="auto"/>
                <w:sz w:val="24"/>
                <w:highlight w:val="none"/>
                <w:lang w:val="en-US" w:eastAsia="zh-CN"/>
              </w:rPr>
              <w:t>1</w:t>
            </w:r>
          </w:p>
        </w:tc>
        <w:tc>
          <w:tcPr>
            <w:tcW w:w="774" w:type="pct"/>
            <w:tcBorders>
              <w:top w:val="single" w:color="auto" w:sz="4" w:space="0"/>
              <w:left w:val="single" w:color="auto" w:sz="4" w:space="0"/>
              <w:bottom w:val="single" w:color="auto" w:sz="4" w:space="0"/>
              <w:right w:val="single" w:color="auto" w:sz="4" w:space="0"/>
            </w:tcBorders>
            <w:noWrap w:val="0"/>
            <w:vAlign w:val="top"/>
          </w:tcPr>
          <w:p w14:paraId="31139D84">
            <w:pPr>
              <w:snapToGrid w:val="0"/>
              <w:spacing w:line="240" w:lineRule="exact"/>
              <w:jc w:val="center"/>
              <w:rPr>
                <w:rFonts w:hint="eastAsia" w:ascii="宋体" w:hAnsi="宋体"/>
                <w:color w:val="auto"/>
                <w:sz w:val="24"/>
                <w:highlight w:val="none"/>
              </w:rPr>
            </w:pPr>
          </w:p>
        </w:tc>
        <w:tc>
          <w:tcPr>
            <w:tcW w:w="784" w:type="pct"/>
            <w:tcBorders>
              <w:top w:val="single" w:color="auto" w:sz="4" w:space="0"/>
              <w:left w:val="single" w:color="auto" w:sz="4" w:space="0"/>
              <w:bottom w:val="single" w:color="auto" w:sz="4" w:space="0"/>
              <w:right w:val="single" w:color="auto" w:sz="4" w:space="0"/>
            </w:tcBorders>
            <w:noWrap w:val="0"/>
            <w:vAlign w:val="top"/>
          </w:tcPr>
          <w:p w14:paraId="1849EF82">
            <w:pPr>
              <w:snapToGrid w:val="0"/>
              <w:spacing w:line="240" w:lineRule="exact"/>
              <w:jc w:val="center"/>
              <w:rPr>
                <w:rFonts w:hint="eastAsia" w:ascii="宋体" w:hAnsi="宋体"/>
                <w:color w:val="auto"/>
                <w:sz w:val="24"/>
                <w:highlight w:val="none"/>
              </w:rPr>
            </w:pPr>
          </w:p>
        </w:tc>
        <w:tc>
          <w:tcPr>
            <w:tcW w:w="785" w:type="pct"/>
            <w:tcBorders>
              <w:top w:val="single" w:color="auto" w:sz="4" w:space="0"/>
              <w:left w:val="single" w:color="auto" w:sz="4" w:space="0"/>
              <w:bottom w:val="single" w:color="auto" w:sz="4" w:space="0"/>
              <w:right w:val="single" w:color="auto" w:sz="4" w:space="0"/>
            </w:tcBorders>
            <w:noWrap w:val="0"/>
            <w:vAlign w:val="top"/>
          </w:tcPr>
          <w:p w14:paraId="12004C87">
            <w:pPr>
              <w:snapToGrid w:val="0"/>
              <w:spacing w:line="240" w:lineRule="exact"/>
              <w:jc w:val="center"/>
              <w:rPr>
                <w:rFonts w:hint="eastAsia" w:ascii="宋体" w:hAnsi="宋体"/>
                <w:color w:val="auto"/>
                <w:sz w:val="24"/>
                <w:highlight w:val="none"/>
              </w:rPr>
            </w:pPr>
          </w:p>
        </w:tc>
        <w:tc>
          <w:tcPr>
            <w:tcW w:w="788" w:type="pct"/>
            <w:tcBorders>
              <w:top w:val="single" w:color="auto" w:sz="4" w:space="0"/>
              <w:left w:val="single" w:color="auto" w:sz="4" w:space="0"/>
              <w:bottom w:val="single" w:color="auto" w:sz="4" w:space="0"/>
              <w:right w:val="single" w:color="auto" w:sz="4" w:space="0"/>
            </w:tcBorders>
            <w:noWrap w:val="0"/>
            <w:vAlign w:val="top"/>
          </w:tcPr>
          <w:p w14:paraId="7FE1C597">
            <w:pPr>
              <w:snapToGrid w:val="0"/>
              <w:spacing w:line="240" w:lineRule="exact"/>
              <w:jc w:val="center"/>
              <w:rPr>
                <w:rFonts w:hint="eastAsia" w:ascii="宋体" w:hAnsi="宋体"/>
                <w:color w:val="auto"/>
                <w:sz w:val="24"/>
                <w:highlight w:val="none"/>
              </w:rPr>
            </w:pPr>
          </w:p>
        </w:tc>
        <w:tc>
          <w:tcPr>
            <w:tcW w:w="1094" w:type="pct"/>
            <w:tcBorders>
              <w:top w:val="single" w:color="auto" w:sz="4" w:space="0"/>
              <w:left w:val="single" w:color="auto" w:sz="4" w:space="0"/>
              <w:bottom w:val="single" w:color="auto" w:sz="4" w:space="0"/>
              <w:right w:val="single" w:color="auto" w:sz="4" w:space="0"/>
            </w:tcBorders>
            <w:noWrap w:val="0"/>
            <w:vAlign w:val="top"/>
          </w:tcPr>
          <w:p w14:paraId="07A605BE">
            <w:pPr>
              <w:snapToGrid w:val="0"/>
              <w:spacing w:line="240" w:lineRule="exact"/>
              <w:jc w:val="center"/>
              <w:rPr>
                <w:rFonts w:hint="eastAsia" w:ascii="宋体" w:hAnsi="宋体"/>
                <w:color w:val="auto"/>
                <w:sz w:val="24"/>
                <w:highlight w:val="none"/>
              </w:rPr>
            </w:pPr>
          </w:p>
        </w:tc>
      </w:tr>
      <w:tr w14:paraId="4E71CC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8" w:hRule="atLeast"/>
        </w:trPr>
        <w:tc>
          <w:tcPr>
            <w:tcW w:w="773" w:type="pct"/>
            <w:tcBorders>
              <w:top w:val="single" w:color="auto" w:sz="4" w:space="0"/>
              <w:left w:val="single" w:color="auto" w:sz="4" w:space="0"/>
              <w:bottom w:val="single" w:color="auto" w:sz="4" w:space="0"/>
              <w:right w:val="single" w:color="auto" w:sz="4" w:space="0"/>
            </w:tcBorders>
            <w:noWrap w:val="0"/>
            <w:vAlign w:val="top"/>
          </w:tcPr>
          <w:p w14:paraId="752B3CF8">
            <w:pPr>
              <w:snapToGrid w:val="0"/>
              <w:spacing w:before="50" w:after="120" w:afterLines="50" w:line="400" w:lineRule="exact"/>
              <w:jc w:val="center"/>
              <w:rPr>
                <w:rFonts w:hint="eastAsia" w:ascii="宋体" w:hAnsi="宋体" w:eastAsia="宋体"/>
                <w:color w:val="auto"/>
                <w:sz w:val="24"/>
                <w:highlight w:val="none"/>
                <w:lang w:val="en-US" w:eastAsia="zh-CN"/>
              </w:rPr>
            </w:pPr>
            <w:r>
              <w:rPr>
                <w:rFonts w:hint="eastAsia" w:ascii="宋体" w:hAnsi="宋体"/>
                <w:color w:val="auto"/>
                <w:sz w:val="24"/>
                <w:highlight w:val="none"/>
                <w:lang w:val="en-US" w:eastAsia="zh-CN"/>
              </w:rPr>
              <w:t>2</w:t>
            </w:r>
          </w:p>
        </w:tc>
        <w:tc>
          <w:tcPr>
            <w:tcW w:w="774" w:type="pct"/>
            <w:tcBorders>
              <w:top w:val="single" w:color="auto" w:sz="4" w:space="0"/>
              <w:left w:val="single" w:color="auto" w:sz="4" w:space="0"/>
              <w:bottom w:val="single" w:color="auto" w:sz="4" w:space="0"/>
              <w:right w:val="single" w:color="auto" w:sz="4" w:space="0"/>
            </w:tcBorders>
            <w:noWrap w:val="0"/>
            <w:vAlign w:val="top"/>
          </w:tcPr>
          <w:p w14:paraId="5C53C29F">
            <w:pPr>
              <w:snapToGrid w:val="0"/>
              <w:spacing w:before="50" w:after="120" w:afterLines="50" w:line="400" w:lineRule="exact"/>
              <w:jc w:val="center"/>
              <w:rPr>
                <w:rFonts w:hint="eastAsia" w:ascii="宋体" w:hAnsi="宋体"/>
                <w:color w:val="auto"/>
                <w:sz w:val="24"/>
                <w:highlight w:val="none"/>
              </w:rPr>
            </w:pPr>
          </w:p>
        </w:tc>
        <w:tc>
          <w:tcPr>
            <w:tcW w:w="784" w:type="pct"/>
            <w:tcBorders>
              <w:top w:val="single" w:color="auto" w:sz="4" w:space="0"/>
              <w:left w:val="single" w:color="auto" w:sz="4" w:space="0"/>
              <w:bottom w:val="single" w:color="auto" w:sz="4" w:space="0"/>
              <w:right w:val="single" w:color="auto" w:sz="4" w:space="0"/>
            </w:tcBorders>
            <w:noWrap w:val="0"/>
            <w:vAlign w:val="top"/>
          </w:tcPr>
          <w:p w14:paraId="3088FC33">
            <w:pPr>
              <w:snapToGrid w:val="0"/>
              <w:spacing w:before="50" w:after="120" w:afterLines="50" w:line="400" w:lineRule="exact"/>
              <w:jc w:val="center"/>
              <w:rPr>
                <w:rFonts w:hint="eastAsia" w:ascii="宋体" w:hAnsi="宋体"/>
                <w:color w:val="auto"/>
                <w:sz w:val="24"/>
                <w:highlight w:val="none"/>
              </w:rPr>
            </w:pPr>
          </w:p>
        </w:tc>
        <w:tc>
          <w:tcPr>
            <w:tcW w:w="785" w:type="pct"/>
            <w:tcBorders>
              <w:top w:val="single" w:color="auto" w:sz="4" w:space="0"/>
              <w:left w:val="single" w:color="auto" w:sz="4" w:space="0"/>
              <w:bottom w:val="single" w:color="auto" w:sz="4" w:space="0"/>
              <w:right w:val="single" w:color="auto" w:sz="4" w:space="0"/>
            </w:tcBorders>
            <w:noWrap w:val="0"/>
            <w:vAlign w:val="top"/>
          </w:tcPr>
          <w:p w14:paraId="6FB9C659">
            <w:pPr>
              <w:snapToGrid w:val="0"/>
              <w:spacing w:before="50" w:after="120" w:afterLines="50" w:line="400" w:lineRule="exact"/>
              <w:jc w:val="center"/>
              <w:rPr>
                <w:rFonts w:hint="eastAsia" w:ascii="宋体" w:hAnsi="宋体"/>
                <w:color w:val="auto"/>
                <w:sz w:val="24"/>
                <w:highlight w:val="none"/>
              </w:rPr>
            </w:pPr>
          </w:p>
        </w:tc>
        <w:tc>
          <w:tcPr>
            <w:tcW w:w="788" w:type="pct"/>
            <w:tcBorders>
              <w:top w:val="single" w:color="auto" w:sz="4" w:space="0"/>
              <w:left w:val="single" w:color="auto" w:sz="4" w:space="0"/>
              <w:bottom w:val="single" w:color="auto" w:sz="4" w:space="0"/>
              <w:right w:val="single" w:color="auto" w:sz="4" w:space="0"/>
            </w:tcBorders>
            <w:noWrap w:val="0"/>
            <w:vAlign w:val="top"/>
          </w:tcPr>
          <w:p w14:paraId="6F28931E">
            <w:pPr>
              <w:snapToGrid w:val="0"/>
              <w:spacing w:before="50" w:after="120" w:afterLines="50" w:line="400" w:lineRule="exact"/>
              <w:jc w:val="center"/>
              <w:rPr>
                <w:rFonts w:hint="eastAsia" w:ascii="宋体" w:hAnsi="宋体"/>
                <w:color w:val="auto"/>
                <w:sz w:val="24"/>
                <w:highlight w:val="none"/>
              </w:rPr>
            </w:pPr>
          </w:p>
        </w:tc>
        <w:tc>
          <w:tcPr>
            <w:tcW w:w="1094" w:type="pct"/>
            <w:tcBorders>
              <w:top w:val="single" w:color="auto" w:sz="4" w:space="0"/>
              <w:left w:val="single" w:color="auto" w:sz="4" w:space="0"/>
              <w:bottom w:val="single" w:color="auto" w:sz="4" w:space="0"/>
              <w:right w:val="single" w:color="auto" w:sz="4" w:space="0"/>
            </w:tcBorders>
            <w:noWrap w:val="0"/>
            <w:vAlign w:val="top"/>
          </w:tcPr>
          <w:p w14:paraId="0152C657">
            <w:pPr>
              <w:snapToGrid w:val="0"/>
              <w:spacing w:before="50" w:after="120" w:afterLines="50" w:line="400" w:lineRule="exact"/>
              <w:jc w:val="center"/>
              <w:rPr>
                <w:rFonts w:hint="eastAsia" w:ascii="宋体" w:hAnsi="宋体"/>
                <w:color w:val="auto"/>
                <w:sz w:val="24"/>
                <w:highlight w:val="none"/>
              </w:rPr>
            </w:pPr>
          </w:p>
        </w:tc>
      </w:tr>
      <w:tr w14:paraId="6E1E6A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3" w:hRule="atLeast"/>
        </w:trPr>
        <w:tc>
          <w:tcPr>
            <w:tcW w:w="773" w:type="pct"/>
            <w:tcBorders>
              <w:top w:val="single" w:color="auto" w:sz="4" w:space="0"/>
              <w:left w:val="single" w:color="auto" w:sz="4" w:space="0"/>
              <w:bottom w:val="single" w:color="auto" w:sz="4" w:space="0"/>
              <w:right w:val="single" w:color="auto" w:sz="4" w:space="0"/>
            </w:tcBorders>
            <w:noWrap w:val="0"/>
            <w:vAlign w:val="top"/>
          </w:tcPr>
          <w:p w14:paraId="1E813D73">
            <w:pPr>
              <w:snapToGrid w:val="0"/>
              <w:spacing w:before="50" w:after="120" w:afterLines="50" w:line="400" w:lineRule="exact"/>
              <w:jc w:val="center"/>
              <w:rPr>
                <w:rFonts w:hint="eastAsia" w:ascii="宋体" w:hAnsi="宋体" w:eastAsia="宋体"/>
                <w:color w:val="auto"/>
                <w:sz w:val="24"/>
                <w:highlight w:val="none"/>
                <w:lang w:val="en-US" w:eastAsia="zh-CN"/>
              </w:rPr>
            </w:pPr>
            <w:r>
              <w:rPr>
                <w:rFonts w:hint="eastAsia" w:ascii="宋体" w:hAnsi="宋体"/>
                <w:color w:val="auto"/>
                <w:sz w:val="24"/>
                <w:highlight w:val="none"/>
                <w:lang w:val="en-US" w:eastAsia="zh-CN"/>
              </w:rPr>
              <w:t>3</w:t>
            </w:r>
          </w:p>
        </w:tc>
        <w:tc>
          <w:tcPr>
            <w:tcW w:w="774" w:type="pct"/>
            <w:tcBorders>
              <w:top w:val="single" w:color="auto" w:sz="4" w:space="0"/>
              <w:left w:val="single" w:color="auto" w:sz="4" w:space="0"/>
              <w:bottom w:val="single" w:color="auto" w:sz="4" w:space="0"/>
              <w:right w:val="single" w:color="auto" w:sz="4" w:space="0"/>
            </w:tcBorders>
            <w:noWrap w:val="0"/>
            <w:vAlign w:val="top"/>
          </w:tcPr>
          <w:p w14:paraId="3B8E5E74">
            <w:pPr>
              <w:snapToGrid w:val="0"/>
              <w:spacing w:before="50" w:after="120" w:afterLines="50" w:line="400" w:lineRule="exact"/>
              <w:jc w:val="center"/>
              <w:rPr>
                <w:rFonts w:hint="eastAsia" w:ascii="宋体" w:hAnsi="宋体"/>
                <w:color w:val="auto"/>
                <w:sz w:val="24"/>
                <w:highlight w:val="none"/>
              </w:rPr>
            </w:pPr>
          </w:p>
        </w:tc>
        <w:tc>
          <w:tcPr>
            <w:tcW w:w="784" w:type="pct"/>
            <w:tcBorders>
              <w:top w:val="single" w:color="auto" w:sz="4" w:space="0"/>
              <w:left w:val="single" w:color="auto" w:sz="4" w:space="0"/>
              <w:bottom w:val="single" w:color="auto" w:sz="4" w:space="0"/>
              <w:right w:val="single" w:color="auto" w:sz="4" w:space="0"/>
            </w:tcBorders>
            <w:noWrap w:val="0"/>
            <w:vAlign w:val="top"/>
          </w:tcPr>
          <w:p w14:paraId="1480C107">
            <w:pPr>
              <w:snapToGrid w:val="0"/>
              <w:spacing w:before="50" w:after="120" w:afterLines="50" w:line="400" w:lineRule="exact"/>
              <w:jc w:val="center"/>
              <w:rPr>
                <w:rFonts w:hint="eastAsia" w:ascii="宋体" w:hAnsi="宋体"/>
                <w:color w:val="auto"/>
                <w:sz w:val="24"/>
                <w:highlight w:val="none"/>
              </w:rPr>
            </w:pPr>
          </w:p>
        </w:tc>
        <w:tc>
          <w:tcPr>
            <w:tcW w:w="785" w:type="pct"/>
            <w:tcBorders>
              <w:top w:val="single" w:color="auto" w:sz="4" w:space="0"/>
              <w:left w:val="single" w:color="auto" w:sz="4" w:space="0"/>
              <w:bottom w:val="single" w:color="auto" w:sz="4" w:space="0"/>
              <w:right w:val="single" w:color="auto" w:sz="4" w:space="0"/>
            </w:tcBorders>
            <w:noWrap w:val="0"/>
            <w:vAlign w:val="top"/>
          </w:tcPr>
          <w:p w14:paraId="52D247FA">
            <w:pPr>
              <w:snapToGrid w:val="0"/>
              <w:spacing w:before="50" w:after="120" w:afterLines="50" w:line="400" w:lineRule="exact"/>
              <w:jc w:val="center"/>
              <w:rPr>
                <w:rFonts w:hint="eastAsia" w:ascii="宋体" w:hAnsi="宋体"/>
                <w:color w:val="auto"/>
                <w:sz w:val="24"/>
                <w:highlight w:val="none"/>
              </w:rPr>
            </w:pPr>
          </w:p>
        </w:tc>
        <w:tc>
          <w:tcPr>
            <w:tcW w:w="788" w:type="pct"/>
            <w:tcBorders>
              <w:top w:val="single" w:color="auto" w:sz="4" w:space="0"/>
              <w:left w:val="single" w:color="auto" w:sz="4" w:space="0"/>
              <w:bottom w:val="single" w:color="auto" w:sz="4" w:space="0"/>
              <w:right w:val="single" w:color="auto" w:sz="4" w:space="0"/>
            </w:tcBorders>
            <w:noWrap w:val="0"/>
            <w:vAlign w:val="top"/>
          </w:tcPr>
          <w:p w14:paraId="01153428">
            <w:pPr>
              <w:snapToGrid w:val="0"/>
              <w:spacing w:before="50" w:after="120" w:afterLines="50" w:line="400" w:lineRule="exact"/>
              <w:jc w:val="center"/>
              <w:rPr>
                <w:rFonts w:hint="eastAsia" w:ascii="宋体" w:hAnsi="宋体"/>
                <w:color w:val="auto"/>
                <w:sz w:val="24"/>
                <w:highlight w:val="none"/>
              </w:rPr>
            </w:pPr>
          </w:p>
        </w:tc>
        <w:tc>
          <w:tcPr>
            <w:tcW w:w="1094" w:type="pct"/>
            <w:tcBorders>
              <w:top w:val="single" w:color="auto" w:sz="4" w:space="0"/>
              <w:left w:val="single" w:color="auto" w:sz="4" w:space="0"/>
              <w:bottom w:val="single" w:color="auto" w:sz="4" w:space="0"/>
              <w:right w:val="single" w:color="auto" w:sz="4" w:space="0"/>
            </w:tcBorders>
            <w:noWrap w:val="0"/>
            <w:vAlign w:val="top"/>
          </w:tcPr>
          <w:p w14:paraId="48C94D47">
            <w:pPr>
              <w:snapToGrid w:val="0"/>
              <w:spacing w:before="50" w:after="120" w:afterLines="50" w:line="400" w:lineRule="exact"/>
              <w:jc w:val="center"/>
              <w:rPr>
                <w:rFonts w:hint="eastAsia" w:ascii="宋体" w:hAnsi="宋体"/>
                <w:color w:val="auto"/>
                <w:sz w:val="24"/>
                <w:highlight w:val="none"/>
              </w:rPr>
            </w:pPr>
          </w:p>
        </w:tc>
      </w:tr>
      <w:tr w14:paraId="223D6E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8" w:hRule="atLeast"/>
        </w:trPr>
        <w:tc>
          <w:tcPr>
            <w:tcW w:w="773" w:type="pct"/>
            <w:tcBorders>
              <w:top w:val="single" w:color="auto" w:sz="4" w:space="0"/>
              <w:left w:val="single" w:color="auto" w:sz="4" w:space="0"/>
              <w:bottom w:val="single" w:color="auto" w:sz="4" w:space="0"/>
              <w:right w:val="single" w:color="auto" w:sz="4" w:space="0"/>
            </w:tcBorders>
            <w:noWrap w:val="0"/>
            <w:vAlign w:val="top"/>
          </w:tcPr>
          <w:p w14:paraId="4B86BB93">
            <w:pPr>
              <w:snapToGrid w:val="0"/>
              <w:spacing w:before="50" w:after="120" w:afterLines="50" w:line="400" w:lineRule="exact"/>
              <w:jc w:val="left"/>
              <w:rPr>
                <w:rFonts w:hint="eastAsia" w:ascii="宋体" w:hAnsi="宋体"/>
                <w:color w:val="auto"/>
                <w:sz w:val="24"/>
                <w:highlight w:val="none"/>
              </w:rPr>
            </w:pPr>
          </w:p>
        </w:tc>
        <w:tc>
          <w:tcPr>
            <w:tcW w:w="774" w:type="pct"/>
            <w:tcBorders>
              <w:top w:val="single" w:color="auto" w:sz="4" w:space="0"/>
              <w:left w:val="single" w:color="auto" w:sz="4" w:space="0"/>
              <w:bottom w:val="single" w:color="auto" w:sz="4" w:space="0"/>
              <w:right w:val="single" w:color="auto" w:sz="4" w:space="0"/>
            </w:tcBorders>
            <w:noWrap w:val="0"/>
            <w:vAlign w:val="top"/>
          </w:tcPr>
          <w:p w14:paraId="58C4D3FE">
            <w:pPr>
              <w:snapToGrid w:val="0"/>
              <w:spacing w:before="50" w:after="120" w:afterLines="50" w:line="400" w:lineRule="exact"/>
              <w:jc w:val="left"/>
              <w:rPr>
                <w:rFonts w:hint="eastAsia" w:ascii="宋体" w:hAnsi="宋体"/>
                <w:color w:val="auto"/>
                <w:sz w:val="24"/>
                <w:highlight w:val="none"/>
              </w:rPr>
            </w:pPr>
          </w:p>
        </w:tc>
        <w:tc>
          <w:tcPr>
            <w:tcW w:w="784" w:type="pct"/>
            <w:tcBorders>
              <w:top w:val="single" w:color="auto" w:sz="4" w:space="0"/>
              <w:left w:val="single" w:color="auto" w:sz="4" w:space="0"/>
              <w:bottom w:val="single" w:color="auto" w:sz="4" w:space="0"/>
              <w:right w:val="single" w:color="auto" w:sz="4" w:space="0"/>
            </w:tcBorders>
            <w:noWrap w:val="0"/>
            <w:vAlign w:val="top"/>
          </w:tcPr>
          <w:p w14:paraId="39F83053">
            <w:pPr>
              <w:snapToGrid w:val="0"/>
              <w:spacing w:before="50" w:after="120" w:afterLines="50" w:line="400" w:lineRule="exact"/>
              <w:jc w:val="left"/>
              <w:rPr>
                <w:rFonts w:hint="eastAsia" w:ascii="宋体" w:hAnsi="宋体"/>
                <w:color w:val="auto"/>
                <w:sz w:val="24"/>
                <w:highlight w:val="none"/>
              </w:rPr>
            </w:pPr>
          </w:p>
        </w:tc>
        <w:tc>
          <w:tcPr>
            <w:tcW w:w="785" w:type="pct"/>
            <w:tcBorders>
              <w:top w:val="single" w:color="auto" w:sz="4" w:space="0"/>
              <w:left w:val="single" w:color="auto" w:sz="4" w:space="0"/>
              <w:bottom w:val="single" w:color="auto" w:sz="4" w:space="0"/>
              <w:right w:val="single" w:color="auto" w:sz="4" w:space="0"/>
            </w:tcBorders>
            <w:noWrap w:val="0"/>
            <w:vAlign w:val="top"/>
          </w:tcPr>
          <w:p w14:paraId="597B2CF1">
            <w:pPr>
              <w:snapToGrid w:val="0"/>
              <w:spacing w:before="50" w:after="120" w:afterLines="50" w:line="400" w:lineRule="exact"/>
              <w:jc w:val="left"/>
              <w:rPr>
                <w:rFonts w:hint="eastAsia" w:ascii="宋体" w:hAnsi="宋体"/>
                <w:color w:val="auto"/>
                <w:sz w:val="24"/>
                <w:highlight w:val="none"/>
              </w:rPr>
            </w:pPr>
          </w:p>
        </w:tc>
        <w:tc>
          <w:tcPr>
            <w:tcW w:w="788" w:type="pct"/>
            <w:tcBorders>
              <w:top w:val="single" w:color="auto" w:sz="4" w:space="0"/>
              <w:left w:val="single" w:color="auto" w:sz="4" w:space="0"/>
              <w:bottom w:val="single" w:color="auto" w:sz="4" w:space="0"/>
              <w:right w:val="single" w:color="auto" w:sz="4" w:space="0"/>
            </w:tcBorders>
            <w:noWrap w:val="0"/>
            <w:vAlign w:val="top"/>
          </w:tcPr>
          <w:p w14:paraId="2B5AF63D">
            <w:pPr>
              <w:snapToGrid w:val="0"/>
              <w:spacing w:before="50" w:after="120" w:afterLines="50" w:line="400" w:lineRule="exact"/>
              <w:jc w:val="left"/>
              <w:rPr>
                <w:rFonts w:hint="eastAsia" w:ascii="宋体" w:hAnsi="宋体"/>
                <w:color w:val="auto"/>
                <w:sz w:val="24"/>
                <w:highlight w:val="none"/>
              </w:rPr>
            </w:pPr>
          </w:p>
        </w:tc>
        <w:tc>
          <w:tcPr>
            <w:tcW w:w="1094" w:type="pct"/>
            <w:tcBorders>
              <w:top w:val="single" w:color="auto" w:sz="4" w:space="0"/>
              <w:left w:val="single" w:color="auto" w:sz="4" w:space="0"/>
              <w:bottom w:val="single" w:color="auto" w:sz="4" w:space="0"/>
              <w:right w:val="single" w:color="auto" w:sz="4" w:space="0"/>
            </w:tcBorders>
            <w:noWrap w:val="0"/>
            <w:vAlign w:val="top"/>
          </w:tcPr>
          <w:p w14:paraId="127CC863">
            <w:pPr>
              <w:snapToGrid w:val="0"/>
              <w:spacing w:before="50" w:after="120" w:afterLines="50" w:line="400" w:lineRule="exact"/>
              <w:jc w:val="left"/>
              <w:rPr>
                <w:rFonts w:hint="eastAsia" w:ascii="宋体" w:hAnsi="宋体"/>
                <w:color w:val="auto"/>
                <w:sz w:val="24"/>
                <w:highlight w:val="none"/>
              </w:rPr>
            </w:pPr>
          </w:p>
        </w:tc>
      </w:tr>
      <w:tr w14:paraId="1C6434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7" w:hRule="atLeast"/>
        </w:trPr>
        <w:tc>
          <w:tcPr>
            <w:tcW w:w="773" w:type="pct"/>
            <w:tcBorders>
              <w:top w:val="single" w:color="auto" w:sz="4" w:space="0"/>
              <w:left w:val="single" w:color="auto" w:sz="4" w:space="0"/>
              <w:bottom w:val="single" w:color="auto" w:sz="4" w:space="0"/>
              <w:right w:val="single" w:color="auto" w:sz="4" w:space="0"/>
            </w:tcBorders>
            <w:noWrap w:val="0"/>
            <w:vAlign w:val="top"/>
          </w:tcPr>
          <w:p w14:paraId="14AE2B74">
            <w:pPr>
              <w:snapToGrid w:val="0"/>
              <w:spacing w:before="50" w:after="120" w:afterLines="50" w:line="400" w:lineRule="exact"/>
              <w:jc w:val="left"/>
              <w:rPr>
                <w:rFonts w:hint="eastAsia" w:ascii="宋体" w:hAnsi="宋体"/>
                <w:color w:val="auto"/>
                <w:sz w:val="24"/>
                <w:highlight w:val="none"/>
              </w:rPr>
            </w:pPr>
          </w:p>
        </w:tc>
        <w:tc>
          <w:tcPr>
            <w:tcW w:w="774" w:type="pct"/>
            <w:tcBorders>
              <w:top w:val="single" w:color="auto" w:sz="4" w:space="0"/>
              <w:left w:val="single" w:color="auto" w:sz="4" w:space="0"/>
              <w:bottom w:val="single" w:color="auto" w:sz="4" w:space="0"/>
              <w:right w:val="single" w:color="auto" w:sz="4" w:space="0"/>
            </w:tcBorders>
            <w:noWrap w:val="0"/>
            <w:vAlign w:val="top"/>
          </w:tcPr>
          <w:p w14:paraId="70BD9C7C">
            <w:pPr>
              <w:snapToGrid w:val="0"/>
              <w:spacing w:before="50" w:after="120" w:afterLines="50" w:line="400" w:lineRule="exact"/>
              <w:jc w:val="left"/>
              <w:rPr>
                <w:rFonts w:hint="eastAsia" w:ascii="宋体" w:hAnsi="宋体"/>
                <w:color w:val="auto"/>
                <w:sz w:val="24"/>
                <w:highlight w:val="none"/>
              </w:rPr>
            </w:pPr>
          </w:p>
        </w:tc>
        <w:tc>
          <w:tcPr>
            <w:tcW w:w="784" w:type="pct"/>
            <w:tcBorders>
              <w:top w:val="single" w:color="auto" w:sz="4" w:space="0"/>
              <w:left w:val="single" w:color="auto" w:sz="4" w:space="0"/>
              <w:bottom w:val="single" w:color="auto" w:sz="4" w:space="0"/>
              <w:right w:val="single" w:color="auto" w:sz="4" w:space="0"/>
            </w:tcBorders>
            <w:noWrap w:val="0"/>
            <w:vAlign w:val="top"/>
          </w:tcPr>
          <w:p w14:paraId="5DCFE869">
            <w:pPr>
              <w:snapToGrid w:val="0"/>
              <w:spacing w:before="50" w:after="120" w:afterLines="50" w:line="400" w:lineRule="exact"/>
              <w:jc w:val="left"/>
              <w:rPr>
                <w:rFonts w:hint="eastAsia" w:ascii="宋体" w:hAnsi="宋体"/>
                <w:color w:val="auto"/>
                <w:sz w:val="24"/>
                <w:highlight w:val="none"/>
              </w:rPr>
            </w:pPr>
          </w:p>
        </w:tc>
        <w:tc>
          <w:tcPr>
            <w:tcW w:w="785" w:type="pct"/>
            <w:tcBorders>
              <w:top w:val="single" w:color="auto" w:sz="4" w:space="0"/>
              <w:left w:val="single" w:color="auto" w:sz="4" w:space="0"/>
              <w:bottom w:val="single" w:color="auto" w:sz="4" w:space="0"/>
              <w:right w:val="single" w:color="auto" w:sz="4" w:space="0"/>
            </w:tcBorders>
            <w:noWrap w:val="0"/>
            <w:vAlign w:val="top"/>
          </w:tcPr>
          <w:p w14:paraId="5CB9C4B8">
            <w:pPr>
              <w:snapToGrid w:val="0"/>
              <w:spacing w:before="50" w:after="120" w:afterLines="50" w:line="400" w:lineRule="exact"/>
              <w:jc w:val="left"/>
              <w:rPr>
                <w:rFonts w:hint="eastAsia" w:ascii="宋体" w:hAnsi="宋体"/>
                <w:color w:val="auto"/>
                <w:sz w:val="24"/>
                <w:highlight w:val="none"/>
              </w:rPr>
            </w:pPr>
          </w:p>
        </w:tc>
        <w:tc>
          <w:tcPr>
            <w:tcW w:w="788" w:type="pct"/>
            <w:tcBorders>
              <w:top w:val="single" w:color="auto" w:sz="4" w:space="0"/>
              <w:left w:val="single" w:color="auto" w:sz="4" w:space="0"/>
              <w:bottom w:val="single" w:color="auto" w:sz="4" w:space="0"/>
              <w:right w:val="single" w:color="auto" w:sz="4" w:space="0"/>
            </w:tcBorders>
            <w:noWrap w:val="0"/>
            <w:vAlign w:val="top"/>
          </w:tcPr>
          <w:p w14:paraId="73DB336D">
            <w:pPr>
              <w:snapToGrid w:val="0"/>
              <w:spacing w:before="50" w:after="120" w:afterLines="50" w:line="400" w:lineRule="exact"/>
              <w:jc w:val="left"/>
              <w:rPr>
                <w:rFonts w:hint="eastAsia" w:ascii="宋体" w:hAnsi="宋体"/>
                <w:color w:val="auto"/>
                <w:sz w:val="24"/>
                <w:highlight w:val="none"/>
              </w:rPr>
            </w:pPr>
          </w:p>
        </w:tc>
        <w:tc>
          <w:tcPr>
            <w:tcW w:w="1094" w:type="pct"/>
            <w:tcBorders>
              <w:top w:val="single" w:color="auto" w:sz="4" w:space="0"/>
              <w:left w:val="single" w:color="auto" w:sz="4" w:space="0"/>
              <w:bottom w:val="single" w:color="auto" w:sz="4" w:space="0"/>
              <w:right w:val="single" w:color="auto" w:sz="4" w:space="0"/>
            </w:tcBorders>
            <w:noWrap w:val="0"/>
            <w:vAlign w:val="top"/>
          </w:tcPr>
          <w:p w14:paraId="38DB3A01">
            <w:pPr>
              <w:snapToGrid w:val="0"/>
              <w:spacing w:before="50" w:after="120" w:afterLines="50" w:line="400" w:lineRule="exact"/>
              <w:jc w:val="left"/>
              <w:rPr>
                <w:rFonts w:hint="eastAsia" w:ascii="宋体" w:hAnsi="宋体"/>
                <w:color w:val="auto"/>
                <w:sz w:val="24"/>
                <w:highlight w:val="none"/>
              </w:rPr>
            </w:pPr>
          </w:p>
        </w:tc>
      </w:tr>
    </w:tbl>
    <w:p w14:paraId="17A0ED6D">
      <w:pPr>
        <w:pStyle w:val="14"/>
        <w:spacing w:before="0" w:after="0" w:line="360" w:lineRule="auto"/>
        <w:contextualSpacing/>
        <w:rPr>
          <w:rFonts w:hint="eastAsia" w:ascii="宋体" w:hAnsi="宋体" w:eastAsia="宋体"/>
          <w:color w:val="auto"/>
          <w:sz w:val="24"/>
          <w:szCs w:val="24"/>
          <w:highlight w:val="none"/>
        </w:rPr>
      </w:pPr>
    </w:p>
    <w:p w14:paraId="3CFD0626">
      <w:pPr>
        <w:pStyle w:val="14"/>
        <w:spacing w:before="0" w:after="0" w:line="360" w:lineRule="auto"/>
        <w:contextualSpacing/>
        <w:jc w:val="left"/>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注：</w:t>
      </w:r>
      <w:r>
        <w:rPr>
          <w:rFonts w:hint="eastAsia" w:ascii="宋体" w:hAnsi="宋体"/>
          <w:color w:val="auto"/>
          <w:sz w:val="24"/>
          <w:highlight w:val="none"/>
          <w:lang w:val="en-US" w:eastAsia="zh-CN"/>
        </w:rPr>
        <w:t>供应商</w:t>
      </w:r>
      <w:r>
        <w:rPr>
          <w:rFonts w:hint="eastAsia" w:ascii="宋体" w:hAnsi="宋体"/>
          <w:color w:val="auto"/>
          <w:sz w:val="24"/>
          <w:highlight w:val="none"/>
        </w:rPr>
        <w:t>根据评</w:t>
      </w:r>
      <w:r>
        <w:rPr>
          <w:rFonts w:hint="eastAsia" w:ascii="宋体" w:hAnsi="宋体"/>
          <w:color w:val="auto"/>
          <w:sz w:val="24"/>
          <w:highlight w:val="none"/>
          <w:lang w:val="en-US" w:eastAsia="zh-CN"/>
        </w:rPr>
        <w:t>审</w:t>
      </w:r>
      <w:r>
        <w:rPr>
          <w:rFonts w:hint="eastAsia" w:ascii="宋体" w:hAnsi="宋体"/>
          <w:color w:val="auto"/>
          <w:sz w:val="24"/>
          <w:highlight w:val="none"/>
        </w:rPr>
        <w:t>标准具体要求附</w:t>
      </w:r>
      <w:r>
        <w:rPr>
          <w:rFonts w:hint="eastAsia" w:ascii="宋体" w:hAnsi="宋体"/>
          <w:color w:val="auto"/>
          <w:sz w:val="24"/>
          <w:highlight w:val="none"/>
          <w:lang w:val="en-US" w:eastAsia="zh-CN"/>
        </w:rPr>
        <w:t>信誉</w:t>
      </w:r>
      <w:r>
        <w:rPr>
          <w:rFonts w:hint="eastAsia" w:ascii="宋体" w:hAnsi="宋体"/>
          <w:color w:val="auto"/>
          <w:sz w:val="24"/>
          <w:highlight w:val="none"/>
        </w:rPr>
        <w:t>证明材料。</w:t>
      </w:r>
    </w:p>
    <w:p w14:paraId="5353F8D0">
      <w:pPr>
        <w:pStyle w:val="14"/>
        <w:spacing w:before="0" w:after="0" w:line="360" w:lineRule="auto"/>
        <w:contextualSpacing/>
        <w:jc w:val="left"/>
        <w:rPr>
          <w:rFonts w:hint="eastAsia" w:ascii="宋体" w:hAnsi="宋体" w:eastAsia="宋体"/>
          <w:color w:val="auto"/>
          <w:sz w:val="24"/>
          <w:szCs w:val="24"/>
          <w:highlight w:val="none"/>
          <w:u w:val="single"/>
        </w:rPr>
      </w:pPr>
      <w:r>
        <w:rPr>
          <w:rFonts w:hint="eastAsia" w:ascii="宋体" w:hAnsi="宋体" w:eastAsia="宋体"/>
          <w:color w:val="auto"/>
          <w:sz w:val="24"/>
          <w:szCs w:val="24"/>
          <w:highlight w:val="none"/>
        </w:rPr>
        <w:t>法定代表人（负责人）或者委托代理人（签字或者电子签名）：</w:t>
      </w:r>
      <w:r>
        <w:rPr>
          <w:rFonts w:hint="eastAsia" w:ascii="宋体" w:hAnsi="宋体" w:eastAsia="宋体"/>
          <w:color w:val="auto"/>
          <w:sz w:val="24"/>
          <w:szCs w:val="24"/>
          <w:highlight w:val="none"/>
          <w:u w:val="single"/>
        </w:rPr>
        <w:t>　　　　　</w:t>
      </w:r>
    </w:p>
    <w:p w14:paraId="152E6D7C">
      <w:pPr>
        <w:spacing w:line="360" w:lineRule="auto"/>
        <w:ind w:right="480"/>
        <w:contextualSpacing/>
        <w:jc w:val="left"/>
        <w:rPr>
          <w:rFonts w:hint="eastAsia" w:ascii="宋体" w:hAnsi="宋体"/>
          <w:color w:val="auto"/>
          <w:sz w:val="24"/>
          <w:szCs w:val="20"/>
          <w:highlight w:val="none"/>
        </w:rPr>
      </w:pPr>
      <w:r>
        <w:rPr>
          <w:rFonts w:hint="eastAsia" w:ascii="宋体" w:hAnsi="宋体" w:cs="Arial"/>
          <w:color w:val="auto"/>
          <w:sz w:val="24"/>
          <w:highlight w:val="none"/>
          <w:lang w:val="en-US" w:eastAsia="zh-CN"/>
        </w:rPr>
        <w:t>供应商</w:t>
      </w:r>
      <w:r>
        <w:rPr>
          <w:rFonts w:hint="eastAsia" w:ascii="宋体" w:hAnsi="宋体" w:cs="Arial"/>
          <w:color w:val="auto"/>
          <w:sz w:val="24"/>
          <w:highlight w:val="none"/>
        </w:rPr>
        <w:t xml:space="preserve">名称（电子签章）： </w:t>
      </w:r>
      <w:r>
        <w:rPr>
          <w:rFonts w:hint="eastAsia" w:ascii="宋体" w:hAnsi="宋体"/>
          <w:color w:val="auto"/>
          <w:sz w:val="24"/>
          <w:highlight w:val="none"/>
          <w:u w:val="single"/>
        </w:rPr>
        <w:t xml:space="preserve">                </w:t>
      </w:r>
      <w:r>
        <w:rPr>
          <w:rFonts w:hint="eastAsia" w:ascii="宋体" w:hAnsi="宋体"/>
          <w:color w:val="auto"/>
          <w:sz w:val="24"/>
          <w:highlight w:val="none"/>
        </w:rPr>
        <w:t xml:space="preserve">                                                               年    月    日</w:t>
      </w:r>
    </w:p>
    <w:p w14:paraId="13E873A6">
      <w:pPr>
        <w:spacing w:line="360" w:lineRule="auto"/>
        <w:rPr>
          <w:rFonts w:ascii="宋体" w:hAnsi="宋体"/>
          <w:color w:val="auto"/>
          <w:szCs w:val="21"/>
          <w:highlight w:val="none"/>
        </w:rPr>
      </w:pPr>
      <w:r>
        <w:rPr>
          <w:rFonts w:ascii="宋体" w:hAnsi="宋体"/>
          <w:b/>
          <w:bCs/>
          <w:color w:val="auto"/>
          <w:sz w:val="24"/>
          <w:highlight w:val="none"/>
        </w:rPr>
        <w:br w:type="page"/>
      </w:r>
      <w:r>
        <w:rPr>
          <w:rFonts w:hint="eastAsia" w:ascii="宋体" w:hAnsi="宋体"/>
          <w:b/>
          <w:bCs/>
          <w:color w:val="auto"/>
          <w:sz w:val="24"/>
          <w:highlight w:val="none"/>
        </w:rPr>
        <w:t>其他文书、文件格式</w:t>
      </w:r>
    </w:p>
    <w:p w14:paraId="4680F339">
      <w:pPr>
        <w:spacing w:line="360" w:lineRule="auto"/>
        <w:jc w:val="center"/>
        <w:rPr>
          <w:rFonts w:ascii="宋体" w:hAnsi="宋体"/>
          <w:b/>
          <w:bCs/>
          <w:color w:val="auto"/>
          <w:sz w:val="32"/>
          <w:szCs w:val="32"/>
          <w:highlight w:val="none"/>
        </w:rPr>
      </w:pPr>
      <w:r>
        <w:rPr>
          <w:rFonts w:hint="eastAsia" w:ascii="方正小标宋简体" w:hAnsi="方正小标宋简体" w:eastAsia="方正小标宋简体" w:cs="方正小标宋简体"/>
          <w:color w:val="auto"/>
          <w:sz w:val="44"/>
          <w:szCs w:val="44"/>
          <w:highlight w:val="none"/>
        </w:rPr>
        <w:t>质疑函（格式）</w:t>
      </w:r>
    </w:p>
    <w:p w14:paraId="712E305A">
      <w:pPr>
        <w:pStyle w:val="24"/>
        <w:spacing w:line="360" w:lineRule="auto"/>
        <w:ind w:firstLine="482" w:firstLineChars="200"/>
        <w:contextualSpacing/>
        <w:rPr>
          <w:rFonts w:hAnsi="宋体"/>
          <w:b/>
          <w:bCs/>
          <w:color w:val="auto"/>
          <w:sz w:val="24"/>
          <w:szCs w:val="24"/>
          <w:highlight w:val="none"/>
        </w:rPr>
      </w:pPr>
      <w:r>
        <w:rPr>
          <w:rFonts w:hint="eastAsia" w:hAnsi="宋体"/>
          <w:b/>
          <w:bCs/>
          <w:color w:val="auto"/>
          <w:sz w:val="24"/>
          <w:szCs w:val="24"/>
          <w:highlight w:val="none"/>
        </w:rPr>
        <w:t>一、质疑供应商基本信息：</w:t>
      </w:r>
    </w:p>
    <w:p w14:paraId="49575F47">
      <w:pPr>
        <w:pStyle w:val="24"/>
        <w:spacing w:line="360" w:lineRule="auto"/>
        <w:ind w:firstLine="480" w:firstLineChars="200"/>
        <w:contextualSpacing/>
        <w:rPr>
          <w:rFonts w:hAnsi="宋体"/>
          <w:bCs/>
          <w:color w:val="auto"/>
          <w:sz w:val="24"/>
          <w:szCs w:val="24"/>
          <w:highlight w:val="none"/>
          <w:u w:val="single"/>
        </w:rPr>
      </w:pPr>
      <w:r>
        <w:rPr>
          <w:rFonts w:hint="eastAsia" w:hAnsi="宋体"/>
          <w:bCs/>
          <w:color w:val="auto"/>
          <w:sz w:val="24"/>
          <w:szCs w:val="24"/>
          <w:highlight w:val="none"/>
        </w:rPr>
        <w:t>质疑供应商：</w:t>
      </w:r>
    </w:p>
    <w:p w14:paraId="1BBDB72E">
      <w:pPr>
        <w:pStyle w:val="24"/>
        <w:spacing w:line="360" w:lineRule="auto"/>
        <w:ind w:firstLine="480" w:firstLineChars="200"/>
        <w:contextualSpacing/>
        <w:rPr>
          <w:rFonts w:hAnsi="宋体"/>
          <w:bCs/>
          <w:color w:val="auto"/>
          <w:sz w:val="24"/>
          <w:szCs w:val="24"/>
          <w:highlight w:val="none"/>
        </w:rPr>
      </w:pPr>
      <w:r>
        <w:rPr>
          <w:rFonts w:hAnsi="宋体"/>
          <w:bCs/>
          <w:color w:val="auto"/>
          <w:sz w:val="24"/>
          <w:szCs w:val="24"/>
          <w:highlight w:val="none"/>
        </w:rPr>
        <w:t>地址</w:t>
      </w:r>
      <w:r>
        <w:rPr>
          <w:rFonts w:hint="eastAsia" w:hAnsi="宋体"/>
          <w:bCs/>
          <w:color w:val="auto"/>
          <w:sz w:val="24"/>
          <w:szCs w:val="24"/>
          <w:highlight w:val="none"/>
        </w:rPr>
        <w:t>：</w:t>
      </w:r>
      <w:r>
        <w:rPr>
          <w:rFonts w:hAnsi="宋体"/>
          <w:bCs/>
          <w:color w:val="auto"/>
          <w:sz w:val="24"/>
          <w:szCs w:val="24"/>
          <w:highlight w:val="none"/>
        </w:rPr>
        <w:t>邮编</w:t>
      </w:r>
      <w:r>
        <w:rPr>
          <w:rFonts w:hint="eastAsia" w:hAnsi="宋体"/>
          <w:bCs/>
          <w:color w:val="auto"/>
          <w:sz w:val="24"/>
          <w:szCs w:val="24"/>
          <w:highlight w:val="none"/>
        </w:rPr>
        <w:t>：</w:t>
      </w:r>
    </w:p>
    <w:p w14:paraId="618B301F">
      <w:pPr>
        <w:pStyle w:val="24"/>
        <w:spacing w:line="360" w:lineRule="auto"/>
        <w:ind w:firstLine="480" w:firstLineChars="200"/>
        <w:contextualSpacing/>
        <w:rPr>
          <w:rFonts w:hAnsi="宋体"/>
          <w:bCs/>
          <w:color w:val="auto"/>
          <w:sz w:val="24"/>
          <w:szCs w:val="24"/>
          <w:highlight w:val="none"/>
        </w:rPr>
      </w:pPr>
      <w:r>
        <w:rPr>
          <w:rFonts w:hAnsi="宋体"/>
          <w:bCs/>
          <w:color w:val="auto"/>
          <w:sz w:val="24"/>
          <w:szCs w:val="24"/>
          <w:highlight w:val="none"/>
        </w:rPr>
        <w:t>联系人</w:t>
      </w:r>
      <w:r>
        <w:rPr>
          <w:rFonts w:hint="eastAsia" w:hAnsi="宋体"/>
          <w:bCs/>
          <w:color w:val="auto"/>
          <w:sz w:val="24"/>
          <w:szCs w:val="24"/>
          <w:highlight w:val="none"/>
        </w:rPr>
        <w:t>：</w:t>
      </w:r>
      <w:r>
        <w:rPr>
          <w:rFonts w:hAnsi="宋体"/>
          <w:bCs/>
          <w:color w:val="auto"/>
          <w:sz w:val="24"/>
          <w:szCs w:val="24"/>
          <w:highlight w:val="none"/>
        </w:rPr>
        <w:t>联系电话</w:t>
      </w:r>
      <w:r>
        <w:rPr>
          <w:rFonts w:hint="eastAsia" w:hAnsi="宋体"/>
          <w:bCs/>
          <w:color w:val="auto"/>
          <w:sz w:val="24"/>
          <w:szCs w:val="24"/>
          <w:highlight w:val="none"/>
        </w:rPr>
        <w:t>：</w:t>
      </w:r>
    </w:p>
    <w:p w14:paraId="4F0990A0">
      <w:pPr>
        <w:pStyle w:val="24"/>
        <w:spacing w:line="360" w:lineRule="auto"/>
        <w:ind w:firstLine="480" w:firstLineChars="200"/>
        <w:contextualSpacing/>
        <w:rPr>
          <w:rFonts w:hAnsi="宋体"/>
          <w:bCs/>
          <w:color w:val="auto"/>
          <w:sz w:val="24"/>
          <w:szCs w:val="24"/>
          <w:highlight w:val="none"/>
        </w:rPr>
      </w:pPr>
      <w:r>
        <w:rPr>
          <w:rFonts w:hint="eastAsia" w:hAnsi="宋体"/>
          <w:bCs/>
          <w:color w:val="auto"/>
          <w:sz w:val="24"/>
          <w:szCs w:val="24"/>
          <w:highlight w:val="none"/>
        </w:rPr>
        <w:t>授权代表：</w:t>
      </w:r>
    </w:p>
    <w:p w14:paraId="1E85705D">
      <w:pPr>
        <w:pStyle w:val="24"/>
        <w:spacing w:line="360" w:lineRule="auto"/>
        <w:ind w:firstLine="480" w:firstLineChars="200"/>
        <w:contextualSpacing/>
        <w:rPr>
          <w:rFonts w:hAnsi="宋体"/>
          <w:bCs/>
          <w:color w:val="auto"/>
          <w:sz w:val="24"/>
          <w:szCs w:val="24"/>
          <w:highlight w:val="none"/>
          <w:u w:val="single"/>
        </w:rPr>
      </w:pPr>
      <w:r>
        <w:rPr>
          <w:rFonts w:hAnsi="宋体"/>
          <w:bCs/>
          <w:color w:val="auto"/>
          <w:sz w:val="24"/>
          <w:szCs w:val="24"/>
          <w:highlight w:val="none"/>
        </w:rPr>
        <w:t>联系</w:t>
      </w:r>
      <w:r>
        <w:rPr>
          <w:rFonts w:hint="eastAsia" w:hAnsi="宋体"/>
          <w:bCs/>
          <w:color w:val="auto"/>
          <w:sz w:val="24"/>
          <w:szCs w:val="24"/>
          <w:highlight w:val="none"/>
        </w:rPr>
        <w:t>电话：</w:t>
      </w:r>
    </w:p>
    <w:p w14:paraId="6D899ADA">
      <w:pPr>
        <w:pStyle w:val="24"/>
        <w:spacing w:line="360" w:lineRule="auto"/>
        <w:ind w:firstLine="480" w:firstLineChars="200"/>
        <w:contextualSpacing/>
        <w:rPr>
          <w:rFonts w:hAnsi="宋体"/>
          <w:bCs/>
          <w:color w:val="auto"/>
          <w:sz w:val="24"/>
          <w:szCs w:val="24"/>
          <w:highlight w:val="none"/>
        </w:rPr>
      </w:pPr>
      <w:r>
        <w:rPr>
          <w:rFonts w:hAnsi="宋体"/>
          <w:bCs/>
          <w:color w:val="auto"/>
          <w:sz w:val="24"/>
          <w:szCs w:val="24"/>
          <w:highlight w:val="none"/>
        </w:rPr>
        <w:t>地址</w:t>
      </w:r>
      <w:r>
        <w:rPr>
          <w:rFonts w:hint="eastAsia" w:hAnsi="宋体"/>
          <w:bCs/>
          <w:color w:val="auto"/>
          <w:sz w:val="24"/>
          <w:szCs w:val="24"/>
          <w:highlight w:val="none"/>
        </w:rPr>
        <w:t>：</w:t>
      </w:r>
      <w:r>
        <w:rPr>
          <w:rFonts w:hAnsi="宋体"/>
          <w:bCs/>
          <w:color w:val="auto"/>
          <w:sz w:val="24"/>
          <w:szCs w:val="24"/>
          <w:highlight w:val="none"/>
        </w:rPr>
        <w:t>邮编</w:t>
      </w:r>
      <w:r>
        <w:rPr>
          <w:rFonts w:hint="eastAsia" w:hAnsi="宋体"/>
          <w:bCs/>
          <w:color w:val="auto"/>
          <w:sz w:val="24"/>
          <w:szCs w:val="24"/>
          <w:highlight w:val="none"/>
        </w:rPr>
        <w:t>：</w:t>
      </w:r>
    </w:p>
    <w:p w14:paraId="1BDBA932">
      <w:pPr>
        <w:pStyle w:val="24"/>
        <w:spacing w:line="360" w:lineRule="auto"/>
        <w:ind w:firstLine="482" w:firstLineChars="200"/>
        <w:contextualSpacing/>
        <w:rPr>
          <w:rFonts w:hAnsi="宋体"/>
          <w:b/>
          <w:bCs/>
          <w:color w:val="auto"/>
          <w:sz w:val="24"/>
          <w:szCs w:val="24"/>
          <w:highlight w:val="none"/>
        </w:rPr>
      </w:pPr>
      <w:r>
        <w:rPr>
          <w:rFonts w:hint="eastAsia" w:hAnsi="宋体"/>
          <w:b/>
          <w:bCs/>
          <w:color w:val="auto"/>
          <w:sz w:val="24"/>
          <w:szCs w:val="24"/>
          <w:highlight w:val="none"/>
        </w:rPr>
        <w:t>二、质疑项目基本情况：</w:t>
      </w:r>
    </w:p>
    <w:p w14:paraId="0F90C48A">
      <w:pPr>
        <w:pStyle w:val="24"/>
        <w:spacing w:line="360" w:lineRule="auto"/>
        <w:ind w:left="25" w:leftChars="12" w:firstLine="472" w:firstLineChars="197"/>
        <w:contextualSpacing/>
        <w:rPr>
          <w:rFonts w:hAnsi="宋体"/>
          <w:color w:val="auto"/>
          <w:sz w:val="24"/>
          <w:szCs w:val="24"/>
          <w:highlight w:val="none"/>
        </w:rPr>
      </w:pPr>
      <w:r>
        <w:rPr>
          <w:rFonts w:hint="eastAsia" w:hAnsi="宋体"/>
          <w:bCs/>
          <w:color w:val="auto"/>
          <w:sz w:val="24"/>
          <w:szCs w:val="24"/>
          <w:highlight w:val="none"/>
        </w:rPr>
        <w:t>质疑</w:t>
      </w:r>
      <w:r>
        <w:rPr>
          <w:rFonts w:hint="eastAsia" w:hAnsi="宋体"/>
          <w:color w:val="auto"/>
          <w:sz w:val="24"/>
          <w:szCs w:val="24"/>
          <w:highlight w:val="none"/>
        </w:rPr>
        <w:t>项目的名称：</w:t>
      </w:r>
    </w:p>
    <w:p w14:paraId="21B1AC8C">
      <w:pPr>
        <w:pStyle w:val="24"/>
        <w:spacing w:line="360" w:lineRule="auto"/>
        <w:ind w:left="25" w:leftChars="12" w:firstLine="472" w:firstLineChars="197"/>
        <w:contextualSpacing/>
        <w:rPr>
          <w:rFonts w:hAnsi="宋体"/>
          <w:color w:val="auto"/>
          <w:sz w:val="24"/>
          <w:szCs w:val="24"/>
          <w:highlight w:val="none"/>
        </w:rPr>
      </w:pPr>
      <w:r>
        <w:rPr>
          <w:rFonts w:hint="eastAsia" w:hAnsi="宋体"/>
          <w:bCs/>
          <w:color w:val="auto"/>
          <w:sz w:val="24"/>
          <w:szCs w:val="24"/>
          <w:highlight w:val="none"/>
        </w:rPr>
        <w:t>质疑</w:t>
      </w:r>
      <w:r>
        <w:rPr>
          <w:rFonts w:hint="eastAsia" w:hAnsi="宋体"/>
          <w:color w:val="auto"/>
          <w:sz w:val="24"/>
          <w:szCs w:val="24"/>
          <w:highlight w:val="none"/>
        </w:rPr>
        <w:t>项目的编号：</w:t>
      </w:r>
    </w:p>
    <w:p w14:paraId="0F9856E3">
      <w:pPr>
        <w:pStyle w:val="24"/>
        <w:spacing w:line="360" w:lineRule="auto"/>
        <w:ind w:left="25" w:leftChars="12" w:firstLine="472" w:firstLineChars="197"/>
        <w:contextualSpacing/>
        <w:rPr>
          <w:rFonts w:hAnsi="宋体"/>
          <w:color w:val="auto"/>
          <w:sz w:val="24"/>
          <w:szCs w:val="24"/>
          <w:highlight w:val="none"/>
        </w:rPr>
      </w:pPr>
      <w:r>
        <w:rPr>
          <w:rFonts w:hint="eastAsia" w:hAnsi="宋体"/>
          <w:color w:val="auto"/>
          <w:sz w:val="24"/>
          <w:szCs w:val="24"/>
          <w:highlight w:val="none"/>
        </w:rPr>
        <w:t>采购人名称：</w:t>
      </w:r>
    </w:p>
    <w:p w14:paraId="1BBD1C11">
      <w:pPr>
        <w:pStyle w:val="24"/>
        <w:spacing w:line="360" w:lineRule="auto"/>
        <w:ind w:left="25" w:leftChars="12" w:firstLine="472" w:firstLineChars="197"/>
        <w:contextualSpacing/>
        <w:rPr>
          <w:rFonts w:hAnsi="宋体"/>
          <w:color w:val="auto"/>
          <w:sz w:val="24"/>
          <w:szCs w:val="24"/>
          <w:highlight w:val="none"/>
        </w:rPr>
      </w:pPr>
      <w:r>
        <w:rPr>
          <w:rFonts w:hint="eastAsia" w:hAnsi="宋体"/>
          <w:color w:val="auto"/>
          <w:sz w:val="24"/>
          <w:szCs w:val="24"/>
          <w:highlight w:val="none"/>
        </w:rPr>
        <w:t>质疑事项：</w:t>
      </w:r>
    </w:p>
    <w:p w14:paraId="740D21BA">
      <w:pPr>
        <w:pStyle w:val="24"/>
        <w:spacing w:line="360" w:lineRule="auto"/>
        <w:ind w:left="25" w:leftChars="12" w:firstLine="352" w:firstLineChars="147"/>
        <w:contextualSpacing/>
        <w:rPr>
          <w:rFonts w:hAnsi="宋体"/>
          <w:color w:val="auto"/>
          <w:sz w:val="24"/>
          <w:szCs w:val="24"/>
          <w:highlight w:val="none"/>
        </w:rPr>
      </w:pPr>
      <w:r>
        <w:rPr>
          <w:rFonts w:hint="eastAsia" w:hAnsi="宋体"/>
          <w:color w:val="auto"/>
          <w:sz w:val="24"/>
          <w:szCs w:val="24"/>
          <w:highlight w:val="none"/>
        </w:rPr>
        <w:t>□采购文件   采购文件获取日期：</w:t>
      </w:r>
    </w:p>
    <w:p w14:paraId="53DF7DAA">
      <w:pPr>
        <w:pStyle w:val="24"/>
        <w:spacing w:line="360" w:lineRule="auto"/>
        <w:ind w:left="25" w:leftChars="12" w:firstLine="352" w:firstLineChars="147"/>
        <w:contextualSpacing/>
        <w:rPr>
          <w:rFonts w:hAnsi="宋体"/>
          <w:color w:val="auto"/>
          <w:sz w:val="24"/>
          <w:szCs w:val="24"/>
          <w:highlight w:val="none"/>
        </w:rPr>
      </w:pPr>
      <w:r>
        <w:rPr>
          <w:rFonts w:hint="eastAsia" w:hAnsi="宋体"/>
          <w:color w:val="auto"/>
          <w:sz w:val="24"/>
          <w:szCs w:val="24"/>
          <w:highlight w:val="none"/>
        </w:rPr>
        <w:t xml:space="preserve">□采购过程   </w:t>
      </w:r>
    </w:p>
    <w:p w14:paraId="433663C2">
      <w:pPr>
        <w:pStyle w:val="24"/>
        <w:spacing w:line="360" w:lineRule="auto"/>
        <w:ind w:left="25" w:leftChars="12" w:firstLine="352" w:firstLineChars="147"/>
        <w:contextualSpacing/>
        <w:rPr>
          <w:rFonts w:hAnsi="宋体"/>
          <w:bCs/>
          <w:color w:val="auto"/>
          <w:sz w:val="24"/>
          <w:szCs w:val="24"/>
          <w:highlight w:val="none"/>
          <w:u w:val="single"/>
        </w:rPr>
      </w:pPr>
      <w:r>
        <w:rPr>
          <w:rFonts w:hint="eastAsia" w:hAnsi="宋体"/>
          <w:color w:val="auto"/>
          <w:sz w:val="24"/>
          <w:szCs w:val="24"/>
          <w:highlight w:val="none"/>
        </w:rPr>
        <w:t xml:space="preserve">□成交结果   </w:t>
      </w:r>
    </w:p>
    <w:p w14:paraId="2C7DE30D">
      <w:pPr>
        <w:pStyle w:val="24"/>
        <w:spacing w:line="360" w:lineRule="auto"/>
        <w:ind w:left="25" w:leftChars="12" w:firstLine="472" w:firstLineChars="196"/>
        <w:contextualSpacing/>
        <w:rPr>
          <w:rFonts w:hAnsi="宋体"/>
          <w:b/>
          <w:color w:val="auto"/>
          <w:sz w:val="24"/>
          <w:szCs w:val="24"/>
          <w:highlight w:val="none"/>
        </w:rPr>
      </w:pPr>
      <w:r>
        <w:rPr>
          <w:rFonts w:hint="eastAsia" w:hAnsi="宋体"/>
          <w:b/>
          <w:color w:val="auto"/>
          <w:sz w:val="24"/>
          <w:szCs w:val="24"/>
          <w:highlight w:val="none"/>
        </w:rPr>
        <w:t>三、质疑事项具体内容</w:t>
      </w:r>
    </w:p>
    <w:p w14:paraId="22049704">
      <w:pPr>
        <w:pStyle w:val="24"/>
        <w:spacing w:line="360" w:lineRule="auto"/>
        <w:ind w:left="25" w:leftChars="12" w:firstLine="472" w:firstLineChars="197"/>
        <w:contextualSpacing/>
        <w:rPr>
          <w:rFonts w:hAnsi="宋体"/>
          <w:color w:val="auto"/>
          <w:sz w:val="24"/>
          <w:szCs w:val="24"/>
          <w:highlight w:val="none"/>
        </w:rPr>
      </w:pPr>
      <w:r>
        <w:rPr>
          <w:rFonts w:hint="eastAsia" w:hAnsi="宋体"/>
          <w:color w:val="auto"/>
          <w:sz w:val="24"/>
          <w:szCs w:val="24"/>
          <w:highlight w:val="none"/>
        </w:rPr>
        <w:t>质疑事项1：</w:t>
      </w:r>
    </w:p>
    <w:p w14:paraId="385966DC">
      <w:pPr>
        <w:pStyle w:val="24"/>
        <w:spacing w:line="360" w:lineRule="auto"/>
        <w:ind w:left="25" w:leftChars="12" w:firstLine="472" w:firstLineChars="197"/>
        <w:contextualSpacing/>
        <w:rPr>
          <w:rFonts w:hAnsi="宋体"/>
          <w:color w:val="auto"/>
          <w:sz w:val="24"/>
          <w:szCs w:val="24"/>
          <w:highlight w:val="none"/>
        </w:rPr>
      </w:pPr>
      <w:r>
        <w:rPr>
          <w:rFonts w:hint="eastAsia" w:hAnsi="宋体"/>
          <w:color w:val="auto"/>
          <w:sz w:val="24"/>
          <w:szCs w:val="24"/>
          <w:highlight w:val="none"/>
        </w:rPr>
        <w:t>事实依据：</w:t>
      </w:r>
    </w:p>
    <w:p w14:paraId="15261B7D">
      <w:pPr>
        <w:pStyle w:val="24"/>
        <w:spacing w:line="360" w:lineRule="auto"/>
        <w:ind w:left="25" w:leftChars="12" w:firstLine="472" w:firstLineChars="197"/>
        <w:contextualSpacing/>
        <w:rPr>
          <w:rFonts w:hAnsi="宋体"/>
          <w:color w:val="auto"/>
          <w:sz w:val="24"/>
          <w:szCs w:val="24"/>
          <w:highlight w:val="none"/>
        </w:rPr>
      </w:pPr>
      <w:r>
        <w:rPr>
          <w:rFonts w:hint="eastAsia" w:hAnsi="宋体"/>
          <w:color w:val="auto"/>
          <w:sz w:val="24"/>
          <w:szCs w:val="24"/>
          <w:highlight w:val="none"/>
        </w:rPr>
        <w:t>法律依据：</w:t>
      </w:r>
    </w:p>
    <w:p w14:paraId="7FF11D8A">
      <w:pPr>
        <w:pStyle w:val="24"/>
        <w:spacing w:line="360" w:lineRule="auto"/>
        <w:ind w:left="25" w:leftChars="12" w:firstLine="472" w:firstLineChars="197"/>
        <w:contextualSpacing/>
        <w:rPr>
          <w:rFonts w:hAnsi="宋体"/>
          <w:color w:val="auto"/>
          <w:sz w:val="24"/>
          <w:szCs w:val="24"/>
          <w:highlight w:val="none"/>
        </w:rPr>
      </w:pPr>
      <w:r>
        <w:rPr>
          <w:rFonts w:hint="eastAsia" w:hAnsi="宋体"/>
          <w:color w:val="auto"/>
          <w:sz w:val="24"/>
          <w:szCs w:val="24"/>
          <w:highlight w:val="none"/>
        </w:rPr>
        <w:t>质疑事项2</w:t>
      </w:r>
    </w:p>
    <w:p w14:paraId="15D24F87">
      <w:pPr>
        <w:pStyle w:val="24"/>
        <w:spacing w:line="360" w:lineRule="auto"/>
        <w:ind w:left="25" w:leftChars="12" w:firstLine="472" w:firstLineChars="197"/>
        <w:contextualSpacing/>
        <w:rPr>
          <w:rFonts w:hAnsi="宋体"/>
          <w:color w:val="auto"/>
          <w:sz w:val="24"/>
          <w:szCs w:val="24"/>
          <w:highlight w:val="none"/>
        </w:rPr>
      </w:pPr>
      <w:r>
        <w:rPr>
          <w:rFonts w:hAnsi="宋体"/>
          <w:color w:val="auto"/>
          <w:sz w:val="24"/>
          <w:szCs w:val="24"/>
          <w:highlight w:val="none"/>
        </w:rPr>
        <w:t>……</w:t>
      </w:r>
    </w:p>
    <w:p w14:paraId="45729BF3">
      <w:pPr>
        <w:pStyle w:val="24"/>
        <w:spacing w:line="360" w:lineRule="auto"/>
        <w:ind w:left="25" w:leftChars="12" w:firstLine="472" w:firstLineChars="197"/>
        <w:contextualSpacing/>
        <w:rPr>
          <w:rFonts w:hAnsi="宋体"/>
          <w:color w:val="auto"/>
          <w:sz w:val="24"/>
          <w:szCs w:val="24"/>
          <w:highlight w:val="none"/>
        </w:rPr>
      </w:pPr>
      <w:r>
        <w:rPr>
          <w:rFonts w:hint="eastAsia" w:hAnsi="宋体"/>
          <w:color w:val="auto"/>
          <w:sz w:val="24"/>
          <w:szCs w:val="24"/>
          <w:highlight w:val="none"/>
        </w:rPr>
        <w:t>四、与质疑事项相关的质疑请求：</w:t>
      </w:r>
    </w:p>
    <w:p w14:paraId="6FAB1041">
      <w:pPr>
        <w:pStyle w:val="24"/>
        <w:spacing w:line="360" w:lineRule="auto"/>
        <w:ind w:left="25" w:leftChars="12" w:firstLine="472" w:firstLineChars="197"/>
        <w:contextualSpacing/>
        <w:rPr>
          <w:rFonts w:hAnsi="宋体"/>
          <w:color w:val="auto"/>
          <w:sz w:val="24"/>
          <w:szCs w:val="24"/>
          <w:highlight w:val="none"/>
        </w:rPr>
      </w:pPr>
      <w:r>
        <w:rPr>
          <w:rFonts w:hint="eastAsia" w:hAnsi="宋体"/>
          <w:color w:val="auto"/>
          <w:sz w:val="24"/>
          <w:szCs w:val="24"/>
          <w:highlight w:val="none"/>
        </w:rPr>
        <w:t>请求：</w:t>
      </w:r>
    </w:p>
    <w:p w14:paraId="5EB605C0">
      <w:pPr>
        <w:pStyle w:val="24"/>
        <w:spacing w:line="360" w:lineRule="auto"/>
        <w:ind w:left="25" w:leftChars="12" w:firstLine="352" w:firstLineChars="147"/>
        <w:contextualSpacing/>
        <w:rPr>
          <w:rFonts w:hAnsi="宋体"/>
          <w:color w:val="auto"/>
          <w:sz w:val="24"/>
          <w:szCs w:val="24"/>
          <w:highlight w:val="none"/>
        </w:rPr>
      </w:pPr>
    </w:p>
    <w:p w14:paraId="499872B9">
      <w:pPr>
        <w:pStyle w:val="24"/>
        <w:spacing w:line="360" w:lineRule="auto"/>
        <w:ind w:left="25" w:leftChars="12" w:firstLine="472" w:firstLineChars="197"/>
        <w:contextualSpacing/>
        <w:rPr>
          <w:rFonts w:hAnsi="宋体"/>
          <w:color w:val="auto"/>
          <w:sz w:val="24"/>
          <w:szCs w:val="24"/>
          <w:highlight w:val="none"/>
        </w:rPr>
      </w:pPr>
      <w:r>
        <w:rPr>
          <w:rFonts w:hint="eastAsia" w:hAnsi="宋体"/>
          <w:color w:val="auto"/>
          <w:sz w:val="24"/>
          <w:szCs w:val="24"/>
          <w:highlight w:val="none"/>
        </w:rPr>
        <w:t>签字（签章）：                                       公章：</w:t>
      </w:r>
    </w:p>
    <w:p w14:paraId="54EBF2E4">
      <w:pPr>
        <w:pStyle w:val="24"/>
        <w:spacing w:line="360" w:lineRule="auto"/>
        <w:ind w:firstLine="480" w:firstLineChars="200"/>
        <w:contextualSpacing/>
        <w:rPr>
          <w:rFonts w:hAnsi="宋体"/>
          <w:b/>
          <w:color w:val="auto"/>
          <w:sz w:val="24"/>
          <w:szCs w:val="24"/>
          <w:highlight w:val="none"/>
        </w:rPr>
      </w:pPr>
      <w:r>
        <w:rPr>
          <w:rFonts w:hint="eastAsia" w:hAnsi="宋体"/>
          <w:color w:val="auto"/>
          <w:sz w:val="24"/>
          <w:szCs w:val="24"/>
          <w:highlight w:val="none"/>
        </w:rPr>
        <w:t>日期：</w:t>
      </w:r>
    </w:p>
    <w:p w14:paraId="6C4EB38D">
      <w:pPr>
        <w:pStyle w:val="24"/>
        <w:spacing w:line="360" w:lineRule="auto"/>
        <w:contextualSpacing/>
        <w:rPr>
          <w:rFonts w:hAnsi="宋体"/>
          <w:b/>
          <w:color w:val="auto"/>
          <w:sz w:val="24"/>
          <w:szCs w:val="24"/>
          <w:highlight w:val="none"/>
        </w:rPr>
      </w:pPr>
      <w:r>
        <w:rPr>
          <w:rFonts w:hint="eastAsia" w:hAnsi="宋体"/>
          <w:b/>
          <w:color w:val="auto"/>
          <w:sz w:val="24"/>
          <w:szCs w:val="24"/>
          <w:highlight w:val="none"/>
        </w:rPr>
        <w:t>说明：</w:t>
      </w:r>
    </w:p>
    <w:p w14:paraId="6E03E584">
      <w:pPr>
        <w:pStyle w:val="24"/>
        <w:spacing w:line="360" w:lineRule="auto"/>
        <w:ind w:left="25" w:leftChars="12" w:firstLine="354" w:firstLineChars="147"/>
        <w:contextualSpacing/>
        <w:rPr>
          <w:rFonts w:hAnsi="宋体"/>
          <w:b/>
          <w:bCs/>
          <w:color w:val="auto"/>
          <w:sz w:val="24"/>
          <w:szCs w:val="24"/>
          <w:highlight w:val="none"/>
        </w:rPr>
      </w:pPr>
      <w:r>
        <w:rPr>
          <w:rFonts w:hint="eastAsia" w:hAnsi="宋体"/>
          <w:b/>
          <w:color w:val="auto"/>
          <w:sz w:val="24"/>
          <w:szCs w:val="24"/>
          <w:highlight w:val="none"/>
        </w:rPr>
        <w:t>1.供应商提出质疑时，应提交质疑函和必要的证明材料</w:t>
      </w:r>
      <w:r>
        <w:rPr>
          <w:rFonts w:hint="eastAsia" w:hAnsi="宋体"/>
          <w:b/>
          <w:bCs/>
          <w:color w:val="auto"/>
          <w:sz w:val="24"/>
          <w:szCs w:val="24"/>
          <w:highlight w:val="none"/>
        </w:rPr>
        <w:t>。</w:t>
      </w:r>
    </w:p>
    <w:p w14:paraId="729FAA89">
      <w:pPr>
        <w:pStyle w:val="24"/>
        <w:spacing w:line="360" w:lineRule="auto"/>
        <w:ind w:left="25" w:leftChars="12" w:firstLine="354" w:firstLineChars="147"/>
        <w:contextualSpacing/>
        <w:rPr>
          <w:rFonts w:hAnsi="宋体"/>
          <w:b/>
          <w:color w:val="auto"/>
          <w:sz w:val="24"/>
          <w:szCs w:val="24"/>
          <w:highlight w:val="none"/>
        </w:rPr>
      </w:pPr>
      <w:r>
        <w:rPr>
          <w:rFonts w:hint="eastAsia" w:hAnsi="宋体"/>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D503B73">
      <w:pPr>
        <w:pStyle w:val="24"/>
        <w:spacing w:line="360" w:lineRule="auto"/>
        <w:ind w:left="25" w:leftChars="12" w:firstLine="354" w:firstLineChars="147"/>
        <w:contextualSpacing/>
        <w:rPr>
          <w:rFonts w:hAnsi="宋体"/>
          <w:b/>
          <w:color w:val="auto"/>
          <w:sz w:val="24"/>
          <w:szCs w:val="24"/>
          <w:highlight w:val="none"/>
        </w:rPr>
      </w:pPr>
      <w:r>
        <w:rPr>
          <w:rFonts w:hint="eastAsia" w:hAnsi="宋体"/>
          <w:b/>
          <w:color w:val="auto"/>
          <w:sz w:val="24"/>
          <w:szCs w:val="24"/>
          <w:highlight w:val="none"/>
        </w:rPr>
        <w:t>3.质疑函的质疑事项应具体、明确，并有必要的事实依据和法律依据。</w:t>
      </w:r>
    </w:p>
    <w:p w14:paraId="5B68A36C">
      <w:pPr>
        <w:pStyle w:val="24"/>
        <w:spacing w:line="360" w:lineRule="auto"/>
        <w:ind w:left="25" w:leftChars="12" w:firstLine="354" w:firstLineChars="147"/>
        <w:contextualSpacing/>
        <w:rPr>
          <w:rFonts w:hAnsi="宋体"/>
          <w:b/>
          <w:color w:val="auto"/>
          <w:sz w:val="24"/>
          <w:szCs w:val="24"/>
          <w:highlight w:val="none"/>
        </w:rPr>
      </w:pPr>
      <w:r>
        <w:rPr>
          <w:rFonts w:hint="eastAsia" w:hAnsi="宋体"/>
          <w:b/>
          <w:color w:val="auto"/>
          <w:sz w:val="24"/>
          <w:szCs w:val="24"/>
          <w:highlight w:val="none"/>
        </w:rPr>
        <w:t>4.质疑函的质疑请求应与质疑事项相关。</w:t>
      </w:r>
    </w:p>
    <w:p w14:paraId="5AA9BFCF">
      <w:pPr>
        <w:pStyle w:val="24"/>
        <w:spacing w:line="360" w:lineRule="auto"/>
        <w:ind w:left="25" w:leftChars="12" w:firstLine="354" w:firstLineChars="147"/>
        <w:contextualSpacing/>
        <w:rPr>
          <w:rFonts w:hAnsi="宋体"/>
          <w:b/>
          <w:color w:val="auto"/>
          <w:highlight w:val="none"/>
        </w:rPr>
      </w:pPr>
      <w:r>
        <w:rPr>
          <w:rFonts w:hint="eastAsia" w:hAnsi="宋体"/>
          <w:b/>
          <w:color w:val="auto"/>
          <w:sz w:val="24"/>
          <w:szCs w:val="24"/>
          <w:highlight w:val="none"/>
        </w:rPr>
        <w:t>5.质疑供应商为法人或者其他组织的，质疑函应由法定代表人、主要负责人，或者其授权代表签字或者盖章，并加盖公章。</w:t>
      </w:r>
    </w:p>
    <w:p w14:paraId="0818BFD3">
      <w:pPr>
        <w:pStyle w:val="24"/>
        <w:snapToGrid w:val="0"/>
        <w:rPr>
          <w:b/>
          <w:color w:val="auto"/>
          <w:sz w:val="24"/>
          <w:szCs w:val="24"/>
          <w:highlight w:val="none"/>
        </w:rPr>
      </w:pPr>
    </w:p>
    <w:p w14:paraId="70A445FF">
      <w:pPr>
        <w:rPr>
          <w:color w:val="auto"/>
          <w:sz w:val="32"/>
          <w:szCs w:val="40"/>
          <w:highlight w:val="none"/>
        </w:rPr>
      </w:pPr>
    </w:p>
    <w:p w14:paraId="3FA52CD2">
      <w:pPr>
        <w:rPr>
          <w:color w:val="auto"/>
          <w:sz w:val="32"/>
          <w:szCs w:val="40"/>
          <w:highlight w:val="none"/>
        </w:rPr>
      </w:pPr>
    </w:p>
    <w:p w14:paraId="2D79BB1D">
      <w:pPr>
        <w:rPr>
          <w:color w:val="auto"/>
          <w:sz w:val="32"/>
          <w:szCs w:val="40"/>
          <w:highlight w:val="none"/>
        </w:rPr>
      </w:pPr>
    </w:p>
    <w:p w14:paraId="0B19020E">
      <w:pPr>
        <w:rPr>
          <w:color w:val="auto"/>
          <w:sz w:val="32"/>
          <w:szCs w:val="40"/>
          <w:highlight w:val="none"/>
        </w:rPr>
      </w:pPr>
    </w:p>
    <w:p w14:paraId="2241430C">
      <w:pPr>
        <w:rPr>
          <w:color w:val="auto"/>
          <w:sz w:val="32"/>
          <w:szCs w:val="40"/>
          <w:highlight w:val="none"/>
        </w:rPr>
      </w:pPr>
    </w:p>
    <w:p w14:paraId="699B8797">
      <w:pPr>
        <w:rPr>
          <w:color w:val="auto"/>
          <w:sz w:val="32"/>
          <w:szCs w:val="40"/>
          <w:highlight w:val="none"/>
        </w:rPr>
      </w:pPr>
    </w:p>
    <w:p w14:paraId="472CE486">
      <w:pPr>
        <w:rPr>
          <w:color w:val="auto"/>
          <w:sz w:val="32"/>
          <w:szCs w:val="40"/>
          <w:highlight w:val="none"/>
        </w:rPr>
      </w:pPr>
    </w:p>
    <w:p w14:paraId="144809AB">
      <w:pPr>
        <w:rPr>
          <w:color w:val="auto"/>
          <w:sz w:val="32"/>
          <w:szCs w:val="40"/>
          <w:highlight w:val="none"/>
        </w:rPr>
      </w:pPr>
    </w:p>
    <w:p w14:paraId="0D91133C">
      <w:pPr>
        <w:rPr>
          <w:color w:val="auto"/>
          <w:sz w:val="32"/>
          <w:szCs w:val="40"/>
          <w:highlight w:val="none"/>
        </w:rPr>
      </w:pPr>
    </w:p>
    <w:p w14:paraId="1A44EA9D">
      <w:pPr>
        <w:rPr>
          <w:color w:val="auto"/>
          <w:sz w:val="32"/>
          <w:szCs w:val="40"/>
          <w:highlight w:val="none"/>
        </w:rPr>
      </w:pPr>
    </w:p>
    <w:p w14:paraId="436FE14A">
      <w:pPr>
        <w:rPr>
          <w:color w:val="auto"/>
          <w:sz w:val="32"/>
          <w:szCs w:val="40"/>
          <w:highlight w:val="none"/>
        </w:rPr>
      </w:pPr>
    </w:p>
    <w:p w14:paraId="77187600">
      <w:pPr>
        <w:rPr>
          <w:color w:val="auto"/>
          <w:sz w:val="32"/>
          <w:szCs w:val="40"/>
          <w:highlight w:val="none"/>
        </w:rPr>
      </w:pPr>
    </w:p>
    <w:p w14:paraId="2346FECB">
      <w:pPr>
        <w:rPr>
          <w:color w:val="auto"/>
          <w:sz w:val="32"/>
          <w:szCs w:val="40"/>
          <w:highlight w:val="none"/>
        </w:rPr>
      </w:pPr>
    </w:p>
    <w:p w14:paraId="51C9F723">
      <w:pPr>
        <w:rPr>
          <w:color w:val="auto"/>
          <w:sz w:val="32"/>
          <w:szCs w:val="40"/>
          <w:highlight w:val="none"/>
        </w:rPr>
      </w:pPr>
    </w:p>
    <w:p w14:paraId="709DCEAF">
      <w:pP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br w:type="page"/>
      </w:r>
    </w:p>
    <w:p w14:paraId="6CB973FC">
      <w:pPr>
        <w:spacing w:line="360" w:lineRule="auto"/>
        <w:jc w:val="center"/>
        <w:rPr>
          <w:rFonts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投诉书（格式）</w:t>
      </w:r>
    </w:p>
    <w:p w14:paraId="44717738">
      <w:pPr>
        <w:pStyle w:val="24"/>
        <w:snapToGrid w:val="0"/>
        <w:spacing w:line="360" w:lineRule="auto"/>
        <w:ind w:firstLine="482" w:firstLineChars="200"/>
        <w:rPr>
          <w:rFonts w:hAnsi="宋体"/>
          <w:b/>
          <w:bCs/>
          <w:color w:val="auto"/>
          <w:sz w:val="24"/>
          <w:szCs w:val="24"/>
          <w:highlight w:val="none"/>
        </w:rPr>
      </w:pPr>
      <w:r>
        <w:rPr>
          <w:rFonts w:hint="eastAsia" w:hAnsi="宋体"/>
          <w:b/>
          <w:bCs/>
          <w:color w:val="auto"/>
          <w:sz w:val="24"/>
          <w:szCs w:val="24"/>
          <w:highlight w:val="none"/>
        </w:rPr>
        <w:t>一、投诉相关主体基本情况：</w:t>
      </w:r>
    </w:p>
    <w:p w14:paraId="58B3AB05">
      <w:pPr>
        <w:pStyle w:val="24"/>
        <w:snapToGrid w:val="0"/>
        <w:spacing w:line="360" w:lineRule="auto"/>
        <w:ind w:firstLine="480" w:firstLineChars="200"/>
        <w:rPr>
          <w:rFonts w:hAnsi="宋体"/>
          <w:bCs/>
          <w:color w:val="auto"/>
          <w:sz w:val="24"/>
          <w:szCs w:val="24"/>
          <w:highlight w:val="none"/>
          <w:u w:val="single"/>
        </w:rPr>
      </w:pPr>
      <w:r>
        <w:rPr>
          <w:rFonts w:hint="eastAsia" w:hAnsi="宋体"/>
          <w:bCs/>
          <w:color w:val="auto"/>
          <w:sz w:val="24"/>
          <w:szCs w:val="24"/>
          <w:highlight w:val="none"/>
        </w:rPr>
        <w:t>供应商：</w:t>
      </w:r>
    </w:p>
    <w:p w14:paraId="675D05E8">
      <w:pPr>
        <w:pStyle w:val="24"/>
        <w:snapToGrid w:val="0"/>
        <w:spacing w:line="360" w:lineRule="auto"/>
        <w:ind w:firstLine="480" w:firstLineChars="200"/>
        <w:rPr>
          <w:rFonts w:hAnsi="宋体"/>
          <w:bCs/>
          <w:color w:val="auto"/>
          <w:sz w:val="24"/>
          <w:szCs w:val="24"/>
          <w:highlight w:val="none"/>
        </w:rPr>
      </w:pPr>
      <w:r>
        <w:rPr>
          <w:rFonts w:hAnsi="宋体"/>
          <w:bCs/>
          <w:color w:val="auto"/>
          <w:sz w:val="24"/>
          <w:szCs w:val="24"/>
          <w:highlight w:val="none"/>
        </w:rPr>
        <w:t>地址</w:t>
      </w:r>
      <w:r>
        <w:rPr>
          <w:rFonts w:hint="eastAsia" w:hAnsi="宋体"/>
          <w:bCs/>
          <w:color w:val="auto"/>
          <w:sz w:val="24"/>
          <w:szCs w:val="24"/>
          <w:highlight w:val="none"/>
        </w:rPr>
        <w:t>：</w:t>
      </w:r>
      <w:r>
        <w:rPr>
          <w:rFonts w:hAnsi="宋体"/>
          <w:bCs/>
          <w:color w:val="auto"/>
          <w:sz w:val="24"/>
          <w:szCs w:val="24"/>
          <w:highlight w:val="none"/>
        </w:rPr>
        <w:t>邮编</w:t>
      </w:r>
      <w:r>
        <w:rPr>
          <w:rFonts w:hint="eastAsia" w:hAnsi="宋体"/>
          <w:bCs/>
          <w:color w:val="auto"/>
          <w:sz w:val="24"/>
          <w:szCs w:val="24"/>
          <w:highlight w:val="none"/>
        </w:rPr>
        <w:t>：</w:t>
      </w:r>
    </w:p>
    <w:p w14:paraId="4FFF0F77">
      <w:pPr>
        <w:pStyle w:val="24"/>
        <w:snapToGrid w:val="0"/>
        <w:spacing w:line="360" w:lineRule="auto"/>
        <w:ind w:firstLine="480" w:firstLineChars="200"/>
        <w:rPr>
          <w:rFonts w:hAnsi="宋体"/>
          <w:bCs/>
          <w:color w:val="auto"/>
          <w:sz w:val="24"/>
          <w:szCs w:val="24"/>
          <w:highlight w:val="none"/>
          <w:u w:val="single"/>
        </w:rPr>
      </w:pPr>
      <w:r>
        <w:rPr>
          <w:rFonts w:hint="eastAsia" w:hAnsi="宋体"/>
          <w:bCs/>
          <w:color w:val="auto"/>
          <w:sz w:val="24"/>
          <w:szCs w:val="24"/>
          <w:highlight w:val="none"/>
        </w:rPr>
        <w:t>法定代表人/主要负责人：</w:t>
      </w:r>
    </w:p>
    <w:p w14:paraId="7C21B45F">
      <w:pPr>
        <w:pStyle w:val="24"/>
        <w:snapToGrid w:val="0"/>
        <w:spacing w:line="360" w:lineRule="auto"/>
        <w:ind w:firstLine="480" w:firstLineChars="200"/>
        <w:rPr>
          <w:rFonts w:hAnsi="宋体"/>
          <w:bCs/>
          <w:color w:val="auto"/>
          <w:sz w:val="24"/>
          <w:szCs w:val="24"/>
          <w:highlight w:val="none"/>
        </w:rPr>
      </w:pPr>
      <w:r>
        <w:rPr>
          <w:rFonts w:hAnsi="宋体"/>
          <w:bCs/>
          <w:color w:val="auto"/>
          <w:sz w:val="24"/>
          <w:szCs w:val="24"/>
          <w:highlight w:val="none"/>
        </w:rPr>
        <w:t>联系电话</w:t>
      </w:r>
      <w:r>
        <w:rPr>
          <w:rFonts w:hint="eastAsia" w:hAnsi="宋体"/>
          <w:bCs/>
          <w:color w:val="auto"/>
          <w:sz w:val="24"/>
          <w:szCs w:val="24"/>
          <w:highlight w:val="none"/>
        </w:rPr>
        <w:t>：</w:t>
      </w:r>
    </w:p>
    <w:p w14:paraId="60847ACD">
      <w:pPr>
        <w:pStyle w:val="24"/>
        <w:snapToGrid w:val="0"/>
        <w:spacing w:line="360" w:lineRule="auto"/>
        <w:ind w:firstLine="480" w:firstLineChars="200"/>
        <w:rPr>
          <w:rFonts w:hAnsi="宋体"/>
          <w:bCs/>
          <w:color w:val="auto"/>
          <w:sz w:val="24"/>
          <w:szCs w:val="24"/>
          <w:highlight w:val="none"/>
          <w:u w:val="single"/>
        </w:rPr>
      </w:pPr>
      <w:r>
        <w:rPr>
          <w:rFonts w:hint="eastAsia" w:hAnsi="宋体"/>
          <w:bCs/>
          <w:color w:val="auto"/>
          <w:sz w:val="24"/>
          <w:szCs w:val="24"/>
          <w:highlight w:val="none"/>
        </w:rPr>
        <w:t>授权代表：</w:t>
      </w:r>
      <w:r>
        <w:rPr>
          <w:rFonts w:hAnsi="宋体"/>
          <w:bCs/>
          <w:color w:val="auto"/>
          <w:sz w:val="24"/>
          <w:szCs w:val="24"/>
          <w:highlight w:val="none"/>
        </w:rPr>
        <w:t>联系</w:t>
      </w:r>
      <w:r>
        <w:rPr>
          <w:rFonts w:hint="eastAsia" w:hAnsi="宋体"/>
          <w:bCs/>
          <w:color w:val="auto"/>
          <w:sz w:val="24"/>
          <w:szCs w:val="24"/>
          <w:highlight w:val="none"/>
        </w:rPr>
        <w:t>电话：</w:t>
      </w:r>
    </w:p>
    <w:p w14:paraId="476FA778">
      <w:pPr>
        <w:pStyle w:val="24"/>
        <w:snapToGrid w:val="0"/>
        <w:spacing w:line="360" w:lineRule="auto"/>
        <w:ind w:firstLine="480" w:firstLineChars="200"/>
        <w:rPr>
          <w:rFonts w:hAnsi="宋体"/>
          <w:bCs/>
          <w:color w:val="auto"/>
          <w:sz w:val="24"/>
          <w:szCs w:val="24"/>
          <w:highlight w:val="none"/>
          <w:u w:val="single"/>
        </w:rPr>
      </w:pPr>
      <w:r>
        <w:rPr>
          <w:rFonts w:hAnsi="宋体"/>
          <w:bCs/>
          <w:color w:val="auto"/>
          <w:sz w:val="24"/>
          <w:szCs w:val="24"/>
          <w:highlight w:val="none"/>
        </w:rPr>
        <w:t>地址</w:t>
      </w:r>
      <w:r>
        <w:rPr>
          <w:rFonts w:hint="eastAsia" w:hAnsi="宋体"/>
          <w:bCs/>
          <w:color w:val="auto"/>
          <w:sz w:val="24"/>
          <w:szCs w:val="24"/>
          <w:highlight w:val="none"/>
        </w:rPr>
        <w:t>：</w:t>
      </w:r>
    </w:p>
    <w:p w14:paraId="2ACD73FA">
      <w:pPr>
        <w:pStyle w:val="24"/>
        <w:snapToGrid w:val="0"/>
        <w:spacing w:line="360" w:lineRule="auto"/>
        <w:ind w:firstLine="480" w:firstLineChars="200"/>
        <w:rPr>
          <w:rFonts w:hAnsi="宋体"/>
          <w:bCs/>
          <w:color w:val="auto"/>
          <w:sz w:val="24"/>
          <w:szCs w:val="24"/>
          <w:highlight w:val="none"/>
        </w:rPr>
      </w:pPr>
      <w:r>
        <w:rPr>
          <w:rFonts w:hAnsi="宋体"/>
          <w:bCs/>
          <w:color w:val="auto"/>
          <w:sz w:val="24"/>
          <w:szCs w:val="24"/>
          <w:highlight w:val="none"/>
        </w:rPr>
        <w:t>邮编</w:t>
      </w:r>
      <w:r>
        <w:rPr>
          <w:rFonts w:hint="eastAsia" w:hAnsi="宋体"/>
          <w:bCs/>
          <w:color w:val="auto"/>
          <w:sz w:val="24"/>
          <w:szCs w:val="24"/>
          <w:highlight w:val="none"/>
        </w:rPr>
        <w:t>：</w:t>
      </w:r>
    </w:p>
    <w:p w14:paraId="3B31BE38">
      <w:pPr>
        <w:pStyle w:val="24"/>
        <w:snapToGrid w:val="0"/>
        <w:spacing w:line="360" w:lineRule="auto"/>
        <w:ind w:firstLine="480" w:firstLineChars="200"/>
        <w:rPr>
          <w:rFonts w:hAnsi="宋体"/>
          <w:bCs/>
          <w:color w:val="auto"/>
          <w:sz w:val="24"/>
          <w:szCs w:val="24"/>
          <w:highlight w:val="none"/>
        </w:rPr>
      </w:pPr>
      <w:r>
        <w:rPr>
          <w:rFonts w:hint="eastAsia" w:hAnsi="宋体"/>
          <w:bCs/>
          <w:color w:val="auto"/>
          <w:sz w:val="24"/>
          <w:szCs w:val="24"/>
          <w:highlight w:val="none"/>
        </w:rPr>
        <w:t>被投诉人1：</w:t>
      </w:r>
    </w:p>
    <w:p w14:paraId="64F7BC3C">
      <w:pPr>
        <w:pStyle w:val="24"/>
        <w:snapToGrid w:val="0"/>
        <w:spacing w:line="360" w:lineRule="auto"/>
        <w:ind w:firstLine="480" w:firstLineChars="200"/>
        <w:rPr>
          <w:rFonts w:hAnsi="宋体"/>
          <w:bCs/>
          <w:color w:val="auto"/>
          <w:sz w:val="24"/>
          <w:szCs w:val="24"/>
          <w:highlight w:val="none"/>
          <w:u w:val="single"/>
        </w:rPr>
      </w:pPr>
      <w:r>
        <w:rPr>
          <w:rFonts w:hint="eastAsia" w:hAnsi="宋体"/>
          <w:bCs/>
          <w:color w:val="auto"/>
          <w:sz w:val="24"/>
          <w:szCs w:val="24"/>
          <w:highlight w:val="none"/>
        </w:rPr>
        <w:t>地址：</w:t>
      </w:r>
    </w:p>
    <w:p w14:paraId="493C36F4">
      <w:pPr>
        <w:pStyle w:val="24"/>
        <w:snapToGrid w:val="0"/>
        <w:spacing w:line="360" w:lineRule="auto"/>
        <w:ind w:firstLine="480" w:firstLineChars="200"/>
        <w:rPr>
          <w:rFonts w:hAnsi="宋体"/>
          <w:bCs/>
          <w:color w:val="auto"/>
          <w:sz w:val="24"/>
          <w:szCs w:val="24"/>
          <w:highlight w:val="none"/>
        </w:rPr>
      </w:pPr>
      <w:r>
        <w:rPr>
          <w:rFonts w:hAnsi="宋体"/>
          <w:bCs/>
          <w:color w:val="auto"/>
          <w:sz w:val="24"/>
          <w:szCs w:val="24"/>
          <w:highlight w:val="none"/>
        </w:rPr>
        <w:t>邮编</w:t>
      </w:r>
      <w:r>
        <w:rPr>
          <w:rFonts w:hint="eastAsia" w:hAnsi="宋体"/>
          <w:bCs/>
          <w:color w:val="auto"/>
          <w:sz w:val="24"/>
          <w:szCs w:val="24"/>
          <w:highlight w:val="none"/>
        </w:rPr>
        <w:t>：</w:t>
      </w:r>
    </w:p>
    <w:p w14:paraId="50D4D503">
      <w:pPr>
        <w:pStyle w:val="24"/>
        <w:snapToGrid w:val="0"/>
        <w:spacing w:line="360" w:lineRule="auto"/>
        <w:ind w:firstLine="480" w:firstLineChars="200"/>
        <w:rPr>
          <w:rFonts w:hAnsi="宋体"/>
          <w:bCs/>
          <w:color w:val="auto"/>
          <w:sz w:val="24"/>
          <w:szCs w:val="24"/>
          <w:highlight w:val="none"/>
          <w:u w:val="single"/>
        </w:rPr>
      </w:pPr>
      <w:r>
        <w:rPr>
          <w:rFonts w:hint="eastAsia" w:hAnsi="宋体"/>
          <w:bCs/>
          <w:color w:val="auto"/>
          <w:sz w:val="24"/>
          <w:szCs w:val="24"/>
          <w:highlight w:val="none"/>
        </w:rPr>
        <w:t>联系人：</w:t>
      </w:r>
      <w:r>
        <w:rPr>
          <w:rFonts w:hAnsi="宋体"/>
          <w:bCs/>
          <w:color w:val="auto"/>
          <w:sz w:val="24"/>
          <w:szCs w:val="24"/>
          <w:highlight w:val="none"/>
        </w:rPr>
        <w:t>联系</w:t>
      </w:r>
      <w:r>
        <w:rPr>
          <w:rFonts w:hint="eastAsia" w:hAnsi="宋体"/>
          <w:bCs/>
          <w:color w:val="auto"/>
          <w:sz w:val="24"/>
          <w:szCs w:val="24"/>
          <w:highlight w:val="none"/>
        </w:rPr>
        <w:t>电话：</w:t>
      </w:r>
    </w:p>
    <w:p w14:paraId="57CB3914">
      <w:pPr>
        <w:pStyle w:val="24"/>
        <w:snapToGrid w:val="0"/>
        <w:spacing w:line="360" w:lineRule="auto"/>
        <w:ind w:firstLine="480" w:firstLineChars="200"/>
        <w:rPr>
          <w:rFonts w:hAnsi="宋体"/>
          <w:bCs/>
          <w:color w:val="auto"/>
          <w:sz w:val="24"/>
          <w:szCs w:val="24"/>
          <w:highlight w:val="none"/>
        </w:rPr>
      </w:pPr>
      <w:r>
        <w:rPr>
          <w:rFonts w:hint="eastAsia" w:hAnsi="宋体"/>
          <w:bCs/>
          <w:color w:val="auto"/>
          <w:sz w:val="24"/>
          <w:szCs w:val="24"/>
          <w:highlight w:val="none"/>
        </w:rPr>
        <w:t>被投诉人2：</w:t>
      </w:r>
    </w:p>
    <w:p w14:paraId="4BA22B97">
      <w:pPr>
        <w:pStyle w:val="24"/>
        <w:snapToGrid w:val="0"/>
        <w:spacing w:line="360" w:lineRule="auto"/>
        <w:ind w:firstLine="480" w:firstLineChars="200"/>
        <w:rPr>
          <w:rFonts w:hAnsi="宋体"/>
          <w:bCs/>
          <w:color w:val="auto"/>
          <w:sz w:val="24"/>
          <w:szCs w:val="24"/>
          <w:highlight w:val="none"/>
        </w:rPr>
      </w:pPr>
      <w:r>
        <w:rPr>
          <w:rFonts w:hAnsi="宋体"/>
          <w:bCs/>
          <w:color w:val="auto"/>
          <w:sz w:val="24"/>
          <w:szCs w:val="24"/>
          <w:highlight w:val="none"/>
        </w:rPr>
        <w:t>……</w:t>
      </w:r>
    </w:p>
    <w:p w14:paraId="42D6F930">
      <w:pPr>
        <w:pStyle w:val="24"/>
        <w:snapToGrid w:val="0"/>
        <w:spacing w:line="360" w:lineRule="auto"/>
        <w:ind w:firstLine="480" w:firstLineChars="200"/>
        <w:rPr>
          <w:rFonts w:hAnsi="宋体"/>
          <w:bCs/>
          <w:color w:val="auto"/>
          <w:sz w:val="24"/>
          <w:szCs w:val="24"/>
          <w:highlight w:val="none"/>
          <w:u w:val="single"/>
        </w:rPr>
      </w:pPr>
      <w:r>
        <w:rPr>
          <w:rFonts w:hint="eastAsia" w:hAnsi="宋体"/>
          <w:bCs/>
          <w:color w:val="auto"/>
          <w:sz w:val="24"/>
          <w:szCs w:val="24"/>
          <w:highlight w:val="none"/>
        </w:rPr>
        <w:t>相关供应商：</w:t>
      </w:r>
    </w:p>
    <w:p w14:paraId="40D97F49">
      <w:pPr>
        <w:pStyle w:val="24"/>
        <w:snapToGrid w:val="0"/>
        <w:spacing w:line="360" w:lineRule="auto"/>
        <w:ind w:firstLine="480" w:firstLineChars="200"/>
        <w:rPr>
          <w:rFonts w:hAnsi="宋体"/>
          <w:bCs/>
          <w:color w:val="auto"/>
          <w:sz w:val="24"/>
          <w:szCs w:val="24"/>
          <w:highlight w:val="none"/>
          <w:u w:val="single"/>
        </w:rPr>
      </w:pPr>
      <w:r>
        <w:rPr>
          <w:rFonts w:hAnsi="宋体"/>
          <w:bCs/>
          <w:color w:val="auto"/>
          <w:sz w:val="24"/>
          <w:szCs w:val="24"/>
          <w:highlight w:val="none"/>
        </w:rPr>
        <w:t>地址</w:t>
      </w:r>
      <w:r>
        <w:rPr>
          <w:rFonts w:hint="eastAsia" w:hAnsi="宋体"/>
          <w:bCs/>
          <w:color w:val="auto"/>
          <w:sz w:val="24"/>
          <w:szCs w:val="24"/>
          <w:highlight w:val="none"/>
        </w:rPr>
        <w:t>：</w:t>
      </w:r>
      <w:r>
        <w:rPr>
          <w:rFonts w:hAnsi="宋体"/>
          <w:bCs/>
          <w:color w:val="auto"/>
          <w:sz w:val="24"/>
          <w:szCs w:val="24"/>
          <w:highlight w:val="none"/>
        </w:rPr>
        <w:t>邮编</w:t>
      </w:r>
      <w:r>
        <w:rPr>
          <w:rFonts w:hint="eastAsia" w:hAnsi="宋体"/>
          <w:bCs/>
          <w:color w:val="auto"/>
          <w:sz w:val="24"/>
          <w:szCs w:val="24"/>
          <w:highlight w:val="none"/>
        </w:rPr>
        <w:t>：</w:t>
      </w:r>
    </w:p>
    <w:p w14:paraId="7C1AB1C6">
      <w:pPr>
        <w:pStyle w:val="24"/>
        <w:snapToGrid w:val="0"/>
        <w:spacing w:line="360" w:lineRule="auto"/>
        <w:ind w:firstLine="480" w:firstLineChars="200"/>
        <w:rPr>
          <w:rFonts w:hAnsi="宋体"/>
          <w:bCs/>
          <w:color w:val="auto"/>
          <w:sz w:val="24"/>
          <w:szCs w:val="24"/>
          <w:highlight w:val="none"/>
        </w:rPr>
      </w:pPr>
      <w:r>
        <w:rPr>
          <w:rFonts w:hint="eastAsia" w:hAnsi="宋体"/>
          <w:bCs/>
          <w:color w:val="auto"/>
          <w:sz w:val="24"/>
          <w:szCs w:val="24"/>
          <w:highlight w:val="none"/>
        </w:rPr>
        <w:t>联系人：</w:t>
      </w:r>
      <w:r>
        <w:rPr>
          <w:rFonts w:hAnsi="宋体"/>
          <w:bCs/>
          <w:color w:val="auto"/>
          <w:sz w:val="24"/>
          <w:szCs w:val="24"/>
          <w:highlight w:val="none"/>
        </w:rPr>
        <w:t>联系</w:t>
      </w:r>
      <w:r>
        <w:rPr>
          <w:rFonts w:hint="eastAsia" w:hAnsi="宋体"/>
          <w:bCs/>
          <w:color w:val="auto"/>
          <w:sz w:val="24"/>
          <w:szCs w:val="24"/>
          <w:highlight w:val="none"/>
        </w:rPr>
        <w:t>电话：</w:t>
      </w:r>
    </w:p>
    <w:p w14:paraId="0BA127E6">
      <w:pPr>
        <w:pStyle w:val="24"/>
        <w:snapToGrid w:val="0"/>
        <w:spacing w:line="360" w:lineRule="auto"/>
        <w:ind w:firstLine="482" w:firstLineChars="200"/>
        <w:rPr>
          <w:rFonts w:hAnsi="宋体"/>
          <w:b/>
          <w:bCs/>
          <w:color w:val="auto"/>
          <w:sz w:val="24"/>
          <w:szCs w:val="24"/>
          <w:highlight w:val="none"/>
        </w:rPr>
      </w:pPr>
      <w:r>
        <w:rPr>
          <w:rFonts w:hint="eastAsia" w:hAnsi="宋体"/>
          <w:b/>
          <w:bCs/>
          <w:color w:val="auto"/>
          <w:sz w:val="24"/>
          <w:szCs w:val="24"/>
          <w:highlight w:val="none"/>
        </w:rPr>
        <w:t>二、投诉项目基本情况：</w:t>
      </w:r>
    </w:p>
    <w:p w14:paraId="60D3D5BA">
      <w:pPr>
        <w:pStyle w:val="24"/>
        <w:spacing w:line="360" w:lineRule="auto"/>
        <w:ind w:left="25" w:leftChars="12" w:firstLine="472" w:firstLineChars="197"/>
        <w:rPr>
          <w:rFonts w:hAnsi="宋体"/>
          <w:color w:val="auto"/>
          <w:sz w:val="24"/>
          <w:szCs w:val="24"/>
          <w:highlight w:val="none"/>
        </w:rPr>
      </w:pPr>
      <w:r>
        <w:rPr>
          <w:rFonts w:hint="eastAsia" w:hAnsi="宋体"/>
          <w:bCs/>
          <w:color w:val="auto"/>
          <w:sz w:val="24"/>
          <w:szCs w:val="24"/>
          <w:highlight w:val="none"/>
        </w:rPr>
        <w:t>采购</w:t>
      </w:r>
      <w:r>
        <w:rPr>
          <w:rFonts w:hint="eastAsia" w:hAnsi="宋体"/>
          <w:color w:val="auto"/>
          <w:sz w:val="24"/>
          <w:szCs w:val="24"/>
          <w:highlight w:val="none"/>
        </w:rPr>
        <w:t>项目的名称：</w:t>
      </w:r>
    </w:p>
    <w:p w14:paraId="043C6661">
      <w:pPr>
        <w:pStyle w:val="24"/>
        <w:spacing w:line="360" w:lineRule="auto"/>
        <w:ind w:left="25" w:leftChars="12" w:firstLine="472" w:firstLineChars="197"/>
        <w:rPr>
          <w:rFonts w:hAnsi="宋体"/>
          <w:color w:val="auto"/>
          <w:sz w:val="24"/>
          <w:szCs w:val="24"/>
          <w:highlight w:val="none"/>
        </w:rPr>
      </w:pPr>
      <w:r>
        <w:rPr>
          <w:rFonts w:hint="eastAsia" w:hAnsi="宋体"/>
          <w:bCs/>
          <w:color w:val="auto"/>
          <w:sz w:val="24"/>
          <w:szCs w:val="24"/>
          <w:highlight w:val="none"/>
        </w:rPr>
        <w:t>采购</w:t>
      </w:r>
      <w:r>
        <w:rPr>
          <w:rFonts w:hint="eastAsia" w:hAnsi="宋体"/>
          <w:color w:val="auto"/>
          <w:sz w:val="24"/>
          <w:szCs w:val="24"/>
          <w:highlight w:val="none"/>
        </w:rPr>
        <w:t>项目的编号：</w:t>
      </w:r>
    </w:p>
    <w:p w14:paraId="3803070C">
      <w:pPr>
        <w:pStyle w:val="24"/>
        <w:spacing w:line="360" w:lineRule="auto"/>
        <w:ind w:left="25" w:leftChars="12" w:firstLine="472" w:firstLineChars="197"/>
        <w:rPr>
          <w:rFonts w:hAnsi="宋体"/>
          <w:bCs/>
          <w:color w:val="auto"/>
          <w:sz w:val="24"/>
          <w:szCs w:val="24"/>
          <w:highlight w:val="none"/>
          <w:u w:val="single"/>
        </w:rPr>
      </w:pPr>
      <w:r>
        <w:rPr>
          <w:rFonts w:hint="eastAsia" w:hAnsi="宋体"/>
          <w:color w:val="auto"/>
          <w:sz w:val="24"/>
          <w:szCs w:val="24"/>
          <w:highlight w:val="none"/>
        </w:rPr>
        <w:t>采购人名称：</w:t>
      </w:r>
    </w:p>
    <w:p w14:paraId="7A26138D">
      <w:pPr>
        <w:pStyle w:val="24"/>
        <w:spacing w:line="360" w:lineRule="auto"/>
        <w:ind w:left="25" w:leftChars="12" w:firstLine="472" w:firstLineChars="197"/>
        <w:rPr>
          <w:rFonts w:hAnsi="宋体"/>
          <w:bCs/>
          <w:color w:val="auto"/>
          <w:sz w:val="24"/>
          <w:szCs w:val="24"/>
          <w:highlight w:val="none"/>
          <w:u w:val="single"/>
        </w:rPr>
      </w:pPr>
      <w:r>
        <w:rPr>
          <w:rFonts w:hint="eastAsia" w:hAnsi="宋体"/>
          <w:color w:val="auto"/>
          <w:sz w:val="24"/>
          <w:szCs w:val="24"/>
          <w:highlight w:val="none"/>
        </w:rPr>
        <w:t>代理机构名称：</w:t>
      </w:r>
    </w:p>
    <w:p w14:paraId="36705090">
      <w:pPr>
        <w:pStyle w:val="24"/>
        <w:spacing w:line="360" w:lineRule="auto"/>
        <w:ind w:left="25" w:leftChars="12" w:firstLine="472" w:firstLineChars="197"/>
        <w:rPr>
          <w:rFonts w:hAnsi="宋体"/>
          <w:bCs/>
          <w:color w:val="auto"/>
          <w:sz w:val="24"/>
          <w:szCs w:val="24"/>
          <w:highlight w:val="none"/>
          <w:u w:val="single"/>
        </w:rPr>
      </w:pPr>
      <w:r>
        <w:rPr>
          <w:rFonts w:hint="eastAsia" w:hAnsi="宋体"/>
          <w:bCs/>
          <w:color w:val="auto"/>
          <w:sz w:val="24"/>
          <w:szCs w:val="24"/>
          <w:highlight w:val="none"/>
        </w:rPr>
        <w:t>采购文件公告：</w:t>
      </w:r>
      <w:r>
        <w:rPr>
          <w:rFonts w:hint="eastAsia" w:hAnsi="宋体"/>
          <w:bCs/>
          <w:color w:val="auto"/>
          <w:sz w:val="24"/>
          <w:szCs w:val="24"/>
          <w:highlight w:val="none"/>
          <w:u w:val="single"/>
        </w:rPr>
        <w:t>是/否</w:t>
      </w:r>
      <w:r>
        <w:rPr>
          <w:rFonts w:hint="eastAsia" w:hAnsi="宋体"/>
          <w:bCs/>
          <w:color w:val="auto"/>
          <w:sz w:val="24"/>
          <w:szCs w:val="24"/>
          <w:highlight w:val="none"/>
        </w:rPr>
        <w:t>公告期限：</w:t>
      </w:r>
    </w:p>
    <w:p w14:paraId="005B273D">
      <w:pPr>
        <w:pStyle w:val="24"/>
        <w:spacing w:line="360" w:lineRule="auto"/>
        <w:ind w:left="25" w:leftChars="12" w:firstLine="472" w:firstLineChars="197"/>
        <w:rPr>
          <w:rFonts w:hAnsi="宋体"/>
          <w:b/>
          <w:color w:val="auto"/>
          <w:sz w:val="24"/>
          <w:szCs w:val="24"/>
          <w:highlight w:val="none"/>
        </w:rPr>
      </w:pPr>
      <w:r>
        <w:rPr>
          <w:rFonts w:hint="eastAsia" w:hAnsi="宋体"/>
          <w:bCs/>
          <w:color w:val="auto"/>
          <w:sz w:val="24"/>
          <w:szCs w:val="24"/>
          <w:highlight w:val="none"/>
        </w:rPr>
        <w:t>采购结果公告：</w:t>
      </w:r>
      <w:r>
        <w:rPr>
          <w:rFonts w:hint="eastAsia" w:hAnsi="宋体"/>
          <w:bCs/>
          <w:color w:val="auto"/>
          <w:sz w:val="24"/>
          <w:szCs w:val="24"/>
          <w:highlight w:val="none"/>
          <w:u w:val="single"/>
        </w:rPr>
        <w:t>是/否</w:t>
      </w:r>
      <w:r>
        <w:rPr>
          <w:rFonts w:hint="eastAsia" w:hAnsi="宋体"/>
          <w:bCs/>
          <w:color w:val="auto"/>
          <w:sz w:val="24"/>
          <w:szCs w:val="24"/>
          <w:highlight w:val="none"/>
        </w:rPr>
        <w:t>公告期限：</w:t>
      </w:r>
    </w:p>
    <w:p w14:paraId="10D64AF5">
      <w:pPr>
        <w:pStyle w:val="24"/>
        <w:spacing w:line="360" w:lineRule="auto"/>
        <w:ind w:left="25" w:leftChars="12" w:firstLine="472" w:firstLineChars="196"/>
        <w:rPr>
          <w:rFonts w:hAnsi="宋体"/>
          <w:b/>
          <w:color w:val="auto"/>
          <w:sz w:val="24"/>
          <w:szCs w:val="24"/>
          <w:highlight w:val="none"/>
        </w:rPr>
      </w:pPr>
      <w:r>
        <w:rPr>
          <w:rFonts w:hint="eastAsia" w:hAnsi="宋体"/>
          <w:b/>
          <w:color w:val="auto"/>
          <w:sz w:val="24"/>
          <w:szCs w:val="24"/>
          <w:highlight w:val="none"/>
        </w:rPr>
        <w:t>三、质疑基本情况</w:t>
      </w:r>
    </w:p>
    <w:p w14:paraId="721E478B">
      <w:pPr>
        <w:pStyle w:val="24"/>
        <w:spacing w:line="360" w:lineRule="auto"/>
        <w:ind w:firstLine="480" w:firstLineChars="200"/>
        <w:rPr>
          <w:rFonts w:hAnsi="宋体"/>
          <w:color w:val="auto"/>
          <w:sz w:val="24"/>
          <w:szCs w:val="24"/>
          <w:highlight w:val="none"/>
        </w:rPr>
      </w:pPr>
      <w:r>
        <w:rPr>
          <w:rFonts w:hint="eastAsia" w:hAnsi="宋体"/>
          <w:color w:val="auto"/>
          <w:sz w:val="24"/>
          <w:szCs w:val="24"/>
          <w:highlight w:val="none"/>
        </w:rPr>
        <w:t>投诉人于    年  月  日，向提出质疑，质疑事项为：</w:t>
      </w:r>
    </w:p>
    <w:p w14:paraId="172258D6">
      <w:pPr>
        <w:pStyle w:val="24"/>
        <w:spacing w:line="360" w:lineRule="auto"/>
        <w:ind w:firstLine="241"/>
        <w:rPr>
          <w:rFonts w:hAnsi="宋体"/>
          <w:bCs/>
          <w:color w:val="auto"/>
          <w:sz w:val="24"/>
          <w:szCs w:val="24"/>
          <w:highlight w:val="none"/>
          <w:u w:val="single"/>
        </w:rPr>
      </w:pPr>
    </w:p>
    <w:p w14:paraId="19F804E2">
      <w:pPr>
        <w:pStyle w:val="24"/>
        <w:spacing w:line="360" w:lineRule="auto"/>
        <w:ind w:firstLine="241"/>
        <w:rPr>
          <w:rFonts w:hAnsi="宋体"/>
          <w:bCs/>
          <w:color w:val="auto"/>
          <w:sz w:val="24"/>
          <w:szCs w:val="24"/>
          <w:highlight w:val="none"/>
          <w:u w:val="single"/>
        </w:rPr>
      </w:pPr>
    </w:p>
    <w:p w14:paraId="5EDFF59C">
      <w:pPr>
        <w:pStyle w:val="24"/>
        <w:spacing w:line="360" w:lineRule="auto"/>
        <w:ind w:firstLine="480" w:firstLineChars="200"/>
        <w:rPr>
          <w:rFonts w:hAnsi="宋体"/>
          <w:color w:val="auto"/>
          <w:sz w:val="24"/>
          <w:szCs w:val="24"/>
          <w:highlight w:val="none"/>
        </w:rPr>
      </w:pPr>
      <w:r>
        <w:rPr>
          <w:rFonts w:hint="eastAsia" w:hAnsi="宋体"/>
          <w:bCs/>
          <w:color w:val="auto"/>
          <w:sz w:val="24"/>
          <w:szCs w:val="24"/>
          <w:highlight w:val="none"/>
          <w:u w:val="single"/>
        </w:rPr>
        <w:t>采购人/代理机构</w:t>
      </w:r>
      <w:r>
        <w:rPr>
          <w:rFonts w:hint="eastAsia" w:hAnsi="宋体"/>
          <w:bCs/>
          <w:color w:val="auto"/>
          <w:sz w:val="24"/>
          <w:szCs w:val="24"/>
          <w:highlight w:val="none"/>
        </w:rPr>
        <w:t>于</w:t>
      </w:r>
      <w:r>
        <w:rPr>
          <w:rFonts w:hint="eastAsia" w:hAnsi="宋体"/>
          <w:color w:val="auto"/>
          <w:sz w:val="24"/>
          <w:szCs w:val="24"/>
          <w:highlight w:val="none"/>
        </w:rPr>
        <w:t xml:space="preserve">    年  月  日，</w:t>
      </w:r>
      <w:r>
        <w:rPr>
          <w:rFonts w:hint="eastAsia" w:hAnsi="宋体"/>
          <w:bCs/>
          <w:color w:val="auto"/>
          <w:sz w:val="24"/>
          <w:szCs w:val="24"/>
          <w:highlight w:val="none"/>
        </w:rPr>
        <w:t xml:space="preserve">就质疑事项作出了答复/没有在法定期限内作出答复。                                                                                             </w:t>
      </w:r>
    </w:p>
    <w:p w14:paraId="022A4882">
      <w:pPr>
        <w:pStyle w:val="24"/>
        <w:spacing w:line="360" w:lineRule="auto"/>
        <w:ind w:left="25" w:leftChars="12" w:firstLine="472" w:firstLineChars="196"/>
        <w:rPr>
          <w:rFonts w:hAnsi="宋体"/>
          <w:b/>
          <w:color w:val="auto"/>
          <w:sz w:val="24"/>
          <w:szCs w:val="24"/>
          <w:highlight w:val="none"/>
        </w:rPr>
      </w:pPr>
      <w:r>
        <w:rPr>
          <w:rFonts w:hint="eastAsia" w:hAnsi="宋体"/>
          <w:b/>
          <w:color w:val="auto"/>
          <w:sz w:val="24"/>
          <w:szCs w:val="24"/>
          <w:highlight w:val="none"/>
        </w:rPr>
        <w:t>四、投诉事项具体内容</w:t>
      </w:r>
    </w:p>
    <w:p w14:paraId="524C684F">
      <w:pPr>
        <w:pStyle w:val="24"/>
        <w:spacing w:line="360" w:lineRule="auto"/>
        <w:ind w:left="25" w:leftChars="12" w:firstLine="472" w:firstLineChars="197"/>
        <w:rPr>
          <w:rFonts w:hAnsi="宋体"/>
          <w:bCs/>
          <w:color w:val="auto"/>
          <w:sz w:val="24"/>
          <w:szCs w:val="24"/>
          <w:highlight w:val="none"/>
          <w:u w:val="single"/>
        </w:rPr>
      </w:pPr>
      <w:r>
        <w:rPr>
          <w:rFonts w:hint="eastAsia" w:hAnsi="宋体"/>
          <w:color w:val="auto"/>
          <w:sz w:val="24"/>
          <w:szCs w:val="24"/>
          <w:highlight w:val="none"/>
        </w:rPr>
        <w:t>投诉事项1：</w:t>
      </w:r>
    </w:p>
    <w:p w14:paraId="3C2D096A">
      <w:pPr>
        <w:pStyle w:val="24"/>
        <w:spacing w:line="360" w:lineRule="auto"/>
        <w:ind w:firstLine="480" w:firstLineChars="200"/>
        <w:rPr>
          <w:rFonts w:hAnsi="宋体"/>
          <w:bCs/>
          <w:color w:val="auto"/>
          <w:sz w:val="24"/>
          <w:szCs w:val="24"/>
          <w:highlight w:val="none"/>
          <w:u w:val="single"/>
        </w:rPr>
      </w:pPr>
      <w:r>
        <w:rPr>
          <w:rFonts w:hint="eastAsia" w:hAnsi="宋体"/>
          <w:bCs/>
          <w:color w:val="auto"/>
          <w:sz w:val="24"/>
          <w:szCs w:val="24"/>
          <w:highlight w:val="none"/>
        </w:rPr>
        <w:t>事实依据：</w:t>
      </w:r>
    </w:p>
    <w:p w14:paraId="57C965C5">
      <w:pPr>
        <w:pStyle w:val="24"/>
        <w:spacing w:line="360" w:lineRule="auto"/>
        <w:ind w:left="25" w:leftChars="12" w:firstLine="472" w:firstLineChars="197"/>
        <w:rPr>
          <w:rFonts w:hAnsi="宋体"/>
          <w:color w:val="auto"/>
          <w:sz w:val="24"/>
          <w:szCs w:val="24"/>
          <w:highlight w:val="none"/>
        </w:rPr>
      </w:pPr>
    </w:p>
    <w:p w14:paraId="3BD9174D">
      <w:pPr>
        <w:pStyle w:val="24"/>
        <w:spacing w:line="360" w:lineRule="auto"/>
        <w:ind w:firstLine="480" w:firstLineChars="200"/>
        <w:rPr>
          <w:rFonts w:hAnsi="宋体"/>
          <w:bCs/>
          <w:color w:val="auto"/>
          <w:sz w:val="24"/>
          <w:szCs w:val="24"/>
          <w:highlight w:val="none"/>
          <w:u w:val="single"/>
        </w:rPr>
      </w:pPr>
      <w:r>
        <w:rPr>
          <w:rFonts w:hint="eastAsia" w:hAnsi="宋体"/>
          <w:bCs/>
          <w:color w:val="auto"/>
          <w:sz w:val="24"/>
          <w:szCs w:val="24"/>
          <w:highlight w:val="none"/>
        </w:rPr>
        <w:t>法律依据：</w:t>
      </w:r>
    </w:p>
    <w:p w14:paraId="62D24F2E">
      <w:pPr>
        <w:pStyle w:val="24"/>
        <w:spacing w:line="360" w:lineRule="auto"/>
        <w:ind w:left="25" w:leftChars="12" w:firstLine="352" w:firstLineChars="147"/>
        <w:rPr>
          <w:rFonts w:hAnsi="宋体"/>
          <w:bCs/>
          <w:color w:val="auto"/>
          <w:sz w:val="24"/>
          <w:szCs w:val="24"/>
          <w:highlight w:val="none"/>
          <w:u w:val="single"/>
        </w:rPr>
      </w:pPr>
    </w:p>
    <w:p w14:paraId="1CCF7556">
      <w:pPr>
        <w:pStyle w:val="24"/>
        <w:spacing w:line="360" w:lineRule="auto"/>
        <w:ind w:left="25" w:leftChars="12" w:firstLine="472" w:firstLineChars="197"/>
        <w:rPr>
          <w:rFonts w:hAnsi="宋体"/>
          <w:bCs/>
          <w:color w:val="auto"/>
          <w:sz w:val="24"/>
          <w:szCs w:val="24"/>
          <w:highlight w:val="none"/>
        </w:rPr>
      </w:pPr>
      <w:r>
        <w:rPr>
          <w:rFonts w:hint="eastAsia" w:hAnsi="宋体"/>
          <w:color w:val="auto"/>
          <w:sz w:val="24"/>
          <w:szCs w:val="24"/>
          <w:highlight w:val="none"/>
        </w:rPr>
        <w:t xml:space="preserve">投诉事项2  </w:t>
      </w:r>
    </w:p>
    <w:p w14:paraId="460C756F">
      <w:pPr>
        <w:pStyle w:val="24"/>
        <w:spacing w:line="360" w:lineRule="auto"/>
        <w:ind w:left="25" w:leftChars="12" w:firstLine="472" w:firstLineChars="197"/>
        <w:rPr>
          <w:rFonts w:hAnsi="宋体"/>
          <w:bCs/>
          <w:color w:val="auto"/>
          <w:sz w:val="24"/>
          <w:szCs w:val="24"/>
          <w:highlight w:val="none"/>
        </w:rPr>
      </w:pPr>
      <w:r>
        <w:rPr>
          <w:rFonts w:hAnsi="宋体"/>
          <w:bCs/>
          <w:color w:val="auto"/>
          <w:sz w:val="24"/>
          <w:szCs w:val="24"/>
          <w:highlight w:val="none"/>
        </w:rPr>
        <w:t>……</w:t>
      </w:r>
    </w:p>
    <w:p w14:paraId="2AA3EC65">
      <w:pPr>
        <w:pStyle w:val="24"/>
        <w:spacing w:line="360" w:lineRule="auto"/>
        <w:ind w:left="25" w:leftChars="12" w:firstLine="472" w:firstLineChars="196"/>
        <w:rPr>
          <w:rFonts w:hAnsi="宋体"/>
          <w:b/>
          <w:color w:val="auto"/>
          <w:sz w:val="24"/>
          <w:szCs w:val="24"/>
          <w:highlight w:val="none"/>
        </w:rPr>
      </w:pPr>
      <w:r>
        <w:rPr>
          <w:rFonts w:hint="eastAsia" w:hAnsi="宋体"/>
          <w:b/>
          <w:color w:val="auto"/>
          <w:sz w:val="24"/>
          <w:szCs w:val="24"/>
          <w:highlight w:val="none"/>
        </w:rPr>
        <w:t>五、与投诉事项相关的投诉请求：</w:t>
      </w:r>
    </w:p>
    <w:p w14:paraId="17F28472">
      <w:pPr>
        <w:pStyle w:val="24"/>
        <w:spacing w:line="360" w:lineRule="auto"/>
        <w:ind w:left="25" w:leftChars="12" w:firstLine="472" w:firstLineChars="197"/>
        <w:rPr>
          <w:rFonts w:hAnsi="宋体"/>
          <w:color w:val="auto"/>
          <w:sz w:val="24"/>
          <w:szCs w:val="24"/>
          <w:highlight w:val="none"/>
        </w:rPr>
      </w:pPr>
      <w:r>
        <w:rPr>
          <w:rFonts w:hint="eastAsia" w:hAnsi="宋体"/>
          <w:color w:val="auto"/>
          <w:sz w:val="24"/>
          <w:szCs w:val="24"/>
          <w:highlight w:val="none"/>
        </w:rPr>
        <w:t>请求：</w:t>
      </w:r>
    </w:p>
    <w:p w14:paraId="26EB36F7">
      <w:pPr>
        <w:pStyle w:val="24"/>
        <w:spacing w:line="360" w:lineRule="auto"/>
        <w:ind w:left="25" w:leftChars="12" w:firstLine="352" w:firstLineChars="147"/>
        <w:rPr>
          <w:rFonts w:hAnsi="宋体"/>
          <w:color w:val="auto"/>
          <w:sz w:val="24"/>
          <w:szCs w:val="24"/>
          <w:highlight w:val="none"/>
        </w:rPr>
      </w:pPr>
    </w:p>
    <w:p w14:paraId="17521D4A">
      <w:pPr>
        <w:pStyle w:val="24"/>
        <w:spacing w:line="360" w:lineRule="auto"/>
        <w:ind w:left="25" w:leftChars="12" w:firstLine="472" w:firstLineChars="197"/>
        <w:rPr>
          <w:rFonts w:hAnsi="宋体"/>
          <w:color w:val="auto"/>
          <w:sz w:val="24"/>
          <w:szCs w:val="24"/>
          <w:highlight w:val="none"/>
        </w:rPr>
      </w:pPr>
      <w:r>
        <w:rPr>
          <w:rFonts w:hint="eastAsia" w:hAnsi="宋体"/>
          <w:color w:val="auto"/>
          <w:sz w:val="24"/>
          <w:szCs w:val="24"/>
          <w:highlight w:val="none"/>
        </w:rPr>
        <w:t>签字（签章）：                                       公章：</w:t>
      </w:r>
    </w:p>
    <w:p w14:paraId="53F98235">
      <w:pPr>
        <w:pStyle w:val="24"/>
        <w:spacing w:line="360" w:lineRule="auto"/>
        <w:ind w:left="25" w:leftChars="12" w:firstLine="352" w:firstLineChars="147"/>
        <w:rPr>
          <w:rFonts w:hAnsi="宋体"/>
          <w:color w:val="auto"/>
          <w:sz w:val="24"/>
          <w:szCs w:val="24"/>
          <w:highlight w:val="none"/>
        </w:rPr>
      </w:pPr>
    </w:p>
    <w:p w14:paraId="5E480A1A">
      <w:pPr>
        <w:pStyle w:val="24"/>
        <w:spacing w:line="360" w:lineRule="auto"/>
        <w:ind w:left="25" w:leftChars="12" w:firstLine="472" w:firstLineChars="197"/>
        <w:rPr>
          <w:rFonts w:hAnsi="宋体"/>
          <w:color w:val="auto"/>
          <w:sz w:val="24"/>
          <w:szCs w:val="24"/>
          <w:highlight w:val="none"/>
        </w:rPr>
      </w:pPr>
      <w:r>
        <w:rPr>
          <w:rFonts w:hint="eastAsia" w:hAnsi="宋体"/>
          <w:color w:val="auto"/>
          <w:sz w:val="24"/>
          <w:szCs w:val="24"/>
          <w:highlight w:val="none"/>
        </w:rPr>
        <w:t>日期：</w:t>
      </w:r>
    </w:p>
    <w:p w14:paraId="4F9378D0">
      <w:pPr>
        <w:pStyle w:val="24"/>
        <w:spacing w:line="360" w:lineRule="auto"/>
        <w:ind w:left="25" w:leftChars="12" w:firstLine="475" w:firstLineChars="197"/>
        <w:rPr>
          <w:rFonts w:hAnsi="宋体"/>
          <w:b/>
          <w:color w:val="auto"/>
          <w:sz w:val="24"/>
          <w:szCs w:val="24"/>
          <w:highlight w:val="none"/>
        </w:rPr>
      </w:pPr>
    </w:p>
    <w:p w14:paraId="5801EE09">
      <w:pPr>
        <w:pStyle w:val="24"/>
        <w:snapToGrid w:val="0"/>
        <w:spacing w:line="360" w:lineRule="auto"/>
        <w:rPr>
          <w:rFonts w:hAnsi="宋体"/>
          <w:b/>
          <w:color w:val="auto"/>
          <w:sz w:val="24"/>
          <w:szCs w:val="24"/>
          <w:highlight w:val="none"/>
        </w:rPr>
      </w:pPr>
      <w:r>
        <w:rPr>
          <w:rFonts w:hint="eastAsia" w:hAnsi="宋体"/>
          <w:b/>
          <w:color w:val="auto"/>
          <w:sz w:val="24"/>
          <w:szCs w:val="24"/>
          <w:highlight w:val="none"/>
        </w:rPr>
        <w:t>说明：</w:t>
      </w:r>
    </w:p>
    <w:p w14:paraId="49DB52D4">
      <w:pPr>
        <w:pStyle w:val="24"/>
        <w:spacing w:line="360" w:lineRule="auto"/>
        <w:ind w:left="25" w:leftChars="12" w:firstLine="354" w:firstLineChars="147"/>
        <w:rPr>
          <w:rFonts w:hAnsi="宋体"/>
          <w:b/>
          <w:bCs/>
          <w:color w:val="auto"/>
          <w:sz w:val="24"/>
          <w:szCs w:val="24"/>
          <w:highlight w:val="none"/>
        </w:rPr>
      </w:pPr>
      <w:r>
        <w:rPr>
          <w:rFonts w:hint="eastAsia" w:hAnsi="宋体"/>
          <w:b/>
          <w:color w:val="auto"/>
          <w:sz w:val="24"/>
          <w:szCs w:val="24"/>
          <w:highlight w:val="none"/>
        </w:rPr>
        <w:t>1.投诉人提起投诉时，应当提交投诉书和必要的证明材料，并按照被投诉人和与投诉事项有关的供应商数量提供投诉书副本</w:t>
      </w:r>
      <w:r>
        <w:rPr>
          <w:rFonts w:hint="eastAsia" w:hAnsi="宋体"/>
          <w:b/>
          <w:bCs/>
          <w:color w:val="auto"/>
          <w:sz w:val="24"/>
          <w:szCs w:val="24"/>
          <w:highlight w:val="none"/>
        </w:rPr>
        <w:t>。</w:t>
      </w:r>
    </w:p>
    <w:p w14:paraId="7D74E929">
      <w:pPr>
        <w:pStyle w:val="24"/>
        <w:spacing w:line="360" w:lineRule="auto"/>
        <w:ind w:left="25" w:leftChars="12" w:firstLine="354" w:firstLineChars="147"/>
        <w:rPr>
          <w:rFonts w:hAnsi="宋体"/>
          <w:b/>
          <w:color w:val="auto"/>
          <w:sz w:val="24"/>
          <w:szCs w:val="24"/>
          <w:highlight w:val="none"/>
        </w:rPr>
      </w:pPr>
      <w:r>
        <w:rPr>
          <w:rFonts w:hint="eastAsia" w:hAnsi="宋体"/>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5D18FA57">
      <w:pPr>
        <w:pStyle w:val="24"/>
        <w:spacing w:line="360" w:lineRule="auto"/>
        <w:ind w:left="25" w:leftChars="12" w:firstLine="354" w:firstLineChars="147"/>
        <w:rPr>
          <w:rFonts w:hAnsi="宋体"/>
          <w:b/>
          <w:color w:val="auto"/>
          <w:sz w:val="24"/>
          <w:szCs w:val="24"/>
          <w:highlight w:val="none"/>
        </w:rPr>
      </w:pPr>
      <w:r>
        <w:rPr>
          <w:rFonts w:hint="eastAsia" w:hAnsi="宋体"/>
          <w:b/>
          <w:color w:val="auto"/>
          <w:sz w:val="24"/>
          <w:szCs w:val="24"/>
          <w:highlight w:val="none"/>
        </w:rPr>
        <w:t>3.投诉书应简要列明质疑事项，质疑函、质疑答复等作为附件材料提供。</w:t>
      </w:r>
    </w:p>
    <w:p w14:paraId="5261BC5A">
      <w:pPr>
        <w:pStyle w:val="24"/>
        <w:spacing w:line="360" w:lineRule="auto"/>
        <w:ind w:left="25" w:leftChars="12" w:firstLine="354" w:firstLineChars="147"/>
        <w:rPr>
          <w:rFonts w:hAnsi="宋体"/>
          <w:b/>
          <w:color w:val="auto"/>
          <w:sz w:val="24"/>
          <w:szCs w:val="24"/>
          <w:highlight w:val="none"/>
        </w:rPr>
      </w:pPr>
      <w:r>
        <w:rPr>
          <w:rFonts w:hint="eastAsia" w:hAnsi="宋体"/>
          <w:b/>
          <w:color w:val="auto"/>
          <w:sz w:val="24"/>
          <w:szCs w:val="24"/>
          <w:highlight w:val="none"/>
        </w:rPr>
        <w:t>4.投诉书的投诉事项应具体、明确，并有必要的事实依据和法律依据。</w:t>
      </w:r>
    </w:p>
    <w:p w14:paraId="2D427A91">
      <w:pPr>
        <w:pStyle w:val="24"/>
        <w:spacing w:line="360" w:lineRule="auto"/>
        <w:ind w:left="25" w:leftChars="12" w:firstLine="354" w:firstLineChars="147"/>
        <w:rPr>
          <w:rFonts w:hAnsi="宋体"/>
          <w:b/>
          <w:color w:val="auto"/>
          <w:sz w:val="24"/>
          <w:szCs w:val="24"/>
          <w:highlight w:val="none"/>
        </w:rPr>
      </w:pPr>
      <w:r>
        <w:rPr>
          <w:rFonts w:hint="eastAsia" w:hAnsi="宋体"/>
          <w:b/>
          <w:color w:val="auto"/>
          <w:sz w:val="24"/>
          <w:szCs w:val="24"/>
          <w:highlight w:val="none"/>
        </w:rPr>
        <w:t>5.投诉书的投诉请求应与投诉事项相关。</w:t>
      </w:r>
    </w:p>
    <w:p w14:paraId="41BC88E5">
      <w:pPr>
        <w:pStyle w:val="24"/>
        <w:spacing w:line="360" w:lineRule="auto"/>
        <w:ind w:left="25" w:leftChars="12" w:firstLine="354" w:firstLineChars="147"/>
        <w:rPr>
          <w:rFonts w:hAnsi="宋体"/>
          <w:b/>
          <w:color w:val="auto"/>
          <w:highlight w:val="none"/>
        </w:rPr>
      </w:pPr>
      <w:r>
        <w:rPr>
          <w:rFonts w:hint="eastAsia" w:hAnsi="宋体"/>
          <w:b/>
          <w:color w:val="auto"/>
          <w:sz w:val="24"/>
          <w:szCs w:val="24"/>
          <w:highlight w:val="none"/>
        </w:rPr>
        <w:t>6.投诉人为法人或者其他组织的，投诉书应由法定代表人、主要负责人，或者其授权代表签字或者盖章，并加盖公章。</w:t>
      </w:r>
    </w:p>
    <w:p w14:paraId="0CBC08AD">
      <w:pPr>
        <w:pStyle w:val="2"/>
        <w:jc w:val="center"/>
        <w:rPr>
          <w:color w:val="auto"/>
          <w:highlight w:val="none"/>
        </w:rPr>
      </w:pPr>
      <w:bookmarkStart w:id="101" w:name="_Toc23551"/>
      <w:r>
        <w:rPr>
          <w:rFonts w:hint="eastAsia"/>
          <w:color w:val="auto"/>
          <w:highlight w:val="none"/>
        </w:rPr>
        <w:t>第七章合同文本</w:t>
      </w:r>
      <w:bookmarkEnd w:id="101"/>
    </w:p>
    <w:p w14:paraId="25C0E0CE">
      <w:pPr>
        <w:tabs>
          <w:tab w:val="left" w:pos="435"/>
        </w:tabs>
        <w:spacing w:line="360" w:lineRule="exact"/>
        <w:rPr>
          <w:rFonts w:ascii="Times New Roman" w:hAnsi="Times New Roman" w:eastAsia="华文中宋"/>
          <w:b/>
          <w:color w:val="auto"/>
          <w:sz w:val="24"/>
          <w:szCs w:val="24"/>
          <w:highlight w:val="none"/>
        </w:rPr>
      </w:pPr>
      <w:r>
        <w:rPr>
          <w:rFonts w:ascii="Times New Roman" w:hAnsi="Times New Roman" w:eastAsia="华文中宋"/>
          <w:b/>
          <w:color w:val="auto"/>
          <w:sz w:val="24"/>
          <w:szCs w:val="24"/>
          <w:highlight w:val="none"/>
        </w:rPr>
        <w:tab/>
      </w:r>
    </w:p>
    <w:p w14:paraId="312F4094">
      <w:pPr>
        <w:ind w:firstLine="5740" w:firstLineChars="2050"/>
        <w:rPr>
          <w:rFonts w:ascii="Times New Roman" w:hAnsi="Times New Roman"/>
          <w:color w:val="auto"/>
          <w:sz w:val="28"/>
          <w:szCs w:val="28"/>
          <w:highlight w:val="none"/>
          <w:u w:val="single"/>
        </w:rPr>
      </w:pPr>
      <w:r>
        <w:rPr>
          <w:rFonts w:ascii="Times New Roman" w:hAnsi="宋体"/>
          <w:color w:val="auto"/>
          <w:sz w:val="28"/>
          <w:szCs w:val="28"/>
          <w:highlight w:val="none"/>
        </w:rPr>
        <w:t>合同编号：</w:t>
      </w:r>
      <w:r>
        <w:rPr>
          <w:rFonts w:ascii="Times New Roman" w:hAnsi="Times New Roman"/>
          <w:color w:val="auto"/>
          <w:sz w:val="28"/>
          <w:szCs w:val="28"/>
          <w:highlight w:val="none"/>
          <w:u w:val="single"/>
        </w:rPr>
        <w:t xml:space="preserve">           </w:t>
      </w:r>
    </w:p>
    <w:p w14:paraId="640AF195">
      <w:pPr>
        <w:rPr>
          <w:rFonts w:ascii="Times New Roman" w:hAnsi="Times New Roman"/>
          <w:color w:val="auto"/>
          <w:sz w:val="48"/>
          <w:szCs w:val="48"/>
          <w:highlight w:val="none"/>
          <w:u w:val="single"/>
        </w:rPr>
      </w:pPr>
    </w:p>
    <w:p w14:paraId="5481DCFD">
      <w:pPr>
        <w:rPr>
          <w:rFonts w:ascii="Times New Roman" w:hAnsi="Times New Roman"/>
          <w:color w:val="auto"/>
          <w:sz w:val="48"/>
          <w:szCs w:val="48"/>
          <w:highlight w:val="none"/>
          <w:u w:val="single"/>
        </w:rPr>
      </w:pPr>
    </w:p>
    <w:p w14:paraId="63230ADD">
      <w:pPr>
        <w:rPr>
          <w:rFonts w:ascii="Times New Roman" w:hAnsi="Times New Roman"/>
          <w:color w:val="auto"/>
          <w:sz w:val="48"/>
          <w:szCs w:val="48"/>
          <w:highlight w:val="none"/>
          <w:u w:val="single"/>
        </w:rPr>
      </w:pPr>
    </w:p>
    <w:p w14:paraId="0F371F86">
      <w:pPr>
        <w:rPr>
          <w:rFonts w:ascii="Times New Roman" w:hAnsi="Times New Roman"/>
          <w:color w:val="auto"/>
          <w:sz w:val="48"/>
          <w:szCs w:val="48"/>
          <w:highlight w:val="none"/>
          <w:u w:val="single"/>
        </w:rPr>
      </w:pPr>
    </w:p>
    <w:p w14:paraId="23F9EFE9">
      <w:pPr>
        <w:rPr>
          <w:rFonts w:ascii="Times New Roman" w:hAnsi="Times New Roman"/>
          <w:color w:val="auto"/>
          <w:sz w:val="48"/>
          <w:szCs w:val="48"/>
          <w:highlight w:val="none"/>
          <w:u w:val="single"/>
        </w:rPr>
      </w:pPr>
    </w:p>
    <w:p w14:paraId="740E6910">
      <w:pPr>
        <w:jc w:val="center"/>
        <w:rPr>
          <w:rFonts w:hint="eastAsia" w:ascii="Times New Roman" w:hAnsi="宋体"/>
          <w:color w:val="auto"/>
          <w:spacing w:val="-11"/>
          <w:sz w:val="44"/>
          <w:szCs w:val="44"/>
          <w:highlight w:val="none"/>
          <w:u w:val="single"/>
        </w:rPr>
      </w:pPr>
      <w:r>
        <w:rPr>
          <w:rFonts w:hint="eastAsia" w:ascii="Times New Roman" w:hAnsi="宋体"/>
          <w:color w:val="auto"/>
          <w:spacing w:val="-11"/>
          <w:sz w:val="44"/>
          <w:szCs w:val="44"/>
          <w:highlight w:val="none"/>
          <w:u w:val="single"/>
        </w:rPr>
        <w:t>广西警察学院</w:t>
      </w:r>
      <w:r>
        <w:rPr>
          <w:rFonts w:hint="eastAsia" w:ascii="Times New Roman" w:hAnsi="宋体"/>
          <w:color w:val="auto"/>
          <w:spacing w:val="-11"/>
          <w:sz w:val="44"/>
          <w:szCs w:val="44"/>
          <w:highlight w:val="none"/>
          <w:u w:val="single"/>
          <w:lang w:val="en-US" w:eastAsia="zh-CN"/>
        </w:rPr>
        <w:t xml:space="preserve">               </w:t>
      </w:r>
      <w:r>
        <w:rPr>
          <w:rFonts w:hint="eastAsia" w:ascii="Times New Roman" w:hAnsi="宋体"/>
          <w:color w:val="auto"/>
          <w:spacing w:val="-11"/>
          <w:sz w:val="44"/>
          <w:szCs w:val="44"/>
          <w:highlight w:val="none"/>
          <w:u w:val="single"/>
        </w:rPr>
        <w:t>工程</w:t>
      </w:r>
    </w:p>
    <w:p w14:paraId="687D4F6D">
      <w:pPr>
        <w:jc w:val="center"/>
        <w:rPr>
          <w:rFonts w:ascii="Times New Roman" w:hAnsi="Times New Roman"/>
          <w:b/>
          <w:color w:val="auto"/>
          <w:sz w:val="72"/>
          <w:szCs w:val="72"/>
          <w:highlight w:val="none"/>
        </w:rPr>
      </w:pPr>
      <w:r>
        <w:rPr>
          <w:rFonts w:hint="eastAsia" w:ascii="Times New Roman" w:hAnsi="宋体"/>
          <w:b/>
          <w:color w:val="auto"/>
          <w:sz w:val="72"/>
          <w:szCs w:val="72"/>
          <w:highlight w:val="none"/>
          <w:lang w:val="en-US" w:eastAsia="zh-CN"/>
        </w:rPr>
        <w:t xml:space="preserve"> </w:t>
      </w:r>
      <w:r>
        <w:rPr>
          <w:rFonts w:ascii="Times New Roman" w:hAnsi="宋体"/>
          <w:b/>
          <w:color w:val="auto"/>
          <w:sz w:val="72"/>
          <w:szCs w:val="72"/>
          <w:highlight w:val="none"/>
        </w:rPr>
        <w:t>施工合同</w:t>
      </w:r>
    </w:p>
    <w:p w14:paraId="159B86DF">
      <w:pPr>
        <w:rPr>
          <w:rFonts w:ascii="Times New Roman" w:hAnsi="Times New Roman"/>
          <w:b/>
          <w:color w:val="auto"/>
          <w:sz w:val="72"/>
          <w:szCs w:val="72"/>
          <w:highlight w:val="none"/>
        </w:rPr>
      </w:pPr>
    </w:p>
    <w:p w14:paraId="60FA19A0">
      <w:pPr>
        <w:rPr>
          <w:rFonts w:ascii="Times New Roman" w:hAnsi="Times New Roman"/>
          <w:b/>
          <w:color w:val="auto"/>
          <w:sz w:val="72"/>
          <w:szCs w:val="72"/>
          <w:highlight w:val="none"/>
        </w:rPr>
      </w:pPr>
    </w:p>
    <w:p w14:paraId="7113C4DA">
      <w:pPr>
        <w:rPr>
          <w:rFonts w:ascii="Times New Roman" w:hAnsi="Times New Roman"/>
          <w:b/>
          <w:color w:val="auto"/>
          <w:sz w:val="72"/>
          <w:szCs w:val="72"/>
          <w:highlight w:val="none"/>
        </w:rPr>
      </w:pPr>
    </w:p>
    <w:p w14:paraId="3B543D63">
      <w:pPr>
        <w:rPr>
          <w:rFonts w:ascii="Times New Roman" w:hAnsi="Times New Roman"/>
          <w:b/>
          <w:color w:val="auto"/>
          <w:sz w:val="72"/>
          <w:szCs w:val="72"/>
          <w:highlight w:val="none"/>
        </w:rPr>
      </w:pPr>
    </w:p>
    <w:p w14:paraId="25AAC55E">
      <w:pPr>
        <w:ind w:firstLine="1950" w:firstLineChars="650"/>
        <w:rPr>
          <w:rFonts w:ascii="Times New Roman" w:hAnsi="Times New Roman"/>
          <w:color w:val="auto"/>
          <w:sz w:val="30"/>
          <w:szCs w:val="30"/>
          <w:highlight w:val="none"/>
        </w:rPr>
      </w:pPr>
      <w:r>
        <w:rPr>
          <w:rFonts w:ascii="Times New Roman" w:hAnsi="宋体"/>
          <w:color w:val="auto"/>
          <w:sz w:val="30"/>
          <w:szCs w:val="30"/>
          <w:highlight w:val="none"/>
        </w:rPr>
        <w:t>签订地点：</w:t>
      </w:r>
      <w:r>
        <w:rPr>
          <w:rFonts w:ascii="Times New Roman" w:hAnsi="Times New Roman"/>
          <w:color w:val="auto"/>
          <w:sz w:val="30"/>
          <w:szCs w:val="30"/>
          <w:highlight w:val="none"/>
          <w:u w:val="single"/>
        </w:rPr>
        <w:t xml:space="preserve"> </w:t>
      </w:r>
      <w:r>
        <w:rPr>
          <w:rFonts w:ascii="Times New Roman" w:hAnsi="宋体"/>
          <w:color w:val="auto"/>
          <w:sz w:val="30"/>
          <w:szCs w:val="30"/>
          <w:highlight w:val="none"/>
          <w:u w:val="single"/>
        </w:rPr>
        <w:t>南宁市军堂路</w:t>
      </w:r>
      <w:r>
        <w:rPr>
          <w:rFonts w:ascii="Times New Roman" w:hAnsi="Times New Roman"/>
          <w:color w:val="auto"/>
          <w:sz w:val="30"/>
          <w:szCs w:val="30"/>
          <w:highlight w:val="none"/>
          <w:u w:val="single"/>
        </w:rPr>
        <w:t>6</w:t>
      </w:r>
      <w:r>
        <w:rPr>
          <w:rFonts w:ascii="Times New Roman" w:hAnsi="宋体"/>
          <w:color w:val="auto"/>
          <w:sz w:val="30"/>
          <w:szCs w:val="30"/>
          <w:highlight w:val="none"/>
          <w:u w:val="single"/>
        </w:rPr>
        <w:t>号</w:t>
      </w:r>
      <w:r>
        <w:rPr>
          <w:rFonts w:ascii="Times New Roman" w:hAnsi="Times New Roman"/>
          <w:color w:val="auto"/>
          <w:sz w:val="30"/>
          <w:szCs w:val="30"/>
          <w:highlight w:val="none"/>
          <w:u w:val="single"/>
        </w:rPr>
        <w:t xml:space="preserve">  </w:t>
      </w:r>
      <w:r>
        <w:rPr>
          <w:rFonts w:ascii="Times New Roman" w:hAnsi="Times New Roman"/>
          <w:color w:val="auto"/>
          <w:sz w:val="30"/>
          <w:szCs w:val="30"/>
          <w:highlight w:val="none"/>
        </w:rPr>
        <w:t xml:space="preserve">              </w:t>
      </w:r>
    </w:p>
    <w:p w14:paraId="55D5CFAC">
      <w:pPr>
        <w:ind w:firstLine="1950" w:firstLineChars="650"/>
        <w:rPr>
          <w:rFonts w:ascii="Times New Roman" w:hAnsi="Times New Roman"/>
          <w:color w:val="auto"/>
          <w:sz w:val="30"/>
          <w:szCs w:val="30"/>
          <w:highlight w:val="none"/>
        </w:rPr>
      </w:pPr>
      <w:r>
        <w:rPr>
          <w:rFonts w:ascii="Times New Roman" w:hAnsi="宋体"/>
          <w:color w:val="auto"/>
          <w:sz w:val="30"/>
          <w:szCs w:val="30"/>
          <w:highlight w:val="none"/>
        </w:rPr>
        <w:t>签订时间：</w:t>
      </w:r>
      <w:r>
        <w:rPr>
          <w:rFonts w:ascii="Times New Roman" w:hAnsi="Times New Roman"/>
          <w:color w:val="auto"/>
          <w:sz w:val="30"/>
          <w:szCs w:val="30"/>
          <w:highlight w:val="none"/>
          <w:u w:val="single"/>
        </w:rPr>
        <w:t xml:space="preserve">      </w:t>
      </w:r>
      <w:r>
        <w:rPr>
          <w:rFonts w:ascii="Times New Roman" w:hAnsi="宋体"/>
          <w:color w:val="auto"/>
          <w:sz w:val="30"/>
          <w:szCs w:val="30"/>
          <w:highlight w:val="none"/>
        </w:rPr>
        <w:t>年</w:t>
      </w:r>
      <w:r>
        <w:rPr>
          <w:rFonts w:ascii="Times New Roman" w:hAnsi="Times New Roman"/>
          <w:color w:val="auto"/>
          <w:sz w:val="30"/>
          <w:szCs w:val="30"/>
          <w:highlight w:val="none"/>
          <w:u w:val="single"/>
        </w:rPr>
        <w:t xml:space="preserve">   </w:t>
      </w:r>
      <w:r>
        <w:rPr>
          <w:rFonts w:ascii="Times New Roman" w:hAnsi="宋体"/>
          <w:color w:val="auto"/>
          <w:sz w:val="30"/>
          <w:szCs w:val="30"/>
          <w:highlight w:val="none"/>
        </w:rPr>
        <w:t>月</w:t>
      </w:r>
      <w:r>
        <w:rPr>
          <w:rFonts w:ascii="Times New Roman" w:hAnsi="Times New Roman"/>
          <w:color w:val="auto"/>
          <w:sz w:val="30"/>
          <w:szCs w:val="30"/>
          <w:highlight w:val="none"/>
          <w:u w:val="single"/>
        </w:rPr>
        <w:t xml:space="preserve">    </w:t>
      </w:r>
      <w:r>
        <w:rPr>
          <w:rFonts w:ascii="Times New Roman" w:hAnsi="宋体"/>
          <w:color w:val="auto"/>
          <w:sz w:val="30"/>
          <w:szCs w:val="30"/>
          <w:highlight w:val="none"/>
        </w:rPr>
        <w:t>日</w:t>
      </w:r>
    </w:p>
    <w:p w14:paraId="4A159138">
      <w:pPr>
        <w:rPr>
          <w:rFonts w:ascii="Times New Roman" w:hAnsi="Times New Roman"/>
          <w:color w:val="auto"/>
          <w:sz w:val="30"/>
          <w:szCs w:val="30"/>
          <w:highlight w:val="none"/>
        </w:rPr>
      </w:pPr>
    </w:p>
    <w:p w14:paraId="79162C98">
      <w:pPr>
        <w:pStyle w:val="4"/>
        <w:adjustRightInd w:val="0"/>
        <w:snapToGrid w:val="0"/>
        <w:spacing w:before="0" w:after="0" w:line="560" w:lineRule="exact"/>
        <w:jc w:val="center"/>
        <w:rPr>
          <w:rFonts w:ascii="Times New Roman" w:hAnsi="宋体"/>
          <w:color w:val="auto"/>
          <w:sz w:val="44"/>
          <w:szCs w:val="44"/>
          <w:highlight w:val="none"/>
        </w:rPr>
      </w:pPr>
      <w:bookmarkStart w:id="102" w:name="_Toc296890982"/>
      <w:bookmarkStart w:id="103" w:name="_Toc351203480"/>
      <w:bookmarkStart w:id="104" w:name="_Toc296503025"/>
    </w:p>
    <w:p w14:paraId="36E35C22">
      <w:pPr>
        <w:rPr>
          <w:rFonts w:ascii="Times New Roman" w:hAnsi="宋体"/>
          <w:color w:val="auto"/>
          <w:sz w:val="44"/>
          <w:szCs w:val="44"/>
          <w:highlight w:val="none"/>
        </w:rPr>
      </w:pPr>
      <w:r>
        <w:rPr>
          <w:rFonts w:ascii="Times New Roman" w:hAnsi="宋体"/>
          <w:color w:val="auto"/>
          <w:sz w:val="44"/>
          <w:szCs w:val="44"/>
          <w:highlight w:val="none"/>
        </w:rPr>
        <w:br w:type="page"/>
      </w:r>
    </w:p>
    <w:p w14:paraId="5EFF1368">
      <w:pPr>
        <w:pStyle w:val="4"/>
        <w:adjustRightInd w:val="0"/>
        <w:snapToGrid w:val="0"/>
        <w:spacing w:before="0" w:after="0" w:line="560" w:lineRule="exact"/>
        <w:jc w:val="center"/>
        <w:rPr>
          <w:rFonts w:ascii="Times New Roman" w:hAnsi="Times New Roman"/>
          <w:color w:val="auto"/>
          <w:sz w:val="44"/>
          <w:szCs w:val="44"/>
          <w:highlight w:val="none"/>
        </w:rPr>
      </w:pPr>
      <w:r>
        <w:rPr>
          <w:rFonts w:ascii="Times New Roman" w:hAnsi="宋体"/>
          <w:color w:val="auto"/>
          <w:sz w:val="44"/>
          <w:szCs w:val="44"/>
          <w:highlight w:val="none"/>
        </w:rPr>
        <w:t>合同协议书</w:t>
      </w:r>
      <w:bookmarkEnd w:id="102"/>
      <w:bookmarkEnd w:id="103"/>
      <w:bookmarkEnd w:id="104"/>
    </w:p>
    <w:p w14:paraId="3F10D93E">
      <w:pPr>
        <w:spacing w:line="360" w:lineRule="exact"/>
        <w:rPr>
          <w:rFonts w:ascii="Times New Roman" w:hAnsi="Times New Roman" w:eastAsia="仿宋_GB2312"/>
          <w:b/>
          <w:color w:val="auto"/>
          <w:sz w:val="24"/>
          <w:szCs w:val="24"/>
          <w:highlight w:val="none"/>
        </w:rPr>
      </w:pPr>
    </w:p>
    <w:p w14:paraId="50EC19FB">
      <w:pPr>
        <w:spacing w:line="360" w:lineRule="auto"/>
        <w:rPr>
          <w:rFonts w:ascii="Times New Roman" w:hAnsi="Times New Roman"/>
          <w:b/>
          <w:color w:val="auto"/>
          <w:sz w:val="24"/>
          <w:szCs w:val="24"/>
          <w:highlight w:val="none"/>
          <w:u w:val="single"/>
        </w:rPr>
      </w:pPr>
      <w:r>
        <w:rPr>
          <w:rFonts w:ascii="Times New Roman" w:hAnsi="Times New Roman"/>
          <w:b/>
          <w:color w:val="auto"/>
          <w:sz w:val="24"/>
          <w:szCs w:val="24"/>
          <w:highlight w:val="none"/>
        </w:rPr>
        <w:t>发包人（全称）：</w:t>
      </w:r>
      <w:r>
        <w:rPr>
          <w:rFonts w:ascii="宋体" w:hAnsi="宋体"/>
          <w:b/>
          <w:color w:val="auto"/>
          <w:sz w:val="24"/>
          <w:szCs w:val="24"/>
          <w:highlight w:val="none"/>
          <w:u w:val="single"/>
        </w:rPr>
        <w:t></w:t>
      </w:r>
      <w:r>
        <w:rPr>
          <w:rFonts w:hint="eastAsia" w:ascii="Times New Roman" w:hAnsi="宋体"/>
          <w:color w:val="auto"/>
          <w:sz w:val="24"/>
          <w:szCs w:val="24"/>
          <w:highlight w:val="none"/>
          <w:u w:val="single"/>
        </w:rPr>
        <w:t>广西警察学院</w:t>
      </w:r>
      <w:r>
        <w:rPr>
          <w:rFonts w:ascii="宋体" w:hAnsi="宋体"/>
          <w:b/>
          <w:color w:val="auto"/>
          <w:sz w:val="24"/>
          <w:szCs w:val="24"/>
          <w:highlight w:val="none"/>
          <w:u w:val="single"/>
        </w:rPr>
        <w:t></w:t>
      </w:r>
      <w:r>
        <w:rPr>
          <w:rFonts w:ascii="Times New Roman" w:hAnsi="Times New Roman"/>
          <w:b/>
          <w:color w:val="auto"/>
          <w:sz w:val="24"/>
          <w:szCs w:val="24"/>
          <w:highlight w:val="none"/>
          <w:u w:val="single"/>
        </w:rPr>
        <w:t xml:space="preserve">            </w:t>
      </w:r>
      <w:r>
        <w:rPr>
          <w:rFonts w:ascii="宋体" w:hAnsi="宋体"/>
          <w:b/>
          <w:color w:val="auto"/>
          <w:sz w:val="24"/>
          <w:szCs w:val="24"/>
          <w:highlight w:val="none"/>
          <w:u w:val="single"/>
        </w:rPr>
        <w:t></w:t>
      </w:r>
    </w:p>
    <w:p w14:paraId="66CEC98D">
      <w:pPr>
        <w:spacing w:line="360" w:lineRule="auto"/>
        <w:rPr>
          <w:rFonts w:ascii="Times New Roman" w:hAnsi="Times New Roman"/>
          <w:b/>
          <w:color w:val="auto"/>
          <w:sz w:val="24"/>
          <w:szCs w:val="24"/>
          <w:highlight w:val="none"/>
          <w:u w:val="single"/>
        </w:rPr>
      </w:pPr>
      <w:r>
        <w:rPr>
          <w:rFonts w:ascii="Times New Roman" w:hAnsi="Times New Roman"/>
          <w:b/>
          <w:color w:val="auto"/>
          <w:sz w:val="24"/>
          <w:szCs w:val="24"/>
          <w:highlight w:val="none"/>
        </w:rPr>
        <w:t>承包人（全称）：</w:t>
      </w:r>
      <w:r>
        <w:rPr>
          <w:rFonts w:ascii="宋体" w:hAnsi="宋体"/>
          <w:b/>
          <w:color w:val="auto"/>
          <w:sz w:val="24"/>
          <w:szCs w:val="24"/>
          <w:highlight w:val="none"/>
          <w:u w:val="single"/>
        </w:rPr>
        <w:t></w:t>
      </w:r>
      <w:r>
        <w:rPr>
          <w:rFonts w:ascii="Times New Roman" w:hAnsi="Times New Roman"/>
          <w:b/>
          <w:color w:val="auto"/>
          <w:sz w:val="24"/>
          <w:szCs w:val="24"/>
          <w:highlight w:val="none"/>
          <w:u w:val="single"/>
        </w:rPr>
        <w:t xml:space="preserve">              </w:t>
      </w:r>
      <w:r>
        <w:rPr>
          <w:rFonts w:ascii="宋体" w:hAnsi="宋体"/>
          <w:b/>
          <w:color w:val="auto"/>
          <w:sz w:val="24"/>
          <w:szCs w:val="24"/>
          <w:highlight w:val="none"/>
          <w:u w:val="single"/>
        </w:rPr>
        <w:t></w:t>
      </w:r>
      <w:r>
        <w:rPr>
          <w:rFonts w:ascii="Times New Roman" w:hAnsi="Times New Roman"/>
          <w:b/>
          <w:color w:val="auto"/>
          <w:sz w:val="24"/>
          <w:szCs w:val="24"/>
          <w:highlight w:val="none"/>
          <w:u w:val="single"/>
        </w:rPr>
        <w:t xml:space="preserve">      </w:t>
      </w:r>
    </w:p>
    <w:p w14:paraId="3D26505A">
      <w:pPr>
        <w:spacing w:line="360" w:lineRule="auto"/>
        <w:ind w:firstLine="480" w:firstLineChars="200"/>
        <w:rPr>
          <w:rFonts w:ascii="Times New Roman" w:hAnsi="Times New Roman"/>
          <w:color w:val="auto"/>
          <w:sz w:val="24"/>
          <w:szCs w:val="24"/>
          <w:highlight w:val="none"/>
        </w:rPr>
      </w:pPr>
    </w:p>
    <w:p w14:paraId="34201365">
      <w:pPr>
        <w:spacing w:line="360" w:lineRule="auto"/>
        <w:ind w:firstLine="480" w:firstLineChars="200"/>
        <w:rPr>
          <w:rFonts w:ascii="Times New Roman" w:hAnsi="宋体"/>
          <w:color w:val="auto"/>
          <w:sz w:val="24"/>
          <w:szCs w:val="24"/>
          <w:highlight w:val="none"/>
          <w:u w:val="single"/>
        </w:rPr>
      </w:pPr>
      <w:r>
        <w:rPr>
          <w:rFonts w:ascii="Times New Roman" w:hAnsi="Times New Roman"/>
          <w:color w:val="auto"/>
          <w:sz w:val="24"/>
          <w:szCs w:val="24"/>
          <w:highlight w:val="none"/>
        </w:rPr>
        <w:t>根据《中华人民共和国</w:t>
      </w:r>
      <w:r>
        <w:rPr>
          <w:rFonts w:hint="eastAsia" w:ascii="Times New Roman" w:hAnsi="Times New Roman"/>
          <w:color w:val="auto"/>
          <w:sz w:val="24"/>
          <w:szCs w:val="24"/>
          <w:highlight w:val="none"/>
        </w:rPr>
        <w:t>民法典</w:t>
      </w:r>
      <w:r>
        <w:rPr>
          <w:rFonts w:ascii="Times New Roman" w:hAnsi="Times New Roman"/>
          <w:color w:val="auto"/>
          <w:sz w:val="24"/>
          <w:szCs w:val="24"/>
          <w:highlight w:val="none"/>
        </w:rPr>
        <w:t>》、《中华人民共和国建筑法》及有关法律规定，遵循平等、自愿、公平和诚实信用的原则，双方就</w:t>
      </w:r>
      <w:r>
        <w:rPr>
          <w:rFonts w:ascii="Times New Roman" w:hAnsi="Times New Roman"/>
          <w:color w:val="auto"/>
          <w:sz w:val="24"/>
          <w:szCs w:val="24"/>
          <w:highlight w:val="none"/>
          <w:u w:val="single"/>
        </w:rPr>
        <w:t xml:space="preserve">  </w:t>
      </w:r>
      <w:r>
        <w:rPr>
          <w:rFonts w:hint="eastAsia" w:ascii="Times New Roman" w:hAnsi="Times New Roman"/>
          <w:color w:val="auto"/>
          <w:sz w:val="24"/>
          <w:szCs w:val="24"/>
          <w:highlight w:val="none"/>
          <w:u w:val="single"/>
          <w:lang w:val="en-US" w:eastAsia="zh-CN"/>
        </w:rPr>
        <w:t xml:space="preserve">                </w:t>
      </w:r>
      <w:r>
        <w:rPr>
          <w:rFonts w:hint="eastAsia" w:ascii="宋体" w:hAnsi="宋体"/>
          <w:color w:val="auto"/>
          <w:sz w:val="24"/>
          <w:szCs w:val="24"/>
          <w:highlight w:val="none"/>
          <w:u w:val="single"/>
        </w:rPr>
        <w:t xml:space="preserve"> </w:t>
      </w:r>
      <w:r>
        <w:rPr>
          <w:rFonts w:ascii="Times New Roman" w:hAnsi="Times New Roman"/>
          <w:color w:val="auto"/>
          <w:sz w:val="24"/>
          <w:szCs w:val="24"/>
          <w:highlight w:val="none"/>
        </w:rPr>
        <w:t>施工及有关事项协商一致，共同达成如下协议：</w:t>
      </w:r>
    </w:p>
    <w:p w14:paraId="6EE627CC">
      <w:pPr>
        <w:pStyle w:val="5"/>
        <w:spacing w:before="0" w:after="0" w:line="360" w:lineRule="auto"/>
        <w:rPr>
          <w:rFonts w:ascii="Times New Roman" w:hAnsi="Times New Roman"/>
          <w:bCs w:val="0"/>
          <w:color w:val="auto"/>
          <w:sz w:val="24"/>
          <w:szCs w:val="24"/>
          <w:highlight w:val="none"/>
        </w:rPr>
      </w:pPr>
      <w:r>
        <w:rPr>
          <w:rFonts w:ascii="Times New Roman" w:hAnsi="Times New Roman"/>
          <w:bCs w:val="0"/>
          <w:color w:val="auto"/>
          <w:sz w:val="24"/>
          <w:szCs w:val="24"/>
          <w:highlight w:val="none"/>
        </w:rPr>
        <w:t xml:space="preserve">   </w:t>
      </w:r>
      <w:r>
        <w:rPr>
          <w:rFonts w:ascii="Times New Roman" w:hAnsi="Times New Roman"/>
          <w:b w:val="0"/>
          <w:color w:val="auto"/>
          <w:sz w:val="24"/>
          <w:szCs w:val="24"/>
          <w:highlight w:val="none"/>
        </w:rPr>
        <w:t xml:space="preserve"> </w:t>
      </w:r>
      <w:bookmarkStart w:id="105" w:name="_Toc351203481"/>
      <w:r>
        <w:rPr>
          <w:rFonts w:ascii="Times New Roman" w:hAnsi="Times New Roman"/>
          <w:color w:val="auto"/>
          <w:sz w:val="24"/>
          <w:szCs w:val="24"/>
          <w:highlight w:val="none"/>
        </w:rPr>
        <w:t>一、工程概况</w:t>
      </w:r>
      <w:bookmarkEnd w:id="105"/>
    </w:p>
    <w:p w14:paraId="1270F675">
      <w:pPr>
        <w:spacing w:line="360" w:lineRule="auto"/>
        <w:ind w:firstLine="480" w:firstLineChars="200"/>
        <w:rPr>
          <w:rFonts w:ascii="Times New Roman" w:hAnsi="Times New Roman"/>
          <w:color w:val="auto"/>
          <w:sz w:val="24"/>
          <w:szCs w:val="24"/>
          <w:highlight w:val="none"/>
          <w:u w:val="single"/>
        </w:rPr>
      </w:pPr>
      <w:r>
        <w:rPr>
          <w:rFonts w:ascii="Times New Roman" w:hAnsi="Times New Roman"/>
          <w:bCs/>
          <w:color w:val="auto"/>
          <w:sz w:val="24"/>
          <w:szCs w:val="24"/>
          <w:highlight w:val="none"/>
        </w:rPr>
        <w:t>1.工程名称</w:t>
      </w:r>
      <w:r>
        <w:rPr>
          <w:rFonts w:ascii="Times New Roman" w:hAnsi="Times New Roman"/>
          <w:color w:val="auto"/>
          <w:sz w:val="24"/>
          <w:szCs w:val="24"/>
          <w:highlight w:val="none"/>
        </w:rPr>
        <w:t>：</w:t>
      </w:r>
      <w:r>
        <w:rPr>
          <w:rFonts w:hint="eastAsia" w:ascii="宋体" w:hAnsi="宋体"/>
          <w:color w:val="auto"/>
          <w:sz w:val="24"/>
          <w:szCs w:val="24"/>
          <w:highlight w:val="none"/>
          <w:u w:val="single"/>
        </w:rPr>
        <w:t xml:space="preserve">    </w:t>
      </w:r>
      <w:r>
        <w:rPr>
          <w:rFonts w:hint="eastAsia" w:ascii="宋体" w:hAnsi="宋体" w:cs="宋体"/>
          <w:color w:val="auto"/>
          <w:kern w:val="0"/>
          <w:sz w:val="24"/>
          <w:highlight w:val="none"/>
          <w:u w:val="single"/>
          <w:lang w:val="en-US" w:eastAsia="zh-CN"/>
        </w:rPr>
        <w:t xml:space="preserve">                                         </w:t>
      </w:r>
      <w:r>
        <w:rPr>
          <w:rFonts w:hint="eastAsia" w:ascii="宋体" w:hAnsi="宋体"/>
          <w:color w:val="auto"/>
          <w:sz w:val="24"/>
          <w:szCs w:val="24"/>
          <w:highlight w:val="none"/>
          <w:u w:val="single"/>
        </w:rPr>
        <w:t xml:space="preserve"> </w:t>
      </w:r>
    </w:p>
    <w:p w14:paraId="45326BB2">
      <w:pPr>
        <w:spacing w:line="360" w:lineRule="auto"/>
        <w:ind w:firstLine="470" w:firstLineChars="196"/>
        <w:rPr>
          <w:rFonts w:ascii="Times New Roman" w:hAnsi="Times New Roman"/>
          <w:bCs/>
          <w:color w:val="auto"/>
          <w:sz w:val="24"/>
          <w:szCs w:val="24"/>
          <w:highlight w:val="none"/>
        </w:rPr>
      </w:pPr>
      <w:r>
        <w:rPr>
          <w:rFonts w:ascii="Times New Roman" w:hAnsi="Times New Roman"/>
          <w:bCs/>
          <w:color w:val="auto"/>
          <w:sz w:val="24"/>
          <w:szCs w:val="24"/>
          <w:highlight w:val="none"/>
        </w:rPr>
        <w:t>2.工程地点：</w:t>
      </w:r>
      <w:r>
        <w:rPr>
          <w:rFonts w:ascii="宋体" w:hAnsi="宋体"/>
          <w:color w:val="auto"/>
          <w:sz w:val="24"/>
          <w:szCs w:val="24"/>
          <w:highlight w:val="none"/>
          <w:u w:val="single"/>
        </w:rPr>
        <w:t></w:t>
      </w:r>
      <w:r>
        <w:rPr>
          <w:rFonts w:hint="eastAsia" w:ascii="宋体" w:hAnsi="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rPr>
        <w:t xml:space="preserve"> </w:t>
      </w:r>
    </w:p>
    <w:p w14:paraId="2AA9CF6F">
      <w:pPr>
        <w:spacing w:line="360" w:lineRule="auto"/>
        <w:ind w:firstLine="470" w:firstLineChars="196"/>
        <w:rPr>
          <w:rFonts w:ascii="Times New Roman" w:hAnsi="Times New Roman"/>
          <w:bCs/>
          <w:color w:val="auto"/>
          <w:sz w:val="24"/>
          <w:szCs w:val="24"/>
          <w:highlight w:val="none"/>
        </w:rPr>
      </w:pPr>
      <w:r>
        <w:rPr>
          <w:rFonts w:ascii="Times New Roman" w:hAnsi="Times New Roman"/>
          <w:bCs/>
          <w:color w:val="auto"/>
          <w:sz w:val="24"/>
          <w:szCs w:val="24"/>
          <w:highlight w:val="none"/>
        </w:rPr>
        <w:t>3.工程内容：</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u w:val="single"/>
          <w:lang w:val="en-US" w:eastAsia="zh-CN"/>
        </w:rPr>
        <w:t xml:space="preserve">                               </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u w:val="single"/>
          <w:lang w:val="en-US" w:eastAsia="zh-CN"/>
        </w:rPr>
        <w:t xml:space="preserve"> </w:t>
      </w:r>
      <w:r>
        <w:rPr>
          <w:rFonts w:hint="eastAsia" w:ascii="宋体" w:hAnsi="宋体"/>
          <w:color w:val="auto"/>
          <w:sz w:val="24"/>
          <w:szCs w:val="24"/>
          <w:highlight w:val="none"/>
          <w:u w:val="single"/>
        </w:rPr>
        <w:t xml:space="preserve">   </w:t>
      </w:r>
    </w:p>
    <w:p w14:paraId="3B80AAA8">
      <w:pPr>
        <w:spacing w:line="360" w:lineRule="auto"/>
        <w:ind w:firstLine="480" w:firstLineChars="200"/>
        <w:rPr>
          <w:rFonts w:ascii="Times New Roman" w:hAnsi="Times New Roman"/>
          <w:color w:val="auto"/>
          <w:highlight w:val="none"/>
        </w:rPr>
      </w:pPr>
      <w:r>
        <w:rPr>
          <w:rFonts w:ascii="Times New Roman" w:hAnsi="Times New Roman"/>
          <w:bCs/>
          <w:color w:val="auto"/>
          <w:sz w:val="24"/>
          <w:szCs w:val="24"/>
          <w:highlight w:val="none"/>
        </w:rPr>
        <w:t>4.工程承包范围：</w:t>
      </w:r>
      <w:r>
        <w:rPr>
          <w:color w:val="auto"/>
          <w:sz w:val="24"/>
          <w:szCs w:val="24"/>
          <w:highlight w:val="none"/>
          <w:u w:val="single"/>
        </w:rPr>
        <w:t></w:t>
      </w:r>
      <w:r>
        <w:rPr>
          <w:rFonts w:hint="eastAsia"/>
          <w:color w:val="auto"/>
          <w:sz w:val="24"/>
          <w:szCs w:val="24"/>
          <w:highlight w:val="none"/>
          <w:u w:val="single"/>
        </w:rPr>
        <w:t>1.设计图纸和工程量清单内所有项目；2.因现场实际施工，发包人提出的增减项目。</w:t>
      </w:r>
      <w:bookmarkStart w:id="106" w:name="_Toc351203482"/>
    </w:p>
    <w:p w14:paraId="7CAFEA1B">
      <w:pPr>
        <w:spacing w:line="360" w:lineRule="auto"/>
        <w:ind w:left="-2" w:leftChars="-1" w:firstLine="422" w:firstLineChars="200"/>
        <w:rPr>
          <w:rFonts w:ascii="Times New Roman" w:hAnsi="Times New Roman"/>
          <w:color w:val="auto"/>
          <w:sz w:val="24"/>
          <w:szCs w:val="24"/>
          <w:highlight w:val="none"/>
        </w:rPr>
      </w:pPr>
      <w:r>
        <w:rPr>
          <w:rFonts w:ascii="Times New Roman" w:hAnsi="Times New Roman"/>
          <w:b/>
          <w:color w:val="auto"/>
          <w:highlight w:val="none"/>
        </w:rPr>
        <w:t>二、合同工期</w:t>
      </w:r>
      <w:bookmarkEnd w:id="106"/>
    </w:p>
    <w:p w14:paraId="042BC63A">
      <w:pPr>
        <w:spacing w:line="360" w:lineRule="auto"/>
        <w:ind w:firstLine="459"/>
        <w:rPr>
          <w:rFonts w:ascii="Times New Roman" w:hAnsi="Times New Roman"/>
          <w:color w:val="auto"/>
          <w:sz w:val="24"/>
          <w:szCs w:val="24"/>
          <w:highlight w:val="none"/>
        </w:rPr>
      </w:pPr>
      <w:r>
        <w:rPr>
          <w:rFonts w:ascii="Times New Roman" w:hAnsi="Times New Roman"/>
          <w:color w:val="auto"/>
          <w:sz w:val="24"/>
          <w:szCs w:val="24"/>
          <w:highlight w:val="none"/>
        </w:rPr>
        <w:t>计划开工日期：</w:t>
      </w:r>
      <w:r>
        <w:rPr>
          <w:rFonts w:hint="eastAsia" w:ascii="宋体" w:hAnsi="宋体"/>
          <w:color w:val="auto"/>
          <w:sz w:val="24"/>
          <w:szCs w:val="24"/>
          <w:highlight w:val="none"/>
          <w:u w:val="single"/>
        </w:rPr>
        <w:t xml:space="preserve">     </w:t>
      </w:r>
      <w:r>
        <w:rPr>
          <w:rFonts w:ascii="Times New Roman" w:hAnsi="Times New Roman"/>
          <w:color w:val="auto"/>
          <w:sz w:val="24"/>
          <w:szCs w:val="24"/>
          <w:highlight w:val="none"/>
        </w:rPr>
        <w:t>年</w:t>
      </w:r>
      <w:r>
        <w:rPr>
          <w:rFonts w:hint="eastAsia" w:ascii="Times New Roman" w:hAnsi="Times New Roman"/>
          <w:color w:val="auto"/>
          <w:sz w:val="24"/>
          <w:szCs w:val="24"/>
          <w:highlight w:val="none"/>
        </w:rPr>
        <w:t xml:space="preserve">   </w:t>
      </w:r>
      <w:r>
        <w:rPr>
          <w:rFonts w:ascii="Times New Roman" w:hAnsi="Times New Roman"/>
          <w:color w:val="auto"/>
          <w:sz w:val="24"/>
          <w:szCs w:val="24"/>
          <w:highlight w:val="none"/>
        </w:rPr>
        <w:t>月</w:t>
      </w:r>
      <w:r>
        <w:rPr>
          <w:rFonts w:hint="eastAsia" w:ascii="Times New Roman" w:hAnsi="Times New Roman"/>
          <w:color w:val="auto"/>
          <w:sz w:val="24"/>
          <w:szCs w:val="24"/>
          <w:highlight w:val="none"/>
        </w:rPr>
        <w:t xml:space="preserve">   </w:t>
      </w:r>
      <w:r>
        <w:rPr>
          <w:rFonts w:ascii="Times New Roman" w:hAnsi="Times New Roman"/>
          <w:color w:val="auto"/>
          <w:sz w:val="24"/>
          <w:szCs w:val="24"/>
          <w:highlight w:val="none"/>
        </w:rPr>
        <w:t>日。</w:t>
      </w:r>
    </w:p>
    <w:p w14:paraId="46A34213">
      <w:pPr>
        <w:spacing w:line="360" w:lineRule="auto"/>
        <w:ind w:firstLine="459"/>
        <w:rPr>
          <w:rFonts w:ascii="Times New Roman" w:hAnsi="Times New Roman"/>
          <w:color w:val="auto"/>
          <w:sz w:val="24"/>
          <w:szCs w:val="24"/>
          <w:highlight w:val="none"/>
        </w:rPr>
      </w:pPr>
      <w:r>
        <w:rPr>
          <w:rFonts w:ascii="Times New Roman" w:hAnsi="Times New Roman"/>
          <w:color w:val="auto"/>
          <w:sz w:val="24"/>
          <w:szCs w:val="24"/>
          <w:highlight w:val="none"/>
        </w:rPr>
        <w:t>计划竣工日期：</w:t>
      </w:r>
      <w:r>
        <w:rPr>
          <w:rFonts w:hint="eastAsia" w:ascii="宋体" w:hAnsi="宋体"/>
          <w:color w:val="auto"/>
          <w:sz w:val="24"/>
          <w:szCs w:val="24"/>
          <w:highlight w:val="none"/>
          <w:u w:val="single"/>
        </w:rPr>
        <w:t xml:space="preserve">     </w:t>
      </w:r>
      <w:r>
        <w:rPr>
          <w:rFonts w:ascii="Times New Roman" w:hAnsi="Times New Roman"/>
          <w:color w:val="auto"/>
          <w:sz w:val="24"/>
          <w:szCs w:val="24"/>
          <w:highlight w:val="none"/>
        </w:rPr>
        <w:t>年</w:t>
      </w:r>
      <w:r>
        <w:rPr>
          <w:rFonts w:hint="eastAsia" w:ascii="Times New Roman" w:hAnsi="Times New Roman"/>
          <w:color w:val="auto"/>
          <w:sz w:val="24"/>
          <w:szCs w:val="24"/>
          <w:highlight w:val="none"/>
        </w:rPr>
        <w:t xml:space="preserve">   </w:t>
      </w:r>
      <w:r>
        <w:rPr>
          <w:rFonts w:ascii="Times New Roman" w:hAnsi="Times New Roman"/>
          <w:color w:val="auto"/>
          <w:sz w:val="24"/>
          <w:szCs w:val="24"/>
          <w:highlight w:val="none"/>
        </w:rPr>
        <w:t>月</w:t>
      </w:r>
      <w:r>
        <w:rPr>
          <w:rFonts w:hint="eastAsia" w:ascii="Times New Roman" w:hAnsi="Times New Roman"/>
          <w:color w:val="auto"/>
          <w:sz w:val="24"/>
          <w:szCs w:val="24"/>
          <w:highlight w:val="none"/>
        </w:rPr>
        <w:t xml:space="preserve">   </w:t>
      </w:r>
      <w:r>
        <w:rPr>
          <w:rFonts w:ascii="Times New Roman" w:hAnsi="Times New Roman"/>
          <w:color w:val="auto"/>
          <w:sz w:val="24"/>
          <w:szCs w:val="24"/>
          <w:highlight w:val="none"/>
        </w:rPr>
        <w:t>日。</w:t>
      </w:r>
    </w:p>
    <w:p w14:paraId="6E39716D">
      <w:pPr>
        <w:spacing w:line="360" w:lineRule="auto"/>
        <w:ind w:firstLine="459"/>
        <w:rPr>
          <w:rFonts w:ascii="Times New Roman" w:hAnsi="Times New Roman"/>
          <w:color w:val="auto"/>
          <w:sz w:val="24"/>
          <w:szCs w:val="24"/>
          <w:highlight w:val="none"/>
        </w:rPr>
      </w:pPr>
      <w:r>
        <w:rPr>
          <w:rFonts w:ascii="Times New Roman" w:hAnsi="Times New Roman"/>
          <w:color w:val="auto"/>
          <w:sz w:val="24"/>
          <w:szCs w:val="24"/>
          <w:highlight w:val="none"/>
        </w:rPr>
        <w:t>工期总日历天数：</w:t>
      </w:r>
      <w:r>
        <w:rPr>
          <w:rFonts w:hint="eastAsia" w:ascii="Times New Roman" w:hAnsi="Times New Roman"/>
          <w:color w:val="auto"/>
          <w:sz w:val="24"/>
          <w:szCs w:val="24"/>
          <w:highlight w:val="none"/>
          <w:u w:val="single"/>
          <w:lang w:val="en-US" w:eastAsia="zh-CN"/>
        </w:rPr>
        <w:t xml:space="preserve">     </w:t>
      </w:r>
      <w:r>
        <w:rPr>
          <w:rFonts w:ascii="Times New Roman" w:hAnsi="Times New Roman"/>
          <w:color w:val="auto"/>
          <w:sz w:val="24"/>
          <w:szCs w:val="24"/>
          <w:highlight w:val="none"/>
        </w:rPr>
        <w:t>天。工期总日历天数与根据前述计划开竣工日期计算的工期天数不一致的，以工期总日历天数为准。</w:t>
      </w:r>
    </w:p>
    <w:p w14:paraId="6DA6628A">
      <w:pPr>
        <w:pStyle w:val="5"/>
        <w:spacing w:before="0" w:after="0" w:line="360" w:lineRule="auto"/>
        <w:rPr>
          <w:rFonts w:ascii="Times New Roman" w:hAnsi="Times New Roman"/>
          <w:bCs w:val="0"/>
          <w:color w:val="auto"/>
          <w:sz w:val="24"/>
          <w:szCs w:val="24"/>
          <w:highlight w:val="none"/>
        </w:rPr>
      </w:pPr>
      <w:r>
        <w:rPr>
          <w:rFonts w:ascii="Times New Roman" w:hAnsi="Times New Roman"/>
          <w:bCs w:val="0"/>
          <w:color w:val="auto"/>
          <w:sz w:val="24"/>
          <w:szCs w:val="24"/>
          <w:highlight w:val="none"/>
        </w:rPr>
        <w:t xml:space="preserve">    </w:t>
      </w:r>
      <w:bookmarkStart w:id="107" w:name="_Toc351203483"/>
      <w:r>
        <w:rPr>
          <w:rFonts w:ascii="Times New Roman" w:hAnsi="Times New Roman"/>
          <w:color w:val="auto"/>
          <w:sz w:val="24"/>
          <w:szCs w:val="24"/>
          <w:highlight w:val="none"/>
        </w:rPr>
        <w:t>三、质量标准</w:t>
      </w:r>
      <w:bookmarkEnd w:id="107"/>
    </w:p>
    <w:p w14:paraId="08E3A653">
      <w:pPr>
        <w:spacing w:line="360" w:lineRule="auto"/>
        <w:ind w:firstLine="459"/>
        <w:rPr>
          <w:rFonts w:ascii="Times New Roman" w:hAnsi="Times New Roman"/>
          <w:color w:val="auto"/>
          <w:sz w:val="24"/>
          <w:szCs w:val="24"/>
          <w:highlight w:val="none"/>
        </w:rPr>
      </w:pPr>
      <w:r>
        <w:rPr>
          <w:rFonts w:ascii="Times New Roman" w:hAnsi="Times New Roman"/>
          <w:color w:val="auto"/>
          <w:sz w:val="24"/>
          <w:szCs w:val="24"/>
          <w:highlight w:val="none"/>
        </w:rPr>
        <w:t>工程质量符合</w:t>
      </w:r>
      <w:r>
        <w:rPr>
          <w:rFonts w:ascii="宋体" w:hAnsi="宋体"/>
          <w:color w:val="auto"/>
          <w:sz w:val="24"/>
          <w:szCs w:val="24"/>
          <w:highlight w:val="none"/>
          <w:u w:val="single"/>
        </w:rPr>
        <w:t></w:t>
      </w:r>
      <w:r>
        <w:rPr>
          <w:rFonts w:hint="eastAsia" w:ascii="Times New Roman" w:hAnsi="宋体"/>
          <w:b/>
          <w:color w:val="auto"/>
          <w:sz w:val="24"/>
          <w:szCs w:val="24"/>
          <w:highlight w:val="none"/>
          <w:u w:val="single"/>
          <w:lang w:val="en-US" w:eastAsia="zh-CN"/>
        </w:rPr>
        <w:t xml:space="preserve">  </w:t>
      </w:r>
      <w:r>
        <w:rPr>
          <w:rFonts w:ascii="宋体" w:hAnsi="宋体"/>
          <w:color w:val="auto"/>
          <w:sz w:val="24"/>
          <w:szCs w:val="24"/>
          <w:highlight w:val="none"/>
          <w:u w:val="single"/>
        </w:rPr>
        <w:t></w:t>
      </w:r>
      <w:r>
        <w:rPr>
          <w:rFonts w:ascii="Times New Roman" w:hAnsi="Times New Roman"/>
          <w:color w:val="auto"/>
          <w:sz w:val="24"/>
          <w:szCs w:val="24"/>
          <w:highlight w:val="none"/>
        </w:rPr>
        <w:t>标准。</w:t>
      </w:r>
    </w:p>
    <w:p w14:paraId="634B3181">
      <w:pPr>
        <w:pStyle w:val="5"/>
        <w:spacing w:before="0" w:after="0" w:line="360" w:lineRule="auto"/>
        <w:rPr>
          <w:rFonts w:ascii="Times New Roman" w:hAnsi="Times New Roman"/>
          <w:bCs w:val="0"/>
          <w:color w:val="auto"/>
          <w:sz w:val="24"/>
          <w:szCs w:val="24"/>
          <w:highlight w:val="none"/>
        </w:rPr>
      </w:pPr>
      <w:r>
        <w:rPr>
          <w:rFonts w:ascii="Times New Roman" w:hAnsi="Times New Roman"/>
          <w:bCs w:val="0"/>
          <w:color w:val="auto"/>
          <w:sz w:val="24"/>
          <w:szCs w:val="24"/>
          <w:highlight w:val="none"/>
        </w:rPr>
        <w:t xml:space="preserve">   </w:t>
      </w:r>
      <w:r>
        <w:rPr>
          <w:rFonts w:ascii="Times New Roman" w:hAnsi="Times New Roman"/>
          <w:b w:val="0"/>
          <w:color w:val="auto"/>
          <w:sz w:val="24"/>
          <w:szCs w:val="24"/>
          <w:highlight w:val="none"/>
        </w:rPr>
        <w:t xml:space="preserve"> </w:t>
      </w:r>
      <w:bookmarkStart w:id="108" w:name="_Toc351203484"/>
      <w:r>
        <w:rPr>
          <w:rFonts w:ascii="Times New Roman" w:hAnsi="Times New Roman"/>
          <w:color w:val="auto"/>
          <w:sz w:val="24"/>
          <w:szCs w:val="24"/>
          <w:highlight w:val="none"/>
        </w:rPr>
        <w:t>四、签约合同价与合同价格形式</w:t>
      </w:r>
      <w:bookmarkEnd w:id="108"/>
      <w:r>
        <w:rPr>
          <w:rFonts w:ascii="Times New Roman" w:hAnsi="Times New Roman"/>
          <w:color w:val="auto"/>
          <w:sz w:val="24"/>
          <w:szCs w:val="24"/>
          <w:highlight w:val="none"/>
        </w:rPr>
        <w:tab/>
      </w:r>
    </w:p>
    <w:p w14:paraId="2BBA31BA">
      <w:pPr>
        <w:spacing w:line="360" w:lineRule="auto"/>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1.签约合同价为：</w:t>
      </w:r>
    </w:p>
    <w:p w14:paraId="4E2A7C0B">
      <w:pPr>
        <w:spacing w:line="360" w:lineRule="auto"/>
        <w:ind w:firstLine="1080" w:firstLineChars="450"/>
        <w:rPr>
          <w:rFonts w:ascii="Times New Roman" w:hAnsi="Times New Roman"/>
          <w:color w:val="auto"/>
          <w:sz w:val="24"/>
          <w:szCs w:val="24"/>
          <w:highlight w:val="none"/>
        </w:rPr>
      </w:pPr>
      <w:r>
        <w:rPr>
          <w:rFonts w:ascii="Times New Roman" w:hAnsi="Times New Roman"/>
          <w:color w:val="auto"/>
          <w:sz w:val="24"/>
          <w:szCs w:val="24"/>
          <w:highlight w:val="none"/>
        </w:rPr>
        <w:t>人民币（大写）</w:t>
      </w:r>
      <w:r>
        <w:rPr>
          <w:rFonts w:ascii="Times New Roman" w:hAnsi="Times New Roman"/>
          <w:color w:val="auto"/>
          <w:sz w:val="24"/>
          <w:szCs w:val="24"/>
          <w:highlight w:val="none"/>
          <w:u w:val="single"/>
        </w:rPr>
        <w:t xml:space="preserve">     </w:t>
      </w:r>
      <w:r>
        <w:rPr>
          <w:rFonts w:hint="eastAsia" w:ascii="Times New Roman" w:hAnsi="Times New Roman"/>
          <w:color w:val="auto"/>
          <w:sz w:val="24"/>
          <w:szCs w:val="24"/>
          <w:highlight w:val="none"/>
          <w:u w:val="single"/>
        </w:rPr>
        <w:t xml:space="preserve"> </w:t>
      </w:r>
      <w:r>
        <w:rPr>
          <w:rFonts w:ascii="Times New Roman" w:hAnsi="Times New Roman"/>
          <w:color w:val="auto"/>
          <w:sz w:val="24"/>
          <w:szCs w:val="24"/>
          <w:highlight w:val="none"/>
          <w:u w:val="single"/>
        </w:rPr>
        <w:t xml:space="preserve">         </w:t>
      </w:r>
      <w:r>
        <w:rPr>
          <w:rFonts w:ascii="Times New Roman" w:hAnsi="Times New Roman"/>
          <w:color w:val="auto"/>
          <w:sz w:val="24"/>
          <w:szCs w:val="24"/>
          <w:highlight w:val="none"/>
        </w:rPr>
        <w:t>(¥</w:t>
      </w:r>
      <w:r>
        <w:rPr>
          <w:rFonts w:ascii="Times New Roman" w:hAnsi="Times New Roman"/>
          <w:color w:val="auto"/>
          <w:sz w:val="24"/>
          <w:szCs w:val="24"/>
          <w:highlight w:val="none"/>
          <w:u w:val="single"/>
        </w:rPr>
        <w:t xml:space="preserve">          </w:t>
      </w:r>
      <w:r>
        <w:rPr>
          <w:rFonts w:ascii="Times New Roman" w:hAnsi="Times New Roman"/>
          <w:color w:val="auto"/>
          <w:sz w:val="24"/>
          <w:szCs w:val="24"/>
          <w:highlight w:val="none"/>
        </w:rPr>
        <w:t>元)；</w:t>
      </w:r>
    </w:p>
    <w:p w14:paraId="68A1E137">
      <w:pPr>
        <w:spacing w:line="360" w:lineRule="auto"/>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其中：</w:t>
      </w:r>
    </w:p>
    <w:p w14:paraId="3EE262D9">
      <w:pPr>
        <w:spacing w:line="360" w:lineRule="auto"/>
        <w:ind w:firstLine="480" w:firstLineChars="200"/>
        <w:rPr>
          <w:rFonts w:ascii="Times New Roman" w:hAnsi="Times New Roman"/>
          <w:color w:val="auto"/>
          <w:sz w:val="24"/>
          <w:szCs w:val="24"/>
          <w:highlight w:val="none"/>
        </w:rPr>
      </w:pPr>
      <w:r>
        <w:rPr>
          <w:rFonts w:hint="eastAsia" w:ascii="宋体" w:hAnsi="宋体" w:cs="宋体"/>
          <w:color w:val="auto"/>
          <w:sz w:val="24"/>
          <w:szCs w:val="24"/>
          <w:highlight w:val="none"/>
        </w:rPr>
        <w:t>⑴</w:t>
      </w:r>
      <w:r>
        <w:rPr>
          <w:rFonts w:ascii="Times New Roman" w:hAnsi="Times New Roman"/>
          <w:color w:val="auto"/>
          <w:sz w:val="24"/>
          <w:szCs w:val="24"/>
          <w:highlight w:val="none"/>
        </w:rPr>
        <w:t>安全文明施工费：</w:t>
      </w:r>
    </w:p>
    <w:p w14:paraId="22B01860">
      <w:pPr>
        <w:spacing w:line="360" w:lineRule="auto"/>
        <w:ind w:firstLine="1080" w:firstLineChars="450"/>
        <w:rPr>
          <w:rFonts w:ascii="Times New Roman" w:hAnsi="Times New Roman"/>
          <w:color w:val="auto"/>
          <w:sz w:val="24"/>
          <w:szCs w:val="24"/>
          <w:highlight w:val="none"/>
        </w:rPr>
      </w:pPr>
      <w:r>
        <w:rPr>
          <w:rFonts w:ascii="Times New Roman" w:hAnsi="Times New Roman"/>
          <w:color w:val="auto"/>
          <w:sz w:val="24"/>
          <w:szCs w:val="24"/>
          <w:highlight w:val="none"/>
        </w:rPr>
        <w:t>人民币（大写）</w:t>
      </w:r>
      <w:r>
        <w:rPr>
          <w:rFonts w:ascii="Times New Roman" w:hAnsi="Times New Roman"/>
          <w:color w:val="auto"/>
          <w:sz w:val="24"/>
          <w:szCs w:val="24"/>
          <w:highlight w:val="none"/>
          <w:u w:val="single"/>
        </w:rPr>
        <w:t xml:space="preserve">              </w:t>
      </w:r>
      <w:r>
        <w:rPr>
          <w:rFonts w:ascii="Times New Roman" w:hAnsi="Times New Roman"/>
          <w:color w:val="auto"/>
          <w:sz w:val="24"/>
          <w:szCs w:val="24"/>
          <w:highlight w:val="none"/>
        </w:rPr>
        <w:t xml:space="preserve"> (¥</w:t>
      </w:r>
      <w:r>
        <w:rPr>
          <w:rFonts w:ascii="Times New Roman" w:hAnsi="Times New Roman"/>
          <w:color w:val="auto"/>
          <w:sz w:val="24"/>
          <w:szCs w:val="24"/>
          <w:highlight w:val="none"/>
          <w:u w:val="single"/>
        </w:rPr>
        <w:t xml:space="preserve">          </w:t>
      </w:r>
      <w:r>
        <w:rPr>
          <w:rFonts w:ascii="Times New Roman" w:hAnsi="Times New Roman"/>
          <w:color w:val="auto"/>
          <w:sz w:val="24"/>
          <w:szCs w:val="24"/>
          <w:highlight w:val="none"/>
        </w:rPr>
        <w:t>元)；</w:t>
      </w:r>
    </w:p>
    <w:p w14:paraId="529FDEB1">
      <w:pPr>
        <w:spacing w:line="360" w:lineRule="auto"/>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2.合同价格形式：</w:t>
      </w:r>
      <w:r>
        <w:rPr>
          <w:rFonts w:ascii="宋体" w:hAnsi="宋体"/>
          <w:color w:val="auto"/>
          <w:sz w:val="24"/>
          <w:szCs w:val="24"/>
          <w:highlight w:val="none"/>
          <w:u w:val="single"/>
        </w:rPr>
        <w:t></w:t>
      </w:r>
      <w:r>
        <w:rPr>
          <w:rFonts w:hint="eastAsia" w:ascii="Times New Roman" w:hAnsi="宋体"/>
          <w:color w:val="auto"/>
          <w:sz w:val="24"/>
          <w:szCs w:val="24"/>
          <w:highlight w:val="none"/>
          <w:u w:val="single"/>
        </w:rPr>
        <w:t>固定综合单价方式</w:t>
      </w:r>
      <w:r>
        <w:rPr>
          <w:rFonts w:ascii="宋体" w:hAnsi="宋体"/>
          <w:color w:val="auto"/>
          <w:sz w:val="24"/>
          <w:szCs w:val="24"/>
          <w:highlight w:val="none"/>
          <w:u w:val="single"/>
        </w:rPr>
        <w:t></w:t>
      </w:r>
      <w:r>
        <w:rPr>
          <w:rFonts w:ascii="Times New Roman" w:hAnsi="Times New Roman"/>
          <w:color w:val="auto"/>
          <w:sz w:val="24"/>
          <w:szCs w:val="24"/>
          <w:highlight w:val="none"/>
        </w:rPr>
        <w:t>。</w:t>
      </w:r>
    </w:p>
    <w:p w14:paraId="58650280">
      <w:pPr>
        <w:pStyle w:val="5"/>
        <w:spacing w:before="0" w:after="0" w:line="360" w:lineRule="auto"/>
        <w:rPr>
          <w:rFonts w:ascii="Times New Roman" w:hAnsi="Times New Roman"/>
          <w:bCs w:val="0"/>
          <w:color w:val="auto"/>
          <w:sz w:val="24"/>
          <w:szCs w:val="24"/>
          <w:highlight w:val="none"/>
        </w:rPr>
      </w:pPr>
      <w:r>
        <w:rPr>
          <w:rFonts w:ascii="Times New Roman" w:hAnsi="Times New Roman"/>
          <w:bCs w:val="0"/>
          <w:color w:val="auto"/>
          <w:sz w:val="24"/>
          <w:szCs w:val="24"/>
          <w:highlight w:val="none"/>
        </w:rPr>
        <w:t xml:space="preserve">   </w:t>
      </w:r>
      <w:r>
        <w:rPr>
          <w:rFonts w:ascii="Times New Roman" w:hAnsi="Times New Roman"/>
          <w:b w:val="0"/>
          <w:color w:val="auto"/>
          <w:sz w:val="24"/>
          <w:szCs w:val="24"/>
          <w:highlight w:val="none"/>
        </w:rPr>
        <w:t xml:space="preserve"> </w:t>
      </w:r>
      <w:bookmarkStart w:id="109" w:name="_Toc351203485"/>
      <w:r>
        <w:rPr>
          <w:rFonts w:ascii="Times New Roman" w:hAnsi="Times New Roman"/>
          <w:color w:val="auto"/>
          <w:sz w:val="24"/>
          <w:szCs w:val="24"/>
          <w:highlight w:val="none"/>
        </w:rPr>
        <w:t>五、</w:t>
      </w:r>
      <w:bookmarkEnd w:id="109"/>
      <w:r>
        <w:rPr>
          <w:rFonts w:ascii="Times New Roman" w:hAnsi="Times New Roman"/>
          <w:color w:val="auto"/>
          <w:sz w:val="24"/>
          <w:szCs w:val="24"/>
          <w:highlight w:val="none"/>
        </w:rPr>
        <w:t>合同文件构成</w:t>
      </w:r>
    </w:p>
    <w:p w14:paraId="51AB6F77">
      <w:pPr>
        <w:spacing w:line="360" w:lineRule="auto"/>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本协议书与下列文件一起构成合同文件：</w:t>
      </w:r>
    </w:p>
    <w:p w14:paraId="2F53CD0F">
      <w:pPr>
        <w:autoSpaceDE w:val="0"/>
        <w:autoSpaceDN w:val="0"/>
        <w:adjustRightInd w:val="0"/>
        <w:spacing w:line="360" w:lineRule="auto"/>
        <w:ind w:firstLine="480" w:firstLineChars="200"/>
        <w:rPr>
          <w:rFonts w:ascii="Times New Roman" w:hAnsi="Times New Roman"/>
          <w:color w:val="auto"/>
          <w:sz w:val="24"/>
          <w:szCs w:val="24"/>
          <w:highlight w:val="none"/>
        </w:rPr>
      </w:pPr>
      <w:r>
        <w:rPr>
          <w:rFonts w:hint="eastAsia" w:ascii="宋体" w:hAnsi="宋体" w:cs="宋体"/>
          <w:color w:val="auto"/>
          <w:sz w:val="24"/>
          <w:szCs w:val="24"/>
          <w:highlight w:val="none"/>
        </w:rPr>
        <w:t>⑴</w:t>
      </w:r>
      <w:r>
        <w:rPr>
          <w:rFonts w:hint="eastAsia"/>
          <w:color w:val="auto"/>
          <w:sz w:val="24"/>
          <w:szCs w:val="24"/>
          <w:highlight w:val="none"/>
          <w:lang w:val="en-US" w:eastAsia="zh-CN"/>
        </w:rPr>
        <w:t>采购</w:t>
      </w:r>
      <w:r>
        <w:rPr>
          <w:rFonts w:ascii="Times New Roman" w:hAnsi="Times New Roman"/>
          <w:color w:val="auto"/>
          <w:sz w:val="24"/>
          <w:szCs w:val="24"/>
          <w:highlight w:val="none"/>
        </w:rPr>
        <w:t>结果公告；</w:t>
      </w:r>
    </w:p>
    <w:p w14:paraId="40632635">
      <w:pPr>
        <w:autoSpaceDE w:val="0"/>
        <w:autoSpaceDN w:val="0"/>
        <w:adjustRightInd w:val="0"/>
        <w:spacing w:line="360" w:lineRule="auto"/>
        <w:ind w:firstLine="480" w:firstLineChars="200"/>
        <w:rPr>
          <w:rFonts w:ascii="Times New Roman" w:hAnsi="Times New Roman"/>
          <w:color w:val="auto"/>
          <w:sz w:val="24"/>
          <w:szCs w:val="24"/>
          <w:highlight w:val="none"/>
        </w:rPr>
      </w:pPr>
      <w:r>
        <w:rPr>
          <w:rFonts w:hint="eastAsia" w:ascii="宋体" w:hAnsi="宋体" w:cs="宋体"/>
          <w:color w:val="auto"/>
          <w:sz w:val="24"/>
          <w:szCs w:val="24"/>
          <w:highlight w:val="none"/>
        </w:rPr>
        <w:t>⑵</w:t>
      </w:r>
      <w:r>
        <w:rPr>
          <w:rFonts w:ascii="Times New Roman" w:hAnsi="Times New Roman"/>
          <w:color w:val="auto"/>
          <w:sz w:val="24"/>
          <w:szCs w:val="24"/>
          <w:highlight w:val="none"/>
        </w:rPr>
        <w:t xml:space="preserve">协议书及合同条款、工程质量保修书； </w:t>
      </w:r>
    </w:p>
    <w:p w14:paraId="35647E68">
      <w:pPr>
        <w:autoSpaceDE w:val="0"/>
        <w:autoSpaceDN w:val="0"/>
        <w:adjustRightInd w:val="0"/>
        <w:spacing w:line="360" w:lineRule="auto"/>
        <w:ind w:firstLine="480" w:firstLineChars="200"/>
        <w:rPr>
          <w:rFonts w:ascii="宋体" w:hAnsi="宋体"/>
          <w:color w:val="auto"/>
          <w:sz w:val="24"/>
          <w:szCs w:val="24"/>
          <w:highlight w:val="none"/>
        </w:rPr>
      </w:pPr>
      <w:r>
        <w:rPr>
          <w:rFonts w:hint="eastAsia" w:ascii="宋体" w:hAnsi="宋体" w:cs="宋体"/>
          <w:color w:val="auto"/>
          <w:sz w:val="24"/>
          <w:szCs w:val="24"/>
          <w:highlight w:val="none"/>
        </w:rPr>
        <w:t>⑶发包人发布的</w:t>
      </w:r>
      <w:r>
        <w:rPr>
          <w:rFonts w:ascii="Times New Roman" w:hAnsi="Times New Roman"/>
          <w:color w:val="auto"/>
          <w:sz w:val="24"/>
          <w:szCs w:val="24"/>
          <w:highlight w:val="none"/>
        </w:rPr>
        <w:t>已标价工程量清单</w:t>
      </w:r>
      <w:r>
        <w:rPr>
          <w:rFonts w:hint="eastAsia" w:ascii="Times New Roman" w:hAnsi="Times New Roman"/>
          <w:color w:val="auto"/>
          <w:sz w:val="24"/>
          <w:szCs w:val="24"/>
          <w:highlight w:val="none"/>
        </w:rPr>
        <w:t>（工程</w:t>
      </w:r>
      <w:r>
        <w:rPr>
          <w:rFonts w:hint="eastAsia"/>
          <w:color w:val="auto"/>
          <w:sz w:val="24"/>
          <w:szCs w:val="24"/>
          <w:highlight w:val="none"/>
          <w:lang w:eastAsia="zh-CN"/>
        </w:rPr>
        <w:t>最高限价</w:t>
      </w:r>
      <w:r>
        <w:rPr>
          <w:rFonts w:hint="eastAsia" w:ascii="Times New Roman" w:hAnsi="Times New Roman"/>
          <w:color w:val="auto"/>
          <w:sz w:val="24"/>
          <w:szCs w:val="24"/>
          <w:highlight w:val="none"/>
        </w:rPr>
        <w:t>及清单）</w:t>
      </w:r>
      <w:r>
        <w:rPr>
          <w:rFonts w:ascii="Times New Roman" w:hAnsi="Times New Roman"/>
          <w:color w:val="auto"/>
          <w:sz w:val="24"/>
          <w:szCs w:val="24"/>
          <w:highlight w:val="none"/>
        </w:rPr>
        <w:t>；</w:t>
      </w:r>
    </w:p>
    <w:p w14:paraId="6B999F00">
      <w:pPr>
        <w:autoSpaceDE w:val="0"/>
        <w:autoSpaceDN w:val="0"/>
        <w:adjustRightInd w:val="0"/>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⑷中标总价</w:t>
      </w:r>
      <w:r>
        <w:rPr>
          <w:rFonts w:ascii="Times New Roman" w:hAnsi="Times New Roman"/>
          <w:color w:val="auto"/>
          <w:sz w:val="24"/>
          <w:szCs w:val="24"/>
          <w:highlight w:val="none"/>
        </w:rPr>
        <w:t>报价单</w:t>
      </w:r>
      <w:r>
        <w:rPr>
          <w:rFonts w:hint="eastAsia" w:ascii="Times New Roman" w:hAnsi="Times New Roman"/>
          <w:color w:val="auto"/>
          <w:sz w:val="24"/>
          <w:szCs w:val="24"/>
          <w:highlight w:val="none"/>
        </w:rPr>
        <w:t>（仅含价格）</w:t>
      </w:r>
      <w:r>
        <w:rPr>
          <w:rFonts w:ascii="Times New Roman" w:hAnsi="Times New Roman"/>
          <w:color w:val="auto"/>
          <w:sz w:val="24"/>
          <w:szCs w:val="24"/>
          <w:highlight w:val="none"/>
        </w:rPr>
        <w:t>；</w:t>
      </w:r>
    </w:p>
    <w:p w14:paraId="1276AEE4">
      <w:pPr>
        <w:autoSpaceDE w:val="0"/>
        <w:autoSpaceDN w:val="0"/>
        <w:adjustRightInd w:val="0"/>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⑸</w:t>
      </w:r>
      <w:r>
        <w:rPr>
          <w:rFonts w:ascii="Times New Roman" w:hAnsi="Times New Roman"/>
          <w:color w:val="auto"/>
          <w:sz w:val="24"/>
          <w:szCs w:val="24"/>
          <w:highlight w:val="none"/>
        </w:rPr>
        <w:t>图纸；</w:t>
      </w:r>
    </w:p>
    <w:p w14:paraId="40797C88">
      <w:pPr>
        <w:autoSpaceDE w:val="0"/>
        <w:autoSpaceDN w:val="0"/>
        <w:adjustRightInd w:val="0"/>
        <w:spacing w:line="360" w:lineRule="auto"/>
        <w:ind w:firstLine="480" w:firstLineChars="200"/>
        <w:rPr>
          <w:rFonts w:ascii="Times New Roman" w:hAnsi="Times New Roman"/>
          <w:color w:val="auto"/>
          <w:sz w:val="24"/>
          <w:szCs w:val="24"/>
          <w:highlight w:val="none"/>
        </w:rPr>
      </w:pPr>
      <w:r>
        <w:rPr>
          <w:rFonts w:hint="eastAsia" w:ascii="宋体" w:hAnsi="宋体"/>
          <w:color w:val="auto"/>
          <w:sz w:val="24"/>
          <w:szCs w:val="24"/>
          <w:highlight w:val="none"/>
        </w:rPr>
        <w:t>⑹</w:t>
      </w:r>
      <w:r>
        <w:rPr>
          <w:rFonts w:ascii="Times New Roman" w:hAnsi="Times New Roman"/>
          <w:color w:val="auto"/>
          <w:sz w:val="24"/>
          <w:szCs w:val="24"/>
          <w:highlight w:val="none"/>
        </w:rPr>
        <w:t>其他合同文件。</w:t>
      </w:r>
    </w:p>
    <w:p w14:paraId="205F0020">
      <w:pPr>
        <w:spacing w:line="360" w:lineRule="auto"/>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在合同订立及履行过程中形成的与合同有关的文件均构成合同文件组成部分。属于同一类内容的文件，应以最新签署的为准。</w:t>
      </w:r>
    </w:p>
    <w:p w14:paraId="5D83912B">
      <w:pPr>
        <w:pStyle w:val="5"/>
        <w:spacing w:before="0" w:after="0" w:line="360" w:lineRule="auto"/>
        <w:ind w:firstLine="472" w:firstLineChars="196"/>
        <w:rPr>
          <w:rFonts w:ascii="Times New Roman" w:hAnsi="Times New Roman"/>
          <w:bCs w:val="0"/>
          <w:color w:val="auto"/>
          <w:sz w:val="24"/>
          <w:szCs w:val="24"/>
          <w:highlight w:val="none"/>
        </w:rPr>
      </w:pPr>
      <w:bookmarkStart w:id="110" w:name="_Toc351203486"/>
      <w:r>
        <w:rPr>
          <w:rFonts w:ascii="Times New Roman" w:hAnsi="Times New Roman"/>
          <w:color w:val="auto"/>
          <w:sz w:val="24"/>
          <w:szCs w:val="24"/>
          <w:highlight w:val="none"/>
        </w:rPr>
        <w:t>六、</w:t>
      </w:r>
      <w:bookmarkEnd w:id="110"/>
      <w:r>
        <w:rPr>
          <w:rFonts w:ascii="Times New Roman" w:hAnsi="Times New Roman"/>
          <w:color w:val="auto"/>
          <w:sz w:val="24"/>
          <w:szCs w:val="24"/>
          <w:highlight w:val="none"/>
        </w:rPr>
        <w:t>签订时间</w:t>
      </w:r>
    </w:p>
    <w:p w14:paraId="031E0572">
      <w:pPr>
        <w:autoSpaceDE w:val="0"/>
        <w:autoSpaceDN w:val="0"/>
        <w:adjustRightInd w:val="0"/>
        <w:spacing w:line="360" w:lineRule="auto"/>
        <w:ind w:firstLine="480" w:firstLineChars="200"/>
        <w:rPr>
          <w:rFonts w:ascii="Times New Roman" w:hAnsi="Times New Roman"/>
          <w:color w:val="auto"/>
          <w:sz w:val="24"/>
          <w:szCs w:val="24"/>
          <w:highlight w:val="none"/>
        </w:rPr>
      </w:pPr>
      <w:r>
        <w:rPr>
          <w:rFonts w:ascii="Times New Roman" w:hAnsi="Times New Roman"/>
          <w:bCs/>
          <w:color w:val="auto"/>
          <w:sz w:val="24"/>
          <w:szCs w:val="24"/>
          <w:highlight w:val="none"/>
        </w:rPr>
        <w:t>本合同于</w:t>
      </w:r>
      <w:r>
        <w:rPr>
          <w:rFonts w:ascii="Times New Roman" w:hAnsi="Times New Roman"/>
          <w:bCs/>
          <w:color w:val="auto"/>
          <w:sz w:val="24"/>
          <w:szCs w:val="24"/>
          <w:highlight w:val="none"/>
          <w:u w:val="single"/>
        </w:rPr>
        <w:t xml:space="preserve"> </w:t>
      </w:r>
      <w:r>
        <w:rPr>
          <w:rFonts w:hint="eastAsia" w:ascii="Times New Roman" w:hAnsi="Times New Roman"/>
          <w:bCs/>
          <w:color w:val="auto"/>
          <w:sz w:val="24"/>
          <w:szCs w:val="24"/>
          <w:highlight w:val="none"/>
          <w:u w:val="single"/>
          <w:lang w:val="en-US" w:eastAsia="zh-CN"/>
        </w:rPr>
        <w:t xml:space="preserve">   </w:t>
      </w:r>
      <w:r>
        <w:rPr>
          <w:rFonts w:ascii="Times New Roman" w:hAnsi="Times New Roman"/>
          <w:bCs/>
          <w:color w:val="auto"/>
          <w:sz w:val="24"/>
          <w:szCs w:val="24"/>
          <w:highlight w:val="none"/>
        </w:rPr>
        <w:t>年</w:t>
      </w:r>
      <w:r>
        <w:rPr>
          <w:rFonts w:ascii="Times New Roman" w:hAnsi="Times New Roman"/>
          <w:bCs/>
          <w:color w:val="auto"/>
          <w:sz w:val="24"/>
          <w:szCs w:val="24"/>
          <w:highlight w:val="none"/>
          <w:u w:val="single"/>
        </w:rPr>
        <w:t xml:space="preserve">   </w:t>
      </w:r>
      <w:r>
        <w:rPr>
          <w:rFonts w:ascii="Times New Roman" w:hAnsi="Times New Roman"/>
          <w:bCs/>
          <w:color w:val="auto"/>
          <w:sz w:val="24"/>
          <w:szCs w:val="24"/>
          <w:highlight w:val="none"/>
        </w:rPr>
        <w:t>月</w:t>
      </w:r>
      <w:r>
        <w:rPr>
          <w:rFonts w:ascii="Times New Roman" w:hAnsi="Times New Roman"/>
          <w:bCs/>
          <w:color w:val="auto"/>
          <w:sz w:val="24"/>
          <w:szCs w:val="24"/>
          <w:highlight w:val="none"/>
          <w:u w:val="single"/>
        </w:rPr>
        <w:t xml:space="preserve">    </w:t>
      </w:r>
      <w:r>
        <w:rPr>
          <w:rFonts w:ascii="Times New Roman" w:hAnsi="Times New Roman"/>
          <w:bCs/>
          <w:color w:val="auto"/>
          <w:sz w:val="24"/>
          <w:szCs w:val="24"/>
          <w:highlight w:val="none"/>
        </w:rPr>
        <w:t>日签订。</w:t>
      </w:r>
    </w:p>
    <w:p w14:paraId="2A234FD3">
      <w:pPr>
        <w:pStyle w:val="5"/>
        <w:spacing w:before="0" w:after="0" w:line="360" w:lineRule="auto"/>
        <w:rPr>
          <w:rFonts w:ascii="Times New Roman" w:hAnsi="Times New Roman"/>
          <w:bCs w:val="0"/>
          <w:color w:val="auto"/>
          <w:sz w:val="24"/>
          <w:szCs w:val="24"/>
          <w:highlight w:val="none"/>
        </w:rPr>
      </w:pPr>
      <w:r>
        <w:rPr>
          <w:rFonts w:ascii="Times New Roman" w:hAnsi="Times New Roman"/>
          <w:b w:val="0"/>
          <w:bCs w:val="0"/>
          <w:color w:val="auto"/>
          <w:sz w:val="24"/>
          <w:szCs w:val="24"/>
          <w:highlight w:val="none"/>
        </w:rPr>
        <w:t xml:space="preserve">   </w:t>
      </w:r>
      <w:r>
        <w:rPr>
          <w:rFonts w:ascii="Times New Roman" w:hAnsi="Times New Roman"/>
          <w:b w:val="0"/>
          <w:color w:val="auto"/>
          <w:sz w:val="24"/>
          <w:szCs w:val="24"/>
          <w:highlight w:val="none"/>
        </w:rPr>
        <w:t xml:space="preserve"> </w:t>
      </w:r>
      <w:bookmarkStart w:id="111" w:name="_Toc351203487"/>
      <w:r>
        <w:rPr>
          <w:rFonts w:ascii="Times New Roman" w:hAnsi="Times New Roman"/>
          <w:color w:val="auto"/>
          <w:sz w:val="24"/>
          <w:szCs w:val="24"/>
          <w:highlight w:val="none"/>
        </w:rPr>
        <w:t>七、签订地点</w:t>
      </w:r>
    </w:p>
    <w:p w14:paraId="1A2312B9">
      <w:pPr>
        <w:pStyle w:val="5"/>
        <w:spacing w:before="0" w:after="0" w:line="360" w:lineRule="auto"/>
        <w:ind w:firstLine="470" w:firstLineChars="196"/>
        <w:rPr>
          <w:rFonts w:ascii="Times New Roman" w:hAnsi="Times New Roman"/>
          <w:b w:val="0"/>
          <w:bCs w:val="0"/>
          <w:color w:val="auto"/>
          <w:sz w:val="24"/>
          <w:szCs w:val="24"/>
          <w:highlight w:val="none"/>
        </w:rPr>
      </w:pPr>
      <w:r>
        <w:rPr>
          <w:rFonts w:ascii="Times New Roman" w:hAnsi="Times New Roman"/>
          <w:b w:val="0"/>
          <w:bCs w:val="0"/>
          <w:color w:val="auto"/>
          <w:sz w:val="24"/>
          <w:szCs w:val="24"/>
          <w:highlight w:val="none"/>
        </w:rPr>
        <w:t>本合同在</w:t>
      </w:r>
      <w:r>
        <w:rPr>
          <w:rFonts w:ascii="Times New Roman" w:hAnsi="Times New Roman"/>
          <w:b w:val="0"/>
          <w:bCs w:val="0"/>
          <w:color w:val="auto"/>
          <w:sz w:val="24"/>
          <w:szCs w:val="24"/>
          <w:highlight w:val="none"/>
          <w:u w:val="single"/>
        </w:rPr>
        <w:t xml:space="preserve">            </w:t>
      </w:r>
      <w:r>
        <w:rPr>
          <w:rFonts w:hint="eastAsia" w:ascii="Times New Roman" w:hAnsi="Times New Roman"/>
          <w:b w:val="0"/>
          <w:bCs w:val="0"/>
          <w:color w:val="auto"/>
          <w:sz w:val="24"/>
          <w:szCs w:val="24"/>
          <w:highlight w:val="none"/>
          <w:u w:val="single"/>
        </w:rPr>
        <w:t>南宁市军堂路6号</w:t>
      </w:r>
      <w:r>
        <w:rPr>
          <w:rFonts w:ascii="Times New Roman" w:hAnsi="Times New Roman"/>
          <w:b w:val="0"/>
          <w:bCs w:val="0"/>
          <w:color w:val="auto"/>
          <w:sz w:val="24"/>
          <w:szCs w:val="24"/>
          <w:highlight w:val="none"/>
          <w:u w:val="single"/>
        </w:rPr>
        <w:t xml:space="preserve">          </w:t>
      </w:r>
      <w:r>
        <w:rPr>
          <w:rFonts w:ascii="Times New Roman" w:hAnsi="Times New Roman"/>
          <w:b w:val="0"/>
          <w:bCs w:val="0"/>
          <w:color w:val="auto"/>
          <w:sz w:val="24"/>
          <w:szCs w:val="24"/>
          <w:highlight w:val="none"/>
        </w:rPr>
        <w:t>签订。</w:t>
      </w:r>
      <w:bookmarkEnd w:id="111"/>
    </w:p>
    <w:p w14:paraId="75840AC2">
      <w:pPr>
        <w:pStyle w:val="5"/>
        <w:spacing w:before="0" w:after="0" w:line="360" w:lineRule="auto"/>
        <w:rPr>
          <w:rFonts w:ascii="Times New Roman" w:hAnsi="Times New Roman"/>
          <w:bCs w:val="0"/>
          <w:color w:val="auto"/>
          <w:sz w:val="24"/>
          <w:szCs w:val="24"/>
          <w:highlight w:val="none"/>
        </w:rPr>
      </w:pPr>
      <w:bookmarkStart w:id="112" w:name="_Toc351203488"/>
      <w:r>
        <w:rPr>
          <w:rFonts w:ascii="Times New Roman" w:hAnsi="Times New Roman"/>
          <w:b w:val="0"/>
          <w:color w:val="auto"/>
          <w:sz w:val="24"/>
          <w:szCs w:val="24"/>
          <w:highlight w:val="none"/>
        </w:rPr>
        <w:t xml:space="preserve">   </w:t>
      </w:r>
      <w:r>
        <w:rPr>
          <w:rFonts w:ascii="Times New Roman" w:hAnsi="Times New Roman"/>
          <w:color w:val="auto"/>
          <w:sz w:val="24"/>
          <w:szCs w:val="24"/>
          <w:highlight w:val="none"/>
        </w:rPr>
        <w:t xml:space="preserve"> 八、补充协议</w:t>
      </w:r>
    </w:p>
    <w:p w14:paraId="6D55D11C">
      <w:pPr>
        <w:spacing w:line="360" w:lineRule="auto"/>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合同未尽事宜，合同当事人另行签订补充协议，补充协议是合同的组成部分。</w:t>
      </w:r>
      <w:bookmarkEnd w:id="112"/>
    </w:p>
    <w:p w14:paraId="090638ED">
      <w:pPr>
        <w:pStyle w:val="5"/>
        <w:spacing w:before="0" w:after="0" w:line="360" w:lineRule="auto"/>
        <w:ind w:firstLine="482" w:firstLineChars="200"/>
        <w:rPr>
          <w:rFonts w:ascii="Times New Roman" w:hAnsi="Times New Roman"/>
          <w:bCs w:val="0"/>
          <w:color w:val="auto"/>
          <w:sz w:val="24"/>
          <w:szCs w:val="24"/>
          <w:highlight w:val="none"/>
        </w:rPr>
      </w:pPr>
      <w:bookmarkStart w:id="113" w:name="_Toc351203489"/>
      <w:r>
        <w:rPr>
          <w:rFonts w:ascii="Times New Roman" w:hAnsi="Times New Roman"/>
          <w:color w:val="auto"/>
          <w:sz w:val="24"/>
          <w:szCs w:val="24"/>
          <w:highlight w:val="none"/>
        </w:rPr>
        <w:t>九、</w:t>
      </w:r>
      <w:bookmarkEnd w:id="113"/>
      <w:r>
        <w:rPr>
          <w:rFonts w:ascii="Times New Roman" w:hAnsi="Times New Roman"/>
          <w:color w:val="auto"/>
          <w:sz w:val="24"/>
          <w:szCs w:val="24"/>
          <w:highlight w:val="none"/>
        </w:rPr>
        <w:t>合同生效</w:t>
      </w:r>
    </w:p>
    <w:p w14:paraId="1D98493C">
      <w:pPr>
        <w:spacing w:line="360" w:lineRule="auto"/>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本合同自</w:t>
      </w:r>
      <w:r>
        <w:rPr>
          <w:rFonts w:hint="eastAsia" w:ascii="Times New Roman" w:hAnsi="宋体"/>
          <w:bCs/>
          <w:color w:val="auto"/>
          <w:sz w:val="24"/>
          <w:szCs w:val="24"/>
          <w:highlight w:val="none"/>
          <w:u w:val="single"/>
        </w:rPr>
        <w:t>双方法定代表人或其授权代理人签字或签章并加盖单位公章</w:t>
      </w:r>
      <w:r>
        <w:rPr>
          <w:rFonts w:ascii="Times New Roman" w:hAnsi="Times New Roman"/>
          <w:bCs/>
          <w:color w:val="auto"/>
          <w:sz w:val="24"/>
          <w:szCs w:val="24"/>
          <w:highlight w:val="none"/>
          <w:u w:val="single"/>
        </w:rPr>
        <w:t xml:space="preserve">                                  </w:t>
      </w:r>
      <w:r>
        <w:rPr>
          <w:rFonts w:ascii="Times New Roman" w:hAnsi="Times New Roman"/>
          <w:bCs/>
          <w:color w:val="auto"/>
          <w:sz w:val="24"/>
          <w:szCs w:val="24"/>
          <w:highlight w:val="none"/>
        </w:rPr>
        <w:t>生效。</w:t>
      </w:r>
    </w:p>
    <w:p w14:paraId="6C671A22">
      <w:pPr>
        <w:pStyle w:val="5"/>
        <w:spacing w:before="0" w:after="0" w:line="360" w:lineRule="auto"/>
        <w:ind w:firstLine="482" w:firstLineChars="200"/>
        <w:rPr>
          <w:rFonts w:ascii="Times New Roman" w:hAnsi="Times New Roman"/>
          <w:bCs w:val="0"/>
          <w:color w:val="auto"/>
          <w:sz w:val="24"/>
          <w:szCs w:val="24"/>
          <w:highlight w:val="none"/>
        </w:rPr>
      </w:pPr>
      <w:bookmarkStart w:id="114" w:name="_Toc351203490"/>
      <w:r>
        <w:rPr>
          <w:rFonts w:ascii="Times New Roman" w:hAnsi="Times New Roman"/>
          <w:color w:val="auto"/>
          <w:sz w:val="24"/>
          <w:szCs w:val="24"/>
          <w:highlight w:val="none"/>
        </w:rPr>
        <w:t>十、</w:t>
      </w:r>
      <w:bookmarkEnd w:id="114"/>
      <w:r>
        <w:rPr>
          <w:rFonts w:ascii="Times New Roman" w:hAnsi="Times New Roman"/>
          <w:color w:val="auto"/>
          <w:sz w:val="24"/>
          <w:szCs w:val="24"/>
          <w:highlight w:val="none"/>
        </w:rPr>
        <w:t>合同份数</w:t>
      </w:r>
    </w:p>
    <w:p w14:paraId="4FC563EF">
      <w:pPr>
        <w:spacing w:line="360" w:lineRule="auto"/>
        <w:ind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本合同一式</w:t>
      </w:r>
      <w:r>
        <w:rPr>
          <w:rFonts w:ascii="Times New Roman" w:hAnsi="Times New Roman"/>
          <w:bCs/>
          <w:color w:val="auto"/>
          <w:sz w:val="24"/>
          <w:szCs w:val="24"/>
          <w:highlight w:val="none"/>
          <w:u w:val="single"/>
        </w:rPr>
        <w:t xml:space="preserve"> </w:t>
      </w:r>
      <w:r>
        <w:rPr>
          <w:rFonts w:hint="eastAsia" w:ascii="Times New Roman" w:hAnsi="Times New Roman"/>
          <w:bCs/>
          <w:color w:val="auto"/>
          <w:sz w:val="24"/>
          <w:szCs w:val="24"/>
          <w:highlight w:val="none"/>
          <w:u w:val="single"/>
        </w:rPr>
        <w:t>陆</w:t>
      </w:r>
      <w:r>
        <w:rPr>
          <w:rFonts w:ascii="Times New Roman" w:hAnsi="Times New Roman"/>
          <w:bCs/>
          <w:color w:val="auto"/>
          <w:sz w:val="24"/>
          <w:szCs w:val="24"/>
          <w:highlight w:val="none"/>
          <w:u w:val="single"/>
        </w:rPr>
        <w:t xml:space="preserve"> </w:t>
      </w:r>
      <w:r>
        <w:rPr>
          <w:rFonts w:ascii="Times New Roman" w:hAnsi="Times New Roman"/>
          <w:bCs/>
          <w:color w:val="auto"/>
          <w:sz w:val="24"/>
          <w:szCs w:val="24"/>
          <w:highlight w:val="none"/>
        </w:rPr>
        <w:t>份，均具有同等法律效力，发包人执</w:t>
      </w:r>
      <w:r>
        <w:rPr>
          <w:rFonts w:ascii="Times New Roman" w:hAnsi="Times New Roman"/>
          <w:bCs/>
          <w:color w:val="auto"/>
          <w:sz w:val="24"/>
          <w:szCs w:val="24"/>
          <w:highlight w:val="none"/>
          <w:u w:val="single"/>
        </w:rPr>
        <w:t xml:space="preserve"> </w:t>
      </w:r>
      <w:r>
        <w:rPr>
          <w:rFonts w:hint="eastAsia" w:ascii="Times New Roman" w:hAnsi="Times New Roman"/>
          <w:bCs/>
          <w:color w:val="auto"/>
          <w:sz w:val="24"/>
          <w:szCs w:val="24"/>
          <w:highlight w:val="none"/>
          <w:u w:val="single"/>
        </w:rPr>
        <w:t>肆</w:t>
      </w:r>
      <w:r>
        <w:rPr>
          <w:rFonts w:ascii="Times New Roman" w:hAnsi="Times New Roman"/>
          <w:bCs/>
          <w:color w:val="auto"/>
          <w:sz w:val="24"/>
          <w:szCs w:val="24"/>
          <w:highlight w:val="none"/>
          <w:u w:val="single"/>
        </w:rPr>
        <w:t xml:space="preserve"> </w:t>
      </w:r>
      <w:r>
        <w:rPr>
          <w:rFonts w:ascii="Times New Roman" w:hAnsi="Times New Roman"/>
          <w:bCs/>
          <w:color w:val="auto"/>
          <w:sz w:val="24"/>
          <w:szCs w:val="24"/>
          <w:highlight w:val="none"/>
        </w:rPr>
        <w:t>份，承包人执</w:t>
      </w:r>
      <w:r>
        <w:rPr>
          <w:rFonts w:ascii="Times New Roman" w:hAnsi="Times New Roman"/>
          <w:bCs/>
          <w:color w:val="auto"/>
          <w:sz w:val="24"/>
          <w:szCs w:val="24"/>
          <w:highlight w:val="none"/>
          <w:u w:val="single"/>
        </w:rPr>
        <w:t xml:space="preserve"> </w:t>
      </w:r>
      <w:r>
        <w:rPr>
          <w:rFonts w:hint="eastAsia" w:ascii="Times New Roman" w:hAnsi="Times New Roman"/>
          <w:bCs/>
          <w:color w:val="auto"/>
          <w:sz w:val="24"/>
          <w:szCs w:val="24"/>
          <w:highlight w:val="none"/>
          <w:u w:val="single"/>
        </w:rPr>
        <w:t>贰</w:t>
      </w:r>
      <w:r>
        <w:rPr>
          <w:rFonts w:ascii="Times New Roman" w:hAnsi="Times New Roman"/>
          <w:bCs/>
          <w:color w:val="auto"/>
          <w:sz w:val="24"/>
          <w:szCs w:val="24"/>
          <w:highlight w:val="none"/>
          <w:u w:val="single"/>
        </w:rPr>
        <w:t xml:space="preserve"> </w:t>
      </w:r>
      <w:r>
        <w:rPr>
          <w:rFonts w:ascii="Times New Roman" w:hAnsi="Times New Roman"/>
          <w:bCs/>
          <w:color w:val="auto"/>
          <w:sz w:val="24"/>
          <w:szCs w:val="24"/>
          <w:highlight w:val="none"/>
        </w:rPr>
        <w:t>份。</w:t>
      </w:r>
    </w:p>
    <w:p w14:paraId="40139D73">
      <w:pPr>
        <w:spacing w:line="360" w:lineRule="auto"/>
        <w:rPr>
          <w:rFonts w:ascii="Times New Roman" w:hAnsi="Times New Roman"/>
          <w:color w:val="auto"/>
          <w:sz w:val="24"/>
          <w:szCs w:val="24"/>
          <w:highlight w:val="none"/>
        </w:rPr>
      </w:pPr>
    </w:p>
    <w:p w14:paraId="32F83E92">
      <w:pPr>
        <w:spacing w:line="360" w:lineRule="auto"/>
        <w:rPr>
          <w:rFonts w:ascii="Times New Roman" w:hAnsi="Times New Roman"/>
          <w:color w:val="auto"/>
          <w:sz w:val="24"/>
          <w:szCs w:val="24"/>
          <w:highlight w:val="none"/>
        </w:rPr>
      </w:pPr>
      <w:r>
        <w:rPr>
          <w:rFonts w:ascii="Times New Roman" w:hAnsi="Times New Roman"/>
          <w:color w:val="auto"/>
          <w:sz w:val="24"/>
          <w:szCs w:val="24"/>
          <w:highlight w:val="none"/>
        </w:rPr>
        <w:t>发包人</w:t>
      </w:r>
      <w:r>
        <w:rPr>
          <w:rFonts w:hint="eastAsia" w:ascii="Times New Roman" w:hAnsi="Times New Roman"/>
          <w:color w:val="auto"/>
          <w:sz w:val="24"/>
          <w:szCs w:val="24"/>
          <w:highlight w:val="none"/>
        </w:rPr>
        <w:t>（</w:t>
      </w:r>
      <w:r>
        <w:rPr>
          <w:rFonts w:ascii="Times New Roman" w:hAnsi="Times New Roman"/>
          <w:color w:val="auto"/>
          <w:sz w:val="24"/>
          <w:szCs w:val="24"/>
          <w:highlight w:val="none"/>
        </w:rPr>
        <w:t>公章</w:t>
      </w:r>
      <w:r>
        <w:rPr>
          <w:rFonts w:hint="eastAsia" w:ascii="Times New Roman" w:hAnsi="Times New Roman"/>
          <w:color w:val="auto"/>
          <w:sz w:val="24"/>
          <w:szCs w:val="24"/>
          <w:highlight w:val="none"/>
        </w:rPr>
        <w:t>）</w:t>
      </w:r>
      <w:r>
        <w:rPr>
          <w:rFonts w:ascii="Times New Roman" w:hAnsi="Times New Roman"/>
          <w:color w:val="auto"/>
          <w:sz w:val="24"/>
          <w:szCs w:val="24"/>
          <w:highlight w:val="none"/>
        </w:rPr>
        <w:t>：</w:t>
      </w:r>
      <w:r>
        <w:rPr>
          <w:rFonts w:ascii="Times New Roman" w:hAnsi="Times New Roman"/>
          <w:color w:val="auto"/>
          <w:sz w:val="24"/>
          <w:szCs w:val="24"/>
          <w:highlight w:val="none"/>
          <w:u w:val="single"/>
        </w:rPr>
        <w:t xml:space="preserve">   </w:t>
      </w:r>
      <w:r>
        <w:rPr>
          <w:rFonts w:hint="eastAsia" w:ascii="Times New Roman" w:hAnsi="Times New Roman"/>
          <w:color w:val="auto"/>
          <w:sz w:val="24"/>
          <w:szCs w:val="24"/>
          <w:highlight w:val="none"/>
          <w:u w:val="single"/>
        </w:rPr>
        <w:t xml:space="preserve">广西警察学院  </w:t>
      </w:r>
      <w:r>
        <w:rPr>
          <w:rFonts w:ascii="Times New Roman" w:hAnsi="Times New Roman"/>
          <w:color w:val="auto"/>
          <w:sz w:val="24"/>
          <w:szCs w:val="24"/>
          <w:highlight w:val="none"/>
        </w:rPr>
        <w:t xml:space="preserve">   </w:t>
      </w:r>
      <w:r>
        <w:rPr>
          <w:rFonts w:hint="eastAsia" w:ascii="Times New Roman" w:hAnsi="Times New Roman"/>
          <w:color w:val="auto"/>
          <w:sz w:val="24"/>
          <w:szCs w:val="24"/>
          <w:highlight w:val="none"/>
        </w:rPr>
        <w:t xml:space="preserve">     </w:t>
      </w:r>
      <w:r>
        <w:rPr>
          <w:rFonts w:ascii="Times New Roman" w:hAnsi="Times New Roman"/>
          <w:color w:val="auto"/>
          <w:sz w:val="24"/>
          <w:szCs w:val="24"/>
          <w:highlight w:val="none"/>
        </w:rPr>
        <w:t>承包人</w:t>
      </w:r>
      <w:r>
        <w:rPr>
          <w:rFonts w:hint="eastAsia" w:ascii="Times New Roman" w:hAnsi="Times New Roman"/>
          <w:color w:val="auto"/>
          <w:sz w:val="24"/>
          <w:szCs w:val="24"/>
          <w:highlight w:val="none"/>
        </w:rPr>
        <w:t>（</w:t>
      </w:r>
      <w:r>
        <w:rPr>
          <w:rFonts w:ascii="Times New Roman" w:hAnsi="Times New Roman"/>
          <w:color w:val="auto"/>
          <w:sz w:val="24"/>
          <w:szCs w:val="24"/>
          <w:highlight w:val="none"/>
        </w:rPr>
        <w:t>公章</w:t>
      </w:r>
      <w:r>
        <w:rPr>
          <w:rFonts w:hint="eastAsia" w:ascii="Times New Roman" w:hAnsi="Times New Roman"/>
          <w:color w:val="auto"/>
          <w:sz w:val="24"/>
          <w:szCs w:val="24"/>
          <w:highlight w:val="none"/>
        </w:rPr>
        <w:t>）</w:t>
      </w:r>
      <w:r>
        <w:rPr>
          <w:rFonts w:ascii="Times New Roman" w:hAnsi="Times New Roman"/>
          <w:color w:val="auto"/>
          <w:sz w:val="24"/>
          <w:szCs w:val="24"/>
          <w:highlight w:val="none"/>
        </w:rPr>
        <w:t>：</w:t>
      </w:r>
      <w:r>
        <w:rPr>
          <w:rFonts w:ascii="Times New Roman" w:hAnsi="Times New Roman"/>
          <w:color w:val="auto"/>
          <w:sz w:val="24"/>
          <w:szCs w:val="24"/>
          <w:highlight w:val="none"/>
          <w:u w:val="single"/>
        </w:rPr>
        <w:t xml:space="preserve">                        </w:t>
      </w:r>
      <w:r>
        <w:rPr>
          <w:rFonts w:ascii="Times New Roman" w:hAnsi="Times New Roman"/>
          <w:color w:val="auto"/>
          <w:sz w:val="24"/>
          <w:szCs w:val="24"/>
          <w:highlight w:val="none"/>
        </w:rPr>
        <w:t xml:space="preserve">  </w:t>
      </w:r>
    </w:p>
    <w:p w14:paraId="19CAADAA">
      <w:pPr>
        <w:spacing w:line="360" w:lineRule="auto"/>
        <w:rPr>
          <w:rFonts w:ascii="Times New Roman" w:hAnsi="Times New Roman"/>
          <w:color w:val="auto"/>
          <w:sz w:val="24"/>
          <w:szCs w:val="24"/>
          <w:highlight w:val="none"/>
        </w:rPr>
      </w:pPr>
      <w:r>
        <w:rPr>
          <w:rFonts w:ascii="Times New Roman" w:hAnsi="Times New Roman"/>
          <w:color w:val="auto"/>
          <w:sz w:val="24"/>
          <w:szCs w:val="24"/>
          <w:highlight w:val="none"/>
        </w:rPr>
        <w:t>法定代表人或其委托代理人（签字）：       法定代表人或其委托代理人（签字）：</w:t>
      </w:r>
    </w:p>
    <w:p w14:paraId="79289BC5">
      <w:pPr>
        <w:spacing w:line="360" w:lineRule="auto"/>
        <w:rPr>
          <w:rFonts w:ascii="Times New Roman" w:hAnsi="Times New Roman"/>
          <w:color w:val="auto"/>
          <w:sz w:val="24"/>
          <w:szCs w:val="24"/>
          <w:highlight w:val="none"/>
          <w:u w:val="single"/>
        </w:rPr>
      </w:pPr>
      <w:r>
        <w:rPr>
          <w:rFonts w:ascii="Times New Roman" w:hAnsi="Times New Roman"/>
          <w:color w:val="auto"/>
          <w:sz w:val="24"/>
          <w:szCs w:val="24"/>
          <w:highlight w:val="none"/>
        </w:rPr>
        <w:t xml:space="preserve">      </w:t>
      </w:r>
      <w:r>
        <w:rPr>
          <w:rFonts w:hint="eastAsia" w:ascii="Times New Roman" w:hAnsi="Times New Roman"/>
          <w:color w:val="auto"/>
          <w:sz w:val="24"/>
          <w:szCs w:val="24"/>
          <w:highlight w:val="none"/>
        </w:rPr>
        <w:t xml:space="preserve"> </w:t>
      </w:r>
      <w:r>
        <w:rPr>
          <w:rFonts w:ascii="Times New Roman" w:hAnsi="Times New Roman"/>
          <w:color w:val="auto"/>
          <w:sz w:val="24"/>
          <w:szCs w:val="24"/>
          <w:highlight w:val="none"/>
        </w:rPr>
        <w:t xml:space="preserve"> </w:t>
      </w:r>
      <w:r>
        <w:rPr>
          <w:rFonts w:ascii="Times New Roman" w:hAnsi="Times New Roman"/>
          <w:color w:val="auto"/>
          <w:sz w:val="24"/>
          <w:szCs w:val="24"/>
          <w:highlight w:val="none"/>
          <w:u w:val="single"/>
        </w:rPr>
        <w:t xml:space="preserve">                      </w:t>
      </w:r>
      <w:r>
        <w:rPr>
          <w:rFonts w:ascii="Times New Roman" w:hAnsi="Times New Roman"/>
          <w:color w:val="auto"/>
          <w:sz w:val="24"/>
          <w:szCs w:val="24"/>
          <w:highlight w:val="none"/>
        </w:rPr>
        <w:t xml:space="preserve">           </w:t>
      </w:r>
      <w:r>
        <w:rPr>
          <w:rFonts w:hint="eastAsia" w:ascii="Times New Roman" w:hAnsi="Times New Roman"/>
          <w:color w:val="auto"/>
          <w:sz w:val="24"/>
          <w:szCs w:val="24"/>
          <w:highlight w:val="none"/>
        </w:rPr>
        <w:t xml:space="preserve"> </w:t>
      </w:r>
      <w:r>
        <w:rPr>
          <w:rFonts w:ascii="Times New Roman" w:hAnsi="Times New Roman"/>
          <w:color w:val="auto"/>
          <w:sz w:val="24"/>
          <w:szCs w:val="24"/>
          <w:highlight w:val="none"/>
        </w:rPr>
        <w:t xml:space="preserve">        </w:t>
      </w:r>
      <w:r>
        <w:rPr>
          <w:rFonts w:ascii="Times New Roman" w:hAnsi="Times New Roman"/>
          <w:color w:val="auto"/>
          <w:sz w:val="24"/>
          <w:szCs w:val="24"/>
          <w:highlight w:val="none"/>
          <w:u w:val="single"/>
        </w:rPr>
        <w:t xml:space="preserve">                       </w:t>
      </w:r>
    </w:p>
    <w:p w14:paraId="3C0FF50B">
      <w:pPr>
        <w:spacing w:line="360" w:lineRule="auto"/>
        <w:rPr>
          <w:rFonts w:ascii="Times New Roman" w:hAnsi="Times New Roman"/>
          <w:color w:val="auto"/>
          <w:sz w:val="24"/>
          <w:szCs w:val="24"/>
          <w:highlight w:val="none"/>
        </w:rPr>
      </w:pPr>
      <w:r>
        <w:rPr>
          <w:rFonts w:ascii="Times New Roman" w:hAnsi="Times New Roman"/>
          <w:color w:val="auto"/>
          <w:sz w:val="24"/>
          <w:szCs w:val="24"/>
          <w:highlight w:val="none"/>
        </w:rPr>
        <w:t>地  址：</w:t>
      </w:r>
      <w:r>
        <w:rPr>
          <w:rFonts w:ascii="Times New Roman" w:hAnsi="Times New Roman"/>
          <w:color w:val="auto"/>
          <w:sz w:val="24"/>
          <w:szCs w:val="24"/>
          <w:highlight w:val="none"/>
          <w:u w:val="single"/>
        </w:rPr>
        <w:t xml:space="preserve"> </w:t>
      </w:r>
      <w:r>
        <w:rPr>
          <w:rFonts w:ascii="宋体" w:hAnsi="宋体"/>
          <w:color w:val="auto"/>
          <w:sz w:val="24"/>
          <w:szCs w:val="24"/>
          <w:highlight w:val="none"/>
          <w:u w:val="single"/>
        </w:rPr>
        <w:t></w:t>
      </w:r>
      <w:r>
        <w:rPr>
          <w:rFonts w:ascii="Times New Roman" w:hAnsi="Times New Roman"/>
          <w:color w:val="auto"/>
          <w:sz w:val="24"/>
          <w:szCs w:val="24"/>
          <w:highlight w:val="none"/>
          <w:u w:val="single"/>
        </w:rPr>
        <w:t xml:space="preserve">    </w:t>
      </w:r>
      <w:r>
        <w:rPr>
          <w:rFonts w:ascii="Times New Roman" w:hAnsi="Times New Roman"/>
          <w:color w:val="auto"/>
          <w:sz w:val="24"/>
          <w:szCs w:val="24"/>
          <w:highlight w:val="none"/>
        </w:rPr>
        <w:t xml:space="preserve">                 地  址：</w:t>
      </w:r>
      <w:r>
        <w:rPr>
          <w:rFonts w:ascii="宋体" w:hAnsi="宋体"/>
          <w:color w:val="auto"/>
          <w:sz w:val="24"/>
          <w:szCs w:val="24"/>
          <w:highlight w:val="none"/>
          <w:u w:val="single"/>
        </w:rPr>
        <w:t></w:t>
      </w:r>
      <w:r>
        <w:rPr>
          <w:rFonts w:ascii="Times New Roman" w:hAnsi="Times New Roman"/>
          <w:color w:val="auto"/>
          <w:sz w:val="24"/>
          <w:szCs w:val="24"/>
          <w:highlight w:val="none"/>
          <w:u w:val="single"/>
        </w:rPr>
        <w:t xml:space="preserve"> </w:t>
      </w:r>
      <w:r>
        <w:rPr>
          <w:rFonts w:ascii="宋体" w:hAnsi="宋体"/>
          <w:color w:val="auto"/>
          <w:sz w:val="24"/>
          <w:szCs w:val="24"/>
          <w:highlight w:val="none"/>
          <w:u w:val="single"/>
        </w:rPr>
        <w:t></w:t>
      </w:r>
      <w:r>
        <w:rPr>
          <w:rFonts w:ascii="Times New Roman" w:hAnsi="Times New Roman"/>
          <w:color w:val="auto"/>
          <w:sz w:val="24"/>
          <w:szCs w:val="24"/>
          <w:highlight w:val="none"/>
          <w:u w:val="single"/>
        </w:rPr>
        <w:t xml:space="preserve"> </w:t>
      </w:r>
      <w:r>
        <w:rPr>
          <w:rFonts w:ascii="宋体" w:hAnsi="宋体"/>
          <w:color w:val="auto"/>
          <w:sz w:val="24"/>
          <w:szCs w:val="24"/>
          <w:highlight w:val="none"/>
          <w:u w:val="single"/>
        </w:rPr>
        <w:t></w:t>
      </w:r>
      <w:r>
        <w:rPr>
          <w:rFonts w:ascii="Times New Roman" w:hAnsi="Times New Roman"/>
          <w:color w:val="auto"/>
          <w:sz w:val="24"/>
          <w:szCs w:val="24"/>
          <w:highlight w:val="none"/>
          <w:u w:val="single"/>
        </w:rPr>
        <w:t xml:space="preserve">      </w:t>
      </w:r>
    </w:p>
    <w:p w14:paraId="6F15B3CA">
      <w:pPr>
        <w:spacing w:line="360" w:lineRule="auto"/>
        <w:rPr>
          <w:rFonts w:ascii="Times New Roman" w:hAnsi="Times New Roman"/>
          <w:color w:val="auto"/>
          <w:sz w:val="24"/>
          <w:szCs w:val="24"/>
          <w:highlight w:val="none"/>
        </w:rPr>
      </w:pPr>
      <w:r>
        <w:rPr>
          <w:rFonts w:ascii="Times New Roman" w:hAnsi="Times New Roman"/>
          <w:color w:val="auto"/>
          <w:sz w:val="24"/>
          <w:szCs w:val="24"/>
          <w:highlight w:val="none"/>
        </w:rPr>
        <w:t>电  话：</w:t>
      </w:r>
      <w:r>
        <w:rPr>
          <w:rFonts w:ascii="宋体" w:hAnsi="宋体"/>
          <w:color w:val="auto"/>
          <w:sz w:val="24"/>
          <w:szCs w:val="24"/>
          <w:highlight w:val="none"/>
          <w:u w:val="single"/>
        </w:rPr>
        <w:t></w:t>
      </w:r>
      <w:r>
        <w:rPr>
          <w:rFonts w:ascii="Times New Roman" w:hAnsi="Times New Roman"/>
          <w:color w:val="auto"/>
          <w:sz w:val="24"/>
          <w:szCs w:val="24"/>
          <w:highlight w:val="none"/>
          <w:u w:val="single"/>
        </w:rPr>
        <w:t xml:space="preserve">   </w:t>
      </w:r>
      <w:r>
        <w:rPr>
          <w:rFonts w:ascii="Times New Roman" w:hAnsi="Times New Roman"/>
          <w:color w:val="auto"/>
          <w:sz w:val="24"/>
          <w:szCs w:val="24"/>
          <w:highlight w:val="none"/>
        </w:rPr>
        <w:t xml:space="preserve">                 电  话：</w:t>
      </w:r>
      <w:r>
        <w:rPr>
          <w:rFonts w:ascii="宋体" w:hAnsi="宋体"/>
          <w:color w:val="auto"/>
          <w:sz w:val="24"/>
          <w:szCs w:val="24"/>
          <w:highlight w:val="none"/>
          <w:u w:val="single"/>
        </w:rPr>
        <w:t></w:t>
      </w:r>
      <w:r>
        <w:rPr>
          <w:rFonts w:ascii="Times New Roman" w:hAnsi="Times New Roman"/>
          <w:color w:val="auto"/>
          <w:sz w:val="24"/>
          <w:szCs w:val="24"/>
          <w:highlight w:val="none"/>
          <w:u w:val="single"/>
        </w:rPr>
        <w:t xml:space="preserve">     </w:t>
      </w:r>
    </w:p>
    <w:p w14:paraId="33D400FC">
      <w:pPr>
        <w:spacing w:line="360" w:lineRule="auto"/>
        <w:rPr>
          <w:rFonts w:ascii="Times New Roman" w:hAnsi="Times New Roman"/>
          <w:color w:val="auto"/>
          <w:sz w:val="24"/>
          <w:szCs w:val="24"/>
          <w:highlight w:val="none"/>
        </w:rPr>
      </w:pPr>
      <w:r>
        <w:rPr>
          <w:rFonts w:ascii="Times New Roman" w:hAnsi="Times New Roman"/>
          <w:color w:val="auto"/>
          <w:sz w:val="24"/>
          <w:szCs w:val="24"/>
          <w:highlight w:val="none"/>
        </w:rPr>
        <w:t>传  真：</w:t>
      </w:r>
      <w:r>
        <w:rPr>
          <w:rFonts w:ascii="宋体" w:hAnsi="宋体"/>
          <w:color w:val="auto"/>
          <w:sz w:val="24"/>
          <w:szCs w:val="24"/>
          <w:highlight w:val="none"/>
          <w:u w:val="single"/>
        </w:rPr>
        <w:t></w:t>
      </w:r>
      <w:r>
        <w:rPr>
          <w:rFonts w:ascii="Times New Roman" w:hAnsi="Times New Roman"/>
          <w:color w:val="auto"/>
          <w:sz w:val="24"/>
          <w:szCs w:val="24"/>
          <w:highlight w:val="none"/>
          <w:u w:val="single"/>
        </w:rPr>
        <w:t xml:space="preserve">   </w:t>
      </w:r>
      <w:r>
        <w:rPr>
          <w:rFonts w:ascii="Times New Roman" w:hAnsi="Times New Roman"/>
          <w:color w:val="auto"/>
          <w:sz w:val="24"/>
          <w:szCs w:val="24"/>
          <w:highlight w:val="none"/>
        </w:rPr>
        <w:t xml:space="preserve">                 传  真：</w:t>
      </w:r>
      <w:r>
        <w:rPr>
          <w:rFonts w:ascii="宋体" w:hAnsi="宋体"/>
          <w:color w:val="auto"/>
          <w:sz w:val="24"/>
          <w:szCs w:val="24"/>
          <w:highlight w:val="none"/>
          <w:u w:val="single"/>
        </w:rPr>
        <w:t></w:t>
      </w:r>
      <w:r>
        <w:rPr>
          <w:rFonts w:ascii="Times New Roman" w:hAnsi="Times New Roman"/>
          <w:color w:val="auto"/>
          <w:sz w:val="24"/>
          <w:szCs w:val="24"/>
          <w:highlight w:val="none"/>
          <w:u w:val="single"/>
        </w:rPr>
        <w:t xml:space="preserve">  </w:t>
      </w:r>
      <w:r>
        <w:rPr>
          <w:rFonts w:ascii="宋体" w:hAnsi="宋体"/>
          <w:color w:val="auto"/>
          <w:sz w:val="24"/>
          <w:szCs w:val="24"/>
          <w:highlight w:val="none"/>
          <w:u w:val="single"/>
        </w:rPr>
        <w:t></w:t>
      </w:r>
      <w:r>
        <w:rPr>
          <w:rFonts w:ascii="Times New Roman" w:hAnsi="Times New Roman"/>
          <w:color w:val="auto"/>
          <w:sz w:val="24"/>
          <w:szCs w:val="24"/>
          <w:highlight w:val="none"/>
          <w:u w:val="single"/>
        </w:rPr>
        <w:t xml:space="preserve">   </w:t>
      </w:r>
    </w:p>
    <w:p w14:paraId="27140D36">
      <w:pPr>
        <w:spacing w:line="360" w:lineRule="auto"/>
        <w:rPr>
          <w:rFonts w:ascii="Times New Roman" w:hAnsi="Times New Roman"/>
          <w:color w:val="auto"/>
          <w:sz w:val="24"/>
          <w:szCs w:val="24"/>
          <w:highlight w:val="none"/>
        </w:rPr>
      </w:pPr>
      <w:r>
        <w:rPr>
          <w:rFonts w:ascii="Times New Roman" w:hAnsi="Times New Roman"/>
          <w:color w:val="auto"/>
          <w:sz w:val="24"/>
          <w:szCs w:val="24"/>
          <w:highlight w:val="none"/>
        </w:rPr>
        <w:t>电子信箱：</w:t>
      </w:r>
      <w:r>
        <w:rPr>
          <w:rFonts w:ascii="Times New Roman" w:hAnsi="Times New Roman"/>
          <w:color w:val="auto"/>
          <w:sz w:val="24"/>
          <w:szCs w:val="24"/>
          <w:highlight w:val="none"/>
          <w:u w:val="single"/>
        </w:rPr>
        <w:t xml:space="preserve">                 </w:t>
      </w:r>
      <w:r>
        <w:rPr>
          <w:rFonts w:ascii="Times New Roman" w:hAnsi="Times New Roman"/>
          <w:color w:val="auto"/>
          <w:sz w:val="24"/>
          <w:szCs w:val="24"/>
          <w:highlight w:val="none"/>
        </w:rPr>
        <w:t xml:space="preserve">                 电子信箱：</w:t>
      </w:r>
      <w:r>
        <w:rPr>
          <w:rFonts w:ascii="宋体" w:hAnsi="宋体"/>
          <w:color w:val="auto"/>
          <w:sz w:val="24"/>
          <w:szCs w:val="24"/>
          <w:highlight w:val="none"/>
          <w:u w:val="single"/>
        </w:rPr>
        <w:t></w:t>
      </w:r>
      <w:r>
        <w:rPr>
          <w:rFonts w:ascii="Times New Roman" w:hAnsi="Times New Roman"/>
          <w:color w:val="auto"/>
          <w:sz w:val="24"/>
          <w:szCs w:val="24"/>
          <w:highlight w:val="none"/>
          <w:u w:val="single"/>
        </w:rPr>
        <w:t xml:space="preserve">   </w:t>
      </w:r>
    </w:p>
    <w:p w14:paraId="5FCE3A68">
      <w:pPr>
        <w:spacing w:line="360" w:lineRule="auto"/>
        <w:rPr>
          <w:rFonts w:ascii="Times New Roman" w:hAnsi="Times New Roman"/>
          <w:color w:val="auto"/>
          <w:sz w:val="24"/>
          <w:szCs w:val="24"/>
          <w:highlight w:val="none"/>
        </w:rPr>
      </w:pPr>
      <w:r>
        <w:rPr>
          <w:rFonts w:ascii="Times New Roman" w:hAnsi="Times New Roman"/>
          <w:color w:val="auto"/>
          <w:sz w:val="24"/>
          <w:szCs w:val="24"/>
          <w:highlight w:val="none"/>
        </w:rPr>
        <w:t>开户银行：</w:t>
      </w:r>
      <w:r>
        <w:rPr>
          <w:rFonts w:ascii="宋体" w:hAnsi="宋体"/>
          <w:color w:val="auto"/>
          <w:sz w:val="24"/>
          <w:szCs w:val="24"/>
          <w:highlight w:val="none"/>
          <w:u w:val="single"/>
        </w:rPr>
        <w:t></w:t>
      </w:r>
      <w:r>
        <w:rPr>
          <w:rFonts w:ascii="Times New Roman" w:hAnsi="Times New Roman"/>
          <w:color w:val="auto"/>
          <w:sz w:val="24"/>
          <w:szCs w:val="24"/>
          <w:highlight w:val="none"/>
          <w:u w:val="single"/>
        </w:rPr>
        <w:t xml:space="preserve">   </w:t>
      </w:r>
      <w:r>
        <w:rPr>
          <w:rFonts w:ascii="Times New Roman" w:hAnsi="Times New Roman"/>
          <w:color w:val="auto"/>
          <w:sz w:val="24"/>
          <w:szCs w:val="24"/>
          <w:highlight w:val="none"/>
        </w:rPr>
        <w:t xml:space="preserve">                 开户银行：</w:t>
      </w:r>
      <w:r>
        <w:rPr>
          <w:rFonts w:ascii="宋体" w:hAnsi="宋体"/>
          <w:color w:val="auto"/>
          <w:sz w:val="24"/>
          <w:szCs w:val="24"/>
          <w:highlight w:val="none"/>
          <w:u w:val="single"/>
        </w:rPr>
        <w:t></w:t>
      </w:r>
      <w:r>
        <w:rPr>
          <w:rFonts w:ascii="Times New Roman" w:hAnsi="Times New Roman"/>
          <w:color w:val="auto"/>
          <w:sz w:val="24"/>
          <w:szCs w:val="24"/>
          <w:highlight w:val="none"/>
          <w:u w:val="single"/>
        </w:rPr>
        <w:t xml:space="preserve">   </w:t>
      </w:r>
    </w:p>
    <w:p w14:paraId="7E047AFC">
      <w:pPr>
        <w:spacing w:line="360" w:lineRule="auto"/>
        <w:rPr>
          <w:rFonts w:ascii="Times New Roman" w:hAnsi="Times New Roman"/>
          <w:color w:val="auto"/>
          <w:sz w:val="24"/>
          <w:szCs w:val="24"/>
          <w:highlight w:val="none"/>
        </w:rPr>
      </w:pPr>
      <w:r>
        <w:rPr>
          <w:rFonts w:ascii="Times New Roman" w:hAnsi="Times New Roman"/>
          <w:color w:val="auto"/>
          <w:sz w:val="24"/>
          <w:szCs w:val="24"/>
          <w:highlight w:val="none"/>
        </w:rPr>
        <w:t>账  号：</w:t>
      </w:r>
      <w:r>
        <w:rPr>
          <w:rFonts w:ascii="宋体" w:hAnsi="宋体"/>
          <w:color w:val="auto"/>
          <w:sz w:val="24"/>
          <w:szCs w:val="24"/>
          <w:highlight w:val="none"/>
          <w:u w:val="single"/>
        </w:rPr>
        <w:t></w:t>
      </w:r>
      <w:r>
        <w:rPr>
          <w:rFonts w:ascii="Times New Roman" w:hAnsi="Times New Roman"/>
          <w:color w:val="auto"/>
          <w:sz w:val="24"/>
          <w:szCs w:val="24"/>
          <w:highlight w:val="none"/>
          <w:u w:val="single"/>
        </w:rPr>
        <w:t xml:space="preserve"> </w:t>
      </w:r>
      <w:r>
        <w:rPr>
          <w:rFonts w:ascii="宋体" w:hAnsi="宋体"/>
          <w:color w:val="auto"/>
          <w:sz w:val="24"/>
          <w:szCs w:val="24"/>
          <w:highlight w:val="none"/>
          <w:u w:val="single"/>
        </w:rPr>
        <w:t></w:t>
      </w:r>
      <w:r>
        <w:rPr>
          <w:rFonts w:ascii="Times New Roman" w:hAnsi="Times New Roman"/>
          <w:color w:val="auto"/>
          <w:sz w:val="24"/>
          <w:szCs w:val="24"/>
          <w:highlight w:val="none"/>
          <w:u w:val="single"/>
        </w:rPr>
        <w:t xml:space="preserve">      </w:t>
      </w:r>
      <w:r>
        <w:rPr>
          <w:rFonts w:ascii="Times New Roman" w:hAnsi="Times New Roman"/>
          <w:color w:val="auto"/>
          <w:sz w:val="24"/>
          <w:szCs w:val="24"/>
          <w:highlight w:val="none"/>
        </w:rPr>
        <w:t xml:space="preserve">                  账  号：</w:t>
      </w:r>
      <w:r>
        <w:rPr>
          <w:rFonts w:ascii="宋体" w:hAnsi="宋体"/>
          <w:color w:val="auto"/>
          <w:sz w:val="24"/>
          <w:szCs w:val="24"/>
          <w:highlight w:val="none"/>
          <w:u w:val="single"/>
        </w:rPr>
        <w:t></w:t>
      </w:r>
      <w:r>
        <w:rPr>
          <w:rFonts w:ascii="Times New Roman" w:hAnsi="Times New Roman"/>
          <w:color w:val="auto"/>
          <w:sz w:val="24"/>
          <w:szCs w:val="24"/>
          <w:highlight w:val="none"/>
          <w:u w:val="single"/>
        </w:rPr>
        <w:t xml:space="preserve">     </w:t>
      </w:r>
    </w:p>
    <w:p w14:paraId="4AB4A670">
      <w:pPr>
        <w:pStyle w:val="4"/>
        <w:spacing w:before="0" w:after="0" w:line="360" w:lineRule="auto"/>
        <w:jc w:val="center"/>
        <w:rPr>
          <w:rFonts w:ascii="Times New Roman" w:hAnsi="Times New Roman"/>
          <w:color w:val="auto"/>
          <w:sz w:val="44"/>
          <w:szCs w:val="44"/>
          <w:highlight w:val="none"/>
        </w:rPr>
      </w:pPr>
      <w:r>
        <w:rPr>
          <w:rFonts w:ascii="Times New Roman" w:hAnsi="Times New Roman"/>
          <w:color w:val="auto"/>
          <w:sz w:val="24"/>
          <w:szCs w:val="24"/>
          <w:highlight w:val="none"/>
        </w:rPr>
        <w:br w:type="page"/>
      </w:r>
      <w:bookmarkStart w:id="115" w:name="_Toc351203494"/>
      <w:r>
        <w:rPr>
          <w:rFonts w:ascii="Times New Roman" w:hAnsi="Times New Roman"/>
          <w:color w:val="auto"/>
          <w:sz w:val="44"/>
          <w:szCs w:val="44"/>
          <w:highlight w:val="none"/>
        </w:rPr>
        <w:t>合同条款</w:t>
      </w:r>
      <w:bookmarkEnd w:id="115"/>
      <w:bookmarkStart w:id="116" w:name="_Toc337558727"/>
    </w:p>
    <w:p w14:paraId="7BF967CA">
      <w:pPr>
        <w:pStyle w:val="5"/>
        <w:spacing w:before="0" w:after="0" w:line="360" w:lineRule="auto"/>
        <w:rPr>
          <w:rFonts w:ascii="Times New Roman" w:hAnsi="Times New Roman"/>
          <w:b w:val="0"/>
          <w:color w:val="auto"/>
          <w:sz w:val="24"/>
          <w:szCs w:val="24"/>
          <w:highlight w:val="none"/>
        </w:rPr>
      </w:pPr>
      <w:bookmarkStart w:id="117" w:name="_Toc351203495"/>
    </w:p>
    <w:bookmarkEnd w:id="116"/>
    <w:bookmarkEnd w:id="117"/>
    <w:p w14:paraId="3215CFBF">
      <w:pPr>
        <w:spacing w:line="360" w:lineRule="auto"/>
        <w:rPr>
          <w:rFonts w:ascii="Times New Roman" w:hAnsi="Times New Roman"/>
          <w:b/>
          <w:color w:val="auto"/>
          <w:sz w:val="24"/>
          <w:szCs w:val="24"/>
          <w:highlight w:val="none"/>
        </w:rPr>
      </w:pPr>
      <w:bookmarkStart w:id="118" w:name="_Toc373478339"/>
      <w:bookmarkStart w:id="119" w:name="_Toc467599553"/>
      <w:bookmarkStart w:id="120" w:name="_Toc389065258"/>
      <w:bookmarkStart w:id="121" w:name="_Toc351203633"/>
      <w:bookmarkStart w:id="122" w:name="_Toc373227692"/>
      <w:bookmarkStart w:id="123" w:name="_Toc351203511"/>
      <w:bookmarkStart w:id="124" w:name="_Toc296503039"/>
      <w:bookmarkStart w:id="125" w:name="OLE_LINK2"/>
      <w:bookmarkStart w:id="126" w:name="_Toc296346540"/>
      <w:bookmarkStart w:id="127" w:name="OLE_LINK1"/>
      <w:bookmarkStart w:id="128" w:name="_Toc337558740"/>
      <w:r>
        <w:rPr>
          <w:rFonts w:ascii="Times New Roman" w:hAnsi="Times New Roman"/>
          <w:b/>
          <w:color w:val="auto"/>
          <w:sz w:val="24"/>
          <w:szCs w:val="24"/>
          <w:highlight w:val="none"/>
        </w:rPr>
        <w:t>1</w:t>
      </w:r>
      <w:bookmarkStart w:id="129" w:name="_Toc296944495"/>
      <w:bookmarkStart w:id="130" w:name="_Toc296890984"/>
      <w:bookmarkStart w:id="131" w:name="_Toc296347155"/>
      <w:bookmarkStart w:id="132" w:name="_Toc297120456"/>
      <w:bookmarkStart w:id="133" w:name="_Toc297048342"/>
      <w:bookmarkStart w:id="134" w:name="_Toc296891196"/>
      <w:bookmarkStart w:id="135" w:name="_Toc296346657"/>
      <w:bookmarkStart w:id="136" w:name="_Toc296503156"/>
      <w:bookmarkStart w:id="137" w:name="_Toc292559866"/>
      <w:bookmarkStart w:id="138" w:name="_Toc292559361"/>
      <w:r>
        <w:rPr>
          <w:rFonts w:ascii="Times New Roman" w:hAnsi="Times New Roman"/>
          <w:b/>
          <w:color w:val="auto"/>
          <w:sz w:val="24"/>
          <w:szCs w:val="24"/>
          <w:highlight w:val="none"/>
        </w:rPr>
        <w:t xml:space="preserve">. </w:t>
      </w:r>
      <w:r>
        <w:rPr>
          <w:rFonts w:ascii="Times New Roman" w:hAnsi="宋体"/>
          <w:b/>
          <w:color w:val="auto"/>
          <w:sz w:val="24"/>
          <w:szCs w:val="24"/>
          <w:highlight w:val="none"/>
        </w:rPr>
        <w:t>一般约定</w:t>
      </w:r>
      <w:bookmarkEnd w:id="118"/>
      <w:bookmarkEnd w:id="119"/>
      <w:bookmarkEnd w:id="120"/>
      <w:bookmarkEnd w:id="121"/>
      <w:bookmarkEnd w:id="122"/>
    </w:p>
    <w:bookmarkEnd w:id="129"/>
    <w:bookmarkEnd w:id="130"/>
    <w:bookmarkEnd w:id="131"/>
    <w:bookmarkEnd w:id="132"/>
    <w:bookmarkEnd w:id="133"/>
    <w:bookmarkEnd w:id="134"/>
    <w:bookmarkEnd w:id="135"/>
    <w:bookmarkEnd w:id="136"/>
    <w:bookmarkEnd w:id="137"/>
    <w:bookmarkEnd w:id="138"/>
    <w:p w14:paraId="2B405CA6">
      <w:pPr>
        <w:spacing w:line="360" w:lineRule="auto"/>
        <w:ind w:firstLine="236" w:firstLineChars="98"/>
        <w:rPr>
          <w:rFonts w:ascii="Times New Roman" w:hAnsi="Times New Roman"/>
          <w:b/>
          <w:color w:val="auto"/>
          <w:sz w:val="24"/>
          <w:szCs w:val="24"/>
          <w:highlight w:val="none"/>
        </w:rPr>
      </w:pPr>
      <w:bookmarkStart w:id="139" w:name="_Toc373478344"/>
      <w:bookmarkStart w:id="140" w:name="_Toc373227697"/>
      <w:bookmarkStart w:id="141" w:name="_Toc389065263"/>
      <w:bookmarkStart w:id="142" w:name="_Toc467599558"/>
      <w:r>
        <w:rPr>
          <w:rFonts w:ascii="Times New Roman" w:hAnsi="Times New Roman"/>
          <w:b/>
          <w:color w:val="auto"/>
          <w:sz w:val="24"/>
          <w:szCs w:val="24"/>
          <w:highlight w:val="none"/>
        </w:rPr>
        <w:t>1.1</w:t>
      </w:r>
      <w:r>
        <w:rPr>
          <w:rFonts w:ascii="Times New Roman" w:hAnsi="宋体"/>
          <w:b/>
          <w:color w:val="auto"/>
          <w:sz w:val="24"/>
          <w:szCs w:val="24"/>
          <w:highlight w:val="none"/>
        </w:rPr>
        <w:t>承包人文件</w:t>
      </w:r>
      <w:bookmarkEnd w:id="139"/>
      <w:bookmarkEnd w:id="140"/>
      <w:bookmarkEnd w:id="141"/>
      <w:bookmarkEnd w:id="142"/>
      <w:r>
        <w:rPr>
          <w:rFonts w:ascii="Times New Roman" w:hAnsi="Times New Roman"/>
          <w:b/>
          <w:color w:val="auto"/>
          <w:sz w:val="24"/>
          <w:szCs w:val="24"/>
          <w:highlight w:val="none"/>
        </w:rPr>
        <w:tab/>
      </w:r>
    </w:p>
    <w:p w14:paraId="15B8BA4D">
      <w:pPr>
        <w:spacing w:line="360" w:lineRule="auto"/>
        <w:ind w:firstLine="480" w:firstLineChars="200"/>
        <w:rPr>
          <w:rFonts w:ascii="Times New Roman" w:hAnsi="Times New Roman"/>
          <w:color w:val="auto"/>
          <w:sz w:val="24"/>
          <w:szCs w:val="24"/>
          <w:highlight w:val="none"/>
          <w:u w:val="single"/>
        </w:rPr>
      </w:pPr>
      <w:bookmarkStart w:id="143" w:name="_Toc389065264"/>
      <w:bookmarkStart w:id="144" w:name="_Toc467599559"/>
      <w:bookmarkStart w:id="145" w:name="_Toc373478345"/>
      <w:bookmarkStart w:id="146" w:name="_Toc373227698"/>
      <w:r>
        <w:rPr>
          <w:rFonts w:ascii="Times New Roman" w:hAnsi="宋体"/>
          <w:color w:val="auto"/>
          <w:sz w:val="24"/>
          <w:szCs w:val="24"/>
          <w:highlight w:val="none"/>
        </w:rPr>
        <w:t>需要由承包人提供的文件，包括：</w:t>
      </w:r>
      <w:r>
        <w:rPr>
          <w:rFonts w:hint="eastAsia" w:ascii="Times New Roman" w:hAnsi="宋体"/>
          <w:color w:val="auto"/>
          <w:sz w:val="24"/>
          <w:szCs w:val="24"/>
          <w:highlight w:val="none"/>
          <w:u w:val="single"/>
        </w:rPr>
        <w:t>工程项目竣工资料（含竣工图）陆套</w:t>
      </w:r>
      <w:r>
        <w:rPr>
          <w:rFonts w:ascii="Times New Roman" w:hAnsi="宋体"/>
          <w:color w:val="auto"/>
          <w:sz w:val="24"/>
          <w:szCs w:val="24"/>
          <w:highlight w:val="none"/>
          <w:u w:val="single"/>
        </w:rPr>
        <w:t>。</w:t>
      </w:r>
    </w:p>
    <w:p w14:paraId="7775CDFA">
      <w:pPr>
        <w:spacing w:line="360" w:lineRule="auto"/>
        <w:ind w:firstLine="480" w:firstLineChars="200"/>
        <w:rPr>
          <w:rFonts w:ascii="Times New Roman" w:hAnsi="Times New Roman"/>
          <w:color w:val="auto"/>
          <w:sz w:val="24"/>
          <w:szCs w:val="24"/>
          <w:highlight w:val="none"/>
        </w:rPr>
      </w:pPr>
      <w:r>
        <w:rPr>
          <w:rFonts w:ascii="Times New Roman" w:hAnsi="宋体"/>
          <w:color w:val="auto"/>
          <w:sz w:val="24"/>
          <w:szCs w:val="24"/>
          <w:highlight w:val="none"/>
        </w:rPr>
        <w:t>承包人提供的文件的期限为：</w:t>
      </w:r>
      <w:r>
        <w:rPr>
          <w:rFonts w:ascii="Times New Roman" w:hAnsi="宋体"/>
          <w:color w:val="auto"/>
          <w:sz w:val="24"/>
          <w:szCs w:val="24"/>
          <w:highlight w:val="none"/>
          <w:u w:val="single"/>
        </w:rPr>
        <w:t>按发包人要求的时间提供。</w:t>
      </w:r>
    </w:p>
    <w:p w14:paraId="78703D67">
      <w:pPr>
        <w:spacing w:line="360" w:lineRule="auto"/>
        <w:ind w:firstLine="480" w:firstLineChars="200"/>
        <w:rPr>
          <w:rFonts w:ascii="Times New Roman" w:hAnsi="Times New Roman"/>
          <w:color w:val="auto"/>
          <w:sz w:val="24"/>
          <w:szCs w:val="24"/>
          <w:highlight w:val="none"/>
          <w:u w:val="single"/>
        </w:rPr>
      </w:pPr>
      <w:r>
        <w:rPr>
          <w:rFonts w:ascii="Times New Roman" w:hAnsi="宋体"/>
          <w:color w:val="auto"/>
          <w:sz w:val="24"/>
          <w:szCs w:val="24"/>
          <w:highlight w:val="none"/>
        </w:rPr>
        <w:t>承包人提供的文件的数量为：</w:t>
      </w:r>
      <w:r>
        <w:rPr>
          <w:rFonts w:ascii="Times New Roman" w:hAnsi="宋体"/>
          <w:color w:val="auto"/>
          <w:sz w:val="24"/>
          <w:szCs w:val="24"/>
          <w:highlight w:val="none"/>
          <w:u w:val="single"/>
        </w:rPr>
        <w:t>按发包人要求的数量提供。</w:t>
      </w:r>
    </w:p>
    <w:p w14:paraId="4A6C07CC">
      <w:pPr>
        <w:spacing w:line="360" w:lineRule="auto"/>
        <w:ind w:firstLine="480" w:firstLineChars="200"/>
        <w:rPr>
          <w:rFonts w:ascii="Times New Roman" w:hAnsi="Times New Roman"/>
          <w:b/>
          <w:color w:val="auto"/>
          <w:sz w:val="24"/>
          <w:szCs w:val="24"/>
          <w:highlight w:val="none"/>
        </w:rPr>
      </w:pPr>
      <w:r>
        <w:rPr>
          <w:rFonts w:ascii="Times New Roman" w:hAnsi="宋体"/>
          <w:color w:val="auto"/>
          <w:sz w:val="24"/>
          <w:szCs w:val="24"/>
          <w:highlight w:val="none"/>
        </w:rPr>
        <w:t>承包人提供的文件的形式为：</w:t>
      </w:r>
      <w:r>
        <w:rPr>
          <w:rFonts w:ascii="Times New Roman" w:hAnsi="宋体"/>
          <w:color w:val="auto"/>
          <w:sz w:val="24"/>
          <w:szCs w:val="24"/>
          <w:highlight w:val="none"/>
          <w:u w:val="single"/>
        </w:rPr>
        <w:t>书面形式（纸质版）和电子版。</w:t>
      </w:r>
    </w:p>
    <w:p w14:paraId="42ED8724">
      <w:pPr>
        <w:spacing w:line="360" w:lineRule="auto"/>
        <w:ind w:firstLine="236" w:firstLineChars="98"/>
        <w:rPr>
          <w:rFonts w:ascii="Times New Roman" w:hAnsi="Times New Roman"/>
          <w:b/>
          <w:color w:val="auto"/>
          <w:sz w:val="24"/>
          <w:szCs w:val="24"/>
          <w:highlight w:val="none"/>
        </w:rPr>
      </w:pPr>
      <w:r>
        <w:rPr>
          <w:rFonts w:ascii="Times New Roman" w:hAnsi="Times New Roman"/>
          <w:b/>
          <w:color w:val="auto"/>
          <w:sz w:val="24"/>
          <w:szCs w:val="24"/>
          <w:highlight w:val="none"/>
        </w:rPr>
        <w:t>1.</w:t>
      </w:r>
      <w:r>
        <w:rPr>
          <w:rFonts w:hint="eastAsia" w:ascii="Times New Roman" w:hAnsi="Times New Roman"/>
          <w:b/>
          <w:color w:val="auto"/>
          <w:sz w:val="24"/>
          <w:szCs w:val="24"/>
          <w:highlight w:val="none"/>
        </w:rPr>
        <w:t>2</w:t>
      </w:r>
      <w:r>
        <w:rPr>
          <w:rFonts w:ascii="Times New Roman" w:hAnsi="Times New Roman"/>
          <w:b/>
          <w:color w:val="auto"/>
          <w:sz w:val="24"/>
          <w:szCs w:val="24"/>
          <w:highlight w:val="none"/>
        </w:rPr>
        <w:t xml:space="preserve"> </w:t>
      </w:r>
      <w:r>
        <w:rPr>
          <w:rFonts w:ascii="Times New Roman" w:hAnsi="宋体"/>
          <w:b/>
          <w:color w:val="auto"/>
          <w:sz w:val="24"/>
          <w:szCs w:val="24"/>
          <w:highlight w:val="none"/>
        </w:rPr>
        <w:t>联络</w:t>
      </w:r>
      <w:bookmarkEnd w:id="143"/>
      <w:bookmarkEnd w:id="144"/>
      <w:bookmarkEnd w:id="145"/>
      <w:bookmarkEnd w:id="146"/>
    </w:p>
    <w:p w14:paraId="7C9E0A4C">
      <w:pPr>
        <w:spacing w:line="360" w:lineRule="auto"/>
        <w:ind w:firstLine="472" w:firstLineChars="197"/>
        <w:rPr>
          <w:rFonts w:ascii="Times New Roman" w:hAnsi="Times New Roman"/>
          <w:color w:val="auto"/>
          <w:sz w:val="24"/>
          <w:szCs w:val="24"/>
          <w:highlight w:val="none"/>
        </w:rPr>
      </w:pPr>
      <w:bookmarkStart w:id="147" w:name="_Toc373478346"/>
      <w:bookmarkStart w:id="148" w:name="_Toc467599560"/>
      <w:bookmarkStart w:id="149" w:name="_Toc373227699"/>
      <w:bookmarkStart w:id="150" w:name="_Toc389065265"/>
      <w:r>
        <w:rPr>
          <w:rFonts w:ascii="Times New Roman" w:hAnsi="Times New Roman"/>
          <w:color w:val="auto"/>
          <w:sz w:val="24"/>
          <w:szCs w:val="24"/>
          <w:highlight w:val="none"/>
        </w:rPr>
        <w:t>1.</w:t>
      </w:r>
      <w:r>
        <w:rPr>
          <w:rFonts w:hint="eastAsia" w:ascii="Times New Roman" w:hAnsi="Times New Roman"/>
          <w:color w:val="auto"/>
          <w:sz w:val="24"/>
          <w:szCs w:val="24"/>
          <w:highlight w:val="none"/>
        </w:rPr>
        <w:t>2</w:t>
      </w:r>
      <w:r>
        <w:rPr>
          <w:rFonts w:ascii="Times New Roman" w:hAnsi="Times New Roman"/>
          <w:color w:val="auto"/>
          <w:sz w:val="24"/>
          <w:szCs w:val="24"/>
          <w:highlight w:val="none"/>
        </w:rPr>
        <w:t xml:space="preserve">.1 </w:t>
      </w:r>
      <w:r>
        <w:rPr>
          <w:rFonts w:ascii="Times New Roman" w:hAnsi="宋体"/>
          <w:color w:val="auto"/>
          <w:sz w:val="24"/>
          <w:szCs w:val="24"/>
          <w:highlight w:val="none"/>
        </w:rPr>
        <w:t>发包人指定接收人为：</w:t>
      </w:r>
      <w:r>
        <w:rPr>
          <w:rFonts w:ascii="Times New Roman" w:hAnsi="宋体"/>
          <w:color w:val="auto"/>
          <w:sz w:val="24"/>
          <w:szCs w:val="24"/>
          <w:highlight w:val="none"/>
          <w:u w:val="single"/>
        </w:rPr>
        <w:t>发包人代表</w:t>
      </w:r>
      <w:r>
        <w:rPr>
          <w:rFonts w:hint="eastAsia" w:ascii="Times New Roman" w:hAnsi="宋体"/>
          <w:color w:val="auto"/>
          <w:sz w:val="24"/>
          <w:szCs w:val="24"/>
          <w:highlight w:val="none"/>
          <w:u w:val="single"/>
        </w:rPr>
        <w:t xml:space="preserve"> </w:t>
      </w:r>
      <w:r>
        <w:rPr>
          <w:rFonts w:ascii="Times New Roman" w:hAnsi="宋体"/>
          <w:color w:val="auto"/>
          <w:sz w:val="24"/>
          <w:szCs w:val="24"/>
          <w:highlight w:val="none"/>
        </w:rPr>
        <w:t>。承包人指定接收人为：</w:t>
      </w:r>
      <w:r>
        <w:rPr>
          <w:rFonts w:ascii="Times New Roman" w:hAnsi="Times New Roman"/>
          <w:color w:val="auto"/>
          <w:sz w:val="24"/>
          <w:szCs w:val="24"/>
          <w:highlight w:val="none"/>
          <w:u w:val="single"/>
        </w:rPr>
        <w:t xml:space="preserve"> </w:t>
      </w:r>
      <w:r>
        <w:rPr>
          <w:rFonts w:ascii="Times New Roman" w:hAnsi="宋体"/>
          <w:color w:val="auto"/>
          <w:sz w:val="24"/>
          <w:szCs w:val="24"/>
          <w:highlight w:val="none"/>
          <w:u w:val="single"/>
        </w:rPr>
        <w:t>项目</w:t>
      </w:r>
      <w:r>
        <w:rPr>
          <w:rFonts w:hint="eastAsia" w:ascii="Times New Roman" w:hAnsi="宋体"/>
          <w:color w:val="auto"/>
          <w:sz w:val="24"/>
          <w:szCs w:val="24"/>
          <w:highlight w:val="none"/>
          <w:u w:val="single"/>
        </w:rPr>
        <w:t>经理或项目</w:t>
      </w:r>
      <w:r>
        <w:rPr>
          <w:rFonts w:ascii="Times New Roman" w:hAnsi="宋体"/>
          <w:color w:val="auto"/>
          <w:sz w:val="24"/>
          <w:szCs w:val="24"/>
          <w:highlight w:val="none"/>
          <w:u w:val="single"/>
        </w:rPr>
        <w:t>负责人</w:t>
      </w:r>
      <w:r>
        <w:rPr>
          <w:rFonts w:ascii="Times New Roman" w:hAnsi="Times New Roman"/>
          <w:color w:val="auto"/>
          <w:sz w:val="24"/>
          <w:szCs w:val="24"/>
          <w:highlight w:val="none"/>
          <w:u w:val="single"/>
        </w:rPr>
        <w:t xml:space="preserve"> </w:t>
      </w:r>
      <w:r>
        <w:rPr>
          <w:rFonts w:ascii="Times New Roman" w:hAnsi="宋体"/>
          <w:color w:val="auto"/>
          <w:sz w:val="24"/>
          <w:szCs w:val="24"/>
          <w:highlight w:val="none"/>
        </w:rPr>
        <w:t>。</w:t>
      </w:r>
    </w:p>
    <w:p w14:paraId="6B53337B">
      <w:pPr>
        <w:spacing w:line="360" w:lineRule="auto"/>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1.</w:t>
      </w:r>
      <w:r>
        <w:rPr>
          <w:rFonts w:hint="eastAsia" w:ascii="Times New Roman" w:hAnsi="Times New Roman"/>
          <w:color w:val="auto"/>
          <w:sz w:val="24"/>
          <w:szCs w:val="24"/>
          <w:highlight w:val="none"/>
        </w:rPr>
        <w:t>2</w:t>
      </w:r>
      <w:r>
        <w:rPr>
          <w:rFonts w:ascii="Times New Roman" w:hAnsi="Times New Roman"/>
          <w:color w:val="auto"/>
          <w:sz w:val="24"/>
          <w:szCs w:val="24"/>
          <w:highlight w:val="none"/>
        </w:rPr>
        <w:t>.</w:t>
      </w:r>
      <w:r>
        <w:rPr>
          <w:rFonts w:hint="eastAsia" w:ascii="Times New Roman" w:hAnsi="Times New Roman"/>
          <w:color w:val="auto"/>
          <w:sz w:val="24"/>
          <w:szCs w:val="24"/>
          <w:highlight w:val="none"/>
        </w:rPr>
        <w:t>2</w:t>
      </w:r>
      <w:r>
        <w:rPr>
          <w:rFonts w:ascii="Times New Roman" w:hAnsi="Times New Roman"/>
          <w:color w:val="auto"/>
          <w:sz w:val="24"/>
          <w:szCs w:val="24"/>
          <w:highlight w:val="none"/>
        </w:rPr>
        <w:t xml:space="preserve"> </w:t>
      </w:r>
      <w:r>
        <w:rPr>
          <w:rFonts w:ascii="Times New Roman" w:hAnsi="宋体"/>
          <w:color w:val="auto"/>
          <w:sz w:val="24"/>
          <w:szCs w:val="24"/>
          <w:highlight w:val="none"/>
        </w:rPr>
        <w:t>发包人和承包人中任何一方均应当及时签收另一方送达的来往信函，拒不签收的，送达信函的一方可以采用特快专递方式邮寄送达，送达方寄出之日的第</w:t>
      </w:r>
      <w:r>
        <w:rPr>
          <w:rFonts w:ascii="Times New Roman" w:hAnsi="Times New Roman"/>
          <w:color w:val="auto"/>
          <w:sz w:val="24"/>
          <w:szCs w:val="24"/>
          <w:highlight w:val="none"/>
        </w:rPr>
        <w:t>2</w:t>
      </w:r>
      <w:r>
        <w:rPr>
          <w:rFonts w:ascii="Times New Roman" w:hAnsi="宋体"/>
          <w:color w:val="auto"/>
          <w:sz w:val="24"/>
          <w:szCs w:val="24"/>
          <w:highlight w:val="none"/>
        </w:rPr>
        <w:t>天即视为送达（受送达方签收的，则签收之日为送达日），由此所造成的直接的和间接的费用增加</w:t>
      </w:r>
      <w:r>
        <w:rPr>
          <w:rFonts w:ascii="Times New Roman" w:hAnsi="Times New Roman"/>
          <w:color w:val="auto"/>
          <w:sz w:val="24"/>
          <w:szCs w:val="24"/>
          <w:highlight w:val="none"/>
        </w:rPr>
        <w:t>(</w:t>
      </w:r>
      <w:r>
        <w:rPr>
          <w:rFonts w:ascii="Times New Roman" w:hAnsi="宋体"/>
          <w:color w:val="auto"/>
          <w:sz w:val="24"/>
          <w:szCs w:val="24"/>
          <w:highlight w:val="none"/>
        </w:rPr>
        <w:t>包括被迫采用特殊送达方式送达（如公告送达、公证送达等）所发生的费用</w:t>
      </w:r>
      <w:r>
        <w:rPr>
          <w:rFonts w:ascii="Times New Roman" w:hAnsi="Times New Roman"/>
          <w:color w:val="auto"/>
          <w:sz w:val="24"/>
          <w:szCs w:val="24"/>
          <w:highlight w:val="none"/>
        </w:rPr>
        <w:t>)</w:t>
      </w:r>
      <w:r>
        <w:rPr>
          <w:rFonts w:ascii="Times New Roman" w:hAnsi="宋体"/>
          <w:color w:val="auto"/>
          <w:sz w:val="24"/>
          <w:szCs w:val="24"/>
          <w:highlight w:val="none"/>
        </w:rPr>
        <w:t>和</w:t>
      </w:r>
      <w:r>
        <w:rPr>
          <w:rFonts w:ascii="Times New Roman" w:hAnsi="Times New Roman"/>
          <w:color w:val="auto"/>
          <w:sz w:val="24"/>
          <w:szCs w:val="24"/>
          <w:highlight w:val="none"/>
        </w:rPr>
        <w:t>(</w:t>
      </w:r>
      <w:r>
        <w:rPr>
          <w:rFonts w:ascii="Times New Roman" w:hAnsi="宋体"/>
          <w:color w:val="auto"/>
          <w:sz w:val="24"/>
          <w:szCs w:val="24"/>
          <w:highlight w:val="none"/>
        </w:rPr>
        <w:t>或</w:t>
      </w:r>
      <w:r>
        <w:rPr>
          <w:rFonts w:ascii="Times New Roman" w:hAnsi="Times New Roman"/>
          <w:color w:val="auto"/>
          <w:sz w:val="24"/>
          <w:szCs w:val="24"/>
          <w:highlight w:val="none"/>
        </w:rPr>
        <w:t>)</w:t>
      </w:r>
      <w:r>
        <w:rPr>
          <w:rFonts w:ascii="Times New Roman" w:hAnsi="宋体"/>
          <w:color w:val="auto"/>
          <w:sz w:val="24"/>
          <w:szCs w:val="24"/>
          <w:highlight w:val="none"/>
        </w:rPr>
        <w:t>延误的工期由拒绝签收一方承担。</w:t>
      </w:r>
    </w:p>
    <w:bookmarkEnd w:id="147"/>
    <w:bookmarkEnd w:id="148"/>
    <w:bookmarkEnd w:id="149"/>
    <w:bookmarkEnd w:id="150"/>
    <w:p w14:paraId="34931EA7">
      <w:pPr>
        <w:spacing w:line="360" w:lineRule="auto"/>
        <w:ind w:firstLine="236" w:firstLineChars="98"/>
        <w:rPr>
          <w:rFonts w:ascii="Times New Roman" w:hAnsi="Times New Roman"/>
          <w:b/>
          <w:color w:val="auto"/>
          <w:sz w:val="24"/>
          <w:szCs w:val="24"/>
          <w:highlight w:val="none"/>
        </w:rPr>
      </w:pPr>
      <w:bookmarkStart w:id="151" w:name="_Toc467599562"/>
      <w:bookmarkStart w:id="152" w:name="_Toc389065267"/>
      <w:bookmarkStart w:id="153" w:name="_Toc373478348"/>
      <w:bookmarkStart w:id="154" w:name="_Toc373227701"/>
      <w:r>
        <w:rPr>
          <w:rFonts w:ascii="Times New Roman" w:hAnsi="Times New Roman"/>
          <w:b/>
          <w:color w:val="auto"/>
          <w:sz w:val="24"/>
          <w:szCs w:val="24"/>
          <w:highlight w:val="none"/>
        </w:rPr>
        <w:t>1.</w:t>
      </w:r>
      <w:r>
        <w:rPr>
          <w:rFonts w:hint="eastAsia" w:ascii="Times New Roman" w:hAnsi="Times New Roman"/>
          <w:b/>
          <w:color w:val="auto"/>
          <w:sz w:val="24"/>
          <w:szCs w:val="24"/>
          <w:highlight w:val="none"/>
        </w:rPr>
        <w:t>3</w:t>
      </w:r>
      <w:r>
        <w:rPr>
          <w:rFonts w:ascii="Times New Roman" w:hAnsi="Times New Roman"/>
          <w:b/>
          <w:color w:val="auto"/>
          <w:sz w:val="24"/>
          <w:szCs w:val="24"/>
          <w:highlight w:val="none"/>
        </w:rPr>
        <w:t xml:space="preserve"> </w:t>
      </w:r>
      <w:r>
        <w:rPr>
          <w:rFonts w:ascii="Times New Roman" w:hAnsi="宋体"/>
          <w:b/>
          <w:color w:val="auto"/>
          <w:sz w:val="24"/>
          <w:szCs w:val="24"/>
          <w:highlight w:val="none"/>
        </w:rPr>
        <w:t>工程量清单错误的修正</w:t>
      </w:r>
      <w:bookmarkEnd w:id="151"/>
      <w:bookmarkEnd w:id="152"/>
      <w:bookmarkEnd w:id="153"/>
      <w:bookmarkEnd w:id="154"/>
    </w:p>
    <w:p w14:paraId="334D44C0">
      <w:pPr>
        <w:spacing w:line="360" w:lineRule="auto"/>
        <w:ind w:firstLine="480" w:firstLineChars="200"/>
        <w:rPr>
          <w:rFonts w:ascii="Times New Roman" w:hAnsi="Times New Roman"/>
          <w:color w:val="auto"/>
          <w:sz w:val="24"/>
          <w:szCs w:val="24"/>
          <w:highlight w:val="none"/>
        </w:rPr>
      </w:pPr>
      <w:bookmarkStart w:id="155" w:name="_Toc373227702"/>
      <w:bookmarkStart w:id="156" w:name="_Toc389065268"/>
      <w:bookmarkStart w:id="157" w:name="_Toc373478349"/>
      <w:bookmarkStart w:id="158" w:name="_Toc351203634"/>
      <w:bookmarkStart w:id="159" w:name="_Toc467599563"/>
      <w:r>
        <w:rPr>
          <w:rFonts w:ascii="Times New Roman" w:hAnsi="宋体"/>
          <w:color w:val="auto"/>
          <w:sz w:val="24"/>
          <w:szCs w:val="24"/>
          <w:highlight w:val="none"/>
        </w:rPr>
        <w:t>发包人提供的工程量清单，出现下列情形之一时，发包人应予以修正，并相应调整合同价格：</w:t>
      </w:r>
    </w:p>
    <w:p w14:paraId="4505F06B">
      <w:pPr>
        <w:spacing w:line="360" w:lineRule="auto"/>
        <w:ind w:firstLine="480" w:firstLineChars="200"/>
        <w:rPr>
          <w:rFonts w:ascii="Times New Roman" w:hAnsi="Times New Roman"/>
          <w:color w:val="auto"/>
          <w:sz w:val="24"/>
          <w:szCs w:val="24"/>
          <w:highlight w:val="none"/>
        </w:rPr>
      </w:pPr>
      <w:r>
        <w:rPr>
          <w:rFonts w:ascii="Times New Roman" w:hAnsi="宋体"/>
          <w:color w:val="auto"/>
          <w:sz w:val="24"/>
          <w:szCs w:val="24"/>
          <w:highlight w:val="none"/>
        </w:rPr>
        <w:t>⑴工程量清单存在缺项、漏项的；</w:t>
      </w:r>
    </w:p>
    <w:p w14:paraId="0D2FB5BA">
      <w:pPr>
        <w:spacing w:line="360" w:lineRule="auto"/>
        <w:ind w:firstLine="480" w:firstLineChars="200"/>
        <w:rPr>
          <w:rFonts w:ascii="Times New Roman" w:hAnsi="Times New Roman"/>
          <w:color w:val="auto"/>
          <w:sz w:val="24"/>
          <w:szCs w:val="24"/>
          <w:highlight w:val="none"/>
        </w:rPr>
      </w:pPr>
      <w:r>
        <w:rPr>
          <w:rFonts w:ascii="Times New Roman" w:hAnsi="宋体"/>
          <w:color w:val="auto"/>
          <w:sz w:val="24"/>
          <w:szCs w:val="24"/>
          <w:highlight w:val="none"/>
        </w:rPr>
        <w:t>⑵工程量清单偏差超出专用合同条款约定的工程量偏差范围的；</w:t>
      </w:r>
    </w:p>
    <w:p w14:paraId="1E9D68DE">
      <w:pPr>
        <w:spacing w:line="360" w:lineRule="auto"/>
        <w:ind w:firstLine="480" w:firstLineChars="200"/>
        <w:rPr>
          <w:rFonts w:ascii="Times New Roman" w:hAnsi="Times New Roman"/>
          <w:color w:val="auto"/>
          <w:sz w:val="24"/>
          <w:szCs w:val="24"/>
          <w:highlight w:val="none"/>
        </w:rPr>
      </w:pPr>
      <w:r>
        <w:rPr>
          <w:rFonts w:ascii="Times New Roman" w:hAnsi="宋体"/>
          <w:color w:val="auto"/>
          <w:sz w:val="24"/>
          <w:szCs w:val="24"/>
          <w:highlight w:val="none"/>
        </w:rPr>
        <w:t>⑶未按照国家现行计量规范强制性规定计量的。</w:t>
      </w:r>
    </w:p>
    <w:p w14:paraId="6EADA062">
      <w:pPr>
        <w:spacing w:line="360" w:lineRule="auto"/>
        <w:ind w:firstLine="480" w:firstLineChars="200"/>
        <w:rPr>
          <w:rFonts w:ascii="Times New Roman" w:hAnsi="Times New Roman"/>
          <w:color w:val="auto"/>
          <w:sz w:val="24"/>
          <w:szCs w:val="24"/>
          <w:highlight w:val="none"/>
        </w:rPr>
      </w:pPr>
      <w:r>
        <w:rPr>
          <w:rFonts w:ascii="Times New Roman"/>
          <w:color w:val="auto"/>
          <w:sz w:val="24"/>
          <w:szCs w:val="24"/>
          <w:highlight w:val="none"/>
        </w:rPr>
        <w:t>允许调整合同价格的工程量偏差范围：超出原工程量清单</w:t>
      </w:r>
      <w:r>
        <w:rPr>
          <w:rFonts w:ascii="Times New Roman" w:hAnsi="Times New Roman"/>
          <w:color w:val="auto"/>
          <w:sz w:val="24"/>
          <w:szCs w:val="24"/>
          <w:highlight w:val="none"/>
        </w:rPr>
        <w:t>±15%</w:t>
      </w:r>
      <w:r>
        <w:rPr>
          <w:rFonts w:ascii="Times New Roman"/>
          <w:color w:val="auto"/>
          <w:sz w:val="24"/>
          <w:szCs w:val="24"/>
          <w:highlight w:val="none"/>
        </w:rPr>
        <w:t>。</w:t>
      </w:r>
    </w:p>
    <w:p w14:paraId="338EAF46">
      <w:pPr>
        <w:spacing w:beforeLines="100" w:line="360" w:lineRule="auto"/>
        <w:rPr>
          <w:rFonts w:ascii="Times New Roman" w:hAnsi="Times New Roman"/>
          <w:b/>
          <w:color w:val="auto"/>
          <w:sz w:val="24"/>
          <w:szCs w:val="24"/>
          <w:highlight w:val="none"/>
        </w:rPr>
      </w:pPr>
      <w:r>
        <w:rPr>
          <w:rFonts w:ascii="Times New Roman" w:hAnsi="Times New Roman"/>
          <w:b/>
          <w:color w:val="auto"/>
          <w:sz w:val="24"/>
          <w:szCs w:val="24"/>
          <w:highlight w:val="none"/>
        </w:rPr>
        <w:t>2</w:t>
      </w:r>
      <w:bookmarkStart w:id="160" w:name="_Toc296890985"/>
      <w:bookmarkStart w:id="161" w:name="_Toc297048343"/>
      <w:bookmarkStart w:id="162" w:name="_Toc296346658"/>
      <w:bookmarkStart w:id="163" w:name="_Toc292559362"/>
      <w:bookmarkStart w:id="164" w:name="_Toc296347156"/>
      <w:bookmarkStart w:id="165" w:name="_Toc296503157"/>
      <w:bookmarkStart w:id="166" w:name="_Toc296944496"/>
      <w:bookmarkStart w:id="167" w:name="_Toc296891197"/>
      <w:bookmarkStart w:id="168" w:name="_Toc297120457"/>
      <w:bookmarkStart w:id="169" w:name="_Toc292559867"/>
      <w:r>
        <w:rPr>
          <w:rFonts w:ascii="Times New Roman" w:hAnsi="Times New Roman"/>
          <w:b/>
          <w:color w:val="auto"/>
          <w:sz w:val="24"/>
          <w:szCs w:val="24"/>
          <w:highlight w:val="none"/>
        </w:rPr>
        <w:t xml:space="preserve">. </w:t>
      </w:r>
      <w:r>
        <w:rPr>
          <w:rFonts w:ascii="Times New Roman"/>
          <w:b/>
          <w:color w:val="auto"/>
          <w:sz w:val="24"/>
          <w:szCs w:val="24"/>
          <w:highlight w:val="none"/>
        </w:rPr>
        <w:t>发包人</w:t>
      </w:r>
      <w:bookmarkEnd w:id="155"/>
      <w:bookmarkEnd w:id="156"/>
      <w:bookmarkEnd w:id="157"/>
      <w:bookmarkEnd w:id="158"/>
      <w:bookmarkEnd w:id="159"/>
    </w:p>
    <w:bookmarkEnd w:id="160"/>
    <w:bookmarkEnd w:id="161"/>
    <w:bookmarkEnd w:id="162"/>
    <w:bookmarkEnd w:id="163"/>
    <w:bookmarkEnd w:id="164"/>
    <w:bookmarkEnd w:id="165"/>
    <w:bookmarkEnd w:id="166"/>
    <w:bookmarkEnd w:id="167"/>
    <w:bookmarkEnd w:id="168"/>
    <w:bookmarkEnd w:id="169"/>
    <w:p w14:paraId="797352A5">
      <w:pPr>
        <w:spacing w:line="360" w:lineRule="auto"/>
        <w:ind w:firstLine="241" w:firstLineChars="100"/>
        <w:rPr>
          <w:rFonts w:ascii="Times New Roman" w:hAnsi="Times New Roman"/>
          <w:color w:val="auto"/>
          <w:sz w:val="24"/>
          <w:szCs w:val="24"/>
          <w:highlight w:val="none"/>
        </w:rPr>
      </w:pPr>
      <w:bookmarkStart w:id="170" w:name="_Toc373227704"/>
      <w:bookmarkStart w:id="171" w:name="_Toc389065270"/>
      <w:bookmarkStart w:id="172" w:name="_Toc467599565"/>
      <w:bookmarkStart w:id="173" w:name="_Toc373478351"/>
      <w:r>
        <w:rPr>
          <w:rFonts w:ascii="Times New Roman" w:hAnsi="Times New Roman"/>
          <w:b/>
          <w:color w:val="auto"/>
          <w:sz w:val="24"/>
          <w:szCs w:val="24"/>
          <w:highlight w:val="none"/>
        </w:rPr>
        <w:t>2.1</w:t>
      </w:r>
      <w:r>
        <w:rPr>
          <w:rFonts w:ascii="Times New Roman" w:hAnsi="Times New Roman"/>
          <w:color w:val="auto"/>
          <w:sz w:val="24"/>
          <w:szCs w:val="24"/>
          <w:highlight w:val="none"/>
        </w:rPr>
        <w:t xml:space="preserve"> </w:t>
      </w:r>
      <w:r>
        <w:rPr>
          <w:rFonts w:ascii="Times New Roman"/>
          <w:color w:val="auto"/>
          <w:sz w:val="24"/>
          <w:szCs w:val="24"/>
          <w:highlight w:val="none"/>
        </w:rPr>
        <w:t>发包人代表：</w:t>
      </w:r>
      <w:r>
        <w:rPr>
          <w:rFonts w:ascii="Times New Roman" w:hAnsi="Times New Roman"/>
          <w:color w:val="auto"/>
          <w:sz w:val="24"/>
          <w:szCs w:val="24"/>
          <w:highlight w:val="none"/>
          <w:u w:val="single"/>
        </w:rPr>
        <w:t xml:space="preserve">                 </w:t>
      </w:r>
      <w:r>
        <w:rPr>
          <w:rFonts w:ascii="Times New Roman"/>
          <w:color w:val="auto"/>
          <w:sz w:val="24"/>
          <w:szCs w:val="24"/>
          <w:highlight w:val="none"/>
        </w:rPr>
        <w:t>；联系电话：</w:t>
      </w:r>
      <w:r>
        <w:rPr>
          <w:rFonts w:ascii="Times New Roman" w:hAnsi="Times New Roman"/>
          <w:color w:val="auto"/>
          <w:sz w:val="24"/>
          <w:szCs w:val="24"/>
          <w:highlight w:val="none"/>
          <w:u w:val="single"/>
        </w:rPr>
        <w:t xml:space="preserve">                    </w:t>
      </w:r>
      <w:r>
        <w:rPr>
          <w:rFonts w:ascii="Times New Roman"/>
          <w:color w:val="auto"/>
          <w:sz w:val="24"/>
          <w:szCs w:val="24"/>
          <w:highlight w:val="none"/>
        </w:rPr>
        <w:t>。</w:t>
      </w:r>
    </w:p>
    <w:p w14:paraId="41D31E4E">
      <w:pPr>
        <w:spacing w:line="360" w:lineRule="auto"/>
        <w:ind w:firstLine="480" w:firstLineChars="200"/>
        <w:rPr>
          <w:rFonts w:ascii="Times New Roman" w:hAnsi="Times New Roman"/>
          <w:color w:val="auto"/>
          <w:sz w:val="24"/>
          <w:szCs w:val="24"/>
          <w:highlight w:val="none"/>
        </w:rPr>
      </w:pPr>
      <w:r>
        <w:rPr>
          <w:rFonts w:ascii="Times New Roman"/>
          <w:color w:val="auto"/>
          <w:sz w:val="24"/>
          <w:szCs w:val="24"/>
          <w:highlight w:val="none"/>
        </w:rPr>
        <w:t>发包人对发包人代表的授权范围如下：对本维修工程的质量、进度、投资、安全、信息等事宜进行管理和控制，协调各有关单位和承包人的工作关系。凡涉及合同价款或工程造价增减变化的施工方案和施工工艺实施、设计变更、现场签证、索赔、工程量、材料设备品牌选择、人工材料设备和机械台班数量及价格等事项的确认文件和工程计量、工程结算和工程款核付的确认文件及顺延工期、工程验收、工程竣工验收的确认文件，必须由发包人、监理工程师代表签名及加盖发包人公章后方能生效，否则无效。其他事项的确认文件，由发包人代表、监理工程师共同签名后生效。</w:t>
      </w:r>
    </w:p>
    <w:p w14:paraId="380CF704">
      <w:pPr>
        <w:spacing w:line="360" w:lineRule="auto"/>
        <w:ind w:firstLine="241" w:firstLineChars="100"/>
        <w:rPr>
          <w:rFonts w:ascii="Times New Roman" w:hAnsi="Times New Roman"/>
          <w:color w:val="auto"/>
          <w:sz w:val="24"/>
          <w:szCs w:val="24"/>
          <w:highlight w:val="none"/>
        </w:rPr>
      </w:pPr>
      <w:r>
        <w:rPr>
          <w:rFonts w:ascii="Times New Roman" w:hAnsi="Times New Roman"/>
          <w:b/>
          <w:color w:val="auto"/>
          <w:sz w:val="24"/>
          <w:szCs w:val="24"/>
          <w:highlight w:val="none"/>
        </w:rPr>
        <w:t>2.</w:t>
      </w:r>
      <w:bookmarkEnd w:id="170"/>
      <w:bookmarkEnd w:id="171"/>
      <w:bookmarkEnd w:id="172"/>
      <w:bookmarkEnd w:id="173"/>
      <w:r>
        <w:rPr>
          <w:rFonts w:ascii="Times New Roman" w:hAnsi="Times New Roman"/>
          <w:b/>
          <w:color w:val="auto"/>
          <w:sz w:val="24"/>
          <w:szCs w:val="24"/>
          <w:highlight w:val="none"/>
        </w:rPr>
        <w:t>2</w:t>
      </w:r>
      <w:r>
        <w:rPr>
          <w:rFonts w:ascii="Times New Roman" w:hAnsi="Times New Roman"/>
          <w:color w:val="auto"/>
          <w:sz w:val="24"/>
          <w:szCs w:val="24"/>
          <w:highlight w:val="none"/>
        </w:rPr>
        <w:t xml:space="preserve"> </w:t>
      </w:r>
      <w:r>
        <w:rPr>
          <w:rFonts w:ascii="Times New Roman"/>
          <w:color w:val="auto"/>
          <w:sz w:val="24"/>
          <w:szCs w:val="24"/>
          <w:highlight w:val="none"/>
        </w:rPr>
        <w:t>发包人</w:t>
      </w:r>
      <w:bookmarkEnd w:id="123"/>
      <w:bookmarkEnd w:id="124"/>
      <w:bookmarkEnd w:id="125"/>
      <w:bookmarkEnd w:id="126"/>
      <w:bookmarkEnd w:id="127"/>
      <w:bookmarkEnd w:id="128"/>
      <w:r>
        <w:rPr>
          <w:rFonts w:ascii="Times New Roman"/>
          <w:color w:val="auto"/>
          <w:sz w:val="24"/>
          <w:szCs w:val="24"/>
          <w:highlight w:val="none"/>
        </w:rPr>
        <w:t>只负责指定施工用水、用电等接入点，其他由承包人自行负责；</w:t>
      </w:r>
    </w:p>
    <w:p w14:paraId="71103678">
      <w:pPr>
        <w:spacing w:line="360" w:lineRule="auto"/>
        <w:ind w:firstLine="241" w:firstLineChars="100"/>
        <w:rPr>
          <w:rFonts w:ascii="Times New Roman" w:hAnsi="Times New Roman"/>
          <w:color w:val="auto"/>
          <w:sz w:val="24"/>
          <w:szCs w:val="24"/>
          <w:highlight w:val="none"/>
        </w:rPr>
      </w:pPr>
      <w:bookmarkStart w:id="174" w:name="_Toc351203515"/>
      <w:r>
        <w:rPr>
          <w:rFonts w:ascii="Times New Roman" w:hAnsi="Times New Roman"/>
          <w:b/>
          <w:color w:val="auto"/>
          <w:sz w:val="24"/>
          <w:szCs w:val="24"/>
          <w:highlight w:val="none"/>
        </w:rPr>
        <w:t>2.3</w:t>
      </w:r>
      <w:r>
        <w:rPr>
          <w:rFonts w:ascii="Times New Roman" w:hAnsi="Times New Roman"/>
          <w:color w:val="auto"/>
          <w:sz w:val="24"/>
          <w:szCs w:val="24"/>
          <w:highlight w:val="none"/>
        </w:rPr>
        <w:t xml:space="preserve"> </w:t>
      </w:r>
      <w:bookmarkEnd w:id="174"/>
      <w:r>
        <w:rPr>
          <w:rFonts w:ascii="Times New Roman"/>
          <w:color w:val="auto"/>
          <w:sz w:val="24"/>
          <w:szCs w:val="24"/>
          <w:highlight w:val="none"/>
        </w:rPr>
        <w:t>发包人按本合同约定及时支付合同价款、组织竣工验收。</w:t>
      </w:r>
    </w:p>
    <w:p w14:paraId="28A8A0AF">
      <w:pPr>
        <w:spacing w:beforeLines="100" w:line="360" w:lineRule="auto"/>
        <w:rPr>
          <w:rFonts w:ascii="Times New Roman" w:hAnsi="Times New Roman"/>
          <w:b/>
          <w:color w:val="auto"/>
          <w:sz w:val="24"/>
          <w:szCs w:val="24"/>
          <w:highlight w:val="none"/>
        </w:rPr>
      </w:pPr>
      <w:bookmarkStart w:id="175" w:name="_Toc351203518"/>
      <w:r>
        <w:rPr>
          <w:rFonts w:ascii="Times New Roman" w:hAnsi="Times New Roman"/>
          <w:b/>
          <w:color w:val="auto"/>
          <w:sz w:val="24"/>
          <w:szCs w:val="24"/>
          <w:highlight w:val="none"/>
        </w:rPr>
        <w:t>3</w:t>
      </w:r>
      <w:bookmarkStart w:id="176" w:name="_Toc296503045"/>
      <w:bookmarkStart w:id="177" w:name="_Toc296346546"/>
      <w:bookmarkStart w:id="178" w:name="_Toc337558746"/>
      <w:r>
        <w:rPr>
          <w:rFonts w:ascii="Times New Roman" w:hAnsi="Times New Roman"/>
          <w:b/>
          <w:color w:val="auto"/>
          <w:sz w:val="24"/>
          <w:szCs w:val="24"/>
          <w:highlight w:val="none"/>
        </w:rPr>
        <w:t xml:space="preserve">. </w:t>
      </w:r>
      <w:r>
        <w:rPr>
          <w:rFonts w:ascii="Times New Roman" w:hAnsi="宋体"/>
          <w:b/>
          <w:color w:val="auto"/>
          <w:sz w:val="24"/>
          <w:szCs w:val="24"/>
          <w:highlight w:val="none"/>
        </w:rPr>
        <w:t>承包人</w:t>
      </w:r>
      <w:bookmarkEnd w:id="175"/>
      <w:bookmarkStart w:id="179" w:name="_Toc389065273"/>
      <w:bookmarkStart w:id="180" w:name="_Toc373227707"/>
      <w:bookmarkStart w:id="181" w:name="_Toc467599568"/>
      <w:bookmarkStart w:id="182" w:name="_Toc373478354"/>
    </w:p>
    <w:p w14:paraId="7C31A573">
      <w:pPr>
        <w:spacing w:line="360" w:lineRule="auto"/>
        <w:ind w:firstLine="236" w:firstLineChars="98"/>
        <w:rPr>
          <w:rFonts w:ascii="Times New Roman" w:hAnsi="Times New Roman"/>
          <w:b/>
          <w:color w:val="auto"/>
          <w:sz w:val="24"/>
          <w:szCs w:val="24"/>
          <w:highlight w:val="none"/>
        </w:rPr>
      </w:pPr>
      <w:r>
        <w:rPr>
          <w:rFonts w:ascii="Times New Roman" w:hAnsi="Times New Roman"/>
          <w:b/>
          <w:color w:val="auto"/>
          <w:sz w:val="24"/>
          <w:szCs w:val="24"/>
          <w:highlight w:val="none"/>
        </w:rPr>
        <w:t>3.1</w:t>
      </w:r>
      <w:r>
        <w:rPr>
          <w:rFonts w:hint="eastAsia" w:ascii="Times New Roman" w:hAnsi="Times New Roman"/>
          <w:b/>
          <w:color w:val="auto"/>
          <w:sz w:val="24"/>
          <w:szCs w:val="24"/>
          <w:highlight w:val="none"/>
        </w:rPr>
        <w:t xml:space="preserve"> </w:t>
      </w:r>
      <w:r>
        <w:rPr>
          <w:rFonts w:ascii="Times New Roman" w:hAnsi="宋体"/>
          <w:b/>
          <w:color w:val="auto"/>
          <w:sz w:val="24"/>
          <w:szCs w:val="24"/>
          <w:highlight w:val="none"/>
        </w:rPr>
        <w:t>一般义务</w:t>
      </w:r>
      <w:bookmarkEnd w:id="179"/>
      <w:bookmarkEnd w:id="180"/>
      <w:bookmarkEnd w:id="181"/>
      <w:bookmarkEnd w:id="182"/>
    </w:p>
    <w:p w14:paraId="30098B1C">
      <w:pPr>
        <w:spacing w:line="360" w:lineRule="auto"/>
        <w:ind w:firstLine="480" w:firstLineChars="200"/>
        <w:rPr>
          <w:rFonts w:ascii="Times New Roman" w:hAnsi="Times New Roman"/>
          <w:color w:val="auto"/>
          <w:sz w:val="24"/>
          <w:szCs w:val="24"/>
          <w:highlight w:val="none"/>
        </w:rPr>
      </w:pPr>
      <w:r>
        <w:rPr>
          <w:rFonts w:hint="eastAsia" w:ascii="Times New Roman" w:hAnsi="宋体"/>
          <w:color w:val="auto"/>
          <w:sz w:val="24"/>
          <w:szCs w:val="24"/>
          <w:highlight w:val="none"/>
        </w:rPr>
        <w:t xml:space="preserve">3.1.1 </w:t>
      </w:r>
      <w:r>
        <w:rPr>
          <w:rFonts w:ascii="Times New Roman" w:hAnsi="宋体"/>
          <w:color w:val="auto"/>
          <w:sz w:val="24"/>
          <w:szCs w:val="24"/>
          <w:highlight w:val="none"/>
        </w:rPr>
        <w:t>按法律规定和合同约定完成工程，并在保修期内承担保修义务；</w:t>
      </w:r>
    </w:p>
    <w:p w14:paraId="0E649698">
      <w:pPr>
        <w:spacing w:line="360" w:lineRule="auto"/>
        <w:ind w:firstLine="480" w:firstLineChars="200"/>
        <w:rPr>
          <w:rFonts w:ascii="Times New Roman" w:hAnsi="Times New Roman"/>
          <w:color w:val="auto"/>
          <w:sz w:val="24"/>
          <w:szCs w:val="24"/>
          <w:highlight w:val="none"/>
        </w:rPr>
      </w:pPr>
      <w:r>
        <w:rPr>
          <w:rFonts w:hint="eastAsia" w:ascii="Times New Roman" w:hAnsi="宋体"/>
          <w:color w:val="auto"/>
          <w:sz w:val="24"/>
          <w:szCs w:val="24"/>
          <w:highlight w:val="none"/>
        </w:rPr>
        <w:t xml:space="preserve">3.1.2 </w:t>
      </w:r>
      <w:r>
        <w:rPr>
          <w:rFonts w:ascii="Times New Roman" w:hAnsi="宋体"/>
          <w:color w:val="auto"/>
          <w:sz w:val="24"/>
          <w:szCs w:val="24"/>
          <w:highlight w:val="none"/>
        </w:rPr>
        <w:t>按法律规定和合同约定采取施工安全和环境保护措施，办理工伤保险，确保工程及人员、材料、设备和设施的安全；</w:t>
      </w:r>
    </w:p>
    <w:p w14:paraId="560769BC">
      <w:pPr>
        <w:spacing w:line="360" w:lineRule="auto"/>
        <w:ind w:firstLine="480" w:firstLineChars="200"/>
        <w:rPr>
          <w:rFonts w:ascii="Times New Roman" w:hAnsi="Times New Roman"/>
          <w:color w:val="auto"/>
          <w:sz w:val="24"/>
          <w:szCs w:val="24"/>
          <w:highlight w:val="none"/>
        </w:rPr>
      </w:pPr>
      <w:r>
        <w:rPr>
          <w:rFonts w:hint="eastAsia" w:ascii="Times New Roman" w:hAnsi="宋体"/>
          <w:color w:val="auto"/>
          <w:sz w:val="24"/>
          <w:szCs w:val="24"/>
          <w:highlight w:val="none"/>
        </w:rPr>
        <w:t xml:space="preserve">3.1.3 </w:t>
      </w:r>
      <w:r>
        <w:rPr>
          <w:rFonts w:ascii="Times New Roman" w:hAnsi="宋体"/>
          <w:color w:val="auto"/>
          <w:sz w:val="24"/>
          <w:szCs w:val="24"/>
          <w:highlight w:val="none"/>
        </w:rPr>
        <w:t>按合同约定的工作内容和施工进度要求，编制施工组织设计和施工措施计划，并对所有施工作业和施工方法的完备性和安全可靠性负责；</w:t>
      </w:r>
    </w:p>
    <w:p w14:paraId="1D3746D8">
      <w:pPr>
        <w:spacing w:line="360" w:lineRule="auto"/>
        <w:ind w:firstLine="480" w:firstLineChars="200"/>
        <w:rPr>
          <w:rFonts w:ascii="Times New Roman" w:hAnsi="Times New Roman"/>
          <w:color w:val="auto"/>
          <w:sz w:val="24"/>
          <w:szCs w:val="24"/>
          <w:highlight w:val="none"/>
        </w:rPr>
      </w:pPr>
      <w:r>
        <w:rPr>
          <w:rFonts w:hint="eastAsia" w:ascii="Times New Roman" w:hAnsi="宋体"/>
          <w:color w:val="auto"/>
          <w:sz w:val="24"/>
          <w:szCs w:val="24"/>
          <w:highlight w:val="none"/>
        </w:rPr>
        <w:t xml:space="preserve">3.1.4 </w:t>
      </w:r>
      <w:r>
        <w:rPr>
          <w:rFonts w:ascii="Times New Roman" w:hAnsi="宋体"/>
          <w:color w:val="auto"/>
          <w:sz w:val="24"/>
          <w:szCs w:val="24"/>
          <w:highlight w:val="none"/>
        </w:rPr>
        <w:t>应履行的其他义务：</w:t>
      </w:r>
    </w:p>
    <w:p w14:paraId="690D0F9C">
      <w:pPr>
        <w:spacing w:line="360" w:lineRule="auto"/>
        <w:ind w:firstLine="480" w:firstLineChars="200"/>
        <w:rPr>
          <w:rFonts w:ascii="Times New Roman" w:hAnsi="Times New Roman"/>
          <w:color w:val="auto"/>
          <w:sz w:val="24"/>
          <w:szCs w:val="24"/>
          <w:highlight w:val="none"/>
        </w:rPr>
      </w:pPr>
      <w:r>
        <w:rPr>
          <w:rFonts w:ascii="宋体" w:hAnsi="宋体"/>
          <w:color w:val="auto"/>
          <w:sz w:val="24"/>
          <w:szCs w:val="24"/>
          <w:highlight w:val="none"/>
        </w:rPr>
        <w:t>①</w:t>
      </w:r>
      <w:r>
        <w:rPr>
          <w:rFonts w:ascii="Times New Roman" w:hAnsi="宋体"/>
          <w:color w:val="auto"/>
          <w:sz w:val="24"/>
          <w:szCs w:val="24"/>
          <w:highlight w:val="none"/>
        </w:rPr>
        <w:t>承包人施工时如损坏地下管线、邻近建筑物、构筑物，所发生费用由承包人承担。</w:t>
      </w:r>
    </w:p>
    <w:p w14:paraId="3E5F5F01">
      <w:pPr>
        <w:spacing w:line="360" w:lineRule="auto"/>
        <w:ind w:firstLine="480" w:firstLineChars="200"/>
        <w:rPr>
          <w:rFonts w:ascii="Times New Roman" w:hAnsi="Times New Roman"/>
          <w:color w:val="auto"/>
          <w:sz w:val="24"/>
          <w:szCs w:val="24"/>
          <w:highlight w:val="none"/>
        </w:rPr>
      </w:pPr>
      <w:r>
        <w:rPr>
          <w:rFonts w:ascii="宋体" w:hAnsi="宋体"/>
          <w:color w:val="auto"/>
          <w:sz w:val="24"/>
          <w:szCs w:val="24"/>
          <w:highlight w:val="none"/>
        </w:rPr>
        <w:t>②</w:t>
      </w:r>
      <w:r>
        <w:rPr>
          <w:rFonts w:ascii="Times New Roman" w:hAnsi="宋体"/>
          <w:color w:val="auto"/>
          <w:sz w:val="24"/>
          <w:szCs w:val="24"/>
          <w:highlight w:val="none"/>
        </w:rPr>
        <w:t>取土场及弃土场由承包人自行解决，但不得违反相关管理规定，并承担相关费用。</w:t>
      </w:r>
    </w:p>
    <w:p w14:paraId="51A921D0">
      <w:pPr>
        <w:spacing w:line="360" w:lineRule="auto"/>
        <w:ind w:firstLine="480" w:firstLineChars="200"/>
        <w:rPr>
          <w:rFonts w:ascii="Times New Roman" w:hAnsi="Times New Roman"/>
          <w:color w:val="auto"/>
          <w:sz w:val="24"/>
          <w:szCs w:val="24"/>
          <w:highlight w:val="none"/>
        </w:rPr>
      </w:pPr>
      <w:r>
        <w:rPr>
          <w:rFonts w:ascii="Times New Roman" w:hAnsi="宋体"/>
          <w:color w:val="auto"/>
          <w:sz w:val="24"/>
          <w:szCs w:val="24"/>
          <w:highlight w:val="none"/>
        </w:rPr>
        <w:t>③承包人要听从发包人、监理人现场管理人员的统筹指挥，认真做好施工组织设计，涉及到与外单位或别的施工单位配合的，应服从发包人、监理人现场管理人员的统筹安排。</w:t>
      </w:r>
    </w:p>
    <w:p w14:paraId="1AE718B6">
      <w:pPr>
        <w:spacing w:line="360" w:lineRule="auto"/>
        <w:ind w:firstLine="480" w:firstLineChars="200"/>
        <w:rPr>
          <w:rFonts w:ascii="Times New Roman" w:hAnsi="Times New Roman"/>
          <w:color w:val="auto"/>
          <w:sz w:val="24"/>
          <w:szCs w:val="24"/>
          <w:highlight w:val="none"/>
        </w:rPr>
      </w:pPr>
      <w:r>
        <w:rPr>
          <w:rFonts w:ascii="宋体" w:hAnsi="宋体"/>
          <w:color w:val="auto"/>
          <w:sz w:val="24"/>
          <w:szCs w:val="24"/>
          <w:highlight w:val="none"/>
        </w:rPr>
        <w:t>④</w:t>
      </w:r>
      <w:r>
        <w:rPr>
          <w:rFonts w:ascii="Times New Roman" w:hAnsi="宋体"/>
          <w:color w:val="auto"/>
          <w:sz w:val="24"/>
          <w:szCs w:val="24"/>
          <w:highlight w:val="none"/>
        </w:rPr>
        <w:t>按当地政府的规定办理施工场地交通、环卫、噪音管理等相关手续，并承担因此而发生的费用。</w:t>
      </w:r>
    </w:p>
    <w:p w14:paraId="77988780">
      <w:pPr>
        <w:spacing w:line="360" w:lineRule="auto"/>
        <w:ind w:firstLine="480" w:firstLineChars="200"/>
        <w:rPr>
          <w:rFonts w:ascii="Times New Roman" w:hAnsi="Times New Roman"/>
          <w:color w:val="auto"/>
          <w:sz w:val="24"/>
          <w:szCs w:val="24"/>
          <w:highlight w:val="none"/>
        </w:rPr>
      </w:pPr>
      <w:r>
        <w:rPr>
          <w:rFonts w:ascii="宋体" w:hAnsi="宋体"/>
          <w:color w:val="auto"/>
          <w:sz w:val="24"/>
          <w:szCs w:val="24"/>
          <w:highlight w:val="none"/>
        </w:rPr>
        <w:t>⑤</w:t>
      </w:r>
      <w:r>
        <w:rPr>
          <w:rFonts w:ascii="Times New Roman" w:hAnsi="宋体"/>
          <w:color w:val="auto"/>
          <w:sz w:val="24"/>
          <w:szCs w:val="24"/>
          <w:highlight w:val="none"/>
        </w:rPr>
        <w:t>施工场地清洁卫生的要求：按当地政府的要求搞好文明施工，施工车辆必须清洗后，才能进入市政道路，交工前按发包人代表和监理工程师的要求清理现场。承包人承担施工现场清洁卫生的费用及外运费用，并承担因自身原因违规所引发的损失和行政罚款；施工现场清洁卫生达不到发包人要求，发包人有权请第三方进行清理，清理费用及外运费用直接从工程结算款中扣除。</w:t>
      </w:r>
    </w:p>
    <w:p w14:paraId="09460BC7">
      <w:pPr>
        <w:spacing w:line="360" w:lineRule="auto"/>
        <w:ind w:firstLine="480" w:firstLineChars="200"/>
        <w:rPr>
          <w:rFonts w:ascii="Times New Roman" w:hAnsi="Times New Roman"/>
          <w:color w:val="auto"/>
          <w:sz w:val="24"/>
          <w:szCs w:val="24"/>
          <w:highlight w:val="none"/>
        </w:rPr>
      </w:pPr>
      <w:r>
        <w:rPr>
          <w:rFonts w:ascii="宋体" w:hAnsi="宋体"/>
          <w:color w:val="auto"/>
          <w:sz w:val="24"/>
          <w:szCs w:val="24"/>
          <w:highlight w:val="none"/>
        </w:rPr>
        <w:t>⑥</w:t>
      </w:r>
      <w:r>
        <w:rPr>
          <w:rFonts w:ascii="Times New Roman" w:hAnsi="宋体"/>
          <w:color w:val="auto"/>
          <w:sz w:val="24"/>
          <w:szCs w:val="24"/>
          <w:highlight w:val="none"/>
        </w:rPr>
        <w:t>施工时必须全面协调好周边关系，如因未处理好周边环境关系而导致工程停工的后果由承包人自行承担。</w:t>
      </w:r>
    </w:p>
    <w:p w14:paraId="35DA8E90">
      <w:pPr>
        <w:spacing w:line="360" w:lineRule="auto"/>
        <w:ind w:firstLine="480" w:firstLineChars="200"/>
        <w:rPr>
          <w:rFonts w:ascii="Times New Roman" w:hAnsi="Times New Roman"/>
          <w:color w:val="auto"/>
          <w:sz w:val="24"/>
          <w:szCs w:val="24"/>
          <w:highlight w:val="none"/>
        </w:rPr>
      </w:pPr>
      <w:r>
        <w:rPr>
          <w:rFonts w:ascii="宋体" w:hAnsi="宋体"/>
          <w:color w:val="auto"/>
          <w:sz w:val="24"/>
          <w:szCs w:val="24"/>
          <w:highlight w:val="none"/>
        </w:rPr>
        <w:t>⑦</w:t>
      </w:r>
      <w:r>
        <w:rPr>
          <w:rFonts w:ascii="Times New Roman" w:hAnsi="宋体"/>
          <w:color w:val="auto"/>
          <w:sz w:val="24"/>
          <w:szCs w:val="24"/>
          <w:highlight w:val="none"/>
        </w:rPr>
        <w:t>保证与施工无关的人员非经发包人许可不得进入工地现场，否期由此发生的事故，承包人承担全部责任，</w:t>
      </w:r>
      <w:r>
        <w:rPr>
          <w:rFonts w:hint="eastAsia" w:ascii="Times New Roman" w:hAnsi="Times New Roman"/>
          <w:color w:val="auto"/>
          <w:sz w:val="24"/>
          <w:szCs w:val="24"/>
          <w:highlight w:val="none"/>
        </w:rPr>
        <w:t>（</w:t>
      </w:r>
      <w:r>
        <w:rPr>
          <w:rFonts w:ascii="Times New Roman" w:hAnsi="宋体"/>
          <w:color w:val="auto"/>
          <w:sz w:val="24"/>
          <w:szCs w:val="24"/>
          <w:highlight w:val="none"/>
        </w:rPr>
        <w:t>但因受害者个人原因造成的除外</w:t>
      </w:r>
      <w:r>
        <w:rPr>
          <w:rFonts w:hint="eastAsia" w:ascii="Times New Roman" w:hAnsi="Times New Roman"/>
          <w:color w:val="auto"/>
          <w:sz w:val="24"/>
          <w:szCs w:val="24"/>
          <w:highlight w:val="none"/>
        </w:rPr>
        <w:t>）</w:t>
      </w:r>
      <w:r>
        <w:rPr>
          <w:rFonts w:ascii="Times New Roman" w:hAnsi="宋体"/>
          <w:color w:val="auto"/>
          <w:sz w:val="24"/>
          <w:szCs w:val="24"/>
          <w:highlight w:val="none"/>
        </w:rPr>
        <w:t>。</w:t>
      </w:r>
    </w:p>
    <w:p w14:paraId="0F2CBF94">
      <w:pPr>
        <w:spacing w:line="360" w:lineRule="auto"/>
        <w:ind w:firstLine="480" w:firstLineChars="200"/>
        <w:rPr>
          <w:rFonts w:ascii="Times New Roman" w:hAnsi="Times New Roman"/>
          <w:color w:val="auto"/>
          <w:sz w:val="24"/>
          <w:szCs w:val="24"/>
          <w:highlight w:val="none"/>
        </w:rPr>
      </w:pPr>
      <w:r>
        <w:rPr>
          <w:rFonts w:ascii="宋体" w:hAnsi="宋体"/>
          <w:color w:val="auto"/>
          <w:sz w:val="24"/>
          <w:szCs w:val="24"/>
          <w:highlight w:val="none"/>
        </w:rPr>
        <w:t>⑧</w:t>
      </w:r>
      <w:r>
        <w:rPr>
          <w:rFonts w:ascii="Times New Roman" w:hAnsi="宋体"/>
          <w:color w:val="auto"/>
          <w:sz w:val="24"/>
          <w:szCs w:val="24"/>
          <w:highlight w:val="none"/>
        </w:rPr>
        <w:t>必须按发包人或监理人通知要求参加发包人或监理人组织的工程会议，否则视为承包人违约，每缺席</w:t>
      </w:r>
      <w:r>
        <w:rPr>
          <w:rFonts w:ascii="Times New Roman" w:hAnsi="Times New Roman"/>
          <w:color w:val="auto"/>
          <w:sz w:val="24"/>
          <w:szCs w:val="24"/>
          <w:highlight w:val="none"/>
        </w:rPr>
        <w:t xml:space="preserve"> 1</w:t>
      </w:r>
      <w:r>
        <w:rPr>
          <w:rFonts w:ascii="Times New Roman" w:hAnsi="宋体"/>
          <w:color w:val="auto"/>
          <w:sz w:val="24"/>
          <w:szCs w:val="24"/>
          <w:highlight w:val="none"/>
        </w:rPr>
        <w:t>次应向发包人支付</w:t>
      </w:r>
      <w:r>
        <w:rPr>
          <w:rFonts w:ascii="Times New Roman" w:hAnsi="Times New Roman"/>
          <w:color w:val="auto"/>
          <w:sz w:val="24"/>
          <w:szCs w:val="24"/>
          <w:highlight w:val="none"/>
        </w:rPr>
        <w:t xml:space="preserve"> 1000 </w:t>
      </w:r>
      <w:r>
        <w:rPr>
          <w:rFonts w:ascii="Times New Roman" w:hAnsi="宋体"/>
          <w:color w:val="auto"/>
          <w:sz w:val="24"/>
          <w:szCs w:val="24"/>
          <w:highlight w:val="none"/>
        </w:rPr>
        <w:t>元的违约金，迟到超过</w:t>
      </w:r>
      <w:r>
        <w:rPr>
          <w:rFonts w:ascii="Times New Roman" w:hAnsi="Times New Roman"/>
          <w:color w:val="auto"/>
          <w:sz w:val="24"/>
          <w:szCs w:val="24"/>
          <w:highlight w:val="none"/>
        </w:rPr>
        <w:t xml:space="preserve"> 1 </w:t>
      </w:r>
      <w:r>
        <w:rPr>
          <w:rFonts w:ascii="Times New Roman" w:hAnsi="宋体"/>
          <w:color w:val="auto"/>
          <w:sz w:val="24"/>
          <w:szCs w:val="24"/>
          <w:highlight w:val="none"/>
        </w:rPr>
        <w:t>小时的视为缺席；参会人员需按发包人或监理的要求在会议记录（或会议纪要或会议备忘录）上签字，否则视为承包人违约，每发生一次按</w:t>
      </w:r>
      <w:r>
        <w:rPr>
          <w:rFonts w:ascii="Times New Roman" w:hAnsi="Times New Roman"/>
          <w:color w:val="auto"/>
          <w:sz w:val="24"/>
          <w:szCs w:val="24"/>
          <w:highlight w:val="none"/>
        </w:rPr>
        <w:t xml:space="preserve"> 1000 </w:t>
      </w:r>
      <w:r>
        <w:rPr>
          <w:rFonts w:ascii="Times New Roman" w:hAnsi="宋体"/>
          <w:color w:val="auto"/>
          <w:sz w:val="24"/>
          <w:szCs w:val="24"/>
          <w:highlight w:val="none"/>
        </w:rPr>
        <w:t>元向发包人支付违约金。</w:t>
      </w:r>
    </w:p>
    <w:p w14:paraId="42878409">
      <w:pPr>
        <w:spacing w:line="360" w:lineRule="auto"/>
        <w:ind w:firstLine="480" w:firstLineChars="200"/>
        <w:rPr>
          <w:rFonts w:ascii="Times New Roman" w:hAnsi="Times New Roman"/>
          <w:color w:val="auto"/>
          <w:sz w:val="24"/>
          <w:szCs w:val="24"/>
          <w:highlight w:val="none"/>
        </w:rPr>
      </w:pPr>
      <w:r>
        <w:rPr>
          <w:rFonts w:ascii="宋体" w:hAnsi="宋体"/>
          <w:color w:val="auto"/>
          <w:sz w:val="24"/>
          <w:szCs w:val="24"/>
          <w:highlight w:val="none"/>
        </w:rPr>
        <w:t>⑨</w:t>
      </w:r>
      <w:r>
        <w:rPr>
          <w:rFonts w:ascii="Times New Roman" w:hAnsi="宋体"/>
          <w:color w:val="auto"/>
          <w:sz w:val="24"/>
          <w:szCs w:val="24"/>
          <w:highlight w:val="none"/>
        </w:rPr>
        <w:t>按规定向政府有关部门缴纳农民工工资保证金，认真处理好其与农民工之间的劳动合同关系，加强对农民工的管理，严禁拖欠农民工工资。承包人在开工前，应向银行开设农民工工资支付专用账户，通过银行转账方式，确保按月足额发放农民工工资。如出现承包人因本工程使用的农民工出现上访事件，承包人必须在事件发生后</w:t>
      </w:r>
      <w:r>
        <w:rPr>
          <w:rFonts w:ascii="Times New Roman" w:hAnsi="Times New Roman"/>
          <w:color w:val="auto"/>
          <w:sz w:val="24"/>
          <w:szCs w:val="24"/>
          <w:highlight w:val="none"/>
        </w:rPr>
        <w:t>30</w:t>
      </w:r>
      <w:r>
        <w:rPr>
          <w:rFonts w:ascii="Times New Roman" w:hAnsi="宋体"/>
          <w:color w:val="auto"/>
          <w:sz w:val="24"/>
          <w:szCs w:val="24"/>
          <w:highlight w:val="none"/>
        </w:rPr>
        <w:t>分钟内解决，否则视为承包人发生违约，且违约一次应向发包人支付</w:t>
      </w:r>
      <w:r>
        <w:rPr>
          <w:rFonts w:ascii="Times New Roman" w:hAnsi="Times New Roman"/>
          <w:color w:val="auto"/>
          <w:sz w:val="24"/>
          <w:szCs w:val="24"/>
          <w:highlight w:val="none"/>
        </w:rPr>
        <w:t xml:space="preserve"> 10 </w:t>
      </w:r>
      <w:r>
        <w:rPr>
          <w:rFonts w:ascii="Times New Roman" w:hAnsi="宋体"/>
          <w:color w:val="auto"/>
          <w:sz w:val="24"/>
          <w:szCs w:val="24"/>
          <w:highlight w:val="none"/>
        </w:rPr>
        <w:t>万元的违约金。</w:t>
      </w:r>
    </w:p>
    <w:p w14:paraId="5AFBC8B7">
      <w:pPr>
        <w:spacing w:line="360" w:lineRule="auto"/>
        <w:ind w:firstLine="480" w:firstLineChars="200"/>
        <w:rPr>
          <w:rFonts w:ascii="Times New Roman" w:hAnsi="Times New Roman"/>
          <w:color w:val="auto"/>
          <w:sz w:val="24"/>
          <w:szCs w:val="24"/>
          <w:highlight w:val="none"/>
        </w:rPr>
      </w:pPr>
      <w:r>
        <w:rPr>
          <w:rFonts w:ascii="宋体" w:hAnsi="宋体"/>
          <w:color w:val="auto"/>
          <w:sz w:val="24"/>
          <w:szCs w:val="24"/>
          <w:highlight w:val="none"/>
        </w:rPr>
        <w:t>⑩</w:t>
      </w:r>
      <w:r>
        <w:rPr>
          <w:rFonts w:ascii="Times New Roman" w:hAnsi="宋体"/>
          <w:color w:val="auto"/>
          <w:sz w:val="24"/>
          <w:szCs w:val="24"/>
          <w:highlight w:val="none"/>
        </w:rPr>
        <w:t>全部工程验收合格后</w:t>
      </w:r>
      <w:r>
        <w:rPr>
          <w:rFonts w:ascii="Times New Roman" w:hAnsi="Times New Roman"/>
          <w:color w:val="auto"/>
          <w:sz w:val="24"/>
          <w:szCs w:val="24"/>
          <w:highlight w:val="none"/>
        </w:rPr>
        <w:t>15</w:t>
      </w:r>
      <w:r>
        <w:rPr>
          <w:rFonts w:ascii="Times New Roman" w:hAnsi="宋体"/>
          <w:color w:val="auto"/>
          <w:sz w:val="24"/>
          <w:szCs w:val="24"/>
          <w:highlight w:val="none"/>
        </w:rPr>
        <w:t>天内，承包人应提交的竣工资料。承包人需提交纸质竣工资料一式</w:t>
      </w:r>
      <w:r>
        <w:rPr>
          <w:rFonts w:ascii="Times New Roman" w:hAnsi="Times New Roman"/>
          <w:color w:val="auto"/>
          <w:sz w:val="24"/>
          <w:szCs w:val="24"/>
          <w:highlight w:val="none"/>
          <w:u w:val="single"/>
        </w:rPr>
        <w:t xml:space="preserve"> </w:t>
      </w:r>
      <w:r>
        <w:rPr>
          <w:rFonts w:ascii="Times New Roman" w:hAnsi="宋体"/>
          <w:b/>
          <w:color w:val="auto"/>
          <w:sz w:val="24"/>
          <w:szCs w:val="24"/>
          <w:highlight w:val="none"/>
          <w:u w:val="single"/>
        </w:rPr>
        <w:t>陆</w:t>
      </w:r>
      <w:r>
        <w:rPr>
          <w:rFonts w:ascii="Times New Roman" w:hAnsi="Times New Roman"/>
          <w:color w:val="auto"/>
          <w:sz w:val="24"/>
          <w:szCs w:val="24"/>
          <w:highlight w:val="none"/>
          <w:u w:val="single"/>
        </w:rPr>
        <w:t xml:space="preserve"> </w:t>
      </w:r>
      <w:r>
        <w:rPr>
          <w:rFonts w:ascii="Times New Roman" w:hAnsi="宋体"/>
          <w:color w:val="auto"/>
          <w:sz w:val="24"/>
          <w:szCs w:val="24"/>
          <w:highlight w:val="none"/>
        </w:rPr>
        <w:t>套、电子竣工资料</w:t>
      </w:r>
      <w:r>
        <w:rPr>
          <w:rFonts w:ascii="Times New Roman" w:hAnsi="Times New Roman"/>
          <w:color w:val="auto"/>
          <w:sz w:val="24"/>
          <w:szCs w:val="24"/>
          <w:highlight w:val="none"/>
          <w:u w:val="single"/>
        </w:rPr>
        <w:t xml:space="preserve"> </w:t>
      </w:r>
      <w:r>
        <w:rPr>
          <w:rFonts w:ascii="Times New Roman" w:hAnsi="宋体"/>
          <w:b/>
          <w:color w:val="auto"/>
          <w:sz w:val="24"/>
          <w:szCs w:val="24"/>
          <w:highlight w:val="none"/>
          <w:u w:val="single"/>
        </w:rPr>
        <w:t>壹</w:t>
      </w:r>
      <w:r>
        <w:rPr>
          <w:rFonts w:ascii="Times New Roman" w:hAnsi="Times New Roman"/>
          <w:color w:val="auto"/>
          <w:sz w:val="24"/>
          <w:szCs w:val="24"/>
          <w:highlight w:val="none"/>
          <w:u w:val="single"/>
        </w:rPr>
        <w:t xml:space="preserve"> </w:t>
      </w:r>
      <w:r>
        <w:rPr>
          <w:rFonts w:ascii="Times New Roman" w:hAnsi="宋体"/>
          <w:color w:val="auto"/>
          <w:sz w:val="24"/>
          <w:szCs w:val="24"/>
          <w:highlight w:val="none"/>
        </w:rPr>
        <w:t>套。承包人提交竣工资料的费用由承包人承担。</w:t>
      </w:r>
    </w:p>
    <w:p w14:paraId="0071D4BE">
      <w:pPr>
        <w:spacing w:line="360" w:lineRule="auto"/>
        <w:ind w:firstLine="236" w:firstLineChars="98"/>
        <w:rPr>
          <w:rFonts w:hint="eastAsia" w:ascii="Times New Roman" w:hAnsi="宋体"/>
          <w:b/>
          <w:color w:val="auto"/>
          <w:sz w:val="24"/>
          <w:szCs w:val="24"/>
          <w:highlight w:val="none"/>
        </w:rPr>
      </w:pPr>
      <w:bookmarkStart w:id="183" w:name="_Toc389065274"/>
      <w:bookmarkStart w:id="184" w:name="_Toc373478355"/>
      <w:bookmarkStart w:id="185" w:name="_Toc467599569"/>
      <w:bookmarkStart w:id="186" w:name="_Toc373227708"/>
      <w:r>
        <w:rPr>
          <w:rFonts w:ascii="Times New Roman" w:hAnsi="Times New Roman"/>
          <w:b/>
          <w:color w:val="auto"/>
          <w:sz w:val="24"/>
          <w:szCs w:val="24"/>
          <w:highlight w:val="none"/>
        </w:rPr>
        <w:t xml:space="preserve">3.2 </w:t>
      </w:r>
      <w:r>
        <w:rPr>
          <w:rFonts w:ascii="Times New Roman" w:hAnsi="宋体"/>
          <w:b/>
          <w:color w:val="auto"/>
          <w:sz w:val="24"/>
          <w:szCs w:val="24"/>
          <w:highlight w:val="none"/>
        </w:rPr>
        <w:t>承包人</w:t>
      </w:r>
      <w:r>
        <w:rPr>
          <w:rFonts w:hint="eastAsia" w:ascii="Times New Roman" w:hAnsi="宋体"/>
          <w:b/>
          <w:color w:val="auto"/>
          <w:sz w:val="24"/>
          <w:szCs w:val="24"/>
          <w:highlight w:val="none"/>
        </w:rPr>
        <w:t>派驻</w:t>
      </w:r>
      <w:r>
        <w:rPr>
          <w:rFonts w:ascii="Times New Roman" w:hAnsi="宋体"/>
          <w:b/>
          <w:color w:val="auto"/>
          <w:sz w:val="24"/>
          <w:szCs w:val="24"/>
          <w:highlight w:val="none"/>
        </w:rPr>
        <w:t>项目</w:t>
      </w:r>
      <w:bookmarkEnd w:id="183"/>
      <w:bookmarkEnd w:id="184"/>
      <w:bookmarkEnd w:id="185"/>
      <w:bookmarkEnd w:id="186"/>
      <w:r>
        <w:rPr>
          <w:rFonts w:hint="eastAsia" w:ascii="Times New Roman" w:hAnsi="宋体"/>
          <w:b/>
          <w:color w:val="auto"/>
          <w:sz w:val="24"/>
          <w:szCs w:val="24"/>
          <w:highlight w:val="none"/>
        </w:rPr>
        <w:t>经理或项目</w:t>
      </w:r>
      <w:r>
        <w:rPr>
          <w:rFonts w:ascii="Times New Roman" w:hAnsi="宋体"/>
          <w:b/>
          <w:color w:val="auto"/>
          <w:sz w:val="24"/>
          <w:szCs w:val="24"/>
          <w:highlight w:val="none"/>
        </w:rPr>
        <w:t>负责人</w:t>
      </w:r>
    </w:p>
    <w:p w14:paraId="18CDD8C3">
      <w:pPr>
        <w:spacing w:line="360" w:lineRule="auto"/>
        <w:ind w:firstLine="480" w:firstLineChars="200"/>
        <w:rPr>
          <w:rFonts w:ascii="Times New Roman" w:hAnsi="Times New Roman"/>
          <w:color w:val="auto"/>
          <w:sz w:val="24"/>
          <w:szCs w:val="24"/>
          <w:highlight w:val="none"/>
        </w:rPr>
      </w:pPr>
      <w:r>
        <w:rPr>
          <w:rFonts w:ascii="Times New Roman" w:hAnsi="宋体"/>
          <w:color w:val="auto"/>
          <w:sz w:val="24"/>
          <w:szCs w:val="24"/>
          <w:highlight w:val="none"/>
        </w:rPr>
        <w:t>项目</w:t>
      </w:r>
      <w:r>
        <w:rPr>
          <w:rFonts w:hint="eastAsia" w:ascii="Times New Roman" w:hAnsi="宋体"/>
          <w:color w:val="auto"/>
          <w:sz w:val="24"/>
          <w:szCs w:val="24"/>
          <w:highlight w:val="none"/>
        </w:rPr>
        <w:t>经理或项目</w:t>
      </w:r>
      <w:r>
        <w:rPr>
          <w:rFonts w:ascii="Times New Roman" w:hAnsi="宋体"/>
          <w:color w:val="auto"/>
          <w:sz w:val="24"/>
          <w:szCs w:val="24"/>
          <w:highlight w:val="none"/>
        </w:rPr>
        <w:t>负责人：</w:t>
      </w:r>
      <w:r>
        <w:rPr>
          <w:rFonts w:ascii="Times New Roman" w:hAnsi="Times New Roman"/>
          <w:color w:val="auto"/>
          <w:sz w:val="24"/>
          <w:szCs w:val="24"/>
          <w:highlight w:val="none"/>
          <w:u w:val="single"/>
        </w:rPr>
        <w:t xml:space="preserve">          </w:t>
      </w:r>
      <w:r>
        <w:rPr>
          <w:rFonts w:ascii="Times New Roman" w:hAnsi="宋体"/>
          <w:color w:val="auto"/>
          <w:sz w:val="24"/>
          <w:szCs w:val="24"/>
          <w:highlight w:val="none"/>
        </w:rPr>
        <w:t>；联系电话：</w:t>
      </w:r>
      <w:r>
        <w:rPr>
          <w:rFonts w:ascii="Times New Roman" w:hAnsi="Times New Roman"/>
          <w:color w:val="auto"/>
          <w:sz w:val="24"/>
          <w:szCs w:val="24"/>
          <w:highlight w:val="none"/>
          <w:u w:val="single"/>
        </w:rPr>
        <w:t xml:space="preserve">          </w:t>
      </w:r>
      <w:r>
        <w:rPr>
          <w:rFonts w:ascii="Times New Roman" w:hAnsi="宋体"/>
          <w:color w:val="auto"/>
          <w:sz w:val="24"/>
          <w:szCs w:val="24"/>
          <w:highlight w:val="none"/>
        </w:rPr>
        <w:t>；电子信箱：</w:t>
      </w:r>
      <w:r>
        <w:rPr>
          <w:rFonts w:ascii="Times New Roman" w:hAnsi="Times New Roman"/>
          <w:color w:val="auto"/>
          <w:sz w:val="24"/>
          <w:szCs w:val="24"/>
          <w:highlight w:val="none"/>
          <w:u w:val="single"/>
        </w:rPr>
        <w:t xml:space="preserve">       </w:t>
      </w:r>
      <w:r>
        <w:rPr>
          <w:rFonts w:ascii="Times New Roman" w:hAnsi="Times New Roman"/>
          <w:color w:val="auto"/>
          <w:sz w:val="24"/>
          <w:szCs w:val="24"/>
          <w:highlight w:val="none"/>
        </w:rPr>
        <w:t>。</w:t>
      </w:r>
    </w:p>
    <w:p w14:paraId="1B71E701">
      <w:pPr>
        <w:spacing w:line="360" w:lineRule="auto"/>
        <w:ind w:firstLine="480" w:firstLineChars="200"/>
        <w:rPr>
          <w:rFonts w:ascii="Times New Roman" w:hAnsi="Times New Roman"/>
          <w:color w:val="auto"/>
          <w:sz w:val="24"/>
          <w:szCs w:val="24"/>
          <w:highlight w:val="none"/>
        </w:rPr>
      </w:pPr>
      <w:r>
        <w:rPr>
          <w:rFonts w:ascii="Times New Roman" w:hAnsi="宋体"/>
          <w:color w:val="auto"/>
          <w:sz w:val="24"/>
          <w:szCs w:val="24"/>
          <w:highlight w:val="none"/>
        </w:rPr>
        <w:t>承包人对项目</w:t>
      </w:r>
      <w:r>
        <w:rPr>
          <w:rFonts w:hint="eastAsia" w:ascii="Times New Roman" w:hAnsi="宋体"/>
          <w:color w:val="auto"/>
          <w:sz w:val="24"/>
          <w:szCs w:val="24"/>
          <w:highlight w:val="none"/>
        </w:rPr>
        <w:t>经理或项目</w:t>
      </w:r>
      <w:r>
        <w:rPr>
          <w:rFonts w:ascii="Times New Roman" w:hAnsi="宋体"/>
          <w:color w:val="auto"/>
          <w:sz w:val="24"/>
          <w:szCs w:val="24"/>
          <w:highlight w:val="none"/>
        </w:rPr>
        <w:t>负责人的授权范围：代表承包人履行合同</w:t>
      </w:r>
      <w:r>
        <w:rPr>
          <w:rFonts w:hint="eastAsia" w:ascii="Times New Roman" w:hAnsi="Times New Roman"/>
          <w:color w:val="auto"/>
          <w:sz w:val="24"/>
          <w:szCs w:val="24"/>
          <w:highlight w:val="none"/>
        </w:rPr>
        <w:t>，</w:t>
      </w:r>
      <w:r>
        <w:rPr>
          <w:rFonts w:ascii="Times New Roman" w:hAnsi="宋体"/>
          <w:color w:val="auto"/>
          <w:sz w:val="24"/>
          <w:szCs w:val="24"/>
          <w:highlight w:val="none"/>
        </w:rPr>
        <w:t>以承包人名义协调处理与本工程有关的对内对外相关事务，签署签证，签发文件。</w:t>
      </w:r>
    </w:p>
    <w:p w14:paraId="288F718C">
      <w:pPr>
        <w:spacing w:line="360" w:lineRule="auto"/>
        <w:ind w:firstLine="480" w:firstLineChars="200"/>
        <w:rPr>
          <w:rFonts w:ascii="Times New Roman" w:hAnsi="Times New Roman"/>
          <w:color w:val="auto"/>
          <w:sz w:val="24"/>
          <w:szCs w:val="24"/>
          <w:highlight w:val="none"/>
        </w:rPr>
      </w:pPr>
      <w:r>
        <w:rPr>
          <w:rFonts w:ascii="Times New Roman" w:hAnsi="宋体"/>
          <w:color w:val="auto"/>
          <w:sz w:val="24"/>
          <w:szCs w:val="24"/>
          <w:highlight w:val="none"/>
        </w:rPr>
        <w:t>发包人</w:t>
      </w:r>
      <w:r>
        <w:rPr>
          <w:rFonts w:hint="eastAsia" w:ascii="Times New Roman" w:hAnsi="宋体"/>
          <w:color w:val="auto"/>
          <w:sz w:val="24"/>
          <w:szCs w:val="24"/>
          <w:highlight w:val="none"/>
        </w:rPr>
        <w:t>或监理人</w:t>
      </w:r>
      <w:r>
        <w:rPr>
          <w:rFonts w:ascii="Times New Roman" w:hAnsi="宋体"/>
          <w:color w:val="auto"/>
          <w:sz w:val="24"/>
          <w:szCs w:val="24"/>
          <w:highlight w:val="none"/>
        </w:rPr>
        <w:t>有权书面通知承包人更换其认为不称职的项目</w:t>
      </w:r>
      <w:r>
        <w:rPr>
          <w:rFonts w:hint="eastAsia" w:ascii="Times New Roman" w:hAnsi="宋体"/>
          <w:color w:val="auto"/>
          <w:sz w:val="24"/>
          <w:szCs w:val="24"/>
          <w:highlight w:val="none"/>
        </w:rPr>
        <w:t>经理或项目</w:t>
      </w:r>
      <w:r>
        <w:rPr>
          <w:rFonts w:ascii="Times New Roman" w:hAnsi="宋体"/>
          <w:color w:val="auto"/>
          <w:sz w:val="24"/>
          <w:szCs w:val="24"/>
          <w:highlight w:val="none"/>
        </w:rPr>
        <w:t>负责人，由此增加的费用和（或）延误的工期由承包人承担。承包人无正当理由拒绝更换项目</w:t>
      </w:r>
      <w:r>
        <w:rPr>
          <w:rFonts w:hint="eastAsia" w:ascii="Times New Roman" w:hAnsi="宋体"/>
          <w:color w:val="auto"/>
          <w:sz w:val="24"/>
          <w:szCs w:val="24"/>
          <w:highlight w:val="none"/>
        </w:rPr>
        <w:t>经理或项目</w:t>
      </w:r>
      <w:r>
        <w:rPr>
          <w:rFonts w:ascii="Times New Roman" w:hAnsi="宋体"/>
          <w:color w:val="auto"/>
          <w:sz w:val="24"/>
          <w:szCs w:val="24"/>
          <w:highlight w:val="none"/>
        </w:rPr>
        <w:t>负责人，视为承包人违约，每发生一次按</w:t>
      </w:r>
      <w:r>
        <w:rPr>
          <w:rFonts w:ascii="Times New Roman" w:hAnsi="Times New Roman"/>
          <w:color w:val="auto"/>
          <w:sz w:val="24"/>
          <w:szCs w:val="24"/>
          <w:highlight w:val="none"/>
        </w:rPr>
        <w:t>20000</w:t>
      </w:r>
      <w:r>
        <w:rPr>
          <w:rFonts w:ascii="Times New Roman" w:hAnsi="宋体"/>
          <w:color w:val="auto"/>
          <w:sz w:val="24"/>
          <w:szCs w:val="24"/>
          <w:highlight w:val="none"/>
        </w:rPr>
        <w:t>元向发包人支付违约金。</w:t>
      </w:r>
    </w:p>
    <w:p w14:paraId="36D323EA">
      <w:pPr>
        <w:spacing w:line="360" w:lineRule="auto"/>
        <w:ind w:firstLine="480" w:firstLineChars="200"/>
        <w:rPr>
          <w:rFonts w:hint="eastAsia" w:ascii="Times New Roman" w:hAnsi="宋体"/>
          <w:color w:val="auto"/>
          <w:sz w:val="24"/>
          <w:szCs w:val="24"/>
          <w:highlight w:val="none"/>
        </w:rPr>
      </w:pPr>
      <w:r>
        <w:rPr>
          <w:rFonts w:ascii="Times New Roman" w:hAnsi="宋体"/>
          <w:color w:val="auto"/>
          <w:sz w:val="24"/>
          <w:szCs w:val="24"/>
          <w:highlight w:val="none"/>
        </w:rPr>
        <w:t>承包人需更换项目</w:t>
      </w:r>
      <w:r>
        <w:rPr>
          <w:rFonts w:hint="eastAsia" w:ascii="Times New Roman" w:hAnsi="宋体"/>
          <w:color w:val="auto"/>
          <w:sz w:val="24"/>
          <w:szCs w:val="24"/>
          <w:highlight w:val="none"/>
        </w:rPr>
        <w:t>经理或项目</w:t>
      </w:r>
      <w:r>
        <w:rPr>
          <w:rFonts w:ascii="Times New Roman" w:hAnsi="宋体"/>
          <w:color w:val="auto"/>
          <w:sz w:val="24"/>
          <w:szCs w:val="24"/>
          <w:highlight w:val="none"/>
        </w:rPr>
        <w:t>负责人的，应提前</w:t>
      </w:r>
      <w:r>
        <w:rPr>
          <w:rFonts w:ascii="Times New Roman" w:hAnsi="Times New Roman"/>
          <w:color w:val="auto"/>
          <w:sz w:val="24"/>
          <w:szCs w:val="24"/>
          <w:highlight w:val="none"/>
        </w:rPr>
        <w:t>3</w:t>
      </w:r>
      <w:r>
        <w:rPr>
          <w:rFonts w:ascii="Times New Roman" w:hAnsi="宋体"/>
          <w:color w:val="auto"/>
          <w:sz w:val="24"/>
          <w:szCs w:val="24"/>
          <w:highlight w:val="none"/>
        </w:rPr>
        <w:t>天书面通知发包人和监理人，并征得发包人书面同意。承包人擅自更换项目</w:t>
      </w:r>
      <w:r>
        <w:rPr>
          <w:rFonts w:hint="eastAsia" w:ascii="Times New Roman" w:hAnsi="宋体"/>
          <w:color w:val="auto"/>
          <w:sz w:val="24"/>
          <w:szCs w:val="24"/>
          <w:highlight w:val="none"/>
        </w:rPr>
        <w:t>经理或项目</w:t>
      </w:r>
      <w:r>
        <w:rPr>
          <w:rFonts w:ascii="Times New Roman" w:hAnsi="宋体"/>
          <w:color w:val="auto"/>
          <w:sz w:val="24"/>
          <w:szCs w:val="24"/>
          <w:highlight w:val="none"/>
        </w:rPr>
        <w:t>负责人的，视为承包人违约，每发生一次按</w:t>
      </w:r>
      <w:r>
        <w:rPr>
          <w:rFonts w:ascii="Times New Roman" w:hAnsi="Times New Roman"/>
          <w:color w:val="auto"/>
          <w:sz w:val="24"/>
          <w:szCs w:val="24"/>
          <w:highlight w:val="none"/>
        </w:rPr>
        <w:t>20000</w:t>
      </w:r>
      <w:r>
        <w:rPr>
          <w:rFonts w:ascii="Times New Roman" w:hAnsi="宋体"/>
          <w:color w:val="auto"/>
          <w:sz w:val="24"/>
          <w:szCs w:val="24"/>
          <w:highlight w:val="none"/>
        </w:rPr>
        <w:t>元向发包人支付违约金。</w:t>
      </w:r>
    </w:p>
    <w:p w14:paraId="55F9CEA0">
      <w:pPr>
        <w:spacing w:line="360" w:lineRule="auto"/>
        <w:ind w:firstLine="480" w:firstLineChars="200"/>
        <w:rPr>
          <w:rFonts w:hint="eastAsia" w:ascii="Times New Roman" w:hAnsi="Times New Roman"/>
          <w:color w:val="auto"/>
          <w:sz w:val="24"/>
          <w:szCs w:val="24"/>
          <w:highlight w:val="none"/>
        </w:rPr>
      </w:pPr>
      <w:r>
        <w:rPr>
          <w:rFonts w:ascii="Times New Roman" w:hAnsi="宋体"/>
          <w:color w:val="auto"/>
          <w:sz w:val="24"/>
          <w:szCs w:val="24"/>
          <w:highlight w:val="none"/>
        </w:rPr>
        <w:t>承包人</w:t>
      </w:r>
      <w:r>
        <w:rPr>
          <w:rFonts w:hint="eastAsia" w:ascii="Times New Roman" w:hAnsi="宋体"/>
          <w:color w:val="auto"/>
          <w:sz w:val="24"/>
          <w:szCs w:val="24"/>
          <w:highlight w:val="none"/>
        </w:rPr>
        <w:t>必须按照发包人要求派驻</w:t>
      </w:r>
      <w:r>
        <w:rPr>
          <w:rFonts w:ascii="Times New Roman" w:hAnsi="宋体"/>
          <w:color w:val="auto"/>
          <w:sz w:val="24"/>
          <w:szCs w:val="24"/>
          <w:highlight w:val="none"/>
        </w:rPr>
        <w:t>称职</w:t>
      </w:r>
      <w:r>
        <w:rPr>
          <w:rFonts w:hint="eastAsia" w:ascii="Times New Roman" w:hAnsi="宋体"/>
          <w:color w:val="auto"/>
          <w:sz w:val="24"/>
          <w:szCs w:val="24"/>
          <w:highlight w:val="none"/>
        </w:rPr>
        <w:t>的</w:t>
      </w:r>
      <w:r>
        <w:rPr>
          <w:rFonts w:ascii="Times New Roman" w:hAnsi="宋体"/>
          <w:color w:val="auto"/>
          <w:sz w:val="24"/>
          <w:szCs w:val="24"/>
          <w:highlight w:val="none"/>
        </w:rPr>
        <w:t>项目</w:t>
      </w:r>
      <w:r>
        <w:rPr>
          <w:rFonts w:hint="eastAsia" w:ascii="Times New Roman" w:hAnsi="宋体"/>
          <w:color w:val="auto"/>
          <w:sz w:val="24"/>
          <w:szCs w:val="24"/>
          <w:highlight w:val="none"/>
        </w:rPr>
        <w:t>经理或项目</w:t>
      </w:r>
      <w:r>
        <w:rPr>
          <w:rFonts w:ascii="Times New Roman" w:hAnsi="宋体"/>
          <w:color w:val="auto"/>
          <w:sz w:val="24"/>
          <w:szCs w:val="24"/>
          <w:highlight w:val="none"/>
        </w:rPr>
        <w:t>负责人</w:t>
      </w:r>
      <w:r>
        <w:rPr>
          <w:rFonts w:hint="eastAsia" w:ascii="Times New Roman" w:hAnsi="宋体"/>
          <w:color w:val="auto"/>
          <w:sz w:val="24"/>
          <w:szCs w:val="24"/>
          <w:highlight w:val="none"/>
        </w:rPr>
        <w:t>负责本工程，承包人</w:t>
      </w:r>
      <w:r>
        <w:rPr>
          <w:rFonts w:hint="eastAsia"/>
          <w:color w:val="auto"/>
          <w:sz w:val="24"/>
          <w:szCs w:val="24"/>
          <w:highlight w:val="none"/>
        </w:rPr>
        <w:t>无正当理由未</w:t>
      </w:r>
      <w:r>
        <w:rPr>
          <w:rFonts w:hint="eastAsia" w:ascii="Times New Roman" w:hAnsi="宋体"/>
          <w:color w:val="auto"/>
          <w:sz w:val="24"/>
          <w:szCs w:val="24"/>
          <w:highlight w:val="none"/>
        </w:rPr>
        <w:t>派驻</w:t>
      </w:r>
      <w:r>
        <w:rPr>
          <w:rFonts w:ascii="Times New Roman" w:hAnsi="宋体"/>
          <w:color w:val="auto"/>
          <w:sz w:val="24"/>
          <w:szCs w:val="24"/>
          <w:highlight w:val="none"/>
        </w:rPr>
        <w:t>项目</w:t>
      </w:r>
      <w:r>
        <w:rPr>
          <w:rFonts w:hint="eastAsia" w:ascii="Times New Roman" w:hAnsi="宋体"/>
          <w:color w:val="auto"/>
          <w:sz w:val="24"/>
          <w:szCs w:val="24"/>
          <w:highlight w:val="none"/>
        </w:rPr>
        <w:t>经理或项目</w:t>
      </w:r>
      <w:r>
        <w:rPr>
          <w:rFonts w:ascii="Times New Roman" w:hAnsi="宋体"/>
          <w:color w:val="auto"/>
          <w:sz w:val="24"/>
          <w:szCs w:val="24"/>
          <w:highlight w:val="none"/>
        </w:rPr>
        <w:t>负责人</w:t>
      </w:r>
      <w:r>
        <w:rPr>
          <w:rFonts w:hint="eastAsia" w:ascii="Times New Roman" w:hAnsi="宋体"/>
          <w:color w:val="auto"/>
          <w:sz w:val="24"/>
          <w:szCs w:val="24"/>
          <w:highlight w:val="none"/>
        </w:rPr>
        <w:t>的，承包人应承担违约责任，每</w:t>
      </w:r>
      <w:r>
        <w:rPr>
          <w:rFonts w:hint="eastAsia"/>
          <w:color w:val="auto"/>
          <w:sz w:val="24"/>
          <w:szCs w:val="24"/>
          <w:highlight w:val="none"/>
        </w:rPr>
        <w:t>少一天承包人按2000元/天向发包人支付违约金。</w:t>
      </w:r>
    </w:p>
    <w:p w14:paraId="09B887F0">
      <w:pPr>
        <w:spacing w:line="360" w:lineRule="auto"/>
        <w:ind w:firstLine="236" w:firstLineChars="98"/>
        <w:rPr>
          <w:rFonts w:ascii="Times New Roman" w:hAnsi="Times New Roman"/>
          <w:b/>
          <w:color w:val="auto"/>
          <w:sz w:val="24"/>
          <w:szCs w:val="24"/>
          <w:highlight w:val="none"/>
        </w:rPr>
      </w:pPr>
      <w:bookmarkStart w:id="187" w:name="_Toc467599570"/>
      <w:bookmarkStart w:id="188" w:name="_Toc373227709"/>
      <w:bookmarkStart w:id="189" w:name="_Toc373478356"/>
      <w:bookmarkStart w:id="190" w:name="_Toc389065275"/>
      <w:r>
        <w:rPr>
          <w:rFonts w:ascii="Times New Roman" w:hAnsi="Times New Roman"/>
          <w:b/>
          <w:color w:val="auto"/>
          <w:sz w:val="24"/>
          <w:szCs w:val="24"/>
          <w:highlight w:val="none"/>
        </w:rPr>
        <w:t xml:space="preserve">3.3 </w:t>
      </w:r>
      <w:r>
        <w:rPr>
          <w:rFonts w:ascii="Times New Roman" w:hAnsi="宋体"/>
          <w:b/>
          <w:color w:val="auto"/>
          <w:sz w:val="24"/>
          <w:szCs w:val="24"/>
          <w:highlight w:val="none"/>
        </w:rPr>
        <w:t>承包人人员</w:t>
      </w:r>
      <w:bookmarkEnd w:id="187"/>
      <w:bookmarkEnd w:id="188"/>
      <w:bookmarkEnd w:id="189"/>
      <w:bookmarkEnd w:id="190"/>
    </w:p>
    <w:p w14:paraId="3D66B73B">
      <w:pPr>
        <w:spacing w:line="360" w:lineRule="auto"/>
        <w:ind w:firstLine="480" w:firstLineChars="200"/>
        <w:rPr>
          <w:rFonts w:ascii="Times New Roman" w:hAnsi="Times New Roman"/>
          <w:color w:val="auto"/>
          <w:sz w:val="24"/>
          <w:szCs w:val="24"/>
          <w:highlight w:val="none"/>
        </w:rPr>
      </w:pPr>
      <w:r>
        <w:rPr>
          <w:rFonts w:ascii="Times New Roman" w:hAnsi="宋体"/>
          <w:color w:val="auto"/>
          <w:sz w:val="24"/>
          <w:szCs w:val="24"/>
          <w:highlight w:val="none"/>
        </w:rPr>
        <w:t>承包人开工前，应向</w:t>
      </w:r>
      <w:r>
        <w:rPr>
          <w:rFonts w:hint="eastAsia" w:ascii="Times New Roman" w:hAnsi="宋体"/>
          <w:color w:val="auto"/>
          <w:sz w:val="24"/>
          <w:szCs w:val="24"/>
          <w:highlight w:val="none"/>
        </w:rPr>
        <w:t>发</w:t>
      </w:r>
      <w:r>
        <w:rPr>
          <w:rFonts w:ascii="Times New Roman" w:hAnsi="宋体"/>
          <w:color w:val="auto"/>
          <w:sz w:val="24"/>
          <w:szCs w:val="24"/>
          <w:highlight w:val="none"/>
        </w:rPr>
        <w:t>包人提交项目管理机构及施工现场管理人员的报告，其内容应包括合同管理、施工、技术、材料、质量、安全等主要施工管理人员名单及其岗位或注册执业资格等，以及各工种技术工人的安排情况。</w:t>
      </w:r>
    </w:p>
    <w:p w14:paraId="4E86416E">
      <w:pPr>
        <w:spacing w:line="360" w:lineRule="auto"/>
        <w:ind w:firstLine="480" w:firstLineChars="200"/>
        <w:rPr>
          <w:rFonts w:hint="eastAsia" w:ascii="Times New Roman" w:hAnsi="宋体"/>
          <w:color w:val="auto"/>
          <w:sz w:val="24"/>
          <w:szCs w:val="24"/>
          <w:highlight w:val="none"/>
        </w:rPr>
      </w:pPr>
      <w:r>
        <w:rPr>
          <w:rFonts w:ascii="Times New Roman" w:hAnsi="宋体"/>
          <w:color w:val="auto"/>
          <w:sz w:val="24"/>
          <w:szCs w:val="24"/>
          <w:highlight w:val="none"/>
        </w:rPr>
        <w:t>承包人主要施工管理人员经发包人</w:t>
      </w:r>
      <w:r>
        <w:rPr>
          <w:rFonts w:hint="eastAsia" w:ascii="Times New Roman" w:hAnsi="宋体"/>
          <w:color w:val="auto"/>
          <w:sz w:val="24"/>
          <w:szCs w:val="24"/>
          <w:highlight w:val="none"/>
        </w:rPr>
        <w:t>或监理人</w:t>
      </w:r>
      <w:r>
        <w:rPr>
          <w:rFonts w:ascii="Times New Roman" w:hAnsi="宋体"/>
          <w:color w:val="auto"/>
          <w:sz w:val="24"/>
          <w:szCs w:val="24"/>
          <w:highlight w:val="none"/>
        </w:rPr>
        <w:t>书面同意后才可离开施工现场。</w:t>
      </w:r>
    </w:p>
    <w:p w14:paraId="6620B54A">
      <w:pPr>
        <w:spacing w:line="360" w:lineRule="auto"/>
        <w:ind w:firstLine="480" w:firstLineChars="200"/>
        <w:rPr>
          <w:color w:val="auto"/>
          <w:sz w:val="24"/>
          <w:szCs w:val="24"/>
          <w:highlight w:val="none"/>
        </w:rPr>
      </w:pPr>
      <w:r>
        <w:rPr>
          <w:rFonts w:hint="eastAsia"/>
          <w:color w:val="auto"/>
          <w:sz w:val="24"/>
          <w:szCs w:val="24"/>
          <w:highlight w:val="none"/>
        </w:rPr>
        <w:t>承包人必须按</w:t>
      </w:r>
      <w:r>
        <w:rPr>
          <w:rFonts w:ascii="Times New Roman" w:hAnsi="宋体"/>
          <w:color w:val="auto"/>
          <w:sz w:val="24"/>
          <w:szCs w:val="24"/>
          <w:highlight w:val="none"/>
        </w:rPr>
        <w:t>项目</w:t>
      </w:r>
      <w:r>
        <w:rPr>
          <w:rFonts w:hint="eastAsia" w:ascii="Times New Roman" w:hAnsi="宋体"/>
          <w:color w:val="auto"/>
          <w:sz w:val="24"/>
          <w:szCs w:val="24"/>
          <w:highlight w:val="none"/>
        </w:rPr>
        <w:t>管理</w:t>
      </w:r>
      <w:r>
        <w:rPr>
          <w:rFonts w:hint="eastAsia"/>
          <w:color w:val="auto"/>
          <w:sz w:val="24"/>
          <w:szCs w:val="24"/>
          <w:highlight w:val="none"/>
        </w:rPr>
        <w:t>和发包人要求配足、配齐</w:t>
      </w:r>
      <w:r>
        <w:rPr>
          <w:rFonts w:ascii="Times New Roman" w:hAnsi="宋体"/>
          <w:color w:val="auto"/>
          <w:sz w:val="24"/>
          <w:szCs w:val="24"/>
          <w:highlight w:val="none"/>
        </w:rPr>
        <w:t>项目管理机构及包括合同管理、施工、技术、材料、质量、安全等施工管理人员</w:t>
      </w:r>
      <w:r>
        <w:rPr>
          <w:rFonts w:hint="eastAsia" w:ascii="Times New Roman" w:hAnsi="宋体"/>
          <w:color w:val="auto"/>
          <w:sz w:val="24"/>
          <w:szCs w:val="24"/>
          <w:highlight w:val="none"/>
        </w:rPr>
        <w:t>，承包人</w:t>
      </w:r>
      <w:r>
        <w:rPr>
          <w:rFonts w:hint="eastAsia"/>
          <w:color w:val="auto"/>
          <w:sz w:val="24"/>
          <w:szCs w:val="24"/>
          <w:highlight w:val="none"/>
        </w:rPr>
        <w:t>无正当理未配足、配齐</w:t>
      </w:r>
      <w:r>
        <w:rPr>
          <w:rFonts w:ascii="Times New Roman" w:hAnsi="宋体"/>
          <w:color w:val="auto"/>
          <w:sz w:val="24"/>
          <w:szCs w:val="24"/>
          <w:highlight w:val="none"/>
        </w:rPr>
        <w:t>项目管理机构及施工管理人员</w:t>
      </w:r>
      <w:r>
        <w:rPr>
          <w:rFonts w:hint="eastAsia" w:ascii="Times New Roman" w:hAnsi="宋体"/>
          <w:color w:val="auto"/>
          <w:sz w:val="24"/>
          <w:szCs w:val="24"/>
          <w:highlight w:val="none"/>
        </w:rPr>
        <w:t>的，承包人应承担违约责任，</w:t>
      </w:r>
      <w:r>
        <w:rPr>
          <w:rFonts w:hint="eastAsia"/>
          <w:color w:val="auto"/>
          <w:sz w:val="24"/>
          <w:szCs w:val="24"/>
          <w:highlight w:val="none"/>
        </w:rPr>
        <w:t>且每发现缺少一人一天，承包人按</w:t>
      </w:r>
      <w:r>
        <w:rPr>
          <w:color w:val="auto"/>
          <w:sz w:val="24"/>
          <w:szCs w:val="24"/>
          <w:highlight w:val="none"/>
        </w:rPr>
        <w:t>2000</w:t>
      </w:r>
      <w:r>
        <w:rPr>
          <w:rFonts w:hint="eastAsia"/>
          <w:color w:val="auto"/>
          <w:sz w:val="24"/>
          <w:szCs w:val="24"/>
          <w:highlight w:val="none"/>
        </w:rPr>
        <w:t>元/人·天发包人支付违约金。</w:t>
      </w:r>
    </w:p>
    <w:bookmarkEnd w:id="176"/>
    <w:bookmarkEnd w:id="177"/>
    <w:bookmarkEnd w:id="178"/>
    <w:p w14:paraId="592B3EB9">
      <w:pPr>
        <w:spacing w:line="360" w:lineRule="auto"/>
        <w:ind w:firstLine="236" w:firstLineChars="98"/>
        <w:rPr>
          <w:rFonts w:ascii="Times New Roman" w:hAnsi="Times New Roman"/>
          <w:b/>
          <w:color w:val="auto"/>
          <w:sz w:val="24"/>
          <w:szCs w:val="24"/>
          <w:highlight w:val="none"/>
        </w:rPr>
      </w:pPr>
      <w:bookmarkStart w:id="191" w:name="_Toc351203522"/>
      <w:r>
        <w:rPr>
          <w:rFonts w:ascii="Times New Roman" w:hAnsi="Times New Roman"/>
          <w:b/>
          <w:color w:val="auto"/>
          <w:sz w:val="24"/>
          <w:szCs w:val="24"/>
          <w:highlight w:val="none"/>
        </w:rPr>
        <w:t>3</w:t>
      </w:r>
      <w:bookmarkStart w:id="192" w:name="_Toc296503050"/>
      <w:bookmarkStart w:id="193" w:name="_Toc296346551"/>
      <w:bookmarkStart w:id="194" w:name="_Toc337558750"/>
      <w:r>
        <w:rPr>
          <w:rFonts w:ascii="Times New Roman" w:hAnsi="Times New Roman"/>
          <w:b/>
          <w:color w:val="auto"/>
          <w:sz w:val="24"/>
          <w:szCs w:val="24"/>
          <w:highlight w:val="none"/>
        </w:rPr>
        <w:t xml:space="preserve">.4 </w:t>
      </w:r>
      <w:r>
        <w:rPr>
          <w:rFonts w:ascii="Times New Roman" w:hAnsi="宋体"/>
          <w:b/>
          <w:color w:val="auto"/>
          <w:sz w:val="24"/>
          <w:szCs w:val="24"/>
          <w:highlight w:val="none"/>
        </w:rPr>
        <w:t>承包人现场查勘</w:t>
      </w:r>
      <w:bookmarkEnd w:id="191"/>
    </w:p>
    <w:bookmarkEnd w:id="192"/>
    <w:bookmarkEnd w:id="193"/>
    <w:bookmarkEnd w:id="194"/>
    <w:p w14:paraId="023657BE">
      <w:pPr>
        <w:spacing w:line="360" w:lineRule="auto"/>
        <w:ind w:firstLine="480" w:firstLineChars="200"/>
        <w:rPr>
          <w:rFonts w:ascii="Times New Roman" w:hAnsi="Times New Roman"/>
          <w:color w:val="auto"/>
          <w:sz w:val="24"/>
          <w:highlight w:val="none"/>
        </w:rPr>
      </w:pPr>
      <w:r>
        <w:rPr>
          <w:rFonts w:ascii="Times New Roman" w:hAnsi="宋体"/>
          <w:color w:val="auto"/>
          <w:sz w:val="24"/>
          <w:szCs w:val="24"/>
          <w:highlight w:val="none"/>
        </w:rPr>
        <w:t>承包人应对施工现场和施工条件进行查勘，并充分了解工程所在地的气象条件、交通条件、风俗习惯以及其他与完成合同工作有关的其他资料。因承包人未能充分查勘、了解前述情况或未能充分估计前述情况所可能产生后果的，承包人承担由此增加的费用和（或）延误的工期。</w:t>
      </w:r>
      <w:bookmarkStart w:id="195" w:name="_Toc389065279"/>
      <w:bookmarkStart w:id="196" w:name="_Toc351203527"/>
      <w:bookmarkStart w:id="197" w:name="_Toc373227713"/>
      <w:bookmarkStart w:id="198" w:name="_Toc351203636"/>
      <w:bookmarkStart w:id="199" w:name="_Toc373478360"/>
      <w:bookmarkStart w:id="200" w:name="_Toc467599574"/>
    </w:p>
    <w:bookmarkEnd w:id="195"/>
    <w:bookmarkEnd w:id="196"/>
    <w:bookmarkEnd w:id="197"/>
    <w:bookmarkEnd w:id="198"/>
    <w:bookmarkEnd w:id="199"/>
    <w:bookmarkEnd w:id="200"/>
    <w:p w14:paraId="3AF41974">
      <w:pPr>
        <w:pStyle w:val="5"/>
        <w:spacing w:beforeLines="100" w:after="0" w:line="360" w:lineRule="auto"/>
        <w:rPr>
          <w:rFonts w:ascii="Times New Roman" w:hAnsi="Times New Roman"/>
          <w:color w:val="auto"/>
          <w:sz w:val="24"/>
          <w:szCs w:val="24"/>
          <w:highlight w:val="none"/>
        </w:rPr>
      </w:pPr>
      <w:bookmarkStart w:id="201" w:name="_Toc351203532"/>
      <w:bookmarkStart w:id="202" w:name="_Toc337558758"/>
      <w:r>
        <w:rPr>
          <w:rFonts w:ascii="Times New Roman" w:hAnsi="Times New Roman"/>
          <w:color w:val="auto"/>
          <w:sz w:val="24"/>
          <w:szCs w:val="24"/>
          <w:highlight w:val="none"/>
        </w:rPr>
        <w:t>4. 工程质量</w:t>
      </w:r>
      <w:bookmarkEnd w:id="201"/>
      <w:r>
        <w:rPr>
          <w:rFonts w:ascii="Times New Roman" w:hAnsi="Times New Roman"/>
          <w:color w:val="auto"/>
          <w:sz w:val="24"/>
          <w:szCs w:val="24"/>
          <w:highlight w:val="none"/>
        </w:rPr>
        <w:t>要求</w:t>
      </w:r>
    </w:p>
    <w:bookmarkEnd w:id="202"/>
    <w:p w14:paraId="7662D916">
      <w:pPr>
        <w:autoSpaceDE w:val="0"/>
        <w:autoSpaceDN w:val="0"/>
        <w:adjustRightInd w:val="0"/>
        <w:spacing w:line="360" w:lineRule="auto"/>
        <w:ind w:firstLine="236" w:firstLineChars="98"/>
        <w:rPr>
          <w:rFonts w:ascii="Times New Roman" w:hAnsi="Times New Roman"/>
          <w:color w:val="auto"/>
          <w:kern w:val="0"/>
          <w:sz w:val="24"/>
          <w:szCs w:val="24"/>
          <w:highlight w:val="none"/>
        </w:rPr>
      </w:pPr>
      <w:r>
        <w:rPr>
          <w:rFonts w:ascii="Times New Roman" w:hAnsi="Times New Roman"/>
          <w:b/>
          <w:color w:val="auto"/>
          <w:kern w:val="0"/>
          <w:sz w:val="24"/>
          <w:szCs w:val="24"/>
          <w:highlight w:val="none"/>
        </w:rPr>
        <w:t xml:space="preserve">4.1 </w:t>
      </w:r>
      <w:r>
        <w:rPr>
          <w:rFonts w:ascii="Times New Roman" w:hAnsi="Times New Roman"/>
          <w:color w:val="auto"/>
          <w:kern w:val="0"/>
          <w:sz w:val="24"/>
          <w:szCs w:val="24"/>
          <w:highlight w:val="none"/>
        </w:rPr>
        <w:t>工程质量标准必须符合现行国家有关工程施工质量验收规范和标准的要求。</w:t>
      </w:r>
    </w:p>
    <w:p w14:paraId="204B9156">
      <w:pPr>
        <w:pStyle w:val="230"/>
        <w:spacing w:line="360" w:lineRule="auto"/>
        <w:ind w:firstLine="236" w:firstLineChars="98"/>
        <w:rPr>
          <w:rFonts w:hint="eastAsia"/>
          <w:color w:val="auto"/>
          <w:sz w:val="24"/>
          <w:szCs w:val="24"/>
          <w:highlight w:val="none"/>
        </w:rPr>
      </w:pPr>
      <w:r>
        <w:rPr>
          <w:rFonts w:hint="eastAsia"/>
          <w:b/>
          <w:color w:val="auto"/>
          <w:sz w:val="24"/>
          <w:szCs w:val="24"/>
          <w:highlight w:val="none"/>
        </w:rPr>
        <w:t>4.2</w:t>
      </w:r>
      <w:r>
        <w:rPr>
          <w:rFonts w:hint="eastAsia"/>
          <w:color w:val="auto"/>
          <w:sz w:val="24"/>
          <w:szCs w:val="24"/>
          <w:highlight w:val="none"/>
        </w:rPr>
        <w:t xml:space="preserve"> </w:t>
      </w:r>
      <w:r>
        <w:rPr>
          <w:color w:val="auto"/>
          <w:kern w:val="0"/>
          <w:sz w:val="24"/>
          <w:szCs w:val="24"/>
          <w:highlight w:val="none"/>
        </w:rPr>
        <w:t>因承包人原因造成工程质量未达到国家有关工程施工质量验收规范</w:t>
      </w:r>
      <w:r>
        <w:rPr>
          <w:rFonts w:hint="eastAsia"/>
          <w:color w:val="auto"/>
          <w:kern w:val="0"/>
          <w:sz w:val="24"/>
          <w:szCs w:val="24"/>
          <w:highlight w:val="none"/>
        </w:rPr>
        <w:t>、</w:t>
      </w:r>
      <w:r>
        <w:rPr>
          <w:color w:val="auto"/>
          <w:kern w:val="0"/>
          <w:sz w:val="24"/>
          <w:szCs w:val="24"/>
          <w:highlight w:val="none"/>
        </w:rPr>
        <w:t>标准</w:t>
      </w:r>
      <w:r>
        <w:rPr>
          <w:rFonts w:hint="eastAsia"/>
          <w:color w:val="auto"/>
          <w:kern w:val="0"/>
          <w:sz w:val="24"/>
          <w:szCs w:val="24"/>
          <w:highlight w:val="none"/>
        </w:rPr>
        <w:t>和</w:t>
      </w:r>
      <w:r>
        <w:rPr>
          <w:color w:val="auto"/>
          <w:kern w:val="0"/>
          <w:sz w:val="24"/>
          <w:szCs w:val="24"/>
          <w:highlight w:val="none"/>
        </w:rPr>
        <w:t>合同约定标准的，发包人有权要求承包人返工直至工程质量达到合同约定的标准为止，并由承包人承担由此增加的费用和（或）延误的工期。</w:t>
      </w:r>
    </w:p>
    <w:p w14:paraId="6F993984">
      <w:pPr>
        <w:pStyle w:val="230"/>
        <w:spacing w:line="360" w:lineRule="auto"/>
        <w:rPr>
          <w:color w:val="auto"/>
          <w:sz w:val="24"/>
          <w:szCs w:val="24"/>
          <w:highlight w:val="none"/>
        </w:rPr>
      </w:pPr>
      <w:r>
        <w:rPr>
          <w:rFonts w:hint="eastAsia"/>
          <w:color w:val="auto"/>
          <w:sz w:val="24"/>
          <w:szCs w:val="24"/>
          <w:highlight w:val="none"/>
        </w:rPr>
        <w:t xml:space="preserve">  </w:t>
      </w:r>
      <w:r>
        <w:rPr>
          <w:rFonts w:hint="eastAsia"/>
          <w:b/>
          <w:color w:val="auto"/>
          <w:sz w:val="24"/>
          <w:szCs w:val="24"/>
          <w:highlight w:val="none"/>
        </w:rPr>
        <w:t>4.3</w:t>
      </w:r>
      <w:r>
        <w:rPr>
          <w:rFonts w:hint="eastAsia"/>
          <w:color w:val="auto"/>
          <w:sz w:val="24"/>
          <w:szCs w:val="24"/>
          <w:highlight w:val="none"/>
        </w:rPr>
        <w:t xml:space="preserve"> </w:t>
      </w:r>
      <w:r>
        <w:rPr>
          <w:color w:val="auto"/>
          <w:sz w:val="24"/>
          <w:szCs w:val="24"/>
          <w:highlight w:val="none"/>
        </w:rPr>
        <w:t>关于工程</w:t>
      </w:r>
      <w:r>
        <w:rPr>
          <w:rFonts w:hint="eastAsia"/>
          <w:color w:val="auto"/>
          <w:sz w:val="24"/>
          <w:szCs w:val="24"/>
          <w:highlight w:val="none"/>
        </w:rPr>
        <w:t>质量</w:t>
      </w:r>
      <w:r>
        <w:rPr>
          <w:color w:val="auto"/>
          <w:sz w:val="24"/>
          <w:szCs w:val="24"/>
          <w:highlight w:val="none"/>
        </w:rPr>
        <w:t>奖项的约定：</w:t>
      </w:r>
      <w:r>
        <w:rPr>
          <w:color w:val="auto"/>
          <w:sz w:val="24"/>
          <w:szCs w:val="24"/>
          <w:highlight w:val="none"/>
          <w:u w:val="single"/>
        </w:rPr>
        <w:t xml:space="preserve"> 无</w:t>
      </w:r>
      <w:r>
        <w:rPr>
          <w:rFonts w:hint="eastAsia"/>
          <w:color w:val="auto"/>
          <w:sz w:val="24"/>
          <w:szCs w:val="24"/>
          <w:highlight w:val="none"/>
          <w:u w:val="single"/>
        </w:rPr>
        <w:t xml:space="preserve"> </w:t>
      </w:r>
      <w:r>
        <w:rPr>
          <w:color w:val="auto"/>
          <w:sz w:val="24"/>
          <w:szCs w:val="24"/>
          <w:highlight w:val="none"/>
        </w:rPr>
        <w:t>。</w:t>
      </w:r>
    </w:p>
    <w:p w14:paraId="3266913B">
      <w:pPr>
        <w:pStyle w:val="230"/>
        <w:spacing w:line="360" w:lineRule="auto"/>
        <w:ind w:firstLine="241" w:firstLineChars="100"/>
        <w:rPr>
          <w:color w:val="auto"/>
          <w:sz w:val="24"/>
          <w:szCs w:val="24"/>
          <w:highlight w:val="none"/>
        </w:rPr>
      </w:pPr>
      <w:r>
        <w:rPr>
          <w:rFonts w:hint="eastAsia"/>
          <w:b/>
          <w:color w:val="auto"/>
          <w:sz w:val="24"/>
          <w:szCs w:val="24"/>
          <w:highlight w:val="none"/>
        </w:rPr>
        <w:t>4.4</w:t>
      </w:r>
      <w:r>
        <w:rPr>
          <w:color w:val="auto"/>
          <w:sz w:val="24"/>
          <w:szCs w:val="24"/>
          <w:highlight w:val="none"/>
        </w:rPr>
        <w:t xml:space="preserve"> 隐蔽工程检查</w:t>
      </w:r>
    </w:p>
    <w:p w14:paraId="493B47F3">
      <w:pPr>
        <w:pStyle w:val="230"/>
        <w:spacing w:line="360" w:lineRule="auto"/>
        <w:ind w:firstLine="480" w:firstLineChars="200"/>
        <w:rPr>
          <w:rFonts w:hint="eastAsia"/>
          <w:color w:val="auto"/>
          <w:kern w:val="0"/>
          <w:sz w:val="24"/>
          <w:szCs w:val="24"/>
          <w:highlight w:val="none"/>
        </w:rPr>
      </w:pPr>
      <w:r>
        <w:rPr>
          <w:rFonts w:hint="eastAsia"/>
          <w:color w:val="auto"/>
          <w:sz w:val="24"/>
          <w:szCs w:val="24"/>
          <w:highlight w:val="none"/>
        </w:rPr>
        <w:t xml:space="preserve">4.4.1 </w:t>
      </w:r>
      <w:r>
        <w:rPr>
          <w:color w:val="auto"/>
          <w:kern w:val="0"/>
          <w:sz w:val="24"/>
          <w:szCs w:val="24"/>
          <w:highlight w:val="none"/>
        </w:rPr>
        <w:t>工程隐蔽部位经承包人自检确认具备覆盖条件的，</w:t>
      </w:r>
      <w:r>
        <w:rPr>
          <w:color w:val="auto"/>
          <w:sz w:val="24"/>
          <w:szCs w:val="24"/>
          <w:highlight w:val="none"/>
        </w:rPr>
        <w:t>承包人提前</w:t>
      </w:r>
      <w:r>
        <w:rPr>
          <w:rFonts w:hint="eastAsia"/>
          <w:color w:val="auto"/>
          <w:sz w:val="24"/>
          <w:szCs w:val="24"/>
          <w:highlight w:val="none"/>
          <w:u w:val="single"/>
        </w:rPr>
        <w:t xml:space="preserve"> </w:t>
      </w:r>
      <w:r>
        <w:rPr>
          <w:rFonts w:hint="eastAsia"/>
          <w:bCs/>
          <w:color w:val="auto"/>
          <w:sz w:val="24"/>
          <w:szCs w:val="24"/>
          <w:highlight w:val="none"/>
          <w:u w:val="single"/>
        </w:rPr>
        <w:t>48</w:t>
      </w:r>
      <w:r>
        <w:rPr>
          <w:bCs/>
          <w:color w:val="auto"/>
          <w:sz w:val="24"/>
          <w:szCs w:val="24"/>
          <w:highlight w:val="none"/>
          <w:u w:val="single"/>
        </w:rPr>
        <w:t>小时</w:t>
      </w:r>
      <w:r>
        <w:rPr>
          <w:rFonts w:hint="eastAsia"/>
          <w:bCs/>
          <w:color w:val="auto"/>
          <w:sz w:val="24"/>
          <w:szCs w:val="24"/>
          <w:highlight w:val="none"/>
          <w:u w:val="single"/>
        </w:rPr>
        <w:t xml:space="preserve"> </w:t>
      </w:r>
      <w:r>
        <w:rPr>
          <w:color w:val="auto"/>
          <w:sz w:val="24"/>
          <w:szCs w:val="24"/>
          <w:highlight w:val="none"/>
        </w:rPr>
        <w:t>通知</w:t>
      </w:r>
      <w:r>
        <w:rPr>
          <w:rFonts w:hint="eastAsia"/>
          <w:color w:val="auto"/>
          <w:sz w:val="24"/>
          <w:szCs w:val="24"/>
          <w:highlight w:val="none"/>
        </w:rPr>
        <w:t>发包人</w:t>
      </w:r>
      <w:r>
        <w:rPr>
          <w:color w:val="auto"/>
          <w:sz w:val="24"/>
          <w:szCs w:val="24"/>
          <w:highlight w:val="none"/>
        </w:rPr>
        <w:t>检查</w:t>
      </w:r>
      <w:r>
        <w:rPr>
          <w:rFonts w:hint="eastAsia"/>
          <w:color w:val="auto"/>
          <w:sz w:val="24"/>
          <w:szCs w:val="24"/>
          <w:highlight w:val="none"/>
        </w:rPr>
        <w:t>。</w:t>
      </w:r>
      <w:r>
        <w:rPr>
          <w:color w:val="auto"/>
          <w:kern w:val="0"/>
          <w:sz w:val="24"/>
          <w:szCs w:val="24"/>
          <w:highlight w:val="none"/>
        </w:rPr>
        <w:t>经</w:t>
      </w:r>
      <w:r>
        <w:rPr>
          <w:rFonts w:hint="eastAsia"/>
          <w:color w:val="auto"/>
          <w:kern w:val="0"/>
          <w:sz w:val="24"/>
          <w:szCs w:val="24"/>
          <w:highlight w:val="none"/>
        </w:rPr>
        <w:t>发包人检</w:t>
      </w:r>
      <w:r>
        <w:rPr>
          <w:color w:val="auto"/>
          <w:kern w:val="0"/>
          <w:sz w:val="24"/>
          <w:szCs w:val="24"/>
          <w:highlight w:val="none"/>
        </w:rPr>
        <w:t>查确认质量符合隐蔽要求，并在验收记录上签字后，承包人才能进行覆盖。经</w:t>
      </w:r>
      <w:r>
        <w:rPr>
          <w:rFonts w:hint="eastAsia"/>
          <w:color w:val="auto"/>
          <w:kern w:val="0"/>
          <w:sz w:val="24"/>
          <w:szCs w:val="24"/>
          <w:highlight w:val="none"/>
        </w:rPr>
        <w:t>发包人</w:t>
      </w:r>
      <w:r>
        <w:rPr>
          <w:color w:val="auto"/>
          <w:kern w:val="0"/>
          <w:sz w:val="24"/>
          <w:szCs w:val="24"/>
          <w:highlight w:val="none"/>
        </w:rPr>
        <w:t>检查质量不合格的，承包人应在监理人指示的时间内完成修复，并由</w:t>
      </w:r>
      <w:r>
        <w:rPr>
          <w:rFonts w:hint="eastAsia"/>
          <w:color w:val="auto"/>
          <w:kern w:val="0"/>
          <w:sz w:val="24"/>
          <w:szCs w:val="24"/>
          <w:highlight w:val="none"/>
        </w:rPr>
        <w:t>发包人</w:t>
      </w:r>
      <w:r>
        <w:rPr>
          <w:color w:val="auto"/>
          <w:kern w:val="0"/>
          <w:sz w:val="24"/>
          <w:szCs w:val="24"/>
          <w:highlight w:val="none"/>
        </w:rPr>
        <w:t>重新检查，由此增加的费用和（或）延误的工期由承包人承担。</w:t>
      </w:r>
    </w:p>
    <w:p w14:paraId="7E5B5850">
      <w:pPr>
        <w:spacing w:line="360" w:lineRule="auto"/>
        <w:ind w:firstLine="480" w:firstLineChars="200"/>
        <w:rPr>
          <w:rFonts w:ascii="Times New Roman" w:hAnsi="Times New Roman"/>
          <w:color w:val="auto"/>
          <w:sz w:val="24"/>
          <w:szCs w:val="24"/>
          <w:highlight w:val="none"/>
        </w:rPr>
      </w:pPr>
      <w:r>
        <w:rPr>
          <w:rFonts w:hint="eastAsia" w:ascii="Times New Roman" w:hAnsi="Times New Roman"/>
          <w:color w:val="auto"/>
          <w:kern w:val="0"/>
          <w:sz w:val="24"/>
          <w:szCs w:val="24"/>
          <w:highlight w:val="none"/>
        </w:rPr>
        <w:t xml:space="preserve">4.4.2 </w:t>
      </w:r>
      <w:r>
        <w:rPr>
          <w:rFonts w:ascii="Times New Roman" w:hAnsi="Times New Roman"/>
          <w:color w:val="auto"/>
          <w:kern w:val="0"/>
          <w:sz w:val="24"/>
          <w:szCs w:val="24"/>
          <w:highlight w:val="none"/>
        </w:rPr>
        <w:t>承包人未通知</w:t>
      </w:r>
      <w:r>
        <w:rPr>
          <w:rFonts w:hint="eastAsia" w:ascii="Times New Roman" w:hAnsi="Times New Roman"/>
          <w:color w:val="auto"/>
          <w:kern w:val="0"/>
          <w:sz w:val="24"/>
          <w:szCs w:val="24"/>
          <w:highlight w:val="none"/>
        </w:rPr>
        <w:t>发包人</w:t>
      </w:r>
      <w:r>
        <w:rPr>
          <w:rFonts w:ascii="Times New Roman" w:hAnsi="Times New Roman"/>
          <w:color w:val="auto"/>
          <w:kern w:val="0"/>
          <w:sz w:val="24"/>
          <w:szCs w:val="24"/>
          <w:highlight w:val="none"/>
        </w:rPr>
        <w:t>到场检查，私自将工程隐蔽部位覆盖的，</w:t>
      </w:r>
      <w:r>
        <w:rPr>
          <w:rFonts w:hint="eastAsia" w:ascii="Times New Roman" w:hAnsi="Times New Roman"/>
          <w:color w:val="auto"/>
          <w:kern w:val="0"/>
          <w:sz w:val="24"/>
          <w:szCs w:val="24"/>
          <w:highlight w:val="none"/>
        </w:rPr>
        <w:t>发包人</w:t>
      </w:r>
      <w:r>
        <w:rPr>
          <w:rFonts w:ascii="Times New Roman" w:hAnsi="Times New Roman"/>
          <w:color w:val="auto"/>
          <w:kern w:val="0"/>
          <w:sz w:val="24"/>
          <w:szCs w:val="24"/>
          <w:highlight w:val="none"/>
        </w:rPr>
        <w:t>有权指示承包人钻孔探测或揭开检查，无论工程隐蔽部位质量是否合格，由此增加的费用和（或）延误的工期均由承包人承担。</w:t>
      </w:r>
    </w:p>
    <w:p w14:paraId="6A829E50">
      <w:pPr>
        <w:pStyle w:val="6"/>
        <w:spacing w:before="0" w:after="0" w:line="360" w:lineRule="auto"/>
        <w:ind w:firstLine="236" w:firstLineChars="98"/>
        <w:rPr>
          <w:color w:val="auto"/>
          <w:kern w:val="0"/>
          <w:highlight w:val="none"/>
        </w:rPr>
      </w:pPr>
      <w:bookmarkStart w:id="203" w:name="_Toc351203536"/>
      <w:bookmarkStart w:id="204" w:name="_Toc337558762"/>
      <w:r>
        <w:rPr>
          <w:rFonts w:ascii="Times New Roman" w:hAnsi="Times New Roman"/>
          <w:color w:val="auto"/>
          <w:sz w:val="24"/>
          <w:szCs w:val="24"/>
          <w:highlight w:val="none"/>
        </w:rPr>
        <w:t>4.5</w:t>
      </w:r>
      <w:r>
        <w:rPr>
          <w:rFonts w:hint="eastAsia"/>
          <w:color w:val="auto"/>
          <w:highlight w:val="none"/>
        </w:rPr>
        <w:t xml:space="preserve"> </w:t>
      </w:r>
      <w:bookmarkEnd w:id="203"/>
      <w:bookmarkEnd w:id="204"/>
      <w:r>
        <w:rPr>
          <w:b w:val="0"/>
          <w:color w:val="auto"/>
          <w:kern w:val="0"/>
          <w:sz w:val="24"/>
          <w:szCs w:val="24"/>
          <w:highlight w:val="none"/>
        </w:rPr>
        <w:t>因承包人原因造成工程不合格的，发包人有权随时要求承包人采取补救措施，直至达到合同要求的质量标准，由此增加的费用和（或）延误的工期由承包人承担。</w:t>
      </w:r>
      <w:r>
        <w:rPr>
          <w:color w:val="auto"/>
          <w:kern w:val="0"/>
          <w:sz w:val="24"/>
          <w:szCs w:val="24"/>
          <w:highlight w:val="none"/>
        </w:rPr>
        <w:t xml:space="preserve"> </w:t>
      </w:r>
    </w:p>
    <w:p w14:paraId="13650670">
      <w:pPr>
        <w:autoSpaceDE w:val="0"/>
        <w:autoSpaceDN w:val="0"/>
        <w:adjustRightInd w:val="0"/>
        <w:spacing w:line="360" w:lineRule="auto"/>
        <w:ind w:firstLine="236" w:firstLineChars="98"/>
        <w:rPr>
          <w:rFonts w:ascii="Times New Roman" w:hAnsi="Times New Roman"/>
          <w:color w:val="auto"/>
          <w:kern w:val="0"/>
          <w:sz w:val="24"/>
          <w:szCs w:val="24"/>
          <w:highlight w:val="none"/>
        </w:rPr>
      </w:pPr>
      <w:bookmarkStart w:id="205" w:name="_Toc351203537"/>
      <w:r>
        <w:rPr>
          <w:rFonts w:hint="eastAsia" w:ascii="Times New Roman" w:hAnsi="Times New Roman"/>
          <w:b/>
          <w:color w:val="auto"/>
          <w:sz w:val="24"/>
          <w:szCs w:val="24"/>
          <w:highlight w:val="none"/>
        </w:rPr>
        <w:t>4.6</w:t>
      </w:r>
      <w:r>
        <w:rPr>
          <w:rFonts w:hint="eastAsia" w:ascii="Times New Roman" w:hAnsi="Times New Roman"/>
          <w:color w:val="auto"/>
          <w:sz w:val="24"/>
          <w:szCs w:val="24"/>
          <w:highlight w:val="none"/>
        </w:rPr>
        <w:t xml:space="preserve"> </w:t>
      </w:r>
      <w:r>
        <w:rPr>
          <w:rFonts w:ascii="Times New Roman" w:hAnsi="Times New Roman"/>
          <w:color w:val="auto"/>
          <w:kern w:val="0"/>
          <w:sz w:val="24"/>
          <w:szCs w:val="24"/>
          <w:highlight w:val="none"/>
        </w:rPr>
        <w:t>合同当事人对工程质量有争议的，由双方协商确定的工程质量检测机构鉴定，由此产生的费用及因此造成的损失，由责任方承担。</w:t>
      </w:r>
    </w:p>
    <w:bookmarkEnd w:id="205"/>
    <w:p w14:paraId="24168D4F">
      <w:pPr>
        <w:pStyle w:val="247"/>
        <w:spacing w:beforeLines="100" w:after="0" w:line="360" w:lineRule="auto"/>
        <w:rPr>
          <w:rFonts w:hint="eastAsia" w:ascii="Times New Roman" w:hAnsi="Times New Roman"/>
          <w:color w:val="auto"/>
          <w:sz w:val="24"/>
          <w:szCs w:val="24"/>
          <w:highlight w:val="none"/>
        </w:rPr>
      </w:pPr>
      <w:bookmarkStart w:id="206" w:name="_Toc373227719"/>
      <w:bookmarkStart w:id="207" w:name="_Toc351203638"/>
      <w:bookmarkStart w:id="208" w:name="_Toc389065285"/>
      <w:bookmarkStart w:id="209" w:name="_Toc467599580"/>
      <w:bookmarkStart w:id="210" w:name="_Toc373478366"/>
      <w:bookmarkStart w:id="211" w:name="_Toc297123496"/>
      <w:bookmarkStart w:id="212" w:name="_Toc300934949"/>
      <w:bookmarkStart w:id="213" w:name="_Toc312677997"/>
      <w:bookmarkStart w:id="214" w:name="_Toc304295527"/>
      <w:bookmarkStart w:id="215" w:name="_Toc318581164"/>
      <w:bookmarkStart w:id="216" w:name="_Toc297216155"/>
      <w:bookmarkStart w:id="217" w:name="_Toc303539106"/>
      <w:bookmarkStart w:id="218" w:name="_Toc337558763"/>
      <w:r>
        <w:rPr>
          <w:rFonts w:hint="eastAsia" w:ascii="Times New Roman" w:hAnsi="Times New Roman"/>
          <w:color w:val="auto"/>
          <w:sz w:val="24"/>
          <w:szCs w:val="24"/>
          <w:highlight w:val="none"/>
        </w:rPr>
        <w:t>5</w:t>
      </w:r>
      <w:r>
        <w:rPr>
          <w:rFonts w:ascii="Times New Roman" w:hAnsi="Times New Roman"/>
          <w:color w:val="auto"/>
          <w:sz w:val="24"/>
          <w:szCs w:val="24"/>
          <w:highlight w:val="none"/>
        </w:rPr>
        <w:t xml:space="preserve">. </w:t>
      </w:r>
      <w:r>
        <w:rPr>
          <w:rFonts w:ascii="Times New Roman" w:hAnsi="宋体"/>
          <w:color w:val="auto"/>
          <w:sz w:val="24"/>
          <w:szCs w:val="24"/>
          <w:highlight w:val="none"/>
        </w:rPr>
        <w:t>安全文明施工</w:t>
      </w:r>
      <w:r>
        <w:rPr>
          <w:rFonts w:hint="eastAsia" w:ascii="Times New Roman" w:hAnsi="宋体"/>
          <w:color w:val="auto"/>
          <w:sz w:val="24"/>
          <w:szCs w:val="24"/>
          <w:highlight w:val="none"/>
        </w:rPr>
        <w:t>、</w:t>
      </w:r>
      <w:r>
        <w:rPr>
          <w:rFonts w:ascii="Times New Roman" w:hAnsi="宋体"/>
          <w:color w:val="auto"/>
          <w:sz w:val="24"/>
          <w:szCs w:val="24"/>
          <w:highlight w:val="none"/>
        </w:rPr>
        <w:t>环境保护</w:t>
      </w:r>
      <w:bookmarkEnd w:id="206"/>
      <w:bookmarkEnd w:id="207"/>
      <w:bookmarkEnd w:id="208"/>
      <w:bookmarkEnd w:id="209"/>
      <w:bookmarkEnd w:id="210"/>
    </w:p>
    <w:p w14:paraId="06A1602D">
      <w:pPr>
        <w:pStyle w:val="248"/>
        <w:spacing w:before="0" w:after="0" w:line="360" w:lineRule="auto"/>
        <w:ind w:firstLine="236" w:firstLineChars="98"/>
        <w:rPr>
          <w:color w:val="auto"/>
          <w:sz w:val="24"/>
          <w:szCs w:val="24"/>
          <w:highlight w:val="none"/>
        </w:rPr>
      </w:pPr>
      <w:bookmarkStart w:id="219" w:name="_Toc373478367"/>
      <w:bookmarkStart w:id="220" w:name="_Toc389065286"/>
      <w:bookmarkStart w:id="221" w:name="_Toc467599581"/>
      <w:bookmarkStart w:id="222" w:name="_Toc373227720"/>
      <w:r>
        <w:rPr>
          <w:rFonts w:hint="eastAsia"/>
          <w:color w:val="auto"/>
          <w:sz w:val="24"/>
          <w:szCs w:val="24"/>
          <w:highlight w:val="none"/>
        </w:rPr>
        <w:t>5</w:t>
      </w:r>
      <w:r>
        <w:rPr>
          <w:color w:val="auto"/>
          <w:sz w:val="24"/>
          <w:szCs w:val="24"/>
          <w:highlight w:val="none"/>
        </w:rPr>
        <w:t xml:space="preserve">.1 </w:t>
      </w:r>
      <w:r>
        <w:rPr>
          <w:rFonts w:hAnsi="宋体"/>
          <w:color w:val="auto"/>
          <w:sz w:val="24"/>
          <w:szCs w:val="24"/>
          <w:highlight w:val="none"/>
        </w:rPr>
        <w:t>安全文明施工</w:t>
      </w:r>
      <w:bookmarkEnd w:id="219"/>
      <w:bookmarkEnd w:id="220"/>
      <w:bookmarkEnd w:id="221"/>
      <w:bookmarkEnd w:id="222"/>
    </w:p>
    <w:p w14:paraId="2ADD610C">
      <w:pPr>
        <w:pStyle w:val="232"/>
        <w:spacing w:line="360" w:lineRule="auto"/>
        <w:ind w:firstLine="420"/>
        <w:rPr>
          <w:rFonts w:ascii="Times New Roman" w:hAnsi="Times New Roman"/>
          <w:color w:val="auto"/>
          <w:sz w:val="24"/>
          <w:szCs w:val="24"/>
          <w:highlight w:val="none"/>
        </w:rPr>
      </w:pPr>
      <w:r>
        <w:rPr>
          <w:rFonts w:hint="eastAsia" w:ascii="Times New Roman" w:hAnsi="Times New Roman"/>
          <w:color w:val="auto"/>
          <w:sz w:val="24"/>
          <w:szCs w:val="24"/>
          <w:highlight w:val="none"/>
        </w:rPr>
        <w:t>5</w:t>
      </w:r>
      <w:r>
        <w:rPr>
          <w:rFonts w:ascii="Times New Roman" w:hAnsi="Times New Roman"/>
          <w:color w:val="auto"/>
          <w:sz w:val="24"/>
          <w:szCs w:val="24"/>
          <w:highlight w:val="none"/>
        </w:rPr>
        <w:t>.1.1</w:t>
      </w:r>
      <w:r>
        <w:rPr>
          <w:rFonts w:ascii="Times New Roman" w:hAnsi="宋体"/>
          <w:color w:val="auto"/>
          <w:sz w:val="24"/>
          <w:szCs w:val="24"/>
          <w:highlight w:val="none"/>
        </w:rPr>
        <w:t>承包人应承担施工安全保卫工作及非夜间施工照明的责任，承包人应采取一切合理的预防措施，防止人员伤亡、财产损失事故。费用由承包人承担。承包人生活设施及施工场应自费配备消防设备，防止火灾发生。承包人</w:t>
      </w:r>
      <w:r>
        <w:rPr>
          <w:rFonts w:hint="eastAsia" w:ascii="Times New Roman" w:hAnsi="宋体"/>
          <w:color w:val="auto"/>
          <w:sz w:val="24"/>
          <w:szCs w:val="24"/>
          <w:highlight w:val="none"/>
        </w:rPr>
        <w:t>应</w:t>
      </w:r>
      <w:r>
        <w:rPr>
          <w:rFonts w:ascii="Times New Roman" w:hAnsi="宋体"/>
          <w:color w:val="auto"/>
          <w:sz w:val="24"/>
          <w:szCs w:val="24"/>
          <w:highlight w:val="none"/>
        </w:rPr>
        <w:t>承担因承包人责任而引发的任何事故。</w:t>
      </w:r>
    </w:p>
    <w:p w14:paraId="11BFC20A">
      <w:pPr>
        <w:pStyle w:val="230"/>
        <w:spacing w:line="360" w:lineRule="auto"/>
        <w:ind w:firstLine="480" w:firstLineChars="200"/>
        <w:rPr>
          <w:color w:val="auto"/>
          <w:sz w:val="24"/>
          <w:szCs w:val="24"/>
          <w:highlight w:val="none"/>
        </w:rPr>
      </w:pPr>
      <w:r>
        <w:rPr>
          <w:rFonts w:hint="eastAsia"/>
          <w:color w:val="auto"/>
          <w:sz w:val="24"/>
          <w:szCs w:val="24"/>
          <w:highlight w:val="none"/>
        </w:rPr>
        <w:t>5</w:t>
      </w:r>
      <w:r>
        <w:rPr>
          <w:color w:val="auto"/>
          <w:sz w:val="24"/>
          <w:szCs w:val="24"/>
          <w:highlight w:val="none"/>
        </w:rPr>
        <w:t xml:space="preserve">.1.2 </w:t>
      </w:r>
      <w:r>
        <w:rPr>
          <w:rFonts w:hAnsi="宋体"/>
          <w:color w:val="auto"/>
          <w:sz w:val="24"/>
          <w:szCs w:val="24"/>
          <w:highlight w:val="none"/>
        </w:rPr>
        <w:t>文明施工</w:t>
      </w:r>
    </w:p>
    <w:p w14:paraId="6A5D37C2">
      <w:pPr>
        <w:pStyle w:val="230"/>
        <w:spacing w:line="360" w:lineRule="auto"/>
        <w:ind w:firstLine="480" w:firstLineChars="200"/>
        <w:rPr>
          <w:color w:val="auto"/>
          <w:sz w:val="24"/>
          <w:szCs w:val="24"/>
          <w:highlight w:val="none"/>
        </w:rPr>
      </w:pPr>
      <w:r>
        <w:rPr>
          <w:rFonts w:hAnsi="宋体"/>
          <w:color w:val="auto"/>
          <w:sz w:val="24"/>
          <w:szCs w:val="24"/>
          <w:highlight w:val="none"/>
        </w:rPr>
        <w:t>合同当事人对文明施工的要求：严格执行《大气污染防治法》（主席令第三十一号）、《南宁市建设工程质量和安全生产管理办法》（南宁市政府令第</w:t>
      </w:r>
      <w:r>
        <w:rPr>
          <w:color w:val="auto"/>
          <w:sz w:val="24"/>
          <w:szCs w:val="24"/>
          <w:highlight w:val="none"/>
        </w:rPr>
        <w:t>46</w:t>
      </w:r>
      <w:r>
        <w:rPr>
          <w:rFonts w:hAnsi="宋体"/>
          <w:color w:val="auto"/>
          <w:sz w:val="24"/>
          <w:szCs w:val="24"/>
          <w:highlight w:val="none"/>
        </w:rPr>
        <w:t>号）、《关于推进建筑业改革发展提升工程治理水平的若干意见》（南府规</w:t>
      </w:r>
      <w:r>
        <w:rPr>
          <w:rFonts w:hint="eastAsia"/>
          <w:color w:val="auto"/>
          <w:sz w:val="24"/>
          <w:szCs w:val="24"/>
          <w:highlight w:val="none"/>
        </w:rPr>
        <w:t>〔</w:t>
      </w:r>
      <w:r>
        <w:rPr>
          <w:color w:val="auto"/>
          <w:sz w:val="24"/>
          <w:szCs w:val="24"/>
          <w:highlight w:val="none"/>
        </w:rPr>
        <w:t>2016</w:t>
      </w:r>
      <w:r>
        <w:rPr>
          <w:rFonts w:hint="eastAsia"/>
          <w:color w:val="auto"/>
          <w:sz w:val="24"/>
          <w:szCs w:val="24"/>
          <w:highlight w:val="none"/>
        </w:rPr>
        <w:t>〕</w:t>
      </w:r>
      <w:r>
        <w:rPr>
          <w:color w:val="auto"/>
          <w:sz w:val="24"/>
          <w:szCs w:val="24"/>
          <w:highlight w:val="none"/>
        </w:rPr>
        <w:t>24</w:t>
      </w:r>
      <w:r>
        <w:rPr>
          <w:rFonts w:hAnsi="宋体"/>
          <w:color w:val="auto"/>
          <w:sz w:val="24"/>
          <w:szCs w:val="24"/>
          <w:highlight w:val="none"/>
        </w:rPr>
        <w:t>号）、《南宁市土方作业文明施工工作导则》、《南宁市建设工程质量安全标准化图集》、《广西壮族自治区建设工程安全文明施工费使用管理细则》（桂建质</w:t>
      </w:r>
      <w:r>
        <w:rPr>
          <w:rFonts w:hint="eastAsia" w:hAnsi="宋体"/>
          <w:color w:val="auto"/>
          <w:sz w:val="24"/>
          <w:szCs w:val="24"/>
          <w:highlight w:val="none"/>
        </w:rPr>
        <w:t>〔</w:t>
      </w:r>
      <w:r>
        <w:rPr>
          <w:color w:val="auto"/>
          <w:sz w:val="24"/>
          <w:szCs w:val="24"/>
          <w:highlight w:val="none"/>
        </w:rPr>
        <w:t>2015</w:t>
      </w:r>
      <w:r>
        <w:rPr>
          <w:rFonts w:hint="eastAsia" w:hAnsi="宋体"/>
          <w:color w:val="auto"/>
          <w:sz w:val="24"/>
          <w:szCs w:val="24"/>
          <w:highlight w:val="none"/>
        </w:rPr>
        <w:t>〕</w:t>
      </w:r>
      <w:r>
        <w:rPr>
          <w:color w:val="auto"/>
          <w:sz w:val="24"/>
          <w:szCs w:val="24"/>
          <w:highlight w:val="none"/>
        </w:rPr>
        <w:t>16</w:t>
      </w:r>
      <w:r>
        <w:rPr>
          <w:rFonts w:hAnsi="宋体"/>
          <w:color w:val="auto"/>
          <w:sz w:val="24"/>
          <w:szCs w:val="24"/>
          <w:highlight w:val="none"/>
        </w:rPr>
        <w:t>号）、《南宁市建设工程安全防护、文明施工措施费用管理规定》的有关规定，必须与经城管部门及行业协会核查建立的合法合规运输企业名录当中的企业签订运输合同，保证车辆受管控、服务够专业、利益分配较合理；使用符合密闭规定的合法车辆进行散体物料（建筑渣土、垃圾、砂石等）的运输，同时与辖区卫生防疫、环卫管理部门或有合法资质资格的企业签订病媒生物消杀协议、生活垃圾清运协议、在线远程监控扬尘监测协议，采取道路硬化、裸土覆盖、洗车出门、保洁路口、在线监测、抑尘喷淋等有效措施，确保建设工程各项安全防护、文明施工措施及其费用在工地一线按标准落实到位。</w:t>
      </w:r>
    </w:p>
    <w:p w14:paraId="186A8B30">
      <w:pPr>
        <w:pStyle w:val="248"/>
        <w:spacing w:before="0" w:after="0" w:line="360" w:lineRule="auto"/>
        <w:ind w:firstLine="236" w:firstLineChars="98"/>
        <w:rPr>
          <w:color w:val="auto"/>
          <w:sz w:val="24"/>
          <w:szCs w:val="24"/>
          <w:highlight w:val="none"/>
        </w:rPr>
      </w:pPr>
      <w:bookmarkStart w:id="223" w:name="_Toc373478368"/>
      <w:bookmarkStart w:id="224" w:name="_Toc467599582"/>
      <w:bookmarkStart w:id="225" w:name="_Toc373227721"/>
      <w:bookmarkStart w:id="226" w:name="_Toc389065287"/>
      <w:r>
        <w:rPr>
          <w:rFonts w:hint="eastAsia"/>
          <w:color w:val="auto"/>
          <w:sz w:val="24"/>
          <w:szCs w:val="24"/>
          <w:highlight w:val="none"/>
        </w:rPr>
        <w:t>5</w:t>
      </w:r>
      <w:r>
        <w:rPr>
          <w:color w:val="auto"/>
          <w:sz w:val="24"/>
          <w:szCs w:val="24"/>
          <w:highlight w:val="none"/>
        </w:rPr>
        <w:t>.</w:t>
      </w:r>
      <w:r>
        <w:rPr>
          <w:rFonts w:hint="eastAsia"/>
          <w:color w:val="auto"/>
          <w:sz w:val="24"/>
          <w:szCs w:val="24"/>
          <w:highlight w:val="none"/>
        </w:rPr>
        <w:t>2</w:t>
      </w:r>
      <w:r>
        <w:rPr>
          <w:color w:val="auto"/>
          <w:sz w:val="24"/>
          <w:szCs w:val="24"/>
          <w:highlight w:val="none"/>
        </w:rPr>
        <w:t xml:space="preserve"> </w:t>
      </w:r>
      <w:r>
        <w:rPr>
          <w:rFonts w:hAnsi="宋体"/>
          <w:color w:val="auto"/>
          <w:sz w:val="24"/>
          <w:szCs w:val="24"/>
          <w:highlight w:val="none"/>
        </w:rPr>
        <w:t>环境保护</w:t>
      </w:r>
      <w:bookmarkEnd w:id="223"/>
      <w:bookmarkEnd w:id="224"/>
      <w:bookmarkEnd w:id="225"/>
      <w:bookmarkEnd w:id="226"/>
    </w:p>
    <w:bookmarkEnd w:id="211"/>
    <w:bookmarkEnd w:id="212"/>
    <w:bookmarkEnd w:id="213"/>
    <w:bookmarkEnd w:id="214"/>
    <w:bookmarkEnd w:id="215"/>
    <w:bookmarkEnd w:id="216"/>
    <w:bookmarkEnd w:id="217"/>
    <w:p w14:paraId="1CBE3075">
      <w:pPr>
        <w:autoSpaceDE w:val="0"/>
        <w:autoSpaceDN w:val="0"/>
        <w:adjustRightInd w:val="0"/>
        <w:spacing w:line="360" w:lineRule="auto"/>
        <w:ind w:firstLine="480" w:firstLineChars="200"/>
        <w:rPr>
          <w:rFonts w:hint="eastAsia" w:ascii="Times New Roman" w:hAnsi="Times New Roman"/>
          <w:color w:val="auto"/>
          <w:kern w:val="0"/>
          <w:sz w:val="24"/>
          <w:szCs w:val="24"/>
          <w:highlight w:val="none"/>
        </w:rPr>
      </w:pPr>
      <w:r>
        <w:rPr>
          <w:rFonts w:ascii="Times New Roman" w:hAnsi="宋体"/>
          <w:color w:val="auto"/>
          <w:kern w:val="0"/>
          <w:sz w:val="24"/>
          <w:szCs w:val="24"/>
          <w:highlight w:val="none"/>
        </w:rPr>
        <w:t>承包人应在施工组织设计</w:t>
      </w:r>
      <w:r>
        <w:rPr>
          <w:rFonts w:hint="eastAsia" w:ascii="Times New Roman" w:hAnsi="宋体"/>
          <w:color w:val="auto"/>
          <w:kern w:val="0"/>
          <w:sz w:val="24"/>
          <w:szCs w:val="24"/>
          <w:highlight w:val="none"/>
        </w:rPr>
        <w:t>或施工方案</w:t>
      </w:r>
      <w:r>
        <w:rPr>
          <w:rFonts w:ascii="Times New Roman" w:hAnsi="宋体"/>
          <w:color w:val="auto"/>
          <w:kern w:val="0"/>
          <w:sz w:val="24"/>
          <w:szCs w:val="24"/>
          <w:highlight w:val="none"/>
        </w:rPr>
        <w:t>中列明环境保护的具体措施。在合同履行期间，承包人应采取合理措施保护施工现场环境。对施工作业过程中可能引起的大气、水、噪音以及固体废物污染采取具体可行的防范措施</w:t>
      </w:r>
      <w:r>
        <w:rPr>
          <w:rFonts w:hint="eastAsia" w:ascii="Times New Roman" w:hAnsi="宋体"/>
          <w:color w:val="auto"/>
          <w:kern w:val="0"/>
          <w:sz w:val="24"/>
          <w:szCs w:val="24"/>
          <w:highlight w:val="none"/>
        </w:rPr>
        <w:t>并办理有关审批</w:t>
      </w:r>
      <w:r>
        <w:rPr>
          <w:rFonts w:hAnsi="宋体"/>
          <w:color w:val="auto"/>
          <w:sz w:val="24"/>
          <w:szCs w:val="24"/>
          <w:highlight w:val="none"/>
        </w:rPr>
        <w:t>手续，费用由承包人负责。</w:t>
      </w:r>
    </w:p>
    <w:p w14:paraId="4214B9D1">
      <w:pPr>
        <w:autoSpaceDE w:val="0"/>
        <w:autoSpaceDN w:val="0"/>
        <w:adjustRightInd w:val="0"/>
        <w:spacing w:line="360" w:lineRule="auto"/>
        <w:ind w:firstLine="480" w:firstLineChars="200"/>
        <w:rPr>
          <w:rFonts w:hint="eastAsia" w:ascii="Times New Roman" w:hAnsi="宋体"/>
          <w:color w:val="auto"/>
          <w:kern w:val="0"/>
          <w:sz w:val="24"/>
          <w:szCs w:val="24"/>
          <w:highlight w:val="none"/>
        </w:rPr>
      </w:pPr>
      <w:r>
        <w:rPr>
          <w:rFonts w:ascii="Times New Roman" w:hAnsi="宋体"/>
          <w:color w:val="auto"/>
          <w:kern w:val="0"/>
          <w:sz w:val="24"/>
          <w:szCs w:val="24"/>
          <w:highlight w:val="none"/>
        </w:rPr>
        <w:t>承包人应当承担因其原因引起的环境污染侵权损害赔偿责任，因上述环境污染引起纠纷而导致暂停施工的，由此增加的费用和（或）延误的工期由承包人承担。</w:t>
      </w:r>
    </w:p>
    <w:bookmarkEnd w:id="218"/>
    <w:p w14:paraId="0A91653F">
      <w:pPr>
        <w:pStyle w:val="247"/>
        <w:spacing w:beforeLines="100" w:after="0" w:line="360" w:lineRule="auto"/>
        <w:rPr>
          <w:rFonts w:ascii="Times New Roman" w:hAnsi="Times New Roman"/>
          <w:color w:val="auto"/>
          <w:sz w:val="24"/>
          <w:szCs w:val="24"/>
          <w:highlight w:val="none"/>
        </w:rPr>
      </w:pPr>
      <w:bookmarkStart w:id="227" w:name="_Toc389065288"/>
      <w:bookmarkStart w:id="228" w:name="_Toc373478369"/>
      <w:bookmarkStart w:id="229" w:name="_Toc373227722"/>
      <w:bookmarkStart w:id="230" w:name="_Toc467599583"/>
      <w:bookmarkStart w:id="231" w:name="_Toc351203639"/>
      <w:bookmarkStart w:id="232" w:name="_Toc337558767"/>
      <w:r>
        <w:rPr>
          <w:rFonts w:hint="eastAsia" w:ascii="Times New Roman" w:hAnsi="Times New Roman"/>
          <w:color w:val="auto"/>
          <w:sz w:val="24"/>
          <w:szCs w:val="24"/>
          <w:highlight w:val="none"/>
        </w:rPr>
        <w:t>6</w:t>
      </w:r>
      <w:r>
        <w:rPr>
          <w:rFonts w:ascii="Times New Roman" w:hAnsi="Times New Roman"/>
          <w:color w:val="auto"/>
          <w:sz w:val="24"/>
          <w:szCs w:val="24"/>
          <w:highlight w:val="none"/>
        </w:rPr>
        <w:t xml:space="preserve">. </w:t>
      </w:r>
      <w:r>
        <w:rPr>
          <w:rFonts w:ascii="Times New Roman" w:hAnsi="宋体"/>
          <w:color w:val="auto"/>
          <w:sz w:val="24"/>
          <w:szCs w:val="24"/>
          <w:highlight w:val="none"/>
        </w:rPr>
        <w:t>工期和进度</w:t>
      </w:r>
      <w:bookmarkEnd w:id="227"/>
      <w:bookmarkEnd w:id="228"/>
      <w:bookmarkEnd w:id="229"/>
      <w:bookmarkEnd w:id="230"/>
      <w:bookmarkEnd w:id="231"/>
    </w:p>
    <w:p w14:paraId="2D8B0C47">
      <w:pPr>
        <w:pStyle w:val="248"/>
        <w:spacing w:before="0" w:after="0" w:line="360" w:lineRule="auto"/>
        <w:ind w:firstLine="236" w:firstLineChars="98"/>
        <w:rPr>
          <w:color w:val="auto"/>
          <w:sz w:val="24"/>
          <w:szCs w:val="24"/>
          <w:highlight w:val="none"/>
        </w:rPr>
      </w:pPr>
      <w:bookmarkStart w:id="233" w:name="_Toc373478370"/>
      <w:bookmarkStart w:id="234" w:name="_Toc389065289"/>
      <w:bookmarkStart w:id="235" w:name="_Toc467599584"/>
      <w:bookmarkStart w:id="236" w:name="_Toc373227723"/>
      <w:r>
        <w:rPr>
          <w:rFonts w:hint="eastAsia"/>
          <w:color w:val="auto"/>
          <w:sz w:val="24"/>
          <w:szCs w:val="24"/>
          <w:highlight w:val="none"/>
        </w:rPr>
        <w:t>6</w:t>
      </w:r>
      <w:r>
        <w:rPr>
          <w:color w:val="auto"/>
          <w:sz w:val="24"/>
          <w:szCs w:val="24"/>
          <w:highlight w:val="none"/>
        </w:rPr>
        <w:t xml:space="preserve">.1 </w:t>
      </w:r>
      <w:r>
        <w:rPr>
          <w:rFonts w:hAnsi="宋体"/>
          <w:color w:val="auto"/>
          <w:sz w:val="24"/>
          <w:szCs w:val="24"/>
          <w:highlight w:val="none"/>
        </w:rPr>
        <w:t>施工组织设计</w:t>
      </w:r>
      <w:bookmarkEnd w:id="233"/>
      <w:bookmarkEnd w:id="234"/>
      <w:bookmarkEnd w:id="235"/>
      <w:bookmarkEnd w:id="236"/>
    </w:p>
    <w:p w14:paraId="59227ADF">
      <w:pPr>
        <w:autoSpaceDE w:val="0"/>
        <w:autoSpaceDN w:val="0"/>
        <w:adjustRightInd w:val="0"/>
        <w:spacing w:line="360" w:lineRule="auto"/>
        <w:ind w:firstLine="480" w:firstLineChars="200"/>
        <w:rPr>
          <w:rFonts w:hint="eastAsia"/>
          <w:color w:val="auto"/>
          <w:kern w:val="0"/>
          <w:sz w:val="24"/>
          <w:szCs w:val="24"/>
          <w:highlight w:val="none"/>
        </w:rPr>
      </w:pPr>
      <w:bookmarkStart w:id="237" w:name="_Toc389065290"/>
      <w:bookmarkStart w:id="238" w:name="_Toc373227724"/>
      <w:bookmarkStart w:id="239" w:name="_Toc467599585"/>
      <w:bookmarkStart w:id="240" w:name="_Toc373478371"/>
      <w:r>
        <w:rPr>
          <w:rFonts w:ascii="Times New Roman" w:hAnsi="宋体"/>
          <w:color w:val="auto"/>
          <w:kern w:val="0"/>
          <w:sz w:val="24"/>
          <w:szCs w:val="24"/>
          <w:highlight w:val="none"/>
        </w:rPr>
        <w:t>施工组织设计</w:t>
      </w:r>
      <w:r>
        <w:rPr>
          <w:rFonts w:hint="eastAsia" w:ascii="Times New Roman" w:hAnsi="宋体"/>
          <w:color w:val="auto"/>
          <w:kern w:val="0"/>
          <w:sz w:val="24"/>
          <w:szCs w:val="24"/>
          <w:highlight w:val="none"/>
        </w:rPr>
        <w:t>或专项施工方案</w:t>
      </w:r>
      <w:r>
        <w:rPr>
          <w:rFonts w:ascii="Times New Roman" w:hAnsi="宋体"/>
          <w:color w:val="auto"/>
          <w:kern w:val="0"/>
          <w:sz w:val="24"/>
          <w:szCs w:val="24"/>
          <w:highlight w:val="none"/>
        </w:rPr>
        <w:t>的内容</w:t>
      </w:r>
      <w:r>
        <w:rPr>
          <w:rFonts w:hint="eastAsia" w:ascii="Times New Roman" w:hAnsi="宋体"/>
          <w:color w:val="auto"/>
          <w:kern w:val="0"/>
          <w:sz w:val="24"/>
          <w:szCs w:val="24"/>
          <w:highlight w:val="none"/>
        </w:rPr>
        <w:t>：</w:t>
      </w:r>
      <w:r>
        <w:rPr>
          <w:rFonts w:ascii="Times New Roman" w:hAnsi="宋体"/>
          <w:color w:val="auto"/>
          <w:kern w:val="0"/>
          <w:sz w:val="24"/>
          <w:szCs w:val="24"/>
          <w:highlight w:val="none"/>
        </w:rPr>
        <w:t>⑴施工方案；⑵施工进度计划和保证措施；⑶质量保证体系及措施</w:t>
      </w:r>
      <w:r>
        <w:rPr>
          <w:rFonts w:ascii="宋体" w:hAnsi="宋体"/>
          <w:color w:val="auto"/>
          <w:kern w:val="0"/>
          <w:sz w:val="24"/>
          <w:szCs w:val="24"/>
          <w:highlight w:val="none"/>
        </w:rPr>
        <w:t>；</w:t>
      </w:r>
      <w:r>
        <w:rPr>
          <w:rFonts w:hint="eastAsia" w:ascii="宋体" w:hAnsi="宋体"/>
          <w:color w:val="auto"/>
          <w:kern w:val="0"/>
          <w:sz w:val="24"/>
          <w:szCs w:val="24"/>
          <w:highlight w:val="none"/>
        </w:rPr>
        <w:t>⑷</w:t>
      </w:r>
      <w:r>
        <w:rPr>
          <w:rFonts w:ascii="Times New Roman" w:hAnsi="宋体"/>
          <w:color w:val="auto"/>
          <w:kern w:val="0"/>
          <w:sz w:val="24"/>
          <w:szCs w:val="24"/>
          <w:highlight w:val="none"/>
        </w:rPr>
        <w:t>安全生产、文明施工</w:t>
      </w:r>
      <w:r>
        <w:rPr>
          <w:rFonts w:hint="eastAsia" w:ascii="Times New Roman" w:hAnsi="宋体"/>
          <w:color w:val="auto"/>
          <w:kern w:val="0"/>
          <w:sz w:val="24"/>
          <w:szCs w:val="24"/>
          <w:highlight w:val="none"/>
        </w:rPr>
        <w:t>/</w:t>
      </w:r>
      <w:r>
        <w:rPr>
          <w:rFonts w:ascii="Times New Roman" w:hAnsi="宋体"/>
          <w:color w:val="auto"/>
          <w:kern w:val="0"/>
          <w:sz w:val="24"/>
          <w:szCs w:val="24"/>
          <w:highlight w:val="none"/>
        </w:rPr>
        <w:t>环境保护措施</w:t>
      </w:r>
      <w:r>
        <w:rPr>
          <w:rFonts w:ascii="宋体" w:hAnsi="宋体"/>
          <w:color w:val="auto"/>
          <w:kern w:val="0"/>
          <w:sz w:val="24"/>
          <w:szCs w:val="24"/>
          <w:highlight w:val="none"/>
        </w:rPr>
        <w:t>；</w:t>
      </w:r>
      <w:r>
        <w:rPr>
          <w:rFonts w:hint="eastAsia" w:ascii="宋体" w:hAnsi="宋体"/>
          <w:color w:val="auto"/>
          <w:kern w:val="0"/>
          <w:sz w:val="24"/>
          <w:szCs w:val="24"/>
          <w:highlight w:val="none"/>
        </w:rPr>
        <w:t>⑸</w:t>
      </w:r>
      <w:r>
        <w:rPr>
          <w:color w:val="auto"/>
          <w:kern w:val="0"/>
          <w:sz w:val="24"/>
          <w:szCs w:val="24"/>
          <w:highlight w:val="none"/>
        </w:rPr>
        <w:t>合同当事人约定的其他内容。</w:t>
      </w:r>
      <w:bookmarkEnd w:id="237"/>
      <w:bookmarkEnd w:id="238"/>
      <w:bookmarkEnd w:id="239"/>
      <w:bookmarkEnd w:id="240"/>
      <w:bookmarkStart w:id="241" w:name="_Toc373478372"/>
      <w:bookmarkStart w:id="242" w:name="_Toc373227725"/>
      <w:bookmarkStart w:id="243" w:name="_Toc389065291"/>
      <w:bookmarkStart w:id="244" w:name="_Toc467599586"/>
      <w:bookmarkStart w:id="245" w:name="_Toc297123514"/>
      <w:bookmarkStart w:id="246" w:name="_Toc303539123"/>
      <w:bookmarkStart w:id="247" w:name="_Toc297216173"/>
      <w:bookmarkStart w:id="248" w:name="_Toc300934966"/>
      <w:bookmarkStart w:id="249" w:name="_Toc312678005"/>
      <w:bookmarkStart w:id="250" w:name="_Toc312677479"/>
      <w:bookmarkStart w:id="251" w:name="_Toc304295541"/>
    </w:p>
    <w:p w14:paraId="3B0BC641">
      <w:pPr>
        <w:autoSpaceDE w:val="0"/>
        <w:autoSpaceDN w:val="0"/>
        <w:adjustRightInd w:val="0"/>
        <w:spacing w:line="360" w:lineRule="auto"/>
        <w:ind w:firstLine="236" w:firstLineChars="98"/>
        <w:rPr>
          <w:rFonts w:ascii="Times New Roman" w:hAnsi="Times New Roman"/>
          <w:color w:val="auto"/>
          <w:kern w:val="0"/>
          <w:sz w:val="24"/>
          <w:szCs w:val="24"/>
          <w:highlight w:val="none"/>
        </w:rPr>
      </w:pPr>
      <w:r>
        <w:rPr>
          <w:rFonts w:ascii="Times New Roman" w:hAnsi="Times New Roman"/>
          <w:b/>
          <w:color w:val="auto"/>
          <w:sz w:val="24"/>
          <w:szCs w:val="24"/>
          <w:highlight w:val="none"/>
        </w:rPr>
        <w:t>6.2</w:t>
      </w:r>
      <w:bookmarkStart w:id="252" w:name="_Toc351203544"/>
      <w:bookmarkStart w:id="253" w:name="_Toc337558769"/>
      <w:r>
        <w:rPr>
          <w:rFonts w:hint="eastAsia" w:hAnsi="Times New Roman"/>
          <w:b/>
          <w:color w:val="auto"/>
          <w:sz w:val="24"/>
          <w:szCs w:val="24"/>
          <w:highlight w:val="none"/>
        </w:rPr>
        <w:t xml:space="preserve"> </w:t>
      </w:r>
      <w:r>
        <w:rPr>
          <w:b/>
          <w:color w:val="auto"/>
          <w:sz w:val="24"/>
          <w:szCs w:val="24"/>
          <w:highlight w:val="none"/>
        </w:rPr>
        <w:t>施工进度</w:t>
      </w:r>
      <w:bookmarkEnd w:id="252"/>
    </w:p>
    <w:bookmarkEnd w:id="253"/>
    <w:p w14:paraId="139736B8">
      <w:pPr>
        <w:autoSpaceDE w:val="0"/>
        <w:autoSpaceDN w:val="0"/>
        <w:adjustRightInd w:val="0"/>
        <w:spacing w:line="360" w:lineRule="auto"/>
        <w:ind w:firstLine="480" w:firstLineChars="200"/>
        <w:rPr>
          <w:rFonts w:hint="eastAsia" w:ascii="Times New Roman" w:hAnsi="宋体"/>
          <w:color w:val="auto"/>
          <w:kern w:val="0"/>
          <w:sz w:val="24"/>
          <w:szCs w:val="24"/>
          <w:highlight w:val="none"/>
        </w:rPr>
      </w:pPr>
      <w:r>
        <w:rPr>
          <w:rFonts w:ascii="Times New Roman" w:hAnsi="宋体"/>
          <w:color w:val="auto"/>
          <w:kern w:val="0"/>
          <w:sz w:val="24"/>
          <w:szCs w:val="24"/>
          <w:highlight w:val="none"/>
        </w:rPr>
        <w:t>承包人应按照</w:t>
      </w:r>
      <w:r>
        <w:rPr>
          <w:rFonts w:hint="eastAsia" w:ascii="Times New Roman" w:hAnsi="宋体"/>
          <w:color w:val="auto"/>
          <w:kern w:val="0"/>
          <w:sz w:val="24"/>
          <w:szCs w:val="24"/>
          <w:highlight w:val="none"/>
        </w:rPr>
        <w:t>6</w:t>
      </w:r>
      <w:r>
        <w:rPr>
          <w:rFonts w:ascii="Times New Roman" w:hAnsi="Times New Roman"/>
          <w:color w:val="auto"/>
          <w:kern w:val="0"/>
          <w:sz w:val="24"/>
          <w:szCs w:val="24"/>
          <w:highlight w:val="none"/>
        </w:rPr>
        <w:t>.1</w:t>
      </w:r>
      <w:r>
        <w:rPr>
          <w:rFonts w:ascii="Times New Roman" w:hAnsi="宋体"/>
          <w:color w:val="auto"/>
          <w:kern w:val="0"/>
          <w:sz w:val="24"/>
          <w:szCs w:val="24"/>
          <w:highlight w:val="none"/>
        </w:rPr>
        <w:t>款约定提交详细的施工进度计划，施工进度计划应当符合合同</w:t>
      </w:r>
      <w:r>
        <w:rPr>
          <w:rFonts w:hint="eastAsia" w:ascii="Times New Roman" w:hAnsi="宋体"/>
          <w:color w:val="auto"/>
          <w:kern w:val="0"/>
          <w:sz w:val="24"/>
          <w:szCs w:val="24"/>
          <w:highlight w:val="none"/>
        </w:rPr>
        <w:t>和发包人</w:t>
      </w:r>
      <w:r>
        <w:rPr>
          <w:rFonts w:ascii="Times New Roman" w:hAnsi="宋体"/>
          <w:color w:val="auto"/>
          <w:kern w:val="0"/>
          <w:sz w:val="24"/>
          <w:szCs w:val="24"/>
          <w:highlight w:val="none"/>
        </w:rPr>
        <w:t>要求</w:t>
      </w:r>
      <w:r>
        <w:rPr>
          <w:rFonts w:hint="eastAsia" w:ascii="Times New Roman" w:hAnsi="宋体"/>
          <w:color w:val="auto"/>
          <w:kern w:val="0"/>
          <w:sz w:val="24"/>
          <w:szCs w:val="24"/>
          <w:highlight w:val="none"/>
        </w:rPr>
        <w:t>。</w:t>
      </w:r>
      <w:r>
        <w:rPr>
          <w:rFonts w:ascii="Times New Roman" w:hAnsi="宋体"/>
          <w:color w:val="auto"/>
          <w:kern w:val="0"/>
          <w:sz w:val="24"/>
          <w:szCs w:val="24"/>
          <w:highlight w:val="none"/>
        </w:rPr>
        <w:t>施工进度不符合合同</w:t>
      </w:r>
      <w:r>
        <w:rPr>
          <w:rFonts w:hint="eastAsia" w:ascii="Times New Roman" w:hAnsi="宋体"/>
          <w:color w:val="auto"/>
          <w:kern w:val="0"/>
          <w:sz w:val="24"/>
          <w:szCs w:val="24"/>
          <w:highlight w:val="none"/>
        </w:rPr>
        <w:t>和发包人</w:t>
      </w:r>
      <w:r>
        <w:rPr>
          <w:rFonts w:ascii="Times New Roman" w:hAnsi="宋体"/>
          <w:color w:val="auto"/>
          <w:kern w:val="0"/>
          <w:sz w:val="24"/>
          <w:szCs w:val="24"/>
          <w:highlight w:val="none"/>
        </w:rPr>
        <w:t>要求或与</w:t>
      </w:r>
      <w:r>
        <w:rPr>
          <w:rFonts w:hint="eastAsia" w:ascii="Times New Roman" w:hAnsi="宋体"/>
          <w:color w:val="auto"/>
          <w:kern w:val="0"/>
          <w:sz w:val="24"/>
          <w:szCs w:val="24"/>
          <w:highlight w:val="none"/>
        </w:rPr>
        <w:t>施工</w:t>
      </w:r>
      <w:r>
        <w:rPr>
          <w:rFonts w:ascii="Times New Roman" w:hAnsi="宋体"/>
          <w:color w:val="auto"/>
          <w:kern w:val="0"/>
          <w:sz w:val="24"/>
          <w:szCs w:val="24"/>
          <w:highlight w:val="none"/>
        </w:rPr>
        <w:t>进度</w:t>
      </w:r>
      <w:r>
        <w:rPr>
          <w:rFonts w:hint="eastAsia" w:ascii="Times New Roman" w:hAnsi="宋体"/>
          <w:color w:val="auto"/>
          <w:kern w:val="0"/>
          <w:sz w:val="24"/>
          <w:szCs w:val="24"/>
          <w:highlight w:val="none"/>
        </w:rPr>
        <w:t>计划</w:t>
      </w:r>
      <w:r>
        <w:rPr>
          <w:rFonts w:ascii="Times New Roman" w:hAnsi="宋体"/>
          <w:color w:val="auto"/>
          <w:kern w:val="0"/>
          <w:sz w:val="24"/>
          <w:szCs w:val="24"/>
          <w:highlight w:val="none"/>
        </w:rPr>
        <w:t>不一致的，承包人应</w:t>
      </w:r>
      <w:r>
        <w:rPr>
          <w:rFonts w:hint="eastAsia" w:ascii="Times New Roman" w:hAnsi="宋体"/>
          <w:color w:val="auto"/>
          <w:kern w:val="0"/>
          <w:sz w:val="24"/>
          <w:szCs w:val="24"/>
          <w:highlight w:val="none"/>
        </w:rPr>
        <w:t>采取相应</w:t>
      </w:r>
      <w:r>
        <w:rPr>
          <w:rFonts w:ascii="Times New Roman" w:hAnsi="宋体"/>
          <w:color w:val="auto"/>
          <w:kern w:val="0"/>
          <w:sz w:val="24"/>
          <w:szCs w:val="24"/>
          <w:highlight w:val="none"/>
        </w:rPr>
        <w:t>措施</w:t>
      </w:r>
      <w:r>
        <w:rPr>
          <w:rFonts w:hint="eastAsia" w:ascii="Times New Roman" w:hAnsi="宋体"/>
          <w:color w:val="auto"/>
          <w:kern w:val="0"/>
          <w:sz w:val="24"/>
          <w:szCs w:val="24"/>
          <w:highlight w:val="none"/>
        </w:rPr>
        <w:t>保证施工进度满足要求，由此产生的费用由承包人承担。</w:t>
      </w:r>
    </w:p>
    <w:p w14:paraId="4C950D3C">
      <w:pPr>
        <w:pStyle w:val="248"/>
        <w:spacing w:before="0" w:after="0" w:line="360" w:lineRule="auto"/>
        <w:ind w:firstLine="236" w:firstLineChars="98"/>
        <w:rPr>
          <w:color w:val="auto"/>
          <w:sz w:val="24"/>
          <w:szCs w:val="24"/>
          <w:highlight w:val="none"/>
        </w:rPr>
      </w:pPr>
      <w:r>
        <w:rPr>
          <w:rFonts w:hint="eastAsia" w:hAnsi="宋体"/>
          <w:bCs w:val="0"/>
          <w:color w:val="auto"/>
          <w:kern w:val="0"/>
          <w:sz w:val="24"/>
          <w:szCs w:val="24"/>
          <w:highlight w:val="none"/>
        </w:rPr>
        <w:t>6.3</w:t>
      </w:r>
      <w:r>
        <w:rPr>
          <w:rFonts w:hint="eastAsia" w:hAnsi="宋体"/>
          <w:b w:val="0"/>
          <w:bCs w:val="0"/>
          <w:color w:val="auto"/>
          <w:kern w:val="0"/>
          <w:sz w:val="24"/>
          <w:szCs w:val="24"/>
          <w:highlight w:val="none"/>
        </w:rPr>
        <w:t xml:space="preserve"> </w:t>
      </w:r>
      <w:r>
        <w:rPr>
          <w:rFonts w:hAnsi="宋体"/>
          <w:color w:val="auto"/>
          <w:sz w:val="24"/>
          <w:szCs w:val="24"/>
          <w:highlight w:val="none"/>
        </w:rPr>
        <w:t>开工</w:t>
      </w:r>
      <w:bookmarkEnd w:id="241"/>
      <w:bookmarkEnd w:id="242"/>
      <w:bookmarkEnd w:id="243"/>
      <w:bookmarkEnd w:id="244"/>
    </w:p>
    <w:bookmarkEnd w:id="245"/>
    <w:bookmarkEnd w:id="246"/>
    <w:bookmarkEnd w:id="247"/>
    <w:bookmarkEnd w:id="248"/>
    <w:bookmarkEnd w:id="249"/>
    <w:bookmarkEnd w:id="250"/>
    <w:bookmarkEnd w:id="251"/>
    <w:p w14:paraId="15E9DFCE">
      <w:pPr>
        <w:autoSpaceDE w:val="0"/>
        <w:autoSpaceDN w:val="0"/>
        <w:adjustRightInd w:val="0"/>
        <w:spacing w:line="360" w:lineRule="auto"/>
        <w:ind w:firstLine="420" w:firstLineChars="200"/>
        <w:rPr>
          <w:rFonts w:hint="eastAsia"/>
          <w:color w:val="auto"/>
          <w:highlight w:val="none"/>
        </w:rPr>
      </w:pPr>
      <w:bookmarkStart w:id="254" w:name="_Toc373478373"/>
      <w:bookmarkStart w:id="255" w:name="_Toc467599587"/>
      <w:bookmarkStart w:id="256" w:name="_Toc389065292"/>
      <w:bookmarkStart w:id="257" w:name="_Toc373227726"/>
      <w:r>
        <w:rPr>
          <w:rFonts w:hint="eastAsia"/>
          <w:color w:val="auto"/>
          <w:highlight w:val="none"/>
        </w:rPr>
        <w:t>如无特殊情况，本工程以签订合同之日后第5日为开工日期，</w:t>
      </w:r>
      <w:r>
        <w:rPr>
          <w:rFonts w:hAnsi="宋体"/>
          <w:color w:val="auto"/>
          <w:kern w:val="0"/>
          <w:highlight w:val="none"/>
        </w:rPr>
        <w:t>工期自</w:t>
      </w:r>
      <w:r>
        <w:rPr>
          <w:rFonts w:hint="eastAsia" w:hAnsi="宋体"/>
          <w:color w:val="auto"/>
          <w:kern w:val="0"/>
          <w:highlight w:val="none"/>
        </w:rPr>
        <w:t>此</w:t>
      </w:r>
      <w:r>
        <w:rPr>
          <w:rFonts w:hAnsi="宋体"/>
          <w:color w:val="auto"/>
          <w:kern w:val="0"/>
          <w:highlight w:val="none"/>
        </w:rPr>
        <w:t>日期起算。</w:t>
      </w:r>
    </w:p>
    <w:p w14:paraId="407E6C0B">
      <w:pPr>
        <w:pStyle w:val="248"/>
        <w:spacing w:before="0" w:after="0" w:line="360" w:lineRule="auto"/>
        <w:ind w:firstLine="236" w:firstLineChars="98"/>
        <w:rPr>
          <w:color w:val="auto"/>
          <w:sz w:val="24"/>
          <w:szCs w:val="24"/>
          <w:highlight w:val="none"/>
        </w:rPr>
      </w:pPr>
      <w:r>
        <w:rPr>
          <w:rFonts w:hint="eastAsia"/>
          <w:color w:val="auto"/>
          <w:sz w:val="24"/>
          <w:szCs w:val="24"/>
          <w:highlight w:val="none"/>
        </w:rPr>
        <w:t>6</w:t>
      </w:r>
      <w:r>
        <w:rPr>
          <w:color w:val="auto"/>
          <w:sz w:val="24"/>
          <w:szCs w:val="24"/>
          <w:highlight w:val="none"/>
        </w:rPr>
        <w:t xml:space="preserve">.4 </w:t>
      </w:r>
      <w:r>
        <w:rPr>
          <w:rFonts w:hAnsi="宋体"/>
          <w:color w:val="auto"/>
          <w:sz w:val="24"/>
          <w:szCs w:val="24"/>
          <w:highlight w:val="none"/>
        </w:rPr>
        <w:t>测量放线</w:t>
      </w:r>
      <w:bookmarkEnd w:id="254"/>
      <w:bookmarkEnd w:id="255"/>
      <w:bookmarkEnd w:id="256"/>
      <w:bookmarkEnd w:id="257"/>
    </w:p>
    <w:p w14:paraId="62C83ED1">
      <w:pPr>
        <w:pStyle w:val="230"/>
        <w:spacing w:line="360" w:lineRule="auto"/>
        <w:ind w:firstLine="480" w:firstLineChars="200"/>
        <w:rPr>
          <w:color w:val="auto"/>
          <w:sz w:val="24"/>
          <w:szCs w:val="24"/>
          <w:highlight w:val="none"/>
          <w:u w:val="single"/>
        </w:rPr>
      </w:pPr>
      <w:r>
        <w:rPr>
          <w:rFonts w:hAnsi="宋体"/>
          <w:color w:val="auto"/>
          <w:sz w:val="24"/>
          <w:szCs w:val="24"/>
          <w:highlight w:val="none"/>
        </w:rPr>
        <w:t>发包人通过监理人向承包人提供测量基准点、基准线和水准点的期限：</w:t>
      </w:r>
      <w:bookmarkStart w:id="258" w:name="_Toc467599588"/>
      <w:bookmarkStart w:id="259" w:name="_Toc373227727"/>
      <w:bookmarkStart w:id="260" w:name="_Toc389065293"/>
      <w:bookmarkStart w:id="261" w:name="_Toc373478374"/>
      <w:r>
        <w:rPr>
          <w:rFonts w:hAnsi="宋体"/>
          <w:color w:val="auto"/>
          <w:sz w:val="24"/>
          <w:szCs w:val="24"/>
          <w:highlight w:val="none"/>
          <w:u w:val="single"/>
        </w:rPr>
        <w:t>开工前</w:t>
      </w:r>
      <w:r>
        <w:rPr>
          <w:color w:val="auto"/>
          <w:sz w:val="24"/>
          <w:szCs w:val="24"/>
          <w:highlight w:val="none"/>
          <w:u w:val="single"/>
        </w:rPr>
        <w:t>3</w:t>
      </w:r>
      <w:r>
        <w:rPr>
          <w:rFonts w:hAnsi="宋体"/>
          <w:color w:val="auto"/>
          <w:sz w:val="24"/>
          <w:szCs w:val="24"/>
          <w:highlight w:val="none"/>
          <w:u w:val="single"/>
        </w:rPr>
        <w:t>天</w:t>
      </w:r>
      <w:r>
        <w:rPr>
          <w:rFonts w:hint="eastAsia"/>
          <w:color w:val="auto"/>
          <w:sz w:val="24"/>
          <w:szCs w:val="24"/>
          <w:highlight w:val="none"/>
          <w:u w:val="single"/>
        </w:rPr>
        <w:t xml:space="preserve"> </w:t>
      </w:r>
      <w:r>
        <w:rPr>
          <w:rFonts w:hAnsi="宋体"/>
          <w:color w:val="auto"/>
          <w:sz w:val="24"/>
          <w:szCs w:val="24"/>
          <w:highlight w:val="none"/>
        </w:rPr>
        <w:t>。</w:t>
      </w:r>
    </w:p>
    <w:p w14:paraId="3AD0C685">
      <w:pPr>
        <w:pStyle w:val="248"/>
        <w:spacing w:before="0" w:after="0" w:line="360" w:lineRule="auto"/>
        <w:ind w:firstLine="236" w:firstLineChars="98"/>
        <w:rPr>
          <w:color w:val="auto"/>
          <w:sz w:val="24"/>
          <w:szCs w:val="24"/>
          <w:highlight w:val="none"/>
        </w:rPr>
      </w:pPr>
      <w:bookmarkStart w:id="262" w:name="_Toc300934968"/>
      <w:bookmarkStart w:id="263" w:name="_Toc312678010"/>
      <w:bookmarkStart w:id="264" w:name="_Toc304295546"/>
      <w:bookmarkStart w:id="265" w:name="_Toc297216175"/>
      <w:bookmarkStart w:id="266" w:name="_Toc312677484"/>
      <w:bookmarkStart w:id="267" w:name="_Toc303539125"/>
      <w:bookmarkStart w:id="268" w:name="_Toc297123516"/>
      <w:r>
        <w:rPr>
          <w:rFonts w:hint="eastAsia"/>
          <w:color w:val="auto"/>
          <w:sz w:val="24"/>
          <w:szCs w:val="24"/>
          <w:highlight w:val="none"/>
        </w:rPr>
        <w:t>6</w:t>
      </w:r>
      <w:r>
        <w:rPr>
          <w:color w:val="auto"/>
          <w:sz w:val="24"/>
          <w:szCs w:val="24"/>
          <w:highlight w:val="none"/>
        </w:rPr>
        <w:t xml:space="preserve">.5 </w:t>
      </w:r>
      <w:r>
        <w:rPr>
          <w:rFonts w:hAnsi="宋体"/>
          <w:color w:val="auto"/>
          <w:sz w:val="24"/>
          <w:szCs w:val="24"/>
          <w:highlight w:val="none"/>
        </w:rPr>
        <w:t>工期延误</w:t>
      </w:r>
      <w:bookmarkEnd w:id="258"/>
      <w:bookmarkEnd w:id="259"/>
      <w:bookmarkEnd w:id="260"/>
      <w:bookmarkEnd w:id="261"/>
    </w:p>
    <w:bookmarkEnd w:id="262"/>
    <w:bookmarkEnd w:id="263"/>
    <w:bookmarkEnd w:id="264"/>
    <w:bookmarkEnd w:id="265"/>
    <w:bookmarkEnd w:id="266"/>
    <w:bookmarkEnd w:id="267"/>
    <w:bookmarkEnd w:id="268"/>
    <w:p w14:paraId="485D2505">
      <w:pPr>
        <w:pStyle w:val="232"/>
        <w:spacing w:line="360" w:lineRule="auto"/>
        <w:ind w:firstLine="480" w:firstLineChars="200"/>
        <w:rPr>
          <w:rFonts w:ascii="Times New Roman" w:hAnsi="Times New Roman"/>
          <w:color w:val="auto"/>
          <w:sz w:val="24"/>
          <w:szCs w:val="24"/>
          <w:highlight w:val="none"/>
          <w:u w:val="single"/>
        </w:rPr>
      </w:pPr>
      <w:bookmarkStart w:id="269" w:name="_Toc300934970"/>
      <w:bookmarkStart w:id="270" w:name="_Toc297216177"/>
      <w:bookmarkStart w:id="271" w:name="_Toc304295548"/>
      <w:bookmarkStart w:id="272" w:name="_Toc303539127"/>
      <w:bookmarkStart w:id="273" w:name="_Toc297123518"/>
      <w:r>
        <w:rPr>
          <w:rFonts w:ascii="Times New Roman" w:hAnsi="宋体"/>
          <w:color w:val="auto"/>
          <w:sz w:val="24"/>
          <w:szCs w:val="24"/>
          <w:highlight w:val="none"/>
        </w:rPr>
        <w:t>因</w:t>
      </w:r>
      <w:bookmarkStart w:id="274" w:name="_Toc318581170"/>
      <w:bookmarkStart w:id="275" w:name="_Toc312677487"/>
      <w:bookmarkStart w:id="276" w:name="_Toc312678013"/>
      <w:r>
        <w:rPr>
          <w:rFonts w:ascii="Times New Roman" w:hAnsi="宋体"/>
          <w:color w:val="auto"/>
          <w:sz w:val="24"/>
          <w:szCs w:val="24"/>
          <w:highlight w:val="none"/>
        </w:rPr>
        <w:t>承包人原因造成工期延误，逾期竣工违约金的计算方法为：</w:t>
      </w:r>
      <w:bookmarkEnd w:id="269"/>
      <w:bookmarkEnd w:id="270"/>
      <w:bookmarkEnd w:id="271"/>
      <w:bookmarkEnd w:id="272"/>
      <w:bookmarkEnd w:id="273"/>
      <w:bookmarkEnd w:id="274"/>
      <w:bookmarkEnd w:id="275"/>
      <w:bookmarkEnd w:id="276"/>
      <w:r>
        <w:rPr>
          <w:rFonts w:ascii="Times New Roman" w:hAnsi="宋体"/>
          <w:color w:val="auto"/>
          <w:sz w:val="24"/>
          <w:szCs w:val="24"/>
          <w:highlight w:val="none"/>
        </w:rPr>
        <w:t>每延误</w:t>
      </w:r>
      <w:r>
        <w:rPr>
          <w:rFonts w:hint="eastAsia" w:ascii="Times New Roman" w:hAnsi="Times New Roman"/>
          <w:color w:val="auto"/>
          <w:sz w:val="24"/>
          <w:szCs w:val="24"/>
          <w:highlight w:val="none"/>
        </w:rPr>
        <w:t>1</w:t>
      </w:r>
      <w:r>
        <w:rPr>
          <w:rFonts w:ascii="Times New Roman" w:hAnsi="宋体"/>
          <w:color w:val="auto"/>
          <w:sz w:val="24"/>
          <w:szCs w:val="24"/>
          <w:highlight w:val="none"/>
        </w:rPr>
        <w:t>日，承包人按</w:t>
      </w:r>
      <w:r>
        <w:rPr>
          <w:rFonts w:hint="eastAsia" w:ascii="Times New Roman" w:hAnsi="宋体"/>
          <w:color w:val="auto"/>
          <w:sz w:val="24"/>
          <w:szCs w:val="24"/>
          <w:highlight w:val="none"/>
          <w:u w:val="single"/>
        </w:rPr>
        <w:t>10000元</w:t>
      </w:r>
      <w:r>
        <w:rPr>
          <w:rFonts w:ascii="Times New Roman" w:hAnsi="Times New Roman"/>
          <w:color w:val="auto"/>
          <w:sz w:val="24"/>
          <w:szCs w:val="24"/>
          <w:highlight w:val="none"/>
          <w:u w:val="single"/>
        </w:rPr>
        <w:t>/</w:t>
      </w:r>
      <w:r>
        <w:rPr>
          <w:rFonts w:ascii="Times New Roman" w:hAnsi="宋体"/>
          <w:color w:val="auto"/>
          <w:sz w:val="24"/>
          <w:szCs w:val="24"/>
          <w:highlight w:val="none"/>
          <w:u w:val="single"/>
        </w:rPr>
        <w:t>日向发包人支付违约金，并赔偿发包人因此而遭受的其它损失（包括但不限于因此造成发包人对第三方的违约而应支付的赔偿款、补偿款、违约金及诉讼或仲裁中产生的诉讼仲裁费、评估费、鉴定费、律师费等，下同），对于该违约金，发包人可从应向承包人支付的任何金额中扣除</w:t>
      </w:r>
      <w:r>
        <w:rPr>
          <w:rFonts w:ascii="Times New Roman" w:hAnsi="宋体"/>
          <w:b/>
          <w:bCs/>
          <w:color w:val="auto"/>
          <w:sz w:val="24"/>
          <w:szCs w:val="24"/>
          <w:highlight w:val="none"/>
          <w:u w:val="single"/>
        </w:rPr>
        <w:t>。</w:t>
      </w:r>
      <w:r>
        <w:rPr>
          <w:rFonts w:ascii="Times New Roman" w:hAnsi="Times New Roman"/>
          <w:color w:val="auto"/>
          <w:sz w:val="24"/>
          <w:szCs w:val="24"/>
          <w:highlight w:val="none"/>
          <w:u w:val="single"/>
        </w:rPr>
        <w:t xml:space="preserve"> </w:t>
      </w:r>
    </w:p>
    <w:p w14:paraId="70544184">
      <w:pPr>
        <w:autoSpaceDE w:val="0"/>
        <w:autoSpaceDN w:val="0"/>
        <w:adjustRightInd w:val="0"/>
        <w:spacing w:line="360" w:lineRule="auto"/>
        <w:ind w:firstLine="480" w:firstLineChars="200"/>
        <w:rPr>
          <w:rFonts w:hint="eastAsia" w:ascii="Times New Roman" w:hAnsi="宋体"/>
          <w:color w:val="auto"/>
          <w:kern w:val="0"/>
          <w:sz w:val="24"/>
          <w:szCs w:val="24"/>
          <w:highlight w:val="none"/>
        </w:rPr>
      </w:pPr>
      <w:r>
        <w:rPr>
          <w:rFonts w:hAnsi="宋体"/>
          <w:color w:val="auto"/>
          <w:sz w:val="24"/>
          <w:szCs w:val="24"/>
          <w:highlight w:val="none"/>
        </w:rPr>
        <w:t>因承包人原因造成工期延误，逾</w:t>
      </w:r>
      <w:bookmarkStart w:id="277" w:name="_Toc318581171"/>
      <w:bookmarkStart w:id="278" w:name="_Toc312678014"/>
      <w:r>
        <w:rPr>
          <w:rFonts w:hAnsi="宋体"/>
          <w:color w:val="auto"/>
          <w:sz w:val="24"/>
          <w:szCs w:val="24"/>
          <w:highlight w:val="none"/>
        </w:rPr>
        <w:t>期竣工违约金的上限：</w:t>
      </w:r>
      <w:r>
        <w:rPr>
          <w:rFonts w:hAnsi="宋体"/>
          <w:color w:val="auto"/>
          <w:sz w:val="24"/>
          <w:szCs w:val="24"/>
          <w:highlight w:val="none"/>
          <w:u w:val="single"/>
        </w:rPr>
        <w:t>合同总价款的</w:t>
      </w:r>
      <w:r>
        <w:rPr>
          <w:rFonts w:hint="eastAsia"/>
          <w:color w:val="auto"/>
          <w:sz w:val="24"/>
          <w:szCs w:val="24"/>
          <w:highlight w:val="none"/>
          <w:u w:val="single"/>
        </w:rPr>
        <w:t>2</w:t>
      </w:r>
      <w:r>
        <w:rPr>
          <w:color w:val="auto"/>
          <w:sz w:val="24"/>
          <w:szCs w:val="24"/>
          <w:highlight w:val="none"/>
          <w:u w:val="single"/>
        </w:rPr>
        <w:t>0%</w:t>
      </w:r>
      <w:r>
        <w:rPr>
          <w:rFonts w:hAnsi="宋体"/>
          <w:color w:val="auto"/>
          <w:sz w:val="24"/>
          <w:szCs w:val="24"/>
          <w:highlight w:val="none"/>
        </w:rPr>
        <w:t>。</w:t>
      </w:r>
      <w:r>
        <w:rPr>
          <w:rFonts w:ascii="Times New Roman" w:hAnsi="宋体"/>
          <w:color w:val="auto"/>
          <w:kern w:val="0"/>
          <w:sz w:val="24"/>
          <w:szCs w:val="24"/>
          <w:highlight w:val="none"/>
        </w:rPr>
        <w:t>承包人支付逾期竣工违约金后，不免除承包人继续完成工程及修补缺陷的义务。</w:t>
      </w:r>
    </w:p>
    <w:p w14:paraId="0B08E328">
      <w:pPr>
        <w:pStyle w:val="230"/>
        <w:spacing w:line="360" w:lineRule="auto"/>
        <w:ind w:firstLine="480" w:firstLineChars="200"/>
        <w:rPr>
          <w:color w:val="auto"/>
          <w:sz w:val="24"/>
          <w:szCs w:val="24"/>
          <w:highlight w:val="none"/>
        </w:rPr>
      </w:pPr>
      <w:r>
        <w:rPr>
          <w:rFonts w:hint="eastAsia" w:hAnsi="宋体"/>
          <w:color w:val="auto"/>
          <w:sz w:val="24"/>
          <w:szCs w:val="24"/>
          <w:highlight w:val="none"/>
        </w:rPr>
        <w:t>因发包人原因造成逾期竣工的，发包人只给予工期顺延，不产生和支付任何费用。</w:t>
      </w:r>
      <w:bookmarkEnd w:id="277"/>
      <w:bookmarkEnd w:id="278"/>
    </w:p>
    <w:p w14:paraId="6526DCBF">
      <w:pPr>
        <w:autoSpaceDE w:val="0"/>
        <w:autoSpaceDN w:val="0"/>
        <w:adjustRightInd w:val="0"/>
        <w:spacing w:line="360" w:lineRule="auto"/>
        <w:ind w:firstLine="236" w:firstLineChars="98"/>
        <w:outlineLvl w:val="0"/>
        <w:rPr>
          <w:rFonts w:ascii="Times New Roman" w:hAnsi="Times New Roman"/>
          <w:b/>
          <w:bCs/>
          <w:color w:val="auto"/>
          <w:sz w:val="24"/>
          <w:szCs w:val="24"/>
          <w:highlight w:val="none"/>
        </w:rPr>
      </w:pPr>
      <w:r>
        <w:rPr>
          <w:rFonts w:hint="eastAsia" w:ascii="Times New Roman" w:hAnsi="Times New Roman"/>
          <w:b/>
          <w:color w:val="auto"/>
          <w:sz w:val="24"/>
          <w:szCs w:val="24"/>
          <w:highlight w:val="none"/>
        </w:rPr>
        <w:t>6.</w:t>
      </w:r>
      <w:bookmarkEnd w:id="232"/>
      <w:bookmarkStart w:id="279" w:name="_Toc351203550"/>
      <w:bookmarkStart w:id="280" w:name="_Toc296346578"/>
      <w:bookmarkStart w:id="281" w:name="_Toc337558775"/>
      <w:bookmarkStart w:id="282" w:name="_Toc296503077"/>
      <w:r>
        <w:rPr>
          <w:rFonts w:hint="eastAsia" w:ascii="Times New Roman" w:hAnsi="Times New Roman"/>
          <w:b/>
          <w:color w:val="auto"/>
          <w:sz w:val="24"/>
          <w:szCs w:val="24"/>
          <w:highlight w:val="none"/>
        </w:rPr>
        <w:t xml:space="preserve">6 </w:t>
      </w:r>
      <w:r>
        <w:rPr>
          <w:rFonts w:ascii="Times New Roman" w:hAnsi="宋体"/>
          <w:b/>
          <w:bCs/>
          <w:color w:val="auto"/>
          <w:sz w:val="24"/>
          <w:szCs w:val="24"/>
          <w:highlight w:val="none"/>
        </w:rPr>
        <w:t>暂停施工</w:t>
      </w:r>
      <w:bookmarkEnd w:id="279"/>
    </w:p>
    <w:bookmarkEnd w:id="280"/>
    <w:bookmarkEnd w:id="281"/>
    <w:bookmarkEnd w:id="282"/>
    <w:p w14:paraId="6F9ECB98">
      <w:pPr>
        <w:spacing w:line="360" w:lineRule="auto"/>
        <w:ind w:firstLine="480" w:firstLineChars="200"/>
        <w:rPr>
          <w:rFonts w:hint="eastAsia" w:hAnsi="宋体"/>
          <w:color w:val="auto"/>
          <w:sz w:val="24"/>
          <w:szCs w:val="24"/>
          <w:highlight w:val="none"/>
        </w:rPr>
      </w:pPr>
      <w:r>
        <w:rPr>
          <w:rFonts w:ascii="Times New Roman" w:hAnsi="宋体"/>
          <w:color w:val="auto"/>
          <w:kern w:val="0"/>
          <w:sz w:val="24"/>
          <w:szCs w:val="24"/>
          <w:highlight w:val="none"/>
        </w:rPr>
        <w:t>因发包人原因引起暂停施工的，</w:t>
      </w:r>
      <w:r>
        <w:rPr>
          <w:rFonts w:hint="eastAsia" w:ascii="Times New Roman" w:hAnsi="宋体"/>
          <w:color w:val="auto"/>
          <w:kern w:val="0"/>
          <w:sz w:val="24"/>
          <w:szCs w:val="24"/>
          <w:highlight w:val="none"/>
        </w:rPr>
        <w:t>造成</w:t>
      </w:r>
      <w:r>
        <w:rPr>
          <w:rFonts w:hint="eastAsia" w:hAnsi="宋体"/>
          <w:color w:val="auto"/>
          <w:sz w:val="24"/>
          <w:szCs w:val="24"/>
          <w:highlight w:val="none"/>
        </w:rPr>
        <w:t>造成逾期竣工的，发包人只给予工期顺延，不产生和支付任何费用。</w:t>
      </w:r>
    </w:p>
    <w:p w14:paraId="3AA0D218">
      <w:pPr>
        <w:spacing w:line="360" w:lineRule="auto"/>
        <w:ind w:firstLine="480" w:firstLineChars="200"/>
        <w:rPr>
          <w:rFonts w:ascii="Times New Roman" w:hAnsi="Times New Roman"/>
          <w:color w:val="auto"/>
          <w:kern w:val="0"/>
          <w:sz w:val="24"/>
          <w:szCs w:val="24"/>
          <w:highlight w:val="none"/>
        </w:rPr>
      </w:pPr>
      <w:r>
        <w:rPr>
          <w:rFonts w:ascii="Times New Roman" w:hAnsi="宋体"/>
          <w:color w:val="auto"/>
          <w:kern w:val="0"/>
          <w:sz w:val="24"/>
          <w:szCs w:val="24"/>
          <w:highlight w:val="none"/>
        </w:rPr>
        <w:t>因承包人原因引起的暂停施工，承包人应承担由此增加的费用和（或）延误的工期，且承包人在收到</w:t>
      </w:r>
      <w:r>
        <w:rPr>
          <w:rFonts w:hint="eastAsia" w:ascii="Times New Roman" w:hAnsi="宋体"/>
          <w:color w:val="auto"/>
          <w:kern w:val="0"/>
          <w:sz w:val="24"/>
          <w:szCs w:val="24"/>
          <w:highlight w:val="none"/>
        </w:rPr>
        <w:t>发包人或</w:t>
      </w:r>
      <w:r>
        <w:rPr>
          <w:rFonts w:ascii="Times New Roman" w:hAnsi="宋体"/>
          <w:color w:val="auto"/>
          <w:kern w:val="0"/>
          <w:sz w:val="24"/>
          <w:szCs w:val="24"/>
          <w:highlight w:val="none"/>
        </w:rPr>
        <w:t>监理人复工指示后</w:t>
      </w:r>
      <w:r>
        <w:rPr>
          <w:rFonts w:hint="eastAsia" w:ascii="Times New Roman" w:hAnsi="Times New Roman"/>
          <w:color w:val="auto"/>
          <w:kern w:val="0"/>
          <w:sz w:val="24"/>
          <w:szCs w:val="24"/>
          <w:highlight w:val="none"/>
        </w:rPr>
        <w:t>15</w:t>
      </w:r>
      <w:r>
        <w:rPr>
          <w:rFonts w:ascii="Times New Roman" w:hAnsi="宋体"/>
          <w:color w:val="auto"/>
          <w:kern w:val="0"/>
          <w:sz w:val="24"/>
          <w:szCs w:val="24"/>
          <w:highlight w:val="none"/>
        </w:rPr>
        <w:t>天内仍未复工的，视为第</w:t>
      </w:r>
      <w:r>
        <w:rPr>
          <w:rFonts w:ascii="Times New Roman" w:hAnsi="Times New Roman"/>
          <w:color w:val="auto"/>
          <w:kern w:val="0"/>
          <w:sz w:val="24"/>
          <w:szCs w:val="24"/>
          <w:highlight w:val="none"/>
        </w:rPr>
        <w:t>1</w:t>
      </w:r>
      <w:r>
        <w:rPr>
          <w:rFonts w:hint="eastAsia" w:ascii="Times New Roman" w:hAnsi="Times New Roman"/>
          <w:color w:val="auto"/>
          <w:kern w:val="0"/>
          <w:sz w:val="24"/>
          <w:szCs w:val="24"/>
          <w:highlight w:val="none"/>
        </w:rPr>
        <w:t>4</w:t>
      </w:r>
      <w:r>
        <w:rPr>
          <w:rFonts w:ascii="Times New Roman" w:hAnsi="Times New Roman"/>
          <w:color w:val="auto"/>
          <w:kern w:val="0"/>
          <w:sz w:val="24"/>
          <w:szCs w:val="24"/>
          <w:highlight w:val="none"/>
        </w:rPr>
        <w:t>.2.1</w:t>
      </w:r>
      <w:r>
        <w:rPr>
          <w:rFonts w:ascii="Times New Roman" w:hAnsi="宋体"/>
          <w:color w:val="auto"/>
          <w:kern w:val="0"/>
          <w:sz w:val="24"/>
          <w:szCs w:val="24"/>
          <w:highlight w:val="none"/>
        </w:rPr>
        <w:t>项〔承包人违约的情形〕</w:t>
      </w:r>
      <w:r>
        <w:rPr>
          <w:rFonts w:ascii="宋体" w:hAnsi="宋体"/>
          <w:color w:val="auto"/>
          <w:kern w:val="0"/>
          <w:sz w:val="24"/>
          <w:szCs w:val="24"/>
          <w:highlight w:val="none"/>
        </w:rPr>
        <w:t>第</w:t>
      </w:r>
      <w:r>
        <w:rPr>
          <w:rFonts w:hint="eastAsia" w:ascii="宋体" w:hAnsi="宋体"/>
          <w:color w:val="auto"/>
          <w:kern w:val="0"/>
          <w:sz w:val="24"/>
          <w:szCs w:val="24"/>
          <w:highlight w:val="none"/>
        </w:rPr>
        <w:t>⑺</w:t>
      </w:r>
      <w:r>
        <w:rPr>
          <w:rFonts w:ascii="Times New Roman" w:hAnsi="宋体"/>
          <w:color w:val="auto"/>
          <w:kern w:val="0"/>
          <w:sz w:val="24"/>
          <w:szCs w:val="24"/>
          <w:highlight w:val="none"/>
        </w:rPr>
        <w:t>目约定的承包人无法继续履行合同的情形。</w:t>
      </w:r>
    </w:p>
    <w:p w14:paraId="25A9179F">
      <w:pPr>
        <w:spacing w:line="360" w:lineRule="auto"/>
        <w:ind w:firstLine="480" w:firstLineChars="200"/>
        <w:rPr>
          <w:rFonts w:ascii="Times New Roman" w:hAnsi="Times New Roman"/>
          <w:color w:val="auto"/>
          <w:kern w:val="0"/>
          <w:sz w:val="24"/>
          <w:szCs w:val="24"/>
          <w:highlight w:val="none"/>
        </w:rPr>
      </w:pPr>
      <w:r>
        <w:rPr>
          <w:rFonts w:ascii="Times New Roman" w:hAnsi="宋体"/>
          <w:color w:val="auto"/>
          <w:kern w:val="0"/>
          <w:sz w:val="24"/>
          <w:szCs w:val="24"/>
          <w:highlight w:val="none"/>
        </w:rPr>
        <w:t>当工程具备复工条件时，发包人</w:t>
      </w:r>
      <w:r>
        <w:rPr>
          <w:rFonts w:hint="eastAsia" w:ascii="Times New Roman" w:hAnsi="宋体"/>
          <w:color w:val="auto"/>
          <w:kern w:val="0"/>
          <w:sz w:val="24"/>
          <w:szCs w:val="24"/>
          <w:highlight w:val="none"/>
        </w:rPr>
        <w:t>或</w:t>
      </w:r>
      <w:r>
        <w:rPr>
          <w:rFonts w:ascii="Times New Roman" w:hAnsi="宋体"/>
          <w:color w:val="auto"/>
          <w:kern w:val="0"/>
          <w:sz w:val="24"/>
          <w:szCs w:val="24"/>
          <w:highlight w:val="none"/>
        </w:rPr>
        <w:t>监理人发出复工通知</w:t>
      </w:r>
      <w:r>
        <w:rPr>
          <w:rFonts w:hint="eastAsia" w:ascii="Times New Roman" w:hAnsi="宋体"/>
          <w:color w:val="auto"/>
          <w:kern w:val="0"/>
          <w:sz w:val="24"/>
          <w:szCs w:val="24"/>
          <w:highlight w:val="none"/>
        </w:rPr>
        <w:t>后，</w:t>
      </w:r>
      <w:r>
        <w:rPr>
          <w:rFonts w:ascii="Times New Roman" w:hAnsi="宋体"/>
          <w:color w:val="auto"/>
          <w:kern w:val="0"/>
          <w:sz w:val="24"/>
          <w:szCs w:val="24"/>
          <w:highlight w:val="none"/>
        </w:rPr>
        <w:t>承包人无故拖延和拒绝复工的，承包人承担由此增加的费用和（或）延误的工期</w:t>
      </w:r>
      <w:r>
        <w:rPr>
          <w:rFonts w:hint="eastAsia" w:ascii="Times New Roman" w:hAnsi="宋体"/>
          <w:color w:val="auto"/>
          <w:kern w:val="0"/>
          <w:sz w:val="24"/>
          <w:szCs w:val="24"/>
          <w:highlight w:val="none"/>
        </w:rPr>
        <w:t>，</w:t>
      </w:r>
      <w:r>
        <w:rPr>
          <w:rFonts w:ascii="Times New Roman" w:hAnsi="宋体"/>
          <w:color w:val="auto"/>
          <w:kern w:val="0"/>
          <w:sz w:val="24"/>
          <w:szCs w:val="24"/>
          <w:highlight w:val="none"/>
        </w:rPr>
        <w:t>且承包人在收到</w:t>
      </w:r>
      <w:r>
        <w:rPr>
          <w:rFonts w:hint="eastAsia" w:ascii="Times New Roman" w:hAnsi="宋体"/>
          <w:color w:val="auto"/>
          <w:kern w:val="0"/>
          <w:sz w:val="24"/>
          <w:szCs w:val="24"/>
          <w:highlight w:val="none"/>
        </w:rPr>
        <w:t>发包人或</w:t>
      </w:r>
      <w:r>
        <w:rPr>
          <w:rFonts w:ascii="Times New Roman" w:hAnsi="宋体"/>
          <w:color w:val="auto"/>
          <w:kern w:val="0"/>
          <w:sz w:val="24"/>
          <w:szCs w:val="24"/>
          <w:highlight w:val="none"/>
        </w:rPr>
        <w:t>监理人复工指示后</w:t>
      </w:r>
      <w:r>
        <w:rPr>
          <w:rFonts w:hint="eastAsia" w:ascii="Times New Roman" w:hAnsi="Times New Roman"/>
          <w:color w:val="auto"/>
          <w:kern w:val="0"/>
          <w:sz w:val="24"/>
          <w:szCs w:val="24"/>
          <w:highlight w:val="none"/>
        </w:rPr>
        <w:t>15</w:t>
      </w:r>
      <w:r>
        <w:rPr>
          <w:rFonts w:ascii="Times New Roman" w:hAnsi="宋体"/>
          <w:color w:val="auto"/>
          <w:kern w:val="0"/>
          <w:sz w:val="24"/>
          <w:szCs w:val="24"/>
          <w:highlight w:val="none"/>
        </w:rPr>
        <w:t>天内仍未复工的，视为第</w:t>
      </w:r>
      <w:r>
        <w:rPr>
          <w:rFonts w:ascii="Times New Roman" w:hAnsi="Times New Roman"/>
          <w:color w:val="auto"/>
          <w:kern w:val="0"/>
          <w:sz w:val="24"/>
          <w:szCs w:val="24"/>
          <w:highlight w:val="none"/>
        </w:rPr>
        <w:t>1</w:t>
      </w:r>
      <w:r>
        <w:rPr>
          <w:rFonts w:hint="eastAsia" w:ascii="Times New Roman" w:hAnsi="Times New Roman"/>
          <w:color w:val="auto"/>
          <w:kern w:val="0"/>
          <w:sz w:val="24"/>
          <w:szCs w:val="24"/>
          <w:highlight w:val="none"/>
        </w:rPr>
        <w:t>4</w:t>
      </w:r>
      <w:r>
        <w:rPr>
          <w:rFonts w:ascii="Times New Roman" w:hAnsi="Times New Roman"/>
          <w:color w:val="auto"/>
          <w:kern w:val="0"/>
          <w:sz w:val="24"/>
          <w:szCs w:val="24"/>
          <w:highlight w:val="none"/>
        </w:rPr>
        <w:t>.2.1</w:t>
      </w:r>
      <w:r>
        <w:rPr>
          <w:rFonts w:ascii="Times New Roman" w:hAnsi="宋体"/>
          <w:color w:val="auto"/>
          <w:kern w:val="0"/>
          <w:sz w:val="24"/>
          <w:szCs w:val="24"/>
          <w:highlight w:val="none"/>
        </w:rPr>
        <w:t>项〔承包人违约的情形〕</w:t>
      </w:r>
      <w:r>
        <w:rPr>
          <w:rFonts w:ascii="宋体" w:hAnsi="宋体"/>
          <w:color w:val="auto"/>
          <w:kern w:val="0"/>
          <w:sz w:val="24"/>
          <w:szCs w:val="24"/>
          <w:highlight w:val="none"/>
        </w:rPr>
        <w:t>第</w:t>
      </w:r>
      <w:r>
        <w:rPr>
          <w:rFonts w:hint="eastAsia" w:ascii="宋体" w:hAnsi="宋体"/>
          <w:color w:val="auto"/>
          <w:kern w:val="0"/>
          <w:sz w:val="24"/>
          <w:szCs w:val="24"/>
          <w:highlight w:val="none"/>
        </w:rPr>
        <w:t>⑺</w:t>
      </w:r>
      <w:r>
        <w:rPr>
          <w:rFonts w:ascii="Times New Roman" w:hAnsi="宋体"/>
          <w:color w:val="auto"/>
          <w:kern w:val="0"/>
          <w:sz w:val="24"/>
          <w:szCs w:val="24"/>
          <w:highlight w:val="none"/>
        </w:rPr>
        <w:t>目约定的承包人无法继续履行合同的情形。</w:t>
      </w:r>
    </w:p>
    <w:p w14:paraId="3DE26458">
      <w:pPr>
        <w:spacing w:line="360" w:lineRule="auto"/>
        <w:ind w:firstLine="480" w:firstLineChars="200"/>
        <w:rPr>
          <w:rFonts w:ascii="Times New Roman" w:hAnsi="Times New Roman"/>
          <w:color w:val="auto"/>
          <w:kern w:val="0"/>
          <w:sz w:val="24"/>
          <w:szCs w:val="24"/>
          <w:highlight w:val="none"/>
        </w:rPr>
      </w:pPr>
      <w:r>
        <w:rPr>
          <w:rFonts w:ascii="Times New Roman" w:hAnsi="宋体"/>
          <w:color w:val="auto"/>
          <w:kern w:val="0"/>
          <w:sz w:val="24"/>
          <w:szCs w:val="24"/>
          <w:highlight w:val="none"/>
        </w:rPr>
        <w:t>暂停施工期间，承包人应负责妥善照管工程并提供安全保障，由此增加的费用由责任方承担。</w:t>
      </w:r>
    </w:p>
    <w:p w14:paraId="21A73BAD">
      <w:pPr>
        <w:spacing w:line="360" w:lineRule="auto"/>
        <w:ind w:firstLine="480" w:firstLineChars="200"/>
        <w:rPr>
          <w:rFonts w:ascii="Times New Roman" w:hAnsi="Times New Roman"/>
          <w:color w:val="auto"/>
          <w:kern w:val="0"/>
          <w:sz w:val="24"/>
          <w:szCs w:val="24"/>
          <w:highlight w:val="none"/>
        </w:rPr>
      </w:pPr>
      <w:r>
        <w:rPr>
          <w:rFonts w:ascii="Times New Roman" w:hAnsi="宋体"/>
          <w:color w:val="auto"/>
          <w:kern w:val="0"/>
          <w:sz w:val="24"/>
          <w:szCs w:val="24"/>
          <w:highlight w:val="none"/>
        </w:rPr>
        <w:t>暂停施工期间，发包人和承包人均应采取必要的措施确保工程质量及安全，防止因暂停施工扩大损失。</w:t>
      </w:r>
    </w:p>
    <w:p w14:paraId="16D7537A">
      <w:pPr>
        <w:pStyle w:val="247"/>
        <w:spacing w:beforeLines="50" w:after="0" w:line="360" w:lineRule="auto"/>
        <w:rPr>
          <w:rFonts w:ascii="Times New Roman" w:hAnsi="Times New Roman"/>
          <w:color w:val="auto"/>
          <w:sz w:val="24"/>
          <w:szCs w:val="24"/>
          <w:highlight w:val="none"/>
        </w:rPr>
      </w:pPr>
      <w:bookmarkStart w:id="283" w:name="_Toc373478378"/>
      <w:bookmarkStart w:id="284" w:name="_Toc351203640"/>
      <w:bookmarkStart w:id="285" w:name="_Toc389065297"/>
      <w:bookmarkStart w:id="286" w:name="_Toc467599592"/>
      <w:bookmarkStart w:id="287" w:name="_Toc373227731"/>
      <w:bookmarkStart w:id="288" w:name="_Toc297048349"/>
      <w:bookmarkStart w:id="289" w:name="_Toc296503163"/>
      <w:bookmarkStart w:id="290" w:name="_Toc292559872"/>
      <w:bookmarkStart w:id="291" w:name="_Toc296347162"/>
      <w:bookmarkStart w:id="292" w:name="_Toc297120463"/>
      <w:bookmarkStart w:id="293" w:name="_Toc292559367"/>
      <w:bookmarkStart w:id="294" w:name="_Toc296346664"/>
      <w:bookmarkStart w:id="295" w:name="_Toc296944502"/>
      <w:bookmarkStart w:id="296" w:name="_Toc296890991"/>
      <w:bookmarkStart w:id="297" w:name="_Toc296891203"/>
      <w:bookmarkStart w:id="298" w:name="_Toc296503058"/>
      <w:bookmarkStart w:id="299" w:name="_Toc337558776"/>
      <w:bookmarkStart w:id="300" w:name="_Toc296346559"/>
      <w:r>
        <w:rPr>
          <w:rFonts w:hint="eastAsia" w:ascii="Times New Roman" w:hAnsi="Times New Roman"/>
          <w:color w:val="auto"/>
          <w:sz w:val="24"/>
          <w:szCs w:val="24"/>
          <w:highlight w:val="none"/>
        </w:rPr>
        <w:t>7</w:t>
      </w:r>
      <w:r>
        <w:rPr>
          <w:rFonts w:ascii="Times New Roman" w:hAnsi="Times New Roman"/>
          <w:color w:val="auto"/>
          <w:sz w:val="24"/>
          <w:szCs w:val="24"/>
          <w:highlight w:val="none"/>
        </w:rPr>
        <w:t xml:space="preserve">. </w:t>
      </w:r>
      <w:r>
        <w:rPr>
          <w:rFonts w:ascii="Times New Roman" w:hAnsi="宋体"/>
          <w:color w:val="auto"/>
          <w:sz w:val="24"/>
          <w:szCs w:val="24"/>
          <w:highlight w:val="none"/>
        </w:rPr>
        <w:t>材料与设备</w:t>
      </w:r>
      <w:bookmarkEnd w:id="283"/>
      <w:bookmarkEnd w:id="284"/>
      <w:bookmarkEnd w:id="285"/>
      <w:bookmarkEnd w:id="286"/>
      <w:bookmarkEnd w:id="287"/>
    </w:p>
    <w:bookmarkEnd w:id="288"/>
    <w:bookmarkEnd w:id="289"/>
    <w:bookmarkEnd w:id="290"/>
    <w:bookmarkEnd w:id="291"/>
    <w:bookmarkEnd w:id="292"/>
    <w:bookmarkEnd w:id="293"/>
    <w:bookmarkEnd w:id="294"/>
    <w:bookmarkEnd w:id="295"/>
    <w:bookmarkEnd w:id="296"/>
    <w:bookmarkEnd w:id="297"/>
    <w:p w14:paraId="5DD3B91F">
      <w:pPr>
        <w:pStyle w:val="248"/>
        <w:spacing w:before="0" w:after="0" w:line="360" w:lineRule="auto"/>
        <w:ind w:firstLine="236" w:firstLineChars="98"/>
        <w:rPr>
          <w:color w:val="auto"/>
          <w:sz w:val="24"/>
          <w:szCs w:val="24"/>
          <w:highlight w:val="none"/>
        </w:rPr>
      </w:pPr>
      <w:bookmarkStart w:id="301" w:name="_Toc389065298"/>
      <w:bookmarkStart w:id="302" w:name="_Toc467599593"/>
      <w:bookmarkStart w:id="303" w:name="_Toc373478379"/>
      <w:bookmarkStart w:id="304" w:name="_Toc373227732"/>
      <w:r>
        <w:rPr>
          <w:rFonts w:hint="eastAsia"/>
          <w:color w:val="auto"/>
          <w:sz w:val="24"/>
          <w:szCs w:val="24"/>
          <w:highlight w:val="none"/>
        </w:rPr>
        <w:t>7</w:t>
      </w:r>
      <w:r>
        <w:rPr>
          <w:color w:val="auto"/>
          <w:sz w:val="24"/>
          <w:szCs w:val="24"/>
          <w:highlight w:val="none"/>
        </w:rPr>
        <w:t>.</w:t>
      </w:r>
      <w:r>
        <w:rPr>
          <w:rFonts w:hint="eastAsia"/>
          <w:color w:val="auto"/>
          <w:sz w:val="24"/>
          <w:szCs w:val="24"/>
          <w:highlight w:val="none"/>
        </w:rPr>
        <w:t>1</w:t>
      </w:r>
      <w:r>
        <w:rPr>
          <w:color w:val="auto"/>
          <w:sz w:val="24"/>
          <w:szCs w:val="24"/>
          <w:highlight w:val="none"/>
        </w:rPr>
        <w:t xml:space="preserve"> </w:t>
      </w:r>
      <w:r>
        <w:rPr>
          <w:rFonts w:hAnsi="宋体"/>
          <w:color w:val="auto"/>
          <w:sz w:val="24"/>
          <w:szCs w:val="24"/>
          <w:highlight w:val="none"/>
        </w:rPr>
        <w:t>承包人采购材料与工程设备</w:t>
      </w:r>
      <w:bookmarkEnd w:id="301"/>
      <w:bookmarkEnd w:id="302"/>
      <w:bookmarkEnd w:id="303"/>
      <w:bookmarkEnd w:id="304"/>
    </w:p>
    <w:p w14:paraId="7C3680BB">
      <w:pPr>
        <w:spacing w:line="360" w:lineRule="auto"/>
        <w:ind w:firstLine="480" w:firstLineChars="200"/>
        <w:rPr>
          <w:rFonts w:ascii="Times New Roman" w:hAnsi="Times New Roman"/>
          <w:color w:val="auto"/>
          <w:sz w:val="24"/>
          <w:szCs w:val="24"/>
          <w:highlight w:val="none"/>
        </w:rPr>
      </w:pPr>
      <w:bookmarkStart w:id="305" w:name="_Toc373227733"/>
      <w:bookmarkStart w:id="306" w:name="_Toc389065299"/>
      <w:bookmarkStart w:id="307" w:name="_Toc467599594"/>
      <w:bookmarkStart w:id="308" w:name="_Toc373478380"/>
      <w:r>
        <w:rPr>
          <w:rFonts w:hint="eastAsia" w:ascii="Times New Roman" w:hAnsi="Times New Roman"/>
          <w:color w:val="auto"/>
          <w:sz w:val="24"/>
          <w:szCs w:val="24"/>
          <w:highlight w:val="none"/>
        </w:rPr>
        <w:t>7.1</w:t>
      </w:r>
      <w:r>
        <w:rPr>
          <w:rFonts w:ascii="Times New Roman" w:hAnsi="Times New Roman"/>
          <w:color w:val="auto"/>
          <w:sz w:val="24"/>
          <w:szCs w:val="24"/>
          <w:highlight w:val="none"/>
        </w:rPr>
        <w:t>.1</w:t>
      </w:r>
      <w:r>
        <w:rPr>
          <w:rFonts w:hint="eastAsia" w:ascii="Times New Roman" w:hAnsi="Times New Roman"/>
          <w:color w:val="auto"/>
          <w:sz w:val="24"/>
          <w:szCs w:val="24"/>
          <w:highlight w:val="none"/>
        </w:rPr>
        <w:t xml:space="preserve"> </w:t>
      </w:r>
      <w:r>
        <w:rPr>
          <w:rFonts w:ascii="Times New Roman" w:hAnsi="宋体"/>
          <w:color w:val="auto"/>
          <w:sz w:val="24"/>
          <w:szCs w:val="24"/>
          <w:highlight w:val="none"/>
        </w:rPr>
        <w:t>承包人所提供的货物型号、技术规格、技术术参数等质量必须与招投标文件和承诺相一致，货物具备生产厂家专门标记或序列号并向发包可人提供供货厂家授权委托书。</w:t>
      </w:r>
    </w:p>
    <w:p w14:paraId="3693E65D">
      <w:pPr>
        <w:spacing w:line="360" w:lineRule="auto"/>
        <w:ind w:firstLine="480" w:firstLineChars="200"/>
        <w:rPr>
          <w:rFonts w:ascii="Times New Roman" w:hAnsi="Times New Roman"/>
          <w:color w:val="auto"/>
          <w:sz w:val="24"/>
          <w:szCs w:val="24"/>
          <w:highlight w:val="none"/>
        </w:rPr>
      </w:pPr>
      <w:r>
        <w:rPr>
          <w:rFonts w:hint="eastAsia" w:ascii="Times New Roman" w:hAnsi="Times New Roman"/>
          <w:color w:val="auto"/>
          <w:sz w:val="24"/>
          <w:szCs w:val="24"/>
          <w:highlight w:val="none"/>
        </w:rPr>
        <w:t>7.1</w:t>
      </w:r>
      <w:r>
        <w:rPr>
          <w:rFonts w:ascii="Times New Roman" w:hAnsi="Times New Roman"/>
          <w:color w:val="auto"/>
          <w:sz w:val="24"/>
          <w:szCs w:val="24"/>
          <w:highlight w:val="none"/>
        </w:rPr>
        <w:t>.2</w:t>
      </w:r>
      <w:r>
        <w:rPr>
          <w:rFonts w:hint="eastAsia" w:ascii="Times New Roman" w:hAnsi="Times New Roman"/>
          <w:color w:val="auto"/>
          <w:sz w:val="24"/>
          <w:szCs w:val="24"/>
          <w:highlight w:val="none"/>
        </w:rPr>
        <w:t xml:space="preserve"> </w:t>
      </w:r>
      <w:r>
        <w:rPr>
          <w:rFonts w:ascii="Times New Roman" w:hAnsi="宋体"/>
          <w:color w:val="auto"/>
          <w:sz w:val="24"/>
          <w:szCs w:val="24"/>
          <w:highlight w:val="none"/>
        </w:rPr>
        <w:t>承包人所提供的货物必须是全新、未使用的原装产品，且在正常安装、使用和保养条件下，其使用寿命期内各项指标均达到质量要求。</w:t>
      </w:r>
    </w:p>
    <w:p w14:paraId="0BB644EB">
      <w:pPr>
        <w:spacing w:line="360" w:lineRule="auto"/>
        <w:ind w:firstLine="480" w:firstLineChars="200"/>
        <w:rPr>
          <w:rFonts w:ascii="Times New Roman" w:hAnsi="Times New Roman"/>
          <w:color w:val="auto"/>
          <w:sz w:val="24"/>
          <w:szCs w:val="24"/>
          <w:highlight w:val="none"/>
        </w:rPr>
      </w:pPr>
      <w:r>
        <w:rPr>
          <w:rFonts w:hint="eastAsia" w:ascii="Times New Roman" w:hAnsi="Times New Roman"/>
          <w:color w:val="auto"/>
          <w:sz w:val="24"/>
          <w:szCs w:val="24"/>
          <w:highlight w:val="none"/>
        </w:rPr>
        <w:t>7.1.</w:t>
      </w:r>
      <w:r>
        <w:rPr>
          <w:rFonts w:ascii="Times New Roman" w:hAnsi="Times New Roman"/>
          <w:color w:val="auto"/>
          <w:sz w:val="24"/>
          <w:szCs w:val="24"/>
          <w:highlight w:val="none"/>
        </w:rPr>
        <w:t>3</w:t>
      </w:r>
      <w:r>
        <w:rPr>
          <w:rFonts w:hint="eastAsia" w:ascii="Times New Roman" w:hAnsi="Times New Roman"/>
          <w:color w:val="auto"/>
          <w:sz w:val="24"/>
          <w:szCs w:val="24"/>
          <w:highlight w:val="none"/>
        </w:rPr>
        <w:t xml:space="preserve"> </w:t>
      </w:r>
      <w:r>
        <w:rPr>
          <w:rFonts w:ascii="Times New Roman" w:hAnsi="宋体"/>
          <w:color w:val="auto"/>
          <w:sz w:val="24"/>
          <w:szCs w:val="24"/>
          <w:highlight w:val="none"/>
        </w:rPr>
        <w:t>除专用合同条款的附件《发包人供应材料设备览表》中明确的材料、工程设备外，由承包人负责材料和工程设备的采购、运输和保管。对工程使用的重要建设工程材料，承包人应按《南宁市建设工程材料使用管理办法》相关规定，从南宁市建设行政主管部门公布的建设工程材料备案目录中选用。</w:t>
      </w:r>
    </w:p>
    <w:p w14:paraId="2B4654D4">
      <w:pPr>
        <w:spacing w:line="360" w:lineRule="auto"/>
        <w:ind w:firstLine="480" w:firstLineChars="200"/>
        <w:rPr>
          <w:rFonts w:ascii="Times New Roman" w:hAnsi="Times New Roman"/>
          <w:color w:val="auto"/>
          <w:sz w:val="24"/>
          <w:szCs w:val="24"/>
          <w:highlight w:val="none"/>
        </w:rPr>
      </w:pPr>
      <w:r>
        <w:rPr>
          <w:rFonts w:ascii="Times New Roman" w:hAnsi="宋体"/>
          <w:color w:val="auto"/>
          <w:sz w:val="24"/>
          <w:szCs w:val="24"/>
          <w:highlight w:val="none"/>
        </w:rPr>
        <w:t>对发包人在招标时有</w:t>
      </w:r>
      <w:r>
        <w:rPr>
          <w:rFonts w:hint="eastAsia" w:ascii="宋体" w:hAnsi="宋体"/>
          <w:color w:val="auto"/>
          <w:sz w:val="24"/>
          <w:szCs w:val="24"/>
          <w:highlight w:val="none"/>
        </w:rPr>
        <w:t>“参照或相当于”</w:t>
      </w:r>
      <w:r>
        <w:rPr>
          <w:rFonts w:ascii="Times New Roman" w:hAnsi="宋体"/>
          <w:color w:val="auto"/>
          <w:sz w:val="24"/>
          <w:szCs w:val="24"/>
          <w:highlight w:val="none"/>
        </w:rPr>
        <w:t>约定的材料，承包人在施工过程中必须按类似于或优于所约定品牌、厂家和等级进行采购，并经发包人认可。当发包人与承包人对招标文件所约定的材料有争议时，发包人有权要求承包人按招标文件有</w:t>
      </w:r>
      <w:r>
        <w:rPr>
          <w:rFonts w:ascii="宋体" w:hAnsi="宋体"/>
          <w:color w:val="auto"/>
          <w:sz w:val="24"/>
          <w:szCs w:val="24"/>
          <w:highlight w:val="none"/>
        </w:rPr>
        <w:t>“参照或相当于”</w:t>
      </w:r>
      <w:r>
        <w:rPr>
          <w:rFonts w:ascii="Times New Roman" w:hAnsi="宋体"/>
          <w:color w:val="auto"/>
          <w:sz w:val="24"/>
          <w:szCs w:val="24"/>
          <w:highlight w:val="none"/>
        </w:rPr>
        <w:t>标明材料品牌的材料进行采购，并按结算时按投标单价支付。</w:t>
      </w:r>
    </w:p>
    <w:p w14:paraId="1CD5922B">
      <w:pPr>
        <w:spacing w:line="360" w:lineRule="auto"/>
        <w:ind w:firstLine="480" w:firstLineChars="200"/>
        <w:rPr>
          <w:rFonts w:ascii="Times New Roman" w:hAnsi="Times New Roman"/>
          <w:color w:val="auto"/>
          <w:sz w:val="24"/>
          <w:szCs w:val="24"/>
          <w:highlight w:val="none"/>
        </w:rPr>
      </w:pPr>
      <w:r>
        <w:rPr>
          <w:rFonts w:ascii="Times New Roman" w:hAnsi="宋体"/>
          <w:color w:val="auto"/>
          <w:sz w:val="24"/>
          <w:szCs w:val="24"/>
          <w:highlight w:val="none"/>
        </w:rPr>
        <w:t>满足南宁市城乡建设委员会南宁市工业和信息化委员会关于重新印发《南宁市城乡建设委员会和南宁市工业和信息化委员会关于推广应用高性能混凝土的通知》的通知</w:t>
      </w:r>
      <w:r>
        <w:rPr>
          <w:rFonts w:hint="eastAsia" w:ascii="Times New Roman" w:hAnsi="宋体"/>
          <w:color w:val="auto"/>
          <w:sz w:val="24"/>
          <w:szCs w:val="24"/>
          <w:highlight w:val="none"/>
        </w:rPr>
        <w:t>（</w:t>
      </w:r>
      <w:r>
        <w:rPr>
          <w:rFonts w:ascii="Times New Roman" w:hAnsi="宋体"/>
          <w:color w:val="auto"/>
          <w:sz w:val="24"/>
          <w:szCs w:val="24"/>
          <w:highlight w:val="none"/>
        </w:rPr>
        <w:t>南建规</w:t>
      </w:r>
      <w:r>
        <w:rPr>
          <w:rFonts w:hint="eastAsia" w:ascii="Times New Roman" w:hAnsi="宋体"/>
          <w:color w:val="auto"/>
          <w:sz w:val="24"/>
          <w:szCs w:val="24"/>
          <w:highlight w:val="none"/>
        </w:rPr>
        <w:t>〔</w:t>
      </w:r>
      <w:r>
        <w:rPr>
          <w:rFonts w:ascii="Times New Roman" w:hAnsi="Times New Roman"/>
          <w:color w:val="auto"/>
          <w:sz w:val="24"/>
          <w:szCs w:val="24"/>
          <w:highlight w:val="none"/>
        </w:rPr>
        <w:t>2016]</w:t>
      </w:r>
      <w:r>
        <w:rPr>
          <w:rFonts w:hint="eastAsia" w:ascii="Times New Roman" w:hAnsi="宋体"/>
          <w:color w:val="auto"/>
          <w:sz w:val="24"/>
          <w:szCs w:val="24"/>
          <w:highlight w:val="none"/>
        </w:rPr>
        <w:t>〕</w:t>
      </w:r>
      <w:r>
        <w:rPr>
          <w:rFonts w:ascii="Times New Roman" w:hAnsi="Times New Roman"/>
          <w:color w:val="auto"/>
          <w:sz w:val="24"/>
          <w:szCs w:val="24"/>
          <w:highlight w:val="none"/>
        </w:rPr>
        <w:t>1</w:t>
      </w:r>
      <w:r>
        <w:rPr>
          <w:rFonts w:ascii="Times New Roman" w:hAnsi="宋体"/>
          <w:color w:val="auto"/>
          <w:sz w:val="24"/>
          <w:szCs w:val="24"/>
          <w:highlight w:val="none"/>
        </w:rPr>
        <w:t>号</w:t>
      </w:r>
      <w:r>
        <w:rPr>
          <w:rFonts w:hint="eastAsia" w:ascii="Times New Roman" w:hAnsi="宋体"/>
          <w:color w:val="auto"/>
          <w:sz w:val="24"/>
          <w:szCs w:val="24"/>
          <w:highlight w:val="none"/>
        </w:rPr>
        <w:t>）</w:t>
      </w:r>
      <w:r>
        <w:rPr>
          <w:rFonts w:ascii="Times New Roman" w:hAnsi="宋体"/>
          <w:color w:val="auto"/>
          <w:sz w:val="24"/>
          <w:szCs w:val="24"/>
          <w:highlight w:val="none"/>
        </w:rPr>
        <w:t>要求的，本工程必须使用高性能混凝土。</w:t>
      </w:r>
    </w:p>
    <w:p w14:paraId="4D09E7CB">
      <w:pPr>
        <w:spacing w:line="360" w:lineRule="auto"/>
        <w:ind w:firstLine="480" w:firstLineChars="200"/>
        <w:rPr>
          <w:rFonts w:ascii="Times New Roman" w:hAnsi="Times New Roman"/>
          <w:color w:val="auto"/>
          <w:sz w:val="24"/>
          <w:szCs w:val="24"/>
          <w:highlight w:val="none"/>
        </w:rPr>
      </w:pPr>
      <w:r>
        <w:rPr>
          <w:rFonts w:ascii="Times New Roman" w:hAnsi="宋体"/>
          <w:color w:val="auto"/>
          <w:sz w:val="24"/>
          <w:szCs w:val="24"/>
          <w:highlight w:val="none"/>
        </w:rPr>
        <w:t>满足南宁市人民政府印发的《南宁市人民政府关于推广使用预拌砂浆的实施意见》</w:t>
      </w:r>
      <w:r>
        <w:rPr>
          <w:rFonts w:hint="eastAsia" w:ascii="Times New Roman" w:hAnsi="宋体"/>
          <w:color w:val="auto"/>
          <w:sz w:val="24"/>
          <w:szCs w:val="24"/>
          <w:highlight w:val="none"/>
        </w:rPr>
        <w:t>（</w:t>
      </w:r>
      <w:r>
        <w:rPr>
          <w:rFonts w:ascii="Times New Roman" w:hAnsi="宋体"/>
          <w:color w:val="auto"/>
          <w:sz w:val="24"/>
          <w:szCs w:val="24"/>
          <w:highlight w:val="none"/>
        </w:rPr>
        <w:t>南建规</w:t>
      </w:r>
      <w:r>
        <w:rPr>
          <w:rFonts w:hint="eastAsia" w:ascii="Times New Roman" w:hAnsi="宋体"/>
          <w:color w:val="auto"/>
          <w:sz w:val="24"/>
          <w:szCs w:val="24"/>
          <w:highlight w:val="none"/>
        </w:rPr>
        <w:t>〔</w:t>
      </w:r>
      <w:r>
        <w:rPr>
          <w:rFonts w:ascii="Times New Roman" w:hAnsi="Times New Roman"/>
          <w:color w:val="auto"/>
          <w:sz w:val="24"/>
          <w:szCs w:val="24"/>
          <w:highlight w:val="none"/>
        </w:rPr>
        <w:t>2016]</w:t>
      </w:r>
      <w:r>
        <w:rPr>
          <w:rFonts w:hint="eastAsia" w:ascii="Times New Roman" w:hAnsi="宋体"/>
          <w:color w:val="auto"/>
          <w:sz w:val="24"/>
          <w:szCs w:val="24"/>
          <w:highlight w:val="none"/>
        </w:rPr>
        <w:t>〕</w:t>
      </w:r>
      <w:r>
        <w:rPr>
          <w:rFonts w:ascii="Times New Roman" w:hAnsi="Times New Roman"/>
          <w:color w:val="auto"/>
          <w:sz w:val="24"/>
          <w:szCs w:val="24"/>
          <w:highlight w:val="none"/>
        </w:rPr>
        <w:t>1</w:t>
      </w:r>
      <w:r>
        <w:rPr>
          <w:rFonts w:hint="eastAsia" w:ascii="Times New Roman" w:hAnsi="Times New Roman"/>
          <w:color w:val="auto"/>
          <w:sz w:val="24"/>
          <w:szCs w:val="24"/>
          <w:highlight w:val="none"/>
        </w:rPr>
        <w:t>2</w:t>
      </w:r>
      <w:r>
        <w:rPr>
          <w:rFonts w:ascii="Times New Roman" w:hAnsi="宋体"/>
          <w:color w:val="auto"/>
          <w:sz w:val="24"/>
          <w:szCs w:val="24"/>
          <w:highlight w:val="none"/>
        </w:rPr>
        <w:t>号</w:t>
      </w:r>
      <w:r>
        <w:rPr>
          <w:rFonts w:hint="eastAsia" w:ascii="Times New Roman" w:hAnsi="宋体"/>
          <w:color w:val="auto"/>
          <w:sz w:val="24"/>
          <w:szCs w:val="24"/>
          <w:highlight w:val="none"/>
        </w:rPr>
        <w:t>）</w:t>
      </w:r>
      <w:r>
        <w:rPr>
          <w:rFonts w:ascii="Times New Roman" w:hAnsi="宋体"/>
          <w:color w:val="auto"/>
          <w:sz w:val="24"/>
          <w:szCs w:val="24"/>
          <w:highlight w:val="none"/>
        </w:rPr>
        <w:t>要求的，本工程必须使用预拌砂浆。</w:t>
      </w:r>
    </w:p>
    <w:p w14:paraId="730B6940">
      <w:pPr>
        <w:pStyle w:val="248"/>
        <w:spacing w:before="0" w:after="0" w:line="360" w:lineRule="auto"/>
        <w:ind w:firstLine="236" w:firstLineChars="98"/>
        <w:rPr>
          <w:color w:val="auto"/>
          <w:sz w:val="24"/>
          <w:szCs w:val="24"/>
          <w:highlight w:val="none"/>
        </w:rPr>
      </w:pPr>
      <w:bookmarkStart w:id="309" w:name="_Toc296503167"/>
      <w:bookmarkStart w:id="310" w:name="_Toc304295556"/>
      <w:bookmarkStart w:id="311" w:name="_Toc297048353"/>
      <w:bookmarkStart w:id="312" w:name="_Toc292559372"/>
      <w:bookmarkStart w:id="313" w:name="_Toc292559877"/>
      <w:bookmarkStart w:id="314" w:name="_Toc296890995"/>
      <w:bookmarkStart w:id="315" w:name="_Toc280868654"/>
      <w:bookmarkStart w:id="316" w:name="_Toc297120467"/>
      <w:bookmarkStart w:id="317" w:name="_Toc296944506"/>
      <w:bookmarkStart w:id="318" w:name="_Toc303539136"/>
      <w:bookmarkStart w:id="319" w:name="_Toc297216186"/>
      <w:bookmarkStart w:id="320" w:name="_Toc300934979"/>
      <w:bookmarkStart w:id="321" w:name="_Toc296347166"/>
      <w:bookmarkStart w:id="322" w:name="_Toc297123527"/>
      <w:bookmarkStart w:id="323" w:name="_Toc296891207"/>
      <w:bookmarkStart w:id="324" w:name="_Toc296346668"/>
      <w:bookmarkStart w:id="325" w:name="_Toc312678019"/>
      <w:bookmarkStart w:id="326" w:name="_Toc312677493"/>
      <w:bookmarkStart w:id="327" w:name="_Toc280868655"/>
      <w:bookmarkStart w:id="328" w:name="_Toc267251424"/>
      <w:bookmarkStart w:id="329" w:name="_Toc280868656"/>
      <w:r>
        <w:rPr>
          <w:rFonts w:hint="eastAsia"/>
          <w:color w:val="auto"/>
          <w:sz w:val="24"/>
          <w:szCs w:val="24"/>
          <w:highlight w:val="none"/>
        </w:rPr>
        <w:t>7</w:t>
      </w:r>
      <w:r>
        <w:rPr>
          <w:color w:val="auto"/>
          <w:sz w:val="24"/>
          <w:szCs w:val="24"/>
          <w:highlight w:val="none"/>
        </w:rPr>
        <w:t>.</w:t>
      </w:r>
      <w:r>
        <w:rPr>
          <w:rFonts w:hint="eastAsia"/>
          <w:color w:val="auto"/>
          <w:sz w:val="24"/>
          <w:szCs w:val="24"/>
          <w:highlight w:val="none"/>
        </w:rPr>
        <w:t>2</w:t>
      </w:r>
      <w:r>
        <w:rPr>
          <w:color w:val="auto"/>
          <w:sz w:val="24"/>
          <w:szCs w:val="24"/>
          <w:highlight w:val="none"/>
        </w:rPr>
        <w:t xml:space="preserve"> </w:t>
      </w:r>
      <w:r>
        <w:rPr>
          <w:rFonts w:hAnsi="宋体"/>
          <w:color w:val="auto"/>
          <w:sz w:val="24"/>
          <w:szCs w:val="24"/>
          <w:highlight w:val="none"/>
        </w:rPr>
        <w:t>材料与工程设备的保管与使用</w:t>
      </w:r>
      <w:bookmarkEnd w:id="305"/>
      <w:bookmarkEnd w:id="306"/>
      <w:bookmarkEnd w:id="307"/>
      <w:bookmarkEnd w:id="308"/>
    </w:p>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14:paraId="3149CC14">
      <w:pPr>
        <w:pStyle w:val="232"/>
        <w:spacing w:line="360" w:lineRule="auto"/>
        <w:ind w:firstLine="420"/>
        <w:rPr>
          <w:rFonts w:ascii="Times New Roman" w:hAnsi="Times New Roman"/>
          <w:color w:val="auto"/>
          <w:sz w:val="24"/>
          <w:szCs w:val="24"/>
          <w:highlight w:val="none"/>
          <w:u w:val="single"/>
        </w:rPr>
      </w:pPr>
      <w:bookmarkStart w:id="330" w:name="_Toc292559878"/>
      <w:bookmarkStart w:id="331" w:name="_Toc292559373"/>
      <w:bookmarkStart w:id="332" w:name="_Toc300934980"/>
      <w:bookmarkStart w:id="333" w:name="_Toc296891208"/>
      <w:bookmarkStart w:id="334" w:name="_Toc304295557"/>
      <w:bookmarkStart w:id="335" w:name="_Toc297120468"/>
      <w:bookmarkStart w:id="336" w:name="_Toc296503168"/>
      <w:bookmarkStart w:id="337" w:name="_Toc296346669"/>
      <w:bookmarkStart w:id="338" w:name="_Toc296347167"/>
      <w:bookmarkStart w:id="339" w:name="_Toc318581173"/>
      <w:bookmarkStart w:id="340" w:name="_Toc296944507"/>
      <w:bookmarkStart w:id="341" w:name="_Toc297123528"/>
      <w:bookmarkStart w:id="342" w:name="_Toc312677494"/>
      <w:bookmarkStart w:id="343" w:name="_Toc297048354"/>
      <w:bookmarkStart w:id="344" w:name="_Toc297216187"/>
      <w:bookmarkStart w:id="345" w:name="_Toc296890996"/>
      <w:bookmarkStart w:id="346" w:name="_Toc303539137"/>
      <w:bookmarkStart w:id="347" w:name="_Toc312678020"/>
      <w:r>
        <w:rPr>
          <w:rFonts w:ascii="Times New Roman" w:hAnsi="宋体"/>
          <w:color w:val="auto"/>
          <w:sz w:val="24"/>
          <w:szCs w:val="24"/>
          <w:highlight w:val="none"/>
        </w:rPr>
        <w:t>发包人供应的材料设备的保管费用的承担：</w:t>
      </w:r>
      <w:r>
        <w:rPr>
          <w:rFonts w:ascii="Times New Roman" w:hAnsi="宋体"/>
          <w:color w:val="auto"/>
          <w:sz w:val="24"/>
          <w:szCs w:val="24"/>
          <w:highlight w:val="none"/>
          <w:u w:val="single"/>
        </w:rPr>
        <w:t>由承包人免费承担保管、运输、接收检验，不得以任何理由拒绝。</w:t>
      </w:r>
    </w:p>
    <w:bookmarkEnd w:id="330"/>
    <w:bookmarkEnd w:id="331"/>
    <w:p w14:paraId="0EECD3DD">
      <w:pPr>
        <w:pStyle w:val="248"/>
        <w:spacing w:before="0" w:after="0" w:line="360" w:lineRule="auto"/>
        <w:ind w:firstLine="236" w:firstLineChars="98"/>
        <w:rPr>
          <w:color w:val="auto"/>
          <w:sz w:val="24"/>
          <w:szCs w:val="24"/>
          <w:highlight w:val="none"/>
        </w:rPr>
      </w:pPr>
      <w:bookmarkStart w:id="348" w:name="_Toc389065300"/>
      <w:bookmarkStart w:id="349" w:name="_Toc467599595"/>
      <w:bookmarkStart w:id="350" w:name="_Toc373478381"/>
      <w:bookmarkStart w:id="351" w:name="_Toc373227734"/>
      <w:r>
        <w:rPr>
          <w:rFonts w:hint="eastAsia"/>
          <w:color w:val="auto"/>
          <w:sz w:val="24"/>
          <w:szCs w:val="24"/>
          <w:highlight w:val="none"/>
        </w:rPr>
        <w:t>7</w:t>
      </w:r>
      <w:r>
        <w:rPr>
          <w:color w:val="auto"/>
          <w:sz w:val="24"/>
          <w:szCs w:val="24"/>
          <w:highlight w:val="none"/>
        </w:rPr>
        <w:t>.</w:t>
      </w:r>
      <w:r>
        <w:rPr>
          <w:rFonts w:hint="eastAsia"/>
          <w:color w:val="auto"/>
          <w:sz w:val="24"/>
          <w:szCs w:val="24"/>
          <w:highlight w:val="none"/>
        </w:rPr>
        <w:t>3</w:t>
      </w:r>
      <w:r>
        <w:rPr>
          <w:color w:val="auto"/>
          <w:sz w:val="24"/>
          <w:szCs w:val="24"/>
          <w:highlight w:val="none"/>
        </w:rPr>
        <w:t xml:space="preserve"> </w:t>
      </w:r>
      <w:r>
        <w:rPr>
          <w:rFonts w:hAnsi="宋体"/>
          <w:color w:val="auto"/>
          <w:sz w:val="24"/>
          <w:szCs w:val="24"/>
          <w:highlight w:val="none"/>
        </w:rPr>
        <w:t>样品</w:t>
      </w:r>
      <w:bookmarkEnd w:id="348"/>
      <w:bookmarkEnd w:id="349"/>
      <w:bookmarkEnd w:id="350"/>
      <w:bookmarkEnd w:id="351"/>
    </w:p>
    <w:p w14:paraId="3EF9457A">
      <w:pPr>
        <w:pStyle w:val="230"/>
        <w:autoSpaceDE w:val="0"/>
        <w:autoSpaceDN w:val="0"/>
        <w:adjustRightInd w:val="0"/>
        <w:spacing w:line="360" w:lineRule="auto"/>
        <w:ind w:firstLine="480" w:firstLineChars="200"/>
        <w:rPr>
          <w:color w:val="auto"/>
          <w:sz w:val="24"/>
          <w:szCs w:val="24"/>
          <w:highlight w:val="none"/>
          <w:u w:val="single"/>
        </w:rPr>
      </w:pPr>
      <w:r>
        <w:rPr>
          <w:rFonts w:hAnsi="宋体"/>
          <w:color w:val="auto"/>
          <w:kern w:val="0"/>
          <w:sz w:val="24"/>
          <w:szCs w:val="24"/>
          <w:highlight w:val="none"/>
        </w:rPr>
        <w:t>需要承包人报送样品的材料或工程设备，样品的种类、名称、规格、数量要求：</w:t>
      </w:r>
      <w:r>
        <w:rPr>
          <w:rFonts w:hAnsi="宋体"/>
          <w:color w:val="auto"/>
          <w:sz w:val="24"/>
          <w:szCs w:val="24"/>
          <w:highlight w:val="none"/>
          <w:u w:val="single"/>
        </w:rPr>
        <w:t>主要材料涉及品种、款式、颜色等方面内容的，承包人应提交准备合格的材料样品送发包人选定。</w:t>
      </w:r>
    </w:p>
    <w:p w14:paraId="37C3FDC9">
      <w:pPr>
        <w:pStyle w:val="248"/>
        <w:spacing w:before="0" w:after="0" w:line="360" w:lineRule="auto"/>
        <w:ind w:firstLine="236" w:firstLineChars="98"/>
        <w:rPr>
          <w:rFonts w:ascii="宋体" w:hAnsi="宋体"/>
          <w:color w:val="auto"/>
          <w:sz w:val="24"/>
          <w:szCs w:val="24"/>
          <w:highlight w:val="none"/>
        </w:rPr>
      </w:pPr>
      <w:bookmarkStart w:id="352" w:name="_Toc373227735"/>
      <w:bookmarkStart w:id="353" w:name="_Toc389065301"/>
      <w:bookmarkStart w:id="354" w:name="_Toc467599596"/>
      <w:bookmarkStart w:id="355" w:name="_Toc373478382"/>
      <w:r>
        <w:rPr>
          <w:color w:val="auto"/>
          <w:sz w:val="24"/>
          <w:szCs w:val="24"/>
          <w:highlight w:val="none"/>
        </w:rPr>
        <w:t>7.4</w:t>
      </w:r>
      <w:r>
        <w:rPr>
          <w:rFonts w:ascii="宋体" w:hAnsi="宋体"/>
          <w:color w:val="auto"/>
          <w:sz w:val="24"/>
          <w:szCs w:val="24"/>
          <w:highlight w:val="none"/>
        </w:rPr>
        <w:t xml:space="preserve"> 施工设备和临时设施</w:t>
      </w:r>
      <w:bookmarkEnd w:id="352"/>
      <w:bookmarkEnd w:id="353"/>
      <w:bookmarkEnd w:id="354"/>
      <w:bookmarkEnd w:id="355"/>
    </w:p>
    <w:p w14:paraId="6F3E303F">
      <w:pPr>
        <w:pStyle w:val="230"/>
        <w:autoSpaceDE w:val="0"/>
        <w:autoSpaceDN w:val="0"/>
        <w:adjustRightInd w:val="0"/>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7</w:t>
      </w:r>
      <w:r>
        <w:rPr>
          <w:rFonts w:ascii="宋体" w:hAnsi="宋体"/>
          <w:color w:val="auto"/>
          <w:sz w:val="24"/>
          <w:szCs w:val="24"/>
          <w:highlight w:val="none"/>
        </w:rPr>
        <w:t>.</w:t>
      </w:r>
      <w:r>
        <w:rPr>
          <w:rFonts w:hint="eastAsia" w:ascii="宋体" w:hAnsi="宋体"/>
          <w:color w:val="auto"/>
          <w:sz w:val="24"/>
          <w:szCs w:val="24"/>
          <w:highlight w:val="none"/>
        </w:rPr>
        <w:t>4</w:t>
      </w:r>
      <w:r>
        <w:rPr>
          <w:rFonts w:ascii="宋体" w:hAnsi="宋体"/>
          <w:color w:val="auto"/>
          <w:sz w:val="24"/>
          <w:szCs w:val="24"/>
          <w:highlight w:val="none"/>
        </w:rPr>
        <w:t>.1 承包人提供的施工设备和临时设施</w:t>
      </w:r>
    </w:p>
    <w:p w14:paraId="45F66C8D">
      <w:pPr>
        <w:pStyle w:val="230"/>
        <w:autoSpaceDE w:val="0"/>
        <w:autoSpaceDN w:val="0"/>
        <w:adjustRightInd w:val="0"/>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关于修建临时设施费用承担的约定：</w:t>
      </w:r>
    </w:p>
    <w:p w14:paraId="229A843E">
      <w:pPr>
        <w:pStyle w:val="232"/>
        <w:autoSpaceDE w:val="0"/>
        <w:autoSpaceDN w:val="0"/>
        <w:adjustRightInd w:val="0"/>
        <w:spacing w:line="360" w:lineRule="auto"/>
        <w:ind w:firstLine="480" w:firstLineChars="200"/>
        <w:rPr>
          <w:rFonts w:ascii="宋体" w:hAnsi="宋体"/>
          <w:color w:val="auto"/>
          <w:sz w:val="24"/>
          <w:szCs w:val="24"/>
          <w:highlight w:val="none"/>
          <w:u w:val="single"/>
        </w:rPr>
      </w:pPr>
      <w:r>
        <w:rPr>
          <w:rFonts w:ascii="宋体" w:hAnsi="宋体"/>
          <w:color w:val="auto"/>
          <w:sz w:val="24"/>
          <w:szCs w:val="24"/>
          <w:highlight w:val="none"/>
          <w:u w:val="single"/>
        </w:rPr>
        <w:t>①承担修承包人建临时设施的费用的范围：建筑物沿边向外500米以内道路、1000米以内的水、电、管线等临时设施费用（已包含在承包人投标报价中）。</w:t>
      </w:r>
    </w:p>
    <w:p w14:paraId="658C154C">
      <w:pPr>
        <w:pStyle w:val="232"/>
        <w:autoSpaceDE w:val="0"/>
        <w:autoSpaceDN w:val="0"/>
        <w:adjustRightInd w:val="0"/>
        <w:spacing w:line="360" w:lineRule="auto"/>
        <w:ind w:firstLine="480" w:firstLineChars="200"/>
        <w:rPr>
          <w:rFonts w:ascii="宋体" w:hAnsi="宋体"/>
          <w:color w:val="auto"/>
          <w:sz w:val="24"/>
          <w:szCs w:val="24"/>
          <w:highlight w:val="none"/>
          <w:u w:val="single"/>
        </w:rPr>
      </w:pPr>
      <w:r>
        <w:rPr>
          <w:rFonts w:ascii="宋体" w:hAnsi="宋体"/>
          <w:color w:val="auto"/>
          <w:sz w:val="24"/>
          <w:szCs w:val="24"/>
          <w:highlight w:val="none"/>
          <w:u w:val="single"/>
        </w:rPr>
        <w:t>②承包人的临时用地（含项目部驻地等）租用费（含拆迁补偿）、临时用地的环保、恢复、临时用地的青苗补偿及地面附着物拆除等费用均由承包人承担。</w:t>
      </w:r>
    </w:p>
    <w:p w14:paraId="44FEBCD0">
      <w:pPr>
        <w:pStyle w:val="232"/>
        <w:autoSpaceDE w:val="0"/>
        <w:autoSpaceDN w:val="0"/>
        <w:adjustRightInd w:val="0"/>
        <w:spacing w:line="360" w:lineRule="auto"/>
        <w:ind w:firstLine="480" w:firstLineChars="200"/>
        <w:rPr>
          <w:rFonts w:ascii="宋体" w:hAnsi="宋体"/>
          <w:color w:val="auto"/>
          <w:sz w:val="24"/>
          <w:szCs w:val="24"/>
          <w:highlight w:val="none"/>
          <w:u w:val="single"/>
        </w:rPr>
      </w:pPr>
      <w:r>
        <w:rPr>
          <w:rFonts w:ascii="宋体" w:hAnsi="宋体"/>
          <w:color w:val="auto"/>
          <w:sz w:val="24"/>
          <w:szCs w:val="24"/>
          <w:highlight w:val="none"/>
          <w:u w:val="single"/>
        </w:rPr>
        <w:t>③承包人负责合同实施期间其施工场地内临时交通道路（含场内外连接公共交通道路）和交通设施的修建、维修、养护和交通管理工作，并承担一切费用。</w:t>
      </w:r>
    </w:p>
    <w:p w14:paraId="7A7A955F">
      <w:pPr>
        <w:pStyle w:val="232"/>
        <w:autoSpaceDE w:val="0"/>
        <w:autoSpaceDN w:val="0"/>
        <w:adjustRightInd w:val="0"/>
        <w:spacing w:line="360" w:lineRule="auto"/>
        <w:ind w:firstLine="480" w:firstLineChars="200"/>
        <w:rPr>
          <w:rFonts w:ascii="宋体" w:hAnsi="宋体"/>
          <w:color w:val="auto"/>
          <w:sz w:val="24"/>
          <w:szCs w:val="24"/>
          <w:highlight w:val="none"/>
          <w:u w:val="single"/>
        </w:rPr>
      </w:pPr>
      <w:r>
        <w:rPr>
          <w:rFonts w:ascii="宋体" w:hAnsi="宋体"/>
          <w:color w:val="auto"/>
          <w:sz w:val="24"/>
          <w:szCs w:val="24"/>
          <w:highlight w:val="none"/>
          <w:u w:val="single"/>
        </w:rPr>
        <w:t>④承包人修建的临时道路和交通设施，应免费提供给发包人、监理工程师和其他施工人使用，如共同使用的路基损坏严重，发包人或监理工程师将负责通知承包人修复，费用由承包人承担。</w:t>
      </w:r>
    </w:p>
    <w:p w14:paraId="79BA666E">
      <w:pPr>
        <w:pStyle w:val="230"/>
        <w:autoSpaceDE w:val="0"/>
        <w:autoSpaceDN w:val="0"/>
        <w:adjustRightInd w:val="0"/>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7</w:t>
      </w:r>
      <w:r>
        <w:rPr>
          <w:rFonts w:ascii="宋体" w:hAnsi="宋体"/>
          <w:color w:val="auto"/>
          <w:sz w:val="24"/>
          <w:szCs w:val="24"/>
          <w:highlight w:val="none"/>
        </w:rPr>
        <w:t>.</w:t>
      </w:r>
      <w:r>
        <w:rPr>
          <w:rFonts w:hint="eastAsia" w:ascii="宋体" w:hAnsi="宋体"/>
          <w:color w:val="auto"/>
          <w:sz w:val="24"/>
          <w:szCs w:val="24"/>
          <w:highlight w:val="none"/>
        </w:rPr>
        <w:t>4</w:t>
      </w:r>
      <w:r>
        <w:rPr>
          <w:rFonts w:ascii="宋体" w:hAnsi="宋体"/>
          <w:color w:val="auto"/>
          <w:sz w:val="24"/>
          <w:szCs w:val="24"/>
          <w:highlight w:val="none"/>
        </w:rPr>
        <w:t>.2 发包人提供的施工设备和临时设施</w:t>
      </w:r>
    </w:p>
    <w:p w14:paraId="6215DACC">
      <w:pPr>
        <w:pStyle w:val="230"/>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发包人提供的施工设备和临时设施：</w:t>
      </w:r>
      <w:r>
        <w:rPr>
          <w:rFonts w:ascii="宋体" w:hAnsi="宋体"/>
          <w:color w:val="auto"/>
          <w:sz w:val="24"/>
          <w:szCs w:val="24"/>
          <w:highlight w:val="none"/>
          <w:u w:val="single"/>
        </w:rPr>
        <w:t xml:space="preserve">  无      </w:t>
      </w:r>
      <w:r>
        <w:rPr>
          <w:rFonts w:ascii="宋体" w:hAnsi="宋体"/>
          <w:color w:val="auto"/>
          <w:sz w:val="24"/>
          <w:szCs w:val="24"/>
          <w:highlight w:val="none"/>
        </w:rPr>
        <w:t>。</w:t>
      </w:r>
    </w:p>
    <w:p w14:paraId="641CDEBE">
      <w:pPr>
        <w:pStyle w:val="230"/>
        <w:autoSpaceDE w:val="0"/>
        <w:autoSpaceDN w:val="0"/>
        <w:adjustRightInd w:val="0"/>
        <w:spacing w:line="360" w:lineRule="auto"/>
        <w:ind w:firstLine="480" w:firstLineChars="200"/>
        <w:rPr>
          <w:rFonts w:ascii="宋体" w:hAnsi="宋体"/>
          <w:color w:val="auto"/>
          <w:sz w:val="24"/>
          <w:szCs w:val="24"/>
          <w:highlight w:val="none"/>
        </w:rPr>
      </w:pPr>
      <w:r>
        <w:rPr>
          <w:rFonts w:ascii="宋体" w:hAnsi="宋体"/>
          <w:color w:val="auto"/>
          <w:sz w:val="24"/>
          <w:szCs w:val="24"/>
          <w:highlight w:val="none"/>
        </w:rPr>
        <w:t>发包人提供的施工设备和临时设施的运行、维护、拆除、清运费用的承担人：</w:t>
      </w:r>
      <w:r>
        <w:rPr>
          <w:rFonts w:ascii="宋体" w:hAnsi="宋体"/>
          <w:color w:val="auto"/>
          <w:sz w:val="24"/>
          <w:szCs w:val="24"/>
          <w:highlight w:val="none"/>
          <w:u w:val="single"/>
        </w:rPr>
        <w:t xml:space="preserve">   无  </w:t>
      </w:r>
      <w:r>
        <w:rPr>
          <w:rFonts w:ascii="宋体" w:hAnsi="宋体"/>
          <w:color w:val="auto"/>
          <w:sz w:val="24"/>
          <w:szCs w:val="24"/>
          <w:highlight w:val="none"/>
        </w:rPr>
        <w:t>。</w:t>
      </w:r>
      <w:bookmarkEnd w:id="327"/>
      <w:bookmarkEnd w:id="328"/>
      <w:bookmarkEnd w:id="329"/>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bookmarkEnd w:id="298"/>
    <w:bookmarkEnd w:id="299"/>
    <w:bookmarkEnd w:id="300"/>
    <w:p w14:paraId="27226C37">
      <w:pPr>
        <w:pStyle w:val="247"/>
        <w:spacing w:beforeLines="100" w:after="0" w:line="360" w:lineRule="auto"/>
        <w:rPr>
          <w:rFonts w:ascii="Times New Roman" w:hAnsi="Times New Roman"/>
          <w:color w:val="auto"/>
          <w:sz w:val="24"/>
          <w:szCs w:val="24"/>
          <w:highlight w:val="none"/>
        </w:rPr>
      </w:pPr>
      <w:bookmarkStart w:id="356" w:name="_Toc373227739"/>
      <w:bookmarkStart w:id="357" w:name="_Toc296944532"/>
      <w:bookmarkStart w:id="358" w:name="_Toc297048379"/>
      <w:bookmarkStart w:id="359" w:name="_Toc292559398"/>
      <w:bookmarkStart w:id="360" w:name="_Toc296347192"/>
      <w:bookmarkStart w:id="361" w:name="_Toc351203642"/>
      <w:bookmarkStart w:id="362" w:name="_Toc296346694"/>
      <w:bookmarkStart w:id="363" w:name="_Toc373478386"/>
      <w:bookmarkStart w:id="364" w:name="_Toc297216199"/>
      <w:bookmarkStart w:id="365" w:name="_Toc303539146"/>
      <w:bookmarkStart w:id="366" w:name="_Toc292559903"/>
      <w:bookmarkStart w:id="367" w:name="_Toc304295566"/>
      <w:bookmarkStart w:id="368" w:name="_Toc296891021"/>
      <w:bookmarkStart w:id="369" w:name="_Toc389065305"/>
      <w:bookmarkStart w:id="370" w:name="_Toc296503193"/>
      <w:bookmarkStart w:id="371" w:name="_Toc297123540"/>
      <w:bookmarkStart w:id="372" w:name="_Toc300934989"/>
      <w:bookmarkStart w:id="373" w:name="_Toc296891233"/>
      <w:bookmarkStart w:id="374" w:name="_Toc297120493"/>
      <w:bookmarkStart w:id="375" w:name="_Toc467599601"/>
      <w:bookmarkStart w:id="376" w:name="_Toc312678025"/>
      <w:bookmarkStart w:id="377" w:name="_Toc312677499"/>
      <w:bookmarkStart w:id="378" w:name="_Toc267251439"/>
      <w:bookmarkStart w:id="379" w:name="_Toc267251433"/>
      <w:bookmarkStart w:id="380" w:name="_Toc267251437"/>
      <w:bookmarkStart w:id="381" w:name="_Toc267251435"/>
      <w:bookmarkStart w:id="382" w:name="_Toc267251440"/>
      <w:bookmarkStart w:id="383" w:name="_Toc267251441"/>
      <w:bookmarkStart w:id="384" w:name="_Toc337558787"/>
      <w:bookmarkStart w:id="385" w:name="_Toc267251442"/>
      <w:r>
        <w:rPr>
          <w:rFonts w:hint="eastAsia" w:ascii="Times New Roman" w:hAnsi="Times New Roman"/>
          <w:color w:val="auto"/>
          <w:sz w:val="24"/>
          <w:szCs w:val="24"/>
          <w:highlight w:val="none"/>
        </w:rPr>
        <w:t>8</w:t>
      </w:r>
      <w:r>
        <w:rPr>
          <w:rFonts w:ascii="Times New Roman" w:hAnsi="Times New Roman"/>
          <w:color w:val="auto"/>
          <w:sz w:val="24"/>
          <w:szCs w:val="24"/>
          <w:highlight w:val="none"/>
        </w:rPr>
        <w:t xml:space="preserve">. </w:t>
      </w:r>
      <w:r>
        <w:rPr>
          <w:rFonts w:ascii="Times New Roman" w:hAnsi="宋体"/>
          <w:color w:val="auto"/>
          <w:sz w:val="24"/>
          <w:szCs w:val="24"/>
          <w:highlight w:val="none"/>
        </w:rPr>
        <w:t>变更</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bookmarkEnd w:id="376"/>
    <w:bookmarkEnd w:id="377"/>
    <w:p w14:paraId="146B9285">
      <w:pPr>
        <w:pStyle w:val="248"/>
        <w:spacing w:before="0" w:after="0" w:line="360" w:lineRule="auto"/>
        <w:ind w:firstLine="236" w:firstLineChars="98"/>
        <w:rPr>
          <w:color w:val="auto"/>
          <w:sz w:val="24"/>
          <w:szCs w:val="24"/>
          <w:highlight w:val="none"/>
        </w:rPr>
      </w:pPr>
      <w:bookmarkStart w:id="386" w:name="_Toc373478387"/>
      <w:bookmarkStart w:id="387" w:name="_Toc467599602"/>
      <w:bookmarkStart w:id="388" w:name="_Toc389065306"/>
      <w:bookmarkStart w:id="389" w:name="_Toc373227740"/>
      <w:bookmarkStart w:id="390" w:name="_Toc304295567"/>
      <w:bookmarkStart w:id="391" w:name="_Toc297048380"/>
      <w:bookmarkStart w:id="392" w:name="_Toc312677500"/>
      <w:bookmarkStart w:id="393" w:name="_Toc296346695"/>
      <w:bookmarkStart w:id="394" w:name="_Toc312678026"/>
      <w:bookmarkStart w:id="395" w:name="_Toc292559904"/>
      <w:bookmarkStart w:id="396" w:name="_Toc296503194"/>
      <w:bookmarkStart w:id="397" w:name="_Toc296891022"/>
      <w:bookmarkStart w:id="398" w:name="_Toc296891234"/>
      <w:bookmarkStart w:id="399" w:name="_Toc297216200"/>
      <w:bookmarkStart w:id="400" w:name="_Toc300934990"/>
      <w:bookmarkStart w:id="401" w:name="_Toc296347193"/>
      <w:bookmarkStart w:id="402" w:name="_Toc297120494"/>
      <w:bookmarkStart w:id="403" w:name="_Toc303539147"/>
      <w:bookmarkStart w:id="404" w:name="_Toc297123541"/>
      <w:bookmarkStart w:id="405" w:name="_Toc296944533"/>
      <w:bookmarkStart w:id="406" w:name="_Toc292559399"/>
      <w:r>
        <w:rPr>
          <w:rFonts w:hint="eastAsia"/>
          <w:color w:val="auto"/>
          <w:sz w:val="24"/>
          <w:szCs w:val="24"/>
          <w:highlight w:val="none"/>
        </w:rPr>
        <w:t>8</w:t>
      </w:r>
      <w:r>
        <w:rPr>
          <w:color w:val="auto"/>
          <w:sz w:val="24"/>
          <w:szCs w:val="24"/>
          <w:highlight w:val="none"/>
        </w:rPr>
        <w:t xml:space="preserve">.1 </w:t>
      </w:r>
      <w:r>
        <w:rPr>
          <w:rFonts w:hAnsi="宋体"/>
          <w:color w:val="auto"/>
          <w:sz w:val="24"/>
          <w:szCs w:val="24"/>
          <w:highlight w:val="none"/>
        </w:rPr>
        <w:t>变更的范围</w:t>
      </w:r>
      <w:bookmarkEnd w:id="386"/>
      <w:bookmarkEnd w:id="387"/>
      <w:bookmarkEnd w:id="388"/>
      <w:bookmarkEnd w:id="389"/>
    </w:p>
    <w:p w14:paraId="71264E02">
      <w:pPr>
        <w:autoSpaceDE w:val="0"/>
        <w:autoSpaceDN w:val="0"/>
        <w:adjustRightInd w:val="0"/>
        <w:spacing w:line="360" w:lineRule="auto"/>
        <w:ind w:firstLine="480" w:firstLineChars="200"/>
        <w:rPr>
          <w:rFonts w:ascii="Times New Roman" w:hAnsi="Times New Roman"/>
          <w:color w:val="auto"/>
          <w:kern w:val="0"/>
          <w:sz w:val="24"/>
          <w:szCs w:val="24"/>
          <w:highlight w:val="none"/>
        </w:rPr>
      </w:pPr>
      <w:r>
        <w:rPr>
          <w:rFonts w:ascii="Times New Roman" w:hAnsi="宋体"/>
          <w:color w:val="auto"/>
          <w:kern w:val="0"/>
          <w:sz w:val="24"/>
          <w:szCs w:val="24"/>
          <w:highlight w:val="none"/>
        </w:rPr>
        <w:t>除合同条款另有约定外，合同履行过程中发生以下情形的，应按照本条约定进行变更：</w:t>
      </w:r>
    </w:p>
    <w:p w14:paraId="639BAC9F">
      <w:pPr>
        <w:autoSpaceDE w:val="0"/>
        <w:autoSpaceDN w:val="0"/>
        <w:adjustRightInd w:val="0"/>
        <w:spacing w:line="360" w:lineRule="auto"/>
        <w:ind w:firstLine="480" w:firstLineChars="200"/>
        <w:rPr>
          <w:rFonts w:ascii="Times New Roman" w:hAnsi="Times New Roman"/>
          <w:color w:val="auto"/>
          <w:kern w:val="0"/>
          <w:sz w:val="24"/>
          <w:szCs w:val="24"/>
          <w:highlight w:val="none"/>
        </w:rPr>
      </w:pPr>
      <w:r>
        <w:rPr>
          <w:rFonts w:ascii="Times New Roman" w:hAnsi="宋体"/>
          <w:color w:val="auto"/>
          <w:kern w:val="0"/>
          <w:sz w:val="24"/>
          <w:szCs w:val="24"/>
          <w:highlight w:val="none"/>
        </w:rPr>
        <w:t>⑴增加或减少合同中任何工作，或追加额外的工作；</w:t>
      </w:r>
    </w:p>
    <w:p w14:paraId="1A597E65">
      <w:pPr>
        <w:autoSpaceDE w:val="0"/>
        <w:autoSpaceDN w:val="0"/>
        <w:adjustRightInd w:val="0"/>
        <w:spacing w:line="360" w:lineRule="auto"/>
        <w:ind w:firstLine="480" w:firstLineChars="200"/>
        <w:rPr>
          <w:rFonts w:ascii="Times New Roman" w:hAnsi="Times New Roman"/>
          <w:color w:val="auto"/>
          <w:kern w:val="0"/>
          <w:sz w:val="24"/>
          <w:szCs w:val="24"/>
          <w:highlight w:val="none"/>
        </w:rPr>
      </w:pPr>
      <w:r>
        <w:rPr>
          <w:rFonts w:ascii="Times New Roman" w:hAnsi="宋体"/>
          <w:color w:val="auto"/>
          <w:kern w:val="0"/>
          <w:sz w:val="24"/>
          <w:szCs w:val="24"/>
          <w:highlight w:val="none"/>
        </w:rPr>
        <w:t>⑵取消合同中任何工作，但转由他人实施的工作除外；</w:t>
      </w:r>
    </w:p>
    <w:p w14:paraId="35A632F4">
      <w:pPr>
        <w:autoSpaceDE w:val="0"/>
        <w:autoSpaceDN w:val="0"/>
        <w:adjustRightInd w:val="0"/>
        <w:spacing w:line="360" w:lineRule="auto"/>
        <w:ind w:firstLine="480" w:firstLineChars="200"/>
        <w:rPr>
          <w:rFonts w:ascii="宋体" w:hAnsi="宋体"/>
          <w:color w:val="auto"/>
          <w:kern w:val="0"/>
          <w:sz w:val="24"/>
          <w:szCs w:val="24"/>
          <w:highlight w:val="none"/>
        </w:rPr>
      </w:pPr>
      <w:r>
        <w:rPr>
          <w:rFonts w:ascii="Times New Roman" w:hAnsi="宋体"/>
          <w:color w:val="auto"/>
          <w:kern w:val="0"/>
          <w:sz w:val="24"/>
          <w:szCs w:val="24"/>
          <w:highlight w:val="none"/>
        </w:rPr>
        <w:t>⑶改变合同中任何工作的质量标准或其他特性；</w:t>
      </w:r>
    </w:p>
    <w:p w14:paraId="4B1E7768">
      <w:pPr>
        <w:autoSpaceDE w:val="0"/>
        <w:autoSpaceDN w:val="0"/>
        <w:adjustRightInd w:val="0"/>
        <w:spacing w:line="360" w:lineRule="auto"/>
        <w:ind w:firstLine="480" w:firstLineChars="200"/>
        <w:rPr>
          <w:rFonts w:ascii="宋体" w:hAnsi="宋体"/>
          <w:color w:val="auto"/>
          <w:kern w:val="0"/>
          <w:sz w:val="24"/>
          <w:szCs w:val="24"/>
          <w:highlight w:val="none"/>
        </w:rPr>
      </w:pPr>
      <w:r>
        <w:rPr>
          <w:rFonts w:hint="eastAsia" w:ascii="宋体" w:hAnsi="宋体"/>
          <w:color w:val="auto"/>
          <w:kern w:val="0"/>
          <w:sz w:val="24"/>
          <w:szCs w:val="24"/>
          <w:highlight w:val="none"/>
        </w:rPr>
        <w:t>⑷</w:t>
      </w:r>
      <w:r>
        <w:rPr>
          <w:rFonts w:ascii="Times New Roman" w:hAnsi="宋体"/>
          <w:color w:val="auto"/>
          <w:kern w:val="0"/>
          <w:sz w:val="24"/>
          <w:szCs w:val="24"/>
          <w:highlight w:val="none"/>
        </w:rPr>
        <w:t>改变工程的基线、标高、位置和尺寸；</w:t>
      </w:r>
    </w:p>
    <w:p w14:paraId="3A6C0439">
      <w:pPr>
        <w:autoSpaceDE w:val="0"/>
        <w:autoSpaceDN w:val="0"/>
        <w:adjustRightInd w:val="0"/>
        <w:spacing w:line="360" w:lineRule="auto"/>
        <w:ind w:firstLine="480" w:firstLineChars="200"/>
        <w:rPr>
          <w:rFonts w:ascii="Times New Roman" w:hAnsi="Times New Roman"/>
          <w:color w:val="auto"/>
          <w:kern w:val="0"/>
          <w:sz w:val="24"/>
          <w:szCs w:val="24"/>
          <w:highlight w:val="none"/>
        </w:rPr>
      </w:pPr>
      <w:r>
        <w:rPr>
          <w:rFonts w:hint="eastAsia" w:ascii="宋体" w:hAnsi="宋体"/>
          <w:color w:val="auto"/>
          <w:kern w:val="0"/>
          <w:sz w:val="24"/>
          <w:szCs w:val="24"/>
          <w:highlight w:val="none"/>
        </w:rPr>
        <w:t>⑸</w:t>
      </w:r>
      <w:r>
        <w:rPr>
          <w:rFonts w:ascii="Times New Roman" w:hAnsi="宋体"/>
          <w:color w:val="auto"/>
          <w:kern w:val="0"/>
          <w:sz w:val="24"/>
          <w:szCs w:val="24"/>
          <w:highlight w:val="none"/>
        </w:rPr>
        <w:t>改变工程的时间安排或实施顺序。</w:t>
      </w:r>
    </w:p>
    <w:p w14:paraId="7D58AE4F">
      <w:pPr>
        <w:pStyle w:val="248"/>
        <w:spacing w:before="0" w:after="0" w:line="360" w:lineRule="auto"/>
        <w:ind w:firstLine="236" w:firstLineChars="98"/>
        <w:rPr>
          <w:rFonts w:hint="eastAsia" w:hAnsi="宋体"/>
          <w:color w:val="auto"/>
          <w:sz w:val="24"/>
          <w:szCs w:val="24"/>
          <w:highlight w:val="none"/>
        </w:rPr>
      </w:pPr>
      <w:bookmarkStart w:id="407" w:name="_Toc373478388"/>
      <w:bookmarkStart w:id="408" w:name="_Toc389065307"/>
      <w:bookmarkStart w:id="409" w:name="_Toc373227741"/>
      <w:bookmarkStart w:id="410" w:name="_Toc467599603"/>
      <w:r>
        <w:rPr>
          <w:rFonts w:hint="eastAsia"/>
          <w:color w:val="auto"/>
          <w:sz w:val="24"/>
          <w:szCs w:val="24"/>
          <w:highlight w:val="none"/>
        </w:rPr>
        <w:t>8</w:t>
      </w:r>
      <w:r>
        <w:rPr>
          <w:color w:val="auto"/>
          <w:sz w:val="24"/>
          <w:szCs w:val="24"/>
          <w:highlight w:val="none"/>
        </w:rPr>
        <w:t>.</w:t>
      </w:r>
      <w:r>
        <w:rPr>
          <w:rFonts w:hint="eastAsia"/>
          <w:color w:val="auto"/>
          <w:sz w:val="24"/>
          <w:szCs w:val="24"/>
          <w:highlight w:val="none"/>
        </w:rPr>
        <w:t>2</w:t>
      </w:r>
      <w:r>
        <w:rPr>
          <w:color w:val="auto"/>
          <w:sz w:val="24"/>
          <w:szCs w:val="24"/>
          <w:highlight w:val="none"/>
        </w:rPr>
        <w:t xml:space="preserve"> </w:t>
      </w:r>
      <w:r>
        <w:rPr>
          <w:rFonts w:hAnsi="宋体"/>
          <w:color w:val="auto"/>
          <w:sz w:val="24"/>
          <w:szCs w:val="24"/>
          <w:highlight w:val="none"/>
        </w:rPr>
        <w:t>变更程序</w:t>
      </w:r>
      <w:bookmarkEnd w:id="407"/>
      <w:bookmarkEnd w:id="408"/>
      <w:bookmarkEnd w:id="409"/>
      <w:bookmarkEnd w:id="410"/>
    </w:p>
    <w:p w14:paraId="7D3850EB">
      <w:pPr>
        <w:pStyle w:val="230"/>
        <w:spacing w:line="360" w:lineRule="auto"/>
        <w:rPr>
          <w:rFonts w:hint="eastAsia"/>
          <w:color w:val="auto"/>
          <w:sz w:val="24"/>
          <w:szCs w:val="24"/>
          <w:highlight w:val="none"/>
        </w:rPr>
      </w:pPr>
      <w:r>
        <w:rPr>
          <w:rFonts w:hint="eastAsia"/>
          <w:color w:val="auto"/>
          <w:highlight w:val="none"/>
        </w:rPr>
        <w:t xml:space="preserve">    </w:t>
      </w:r>
      <w:r>
        <w:rPr>
          <w:rFonts w:hint="eastAsia"/>
          <w:color w:val="auto"/>
          <w:sz w:val="24"/>
          <w:szCs w:val="24"/>
          <w:highlight w:val="none"/>
        </w:rPr>
        <w:t>8.2.1</w:t>
      </w:r>
      <w:r>
        <w:rPr>
          <w:rFonts w:hAnsi="宋体"/>
          <w:color w:val="auto"/>
          <w:sz w:val="24"/>
          <w:szCs w:val="24"/>
          <w:highlight w:val="none"/>
        </w:rPr>
        <w:t>施工中发包人需对原工程设计进行变更，应提前</w:t>
      </w:r>
      <w:r>
        <w:rPr>
          <w:color w:val="auto"/>
          <w:sz w:val="24"/>
          <w:szCs w:val="24"/>
          <w:highlight w:val="none"/>
        </w:rPr>
        <w:t>14</w:t>
      </w:r>
      <w:r>
        <w:rPr>
          <w:rFonts w:hAnsi="宋体"/>
          <w:color w:val="auto"/>
          <w:sz w:val="24"/>
          <w:szCs w:val="24"/>
          <w:highlight w:val="none"/>
        </w:rPr>
        <w:t>天以书面形式向承包人发出变更通知，并由原设计单位提供变更的相应图纸和说明；</w:t>
      </w:r>
    </w:p>
    <w:p w14:paraId="4D1737F3">
      <w:pPr>
        <w:spacing w:line="360" w:lineRule="auto"/>
        <w:ind w:firstLine="480" w:firstLineChars="200"/>
        <w:rPr>
          <w:rFonts w:ascii="Times New Roman" w:hAnsi="Times New Roman"/>
          <w:color w:val="auto"/>
          <w:sz w:val="24"/>
          <w:szCs w:val="24"/>
          <w:highlight w:val="none"/>
        </w:rPr>
      </w:pPr>
      <w:r>
        <w:rPr>
          <w:rFonts w:hint="eastAsia" w:ascii="Times New Roman" w:hAnsi="Times New Roman"/>
          <w:color w:val="auto"/>
          <w:sz w:val="24"/>
          <w:szCs w:val="24"/>
          <w:highlight w:val="none"/>
        </w:rPr>
        <w:t xml:space="preserve">8.2.2 </w:t>
      </w:r>
      <w:r>
        <w:rPr>
          <w:rFonts w:ascii="Times New Roman" w:hAnsi="宋体"/>
          <w:color w:val="auto"/>
          <w:sz w:val="24"/>
          <w:szCs w:val="24"/>
          <w:highlight w:val="none"/>
        </w:rPr>
        <w:t>施工中承包人原则上不得对原工程设计进行变更，但是在施工中承包人提出的合理化建议涉及到对设计图纸或施工组织涉及的更改及对材料、设备的换用，须经发包人书面同意，</w:t>
      </w:r>
      <w:r>
        <w:rPr>
          <w:rFonts w:ascii="Times New Roman" w:hAnsi="Times New Roman"/>
          <w:color w:val="auto"/>
          <w:sz w:val="24"/>
          <w:szCs w:val="24"/>
          <w:highlight w:val="none"/>
        </w:rPr>
        <w:t> </w:t>
      </w:r>
      <w:r>
        <w:rPr>
          <w:rFonts w:ascii="Times New Roman" w:hAnsi="宋体"/>
          <w:color w:val="auto"/>
          <w:sz w:val="24"/>
          <w:szCs w:val="24"/>
          <w:highlight w:val="none"/>
        </w:rPr>
        <w:t>并由原设计单位提供变更的相应图纸和说明；由监理单位下达书面变更通知；</w:t>
      </w:r>
    </w:p>
    <w:p w14:paraId="41F3C936">
      <w:pPr>
        <w:spacing w:line="360" w:lineRule="auto"/>
        <w:ind w:firstLine="480" w:firstLineChars="200"/>
        <w:rPr>
          <w:rFonts w:hint="eastAsia" w:ascii="Times New Roman" w:hAnsi="Times New Roman"/>
          <w:color w:val="auto"/>
          <w:sz w:val="24"/>
          <w:szCs w:val="24"/>
          <w:highlight w:val="none"/>
        </w:rPr>
      </w:pPr>
      <w:r>
        <w:rPr>
          <w:rFonts w:hint="eastAsia" w:ascii="Times New Roman" w:hAnsi="Times New Roman"/>
          <w:color w:val="auto"/>
          <w:sz w:val="24"/>
          <w:szCs w:val="24"/>
          <w:highlight w:val="none"/>
        </w:rPr>
        <w:t xml:space="preserve">8.2.3 </w:t>
      </w:r>
      <w:r>
        <w:rPr>
          <w:rFonts w:ascii="Times New Roman" w:hAnsi="宋体"/>
          <w:color w:val="auto"/>
          <w:sz w:val="24"/>
          <w:szCs w:val="24"/>
          <w:highlight w:val="none"/>
        </w:rPr>
        <w:t>因设计变更而引起的工程量变化的，按原施工图纸与变更后的图纸的工程量之差进行增减计算</w:t>
      </w:r>
      <w:r>
        <w:rPr>
          <w:rFonts w:hint="eastAsia" w:ascii="Times New Roman" w:hAnsi="Times New Roman"/>
          <w:color w:val="auto"/>
          <w:sz w:val="24"/>
          <w:szCs w:val="24"/>
          <w:highlight w:val="none"/>
        </w:rPr>
        <w:t>；</w:t>
      </w:r>
    </w:p>
    <w:p w14:paraId="38EBB0F4">
      <w:pPr>
        <w:spacing w:line="360" w:lineRule="auto"/>
        <w:ind w:firstLine="480" w:firstLineChars="200"/>
        <w:rPr>
          <w:rFonts w:ascii="Times New Roman" w:hAnsi="Times New Roman"/>
          <w:color w:val="auto"/>
          <w:sz w:val="24"/>
          <w:szCs w:val="24"/>
          <w:highlight w:val="none"/>
        </w:rPr>
      </w:pPr>
      <w:r>
        <w:rPr>
          <w:rFonts w:hint="eastAsia" w:ascii="Times New Roman" w:hAnsi="Times New Roman"/>
          <w:color w:val="auto"/>
          <w:sz w:val="24"/>
          <w:szCs w:val="24"/>
          <w:highlight w:val="none"/>
        </w:rPr>
        <w:t xml:space="preserve">8.2.4 </w:t>
      </w:r>
      <w:r>
        <w:rPr>
          <w:rFonts w:ascii="Times New Roman" w:hAnsi="宋体"/>
          <w:color w:val="auto"/>
          <w:sz w:val="24"/>
          <w:szCs w:val="24"/>
          <w:highlight w:val="none"/>
        </w:rPr>
        <w:t>设计变更后确有影响进度的，由承包人提出，经监理人及发包人核准，工期相应顺延；</w:t>
      </w:r>
    </w:p>
    <w:p w14:paraId="5430EC98">
      <w:pPr>
        <w:spacing w:line="360" w:lineRule="auto"/>
        <w:ind w:firstLine="480" w:firstLineChars="200"/>
        <w:rPr>
          <w:rFonts w:ascii="Times New Roman" w:hAnsi="Times New Roman"/>
          <w:color w:val="auto"/>
          <w:sz w:val="24"/>
          <w:szCs w:val="24"/>
          <w:highlight w:val="none"/>
        </w:rPr>
      </w:pPr>
      <w:r>
        <w:rPr>
          <w:rFonts w:hint="eastAsia" w:ascii="Times New Roman" w:hAnsi="Times New Roman"/>
          <w:color w:val="auto"/>
          <w:sz w:val="24"/>
          <w:szCs w:val="24"/>
          <w:highlight w:val="none"/>
        </w:rPr>
        <w:t xml:space="preserve">8.2.5 </w:t>
      </w:r>
      <w:r>
        <w:rPr>
          <w:rFonts w:ascii="Times New Roman" w:hAnsi="宋体"/>
          <w:color w:val="auto"/>
          <w:sz w:val="24"/>
          <w:szCs w:val="24"/>
          <w:highlight w:val="none"/>
        </w:rPr>
        <w:t>在施工中如发生地质、地形情况与施工设计不符时，承包人应及时书面通知设计、监理单位及有关工程师现场核对，共同研究决定，并以书面形式确认是否需要变更以及变更的处理办法。</w:t>
      </w:r>
    </w:p>
    <w:p w14:paraId="26C5453E">
      <w:pPr>
        <w:spacing w:line="360" w:lineRule="auto"/>
        <w:ind w:firstLine="480" w:firstLineChars="200"/>
        <w:rPr>
          <w:rFonts w:ascii="Times New Roman" w:hAnsi="Times New Roman"/>
          <w:color w:val="auto"/>
          <w:sz w:val="24"/>
          <w:szCs w:val="24"/>
          <w:highlight w:val="none"/>
        </w:rPr>
      </w:pPr>
      <w:r>
        <w:rPr>
          <w:rFonts w:hint="eastAsia" w:ascii="Times New Roman" w:hAnsi="Times New Roman"/>
          <w:color w:val="auto"/>
          <w:sz w:val="24"/>
          <w:szCs w:val="24"/>
          <w:highlight w:val="none"/>
        </w:rPr>
        <w:t xml:space="preserve">8.2.6 </w:t>
      </w:r>
      <w:r>
        <w:rPr>
          <w:rFonts w:ascii="Times New Roman" w:hAnsi="宋体"/>
          <w:color w:val="auto"/>
          <w:sz w:val="24"/>
          <w:szCs w:val="24"/>
          <w:highlight w:val="none"/>
        </w:rPr>
        <w:t>承包人须按发包人工程变更</w:t>
      </w:r>
      <w:r>
        <w:rPr>
          <w:rFonts w:hint="eastAsia" w:ascii="Times New Roman" w:hAnsi="宋体"/>
          <w:color w:val="auto"/>
          <w:sz w:val="24"/>
          <w:szCs w:val="24"/>
          <w:highlight w:val="none"/>
        </w:rPr>
        <w:t>审</w:t>
      </w:r>
      <w:r>
        <w:rPr>
          <w:rFonts w:ascii="Times New Roman" w:hAnsi="宋体"/>
          <w:color w:val="auto"/>
          <w:sz w:val="24"/>
          <w:szCs w:val="24"/>
          <w:highlight w:val="none"/>
        </w:rPr>
        <w:t>批管理规定办理有关变更手续。</w:t>
      </w:r>
    </w:p>
    <w:p w14:paraId="755D3AD9">
      <w:pPr>
        <w:pStyle w:val="230"/>
        <w:spacing w:line="360" w:lineRule="auto"/>
        <w:ind w:firstLine="480" w:firstLineChars="200"/>
        <w:rPr>
          <w:color w:val="auto"/>
          <w:sz w:val="24"/>
          <w:szCs w:val="24"/>
          <w:highlight w:val="none"/>
        </w:rPr>
      </w:pPr>
      <w:r>
        <w:rPr>
          <w:rFonts w:hint="eastAsia"/>
          <w:color w:val="auto"/>
          <w:sz w:val="24"/>
          <w:szCs w:val="24"/>
          <w:highlight w:val="none"/>
        </w:rPr>
        <w:t>8.2.7</w:t>
      </w:r>
      <w:r>
        <w:rPr>
          <w:color w:val="auto"/>
          <w:sz w:val="24"/>
          <w:szCs w:val="24"/>
          <w:highlight w:val="none"/>
        </w:rPr>
        <w:t xml:space="preserve"> </w:t>
      </w:r>
      <w:r>
        <w:rPr>
          <w:rFonts w:hAnsi="宋体"/>
          <w:color w:val="auto"/>
          <w:sz w:val="24"/>
          <w:szCs w:val="24"/>
          <w:highlight w:val="none"/>
        </w:rPr>
        <w:t>承包人收到监理人下达的变更指示后，应当立即或者根据进度计划的需要予以执行。</w:t>
      </w:r>
    </w:p>
    <w:p w14:paraId="688B156A">
      <w:pPr>
        <w:pStyle w:val="248"/>
        <w:spacing w:before="0" w:after="0" w:line="360" w:lineRule="auto"/>
        <w:ind w:firstLine="236" w:firstLineChars="98"/>
        <w:rPr>
          <w:color w:val="auto"/>
          <w:sz w:val="24"/>
          <w:szCs w:val="24"/>
          <w:highlight w:val="none"/>
        </w:rPr>
      </w:pPr>
      <w:bookmarkStart w:id="411" w:name="_Toc373478389"/>
      <w:bookmarkStart w:id="412" w:name="_Toc373227742"/>
      <w:bookmarkStart w:id="413" w:name="_Toc467599604"/>
      <w:bookmarkStart w:id="414" w:name="_Toc389065308"/>
      <w:r>
        <w:rPr>
          <w:rFonts w:hint="eastAsia"/>
          <w:color w:val="auto"/>
          <w:sz w:val="24"/>
          <w:szCs w:val="24"/>
          <w:highlight w:val="none"/>
        </w:rPr>
        <w:t>8</w:t>
      </w:r>
      <w:r>
        <w:rPr>
          <w:color w:val="auto"/>
          <w:sz w:val="24"/>
          <w:szCs w:val="24"/>
          <w:highlight w:val="none"/>
        </w:rPr>
        <w:t>.</w:t>
      </w:r>
      <w:r>
        <w:rPr>
          <w:rFonts w:hint="eastAsia"/>
          <w:color w:val="auto"/>
          <w:sz w:val="24"/>
          <w:szCs w:val="24"/>
          <w:highlight w:val="none"/>
        </w:rPr>
        <w:t>3</w:t>
      </w:r>
      <w:r>
        <w:rPr>
          <w:color w:val="auto"/>
          <w:sz w:val="24"/>
          <w:szCs w:val="24"/>
          <w:highlight w:val="none"/>
        </w:rPr>
        <w:t xml:space="preserve"> </w:t>
      </w:r>
      <w:r>
        <w:rPr>
          <w:rFonts w:hAnsi="宋体"/>
          <w:color w:val="auto"/>
          <w:sz w:val="24"/>
          <w:szCs w:val="24"/>
          <w:highlight w:val="none"/>
        </w:rPr>
        <w:t>变更估价</w:t>
      </w:r>
      <w:bookmarkEnd w:id="411"/>
      <w:bookmarkEnd w:id="412"/>
      <w:bookmarkEnd w:id="413"/>
      <w:bookmarkEnd w:id="414"/>
    </w:p>
    <w:p w14:paraId="1B5C4C73">
      <w:pPr>
        <w:pStyle w:val="230"/>
        <w:spacing w:line="360" w:lineRule="auto"/>
        <w:ind w:firstLine="480" w:firstLineChars="200"/>
        <w:rPr>
          <w:color w:val="auto"/>
          <w:sz w:val="24"/>
          <w:szCs w:val="24"/>
          <w:highlight w:val="none"/>
        </w:rPr>
      </w:pPr>
      <w:r>
        <w:rPr>
          <w:rFonts w:hint="eastAsia"/>
          <w:color w:val="auto"/>
          <w:sz w:val="24"/>
          <w:szCs w:val="24"/>
          <w:highlight w:val="none"/>
        </w:rPr>
        <w:t>8</w:t>
      </w:r>
      <w:r>
        <w:rPr>
          <w:color w:val="auto"/>
          <w:sz w:val="24"/>
          <w:szCs w:val="24"/>
          <w:highlight w:val="none"/>
        </w:rPr>
        <w:t>.</w:t>
      </w:r>
      <w:r>
        <w:rPr>
          <w:rFonts w:hint="eastAsia"/>
          <w:color w:val="auto"/>
          <w:sz w:val="24"/>
          <w:szCs w:val="24"/>
          <w:highlight w:val="none"/>
        </w:rPr>
        <w:t>3</w:t>
      </w:r>
      <w:r>
        <w:rPr>
          <w:color w:val="auto"/>
          <w:sz w:val="24"/>
          <w:szCs w:val="24"/>
          <w:highlight w:val="none"/>
        </w:rPr>
        <w:t xml:space="preserve">.1 </w:t>
      </w:r>
      <w:r>
        <w:rPr>
          <w:rFonts w:hAnsi="宋体"/>
          <w:color w:val="auto"/>
          <w:sz w:val="24"/>
          <w:szCs w:val="24"/>
          <w:highlight w:val="none"/>
        </w:rPr>
        <w:t>变更估价原则</w:t>
      </w:r>
    </w:p>
    <w:p w14:paraId="43E92900">
      <w:pPr>
        <w:pStyle w:val="232"/>
        <w:spacing w:line="360" w:lineRule="auto"/>
        <w:ind w:firstLine="420"/>
        <w:rPr>
          <w:rFonts w:ascii="Times New Roman" w:hAnsi="Times New Roman"/>
          <w:bCs/>
          <w:color w:val="auto"/>
          <w:sz w:val="24"/>
          <w:szCs w:val="24"/>
          <w:highlight w:val="none"/>
          <w:u w:val="single"/>
        </w:rPr>
      </w:pPr>
      <w:r>
        <w:rPr>
          <w:rFonts w:ascii="Times New Roman" w:hAnsi="宋体"/>
          <w:bCs/>
          <w:color w:val="auto"/>
          <w:sz w:val="24"/>
          <w:szCs w:val="24"/>
          <w:highlight w:val="none"/>
          <w:u w:val="single"/>
        </w:rPr>
        <w:t>因分部分项工程量清单漏项、设计变更等相关签证引起工程项目、工程量变化的，变更合同价款按下列方法进行：⑴合同中已有相同子目的，按合同该子目价格进行计算；⑵合同中</w:t>
      </w:r>
      <w:r>
        <w:rPr>
          <w:rFonts w:hint="eastAsia" w:ascii="Times New Roman" w:hAnsi="宋体"/>
          <w:bCs/>
          <w:color w:val="auto"/>
          <w:sz w:val="24"/>
          <w:szCs w:val="24"/>
          <w:highlight w:val="none"/>
          <w:u w:val="single"/>
          <w:lang w:val="en-US" w:eastAsia="zh-CN"/>
        </w:rPr>
        <w:t>只</w:t>
      </w:r>
      <w:r>
        <w:rPr>
          <w:rFonts w:ascii="Times New Roman" w:hAnsi="宋体"/>
          <w:bCs/>
          <w:color w:val="auto"/>
          <w:sz w:val="24"/>
          <w:szCs w:val="24"/>
          <w:highlight w:val="none"/>
          <w:u w:val="single"/>
        </w:rPr>
        <w:t>有类似子目的，参照该类似子目价格进行计算；⑶合同中没有适用或类似子目的价格计算方法：有定额的套定额，材料价格按施工期间的《南宁市建设工程造价信息》相应信息价的平均值进行计算，《南宁市建设工程造价信息》没有相应价格信息的按承包人、发包人审计部门及委托跟踪审计单位审定的市场价计算，并乘以下浮系数（中标价</w:t>
      </w:r>
      <w:r>
        <w:rPr>
          <w:rFonts w:ascii="Times New Roman" w:hAnsi="Times New Roman"/>
          <w:bCs/>
          <w:color w:val="auto"/>
          <w:sz w:val="24"/>
          <w:szCs w:val="24"/>
          <w:highlight w:val="none"/>
          <w:u w:val="single"/>
        </w:rPr>
        <w:t>/</w:t>
      </w:r>
      <w:r>
        <w:rPr>
          <w:rFonts w:ascii="Times New Roman" w:hAnsi="宋体"/>
          <w:bCs/>
          <w:color w:val="auto"/>
          <w:sz w:val="24"/>
          <w:szCs w:val="24"/>
          <w:highlight w:val="none"/>
          <w:u w:val="single"/>
        </w:rPr>
        <w:t>工程</w:t>
      </w:r>
      <w:r>
        <w:rPr>
          <w:rFonts w:hint="eastAsia" w:ascii="Times New Roman" w:hAnsi="宋体"/>
          <w:bCs/>
          <w:color w:val="auto"/>
          <w:sz w:val="24"/>
          <w:szCs w:val="24"/>
          <w:highlight w:val="none"/>
          <w:u w:val="single"/>
          <w:lang w:eastAsia="zh-CN"/>
        </w:rPr>
        <w:t>最高限价</w:t>
      </w:r>
      <w:r>
        <w:rPr>
          <w:rFonts w:ascii="Times New Roman" w:hAnsi="宋体"/>
          <w:bCs/>
          <w:color w:val="auto"/>
          <w:sz w:val="24"/>
          <w:szCs w:val="24"/>
          <w:highlight w:val="none"/>
          <w:u w:val="single"/>
        </w:rPr>
        <w:t>）；无定额可套的，承包人、发包人审计部门及委托跟踪审计单位根据市场价格协商确定综合价格，并乘以下浮系数（中标价</w:t>
      </w:r>
      <w:r>
        <w:rPr>
          <w:rFonts w:ascii="Times New Roman" w:hAnsi="Times New Roman"/>
          <w:bCs/>
          <w:color w:val="auto"/>
          <w:sz w:val="24"/>
          <w:szCs w:val="24"/>
          <w:highlight w:val="none"/>
          <w:u w:val="single"/>
        </w:rPr>
        <w:t>/</w:t>
      </w:r>
      <w:r>
        <w:rPr>
          <w:rFonts w:ascii="Times New Roman" w:hAnsi="宋体"/>
          <w:bCs/>
          <w:color w:val="auto"/>
          <w:sz w:val="24"/>
          <w:szCs w:val="24"/>
          <w:highlight w:val="none"/>
          <w:u w:val="single"/>
        </w:rPr>
        <w:t>工程</w:t>
      </w:r>
      <w:r>
        <w:rPr>
          <w:rFonts w:hint="eastAsia" w:ascii="Times New Roman" w:hAnsi="宋体"/>
          <w:bCs/>
          <w:color w:val="auto"/>
          <w:sz w:val="24"/>
          <w:szCs w:val="24"/>
          <w:highlight w:val="none"/>
          <w:u w:val="single"/>
          <w:lang w:eastAsia="zh-CN"/>
        </w:rPr>
        <w:t>最高限价</w:t>
      </w:r>
      <w:r>
        <w:rPr>
          <w:rFonts w:ascii="Times New Roman" w:hAnsi="宋体"/>
          <w:bCs/>
          <w:color w:val="auto"/>
          <w:sz w:val="24"/>
          <w:szCs w:val="24"/>
          <w:highlight w:val="none"/>
          <w:u w:val="single"/>
        </w:rPr>
        <w:t>）计算。新增项目的综合单价必须经发包人审计部门及委托跟踪审计单位审定，并乘以下浮系数（中标价</w:t>
      </w:r>
      <w:r>
        <w:rPr>
          <w:rFonts w:ascii="Times New Roman" w:hAnsi="Times New Roman"/>
          <w:bCs/>
          <w:color w:val="auto"/>
          <w:sz w:val="24"/>
          <w:szCs w:val="24"/>
          <w:highlight w:val="none"/>
          <w:u w:val="single"/>
        </w:rPr>
        <w:t>/</w:t>
      </w:r>
      <w:r>
        <w:rPr>
          <w:rFonts w:ascii="Times New Roman" w:hAnsi="宋体"/>
          <w:bCs/>
          <w:color w:val="auto"/>
          <w:sz w:val="24"/>
          <w:szCs w:val="24"/>
          <w:highlight w:val="none"/>
          <w:u w:val="single"/>
        </w:rPr>
        <w:t>工程</w:t>
      </w:r>
      <w:r>
        <w:rPr>
          <w:rFonts w:hint="eastAsia" w:ascii="Times New Roman" w:hAnsi="宋体"/>
          <w:bCs/>
          <w:color w:val="auto"/>
          <w:sz w:val="24"/>
          <w:szCs w:val="24"/>
          <w:highlight w:val="none"/>
          <w:u w:val="single"/>
          <w:lang w:eastAsia="zh-CN"/>
        </w:rPr>
        <w:t>最高限价</w:t>
      </w:r>
      <w:r>
        <w:rPr>
          <w:rFonts w:ascii="Times New Roman" w:hAnsi="宋体"/>
          <w:bCs/>
          <w:color w:val="auto"/>
          <w:sz w:val="24"/>
          <w:szCs w:val="24"/>
          <w:highlight w:val="none"/>
          <w:u w:val="single"/>
        </w:rPr>
        <w:t>）计算。</w:t>
      </w:r>
    </w:p>
    <w:p w14:paraId="20938BC3">
      <w:pPr>
        <w:pStyle w:val="232"/>
        <w:spacing w:line="360" w:lineRule="auto"/>
        <w:ind w:firstLine="420"/>
        <w:rPr>
          <w:rFonts w:ascii="Times New Roman" w:hAnsi="Times New Roman"/>
          <w:color w:val="auto"/>
          <w:sz w:val="24"/>
          <w:szCs w:val="24"/>
          <w:highlight w:val="none"/>
        </w:rPr>
      </w:pPr>
      <w:r>
        <w:rPr>
          <w:rFonts w:hint="eastAsia" w:ascii="Times New Roman" w:hAnsi="Times New Roman"/>
          <w:color w:val="auto"/>
          <w:sz w:val="24"/>
          <w:szCs w:val="24"/>
          <w:highlight w:val="none"/>
        </w:rPr>
        <w:t>8</w:t>
      </w:r>
      <w:r>
        <w:rPr>
          <w:rFonts w:ascii="Times New Roman" w:hAnsi="Times New Roman"/>
          <w:color w:val="auto"/>
          <w:sz w:val="24"/>
          <w:szCs w:val="24"/>
          <w:highlight w:val="none"/>
        </w:rPr>
        <w:t>.</w:t>
      </w:r>
      <w:r>
        <w:rPr>
          <w:rFonts w:hint="eastAsia" w:ascii="Times New Roman" w:hAnsi="Times New Roman"/>
          <w:color w:val="auto"/>
          <w:sz w:val="24"/>
          <w:szCs w:val="24"/>
          <w:highlight w:val="none"/>
        </w:rPr>
        <w:t>3</w:t>
      </w:r>
      <w:r>
        <w:rPr>
          <w:rFonts w:ascii="Times New Roman" w:hAnsi="Times New Roman"/>
          <w:color w:val="auto"/>
          <w:sz w:val="24"/>
          <w:szCs w:val="24"/>
          <w:highlight w:val="none"/>
        </w:rPr>
        <w:t xml:space="preserve">.2 </w:t>
      </w:r>
      <w:r>
        <w:rPr>
          <w:rFonts w:ascii="Times New Roman" w:hAnsi="宋体"/>
          <w:color w:val="auto"/>
          <w:sz w:val="24"/>
          <w:szCs w:val="24"/>
          <w:highlight w:val="none"/>
        </w:rPr>
        <w:t>变更估价程序</w:t>
      </w:r>
    </w:p>
    <w:p w14:paraId="1454D681">
      <w:pPr>
        <w:pStyle w:val="232"/>
        <w:spacing w:line="360" w:lineRule="auto"/>
        <w:ind w:firstLine="420"/>
        <w:rPr>
          <w:rFonts w:ascii="Times New Roman" w:hAnsi="Times New Roman"/>
          <w:color w:val="auto"/>
          <w:sz w:val="24"/>
          <w:szCs w:val="24"/>
          <w:highlight w:val="none"/>
        </w:rPr>
      </w:pPr>
      <w:r>
        <w:rPr>
          <w:rFonts w:ascii="Times New Roman" w:hAnsi="宋体"/>
          <w:color w:val="auto"/>
          <w:sz w:val="24"/>
          <w:szCs w:val="24"/>
          <w:highlight w:val="none"/>
        </w:rPr>
        <w:t>⑴承包人提出变更价款的时间是：承包人应当在设计变更发生后</w:t>
      </w:r>
      <w:r>
        <w:rPr>
          <w:rFonts w:ascii="Times New Roman" w:hAnsi="Times New Roman"/>
          <w:color w:val="auto"/>
          <w:sz w:val="24"/>
          <w:szCs w:val="24"/>
          <w:highlight w:val="none"/>
        </w:rPr>
        <w:t>14</w:t>
      </w:r>
      <w:r>
        <w:rPr>
          <w:rFonts w:ascii="Times New Roman" w:hAnsi="宋体"/>
          <w:color w:val="auto"/>
          <w:sz w:val="24"/>
          <w:szCs w:val="24"/>
          <w:highlight w:val="none"/>
        </w:rPr>
        <w:t>天内提供书面变更价款的申请，将设计变更的原因、变更的金额以书面形式通知发包人，超过</w:t>
      </w:r>
      <w:r>
        <w:rPr>
          <w:rFonts w:ascii="Times New Roman" w:hAnsi="Times New Roman"/>
          <w:color w:val="auto"/>
          <w:sz w:val="24"/>
          <w:szCs w:val="24"/>
          <w:highlight w:val="none"/>
        </w:rPr>
        <w:t>14</w:t>
      </w:r>
      <w:r>
        <w:rPr>
          <w:rFonts w:ascii="Times New Roman" w:hAnsi="宋体"/>
          <w:color w:val="auto"/>
          <w:sz w:val="24"/>
          <w:szCs w:val="24"/>
          <w:highlight w:val="none"/>
        </w:rPr>
        <w:t>天即视为承包人自动放弃变更价款索赔费用和工期的权利。</w:t>
      </w:r>
    </w:p>
    <w:p w14:paraId="1D02AE90">
      <w:pPr>
        <w:pStyle w:val="232"/>
        <w:spacing w:line="360" w:lineRule="auto"/>
        <w:ind w:firstLine="420"/>
        <w:rPr>
          <w:rFonts w:ascii="Times New Roman" w:hAnsi="Times New Roman"/>
          <w:color w:val="auto"/>
          <w:sz w:val="24"/>
          <w:szCs w:val="24"/>
          <w:highlight w:val="none"/>
        </w:rPr>
      </w:pPr>
      <w:r>
        <w:rPr>
          <w:rFonts w:ascii="Times New Roman" w:hAnsi="宋体"/>
          <w:color w:val="auto"/>
          <w:sz w:val="24"/>
          <w:szCs w:val="24"/>
          <w:highlight w:val="none"/>
        </w:rPr>
        <w:t>⑵发包人确认变更的时间是：收到承包人书面价款的申请及相应变更资料和预算书后</w:t>
      </w:r>
      <w:r>
        <w:rPr>
          <w:rFonts w:ascii="Times New Roman" w:hAnsi="Times New Roman"/>
          <w:color w:val="auto"/>
          <w:sz w:val="24"/>
          <w:szCs w:val="24"/>
          <w:highlight w:val="none"/>
        </w:rPr>
        <w:t>14</w:t>
      </w:r>
      <w:r>
        <w:rPr>
          <w:rFonts w:ascii="Times New Roman" w:hAnsi="宋体"/>
          <w:color w:val="auto"/>
          <w:sz w:val="24"/>
          <w:szCs w:val="24"/>
          <w:highlight w:val="none"/>
        </w:rPr>
        <w:t>天内进行答复，超过</w:t>
      </w:r>
      <w:r>
        <w:rPr>
          <w:rFonts w:ascii="Times New Roman" w:hAnsi="Times New Roman"/>
          <w:color w:val="auto"/>
          <w:sz w:val="24"/>
          <w:szCs w:val="24"/>
          <w:highlight w:val="none"/>
        </w:rPr>
        <w:t>14</w:t>
      </w:r>
      <w:r>
        <w:rPr>
          <w:rFonts w:ascii="Times New Roman" w:hAnsi="宋体"/>
          <w:color w:val="auto"/>
          <w:sz w:val="24"/>
          <w:szCs w:val="24"/>
          <w:highlight w:val="none"/>
        </w:rPr>
        <w:t>天不作答复视为已经批准，因承包人资料不全，发包人退回承包人，重新计算答复期。经发包人书面确认后的变更金额将作为追加合同价款，按</w:t>
      </w:r>
      <w:r>
        <w:rPr>
          <w:rFonts w:ascii="Times New Roman" w:hAnsi="Times New Roman"/>
          <w:color w:val="auto"/>
          <w:sz w:val="24"/>
          <w:szCs w:val="24"/>
          <w:highlight w:val="none"/>
        </w:rPr>
        <w:t>60%</w:t>
      </w:r>
      <w:r>
        <w:rPr>
          <w:rFonts w:ascii="Times New Roman" w:hAnsi="宋体"/>
          <w:color w:val="auto"/>
          <w:sz w:val="24"/>
          <w:szCs w:val="24"/>
          <w:highlight w:val="none"/>
        </w:rPr>
        <w:t>的比例计入最近一期的进度款中支付。</w:t>
      </w:r>
    </w:p>
    <w:p w14:paraId="1D48316E">
      <w:pPr>
        <w:pStyle w:val="232"/>
        <w:spacing w:line="360" w:lineRule="auto"/>
        <w:ind w:firstLine="420"/>
        <w:rPr>
          <w:rFonts w:ascii="Times New Roman" w:hAnsi="Times New Roman"/>
          <w:color w:val="auto"/>
          <w:sz w:val="24"/>
          <w:szCs w:val="24"/>
          <w:highlight w:val="none"/>
        </w:rPr>
      </w:pPr>
      <w:r>
        <w:rPr>
          <w:rFonts w:ascii="Times New Roman" w:hAnsi="宋体"/>
          <w:color w:val="auto"/>
          <w:sz w:val="24"/>
          <w:szCs w:val="24"/>
          <w:highlight w:val="none"/>
        </w:rPr>
        <w:t>⑶设计变更和签证工程完成后，有关变更文件、签证单、审批件、工程联系单、预算书等工程资料须于</w:t>
      </w:r>
      <w:r>
        <w:rPr>
          <w:rFonts w:ascii="Times New Roman" w:hAnsi="Times New Roman"/>
          <w:color w:val="auto"/>
          <w:sz w:val="24"/>
          <w:szCs w:val="24"/>
          <w:highlight w:val="none"/>
        </w:rPr>
        <w:t>7</w:t>
      </w:r>
      <w:r>
        <w:rPr>
          <w:rFonts w:ascii="Times New Roman" w:hAnsi="宋体"/>
          <w:color w:val="auto"/>
          <w:sz w:val="24"/>
          <w:szCs w:val="24"/>
          <w:highlight w:val="none"/>
        </w:rPr>
        <w:t>个工作日内送达主管部门审核认可备案后，方可作为工程结算依据。</w:t>
      </w:r>
      <w:r>
        <w:rPr>
          <w:rFonts w:ascii="Times New Roman" w:hAnsi="Times New Roman"/>
          <w:color w:val="auto"/>
          <w:sz w:val="24"/>
          <w:szCs w:val="24"/>
          <w:highlight w:val="none"/>
        </w:rPr>
        <w:t xml:space="preserve"> </w:t>
      </w:r>
    </w:p>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14:paraId="3D101C7D">
      <w:pPr>
        <w:pStyle w:val="248"/>
        <w:spacing w:before="0" w:after="0" w:line="360" w:lineRule="auto"/>
        <w:ind w:firstLine="236" w:firstLineChars="98"/>
        <w:rPr>
          <w:color w:val="auto"/>
          <w:sz w:val="24"/>
          <w:szCs w:val="24"/>
          <w:highlight w:val="none"/>
        </w:rPr>
      </w:pPr>
      <w:bookmarkStart w:id="415" w:name="_Toc297216203"/>
      <w:bookmarkStart w:id="416" w:name="_Toc296347196"/>
      <w:bookmarkStart w:id="417" w:name="_Toc297123544"/>
      <w:bookmarkStart w:id="418" w:name="_Toc292559907"/>
      <w:bookmarkStart w:id="419" w:name="_Toc296891025"/>
      <w:bookmarkStart w:id="420" w:name="_Toc303539150"/>
      <w:bookmarkStart w:id="421" w:name="_Toc297120497"/>
      <w:bookmarkStart w:id="422" w:name="_Toc292559402"/>
      <w:bookmarkStart w:id="423" w:name="_Toc296944536"/>
      <w:bookmarkStart w:id="424" w:name="_Toc296346698"/>
      <w:bookmarkStart w:id="425" w:name="_Toc296891237"/>
      <w:bookmarkStart w:id="426" w:name="_Toc296503197"/>
      <w:bookmarkStart w:id="427" w:name="_Toc300934993"/>
      <w:bookmarkStart w:id="428" w:name="_Toc297048383"/>
      <w:bookmarkStart w:id="429" w:name="_Toc373478390"/>
      <w:bookmarkStart w:id="430" w:name="_Toc467599605"/>
      <w:bookmarkStart w:id="431" w:name="_Toc389065309"/>
      <w:bookmarkStart w:id="432" w:name="_Toc373227743"/>
      <w:bookmarkStart w:id="433" w:name="_Toc312677503"/>
      <w:bookmarkStart w:id="434" w:name="_Toc312678029"/>
      <w:bookmarkStart w:id="435" w:name="_Toc304295570"/>
      <w:r>
        <w:rPr>
          <w:rFonts w:hint="eastAsia"/>
          <w:color w:val="auto"/>
          <w:sz w:val="24"/>
          <w:szCs w:val="24"/>
          <w:highlight w:val="none"/>
        </w:rPr>
        <w:t>8</w:t>
      </w:r>
      <w:r>
        <w:rPr>
          <w:color w:val="auto"/>
          <w:sz w:val="24"/>
          <w:szCs w:val="24"/>
          <w:highlight w:val="none"/>
        </w:rPr>
        <w:t>.</w:t>
      </w:r>
      <w:r>
        <w:rPr>
          <w:rFonts w:hint="eastAsia"/>
          <w:color w:val="auto"/>
          <w:sz w:val="24"/>
          <w:szCs w:val="24"/>
          <w:highlight w:val="none"/>
        </w:rPr>
        <w:t>4</w:t>
      </w:r>
      <w:r>
        <w:rPr>
          <w:color w:val="auto"/>
          <w:sz w:val="24"/>
          <w:szCs w:val="24"/>
          <w:highlight w:val="none"/>
        </w:rPr>
        <w:t xml:space="preserve"> </w:t>
      </w:r>
      <w:r>
        <w:rPr>
          <w:rFonts w:hAnsi="宋体"/>
          <w:color w:val="auto"/>
          <w:sz w:val="24"/>
          <w:szCs w:val="24"/>
          <w:highlight w:val="none"/>
        </w:rPr>
        <w:t>承</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Start w:id="436" w:name="_Toc296347202"/>
      <w:bookmarkStart w:id="437" w:name="_Toc297120503"/>
      <w:bookmarkStart w:id="438" w:name="_Toc297123545"/>
      <w:bookmarkStart w:id="439" w:name="_Toc303539151"/>
      <w:bookmarkStart w:id="440" w:name="_Toc296944542"/>
      <w:bookmarkStart w:id="441" w:name="_Toc296503203"/>
      <w:bookmarkStart w:id="442" w:name="_Toc296346704"/>
      <w:bookmarkStart w:id="443" w:name="_Toc296891243"/>
      <w:bookmarkStart w:id="444" w:name="_Toc292559408"/>
      <w:bookmarkStart w:id="445" w:name="_Toc296891031"/>
      <w:bookmarkStart w:id="446" w:name="_Toc297048389"/>
      <w:bookmarkStart w:id="447" w:name="_Toc297216204"/>
      <w:bookmarkStart w:id="448" w:name="_Toc300934994"/>
      <w:bookmarkStart w:id="449" w:name="_Toc292559913"/>
      <w:r>
        <w:rPr>
          <w:rFonts w:hAnsi="宋体"/>
          <w:color w:val="auto"/>
          <w:sz w:val="24"/>
          <w:szCs w:val="24"/>
          <w:highlight w:val="none"/>
        </w:rPr>
        <w:t>包人的合理化建议</w:t>
      </w:r>
      <w:bookmarkEnd w:id="429"/>
      <w:bookmarkEnd w:id="430"/>
      <w:bookmarkEnd w:id="431"/>
      <w:bookmarkEnd w:id="432"/>
    </w:p>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14:paraId="2C65030E">
      <w:pPr>
        <w:pStyle w:val="230"/>
        <w:spacing w:line="360" w:lineRule="auto"/>
        <w:ind w:firstLine="480" w:firstLineChars="200"/>
        <w:rPr>
          <w:rFonts w:hint="eastAsia"/>
          <w:color w:val="auto"/>
          <w:sz w:val="24"/>
          <w:szCs w:val="24"/>
          <w:highlight w:val="none"/>
        </w:rPr>
      </w:pPr>
      <w:r>
        <w:rPr>
          <w:rFonts w:hAnsi="宋体"/>
          <w:color w:val="auto"/>
          <w:sz w:val="24"/>
          <w:szCs w:val="24"/>
          <w:highlight w:val="none"/>
        </w:rPr>
        <w:t>承</w:t>
      </w:r>
      <w:bookmarkStart w:id="450" w:name="_Toc296891244"/>
      <w:bookmarkStart w:id="451" w:name="_Toc300934995"/>
      <w:bookmarkStart w:id="452" w:name="_Toc303539152"/>
      <w:bookmarkStart w:id="453" w:name="_Toc297048390"/>
      <w:bookmarkStart w:id="454" w:name="_Toc292559914"/>
      <w:bookmarkStart w:id="455" w:name="_Toc296346705"/>
      <w:bookmarkStart w:id="456" w:name="_Toc296944543"/>
      <w:bookmarkStart w:id="457" w:name="_Toc292559409"/>
      <w:bookmarkStart w:id="458" w:name="_Toc296503204"/>
      <w:bookmarkStart w:id="459" w:name="_Toc297216205"/>
      <w:bookmarkStart w:id="460" w:name="_Toc312678030"/>
      <w:bookmarkStart w:id="461" w:name="_Toc297120504"/>
      <w:bookmarkStart w:id="462" w:name="_Toc318581175"/>
      <w:bookmarkStart w:id="463" w:name="_Toc297123546"/>
      <w:bookmarkStart w:id="464" w:name="_Toc296347203"/>
      <w:bookmarkStart w:id="465" w:name="_Toc304295571"/>
      <w:bookmarkStart w:id="466" w:name="_Toc312677504"/>
      <w:bookmarkStart w:id="467" w:name="_Toc296891032"/>
      <w:r>
        <w:rPr>
          <w:rFonts w:hAnsi="宋体"/>
          <w:color w:val="auto"/>
          <w:sz w:val="24"/>
          <w:szCs w:val="24"/>
          <w:highlight w:val="none"/>
        </w:rPr>
        <w:t>包人提出的合理化建议降低了合同价格或者提高了工程经济效益的</w:t>
      </w:r>
      <w:r>
        <w:rPr>
          <w:rFonts w:hint="eastAsia" w:hAnsi="宋体"/>
          <w:color w:val="auto"/>
          <w:sz w:val="24"/>
          <w:szCs w:val="24"/>
          <w:highlight w:val="none"/>
        </w:rPr>
        <w:t>，发包人按变更审批程序视情况有权决定是否采用，</w:t>
      </w:r>
    </w:p>
    <w:p w14:paraId="4ECF096B">
      <w:pPr>
        <w:pStyle w:val="248"/>
        <w:spacing w:before="0" w:after="0" w:line="360" w:lineRule="auto"/>
        <w:ind w:firstLine="236" w:firstLineChars="98"/>
        <w:rPr>
          <w:color w:val="auto"/>
          <w:sz w:val="24"/>
          <w:szCs w:val="24"/>
          <w:highlight w:val="none"/>
        </w:rPr>
      </w:pPr>
      <w:r>
        <w:rPr>
          <w:rFonts w:hint="eastAsia"/>
          <w:color w:val="auto"/>
          <w:sz w:val="24"/>
          <w:szCs w:val="24"/>
          <w:highlight w:val="none"/>
        </w:rPr>
        <w:t>8</w:t>
      </w:r>
      <w:r>
        <w:rPr>
          <w:color w:val="auto"/>
          <w:sz w:val="24"/>
          <w:szCs w:val="24"/>
          <w:highlight w:val="none"/>
        </w:rPr>
        <w:t>.</w:t>
      </w:r>
      <w:r>
        <w:rPr>
          <w:rFonts w:hint="eastAsia"/>
          <w:color w:val="auto"/>
          <w:sz w:val="24"/>
          <w:szCs w:val="24"/>
          <w:highlight w:val="none"/>
        </w:rPr>
        <w:t>5</w:t>
      </w:r>
      <w:r>
        <w:rPr>
          <w:color w:val="auto"/>
          <w:sz w:val="24"/>
          <w:szCs w:val="24"/>
          <w:highlight w:val="none"/>
        </w:rPr>
        <w:t xml:space="preserve"> </w:t>
      </w:r>
      <w:r>
        <w:rPr>
          <w:rFonts w:hAnsi="宋体"/>
          <w:color w:val="auto"/>
          <w:sz w:val="24"/>
          <w:szCs w:val="24"/>
          <w:highlight w:val="none"/>
        </w:rPr>
        <w:t>变更引起的工期调整</w:t>
      </w:r>
    </w:p>
    <w:p w14:paraId="3DC8F33A">
      <w:pPr>
        <w:pStyle w:val="232"/>
        <w:spacing w:line="360" w:lineRule="auto"/>
        <w:ind w:firstLine="420"/>
        <w:rPr>
          <w:rFonts w:ascii="Times New Roman" w:hAnsi="Times New Roman"/>
          <w:color w:val="auto"/>
          <w:sz w:val="24"/>
          <w:szCs w:val="24"/>
          <w:highlight w:val="none"/>
        </w:rPr>
      </w:pPr>
      <w:r>
        <w:rPr>
          <w:rFonts w:ascii="Times New Roman" w:hAnsi="宋体"/>
          <w:color w:val="auto"/>
          <w:sz w:val="24"/>
          <w:szCs w:val="24"/>
          <w:highlight w:val="none"/>
        </w:rPr>
        <w:t>因变更引起的工期变化，承包人应在设计变更发生后</w:t>
      </w:r>
      <w:r>
        <w:rPr>
          <w:rFonts w:ascii="Times New Roman" w:hAnsi="Times New Roman"/>
          <w:color w:val="auto"/>
          <w:sz w:val="24"/>
          <w:szCs w:val="24"/>
          <w:highlight w:val="none"/>
        </w:rPr>
        <w:t>14</w:t>
      </w:r>
      <w:r>
        <w:rPr>
          <w:rFonts w:ascii="Times New Roman" w:hAnsi="宋体"/>
          <w:color w:val="auto"/>
          <w:sz w:val="24"/>
          <w:szCs w:val="24"/>
          <w:highlight w:val="none"/>
        </w:rPr>
        <w:t>天内书面提出调整工期申请，超过</w:t>
      </w:r>
      <w:r>
        <w:rPr>
          <w:rFonts w:ascii="Times New Roman" w:hAnsi="Times New Roman"/>
          <w:color w:val="auto"/>
          <w:sz w:val="24"/>
          <w:szCs w:val="24"/>
          <w:highlight w:val="none"/>
        </w:rPr>
        <w:t>14</w:t>
      </w:r>
      <w:r>
        <w:rPr>
          <w:rFonts w:ascii="Times New Roman" w:hAnsi="宋体"/>
          <w:color w:val="auto"/>
          <w:sz w:val="24"/>
          <w:szCs w:val="24"/>
          <w:highlight w:val="none"/>
        </w:rPr>
        <w:t>天即视为承包人自动放弃索赔工期的权利。监理人认为有必要时，可要求承包人提交要求提前或延长工期的施工进度计划及相应施工措施等详细材料。</w:t>
      </w:r>
      <w:bookmarkEnd w:id="378"/>
      <w:bookmarkEnd w:id="379"/>
      <w:bookmarkEnd w:id="380"/>
      <w:bookmarkEnd w:id="381"/>
      <w:bookmarkEnd w:id="382"/>
      <w:bookmarkEnd w:id="383"/>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Start w:id="468" w:name="_Toc300935002"/>
      <w:bookmarkStart w:id="469" w:name="_Toc296346706"/>
      <w:bookmarkStart w:id="470" w:name="_Toc304295579"/>
      <w:bookmarkStart w:id="471" w:name="_Toc373478395"/>
      <w:bookmarkStart w:id="472" w:name="_Toc297120505"/>
      <w:bookmarkStart w:id="473" w:name="_Toc467599610"/>
      <w:bookmarkStart w:id="474" w:name="_Toc303539159"/>
      <w:bookmarkStart w:id="475" w:name="_Toc297216211"/>
      <w:bookmarkStart w:id="476" w:name="_Toc296347204"/>
      <w:bookmarkStart w:id="477" w:name="_Toc373227748"/>
      <w:bookmarkStart w:id="478" w:name="_Toc296944544"/>
      <w:bookmarkStart w:id="479" w:name="_Toc296503205"/>
      <w:bookmarkStart w:id="480" w:name="_Toc312678040"/>
      <w:bookmarkStart w:id="481" w:name="_Toc296891033"/>
      <w:bookmarkStart w:id="482" w:name="_Toc296891245"/>
      <w:bookmarkStart w:id="483" w:name="_Toc297048391"/>
      <w:bookmarkStart w:id="484" w:name="_Toc297123552"/>
      <w:bookmarkStart w:id="485" w:name="_Toc351203644"/>
      <w:bookmarkStart w:id="486" w:name="_Toc292559410"/>
      <w:bookmarkStart w:id="487" w:name="_Toc292559915"/>
    </w:p>
    <w:bookmarkEnd w:id="384"/>
    <w:bookmarkEnd w:id="385"/>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14:paraId="0AE95CB5">
      <w:pPr>
        <w:pStyle w:val="247"/>
        <w:spacing w:beforeLines="100" w:after="0" w:line="360" w:lineRule="auto"/>
        <w:rPr>
          <w:rFonts w:ascii="Times New Roman" w:hAnsi="Times New Roman"/>
          <w:color w:val="auto"/>
          <w:sz w:val="24"/>
          <w:szCs w:val="24"/>
          <w:highlight w:val="none"/>
        </w:rPr>
      </w:pPr>
      <w:bookmarkStart w:id="488" w:name="_Toc373227746"/>
      <w:bookmarkStart w:id="489" w:name="_Toc467599608"/>
      <w:bookmarkStart w:id="490" w:name="_Toc351203643"/>
      <w:bookmarkStart w:id="491" w:name="_Toc373478393"/>
      <w:bookmarkStart w:id="492" w:name="_Toc389065312"/>
      <w:r>
        <w:rPr>
          <w:rFonts w:hint="eastAsia" w:ascii="Times New Roman" w:hAnsi="宋体"/>
          <w:color w:val="auto"/>
          <w:sz w:val="24"/>
          <w:szCs w:val="24"/>
          <w:highlight w:val="none"/>
        </w:rPr>
        <w:t xml:space="preserve">9. </w:t>
      </w:r>
      <w:r>
        <w:rPr>
          <w:rFonts w:ascii="Times New Roman" w:hAnsi="宋体"/>
          <w:color w:val="auto"/>
          <w:sz w:val="24"/>
          <w:szCs w:val="24"/>
          <w:highlight w:val="none"/>
        </w:rPr>
        <w:t>价格调整</w:t>
      </w:r>
      <w:bookmarkEnd w:id="488"/>
      <w:bookmarkEnd w:id="489"/>
      <w:bookmarkEnd w:id="490"/>
      <w:bookmarkEnd w:id="491"/>
      <w:bookmarkEnd w:id="492"/>
    </w:p>
    <w:p w14:paraId="76C7B302">
      <w:pPr>
        <w:pStyle w:val="248"/>
        <w:spacing w:before="0" w:after="0" w:line="360" w:lineRule="auto"/>
        <w:ind w:firstLine="236" w:firstLineChars="98"/>
        <w:rPr>
          <w:color w:val="auto"/>
          <w:sz w:val="24"/>
          <w:szCs w:val="24"/>
          <w:highlight w:val="none"/>
        </w:rPr>
      </w:pPr>
      <w:bookmarkStart w:id="493" w:name="_Toc373478394"/>
      <w:bookmarkStart w:id="494" w:name="_Toc467599609"/>
      <w:bookmarkStart w:id="495" w:name="_Toc373227747"/>
      <w:bookmarkStart w:id="496" w:name="_Toc389065313"/>
      <w:bookmarkStart w:id="497" w:name="_Toc300935000"/>
      <w:bookmarkStart w:id="498" w:name="_Toc296891029"/>
      <w:bookmarkStart w:id="499" w:name="_Toc292559911"/>
      <w:bookmarkStart w:id="500" w:name="_Toc312678039"/>
      <w:bookmarkStart w:id="501" w:name="_Toc296347200"/>
      <w:bookmarkStart w:id="502" w:name="_Toc297120501"/>
      <w:bookmarkStart w:id="503" w:name="_Toc297123550"/>
      <w:bookmarkStart w:id="504" w:name="_Toc303539157"/>
      <w:bookmarkStart w:id="505" w:name="_Toc304295577"/>
      <w:bookmarkStart w:id="506" w:name="_Toc296503201"/>
      <w:bookmarkStart w:id="507" w:name="_Toc296346702"/>
      <w:bookmarkStart w:id="508" w:name="_Toc296891241"/>
      <w:bookmarkStart w:id="509" w:name="_Toc292559406"/>
      <w:bookmarkStart w:id="510" w:name="_Toc297048387"/>
      <w:bookmarkStart w:id="511" w:name="_Toc297216209"/>
      <w:bookmarkStart w:id="512" w:name="_Toc296944540"/>
      <w:r>
        <w:rPr>
          <w:rFonts w:hint="eastAsia"/>
          <w:color w:val="auto"/>
          <w:sz w:val="24"/>
          <w:szCs w:val="24"/>
          <w:highlight w:val="none"/>
        </w:rPr>
        <w:t>9</w:t>
      </w:r>
      <w:r>
        <w:rPr>
          <w:color w:val="auto"/>
          <w:sz w:val="24"/>
          <w:szCs w:val="24"/>
          <w:highlight w:val="none"/>
        </w:rPr>
        <w:t xml:space="preserve">.1 </w:t>
      </w:r>
      <w:r>
        <w:rPr>
          <w:rFonts w:hAnsi="宋体"/>
          <w:color w:val="auto"/>
          <w:sz w:val="24"/>
          <w:szCs w:val="24"/>
          <w:highlight w:val="none"/>
        </w:rPr>
        <w:t>市场价格波动引起的调整</w:t>
      </w:r>
      <w:bookmarkEnd w:id="493"/>
      <w:bookmarkEnd w:id="494"/>
      <w:bookmarkEnd w:id="495"/>
      <w:bookmarkEnd w:id="496"/>
    </w:p>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14:paraId="0B2535D3">
      <w:pPr>
        <w:pStyle w:val="230"/>
        <w:spacing w:line="360" w:lineRule="auto"/>
        <w:ind w:firstLine="480" w:firstLineChars="200"/>
        <w:rPr>
          <w:color w:val="auto"/>
          <w:sz w:val="24"/>
          <w:szCs w:val="24"/>
          <w:highlight w:val="none"/>
        </w:rPr>
      </w:pPr>
      <w:r>
        <w:rPr>
          <w:rFonts w:hAnsi="宋体"/>
          <w:color w:val="auto"/>
          <w:sz w:val="24"/>
          <w:szCs w:val="24"/>
          <w:highlight w:val="none"/>
        </w:rPr>
        <w:t>市场价格波动是否调整合同价格的约定：</w:t>
      </w:r>
      <w:r>
        <w:rPr>
          <w:rFonts w:hAnsi="宋体"/>
          <w:color w:val="auto"/>
          <w:sz w:val="24"/>
          <w:szCs w:val="24"/>
          <w:highlight w:val="none"/>
          <w:u w:val="single"/>
        </w:rPr>
        <w:t>是，但因承包人原因造成的工期拖延，延误期间的价格下跌时按下跌价格调整，价格上涨时按原价格。</w:t>
      </w:r>
    </w:p>
    <w:p w14:paraId="1BB4DB9C">
      <w:pPr>
        <w:pStyle w:val="230"/>
        <w:spacing w:line="360" w:lineRule="auto"/>
        <w:ind w:firstLine="480" w:firstLineChars="200"/>
        <w:rPr>
          <w:rFonts w:hint="eastAsia"/>
          <w:color w:val="auto"/>
          <w:sz w:val="24"/>
          <w:szCs w:val="24"/>
          <w:highlight w:val="none"/>
        </w:rPr>
      </w:pPr>
      <w:r>
        <w:rPr>
          <w:color w:val="auto"/>
          <w:sz w:val="24"/>
          <w:szCs w:val="24"/>
          <w:highlight w:val="none"/>
        </w:rPr>
        <w:t>因市场价格波动调整合同价格，采用以下方式对合同价格进行调整：</w:t>
      </w:r>
    </w:p>
    <w:p w14:paraId="1E49C0B2">
      <w:pPr>
        <w:pStyle w:val="230"/>
        <w:spacing w:line="360" w:lineRule="auto"/>
        <w:ind w:firstLine="480" w:firstLineChars="200"/>
        <w:rPr>
          <w:color w:val="auto"/>
          <w:sz w:val="24"/>
          <w:szCs w:val="24"/>
          <w:highlight w:val="none"/>
        </w:rPr>
      </w:pPr>
      <w:r>
        <w:rPr>
          <w:color w:val="auto"/>
          <w:sz w:val="24"/>
          <w:szCs w:val="24"/>
          <w:highlight w:val="none"/>
        </w:rPr>
        <w:t>关于基准价格的约定：《南宁建设工程造价信息》</w:t>
      </w:r>
      <w:r>
        <w:rPr>
          <w:rFonts w:hint="eastAsia"/>
          <w:color w:val="auto"/>
          <w:sz w:val="24"/>
          <w:szCs w:val="24"/>
          <w:highlight w:val="none"/>
          <w:lang w:val="en-US" w:eastAsia="zh-CN"/>
        </w:rPr>
        <w:t>2026</w:t>
      </w:r>
      <w:r>
        <w:rPr>
          <w:color w:val="auto"/>
          <w:sz w:val="24"/>
          <w:szCs w:val="24"/>
          <w:highlight w:val="none"/>
        </w:rPr>
        <w:t>年</w:t>
      </w:r>
      <w:r>
        <w:rPr>
          <w:rFonts w:hint="eastAsia"/>
          <w:color w:val="auto"/>
          <w:sz w:val="24"/>
          <w:szCs w:val="24"/>
          <w:highlight w:val="none"/>
          <w:lang w:val="en-US" w:eastAsia="zh-CN"/>
        </w:rPr>
        <w:t>5</w:t>
      </w:r>
      <w:r>
        <w:rPr>
          <w:rFonts w:hint="eastAsia"/>
          <w:color w:val="auto"/>
          <w:sz w:val="24"/>
          <w:szCs w:val="24"/>
          <w:highlight w:val="none"/>
        </w:rPr>
        <w:t>月（</w:t>
      </w:r>
      <w:r>
        <w:rPr>
          <w:rFonts w:hint="eastAsia"/>
          <w:color w:val="auto"/>
          <w:sz w:val="24"/>
          <w:szCs w:val="24"/>
          <w:highlight w:val="none"/>
          <w:lang w:val="en-US" w:eastAsia="zh-CN"/>
        </w:rPr>
        <w:t>上</w:t>
      </w:r>
      <w:r>
        <w:rPr>
          <w:rFonts w:hint="eastAsia"/>
          <w:color w:val="auto"/>
          <w:sz w:val="24"/>
          <w:szCs w:val="24"/>
          <w:highlight w:val="none"/>
        </w:rPr>
        <w:t>半月）</w:t>
      </w:r>
      <w:r>
        <w:rPr>
          <w:color w:val="auto"/>
          <w:sz w:val="24"/>
          <w:szCs w:val="24"/>
          <w:highlight w:val="none"/>
        </w:rPr>
        <w:t>相应信息价。</w:t>
      </w:r>
    </w:p>
    <w:p w14:paraId="748AB13A">
      <w:pPr>
        <w:pStyle w:val="232"/>
        <w:spacing w:line="360" w:lineRule="auto"/>
        <w:ind w:firstLine="420"/>
        <w:rPr>
          <w:rFonts w:ascii="Times New Roman" w:hAnsi="Times New Roman"/>
          <w:color w:val="auto"/>
          <w:sz w:val="24"/>
          <w:szCs w:val="24"/>
          <w:highlight w:val="none"/>
        </w:rPr>
      </w:pPr>
      <w:r>
        <w:rPr>
          <w:rFonts w:ascii="宋体" w:hAnsi="宋体"/>
          <w:color w:val="auto"/>
          <w:sz w:val="24"/>
          <w:szCs w:val="24"/>
          <w:highlight w:val="none"/>
        </w:rPr>
        <w:t>①</w:t>
      </w:r>
      <w:r>
        <w:rPr>
          <w:rFonts w:ascii="Times New Roman" w:hAnsi="宋体"/>
          <w:color w:val="auto"/>
          <w:sz w:val="24"/>
          <w:szCs w:val="24"/>
          <w:highlight w:val="none"/>
        </w:rPr>
        <w:t>承包人在已标价工程量清单或预算书中载明的材料单价低于基准价格的：合同履行期间材料单价涨幅以基准价格为基础超过</w:t>
      </w:r>
      <w:r>
        <w:rPr>
          <w:rFonts w:ascii="Times New Roman" w:hAnsi="Times New Roman"/>
          <w:b/>
          <w:bCs/>
          <w:color w:val="auto"/>
          <w:sz w:val="24"/>
          <w:szCs w:val="24"/>
          <w:highlight w:val="none"/>
          <w:u w:val="single"/>
        </w:rPr>
        <w:t>5</w:t>
      </w:r>
      <w:r>
        <w:rPr>
          <w:rFonts w:ascii="Times New Roman" w:hAnsi="Times New Roman"/>
          <w:b/>
          <w:bCs/>
          <w:color w:val="auto"/>
          <w:sz w:val="24"/>
          <w:szCs w:val="24"/>
          <w:highlight w:val="none"/>
        </w:rPr>
        <w:t>%</w:t>
      </w:r>
      <w:r>
        <w:rPr>
          <w:rFonts w:ascii="Times New Roman" w:hAnsi="宋体"/>
          <w:color w:val="auto"/>
          <w:sz w:val="24"/>
          <w:szCs w:val="24"/>
          <w:highlight w:val="none"/>
        </w:rPr>
        <w:t>时，或材料单价跌幅以已标价工程量清单或预算书中载明材料单价为基础超过</w:t>
      </w:r>
      <w:r>
        <w:rPr>
          <w:rFonts w:ascii="Times New Roman" w:hAnsi="Times New Roman"/>
          <w:b/>
          <w:bCs/>
          <w:color w:val="auto"/>
          <w:sz w:val="24"/>
          <w:szCs w:val="24"/>
          <w:highlight w:val="none"/>
          <w:u w:val="single"/>
        </w:rPr>
        <w:t>5</w:t>
      </w:r>
      <w:r>
        <w:rPr>
          <w:rFonts w:ascii="Times New Roman" w:hAnsi="Times New Roman"/>
          <w:b/>
          <w:bCs/>
          <w:color w:val="auto"/>
          <w:sz w:val="24"/>
          <w:szCs w:val="24"/>
          <w:highlight w:val="none"/>
        </w:rPr>
        <w:t>%</w:t>
      </w:r>
      <w:r>
        <w:rPr>
          <w:rFonts w:ascii="Times New Roman" w:hAnsi="宋体"/>
          <w:color w:val="auto"/>
          <w:sz w:val="24"/>
          <w:szCs w:val="24"/>
          <w:highlight w:val="none"/>
        </w:rPr>
        <w:t>时，其超过部分据实调整。</w:t>
      </w:r>
    </w:p>
    <w:p w14:paraId="4AE17A30">
      <w:pPr>
        <w:pStyle w:val="232"/>
        <w:spacing w:line="360" w:lineRule="auto"/>
        <w:ind w:firstLine="420"/>
        <w:rPr>
          <w:rFonts w:ascii="Times New Roman" w:hAnsi="Times New Roman"/>
          <w:color w:val="auto"/>
          <w:sz w:val="24"/>
          <w:szCs w:val="24"/>
          <w:highlight w:val="none"/>
        </w:rPr>
      </w:pPr>
      <w:r>
        <w:rPr>
          <w:rFonts w:ascii="宋体" w:hAnsi="宋体"/>
          <w:color w:val="auto"/>
          <w:sz w:val="24"/>
          <w:szCs w:val="24"/>
          <w:highlight w:val="none"/>
        </w:rPr>
        <w:t>②</w:t>
      </w:r>
      <w:r>
        <w:rPr>
          <w:rFonts w:ascii="Times New Roman" w:hAnsi="宋体"/>
          <w:color w:val="auto"/>
          <w:sz w:val="24"/>
          <w:szCs w:val="24"/>
          <w:highlight w:val="none"/>
        </w:rPr>
        <w:t>承包人在已标价工程量清单或预算书中载明的材料单价高于基准价格的：合同履行期间材料单价跌幅以基准价格为基础超过</w:t>
      </w:r>
      <w:r>
        <w:rPr>
          <w:rFonts w:ascii="Times New Roman" w:hAnsi="Times New Roman"/>
          <w:b/>
          <w:bCs/>
          <w:color w:val="auto"/>
          <w:sz w:val="24"/>
          <w:szCs w:val="24"/>
          <w:highlight w:val="none"/>
          <w:u w:val="single"/>
        </w:rPr>
        <w:t>5</w:t>
      </w:r>
      <w:r>
        <w:rPr>
          <w:rFonts w:ascii="Times New Roman" w:hAnsi="Times New Roman"/>
          <w:b/>
          <w:bCs/>
          <w:color w:val="auto"/>
          <w:sz w:val="24"/>
          <w:szCs w:val="24"/>
          <w:highlight w:val="none"/>
        </w:rPr>
        <w:t>%</w:t>
      </w:r>
      <w:r>
        <w:rPr>
          <w:rFonts w:ascii="Times New Roman" w:hAnsi="宋体"/>
          <w:color w:val="auto"/>
          <w:sz w:val="24"/>
          <w:szCs w:val="24"/>
          <w:highlight w:val="none"/>
        </w:rPr>
        <w:t>时，材料单价涨幅以已标价工程量清单或预算书中载明材料单价为基础超过</w:t>
      </w:r>
      <w:r>
        <w:rPr>
          <w:rFonts w:ascii="Times New Roman" w:hAnsi="Times New Roman"/>
          <w:b/>
          <w:bCs/>
          <w:color w:val="auto"/>
          <w:sz w:val="24"/>
          <w:szCs w:val="24"/>
          <w:highlight w:val="none"/>
          <w:u w:val="single"/>
        </w:rPr>
        <w:t>5</w:t>
      </w:r>
      <w:r>
        <w:rPr>
          <w:rFonts w:ascii="Times New Roman" w:hAnsi="Times New Roman"/>
          <w:b/>
          <w:bCs/>
          <w:color w:val="auto"/>
          <w:sz w:val="24"/>
          <w:szCs w:val="24"/>
          <w:highlight w:val="none"/>
        </w:rPr>
        <w:t>%</w:t>
      </w:r>
      <w:r>
        <w:rPr>
          <w:rFonts w:ascii="Times New Roman" w:hAnsi="宋体"/>
          <w:color w:val="auto"/>
          <w:sz w:val="24"/>
          <w:szCs w:val="24"/>
          <w:highlight w:val="none"/>
        </w:rPr>
        <w:t>时，其超过部分据实调整。</w:t>
      </w:r>
    </w:p>
    <w:p w14:paraId="66374658">
      <w:pPr>
        <w:pStyle w:val="5"/>
        <w:spacing w:before="0" w:after="0" w:line="360" w:lineRule="auto"/>
        <w:ind w:firstLine="352" w:firstLineChars="147"/>
        <w:rPr>
          <w:rFonts w:ascii="Times New Roman" w:hAnsi="Times New Roman"/>
          <w:b w:val="0"/>
          <w:color w:val="auto"/>
          <w:sz w:val="24"/>
          <w:szCs w:val="24"/>
          <w:highlight w:val="none"/>
        </w:rPr>
      </w:pPr>
      <w:r>
        <w:rPr>
          <w:rFonts w:ascii="宋体" w:hAnsi="宋体"/>
          <w:b w:val="0"/>
          <w:color w:val="auto"/>
          <w:sz w:val="24"/>
          <w:szCs w:val="24"/>
          <w:highlight w:val="none"/>
        </w:rPr>
        <w:t>③</w:t>
      </w:r>
      <w:r>
        <w:rPr>
          <w:rFonts w:ascii="Times New Roman" w:hAnsi="宋体"/>
          <w:b w:val="0"/>
          <w:color w:val="auto"/>
          <w:sz w:val="24"/>
          <w:szCs w:val="24"/>
          <w:highlight w:val="none"/>
        </w:rPr>
        <w:t>承包人在已标价工程量清单或预算书中载明的材料单价等于基准单价的：合同履行期间材料单价涨跌幅以基准单价为基础超过</w:t>
      </w:r>
      <w:r>
        <w:rPr>
          <w:rFonts w:ascii="Times New Roman" w:hAnsi="Times New Roman"/>
          <w:bCs w:val="0"/>
          <w:color w:val="auto"/>
          <w:sz w:val="24"/>
          <w:szCs w:val="24"/>
          <w:highlight w:val="none"/>
        </w:rPr>
        <w:t>±</w:t>
      </w:r>
      <w:r>
        <w:rPr>
          <w:rFonts w:ascii="Times New Roman" w:hAnsi="Times New Roman"/>
          <w:bCs w:val="0"/>
          <w:color w:val="auto"/>
          <w:sz w:val="24"/>
          <w:szCs w:val="24"/>
          <w:highlight w:val="none"/>
          <w:u w:val="single"/>
        </w:rPr>
        <w:t>5</w:t>
      </w:r>
      <w:r>
        <w:rPr>
          <w:rFonts w:ascii="Times New Roman" w:hAnsi="Times New Roman"/>
          <w:bCs w:val="0"/>
          <w:color w:val="auto"/>
          <w:sz w:val="24"/>
          <w:szCs w:val="24"/>
          <w:highlight w:val="none"/>
        </w:rPr>
        <w:t>%</w:t>
      </w:r>
      <w:r>
        <w:rPr>
          <w:rFonts w:ascii="Times New Roman" w:hAnsi="宋体"/>
          <w:b w:val="0"/>
          <w:color w:val="auto"/>
          <w:sz w:val="24"/>
          <w:szCs w:val="24"/>
          <w:highlight w:val="none"/>
        </w:rPr>
        <w:t>时，其超过部分据实调整。</w:t>
      </w:r>
    </w:p>
    <w:p w14:paraId="32F66A59">
      <w:pPr>
        <w:pStyle w:val="247"/>
        <w:spacing w:beforeLines="100" w:after="0" w:line="360" w:lineRule="auto"/>
        <w:rPr>
          <w:rFonts w:ascii="Times New Roman" w:hAnsi="Times New Roman"/>
          <w:color w:val="auto"/>
          <w:sz w:val="24"/>
          <w:szCs w:val="24"/>
          <w:highlight w:val="none"/>
        </w:rPr>
      </w:pPr>
      <w:bookmarkStart w:id="513" w:name="_Toc351203580"/>
      <w:bookmarkStart w:id="514" w:name="_Toc337558799"/>
      <w:bookmarkStart w:id="515" w:name="_Toc296346597"/>
      <w:bookmarkStart w:id="516" w:name="_Toc296503096"/>
      <w:r>
        <w:rPr>
          <w:rFonts w:ascii="Times New Roman" w:hAnsi="Times New Roman"/>
          <w:color w:val="auto"/>
          <w:sz w:val="24"/>
          <w:szCs w:val="24"/>
          <w:highlight w:val="none"/>
        </w:rPr>
        <w:t>1</w:t>
      </w:r>
      <w:r>
        <w:rPr>
          <w:rFonts w:hint="eastAsia" w:ascii="Times New Roman" w:hAnsi="Times New Roman"/>
          <w:color w:val="auto"/>
          <w:sz w:val="24"/>
          <w:szCs w:val="24"/>
          <w:highlight w:val="none"/>
        </w:rPr>
        <w:t>0</w:t>
      </w:r>
      <w:r>
        <w:rPr>
          <w:rFonts w:ascii="Times New Roman" w:hAnsi="Times New Roman"/>
          <w:color w:val="auto"/>
          <w:sz w:val="24"/>
          <w:szCs w:val="24"/>
          <w:highlight w:val="none"/>
        </w:rPr>
        <w:t>.</w:t>
      </w:r>
      <w:bookmarkEnd w:id="513"/>
      <w:r>
        <w:rPr>
          <w:rFonts w:hint="eastAsia" w:ascii="Times New Roman" w:hAnsi="Times New Roman"/>
          <w:color w:val="auto"/>
          <w:sz w:val="24"/>
          <w:szCs w:val="24"/>
          <w:highlight w:val="none"/>
        </w:rPr>
        <w:t xml:space="preserve"> </w:t>
      </w:r>
      <w:r>
        <w:rPr>
          <w:rFonts w:ascii="Times New Roman" w:hAnsi="宋体"/>
          <w:color w:val="auto"/>
          <w:sz w:val="24"/>
          <w:szCs w:val="24"/>
          <w:highlight w:val="none"/>
        </w:rPr>
        <w:t>合同价格、计量与支付</w:t>
      </w:r>
    </w:p>
    <w:p w14:paraId="1C7E0DC8">
      <w:pPr>
        <w:pStyle w:val="248"/>
        <w:spacing w:before="0" w:after="0" w:line="360" w:lineRule="auto"/>
        <w:ind w:firstLine="236" w:firstLineChars="98"/>
        <w:rPr>
          <w:color w:val="auto"/>
          <w:sz w:val="24"/>
          <w:szCs w:val="24"/>
          <w:highlight w:val="none"/>
        </w:rPr>
      </w:pPr>
      <w:bookmarkStart w:id="517" w:name="_Toc292559411"/>
      <w:bookmarkStart w:id="518" w:name="_Toc292559916"/>
      <w:bookmarkStart w:id="519" w:name="_Toc267251461"/>
      <w:bookmarkStart w:id="520" w:name="_Toc296503206"/>
      <w:bookmarkStart w:id="521" w:name="_Toc296891034"/>
      <w:bookmarkStart w:id="522" w:name="_Toc296891246"/>
      <w:bookmarkStart w:id="523" w:name="_Toc296944545"/>
      <w:bookmarkStart w:id="524" w:name="_Toc296346707"/>
      <w:bookmarkStart w:id="525" w:name="_Toc297048392"/>
      <w:bookmarkStart w:id="526" w:name="_Toc296347205"/>
      <w:bookmarkStart w:id="527" w:name="_Toc297120506"/>
      <w:bookmarkStart w:id="528" w:name="_Toc373227749"/>
      <w:bookmarkStart w:id="529" w:name="_Toc389065314"/>
      <w:bookmarkStart w:id="530" w:name="_Toc373478396"/>
      <w:bookmarkStart w:id="531" w:name="_Toc467599611"/>
      <w:bookmarkStart w:id="532" w:name="_Toc297216212"/>
      <w:bookmarkStart w:id="533" w:name="_Toc303539160"/>
      <w:bookmarkStart w:id="534" w:name="_Toc304295580"/>
      <w:bookmarkStart w:id="535" w:name="_Toc300935003"/>
      <w:bookmarkStart w:id="536" w:name="_Toc312678041"/>
      <w:bookmarkStart w:id="537" w:name="_Toc297123553"/>
      <w:r>
        <w:rPr>
          <w:color w:val="auto"/>
          <w:sz w:val="24"/>
          <w:szCs w:val="24"/>
          <w:highlight w:val="none"/>
        </w:rPr>
        <w:t>1</w:t>
      </w:r>
      <w:r>
        <w:rPr>
          <w:rFonts w:hint="eastAsia"/>
          <w:color w:val="auto"/>
          <w:sz w:val="24"/>
          <w:szCs w:val="24"/>
          <w:highlight w:val="none"/>
        </w:rPr>
        <w:t>0</w:t>
      </w:r>
      <w:r>
        <w:rPr>
          <w:color w:val="auto"/>
          <w:sz w:val="24"/>
          <w:szCs w:val="24"/>
          <w:highlight w:val="none"/>
        </w:rPr>
        <w:t xml:space="preserve">.1 </w:t>
      </w:r>
      <w:r>
        <w:rPr>
          <w:rFonts w:hAnsi="宋体"/>
          <w:color w:val="auto"/>
          <w:sz w:val="24"/>
          <w:szCs w:val="24"/>
          <w:highlight w:val="none"/>
        </w:rPr>
        <w:t>合</w:t>
      </w:r>
      <w:bookmarkEnd w:id="517"/>
      <w:bookmarkEnd w:id="518"/>
      <w:bookmarkEnd w:id="519"/>
      <w:r>
        <w:rPr>
          <w:rFonts w:hAnsi="宋体"/>
          <w:color w:val="auto"/>
          <w:sz w:val="24"/>
          <w:szCs w:val="24"/>
          <w:highlight w:val="none"/>
        </w:rPr>
        <w:t>同价</w:t>
      </w:r>
      <w:bookmarkEnd w:id="520"/>
      <w:bookmarkEnd w:id="521"/>
      <w:bookmarkEnd w:id="522"/>
      <w:bookmarkEnd w:id="523"/>
      <w:bookmarkEnd w:id="524"/>
      <w:bookmarkEnd w:id="525"/>
      <w:bookmarkEnd w:id="526"/>
      <w:bookmarkEnd w:id="527"/>
      <w:r>
        <w:rPr>
          <w:rFonts w:hAnsi="宋体"/>
          <w:color w:val="auto"/>
          <w:sz w:val="24"/>
          <w:szCs w:val="24"/>
          <w:highlight w:val="none"/>
        </w:rPr>
        <w:t>格形式</w:t>
      </w:r>
      <w:bookmarkEnd w:id="528"/>
      <w:bookmarkEnd w:id="529"/>
      <w:bookmarkEnd w:id="530"/>
      <w:bookmarkEnd w:id="531"/>
    </w:p>
    <w:bookmarkEnd w:id="532"/>
    <w:bookmarkEnd w:id="533"/>
    <w:bookmarkEnd w:id="534"/>
    <w:bookmarkEnd w:id="535"/>
    <w:bookmarkEnd w:id="536"/>
    <w:bookmarkEnd w:id="537"/>
    <w:p w14:paraId="695D62C0">
      <w:pPr>
        <w:pStyle w:val="230"/>
        <w:spacing w:line="360" w:lineRule="auto"/>
        <w:ind w:firstLine="480" w:firstLineChars="200"/>
        <w:rPr>
          <w:color w:val="auto"/>
          <w:sz w:val="24"/>
          <w:szCs w:val="24"/>
          <w:highlight w:val="none"/>
        </w:rPr>
      </w:pPr>
      <w:bookmarkStart w:id="538" w:name="_Toc373478397"/>
      <w:bookmarkStart w:id="539" w:name="_Toc373227750"/>
      <w:bookmarkStart w:id="540" w:name="_Toc389065315"/>
      <w:bookmarkStart w:id="541" w:name="_Toc312678042"/>
      <w:bookmarkStart w:id="542" w:name="_Toc303539161"/>
      <w:bookmarkStart w:id="543" w:name="_Toc300935004"/>
      <w:bookmarkStart w:id="544" w:name="_Toc297123554"/>
      <w:bookmarkStart w:id="545" w:name="_Toc304295581"/>
      <w:bookmarkStart w:id="546" w:name="_Toc297216213"/>
      <w:bookmarkStart w:id="547" w:name="_Toc296347206"/>
      <w:bookmarkStart w:id="548" w:name="_Toc292559412"/>
      <w:bookmarkStart w:id="549" w:name="_Toc297048393"/>
      <w:bookmarkStart w:id="550" w:name="_Toc292559917"/>
      <w:bookmarkStart w:id="551" w:name="_Toc296346708"/>
      <w:bookmarkStart w:id="552" w:name="_Toc296944546"/>
      <w:bookmarkStart w:id="553" w:name="_Toc296891035"/>
      <w:bookmarkStart w:id="554" w:name="_Toc296503207"/>
      <w:bookmarkStart w:id="555" w:name="_Toc296891247"/>
      <w:bookmarkStart w:id="556" w:name="_Toc297120507"/>
      <w:r>
        <w:rPr>
          <w:rFonts w:hint="eastAsia" w:hAnsi="宋体"/>
          <w:color w:val="auto"/>
          <w:sz w:val="24"/>
          <w:szCs w:val="24"/>
          <w:highlight w:val="none"/>
        </w:rPr>
        <w:t xml:space="preserve">10.1.1 </w:t>
      </w:r>
      <w:r>
        <w:rPr>
          <w:rFonts w:hAnsi="宋体"/>
          <w:color w:val="auto"/>
          <w:sz w:val="24"/>
          <w:szCs w:val="24"/>
          <w:highlight w:val="none"/>
        </w:rPr>
        <w:t>本合同价款采用固定综合单价方式确定，</w:t>
      </w:r>
      <w:r>
        <w:rPr>
          <w:rFonts w:hint="eastAsia"/>
          <w:b/>
          <w:color w:val="auto"/>
          <w:sz w:val="24"/>
          <w:highlight w:val="none"/>
          <w:u w:val="single"/>
        </w:rPr>
        <w:t>固定综合单价以承包人在竞标时提交的已标价工程量清单中所报的综合单价为准</w:t>
      </w:r>
      <w:r>
        <w:rPr>
          <w:rFonts w:hint="eastAsia" w:hAnsi="宋体" w:cs="宋体"/>
          <w:b w:val="0"/>
          <w:bCs/>
          <w:color w:val="auto"/>
          <w:sz w:val="24"/>
          <w:highlight w:val="none"/>
          <w:u w:val="none"/>
          <w:lang w:eastAsia="zh-CN"/>
        </w:rPr>
        <w:t>，</w:t>
      </w:r>
      <w:r>
        <w:rPr>
          <w:rFonts w:hAnsi="宋体"/>
          <w:color w:val="auto"/>
          <w:sz w:val="24"/>
          <w:szCs w:val="24"/>
          <w:highlight w:val="none"/>
        </w:rPr>
        <w:t>工程量按实际结算。</w:t>
      </w:r>
    </w:p>
    <w:p w14:paraId="491905D4">
      <w:pPr>
        <w:pStyle w:val="230"/>
        <w:spacing w:line="360" w:lineRule="auto"/>
        <w:ind w:firstLine="480" w:firstLineChars="200"/>
        <w:rPr>
          <w:color w:val="auto"/>
          <w:sz w:val="24"/>
          <w:szCs w:val="24"/>
          <w:highlight w:val="none"/>
          <w:u w:val="single"/>
        </w:rPr>
      </w:pPr>
      <w:r>
        <w:rPr>
          <w:rFonts w:hint="eastAsia" w:hAnsi="宋体"/>
          <w:color w:val="auto"/>
          <w:sz w:val="24"/>
          <w:szCs w:val="24"/>
          <w:highlight w:val="none"/>
        </w:rPr>
        <w:t xml:space="preserve">10.1.2 </w:t>
      </w:r>
      <w:r>
        <w:rPr>
          <w:rFonts w:hAnsi="宋体"/>
          <w:color w:val="auto"/>
          <w:sz w:val="24"/>
          <w:szCs w:val="24"/>
          <w:highlight w:val="none"/>
        </w:rPr>
        <w:t>综合单价包含的风险范围：</w:t>
      </w:r>
      <w:r>
        <w:rPr>
          <w:rFonts w:hAnsi="宋体"/>
          <w:color w:val="auto"/>
          <w:sz w:val="24"/>
          <w:szCs w:val="24"/>
          <w:highlight w:val="none"/>
          <w:u w:val="single"/>
        </w:rPr>
        <w:t>除工程变更、项目特征不符</w:t>
      </w:r>
      <w:r>
        <w:rPr>
          <w:rFonts w:hint="eastAsia" w:hAnsi="宋体"/>
          <w:color w:val="auto"/>
          <w:sz w:val="24"/>
          <w:szCs w:val="24"/>
          <w:highlight w:val="none"/>
          <w:u w:val="single"/>
        </w:rPr>
        <w:t>、</w:t>
      </w:r>
      <w:r>
        <w:rPr>
          <w:rFonts w:hAnsi="宋体"/>
          <w:color w:val="auto"/>
          <w:sz w:val="24"/>
          <w:szCs w:val="24"/>
          <w:highlight w:val="none"/>
          <w:u w:val="single"/>
        </w:rPr>
        <w:t>工程量清单缺项、工程量偏差、本工程约定的</w:t>
      </w:r>
      <w:r>
        <w:rPr>
          <w:rFonts w:hint="eastAsia" w:hAnsi="宋体"/>
          <w:color w:val="auto"/>
          <w:sz w:val="24"/>
          <w:szCs w:val="24"/>
          <w:highlight w:val="none"/>
          <w:u w:val="single"/>
        </w:rPr>
        <w:t>由</w:t>
      </w:r>
      <w:r>
        <w:rPr>
          <w:rFonts w:hAnsi="宋体"/>
          <w:color w:val="auto"/>
          <w:sz w:val="24"/>
          <w:szCs w:val="24"/>
          <w:highlight w:val="none"/>
          <w:u w:val="single"/>
        </w:rPr>
        <w:t>承包人提供主要材料和设备材料价格变动风险、政策性调整以外的其他风险。</w:t>
      </w:r>
    </w:p>
    <w:p w14:paraId="3B9E4407">
      <w:pPr>
        <w:pStyle w:val="230"/>
        <w:spacing w:line="360" w:lineRule="auto"/>
        <w:ind w:firstLine="480" w:firstLineChars="200"/>
        <w:rPr>
          <w:color w:val="auto"/>
          <w:sz w:val="24"/>
          <w:szCs w:val="24"/>
          <w:highlight w:val="none"/>
        </w:rPr>
      </w:pPr>
      <w:r>
        <w:rPr>
          <w:rFonts w:hint="eastAsia" w:hAnsi="宋体"/>
          <w:color w:val="auto"/>
          <w:sz w:val="24"/>
          <w:highlight w:val="none"/>
        </w:rPr>
        <w:t xml:space="preserve">10.1.3 </w:t>
      </w:r>
      <w:r>
        <w:rPr>
          <w:rFonts w:hAnsi="宋体"/>
          <w:color w:val="auto"/>
          <w:sz w:val="24"/>
          <w:szCs w:val="24"/>
          <w:highlight w:val="none"/>
        </w:rPr>
        <w:t>风险费用的计算方法：</w:t>
      </w:r>
      <w:r>
        <w:rPr>
          <w:rFonts w:hAnsi="宋体"/>
          <w:color w:val="auto"/>
          <w:sz w:val="24"/>
          <w:szCs w:val="24"/>
          <w:highlight w:val="none"/>
          <w:u w:val="single"/>
        </w:rPr>
        <w:t>单价采用固定综合单价，风险费用已综合考虑在单价中。</w:t>
      </w:r>
    </w:p>
    <w:p w14:paraId="11B51F09">
      <w:pPr>
        <w:pStyle w:val="249"/>
        <w:spacing w:line="360" w:lineRule="auto"/>
        <w:ind w:firstLine="480" w:firstLineChars="200"/>
        <w:rPr>
          <w:rFonts w:ascii="Times New Roman" w:hAnsi="Times New Roman"/>
          <w:color w:val="auto"/>
          <w:sz w:val="24"/>
          <w:highlight w:val="none"/>
        </w:rPr>
      </w:pPr>
      <w:r>
        <w:rPr>
          <w:rFonts w:hint="eastAsia" w:ascii="Times New Roman" w:hAnsi="宋体"/>
          <w:color w:val="auto"/>
          <w:sz w:val="24"/>
          <w:highlight w:val="none"/>
        </w:rPr>
        <w:t xml:space="preserve">10.1.4 </w:t>
      </w:r>
      <w:r>
        <w:rPr>
          <w:rFonts w:ascii="Times New Roman" w:hAnsi="宋体"/>
          <w:color w:val="auto"/>
          <w:sz w:val="24"/>
          <w:highlight w:val="none"/>
        </w:rPr>
        <w:t>风险范围以外合同价格的调整方法：</w:t>
      </w:r>
    </w:p>
    <w:p w14:paraId="76B2A848">
      <w:pPr>
        <w:pStyle w:val="230"/>
        <w:spacing w:line="360" w:lineRule="auto"/>
        <w:ind w:firstLine="480" w:firstLineChars="200"/>
        <w:rPr>
          <w:rFonts w:hint="eastAsia" w:hAnsi="宋体"/>
          <w:color w:val="auto"/>
          <w:sz w:val="24"/>
          <w:szCs w:val="24"/>
          <w:highlight w:val="none"/>
        </w:rPr>
      </w:pPr>
      <w:r>
        <w:rPr>
          <w:rFonts w:hAnsi="宋体"/>
          <w:bCs/>
          <w:color w:val="auto"/>
          <w:sz w:val="24"/>
          <w:szCs w:val="24"/>
          <w:highlight w:val="none"/>
          <w:u w:val="single"/>
        </w:rPr>
        <w:t>⑴</w:t>
      </w:r>
      <w:r>
        <w:rPr>
          <w:rFonts w:hAnsi="宋体"/>
          <w:color w:val="auto"/>
          <w:sz w:val="24"/>
          <w:szCs w:val="24"/>
          <w:highlight w:val="none"/>
        </w:rPr>
        <w:t>因分部分项工程量清单漏项、设计变更等相关签证引起工程项目、工程量变化的，变更合同价款按下列方法进行：</w:t>
      </w:r>
    </w:p>
    <w:p w14:paraId="47A8D164">
      <w:pPr>
        <w:pStyle w:val="230"/>
        <w:spacing w:line="360" w:lineRule="auto"/>
        <w:ind w:firstLine="480"/>
        <w:rPr>
          <w:rFonts w:hint="eastAsia" w:hAnsi="宋体"/>
          <w:bCs/>
          <w:color w:val="auto"/>
          <w:sz w:val="24"/>
          <w:szCs w:val="24"/>
          <w:highlight w:val="none"/>
          <w:u w:val="single"/>
        </w:rPr>
      </w:pPr>
      <w:r>
        <w:rPr>
          <w:rFonts w:hint="eastAsia" w:hAnsi="宋体"/>
          <w:bCs/>
          <w:color w:val="auto"/>
          <w:sz w:val="24"/>
          <w:szCs w:val="24"/>
          <w:highlight w:val="none"/>
          <w:u w:val="single"/>
        </w:rPr>
        <w:t>①</w:t>
      </w:r>
      <w:r>
        <w:rPr>
          <w:rFonts w:hAnsi="宋体"/>
          <w:bCs/>
          <w:color w:val="auto"/>
          <w:sz w:val="24"/>
          <w:szCs w:val="24"/>
          <w:highlight w:val="none"/>
          <w:u w:val="single"/>
        </w:rPr>
        <w:t>合同中已有相同子目的，按合同该子目价格进行计算；</w:t>
      </w:r>
    </w:p>
    <w:p w14:paraId="00F12D1A">
      <w:pPr>
        <w:pStyle w:val="230"/>
        <w:spacing w:line="360" w:lineRule="auto"/>
        <w:ind w:firstLine="480"/>
        <w:rPr>
          <w:rFonts w:hint="eastAsia" w:hAnsi="宋体"/>
          <w:bCs/>
          <w:color w:val="auto"/>
          <w:sz w:val="24"/>
          <w:szCs w:val="24"/>
          <w:highlight w:val="none"/>
          <w:u w:val="single"/>
        </w:rPr>
      </w:pPr>
      <w:r>
        <w:rPr>
          <w:rFonts w:hint="eastAsia" w:hAnsi="宋体"/>
          <w:bCs/>
          <w:color w:val="auto"/>
          <w:sz w:val="24"/>
          <w:szCs w:val="24"/>
          <w:highlight w:val="none"/>
          <w:u w:val="single"/>
        </w:rPr>
        <w:t>②</w:t>
      </w:r>
      <w:r>
        <w:rPr>
          <w:rFonts w:hAnsi="宋体"/>
          <w:bCs/>
          <w:color w:val="auto"/>
          <w:sz w:val="24"/>
          <w:szCs w:val="24"/>
          <w:highlight w:val="none"/>
          <w:u w:val="single"/>
        </w:rPr>
        <w:t>合同中只有类似子目的，参照该类似子目价格进行计算；</w:t>
      </w:r>
    </w:p>
    <w:p w14:paraId="4E63752E">
      <w:pPr>
        <w:pStyle w:val="230"/>
        <w:spacing w:line="360" w:lineRule="auto"/>
        <w:ind w:firstLine="480"/>
        <w:rPr>
          <w:rFonts w:hint="eastAsia" w:hAnsi="宋体"/>
          <w:bCs/>
          <w:color w:val="auto"/>
          <w:sz w:val="24"/>
          <w:szCs w:val="24"/>
          <w:highlight w:val="none"/>
          <w:u w:val="single"/>
        </w:rPr>
      </w:pPr>
      <w:r>
        <w:rPr>
          <w:rFonts w:hint="eastAsia" w:hAnsi="宋体"/>
          <w:bCs/>
          <w:color w:val="auto"/>
          <w:sz w:val="24"/>
          <w:szCs w:val="24"/>
          <w:highlight w:val="none"/>
          <w:u w:val="single"/>
        </w:rPr>
        <w:t>③</w:t>
      </w:r>
      <w:r>
        <w:rPr>
          <w:rFonts w:hAnsi="宋体"/>
          <w:bCs/>
          <w:color w:val="auto"/>
          <w:sz w:val="24"/>
          <w:szCs w:val="24"/>
          <w:highlight w:val="none"/>
          <w:u w:val="single"/>
        </w:rPr>
        <w:t>合同中没有适用或类似子目的价格计算方法：有定额的套定额，材料价格按施工期间的《南宁市建设工程造价信息》相应信息价的平均值进行计算，《南宁市建设工程造价信息》没有相应价格信息的按承包人、发包人审计部门及委托跟踪审计单位审定的市场价计算，并乘以下浮系数（中标价</w:t>
      </w:r>
      <w:r>
        <w:rPr>
          <w:bCs/>
          <w:color w:val="auto"/>
          <w:sz w:val="24"/>
          <w:szCs w:val="24"/>
          <w:highlight w:val="none"/>
          <w:u w:val="single"/>
        </w:rPr>
        <w:t>/</w:t>
      </w:r>
      <w:r>
        <w:rPr>
          <w:rFonts w:hAnsi="宋体"/>
          <w:bCs/>
          <w:color w:val="auto"/>
          <w:sz w:val="24"/>
          <w:szCs w:val="24"/>
          <w:highlight w:val="none"/>
          <w:u w:val="single"/>
        </w:rPr>
        <w:t>工程</w:t>
      </w:r>
      <w:r>
        <w:rPr>
          <w:rFonts w:hint="eastAsia" w:hAnsi="宋体"/>
          <w:bCs/>
          <w:color w:val="auto"/>
          <w:sz w:val="24"/>
          <w:szCs w:val="24"/>
          <w:highlight w:val="none"/>
          <w:u w:val="single"/>
          <w:lang w:eastAsia="zh-CN"/>
        </w:rPr>
        <w:t>最高限价</w:t>
      </w:r>
      <w:r>
        <w:rPr>
          <w:rFonts w:hAnsi="宋体"/>
          <w:bCs/>
          <w:color w:val="auto"/>
          <w:sz w:val="24"/>
          <w:szCs w:val="24"/>
          <w:highlight w:val="none"/>
          <w:u w:val="single"/>
        </w:rPr>
        <w:t>）；无定额可套的，承包人、发包人审计部门及委托跟踪审计单位根据市场价格协商确定综合价格，并乘以下浮系数（中标价</w:t>
      </w:r>
      <w:r>
        <w:rPr>
          <w:bCs/>
          <w:color w:val="auto"/>
          <w:sz w:val="24"/>
          <w:szCs w:val="24"/>
          <w:highlight w:val="none"/>
          <w:u w:val="single"/>
        </w:rPr>
        <w:t>/</w:t>
      </w:r>
      <w:r>
        <w:rPr>
          <w:rFonts w:hAnsi="宋体"/>
          <w:bCs/>
          <w:color w:val="auto"/>
          <w:sz w:val="24"/>
          <w:szCs w:val="24"/>
          <w:highlight w:val="none"/>
          <w:u w:val="single"/>
        </w:rPr>
        <w:t>工程</w:t>
      </w:r>
      <w:r>
        <w:rPr>
          <w:rFonts w:hint="eastAsia" w:hAnsi="宋体"/>
          <w:bCs/>
          <w:color w:val="auto"/>
          <w:sz w:val="24"/>
          <w:szCs w:val="24"/>
          <w:highlight w:val="none"/>
          <w:u w:val="single"/>
          <w:lang w:eastAsia="zh-CN"/>
        </w:rPr>
        <w:t>最高限价</w:t>
      </w:r>
      <w:r>
        <w:rPr>
          <w:rFonts w:hAnsi="宋体"/>
          <w:bCs/>
          <w:color w:val="auto"/>
          <w:sz w:val="24"/>
          <w:szCs w:val="24"/>
          <w:highlight w:val="none"/>
          <w:u w:val="single"/>
        </w:rPr>
        <w:t>）计算。</w:t>
      </w:r>
    </w:p>
    <w:p w14:paraId="2D25A901">
      <w:pPr>
        <w:pStyle w:val="230"/>
        <w:spacing w:line="360" w:lineRule="auto"/>
        <w:ind w:firstLine="480"/>
        <w:rPr>
          <w:bCs/>
          <w:color w:val="auto"/>
          <w:sz w:val="24"/>
          <w:szCs w:val="24"/>
          <w:highlight w:val="none"/>
          <w:u w:val="single"/>
        </w:rPr>
      </w:pPr>
      <w:r>
        <w:rPr>
          <w:rFonts w:hAnsi="宋体"/>
          <w:bCs/>
          <w:color w:val="auto"/>
          <w:sz w:val="24"/>
          <w:szCs w:val="24"/>
          <w:highlight w:val="none"/>
          <w:u w:val="single"/>
        </w:rPr>
        <w:t>新增项目的综合单价必须经发包人审计部门及委托跟踪审计单位审定，并乘以下浮系数（中标价</w:t>
      </w:r>
      <w:r>
        <w:rPr>
          <w:bCs/>
          <w:color w:val="auto"/>
          <w:sz w:val="24"/>
          <w:szCs w:val="24"/>
          <w:highlight w:val="none"/>
          <w:u w:val="single"/>
        </w:rPr>
        <w:t>/</w:t>
      </w:r>
      <w:r>
        <w:rPr>
          <w:rFonts w:hAnsi="宋体"/>
          <w:bCs/>
          <w:color w:val="auto"/>
          <w:sz w:val="24"/>
          <w:szCs w:val="24"/>
          <w:highlight w:val="none"/>
          <w:u w:val="single"/>
        </w:rPr>
        <w:t>工程</w:t>
      </w:r>
      <w:r>
        <w:rPr>
          <w:rFonts w:hint="eastAsia" w:hAnsi="宋体"/>
          <w:bCs/>
          <w:color w:val="auto"/>
          <w:sz w:val="24"/>
          <w:szCs w:val="24"/>
          <w:highlight w:val="none"/>
          <w:u w:val="single"/>
          <w:lang w:eastAsia="zh-CN"/>
        </w:rPr>
        <w:t>最高限价</w:t>
      </w:r>
      <w:r>
        <w:rPr>
          <w:rFonts w:hAnsi="宋体"/>
          <w:bCs/>
          <w:color w:val="auto"/>
          <w:sz w:val="24"/>
          <w:szCs w:val="24"/>
          <w:highlight w:val="none"/>
          <w:u w:val="single"/>
        </w:rPr>
        <w:t>）计算。</w:t>
      </w:r>
    </w:p>
    <w:p w14:paraId="66B64F82">
      <w:pPr>
        <w:pStyle w:val="232"/>
        <w:spacing w:line="360" w:lineRule="auto"/>
        <w:ind w:firstLine="480" w:firstLineChars="200"/>
        <w:rPr>
          <w:rFonts w:ascii="Times New Roman" w:hAnsi="Times New Roman"/>
          <w:color w:val="auto"/>
          <w:sz w:val="24"/>
          <w:szCs w:val="24"/>
          <w:highlight w:val="none"/>
        </w:rPr>
      </w:pPr>
      <w:r>
        <w:rPr>
          <w:rFonts w:hAnsi="宋体"/>
          <w:bCs/>
          <w:color w:val="auto"/>
          <w:sz w:val="24"/>
          <w:szCs w:val="24"/>
          <w:highlight w:val="none"/>
          <w:u w:val="single"/>
        </w:rPr>
        <w:t>⑵</w:t>
      </w:r>
      <w:r>
        <w:rPr>
          <w:rFonts w:ascii="Times New Roman" w:hAnsi="宋体"/>
          <w:color w:val="auto"/>
          <w:sz w:val="24"/>
          <w:szCs w:val="24"/>
          <w:highlight w:val="none"/>
        </w:rPr>
        <w:t>国家和自治区、南宁市政策性调整有关费用标准的，按文件规定执行。</w:t>
      </w:r>
    </w:p>
    <w:p w14:paraId="0143C339">
      <w:pPr>
        <w:pStyle w:val="230"/>
        <w:spacing w:line="360" w:lineRule="auto"/>
        <w:ind w:firstLine="480" w:firstLineChars="200"/>
        <w:rPr>
          <w:color w:val="auto"/>
          <w:sz w:val="24"/>
          <w:szCs w:val="24"/>
          <w:highlight w:val="none"/>
        </w:rPr>
      </w:pPr>
      <w:r>
        <w:rPr>
          <w:rFonts w:hAnsi="宋体"/>
          <w:bCs/>
          <w:color w:val="auto"/>
          <w:sz w:val="24"/>
          <w:szCs w:val="24"/>
          <w:highlight w:val="none"/>
          <w:u w:val="single"/>
        </w:rPr>
        <w:t>⑶</w:t>
      </w:r>
      <w:r>
        <w:rPr>
          <w:rFonts w:hAnsi="宋体"/>
          <w:color w:val="auto"/>
          <w:sz w:val="24"/>
          <w:szCs w:val="24"/>
          <w:highlight w:val="none"/>
        </w:rPr>
        <w:t>本工程可以调整的主要材料：按</w:t>
      </w:r>
      <w:r>
        <w:rPr>
          <w:rFonts w:hint="eastAsia" w:hAnsi="宋体"/>
          <w:color w:val="auto"/>
          <w:sz w:val="24"/>
          <w:szCs w:val="24"/>
          <w:highlight w:val="none"/>
        </w:rPr>
        <w:t>《广西壮族自治区建设工程全过程计价规范》《广西壮族自治区建设工程多层级工程量清单计算规范》</w:t>
      </w:r>
      <w:r>
        <w:rPr>
          <w:rFonts w:hAnsi="宋体"/>
          <w:color w:val="auto"/>
          <w:sz w:val="24"/>
          <w:szCs w:val="24"/>
          <w:highlight w:val="none"/>
        </w:rPr>
        <w:t>规定，本工程合同履行期间主要材料【仅指钢材、商品混凝土、电线电缆、砌块、水泥、砂】的材料价格调整幅度超过《南宁建设工程造价信息》</w:t>
      </w:r>
      <w:r>
        <w:rPr>
          <w:rFonts w:hint="eastAsia"/>
          <w:color w:val="auto"/>
          <w:sz w:val="24"/>
          <w:szCs w:val="24"/>
          <w:highlight w:val="none"/>
          <w:lang w:val="en-US" w:eastAsia="zh-CN"/>
        </w:rPr>
        <w:t>2026</w:t>
      </w:r>
      <w:r>
        <w:rPr>
          <w:color w:val="auto"/>
          <w:sz w:val="24"/>
          <w:szCs w:val="24"/>
          <w:highlight w:val="none"/>
        </w:rPr>
        <w:t>年</w:t>
      </w:r>
      <w:r>
        <w:rPr>
          <w:rFonts w:hint="eastAsia"/>
          <w:color w:val="auto"/>
          <w:sz w:val="24"/>
          <w:szCs w:val="24"/>
          <w:highlight w:val="none"/>
          <w:lang w:val="en-US" w:eastAsia="zh-CN"/>
        </w:rPr>
        <w:t>5</w:t>
      </w:r>
      <w:r>
        <w:rPr>
          <w:rFonts w:hint="eastAsia"/>
          <w:color w:val="auto"/>
          <w:sz w:val="24"/>
          <w:szCs w:val="24"/>
          <w:highlight w:val="none"/>
        </w:rPr>
        <w:t>月（</w:t>
      </w:r>
      <w:r>
        <w:rPr>
          <w:rFonts w:hint="eastAsia"/>
          <w:color w:val="auto"/>
          <w:sz w:val="24"/>
          <w:szCs w:val="24"/>
          <w:highlight w:val="none"/>
          <w:lang w:val="en-US" w:eastAsia="zh-CN"/>
        </w:rPr>
        <w:t>上</w:t>
      </w:r>
      <w:r>
        <w:rPr>
          <w:rFonts w:hint="eastAsia"/>
          <w:color w:val="auto"/>
          <w:sz w:val="24"/>
          <w:szCs w:val="24"/>
          <w:highlight w:val="none"/>
        </w:rPr>
        <w:t>半月）</w:t>
      </w:r>
      <w:r>
        <w:rPr>
          <w:rFonts w:hint="eastAsia" w:ascii="Times New Roman" w:hAnsi="Times New Roman" w:eastAsia="宋体" w:cs="Times New Roman"/>
          <w:color w:val="auto"/>
          <w:sz w:val="24"/>
          <w:szCs w:val="24"/>
          <w:highlight w:val="none"/>
        </w:rPr>
        <w:t>公布的±5%</w:t>
      </w:r>
      <w:r>
        <w:rPr>
          <w:rFonts w:hAnsi="宋体"/>
          <w:color w:val="auto"/>
          <w:sz w:val="24"/>
          <w:szCs w:val="24"/>
          <w:highlight w:val="none"/>
        </w:rPr>
        <w:t>，则超出部分按施工期间《南宁建设工程造价信息》公布价的算数平均值调整，</w:t>
      </w:r>
      <w:r>
        <w:rPr>
          <w:rFonts w:hAnsi="宋体"/>
          <w:bCs/>
          <w:color w:val="auto"/>
          <w:sz w:val="24"/>
          <w:szCs w:val="24"/>
          <w:highlight w:val="none"/>
        </w:rPr>
        <w:t>调整部分仅计差额及相应税金。要进行价格调整的材料，其单价和采购数应由监理人复核，发包人及发包人审计部门、委托跟踪审计单位确认需调整的材料单价及数量，作为调整工程合同价格差额的依据。</w:t>
      </w:r>
    </w:p>
    <w:p w14:paraId="2FCC3AAF">
      <w:pPr>
        <w:pStyle w:val="232"/>
        <w:spacing w:line="360" w:lineRule="auto"/>
        <w:ind w:firstLine="480" w:firstLineChars="200"/>
        <w:rPr>
          <w:rFonts w:ascii="Times New Roman" w:hAnsi="Times New Roman"/>
          <w:color w:val="auto"/>
          <w:sz w:val="24"/>
          <w:szCs w:val="24"/>
          <w:highlight w:val="none"/>
        </w:rPr>
      </w:pPr>
      <w:r>
        <w:rPr>
          <w:rFonts w:hint="eastAsia" w:ascii="Times New Roman" w:hAnsi="宋体"/>
          <w:color w:val="auto"/>
          <w:sz w:val="24"/>
          <w:szCs w:val="24"/>
          <w:highlight w:val="none"/>
        </w:rPr>
        <w:t>⑷</w:t>
      </w:r>
      <w:r>
        <w:rPr>
          <w:rFonts w:ascii="Times New Roman" w:hAnsi="宋体"/>
          <w:color w:val="auto"/>
          <w:sz w:val="24"/>
          <w:szCs w:val="24"/>
          <w:highlight w:val="none"/>
        </w:rPr>
        <w:t>因招标时所提供的工程量清单中的工程量计算偏差和因工程变更引起已标价工程量清单项目中的分部分项工程量清单或其工程数量发生变化幅度在</w:t>
      </w:r>
      <w:r>
        <w:rPr>
          <w:rFonts w:ascii="Times New Roman" w:hAnsi="Times New Roman"/>
          <w:color w:val="auto"/>
          <w:sz w:val="24"/>
          <w:szCs w:val="24"/>
          <w:highlight w:val="none"/>
        </w:rPr>
        <w:t>15%</w:t>
      </w:r>
      <w:r>
        <w:rPr>
          <w:rFonts w:ascii="Times New Roman" w:hAnsi="宋体"/>
          <w:color w:val="auto"/>
          <w:sz w:val="24"/>
          <w:szCs w:val="24"/>
          <w:highlight w:val="none"/>
        </w:rPr>
        <w:t>以内（含</w:t>
      </w:r>
      <w:r>
        <w:rPr>
          <w:rFonts w:ascii="Times New Roman" w:hAnsi="Times New Roman"/>
          <w:color w:val="auto"/>
          <w:sz w:val="24"/>
          <w:szCs w:val="24"/>
          <w:highlight w:val="none"/>
        </w:rPr>
        <w:t>15%</w:t>
      </w:r>
      <w:r>
        <w:rPr>
          <w:rFonts w:ascii="Times New Roman" w:hAnsi="宋体"/>
          <w:color w:val="auto"/>
          <w:sz w:val="24"/>
          <w:szCs w:val="24"/>
          <w:highlight w:val="none"/>
        </w:rPr>
        <w:t>）时，其综合单价不作调整，执行原有综合单价，变化幅度超过</w:t>
      </w:r>
      <w:r>
        <w:rPr>
          <w:rFonts w:ascii="Times New Roman" w:hAnsi="Times New Roman"/>
          <w:color w:val="auto"/>
          <w:sz w:val="24"/>
          <w:szCs w:val="24"/>
          <w:highlight w:val="none"/>
        </w:rPr>
        <w:t>15%</w:t>
      </w:r>
      <w:r>
        <w:rPr>
          <w:rFonts w:ascii="Times New Roman" w:hAnsi="宋体"/>
          <w:color w:val="auto"/>
          <w:sz w:val="24"/>
          <w:szCs w:val="24"/>
          <w:highlight w:val="none"/>
        </w:rPr>
        <w:t>时，增加部分工程量或减少后剩余部分工程量的综合单价可进行调整，由承包人对增加的工程量或减少后剩余的工程量按相关规定计算新的综合单价，并乘以合同约定的下浮系数计算。经发包人确认调整后，作为结算依据。当以上变化引起的相关总价措施项目发生变化时，以项计算的总价措施项目应按实际发生变化的措施项目进行调整，以计算基础乘费率计算的总价措施项目按照实际发生变化的计算基础及投标报价费率进行调整。</w:t>
      </w:r>
    </w:p>
    <w:p w14:paraId="2DD5141A">
      <w:pPr>
        <w:pStyle w:val="232"/>
        <w:spacing w:line="360" w:lineRule="auto"/>
        <w:ind w:firstLine="480" w:firstLineChars="200"/>
        <w:rPr>
          <w:rFonts w:ascii="Times New Roman" w:hAnsi="Times New Roman"/>
          <w:color w:val="auto"/>
          <w:sz w:val="24"/>
          <w:szCs w:val="24"/>
          <w:highlight w:val="none"/>
        </w:rPr>
      </w:pPr>
      <w:r>
        <w:rPr>
          <w:rFonts w:hint="eastAsia" w:ascii="Times New Roman" w:hAnsi="宋体"/>
          <w:color w:val="auto"/>
          <w:sz w:val="24"/>
          <w:szCs w:val="24"/>
          <w:highlight w:val="none"/>
        </w:rPr>
        <w:t>⑸</w:t>
      </w:r>
      <w:r>
        <w:rPr>
          <w:rFonts w:ascii="Times New Roman" w:hAnsi="宋体"/>
          <w:color w:val="auto"/>
          <w:sz w:val="24"/>
          <w:szCs w:val="24"/>
          <w:highlight w:val="none"/>
        </w:rPr>
        <w:t>若施工中出现施工图纸（含设计变更）与工程量清单项目特征描述不符的，发、承包双方应按新的项目特征确定相应工程量清单项目的综合单价，并乘以下浮系数（中标价</w:t>
      </w:r>
      <w:r>
        <w:rPr>
          <w:rFonts w:ascii="Times New Roman" w:hAnsi="Times New Roman"/>
          <w:color w:val="auto"/>
          <w:sz w:val="24"/>
          <w:szCs w:val="24"/>
          <w:highlight w:val="none"/>
        </w:rPr>
        <w:t>/</w:t>
      </w:r>
      <w:r>
        <w:rPr>
          <w:rFonts w:ascii="Times New Roman" w:hAnsi="宋体"/>
          <w:color w:val="auto"/>
          <w:sz w:val="24"/>
          <w:szCs w:val="24"/>
          <w:highlight w:val="none"/>
        </w:rPr>
        <w:t>工程</w:t>
      </w:r>
      <w:r>
        <w:rPr>
          <w:rFonts w:hint="eastAsia" w:ascii="Times New Roman" w:hAnsi="宋体"/>
          <w:color w:val="auto"/>
          <w:sz w:val="24"/>
          <w:szCs w:val="24"/>
          <w:highlight w:val="none"/>
          <w:lang w:eastAsia="zh-CN"/>
        </w:rPr>
        <w:t>最高限价</w:t>
      </w:r>
      <w:r>
        <w:rPr>
          <w:rFonts w:ascii="Times New Roman" w:hAnsi="宋体"/>
          <w:color w:val="auto"/>
          <w:sz w:val="24"/>
          <w:szCs w:val="24"/>
          <w:highlight w:val="none"/>
        </w:rPr>
        <w:t>）计算。</w:t>
      </w:r>
    </w:p>
    <w:p w14:paraId="0C84630D">
      <w:pPr>
        <w:pStyle w:val="230"/>
        <w:spacing w:line="360" w:lineRule="auto"/>
        <w:ind w:firstLine="480" w:firstLineChars="200"/>
        <w:rPr>
          <w:color w:val="auto"/>
          <w:sz w:val="24"/>
          <w:szCs w:val="24"/>
          <w:highlight w:val="none"/>
        </w:rPr>
      </w:pPr>
      <w:r>
        <w:rPr>
          <w:rFonts w:hAnsi="宋体"/>
          <w:bCs/>
          <w:color w:val="auto"/>
          <w:sz w:val="24"/>
          <w:szCs w:val="24"/>
          <w:highlight w:val="none"/>
          <w:u w:val="single"/>
        </w:rPr>
        <w:t>本工程最终结算评审按《自治区本级财政投资评审实施办法》（桂财办〔</w:t>
      </w:r>
      <w:r>
        <w:rPr>
          <w:bCs/>
          <w:color w:val="auto"/>
          <w:sz w:val="24"/>
          <w:szCs w:val="24"/>
          <w:highlight w:val="none"/>
          <w:u w:val="single"/>
        </w:rPr>
        <w:t>2015</w:t>
      </w:r>
      <w:r>
        <w:rPr>
          <w:rFonts w:hAnsi="宋体"/>
          <w:bCs/>
          <w:color w:val="auto"/>
          <w:sz w:val="24"/>
          <w:szCs w:val="24"/>
          <w:highlight w:val="none"/>
          <w:u w:val="single"/>
        </w:rPr>
        <w:t>〕</w:t>
      </w:r>
      <w:r>
        <w:rPr>
          <w:bCs/>
          <w:color w:val="auto"/>
          <w:sz w:val="24"/>
          <w:szCs w:val="24"/>
          <w:highlight w:val="none"/>
          <w:u w:val="single"/>
        </w:rPr>
        <w:t>70</w:t>
      </w:r>
      <w:r>
        <w:rPr>
          <w:rFonts w:hAnsi="宋体"/>
          <w:bCs/>
          <w:color w:val="auto"/>
          <w:sz w:val="24"/>
          <w:szCs w:val="24"/>
          <w:highlight w:val="none"/>
          <w:u w:val="single"/>
        </w:rPr>
        <w:t>号）相关规定办理。未满足评审条件，结算价以发包人审计部门及结算审核单位的审定为准。</w:t>
      </w:r>
    </w:p>
    <w:p w14:paraId="67029B5B">
      <w:pPr>
        <w:pStyle w:val="248"/>
        <w:spacing w:before="0" w:after="0" w:line="360" w:lineRule="auto"/>
        <w:ind w:firstLine="236" w:firstLineChars="98"/>
        <w:rPr>
          <w:color w:val="auto"/>
          <w:sz w:val="24"/>
          <w:szCs w:val="24"/>
          <w:highlight w:val="none"/>
        </w:rPr>
      </w:pPr>
      <w:bookmarkStart w:id="557" w:name="_Toc467599612"/>
      <w:r>
        <w:rPr>
          <w:color w:val="auto"/>
          <w:sz w:val="24"/>
          <w:szCs w:val="24"/>
          <w:highlight w:val="none"/>
        </w:rPr>
        <w:t>1</w:t>
      </w:r>
      <w:r>
        <w:rPr>
          <w:rFonts w:hint="eastAsia"/>
          <w:color w:val="auto"/>
          <w:sz w:val="24"/>
          <w:szCs w:val="24"/>
          <w:highlight w:val="none"/>
        </w:rPr>
        <w:t>0</w:t>
      </w:r>
      <w:r>
        <w:rPr>
          <w:color w:val="auto"/>
          <w:sz w:val="24"/>
          <w:szCs w:val="24"/>
          <w:highlight w:val="none"/>
        </w:rPr>
        <w:t xml:space="preserve">.2 </w:t>
      </w:r>
      <w:r>
        <w:rPr>
          <w:rFonts w:hAnsi="宋体"/>
          <w:color w:val="auto"/>
          <w:sz w:val="24"/>
          <w:szCs w:val="24"/>
          <w:highlight w:val="none"/>
        </w:rPr>
        <w:t>预付款</w:t>
      </w:r>
      <w:bookmarkEnd w:id="538"/>
      <w:bookmarkEnd w:id="539"/>
      <w:bookmarkEnd w:id="540"/>
      <w:bookmarkEnd w:id="557"/>
    </w:p>
    <w:bookmarkEnd w:id="541"/>
    <w:bookmarkEnd w:id="542"/>
    <w:bookmarkEnd w:id="543"/>
    <w:bookmarkEnd w:id="544"/>
    <w:bookmarkEnd w:id="545"/>
    <w:bookmarkEnd w:id="546"/>
    <w:p w14:paraId="2B0D67EB">
      <w:pPr>
        <w:pStyle w:val="230"/>
        <w:spacing w:line="360" w:lineRule="auto"/>
        <w:ind w:firstLine="480" w:firstLineChars="200"/>
        <w:rPr>
          <w:color w:val="auto"/>
          <w:sz w:val="24"/>
          <w:szCs w:val="24"/>
          <w:highlight w:val="none"/>
        </w:rPr>
      </w:pPr>
      <w:r>
        <w:rPr>
          <w:rFonts w:hAnsi="宋体"/>
          <w:color w:val="auto"/>
          <w:sz w:val="24"/>
          <w:szCs w:val="24"/>
          <w:highlight w:val="none"/>
        </w:rPr>
        <w:t>本工程发包人</w:t>
      </w:r>
      <w:r>
        <w:rPr>
          <w:rFonts w:hint="eastAsia" w:hAnsi="宋体"/>
          <w:color w:val="auto"/>
          <w:sz w:val="24"/>
          <w:szCs w:val="24"/>
          <w:highlight w:val="none"/>
        </w:rPr>
        <w:t>不支付</w:t>
      </w:r>
      <w:r>
        <w:rPr>
          <w:rFonts w:hAnsi="宋体"/>
          <w:color w:val="auto"/>
          <w:sz w:val="24"/>
          <w:szCs w:val="24"/>
          <w:highlight w:val="none"/>
        </w:rPr>
        <w:t>预付款。</w:t>
      </w:r>
    </w:p>
    <w:bookmarkEnd w:id="547"/>
    <w:bookmarkEnd w:id="548"/>
    <w:bookmarkEnd w:id="549"/>
    <w:bookmarkEnd w:id="550"/>
    <w:bookmarkEnd w:id="551"/>
    <w:bookmarkEnd w:id="552"/>
    <w:bookmarkEnd w:id="553"/>
    <w:bookmarkEnd w:id="554"/>
    <w:bookmarkEnd w:id="555"/>
    <w:bookmarkEnd w:id="556"/>
    <w:p w14:paraId="61811D07">
      <w:pPr>
        <w:pStyle w:val="248"/>
        <w:spacing w:before="0" w:after="0" w:line="360" w:lineRule="auto"/>
        <w:ind w:firstLine="234" w:firstLineChars="97"/>
        <w:rPr>
          <w:color w:val="auto"/>
          <w:sz w:val="24"/>
          <w:szCs w:val="24"/>
          <w:highlight w:val="none"/>
        </w:rPr>
      </w:pPr>
      <w:bookmarkStart w:id="558" w:name="_Toc373478398"/>
      <w:bookmarkStart w:id="559" w:name="_Toc373227751"/>
      <w:bookmarkStart w:id="560" w:name="_Toc467599613"/>
      <w:bookmarkStart w:id="561" w:name="_Toc389065316"/>
      <w:r>
        <w:rPr>
          <w:color w:val="auto"/>
          <w:sz w:val="24"/>
          <w:szCs w:val="24"/>
          <w:highlight w:val="none"/>
        </w:rPr>
        <w:t>1</w:t>
      </w:r>
      <w:r>
        <w:rPr>
          <w:rFonts w:hint="eastAsia"/>
          <w:color w:val="auto"/>
          <w:sz w:val="24"/>
          <w:szCs w:val="24"/>
          <w:highlight w:val="none"/>
        </w:rPr>
        <w:t>0</w:t>
      </w:r>
      <w:r>
        <w:rPr>
          <w:color w:val="auto"/>
          <w:sz w:val="24"/>
          <w:szCs w:val="24"/>
          <w:highlight w:val="none"/>
        </w:rPr>
        <w:t xml:space="preserve">.3 </w:t>
      </w:r>
      <w:r>
        <w:rPr>
          <w:rFonts w:hAnsi="宋体"/>
          <w:color w:val="auto"/>
          <w:sz w:val="24"/>
          <w:szCs w:val="24"/>
          <w:highlight w:val="none"/>
        </w:rPr>
        <w:t>计量</w:t>
      </w:r>
      <w:bookmarkEnd w:id="558"/>
      <w:bookmarkEnd w:id="559"/>
      <w:bookmarkEnd w:id="560"/>
      <w:bookmarkEnd w:id="561"/>
    </w:p>
    <w:p w14:paraId="0E8D7B6F">
      <w:pPr>
        <w:pStyle w:val="230"/>
        <w:spacing w:line="360" w:lineRule="auto"/>
        <w:ind w:firstLine="480" w:firstLineChars="200"/>
        <w:rPr>
          <w:color w:val="auto"/>
          <w:sz w:val="24"/>
          <w:szCs w:val="24"/>
          <w:highlight w:val="none"/>
        </w:rPr>
      </w:pPr>
      <w:r>
        <w:rPr>
          <w:rFonts w:hAnsi="宋体"/>
          <w:color w:val="auto"/>
          <w:sz w:val="24"/>
          <w:szCs w:val="24"/>
          <w:highlight w:val="none"/>
        </w:rPr>
        <w:t>工程量计算规则：</w:t>
      </w:r>
      <w:r>
        <w:rPr>
          <w:rFonts w:hAnsi="宋体"/>
          <w:color w:val="auto"/>
          <w:sz w:val="24"/>
          <w:szCs w:val="24"/>
          <w:highlight w:val="none"/>
          <w:u w:val="single"/>
        </w:rPr>
        <w:t>按</w:t>
      </w:r>
      <w:r>
        <w:rPr>
          <w:rFonts w:hint="eastAsia" w:hAnsi="宋体"/>
          <w:color w:val="auto"/>
          <w:sz w:val="24"/>
          <w:szCs w:val="24"/>
          <w:highlight w:val="none"/>
          <w:u w:val="single"/>
        </w:rPr>
        <w:t>《广西壮族自治区建设工程全过程计价规范》《广西壮族自治区建设工程多层级工程量清单计算规范》</w:t>
      </w:r>
      <w:r>
        <w:rPr>
          <w:rFonts w:hAnsi="宋体"/>
          <w:color w:val="auto"/>
          <w:sz w:val="24"/>
          <w:szCs w:val="24"/>
          <w:highlight w:val="none"/>
          <w:u w:val="single"/>
        </w:rPr>
        <w:t>计算的净值为准，如有不明之处，应以</w:t>
      </w:r>
      <w:r>
        <w:rPr>
          <w:rFonts w:hint="eastAsia" w:hAnsi="宋体"/>
          <w:color w:val="auto"/>
          <w:sz w:val="24"/>
          <w:szCs w:val="24"/>
          <w:highlight w:val="none"/>
          <w:u w:val="single"/>
        </w:rPr>
        <w:t>发包人或</w:t>
      </w:r>
      <w:r>
        <w:rPr>
          <w:rFonts w:hAnsi="宋体"/>
          <w:color w:val="auto"/>
          <w:sz w:val="24"/>
          <w:szCs w:val="24"/>
          <w:highlight w:val="none"/>
          <w:u w:val="single"/>
        </w:rPr>
        <w:t>监理工程师或造价管理部门指定的计量方法为准。</w:t>
      </w:r>
    </w:p>
    <w:p w14:paraId="5025D589">
      <w:pPr>
        <w:pStyle w:val="248"/>
        <w:spacing w:before="0" w:after="0" w:line="360" w:lineRule="auto"/>
        <w:ind w:firstLine="236" w:firstLineChars="98"/>
        <w:rPr>
          <w:rFonts w:hint="eastAsia" w:hAnsi="宋体"/>
          <w:color w:val="auto"/>
          <w:sz w:val="24"/>
          <w:szCs w:val="24"/>
          <w:highlight w:val="none"/>
        </w:rPr>
      </w:pPr>
      <w:bookmarkStart w:id="562" w:name="_Toc389065317"/>
      <w:bookmarkStart w:id="563" w:name="_Toc373478399"/>
      <w:bookmarkStart w:id="564" w:name="_Toc467599614"/>
      <w:bookmarkStart w:id="565" w:name="_Toc373227752"/>
      <w:r>
        <w:rPr>
          <w:color w:val="auto"/>
          <w:sz w:val="24"/>
          <w:szCs w:val="24"/>
          <w:highlight w:val="none"/>
        </w:rPr>
        <w:t>1</w:t>
      </w:r>
      <w:r>
        <w:rPr>
          <w:rFonts w:hint="eastAsia"/>
          <w:color w:val="auto"/>
          <w:sz w:val="24"/>
          <w:szCs w:val="24"/>
          <w:highlight w:val="none"/>
        </w:rPr>
        <w:t>0</w:t>
      </w:r>
      <w:r>
        <w:rPr>
          <w:color w:val="auto"/>
          <w:sz w:val="24"/>
          <w:szCs w:val="24"/>
          <w:highlight w:val="none"/>
        </w:rPr>
        <w:t xml:space="preserve">.4 </w:t>
      </w:r>
      <w:r>
        <w:rPr>
          <w:rFonts w:hAnsi="宋体"/>
          <w:color w:val="auto"/>
          <w:sz w:val="24"/>
          <w:szCs w:val="24"/>
          <w:highlight w:val="none"/>
        </w:rPr>
        <w:t>工程进度款支付</w:t>
      </w:r>
      <w:bookmarkEnd w:id="562"/>
      <w:bookmarkEnd w:id="563"/>
      <w:bookmarkEnd w:id="564"/>
      <w:bookmarkEnd w:id="565"/>
    </w:p>
    <w:p w14:paraId="30CC0940">
      <w:pPr>
        <w:pStyle w:val="230"/>
        <w:spacing w:line="360" w:lineRule="auto"/>
        <w:ind w:firstLine="480" w:firstLineChars="200"/>
        <w:rPr>
          <w:rFonts w:hint="eastAsia"/>
          <w:color w:val="auto"/>
          <w:sz w:val="24"/>
          <w:szCs w:val="24"/>
          <w:highlight w:val="none"/>
        </w:rPr>
      </w:pPr>
      <w:r>
        <w:rPr>
          <w:rFonts w:hint="eastAsia"/>
          <w:color w:val="auto"/>
          <w:sz w:val="24"/>
          <w:szCs w:val="24"/>
          <w:highlight w:val="none"/>
        </w:rPr>
        <w:t>10.4.1 付款周期</w:t>
      </w:r>
    </w:p>
    <w:p w14:paraId="3AFDCBAA">
      <w:pPr>
        <w:pStyle w:val="230"/>
        <w:spacing w:line="360" w:lineRule="auto"/>
        <w:ind w:firstLine="480" w:firstLineChars="200"/>
        <w:rPr>
          <w:rFonts w:hint="eastAsia"/>
          <w:color w:val="auto"/>
          <w:sz w:val="24"/>
          <w:szCs w:val="24"/>
          <w:highlight w:val="none"/>
        </w:rPr>
      </w:pPr>
      <w:r>
        <w:rPr>
          <w:rFonts w:hint="eastAsia"/>
          <w:color w:val="auto"/>
          <w:sz w:val="24"/>
          <w:szCs w:val="24"/>
          <w:highlight w:val="none"/>
        </w:rPr>
        <w:t>⑴本项目无预付款，合同以外变更部分的工程款在结算后按结算款支付比例进行支付。合同内工程进度款按以下方式进行支付：</w:t>
      </w:r>
    </w:p>
    <w:p w14:paraId="0F230221">
      <w:pPr>
        <w:pStyle w:val="230"/>
        <w:spacing w:line="360" w:lineRule="auto"/>
        <w:ind w:firstLine="480" w:firstLineChars="200"/>
        <w:rPr>
          <w:rFonts w:hint="eastAsia"/>
          <w:color w:val="auto"/>
          <w:sz w:val="24"/>
          <w:szCs w:val="24"/>
          <w:highlight w:val="none"/>
        </w:rPr>
      </w:pPr>
      <w:r>
        <w:rPr>
          <w:rFonts w:hint="eastAsia"/>
          <w:color w:val="auto"/>
          <w:sz w:val="24"/>
          <w:szCs w:val="24"/>
          <w:highlight w:val="none"/>
        </w:rPr>
        <w:t>合同内项目工程量完成至50%时，支付至合同价</w:t>
      </w:r>
      <w:r>
        <w:rPr>
          <w:rFonts w:hint="eastAsia"/>
          <w:color w:val="auto"/>
          <w:sz w:val="24"/>
          <w:szCs w:val="24"/>
          <w:highlight w:val="none"/>
          <w:lang w:val="en-US" w:eastAsia="zh-CN"/>
        </w:rPr>
        <w:t>40</w:t>
      </w:r>
      <w:r>
        <w:rPr>
          <w:rFonts w:hint="eastAsia"/>
          <w:color w:val="auto"/>
          <w:sz w:val="24"/>
          <w:szCs w:val="24"/>
          <w:highlight w:val="none"/>
        </w:rPr>
        <w:t>%的工程款；合同内项目工程完工</w:t>
      </w:r>
      <w:r>
        <w:rPr>
          <w:rFonts w:hint="eastAsia"/>
          <w:color w:val="auto"/>
          <w:sz w:val="24"/>
          <w:szCs w:val="24"/>
          <w:highlight w:val="none"/>
          <w:lang w:val="en-US" w:eastAsia="zh-CN"/>
        </w:rPr>
        <w:t>后，</w:t>
      </w:r>
      <w:r>
        <w:rPr>
          <w:rFonts w:hint="eastAsia"/>
          <w:color w:val="auto"/>
          <w:sz w:val="24"/>
          <w:szCs w:val="24"/>
          <w:highlight w:val="none"/>
        </w:rPr>
        <w:t>支付至合同价</w:t>
      </w:r>
      <w:r>
        <w:rPr>
          <w:rFonts w:hint="eastAsia"/>
          <w:color w:val="auto"/>
          <w:sz w:val="24"/>
          <w:szCs w:val="24"/>
          <w:highlight w:val="none"/>
          <w:lang w:val="en-US" w:eastAsia="zh-CN"/>
        </w:rPr>
        <w:t>60</w:t>
      </w:r>
      <w:r>
        <w:rPr>
          <w:rFonts w:hint="eastAsia"/>
          <w:color w:val="auto"/>
          <w:sz w:val="24"/>
          <w:szCs w:val="24"/>
          <w:highlight w:val="none"/>
        </w:rPr>
        <w:t>%的工程款</w:t>
      </w:r>
      <w:r>
        <w:rPr>
          <w:rFonts w:hint="eastAsia"/>
          <w:color w:val="auto"/>
          <w:sz w:val="24"/>
          <w:szCs w:val="24"/>
          <w:highlight w:val="none"/>
          <w:lang w:eastAsia="zh-CN"/>
        </w:rPr>
        <w:t>；</w:t>
      </w:r>
      <w:r>
        <w:rPr>
          <w:rFonts w:hint="eastAsia"/>
          <w:color w:val="auto"/>
          <w:sz w:val="24"/>
          <w:szCs w:val="24"/>
          <w:highlight w:val="none"/>
          <w:lang w:val="en-US" w:eastAsia="zh-CN"/>
        </w:rPr>
        <w:t>工程</w:t>
      </w:r>
      <w:r>
        <w:rPr>
          <w:rFonts w:hint="eastAsia"/>
          <w:color w:val="auto"/>
          <w:sz w:val="24"/>
          <w:szCs w:val="24"/>
          <w:highlight w:val="none"/>
        </w:rPr>
        <w:t>验收达到质量要求后，支付至合同价</w:t>
      </w:r>
      <w:r>
        <w:rPr>
          <w:rFonts w:hint="eastAsia"/>
          <w:color w:val="auto"/>
          <w:sz w:val="24"/>
          <w:szCs w:val="24"/>
          <w:highlight w:val="none"/>
          <w:lang w:val="en-US" w:eastAsia="zh-CN"/>
        </w:rPr>
        <w:t>80</w:t>
      </w:r>
      <w:r>
        <w:rPr>
          <w:rFonts w:hint="eastAsia"/>
          <w:color w:val="auto"/>
          <w:sz w:val="24"/>
          <w:szCs w:val="24"/>
          <w:highlight w:val="none"/>
        </w:rPr>
        <w:t>%的工程款。每次进度款支付前，承包人需向发包人提交陆份经监理工程师审核后的已完成工程量报告、付款申请材料及开具相应发票后进行支付。</w:t>
      </w:r>
    </w:p>
    <w:p w14:paraId="43029079">
      <w:pPr>
        <w:pStyle w:val="230"/>
        <w:spacing w:line="360" w:lineRule="auto"/>
        <w:ind w:firstLine="480" w:firstLineChars="200"/>
        <w:rPr>
          <w:rFonts w:hint="eastAsia"/>
          <w:color w:val="auto"/>
          <w:sz w:val="24"/>
          <w:szCs w:val="24"/>
          <w:highlight w:val="none"/>
        </w:rPr>
      </w:pPr>
      <w:r>
        <w:rPr>
          <w:rFonts w:hint="eastAsia"/>
          <w:color w:val="auto"/>
          <w:sz w:val="24"/>
          <w:szCs w:val="24"/>
          <w:highlight w:val="none"/>
        </w:rPr>
        <w:t>⑵办理完竣工结算审计手续，工程结算款经审定且双方确认后，由承包人向发包人提交付款申请材料及开具结算款的发票（含质保金金额），并先行向发包人指定账户提交结算总价3%的质保金金额后，发包方按结算总价的100%（含已支付的）支付工程款。(签证部分价款与结算款一并支付。)</w:t>
      </w:r>
    </w:p>
    <w:p w14:paraId="1B832563">
      <w:pPr>
        <w:pStyle w:val="230"/>
        <w:spacing w:line="360" w:lineRule="auto"/>
        <w:ind w:firstLine="480" w:firstLineChars="200"/>
        <w:rPr>
          <w:rFonts w:hint="eastAsia"/>
          <w:color w:val="auto"/>
          <w:sz w:val="24"/>
          <w:szCs w:val="24"/>
          <w:highlight w:val="none"/>
        </w:rPr>
      </w:pPr>
      <w:r>
        <w:rPr>
          <w:rFonts w:hint="eastAsia"/>
          <w:color w:val="auto"/>
          <w:sz w:val="24"/>
          <w:szCs w:val="24"/>
          <w:highlight w:val="none"/>
        </w:rPr>
        <w:t>(3)发包人按工程价款结算总额的3%暂存承包人缴来的工程质量保证金。</w:t>
      </w:r>
    </w:p>
    <w:p w14:paraId="4FDE8E44">
      <w:pPr>
        <w:pStyle w:val="230"/>
        <w:spacing w:line="360" w:lineRule="auto"/>
        <w:ind w:firstLine="480" w:firstLineChars="200"/>
        <w:rPr>
          <w:rFonts w:hint="eastAsia"/>
          <w:color w:val="auto"/>
          <w:sz w:val="24"/>
          <w:szCs w:val="24"/>
          <w:highlight w:val="none"/>
        </w:rPr>
      </w:pPr>
      <w:r>
        <w:rPr>
          <w:rFonts w:hint="eastAsia"/>
          <w:color w:val="auto"/>
          <w:sz w:val="24"/>
          <w:szCs w:val="24"/>
          <w:highlight w:val="none"/>
        </w:rPr>
        <w:t>10.4.2 进度款支付方式：银行转账。</w:t>
      </w:r>
    </w:p>
    <w:bookmarkEnd w:id="514"/>
    <w:bookmarkEnd w:id="515"/>
    <w:bookmarkEnd w:id="516"/>
    <w:p w14:paraId="732233B1">
      <w:pPr>
        <w:pStyle w:val="247"/>
        <w:spacing w:beforeLines="100" w:after="0" w:line="360" w:lineRule="auto"/>
        <w:rPr>
          <w:rFonts w:ascii="Times New Roman" w:hAnsi="Times New Roman"/>
          <w:color w:val="auto"/>
          <w:sz w:val="24"/>
          <w:szCs w:val="24"/>
          <w:highlight w:val="none"/>
        </w:rPr>
      </w:pPr>
      <w:bookmarkStart w:id="566" w:name="_Toc351203586"/>
      <w:bookmarkStart w:id="567" w:name="_Toc337558804"/>
      <w:bookmarkStart w:id="568" w:name="_Toc296503106"/>
      <w:bookmarkStart w:id="569" w:name="_Toc322522574"/>
      <w:bookmarkStart w:id="570" w:name="_Toc296346607"/>
      <w:r>
        <w:rPr>
          <w:rFonts w:ascii="Times New Roman" w:hAnsi="Times New Roman"/>
          <w:color w:val="auto"/>
          <w:sz w:val="24"/>
          <w:szCs w:val="24"/>
          <w:highlight w:val="none"/>
        </w:rPr>
        <w:t>1</w:t>
      </w:r>
      <w:r>
        <w:rPr>
          <w:rFonts w:hint="eastAsia" w:ascii="Times New Roman" w:hAnsi="Times New Roman"/>
          <w:color w:val="auto"/>
          <w:sz w:val="24"/>
          <w:szCs w:val="24"/>
          <w:highlight w:val="none"/>
        </w:rPr>
        <w:t>1</w:t>
      </w:r>
      <w:r>
        <w:rPr>
          <w:rFonts w:ascii="Times New Roman" w:hAnsi="Times New Roman"/>
          <w:color w:val="auto"/>
          <w:sz w:val="24"/>
          <w:szCs w:val="24"/>
          <w:highlight w:val="none"/>
        </w:rPr>
        <w:t xml:space="preserve">. </w:t>
      </w:r>
      <w:bookmarkEnd w:id="566"/>
      <w:bookmarkStart w:id="571" w:name="_Toc297123564"/>
      <w:bookmarkStart w:id="572" w:name="_Toc292559424"/>
      <w:bookmarkStart w:id="573" w:name="_Toc303539172"/>
      <w:bookmarkStart w:id="574" w:name="_Toc296891259"/>
      <w:bookmarkStart w:id="575" w:name="_Toc296944558"/>
      <w:bookmarkStart w:id="576" w:name="_Toc297048405"/>
      <w:bookmarkStart w:id="577" w:name="_Toc296503219"/>
      <w:bookmarkStart w:id="578" w:name="_Toc312678053"/>
      <w:bookmarkStart w:id="579" w:name="_Toc373478400"/>
      <w:bookmarkStart w:id="580" w:name="_Toc297120519"/>
      <w:bookmarkStart w:id="581" w:name="_Toc297216223"/>
      <w:bookmarkStart w:id="582" w:name="_Toc389065318"/>
      <w:bookmarkStart w:id="583" w:name="_Toc373227753"/>
      <w:bookmarkStart w:id="584" w:name="_Toc296891047"/>
      <w:bookmarkStart w:id="585" w:name="_Toc292559929"/>
      <w:bookmarkStart w:id="586" w:name="_Toc300935015"/>
      <w:bookmarkStart w:id="587" w:name="_Toc296346720"/>
      <w:bookmarkStart w:id="588" w:name="_Toc304295593"/>
      <w:bookmarkStart w:id="589" w:name="_Toc351203645"/>
      <w:bookmarkStart w:id="590" w:name="_Toc296347218"/>
      <w:bookmarkStart w:id="591" w:name="_Toc467599615"/>
      <w:r>
        <w:rPr>
          <w:rFonts w:ascii="Times New Roman" w:hAnsi="宋体"/>
          <w:color w:val="auto"/>
          <w:sz w:val="24"/>
          <w:szCs w:val="24"/>
          <w:highlight w:val="none"/>
        </w:rPr>
        <w:t>验收和工程试车</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14:paraId="3F19DDF0">
      <w:pPr>
        <w:pStyle w:val="248"/>
        <w:spacing w:before="0" w:after="0" w:line="360" w:lineRule="auto"/>
        <w:ind w:firstLine="236" w:firstLineChars="98"/>
        <w:rPr>
          <w:color w:val="auto"/>
          <w:sz w:val="24"/>
          <w:szCs w:val="24"/>
          <w:highlight w:val="none"/>
        </w:rPr>
      </w:pPr>
      <w:bookmarkStart w:id="592" w:name="_Toc389065320"/>
      <w:bookmarkStart w:id="593" w:name="_Toc373227755"/>
      <w:bookmarkStart w:id="594" w:name="_Toc467599617"/>
      <w:bookmarkStart w:id="595" w:name="_Toc373478402"/>
      <w:bookmarkStart w:id="596" w:name="_Toc297120523"/>
      <w:bookmarkStart w:id="597" w:name="_Toc292559428"/>
      <w:bookmarkStart w:id="598" w:name="_Toc296891051"/>
      <w:bookmarkStart w:id="599" w:name="_Toc304295596"/>
      <w:bookmarkStart w:id="600" w:name="_Toc296891263"/>
      <w:bookmarkStart w:id="601" w:name="_Toc297216224"/>
      <w:bookmarkStart w:id="602" w:name="_Toc296944562"/>
      <w:bookmarkStart w:id="603" w:name="_Toc296347222"/>
      <w:bookmarkStart w:id="604" w:name="_Toc296346724"/>
      <w:bookmarkStart w:id="605" w:name="_Toc300935016"/>
      <w:bookmarkStart w:id="606" w:name="_Toc292559933"/>
      <w:bookmarkStart w:id="607" w:name="_Toc312678056"/>
      <w:bookmarkStart w:id="608" w:name="_Toc296503223"/>
      <w:bookmarkStart w:id="609" w:name="_Toc297048409"/>
      <w:bookmarkStart w:id="610" w:name="_Toc303539173"/>
      <w:bookmarkStart w:id="611" w:name="_Toc297123565"/>
      <w:bookmarkStart w:id="612" w:name="_Toc267251470"/>
      <w:bookmarkStart w:id="613" w:name="_Toc267251471"/>
      <w:bookmarkStart w:id="614" w:name="_Toc267251476"/>
      <w:bookmarkStart w:id="615" w:name="_Toc267251472"/>
      <w:bookmarkStart w:id="616" w:name="_Toc267251474"/>
      <w:bookmarkStart w:id="617" w:name="_Toc267251475"/>
      <w:bookmarkStart w:id="618" w:name="_Toc267251473"/>
      <w:r>
        <w:rPr>
          <w:color w:val="auto"/>
          <w:sz w:val="24"/>
          <w:szCs w:val="24"/>
          <w:highlight w:val="none"/>
        </w:rPr>
        <w:t>1</w:t>
      </w:r>
      <w:r>
        <w:rPr>
          <w:rFonts w:hint="eastAsia"/>
          <w:color w:val="auto"/>
          <w:sz w:val="24"/>
          <w:szCs w:val="24"/>
          <w:highlight w:val="none"/>
        </w:rPr>
        <w:t>1</w:t>
      </w:r>
      <w:r>
        <w:rPr>
          <w:color w:val="auto"/>
          <w:sz w:val="24"/>
          <w:szCs w:val="24"/>
          <w:highlight w:val="none"/>
        </w:rPr>
        <w:t xml:space="preserve">.1 </w:t>
      </w:r>
      <w:r>
        <w:rPr>
          <w:rFonts w:hAnsi="宋体"/>
          <w:color w:val="auto"/>
          <w:sz w:val="24"/>
          <w:szCs w:val="24"/>
          <w:highlight w:val="none"/>
        </w:rPr>
        <w:t>竣工验收</w:t>
      </w:r>
      <w:bookmarkEnd w:id="592"/>
      <w:bookmarkEnd w:id="593"/>
      <w:bookmarkEnd w:id="594"/>
      <w:bookmarkEnd w:id="595"/>
    </w:p>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14:paraId="3A6380FC">
      <w:pPr>
        <w:pStyle w:val="230"/>
        <w:spacing w:line="360" w:lineRule="auto"/>
        <w:ind w:firstLine="480" w:firstLineChars="200"/>
        <w:rPr>
          <w:rFonts w:ascii="宋体" w:hAnsi="宋体"/>
          <w:color w:val="auto"/>
          <w:sz w:val="24"/>
          <w:szCs w:val="24"/>
          <w:highlight w:val="none"/>
        </w:rPr>
      </w:pPr>
      <w:bookmarkStart w:id="619" w:name="_Toc280868705"/>
      <w:bookmarkStart w:id="620" w:name="_Toc280868706"/>
      <w:bookmarkStart w:id="621" w:name="_Toc280868707"/>
      <w:bookmarkStart w:id="622" w:name="_Toc280868708"/>
      <w:bookmarkStart w:id="623" w:name="_Toc280868704"/>
      <w:bookmarkStart w:id="624" w:name="_Toc280868709"/>
      <w:r>
        <w:rPr>
          <w:color w:val="auto"/>
          <w:sz w:val="24"/>
          <w:szCs w:val="24"/>
          <w:highlight w:val="none"/>
        </w:rPr>
        <w:t>1</w:t>
      </w:r>
      <w:r>
        <w:rPr>
          <w:rFonts w:hint="eastAsia"/>
          <w:color w:val="auto"/>
          <w:sz w:val="24"/>
          <w:szCs w:val="24"/>
          <w:highlight w:val="none"/>
        </w:rPr>
        <w:t>1</w:t>
      </w:r>
      <w:r>
        <w:rPr>
          <w:color w:val="auto"/>
          <w:sz w:val="24"/>
          <w:szCs w:val="24"/>
          <w:highlight w:val="none"/>
        </w:rPr>
        <w:t>.1.1</w:t>
      </w:r>
      <w:r>
        <w:rPr>
          <w:rFonts w:hAnsi="宋体"/>
          <w:color w:val="auto"/>
          <w:sz w:val="24"/>
          <w:szCs w:val="24"/>
          <w:highlight w:val="none"/>
        </w:rPr>
        <w:t>竣工验收条件</w:t>
      </w:r>
    </w:p>
    <w:p w14:paraId="0A9112C2">
      <w:pPr>
        <w:spacing w:line="360" w:lineRule="auto"/>
        <w:ind w:firstLine="480" w:firstLineChars="200"/>
        <w:rPr>
          <w:rFonts w:ascii="Times New Roman" w:hAnsi="Times New Roman"/>
          <w:color w:val="auto"/>
          <w:kern w:val="0"/>
          <w:sz w:val="24"/>
          <w:szCs w:val="24"/>
          <w:highlight w:val="none"/>
        </w:rPr>
      </w:pPr>
      <w:r>
        <w:rPr>
          <w:rFonts w:ascii="Times New Roman" w:hAnsi="宋体"/>
          <w:color w:val="auto"/>
          <w:kern w:val="0"/>
          <w:sz w:val="24"/>
          <w:szCs w:val="24"/>
          <w:highlight w:val="none"/>
        </w:rPr>
        <w:t>工程具备以下条件的，承包人可以申请竣工验收：</w:t>
      </w:r>
    </w:p>
    <w:p w14:paraId="7EDC09C3">
      <w:pPr>
        <w:spacing w:line="360" w:lineRule="auto"/>
        <w:ind w:firstLine="480" w:firstLineChars="200"/>
        <w:rPr>
          <w:rFonts w:ascii="Times New Roman" w:hAnsi="Times New Roman"/>
          <w:color w:val="auto"/>
          <w:kern w:val="0"/>
          <w:sz w:val="24"/>
          <w:szCs w:val="24"/>
          <w:highlight w:val="none"/>
        </w:rPr>
      </w:pPr>
      <w:r>
        <w:rPr>
          <w:rFonts w:hint="eastAsia" w:ascii="宋体" w:hAnsi="宋体"/>
          <w:color w:val="auto"/>
          <w:sz w:val="24"/>
          <w:szCs w:val="24"/>
          <w:highlight w:val="none"/>
        </w:rPr>
        <w:t>⑴</w:t>
      </w:r>
      <w:r>
        <w:rPr>
          <w:rFonts w:ascii="Times New Roman" w:hAnsi="宋体"/>
          <w:color w:val="auto"/>
          <w:kern w:val="0"/>
          <w:sz w:val="24"/>
          <w:szCs w:val="24"/>
          <w:highlight w:val="none"/>
        </w:rPr>
        <w:t>合同范围内的全部工程以及有关工作，包括合同要求的试验、试运行以及检验均已完成，并符合合同要求；</w:t>
      </w:r>
    </w:p>
    <w:p w14:paraId="43FB80ED">
      <w:pPr>
        <w:pStyle w:val="232"/>
        <w:spacing w:line="360" w:lineRule="auto"/>
        <w:ind w:firstLine="480" w:firstLineChars="200"/>
        <w:rPr>
          <w:rFonts w:ascii="宋体" w:hAnsi="宋体"/>
          <w:color w:val="auto"/>
          <w:sz w:val="24"/>
          <w:szCs w:val="24"/>
          <w:highlight w:val="none"/>
          <w:u w:val="single"/>
        </w:rPr>
      </w:pPr>
      <w:r>
        <w:rPr>
          <w:rFonts w:hint="eastAsia" w:ascii="宋体" w:hAnsi="宋体"/>
          <w:color w:val="auto"/>
          <w:sz w:val="24"/>
          <w:szCs w:val="24"/>
          <w:highlight w:val="none"/>
        </w:rPr>
        <w:t>⑵</w:t>
      </w:r>
      <w:r>
        <w:rPr>
          <w:rFonts w:ascii="Times New Roman" w:hAnsi="宋体"/>
          <w:color w:val="auto"/>
          <w:sz w:val="24"/>
          <w:szCs w:val="24"/>
          <w:highlight w:val="none"/>
        </w:rPr>
        <w:t>承包人负责整理和提交的竣工验收资料应当符合工程所在地建设行政主管部门和</w:t>
      </w:r>
      <w:r>
        <w:rPr>
          <w:rFonts w:hint="eastAsia" w:ascii="Times New Roman" w:hAnsi="宋体"/>
          <w:color w:val="auto"/>
          <w:sz w:val="24"/>
          <w:szCs w:val="24"/>
          <w:highlight w:val="none"/>
        </w:rPr>
        <w:t>（</w:t>
      </w:r>
      <w:r>
        <w:rPr>
          <w:rFonts w:ascii="Times New Roman" w:hAnsi="宋体"/>
          <w:color w:val="auto"/>
          <w:sz w:val="24"/>
          <w:szCs w:val="24"/>
          <w:highlight w:val="none"/>
        </w:rPr>
        <w:t>或</w:t>
      </w:r>
      <w:r>
        <w:rPr>
          <w:rFonts w:hint="eastAsia" w:ascii="Times New Roman" w:hAnsi="宋体"/>
          <w:color w:val="auto"/>
          <w:sz w:val="24"/>
          <w:szCs w:val="24"/>
          <w:highlight w:val="none"/>
        </w:rPr>
        <w:t>）</w:t>
      </w:r>
      <w:r>
        <w:rPr>
          <w:rFonts w:ascii="Times New Roman" w:hAnsi="宋体"/>
          <w:color w:val="auto"/>
          <w:sz w:val="24"/>
          <w:szCs w:val="24"/>
          <w:highlight w:val="none"/>
        </w:rPr>
        <w:t>城市建设档案管理机构有关施工资料的要求，具体内容包括：</w:t>
      </w:r>
      <w:r>
        <w:rPr>
          <w:rFonts w:ascii="Times New Roman" w:hAnsi="宋体"/>
          <w:color w:val="auto"/>
          <w:sz w:val="24"/>
          <w:szCs w:val="24"/>
          <w:highlight w:val="none"/>
          <w:u w:val="single"/>
        </w:rPr>
        <w:t>符合要求的完整施工资料。</w:t>
      </w:r>
    </w:p>
    <w:p w14:paraId="6211B118">
      <w:pPr>
        <w:pStyle w:val="230"/>
        <w:spacing w:line="360" w:lineRule="auto"/>
        <w:ind w:firstLine="480" w:firstLineChars="200"/>
        <w:rPr>
          <w:rFonts w:ascii="宋体" w:hAnsi="宋体"/>
          <w:color w:val="auto"/>
          <w:sz w:val="24"/>
          <w:szCs w:val="24"/>
          <w:highlight w:val="none"/>
        </w:rPr>
      </w:pPr>
      <w:r>
        <w:rPr>
          <w:rFonts w:hint="eastAsia" w:ascii="宋体" w:hAnsi="宋体"/>
          <w:bCs/>
          <w:color w:val="auto"/>
          <w:sz w:val="24"/>
          <w:szCs w:val="24"/>
          <w:highlight w:val="none"/>
        </w:rPr>
        <w:t>⑶</w:t>
      </w:r>
      <w:r>
        <w:rPr>
          <w:rFonts w:hAnsi="宋体"/>
          <w:color w:val="auto"/>
          <w:sz w:val="24"/>
          <w:szCs w:val="24"/>
          <w:highlight w:val="none"/>
        </w:rPr>
        <w:t>竣工验收资料的份数：</w:t>
      </w:r>
      <w:r>
        <w:rPr>
          <w:rFonts w:hint="eastAsia" w:hAnsi="宋体"/>
          <w:color w:val="auto"/>
          <w:sz w:val="24"/>
          <w:szCs w:val="24"/>
          <w:highlight w:val="none"/>
          <w:u w:val="single"/>
        </w:rPr>
        <w:t>陆</w:t>
      </w:r>
      <w:r>
        <w:rPr>
          <w:rFonts w:hAnsi="宋体"/>
          <w:color w:val="auto"/>
          <w:sz w:val="24"/>
          <w:szCs w:val="24"/>
          <w:highlight w:val="none"/>
          <w:u w:val="single"/>
        </w:rPr>
        <w:t>份。</w:t>
      </w:r>
    </w:p>
    <w:p w14:paraId="70626F75">
      <w:pPr>
        <w:pStyle w:val="230"/>
        <w:spacing w:line="360" w:lineRule="auto"/>
        <w:ind w:firstLine="480" w:firstLineChars="200"/>
        <w:rPr>
          <w:color w:val="auto"/>
          <w:sz w:val="24"/>
          <w:szCs w:val="24"/>
          <w:highlight w:val="none"/>
        </w:rPr>
      </w:pPr>
      <w:r>
        <w:rPr>
          <w:rFonts w:hint="eastAsia" w:hAnsi="宋体"/>
          <w:bCs/>
          <w:color w:val="auto"/>
          <w:sz w:val="24"/>
          <w:szCs w:val="24"/>
          <w:highlight w:val="none"/>
        </w:rPr>
        <w:t>⑷</w:t>
      </w:r>
      <w:r>
        <w:rPr>
          <w:rFonts w:hAnsi="宋体"/>
          <w:bCs/>
          <w:color w:val="auto"/>
          <w:sz w:val="24"/>
          <w:szCs w:val="24"/>
          <w:highlight w:val="none"/>
        </w:rPr>
        <w:t>承包人提供竣工图的约定：</w:t>
      </w:r>
      <w:r>
        <w:rPr>
          <w:rFonts w:hAnsi="宋体"/>
          <w:bCs/>
          <w:color w:val="auto"/>
          <w:sz w:val="24"/>
          <w:szCs w:val="24"/>
          <w:highlight w:val="none"/>
          <w:u w:val="single"/>
        </w:rPr>
        <w:t>竣工验收正式通过后</w:t>
      </w:r>
      <w:r>
        <w:rPr>
          <w:rFonts w:hint="eastAsia"/>
          <w:bCs/>
          <w:color w:val="auto"/>
          <w:sz w:val="24"/>
          <w:szCs w:val="24"/>
          <w:highlight w:val="none"/>
          <w:u w:val="single"/>
        </w:rPr>
        <w:t>30</w:t>
      </w:r>
      <w:r>
        <w:rPr>
          <w:rFonts w:hAnsi="宋体"/>
          <w:bCs/>
          <w:color w:val="auto"/>
          <w:sz w:val="24"/>
          <w:szCs w:val="24"/>
          <w:highlight w:val="none"/>
          <w:u w:val="single"/>
        </w:rPr>
        <w:t>天（工程造价在</w:t>
      </w:r>
      <w:r>
        <w:rPr>
          <w:rFonts w:hint="eastAsia"/>
          <w:bCs/>
          <w:color w:val="auto"/>
          <w:sz w:val="24"/>
          <w:szCs w:val="24"/>
          <w:highlight w:val="none"/>
          <w:u w:val="single"/>
        </w:rPr>
        <w:t>500</w:t>
      </w:r>
      <w:r>
        <w:rPr>
          <w:rFonts w:hAnsi="宋体"/>
          <w:bCs/>
          <w:color w:val="auto"/>
          <w:sz w:val="24"/>
          <w:szCs w:val="24"/>
          <w:highlight w:val="none"/>
          <w:u w:val="single"/>
        </w:rPr>
        <w:t>万元以</w:t>
      </w:r>
      <w:r>
        <w:rPr>
          <w:rFonts w:hint="eastAsia" w:hAnsi="宋体"/>
          <w:bCs/>
          <w:color w:val="auto"/>
          <w:sz w:val="24"/>
          <w:szCs w:val="24"/>
          <w:highlight w:val="none"/>
          <w:u w:val="single"/>
        </w:rPr>
        <w:t>下</w:t>
      </w:r>
      <w:r>
        <w:rPr>
          <w:rFonts w:hAnsi="宋体"/>
          <w:bCs/>
          <w:color w:val="auto"/>
          <w:sz w:val="24"/>
          <w:szCs w:val="24"/>
          <w:highlight w:val="none"/>
          <w:u w:val="single"/>
        </w:rPr>
        <w:t>），提供竣工图的数量为</w:t>
      </w:r>
      <w:r>
        <w:rPr>
          <w:rFonts w:hint="eastAsia" w:hAnsi="宋体"/>
          <w:bCs/>
          <w:color w:val="auto"/>
          <w:sz w:val="24"/>
          <w:szCs w:val="24"/>
          <w:highlight w:val="none"/>
          <w:u w:val="single"/>
        </w:rPr>
        <w:t>陆</w:t>
      </w:r>
      <w:r>
        <w:rPr>
          <w:rFonts w:hAnsi="宋体"/>
          <w:bCs/>
          <w:color w:val="auto"/>
          <w:sz w:val="24"/>
          <w:szCs w:val="24"/>
          <w:highlight w:val="none"/>
          <w:u w:val="single"/>
        </w:rPr>
        <w:t>套。</w:t>
      </w:r>
    </w:p>
    <w:p w14:paraId="063CD183">
      <w:pPr>
        <w:spacing w:line="360" w:lineRule="auto"/>
        <w:ind w:firstLine="480" w:firstLineChars="200"/>
        <w:rPr>
          <w:rFonts w:hint="eastAsia" w:hAnsi="宋体"/>
          <w:color w:val="auto"/>
          <w:sz w:val="24"/>
          <w:szCs w:val="24"/>
          <w:highlight w:val="none"/>
        </w:rPr>
      </w:pPr>
      <w:r>
        <w:rPr>
          <w:color w:val="auto"/>
          <w:sz w:val="24"/>
          <w:szCs w:val="24"/>
          <w:highlight w:val="none"/>
        </w:rPr>
        <w:t>1</w:t>
      </w:r>
      <w:r>
        <w:rPr>
          <w:rFonts w:hint="eastAsia"/>
          <w:color w:val="auto"/>
          <w:sz w:val="24"/>
          <w:szCs w:val="24"/>
          <w:highlight w:val="none"/>
        </w:rPr>
        <w:t>1.1</w:t>
      </w:r>
      <w:r>
        <w:rPr>
          <w:color w:val="auto"/>
          <w:sz w:val="24"/>
          <w:szCs w:val="24"/>
          <w:highlight w:val="none"/>
        </w:rPr>
        <w:t>.2</w:t>
      </w:r>
      <w:r>
        <w:rPr>
          <w:rFonts w:hAnsi="宋体"/>
          <w:color w:val="auto"/>
          <w:sz w:val="24"/>
          <w:szCs w:val="24"/>
          <w:highlight w:val="none"/>
        </w:rPr>
        <w:t>竣工验收程序：</w:t>
      </w:r>
    </w:p>
    <w:p w14:paraId="045E329C">
      <w:pPr>
        <w:spacing w:line="360" w:lineRule="auto"/>
        <w:ind w:firstLine="480" w:firstLineChars="200"/>
        <w:rPr>
          <w:rFonts w:ascii="Times New Roman" w:hAnsi="Times New Roman"/>
          <w:color w:val="auto"/>
          <w:kern w:val="0"/>
          <w:sz w:val="24"/>
          <w:szCs w:val="24"/>
          <w:highlight w:val="none"/>
        </w:rPr>
      </w:pPr>
      <w:r>
        <w:rPr>
          <w:rFonts w:ascii="Times New Roman" w:hAnsi="宋体"/>
          <w:color w:val="auto"/>
          <w:kern w:val="0"/>
          <w:sz w:val="24"/>
          <w:szCs w:val="24"/>
          <w:highlight w:val="none"/>
        </w:rPr>
        <w:t>承包人申请竣工验收的，按照以下程序进行：</w:t>
      </w:r>
    </w:p>
    <w:p w14:paraId="2ED8E285">
      <w:pPr>
        <w:spacing w:line="360" w:lineRule="auto"/>
        <w:ind w:firstLine="480" w:firstLineChars="200"/>
        <w:rPr>
          <w:rFonts w:ascii="Times New Roman" w:hAnsi="Times New Roman"/>
          <w:color w:val="auto"/>
          <w:kern w:val="0"/>
          <w:sz w:val="24"/>
          <w:szCs w:val="24"/>
          <w:highlight w:val="none"/>
        </w:rPr>
      </w:pPr>
      <w:r>
        <w:rPr>
          <w:rFonts w:ascii="Times New Roman" w:hAnsi="宋体"/>
          <w:color w:val="auto"/>
          <w:kern w:val="0"/>
          <w:sz w:val="24"/>
          <w:szCs w:val="24"/>
          <w:highlight w:val="none"/>
        </w:rPr>
        <w:t>⑴承包人向</w:t>
      </w:r>
      <w:r>
        <w:rPr>
          <w:rFonts w:hint="eastAsia" w:ascii="Times New Roman" w:hAnsi="宋体"/>
          <w:color w:val="auto"/>
          <w:kern w:val="0"/>
          <w:sz w:val="24"/>
          <w:szCs w:val="24"/>
          <w:highlight w:val="none"/>
        </w:rPr>
        <w:t>发包人</w:t>
      </w:r>
      <w:r>
        <w:rPr>
          <w:rFonts w:ascii="Times New Roman" w:hAnsi="宋体"/>
          <w:color w:val="auto"/>
          <w:kern w:val="0"/>
          <w:sz w:val="24"/>
          <w:szCs w:val="24"/>
          <w:highlight w:val="none"/>
        </w:rPr>
        <w:t>报送竣工验收申请报告，</w:t>
      </w:r>
      <w:r>
        <w:rPr>
          <w:rFonts w:hint="eastAsia" w:ascii="Times New Roman" w:hAnsi="宋体"/>
          <w:color w:val="auto"/>
          <w:kern w:val="0"/>
          <w:sz w:val="24"/>
          <w:szCs w:val="24"/>
          <w:highlight w:val="none"/>
        </w:rPr>
        <w:t>发包</w:t>
      </w:r>
      <w:r>
        <w:rPr>
          <w:rFonts w:ascii="Times New Roman" w:hAnsi="宋体"/>
          <w:color w:val="auto"/>
          <w:kern w:val="0"/>
          <w:sz w:val="24"/>
          <w:szCs w:val="24"/>
          <w:highlight w:val="none"/>
        </w:rPr>
        <w:t>人应在收到竣工验收申请报告后</w:t>
      </w:r>
      <w:r>
        <w:rPr>
          <w:rFonts w:hint="eastAsia" w:ascii="Times New Roman" w:hAnsi="Times New Roman"/>
          <w:color w:val="auto"/>
          <w:kern w:val="0"/>
          <w:sz w:val="24"/>
          <w:szCs w:val="24"/>
          <w:highlight w:val="none"/>
        </w:rPr>
        <w:t>28</w:t>
      </w:r>
      <w:r>
        <w:rPr>
          <w:rFonts w:ascii="Times New Roman" w:hAnsi="宋体"/>
          <w:color w:val="auto"/>
          <w:kern w:val="0"/>
          <w:sz w:val="24"/>
          <w:szCs w:val="24"/>
          <w:highlight w:val="none"/>
        </w:rPr>
        <w:t>天内完成审查。</w:t>
      </w:r>
      <w:r>
        <w:rPr>
          <w:rFonts w:hint="eastAsia" w:ascii="Times New Roman" w:hAnsi="宋体"/>
          <w:color w:val="auto"/>
          <w:kern w:val="0"/>
          <w:sz w:val="24"/>
          <w:szCs w:val="24"/>
          <w:highlight w:val="none"/>
        </w:rPr>
        <w:t>发包人</w:t>
      </w:r>
      <w:r>
        <w:rPr>
          <w:rFonts w:ascii="Times New Roman" w:hAnsi="宋体"/>
          <w:color w:val="auto"/>
          <w:kern w:val="0"/>
          <w:sz w:val="24"/>
          <w:szCs w:val="24"/>
          <w:highlight w:val="none"/>
        </w:rPr>
        <w:t>审查后认为尚不具备验收条件的，应通知承包人在竣工验收前承包人还需完成的工作内容，承包人应在完成</w:t>
      </w:r>
      <w:r>
        <w:rPr>
          <w:rFonts w:hint="eastAsia" w:ascii="Times New Roman" w:hAnsi="宋体"/>
          <w:color w:val="auto"/>
          <w:kern w:val="0"/>
          <w:sz w:val="24"/>
          <w:szCs w:val="24"/>
          <w:highlight w:val="none"/>
        </w:rPr>
        <w:t>发包</w:t>
      </w:r>
      <w:r>
        <w:rPr>
          <w:rFonts w:ascii="Times New Roman" w:hAnsi="宋体"/>
          <w:color w:val="auto"/>
          <w:kern w:val="0"/>
          <w:sz w:val="24"/>
          <w:szCs w:val="24"/>
          <w:highlight w:val="none"/>
        </w:rPr>
        <w:t>人通知的全部工作内容后，再次提交竣工验收申请报告。</w:t>
      </w:r>
    </w:p>
    <w:p w14:paraId="158F4DF0">
      <w:pPr>
        <w:spacing w:line="360" w:lineRule="auto"/>
        <w:ind w:firstLine="480" w:firstLineChars="200"/>
        <w:rPr>
          <w:rFonts w:ascii="Times New Roman" w:hAnsi="Times New Roman"/>
          <w:color w:val="auto"/>
          <w:kern w:val="0"/>
          <w:sz w:val="24"/>
          <w:szCs w:val="24"/>
          <w:highlight w:val="none"/>
        </w:rPr>
      </w:pPr>
      <w:r>
        <w:rPr>
          <w:rFonts w:ascii="Times New Roman" w:hAnsi="宋体"/>
          <w:color w:val="auto"/>
          <w:kern w:val="0"/>
          <w:sz w:val="24"/>
          <w:szCs w:val="24"/>
          <w:highlight w:val="none"/>
        </w:rPr>
        <w:t>⑵</w:t>
      </w:r>
      <w:r>
        <w:rPr>
          <w:rFonts w:hint="eastAsia" w:ascii="Times New Roman" w:hAnsi="宋体"/>
          <w:color w:val="auto"/>
          <w:kern w:val="0"/>
          <w:sz w:val="24"/>
          <w:szCs w:val="24"/>
          <w:highlight w:val="none"/>
        </w:rPr>
        <w:t>发包人</w:t>
      </w:r>
      <w:r>
        <w:rPr>
          <w:rFonts w:ascii="Times New Roman" w:hAnsi="宋体"/>
          <w:color w:val="auto"/>
          <w:kern w:val="0"/>
          <w:sz w:val="24"/>
          <w:szCs w:val="24"/>
          <w:highlight w:val="none"/>
        </w:rPr>
        <w:t>审查后认为已具备竣工验收条件的，应在</w:t>
      </w:r>
      <w:r>
        <w:rPr>
          <w:rFonts w:ascii="Times New Roman" w:hAnsi="Times New Roman"/>
          <w:color w:val="auto"/>
          <w:kern w:val="0"/>
          <w:sz w:val="24"/>
          <w:szCs w:val="24"/>
          <w:highlight w:val="none"/>
        </w:rPr>
        <w:t>28</w:t>
      </w:r>
      <w:r>
        <w:rPr>
          <w:rFonts w:ascii="Times New Roman" w:hAnsi="宋体"/>
          <w:color w:val="auto"/>
          <w:kern w:val="0"/>
          <w:sz w:val="24"/>
          <w:szCs w:val="24"/>
          <w:highlight w:val="none"/>
        </w:rPr>
        <w:t>天内审批完毕并组织承包人、设计人等相关单位完成竣工验收。</w:t>
      </w:r>
    </w:p>
    <w:p w14:paraId="697257E0">
      <w:pPr>
        <w:spacing w:line="360" w:lineRule="auto"/>
        <w:ind w:firstLine="480" w:firstLineChars="200"/>
        <w:rPr>
          <w:rFonts w:hint="eastAsia" w:ascii="宋体" w:hAnsi="宋体"/>
          <w:color w:val="auto"/>
          <w:kern w:val="0"/>
          <w:sz w:val="24"/>
          <w:szCs w:val="24"/>
          <w:highlight w:val="none"/>
        </w:rPr>
      </w:pPr>
      <w:r>
        <w:rPr>
          <w:rFonts w:ascii="Times New Roman" w:hAnsi="宋体"/>
          <w:color w:val="auto"/>
          <w:kern w:val="0"/>
          <w:sz w:val="24"/>
          <w:szCs w:val="24"/>
          <w:highlight w:val="none"/>
        </w:rPr>
        <w:t>⑶竣工验收合格的，发包人应在验收合格后</w:t>
      </w:r>
      <w:r>
        <w:rPr>
          <w:rFonts w:hint="eastAsia" w:ascii="Times New Roman" w:hAnsi="Times New Roman"/>
          <w:color w:val="auto"/>
          <w:kern w:val="0"/>
          <w:sz w:val="24"/>
          <w:szCs w:val="24"/>
          <w:highlight w:val="none"/>
        </w:rPr>
        <w:t>28</w:t>
      </w:r>
      <w:r>
        <w:rPr>
          <w:rFonts w:ascii="Times New Roman" w:hAnsi="宋体"/>
          <w:color w:val="auto"/>
          <w:kern w:val="0"/>
          <w:sz w:val="24"/>
          <w:szCs w:val="24"/>
          <w:highlight w:val="none"/>
        </w:rPr>
        <w:t>天内向承包人签发工程接收证书</w:t>
      </w:r>
      <w:r>
        <w:rPr>
          <w:rFonts w:ascii="宋体" w:hAnsi="宋体"/>
          <w:color w:val="auto"/>
          <w:kern w:val="0"/>
          <w:sz w:val="24"/>
          <w:szCs w:val="24"/>
          <w:highlight w:val="none"/>
        </w:rPr>
        <w:t>。</w:t>
      </w:r>
    </w:p>
    <w:p w14:paraId="65818E50">
      <w:pPr>
        <w:spacing w:line="360" w:lineRule="auto"/>
        <w:ind w:firstLine="480" w:firstLineChars="200"/>
        <w:rPr>
          <w:rFonts w:ascii="Times New Roman" w:hAnsi="Times New Roman"/>
          <w:color w:val="auto"/>
          <w:kern w:val="0"/>
          <w:sz w:val="24"/>
          <w:szCs w:val="24"/>
          <w:highlight w:val="none"/>
        </w:rPr>
      </w:pPr>
      <w:r>
        <w:rPr>
          <w:rFonts w:hint="eastAsia" w:ascii="宋体" w:hAnsi="宋体"/>
          <w:color w:val="auto"/>
          <w:kern w:val="0"/>
          <w:sz w:val="24"/>
          <w:szCs w:val="24"/>
          <w:highlight w:val="none"/>
        </w:rPr>
        <w:t>⑷</w:t>
      </w:r>
      <w:r>
        <w:rPr>
          <w:rFonts w:ascii="Times New Roman" w:hAnsi="宋体"/>
          <w:color w:val="auto"/>
          <w:kern w:val="0"/>
          <w:sz w:val="24"/>
          <w:szCs w:val="24"/>
          <w:highlight w:val="none"/>
        </w:rPr>
        <w:t>竣工验收不合格的，</w:t>
      </w:r>
      <w:r>
        <w:rPr>
          <w:rFonts w:hint="eastAsia" w:ascii="Times New Roman" w:hAnsi="宋体"/>
          <w:color w:val="auto"/>
          <w:kern w:val="0"/>
          <w:sz w:val="24"/>
          <w:szCs w:val="24"/>
          <w:highlight w:val="none"/>
        </w:rPr>
        <w:t>发包人</w:t>
      </w:r>
      <w:r>
        <w:rPr>
          <w:rFonts w:ascii="Times New Roman" w:hAnsi="宋体"/>
          <w:color w:val="auto"/>
          <w:kern w:val="0"/>
          <w:sz w:val="24"/>
          <w:szCs w:val="24"/>
          <w:highlight w:val="none"/>
        </w:rPr>
        <w:t>应按照验收意见要求承包人对不合格工程返工、修复或采取其他补救措施，由此增加的费用和（或）延误的工期由承包人承担。承包人在完成不合格工程的返工、修复或采取其他补救措施后，应重新提交竣工验收申请报告，并按本项约定的程序重新进行验收。</w:t>
      </w:r>
    </w:p>
    <w:bookmarkEnd w:id="567"/>
    <w:bookmarkEnd w:id="568"/>
    <w:bookmarkEnd w:id="569"/>
    <w:bookmarkEnd w:id="570"/>
    <w:bookmarkEnd w:id="612"/>
    <w:bookmarkEnd w:id="613"/>
    <w:bookmarkEnd w:id="614"/>
    <w:bookmarkEnd w:id="615"/>
    <w:bookmarkEnd w:id="616"/>
    <w:bookmarkEnd w:id="617"/>
    <w:bookmarkEnd w:id="618"/>
    <w:bookmarkEnd w:id="619"/>
    <w:bookmarkEnd w:id="620"/>
    <w:bookmarkEnd w:id="621"/>
    <w:bookmarkEnd w:id="622"/>
    <w:bookmarkEnd w:id="623"/>
    <w:bookmarkEnd w:id="624"/>
    <w:p w14:paraId="27B2F9C3">
      <w:pPr>
        <w:spacing w:line="360" w:lineRule="auto"/>
        <w:ind w:firstLine="480" w:firstLineChars="200"/>
        <w:rPr>
          <w:rFonts w:ascii="Times New Roman" w:hAnsi="Times New Roman"/>
          <w:color w:val="auto"/>
          <w:kern w:val="0"/>
          <w:sz w:val="24"/>
          <w:szCs w:val="24"/>
          <w:highlight w:val="none"/>
        </w:rPr>
      </w:pPr>
      <w:bookmarkStart w:id="625" w:name="_Toc351203587"/>
      <w:bookmarkStart w:id="626" w:name="_Toc337558805"/>
      <w:bookmarkStart w:id="627" w:name="_Toc296503110"/>
      <w:bookmarkStart w:id="628" w:name="_Toc296346611"/>
      <w:r>
        <w:rPr>
          <w:rFonts w:ascii="Times New Roman" w:hAnsi="Times New Roman"/>
          <w:color w:val="auto"/>
          <w:kern w:val="0"/>
          <w:sz w:val="24"/>
          <w:szCs w:val="24"/>
          <w:highlight w:val="none"/>
        </w:rPr>
        <w:t>1</w:t>
      </w:r>
      <w:r>
        <w:rPr>
          <w:rFonts w:hint="eastAsia" w:ascii="Times New Roman" w:hAnsi="Times New Roman"/>
          <w:color w:val="auto"/>
          <w:kern w:val="0"/>
          <w:sz w:val="24"/>
          <w:szCs w:val="24"/>
          <w:highlight w:val="none"/>
        </w:rPr>
        <w:t>1</w:t>
      </w:r>
      <w:r>
        <w:rPr>
          <w:rFonts w:ascii="Times New Roman" w:hAnsi="Times New Roman"/>
          <w:color w:val="auto"/>
          <w:kern w:val="0"/>
          <w:sz w:val="24"/>
          <w:szCs w:val="24"/>
          <w:highlight w:val="none"/>
        </w:rPr>
        <w:t>.</w:t>
      </w:r>
      <w:r>
        <w:rPr>
          <w:rFonts w:hint="eastAsia" w:ascii="Times New Roman" w:hAnsi="Times New Roman"/>
          <w:color w:val="auto"/>
          <w:kern w:val="0"/>
          <w:sz w:val="24"/>
          <w:szCs w:val="24"/>
          <w:highlight w:val="none"/>
        </w:rPr>
        <w:t>1</w:t>
      </w:r>
      <w:r>
        <w:rPr>
          <w:rFonts w:ascii="Times New Roman" w:hAnsi="Times New Roman"/>
          <w:color w:val="auto"/>
          <w:kern w:val="0"/>
          <w:sz w:val="24"/>
          <w:szCs w:val="24"/>
          <w:highlight w:val="none"/>
        </w:rPr>
        <w:t>.3</w:t>
      </w:r>
      <w:r>
        <w:rPr>
          <w:rFonts w:ascii="Times New Roman" w:hAnsi="宋体"/>
          <w:color w:val="auto"/>
          <w:kern w:val="0"/>
          <w:sz w:val="24"/>
          <w:szCs w:val="24"/>
          <w:highlight w:val="none"/>
        </w:rPr>
        <w:t>竣工日期</w:t>
      </w:r>
    </w:p>
    <w:p w14:paraId="3ADDAA31">
      <w:pPr>
        <w:autoSpaceDE w:val="0"/>
        <w:autoSpaceDN w:val="0"/>
        <w:adjustRightInd w:val="0"/>
        <w:spacing w:line="360" w:lineRule="auto"/>
        <w:ind w:firstLine="480" w:firstLineChars="200"/>
        <w:rPr>
          <w:rFonts w:ascii="Times New Roman" w:hAnsi="Times New Roman"/>
          <w:color w:val="auto"/>
          <w:kern w:val="0"/>
          <w:sz w:val="24"/>
          <w:szCs w:val="24"/>
          <w:highlight w:val="none"/>
        </w:rPr>
      </w:pPr>
      <w:r>
        <w:rPr>
          <w:rFonts w:ascii="Times New Roman" w:hAnsi="宋体"/>
          <w:color w:val="auto"/>
          <w:kern w:val="0"/>
          <w:sz w:val="24"/>
          <w:szCs w:val="24"/>
          <w:highlight w:val="none"/>
        </w:rPr>
        <w:t>工程经竣工验收合格的，以承包人提交竣工验收申请报告之日为实际竣工日期；工程未经竣工验收，发包人擅自使用的，以转移占有工程之日为实际竣工日期。</w:t>
      </w:r>
    </w:p>
    <w:p w14:paraId="0BFA3C87">
      <w:pPr>
        <w:pStyle w:val="6"/>
        <w:spacing w:before="0" w:after="0" w:line="360" w:lineRule="auto"/>
        <w:ind w:firstLine="241" w:firstLineChars="100"/>
        <w:rPr>
          <w:rFonts w:ascii="Times New Roman" w:hAnsi="Times New Roman"/>
          <w:color w:val="auto"/>
          <w:sz w:val="24"/>
          <w:szCs w:val="24"/>
          <w:highlight w:val="none"/>
        </w:rPr>
      </w:pPr>
      <w:r>
        <w:rPr>
          <w:rFonts w:hint="eastAsia" w:ascii="Times New Roman" w:hAnsi="Times New Roman"/>
          <w:color w:val="auto"/>
          <w:sz w:val="24"/>
          <w:szCs w:val="24"/>
          <w:highlight w:val="none"/>
        </w:rPr>
        <w:t xml:space="preserve">11.2 </w:t>
      </w:r>
      <w:r>
        <w:rPr>
          <w:rFonts w:ascii="Times New Roman" w:hAnsi="宋体"/>
          <w:color w:val="auto"/>
          <w:sz w:val="24"/>
          <w:szCs w:val="24"/>
          <w:highlight w:val="none"/>
        </w:rPr>
        <w:t>分部分项工程验收</w:t>
      </w:r>
      <w:bookmarkEnd w:id="625"/>
    </w:p>
    <w:bookmarkEnd w:id="626"/>
    <w:p w14:paraId="7E8EAFAF">
      <w:pPr>
        <w:spacing w:line="360" w:lineRule="auto"/>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1</w:t>
      </w:r>
      <w:r>
        <w:rPr>
          <w:rFonts w:hint="eastAsia" w:ascii="Times New Roman" w:hAnsi="Times New Roman"/>
          <w:color w:val="auto"/>
          <w:sz w:val="24"/>
          <w:szCs w:val="24"/>
          <w:highlight w:val="none"/>
        </w:rPr>
        <w:t>1</w:t>
      </w:r>
      <w:r>
        <w:rPr>
          <w:rFonts w:ascii="Times New Roman" w:hAnsi="Times New Roman"/>
          <w:color w:val="auto"/>
          <w:sz w:val="24"/>
          <w:szCs w:val="24"/>
          <w:highlight w:val="none"/>
        </w:rPr>
        <w:t>.</w:t>
      </w:r>
      <w:r>
        <w:rPr>
          <w:rFonts w:hint="eastAsia" w:ascii="Times New Roman" w:hAnsi="Times New Roman"/>
          <w:color w:val="auto"/>
          <w:sz w:val="24"/>
          <w:szCs w:val="24"/>
          <w:highlight w:val="none"/>
        </w:rPr>
        <w:t>2</w:t>
      </w:r>
      <w:r>
        <w:rPr>
          <w:rFonts w:ascii="Times New Roman" w:hAnsi="Times New Roman"/>
          <w:color w:val="auto"/>
          <w:sz w:val="24"/>
          <w:szCs w:val="24"/>
          <w:highlight w:val="none"/>
        </w:rPr>
        <w:t xml:space="preserve">.1 </w:t>
      </w:r>
      <w:r>
        <w:rPr>
          <w:rFonts w:ascii="Times New Roman" w:hAnsi="宋体"/>
          <w:color w:val="auto"/>
          <w:sz w:val="24"/>
          <w:szCs w:val="24"/>
          <w:highlight w:val="none"/>
        </w:rPr>
        <w:t>分部分项工程质量应符合国家有关工程施工验收规范、标准及合同约定，承包人应按照施工组织设计的要求完成分部分项工程施工。</w:t>
      </w:r>
    </w:p>
    <w:p w14:paraId="5BB77490">
      <w:pPr>
        <w:spacing w:line="360" w:lineRule="auto"/>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1</w:t>
      </w:r>
      <w:r>
        <w:rPr>
          <w:rFonts w:hint="eastAsia" w:ascii="Times New Roman" w:hAnsi="Times New Roman"/>
          <w:color w:val="auto"/>
          <w:sz w:val="24"/>
          <w:szCs w:val="24"/>
          <w:highlight w:val="none"/>
        </w:rPr>
        <w:t>1</w:t>
      </w:r>
      <w:r>
        <w:rPr>
          <w:rFonts w:ascii="Times New Roman" w:hAnsi="Times New Roman"/>
          <w:color w:val="auto"/>
          <w:sz w:val="24"/>
          <w:szCs w:val="24"/>
          <w:highlight w:val="none"/>
        </w:rPr>
        <w:t>.</w:t>
      </w:r>
      <w:r>
        <w:rPr>
          <w:rFonts w:hint="eastAsia" w:ascii="Times New Roman" w:hAnsi="Times New Roman"/>
          <w:color w:val="auto"/>
          <w:sz w:val="24"/>
          <w:szCs w:val="24"/>
          <w:highlight w:val="none"/>
        </w:rPr>
        <w:t>2</w:t>
      </w:r>
      <w:r>
        <w:rPr>
          <w:rFonts w:ascii="Times New Roman" w:hAnsi="Times New Roman"/>
          <w:color w:val="auto"/>
          <w:sz w:val="24"/>
          <w:szCs w:val="24"/>
          <w:highlight w:val="none"/>
        </w:rPr>
        <w:t xml:space="preserve">.2 </w:t>
      </w:r>
      <w:r>
        <w:rPr>
          <w:rFonts w:ascii="Times New Roman" w:hAnsi="宋体"/>
          <w:color w:val="auto"/>
          <w:sz w:val="24"/>
          <w:szCs w:val="24"/>
          <w:highlight w:val="none"/>
        </w:rPr>
        <w:t>除专用合同条款另有约定外，分部分项工程经承包人自检合格并具备验收条件的，承包人应提前</w:t>
      </w:r>
      <w:r>
        <w:rPr>
          <w:rFonts w:ascii="Times New Roman" w:hAnsi="Times New Roman"/>
          <w:color w:val="auto"/>
          <w:sz w:val="24"/>
          <w:szCs w:val="24"/>
          <w:highlight w:val="none"/>
        </w:rPr>
        <w:t>48</w:t>
      </w:r>
      <w:r>
        <w:rPr>
          <w:rFonts w:ascii="Times New Roman" w:hAnsi="宋体"/>
          <w:color w:val="auto"/>
          <w:sz w:val="24"/>
          <w:szCs w:val="24"/>
          <w:highlight w:val="none"/>
        </w:rPr>
        <w:t>小时通知</w:t>
      </w:r>
      <w:r>
        <w:rPr>
          <w:rFonts w:hint="eastAsia" w:ascii="Times New Roman" w:hAnsi="宋体"/>
          <w:color w:val="auto"/>
          <w:sz w:val="24"/>
          <w:szCs w:val="24"/>
          <w:highlight w:val="none"/>
        </w:rPr>
        <w:t>发包</w:t>
      </w:r>
      <w:r>
        <w:rPr>
          <w:rFonts w:ascii="Times New Roman" w:hAnsi="宋体"/>
          <w:color w:val="auto"/>
          <w:sz w:val="24"/>
          <w:szCs w:val="24"/>
          <w:highlight w:val="none"/>
        </w:rPr>
        <w:t>人进行验收。</w:t>
      </w:r>
    </w:p>
    <w:p w14:paraId="0B09BA0F">
      <w:pPr>
        <w:spacing w:line="360" w:lineRule="auto"/>
        <w:ind w:firstLine="480" w:firstLineChars="200"/>
        <w:rPr>
          <w:rFonts w:ascii="Times New Roman" w:hAnsi="Times New Roman"/>
          <w:color w:val="auto"/>
          <w:kern w:val="0"/>
          <w:sz w:val="24"/>
          <w:szCs w:val="24"/>
          <w:highlight w:val="none"/>
        </w:rPr>
      </w:pPr>
      <w:r>
        <w:rPr>
          <w:rFonts w:ascii="Times New Roman" w:hAnsi="宋体"/>
          <w:color w:val="auto"/>
          <w:sz w:val="24"/>
          <w:szCs w:val="24"/>
          <w:highlight w:val="none"/>
        </w:rPr>
        <w:t>分部分项工程的验收资料应当作为竣工资料的组成部分。</w:t>
      </w:r>
      <w:bookmarkEnd w:id="627"/>
      <w:bookmarkEnd w:id="628"/>
    </w:p>
    <w:p w14:paraId="037817E8">
      <w:pPr>
        <w:pStyle w:val="6"/>
        <w:spacing w:before="0" w:after="0" w:line="360" w:lineRule="auto"/>
        <w:ind w:firstLine="241" w:firstLineChars="100"/>
        <w:rPr>
          <w:rFonts w:ascii="Times New Roman" w:hAnsi="Times New Roman"/>
          <w:color w:val="auto"/>
          <w:sz w:val="24"/>
          <w:szCs w:val="24"/>
          <w:highlight w:val="none"/>
        </w:rPr>
      </w:pPr>
      <w:bookmarkStart w:id="629" w:name="_Toc296346613"/>
      <w:bookmarkStart w:id="630" w:name="_Toc296503112"/>
      <w:bookmarkStart w:id="631" w:name="_Toc351203592"/>
      <w:bookmarkStart w:id="632" w:name="_Toc337558809"/>
      <w:r>
        <w:rPr>
          <w:rFonts w:ascii="Times New Roman" w:hAnsi="Times New Roman"/>
          <w:color w:val="auto"/>
          <w:sz w:val="24"/>
          <w:szCs w:val="24"/>
          <w:highlight w:val="none"/>
        </w:rPr>
        <w:t>1</w:t>
      </w:r>
      <w:r>
        <w:rPr>
          <w:rFonts w:hint="eastAsia" w:ascii="Times New Roman" w:hAnsi="Times New Roman"/>
          <w:color w:val="auto"/>
          <w:sz w:val="24"/>
          <w:szCs w:val="24"/>
          <w:highlight w:val="none"/>
        </w:rPr>
        <w:t>1</w:t>
      </w:r>
      <w:r>
        <w:rPr>
          <w:rFonts w:ascii="Times New Roman" w:hAnsi="Times New Roman"/>
          <w:color w:val="auto"/>
          <w:sz w:val="24"/>
          <w:szCs w:val="24"/>
          <w:highlight w:val="none"/>
        </w:rPr>
        <w:t>.</w:t>
      </w:r>
      <w:r>
        <w:rPr>
          <w:rFonts w:hint="eastAsia" w:ascii="Times New Roman" w:hAnsi="Times New Roman"/>
          <w:color w:val="auto"/>
          <w:sz w:val="24"/>
          <w:szCs w:val="24"/>
          <w:highlight w:val="none"/>
        </w:rPr>
        <w:t xml:space="preserve">3 </w:t>
      </w:r>
      <w:r>
        <w:rPr>
          <w:rFonts w:ascii="Times New Roman" w:hAnsi="宋体"/>
          <w:color w:val="auto"/>
          <w:sz w:val="24"/>
          <w:szCs w:val="24"/>
          <w:highlight w:val="none"/>
        </w:rPr>
        <w:t>竣工退</w:t>
      </w:r>
      <w:bookmarkEnd w:id="629"/>
      <w:bookmarkEnd w:id="630"/>
      <w:r>
        <w:rPr>
          <w:rFonts w:ascii="Times New Roman" w:hAnsi="宋体"/>
          <w:color w:val="auto"/>
          <w:sz w:val="24"/>
          <w:szCs w:val="24"/>
          <w:highlight w:val="none"/>
        </w:rPr>
        <w:t>场</w:t>
      </w:r>
      <w:bookmarkEnd w:id="631"/>
    </w:p>
    <w:bookmarkEnd w:id="632"/>
    <w:p w14:paraId="71DAD092">
      <w:pPr>
        <w:spacing w:line="360" w:lineRule="auto"/>
        <w:ind w:firstLine="480" w:firstLineChars="200"/>
        <w:rPr>
          <w:rFonts w:ascii="Times New Roman" w:hAnsi="Times New Roman"/>
          <w:color w:val="auto"/>
          <w:kern w:val="0"/>
          <w:sz w:val="24"/>
          <w:szCs w:val="24"/>
          <w:highlight w:val="none"/>
        </w:rPr>
      </w:pPr>
      <w:r>
        <w:rPr>
          <w:rFonts w:ascii="Times New Roman" w:hAnsi="Times New Roman"/>
          <w:color w:val="auto"/>
          <w:kern w:val="0"/>
          <w:sz w:val="24"/>
          <w:szCs w:val="24"/>
          <w:highlight w:val="none"/>
        </w:rPr>
        <w:t>1</w:t>
      </w:r>
      <w:r>
        <w:rPr>
          <w:rFonts w:hint="eastAsia" w:ascii="Times New Roman" w:hAnsi="Times New Roman"/>
          <w:color w:val="auto"/>
          <w:kern w:val="0"/>
          <w:sz w:val="24"/>
          <w:szCs w:val="24"/>
          <w:highlight w:val="none"/>
        </w:rPr>
        <w:t>1</w:t>
      </w:r>
      <w:r>
        <w:rPr>
          <w:rFonts w:ascii="Times New Roman" w:hAnsi="Times New Roman"/>
          <w:color w:val="auto"/>
          <w:kern w:val="0"/>
          <w:sz w:val="24"/>
          <w:szCs w:val="24"/>
          <w:highlight w:val="none"/>
        </w:rPr>
        <w:t>.</w:t>
      </w:r>
      <w:r>
        <w:rPr>
          <w:rFonts w:hint="eastAsia" w:ascii="Times New Roman" w:hAnsi="Times New Roman"/>
          <w:color w:val="auto"/>
          <w:kern w:val="0"/>
          <w:sz w:val="24"/>
          <w:szCs w:val="24"/>
          <w:highlight w:val="none"/>
        </w:rPr>
        <w:t xml:space="preserve">3.1 </w:t>
      </w:r>
      <w:r>
        <w:rPr>
          <w:rFonts w:ascii="Times New Roman" w:hAnsi="宋体"/>
          <w:color w:val="auto"/>
          <w:kern w:val="0"/>
          <w:sz w:val="24"/>
          <w:szCs w:val="24"/>
          <w:highlight w:val="none"/>
        </w:rPr>
        <w:t>竣工退场</w:t>
      </w:r>
    </w:p>
    <w:p w14:paraId="76F3277C">
      <w:pPr>
        <w:spacing w:line="360" w:lineRule="auto"/>
        <w:ind w:firstLine="480" w:firstLineChars="200"/>
        <w:rPr>
          <w:rFonts w:ascii="Times New Roman" w:hAnsi="Times New Roman"/>
          <w:color w:val="auto"/>
          <w:kern w:val="0"/>
          <w:sz w:val="24"/>
          <w:szCs w:val="24"/>
          <w:highlight w:val="none"/>
        </w:rPr>
      </w:pPr>
      <w:r>
        <w:rPr>
          <w:rFonts w:ascii="Times New Roman" w:hAnsi="宋体"/>
          <w:color w:val="auto"/>
          <w:kern w:val="0"/>
          <w:sz w:val="24"/>
          <w:szCs w:val="24"/>
          <w:highlight w:val="none"/>
        </w:rPr>
        <w:t>颁发工程接收证书后，承包人应按以下要求对施工现场进行清理：</w:t>
      </w:r>
    </w:p>
    <w:p w14:paraId="66BC137B">
      <w:pPr>
        <w:spacing w:line="360" w:lineRule="auto"/>
        <w:ind w:firstLine="480" w:firstLineChars="200"/>
        <w:rPr>
          <w:rFonts w:ascii="Times New Roman" w:hAnsi="Times New Roman"/>
          <w:color w:val="auto"/>
          <w:kern w:val="0"/>
          <w:sz w:val="24"/>
          <w:szCs w:val="24"/>
          <w:highlight w:val="none"/>
        </w:rPr>
      </w:pPr>
      <w:r>
        <w:rPr>
          <w:rFonts w:ascii="Times New Roman" w:hAnsi="宋体"/>
          <w:color w:val="auto"/>
          <w:kern w:val="0"/>
          <w:sz w:val="24"/>
          <w:szCs w:val="24"/>
          <w:highlight w:val="none"/>
        </w:rPr>
        <w:t>⑴施工现场内残留的垃圾已全部清除出场；</w:t>
      </w:r>
    </w:p>
    <w:p w14:paraId="35DBC437">
      <w:pPr>
        <w:spacing w:line="360" w:lineRule="auto"/>
        <w:ind w:firstLine="480" w:firstLineChars="200"/>
        <w:rPr>
          <w:rFonts w:ascii="Times New Roman" w:hAnsi="Times New Roman"/>
          <w:color w:val="auto"/>
          <w:kern w:val="0"/>
          <w:sz w:val="24"/>
          <w:szCs w:val="24"/>
          <w:highlight w:val="none"/>
        </w:rPr>
      </w:pPr>
      <w:r>
        <w:rPr>
          <w:rFonts w:ascii="Times New Roman" w:hAnsi="宋体"/>
          <w:color w:val="auto"/>
          <w:kern w:val="0"/>
          <w:sz w:val="24"/>
          <w:szCs w:val="24"/>
          <w:highlight w:val="none"/>
        </w:rPr>
        <w:t>⑵临时工程已拆除，场地已进行清理、平整或复原；</w:t>
      </w:r>
    </w:p>
    <w:p w14:paraId="2971B07B">
      <w:pPr>
        <w:spacing w:line="360" w:lineRule="auto"/>
        <w:ind w:firstLine="480" w:firstLineChars="200"/>
        <w:rPr>
          <w:rFonts w:ascii="宋体" w:hAnsi="宋体"/>
          <w:color w:val="auto"/>
          <w:kern w:val="0"/>
          <w:sz w:val="24"/>
          <w:szCs w:val="24"/>
          <w:highlight w:val="none"/>
        </w:rPr>
      </w:pPr>
      <w:r>
        <w:rPr>
          <w:rFonts w:ascii="Times New Roman" w:hAnsi="宋体"/>
          <w:color w:val="auto"/>
          <w:kern w:val="0"/>
          <w:sz w:val="24"/>
          <w:szCs w:val="24"/>
          <w:highlight w:val="none"/>
        </w:rPr>
        <w:t>⑶按合同约定应撤离的人员、承包人施工设备和剩余的材料，包括废弃的施工设备和材料，已按计划撤离施工现场；</w:t>
      </w:r>
    </w:p>
    <w:p w14:paraId="160D3662">
      <w:pPr>
        <w:spacing w:line="360" w:lineRule="auto"/>
        <w:ind w:firstLine="480" w:firstLineChars="200"/>
        <w:rPr>
          <w:rFonts w:ascii="宋体" w:hAnsi="宋体"/>
          <w:color w:val="auto"/>
          <w:kern w:val="0"/>
          <w:sz w:val="24"/>
          <w:szCs w:val="24"/>
          <w:highlight w:val="none"/>
        </w:rPr>
      </w:pPr>
      <w:r>
        <w:rPr>
          <w:rFonts w:hint="eastAsia" w:ascii="宋体" w:hAnsi="宋体"/>
          <w:color w:val="auto"/>
          <w:kern w:val="0"/>
          <w:sz w:val="24"/>
          <w:szCs w:val="24"/>
          <w:highlight w:val="none"/>
        </w:rPr>
        <w:t>⑷</w:t>
      </w:r>
      <w:r>
        <w:rPr>
          <w:rFonts w:ascii="Times New Roman" w:hAnsi="宋体"/>
          <w:color w:val="auto"/>
          <w:kern w:val="0"/>
          <w:sz w:val="24"/>
          <w:szCs w:val="24"/>
          <w:highlight w:val="none"/>
        </w:rPr>
        <w:t>施工现场周边及其附近道路、河道的施工堆积物，已全部清理；</w:t>
      </w:r>
    </w:p>
    <w:p w14:paraId="70B165E8">
      <w:pPr>
        <w:spacing w:line="360" w:lineRule="auto"/>
        <w:ind w:firstLine="480" w:firstLineChars="200"/>
        <w:rPr>
          <w:rFonts w:ascii="Times New Roman" w:hAnsi="Times New Roman"/>
          <w:color w:val="auto"/>
          <w:kern w:val="0"/>
          <w:sz w:val="24"/>
          <w:szCs w:val="24"/>
          <w:highlight w:val="none"/>
        </w:rPr>
      </w:pPr>
      <w:r>
        <w:rPr>
          <w:rFonts w:hint="eastAsia" w:ascii="宋体" w:hAnsi="宋体"/>
          <w:color w:val="auto"/>
          <w:kern w:val="0"/>
          <w:sz w:val="24"/>
          <w:szCs w:val="24"/>
          <w:highlight w:val="none"/>
        </w:rPr>
        <w:t>⑸</w:t>
      </w:r>
      <w:r>
        <w:rPr>
          <w:rFonts w:ascii="Times New Roman" w:hAnsi="宋体"/>
          <w:color w:val="auto"/>
          <w:kern w:val="0"/>
          <w:sz w:val="24"/>
          <w:szCs w:val="24"/>
          <w:highlight w:val="none"/>
        </w:rPr>
        <w:t>施工现场其他场地清理工作已全部完成。</w:t>
      </w:r>
    </w:p>
    <w:p w14:paraId="31647506">
      <w:pPr>
        <w:spacing w:line="360" w:lineRule="auto"/>
        <w:ind w:firstLine="480" w:firstLineChars="200"/>
        <w:rPr>
          <w:rFonts w:ascii="Times New Roman" w:hAnsi="Times New Roman"/>
          <w:color w:val="auto"/>
          <w:kern w:val="0"/>
          <w:sz w:val="24"/>
          <w:szCs w:val="24"/>
          <w:highlight w:val="none"/>
        </w:rPr>
      </w:pPr>
      <w:r>
        <w:rPr>
          <w:rFonts w:ascii="Times New Roman" w:hAnsi="宋体"/>
          <w:color w:val="auto"/>
          <w:kern w:val="0"/>
          <w:sz w:val="24"/>
          <w:szCs w:val="24"/>
          <w:highlight w:val="none"/>
        </w:rPr>
        <w:t>施工现场的竣工退场费用由承包人承担。承包人应在专用合同条款约定的期限内完成竣工退场，逾期未完成的，发包人有权处理承包人遗留的物品，由此支出的费用由承包人承担。</w:t>
      </w:r>
    </w:p>
    <w:p w14:paraId="7CCBF913">
      <w:pPr>
        <w:spacing w:line="360" w:lineRule="auto"/>
        <w:ind w:firstLine="480" w:firstLineChars="200"/>
        <w:rPr>
          <w:rFonts w:ascii="Times New Roman" w:hAnsi="Times New Roman"/>
          <w:color w:val="auto"/>
          <w:kern w:val="0"/>
          <w:sz w:val="24"/>
          <w:szCs w:val="24"/>
          <w:highlight w:val="none"/>
        </w:rPr>
      </w:pPr>
      <w:r>
        <w:rPr>
          <w:rFonts w:ascii="Times New Roman" w:hAnsi="Times New Roman"/>
          <w:color w:val="auto"/>
          <w:kern w:val="0"/>
          <w:sz w:val="24"/>
          <w:szCs w:val="24"/>
          <w:highlight w:val="none"/>
        </w:rPr>
        <w:t>1</w:t>
      </w:r>
      <w:r>
        <w:rPr>
          <w:rFonts w:hint="eastAsia" w:ascii="Times New Roman" w:hAnsi="Times New Roman"/>
          <w:color w:val="auto"/>
          <w:kern w:val="0"/>
          <w:sz w:val="24"/>
          <w:szCs w:val="24"/>
          <w:highlight w:val="none"/>
        </w:rPr>
        <w:t>1.3</w:t>
      </w:r>
      <w:r>
        <w:rPr>
          <w:rFonts w:ascii="Times New Roman" w:hAnsi="Times New Roman"/>
          <w:color w:val="auto"/>
          <w:kern w:val="0"/>
          <w:sz w:val="24"/>
          <w:szCs w:val="24"/>
          <w:highlight w:val="none"/>
        </w:rPr>
        <w:t xml:space="preserve">.2 </w:t>
      </w:r>
      <w:r>
        <w:rPr>
          <w:rFonts w:ascii="Times New Roman" w:hAnsi="宋体"/>
          <w:color w:val="auto"/>
          <w:kern w:val="0"/>
          <w:sz w:val="24"/>
          <w:szCs w:val="24"/>
          <w:highlight w:val="none"/>
        </w:rPr>
        <w:t>地表还原</w:t>
      </w:r>
    </w:p>
    <w:p w14:paraId="2580FF1A">
      <w:pPr>
        <w:spacing w:line="360" w:lineRule="auto"/>
        <w:ind w:firstLine="480" w:firstLineChars="200"/>
        <w:rPr>
          <w:rFonts w:hint="eastAsia"/>
          <w:b/>
          <w:color w:val="auto"/>
          <w:sz w:val="24"/>
          <w:szCs w:val="24"/>
          <w:highlight w:val="none"/>
        </w:rPr>
      </w:pPr>
      <w:r>
        <w:rPr>
          <w:color w:val="auto"/>
          <w:kern w:val="0"/>
          <w:sz w:val="24"/>
          <w:szCs w:val="24"/>
          <w:highlight w:val="none"/>
        </w:rPr>
        <w:t>承包人应按发包人要求恢复临时占地及清理场地，承包人未按发包人的要求恢复临时占地，或者场地清理未达到合同约定要求的，发包人有权委托其他人恢复或清理，所发生的费用由承包人承担。</w:t>
      </w:r>
      <w:bookmarkStart w:id="633" w:name="_Toc351203593"/>
      <w:bookmarkStart w:id="634" w:name="_Toc337558810"/>
      <w:bookmarkStart w:id="635" w:name="_Toc296346614"/>
      <w:bookmarkStart w:id="636" w:name="_Toc296503113"/>
    </w:p>
    <w:p w14:paraId="1A20AE56">
      <w:pPr>
        <w:pStyle w:val="230"/>
        <w:spacing w:beforeLines="100" w:line="360" w:lineRule="auto"/>
        <w:rPr>
          <w:color w:val="auto"/>
          <w:sz w:val="24"/>
          <w:szCs w:val="24"/>
          <w:highlight w:val="none"/>
        </w:rPr>
      </w:pPr>
      <w:r>
        <w:rPr>
          <w:b/>
          <w:color w:val="auto"/>
          <w:sz w:val="24"/>
          <w:szCs w:val="24"/>
          <w:highlight w:val="none"/>
        </w:rPr>
        <w:t>1</w:t>
      </w:r>
      <w:r>
        <w:rPr>
          <w:rFonts w:hint="eastAsia"/>
          <w:b/>
          <w:color w:val="auto"/>
          <w:sz w:val="24"/>
          <w:szCs w:val="24"/>
          <w:highlight w:val="none"/>
        </w:rPr>
        <w:t>2</w:t>
      </w:r>
      <w:r>
        <w:rPr>
          <w:b/>
          <w:color w:val="auto"/>
          <w:sz w:val="24"/>
          <w:szCs w:val="24"/>
          <w:highlight w:val="none"/>
        </w:rPr>
        <w:t xml:space="preserve">. </w:t>
      </w:r>
      <w:r>
        <w:rPr>
          <w:rFonts w:hAnsi="宋体"/>
          <w:b/>
          <w:color w:val="auto"/>
          <w:sz w:val="24"/>
          <w:szCs w:val="24"/>
          <w:highlight w:val="none"/>
        </w:rPr>
        <w:t>竣工结算</w:t>
      </w:r>
      <w:bookmarkEnd w:id="633"/>
    </w:p>
    <w:p w14:paraId="2E296298">
      <w:pPr>
        <w:pStyle w:val="230"/>
        <w:spacing w:line="360" w:lineRule="auto"/>
        <w:ind w:firstLine="236" w:firstLineChars="98"/>
        <w:rPr>
          <w:rFonts w:hint="eastAsia" w:hAnsi="宋体"/>
          <w:b/>
          <w:color w:val="auto"/>
          <w:sz w:val="24"/>
          <w:szCs w:val="24"/>
          <w:highlight w:val="none"/>
        </w:rPr>
      </w:pPr>
      <w:r>
        <w:rPr>
          <w:b/>
          <w:color w:val="auto"/>
          <w:sz w:val="24"/>
          <w:szCs w:val="24"/>
          <w:highlight w:val="none"/>
        </w:rPr>
        <w:t>1</w:t>
      </w:r>
      <w:r>
        <w:rPr>
          <w:rFonts w:hint="eastAsia"/>
          <w:b/>
          <w:color w:val="auto"/>
          <w:sz w:val="24"/>
          <w:szCs w:val="24"/>
          <w:highlight w:val="none"/>
        </w:rPr>
        <w:t>2</w:t>
      </w:r>
      <w:r>
        <w:rPr>
          <w:b/>
          <w:color w:val="auto"/>
          <w:sz w:val="24"/>
          <w:szCs w:val="24"/>
          <w:highlight w:val="none"/>
        </w:rPr>
        <w:t>.1</w:t>
      </w:r>
      <w:r>
        <w:rPr>
          <w:rFonts w:hAnsi="宋体"/>
          <w:b/>
          <w:color w:val="auto"/>
          <w:sz w:val="24"/>
          <w:szCs w:val="24"/>
          <w:highlight w:val="none"/>
        </w:rPr>
        <w:t>竣工结算书提交期限</w:t>
      </w:r>
    </w:p>
    <w:tbl>
      <w:tblPr>
        <w:tblStyle w:val="4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2976"/>
        <w:gridCol w:w="4445"/>
      </w:tblGrid>
      <w:tr w14:paraId="6820F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3" w:type="dxa"/>
            <w:noWrap w:val="0"/>
            <w:vAlign w:val="center"/>
          </w:tcPr>
          <w:p w14:paraId="3957419B">
            <w:pPr>
              <w:pStyle w:val="230"/>
              <w:spacing w:line="360" w:lineRule="auto"/>
              <w:rPr>
                <w:color w:val="auto"/>
                <w:sz w:val="24"/>
                <w:szCs w:val="24"/>
                <w:highlight w:val="none"/>
              </w:rPr>
            </w:pPr>
          </w:p>
        </w:tc>
        <w:tc>
          <w:tcPr>
            <w:tcW w:w="2976" w:type="dxa"/>
            <w:noWrap w:val="0"/>
            <w:vAlign w:val="center"/>
          </w:tcPr>
          <w:p w14:paraId="013E15D4">
            <w:pPr>
              <w:pStyle w:val="230"/>
              <w:spacing w:line="360" w:lineRule="auto"/>
              <w:rPr>
                <w:color w:val="auto"/>
                <w:sz w:val="24"/>
                <w:szCs w:val="24"/>
                <w:highlight w:val="none"/>
              </w:rPr>
            </w:pPr>
            <w:r>
              <w:rPr>
                <w:rFonts w:hAnsi="宋体"/>
                <w:color w:val="auto"/>
                <w:sz w:val="24"/>
                <w:szCs w:val="24"/>
                <w:highlight w:val="none"/>
              </w:rPr>
              <w:t>工程竣工结算报告金额</w:t>
            </w:r>
          </w:p>
        </w:tc>
        <w:tc>
          <w:tcPr>
            <w:tcW w:w="4445" w:type="dxa"/>
            <w:noWrap w:val="0"/>
            <w:vAlign w:val="center"/>
          </w:tcPr>
          <w:p w14:paraId="07020427">
            <w:pPr>
              <w:pStyle w:val="230"/>
              <w:spacing w:line="360" w:lineRule="auto"/>
              <w:rPr>
                <w:color w:val="auto"/>
                <w:sz w:val="24"/>
                <w:szCs w:val="24"/>
                <w:highlight w:val="none"/>
              </w:rPr>
            </w:pPr>
            <w:r>
              <w:rPr>
                <w:rFonts w:hAnsi="宋体"/>
                <w:color w:val="auto"/>
                <w:sz w:val="24"/>
                <w:szCs w:val="24"/>
                <w:highlight w:val="none"/>
              </w:rPr>
              <w:t>承包人提交时间</w:t>
            </w:r>
          </w:p>
        </w:tc>
      </w:tr>
      <w:tr w14:paraId="668B3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noWrap w:val="0"/>
            <w:vAlign w:val="center"/>
          </w:tcPr>
          <w:p w14:paraId="3B4E5931">
            <w:pPr>
              <w:pStyle w:val="230"/>
              <w:spacing w:line="360" w:lineRule="auto"/>
              <w:rPr>
                <w:color w:val="auto"/>
                <w:sz w:val="24"/>
                <w:szCs w:val="24"/>
                <w:highlight w:val="none"/>
              </w:rPr>
            </w:pPr>
            <w:r>
              <w:rPr>
                <w:color w:val="auto"/>
                <w:sz w:val="24"/>
                <w:szCs w:val="24"/>
                <w:highlight w:val="none"/>
              </w:rPr>
              <w:t>1</w:t>
            </w:r>
          </w:p>
        </w:tc>
        <w:tc>
          <w:tcPr>
            <w:tcW w:w="2976" w:type="dxa"/>
            <w:noWrap w:val="0"/>
            <w:vAlign w:val="center"/>
          </w:tcPr>
          <w:p w14:paraId="4CCB125E">
            <w:pPr>
              <w:pStyle w:val="230"/>
              <w:spacing w:line="360" w:lineRule="auto"/>
              <w:rPr>
                <w:color w:val="auto"/>
                <w:sz w:val="24"/>
                <w:szCs w:val="24"/>
                <w:highlight w:val="none"/>
              </w:rPr>
            </w:pPr>
            <w:r>
              <w:rPr>
                <w:color w:val="auto"/>
                <w:sz w:val="24"/>
                <w:szCs w:val="24"/>
                <w:highlight w:val="none"/>
              </w:rPr>
              <w:t>500</w:t>
            </w:r>
            <w:r>
              <w:rPr>
                <w:rFonts w:hAnsi="宋体"/>
                <w:color w:val="auto"/>
                <w:sz w:val="24"/>
                <w:szCs w:val="24"/>
                <w:highlight w:val="none"/>
              </w:rPr>
              <w:t>万元以下</w:t>
            </w:r>
          </w:p>
        </w:tc>
        <w:tc>
          <w:tcPr>
            <w:tcW w:w="4445" w:type="dxa"/>
            <w:noWrap w:val="0"/>
            <w:vAlign w:val="center"/>
          </w:tcPr>
          <w:p w14:paraId="18F687D4">
            <w:pPr>
              <w:pStyle w:val="230"/>
              <w:spacing w:line="360" w:lineRule="auto"/>
              <w:rPr>
                <w:color w:val="auto"/>
                <w:sz w:val="24"/>
                <w:szCs w:val="24"/>
                <w:highlight w:val="none"/>
              </w:rPr>
            </w:pPr>
            <w:r>
              <w:rPr>
                <w:rFonts w:hAnsi="宋体"/>
                <w:color w:val="auto"/>
                <w:sz w:val="24"/>
                <w:szCs w:val="24"/>
                <w:highlight w:val="none"/>
              </w:rPr>
              <w:t>从接到竣工验收报告书之日起</w:t>
            </w:r>
            <w:r>
              <w:rPr>
                <w:color w:val="auto"/>
                <w:sz w:val="24"/>
                <w:szCs w:val="24"/>
                <w:highlight w:val="none"/>
              </w:rPr>
              <w:t>30</w:t>
            </w:r>
            <w:r>
              <w:rPr>
                <w:rFonts w:hAnsi="宋体"/>
                <w:color w:val="auto"/>
                <w:sz w:val="24"/>
                <w:szCs w:val="24"/>
                <w:highlight w:val="none"/>
              </w:rPr>
              <w:t>天</w:t>
            </w:r>
          </w:p>
        </w:tc>
      </w:tr>
      <w:tr w14:paraId="17413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noWrap w:val="0"/>
            <w:vAlign w:val="center"/>
          </w:tcPr>
          <w:p w14:paraId="77BDCF7A">
            <w:pPr>
              <w:pStyle w:val="230"/>
              <w:spacing w:line="360" w:lineRule="auto"/>
              <w:rPr>
                <w:color w:val="auto"/>
                <w:sz w:val="24"/>
                <w:szCs w:val="24"/>
                <w:highlight w:val="none"/>
              </w:rPr>
            </w:pPr>
            <w:r>
              <w:rPr>
                <w:color w:val="auto"/>
                <w:sz w:val="24"/>
                <w:szCs w:val="24"/>
                <w:highlight w:val="none"/>
              </w:rPr>
              <w:t>2</w:t>
            </w:r>
          </w:p>
        </w:tc>
        <w:tc>
          <w:tcPr>
            <w:tcW w:w="2976" w:type="dxa"/>
            <w:noWrap w:val="0"/>
            <w:vAlign w:val="center"/>
          </w:tcPr>
          <w:p w14:paraId="657F6CD6">
            <w:pPr>
              <w:pStyle w:val="230"/>
              <w:spacing w:line="360" w:lineRule="auto"/>
              <w:rPr>
                <w:color w:val="auto"/>
                <w:sz w:val="24"/>
                <w:szCs w:val="24"/>
                <w:highlight w:val="none"/>
              </w:rPr>
            </w:pPr>
            <w:r>
              <w:rPr>
                <w:color w:val="auto"/>
                <w:sz w:val="24"/>
                <w:szCs w:val="24"/>
                <w:highlight w:val="none"/>
              </w:rPr>
              <w:t>500</w:t>
            </w:r>
            <w:r>
              <w:rPr>
                <w:rFonts w:hAnsi="宋体"/>
                <w:color w:val="auto"/>
                <w:sz w:val="24"/>
                <w:szCs w:val="24"/>
                <w:highlight w:val="none"/>
              </w:rPr>
              <w:t>万元</w:t>
            </w:r>
            <w:r>
              <w:rPr>
                <w:color w:val="auto"/>
                <w:sz w:val="24"/>
                <w:szCs w:val="24"/>
                <w:highlight w:val="none"/>
              </w:rPr>
              <w:t>-2000</w:t>
            </w:r>
            <w:r>
              <w:rPr>
                <w:rFonts w:hAnsi="宋体"/>
                <w:color w:val="auto"/>
                <w:sz w:val="24"/>
                <w:szCs w:val="24"/>
                <w:highlight w:val="none"/>
              </w:rPr>
              <w:t>万元</w:t>
            </w:r>
          </w:p>
        </w:tc>
        <w:tc>
          <w:tcPr>
            <w:tcW w:w="4445" w:type="dxa"/>
            <w:noWrap w:val="0"/>
            <w:vAlign w:val="center"/>
          </w:tcPr>
          <w:p w14:paraId="101E96F3">
            <w:pPr>
              <w:pStyle w:val="230"/>
              <w:spacing w:line="360" w:lineRule="auto"/>
              <w:rPr>
                <w:color w:val="auto"/>
                <w:sz w:val="24"/>
                <w:szCs w:val="24"/>
                <w:highlight w:val="none"/>
              </w:rPr>
            </w:pPr>
            <w:r>
              <w:rPr>
                <w:rFonts w:hAnsi="宋体"/>
                <w:color w:val="auto"/>
                <w:sz w:val="24"/>
                <w:szCs w:val="24"/>
                <w:highlight w:val="none"/>
              </w:rPr>
              <w:t>从接到竣工验收报告书之日起</w:t>
            </w:r>
            <w:r>
              <w:rPr>
                <w:color w:val="auto"/>
                <w:sz w:val="24"/>
                <w:szCs w:val="24"/>
                <w:highlight w:val="none"/>
              </w:rPr>
              <w:t>45</w:t>
            </w:r>
            <w:r>
              <w:rPr>
                <w:rFonts w:hAnsi="宋体"/>
                <w:color w:val="auto"/>
                <w:sz w:val="24"/>
                <w:szCs w:val="24"/>
                <w:highlight w:val="none"/>
              </w:rPr>
              <w:t>天</w:t>
            </w:r>
          </w:p>
        </w:tc>
      </w:tr>
      <w:tr w14:paraId="23E87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noWrap w:val="0"/>
            <w:vAlign w:val="center"/>
          </w:tcPr>
          <w:p w14:paraId="0BDE387D">
            <w:pPr>
              <w:pStyle w:val="230"/>
              <w:spacing w:line="360" w:lineRule="auto"/>
              <w:rPr>
                <w:color w:val="auto"/>
                <w:sz w:val="24"/>
                <w:szCs w:val="24"/>
                <w:highlight w:val="none"/>
              </w:rPr>
            </w:pPr>
            <w:r>
              <w:rPr>
                <w:color w:val="auto"/>
                <w:sz w:val="24"/>
                <w:szCs w:val="24"/>
                <w:highlight w:val="none"/>
              </w:rPr>
              <w:t>3</w:t>
            </w:r>
          </w:p>
        </w:tc>
        <w:tc>
          <w:tcPr>
            <w:tcW w:w="2976" w:type="dxa"/>
            <w:noWrap w:val="0"/>
            <w:vAlign w:val="center"/>
          </w:tcPr>
          <w:p w14:paraId="746B285B">
            <w:pPr>
              <w:pStyle w:val="230"/>
              <w:spacing w:line="360" w:lineRule="auto"/>
              <w:rPr>
                <w:color w:val="auto"/>
                <w:sz w:val="24"/>
                <w:szCs w:val="24"/>
                <w:highlight w:val="none"/>
              </w:rPr>
            </w:pPr>
            <w:r>
              <w:rPr>
                <w:color w:val="auto"/>
                <w:sz w:val="24"/>
                <w:szCs w:val="24"/>
                <w:highlight w:val="none"/>
              </w:rPr>
              <w:t>2000</w:t>
            </w:r>
            <w:r>
              <w:rPr>
                <w:rFonts w:hAnsi="宋体"/>
                <w:color w:val="auto"/>
                <w:sz w:val="24"/>
                <w:szCs w:val="24"/>
                <w:highlight w:val="none"/>
              </w:rPr>
              <w:t>万元</w:t>
            </w:r>
            <w:r>
              <w:rPr>
                <w:color w:val="auto"/>
                <w:sz w:val="24"/>
                <w:szCs w:val="24"/>
                <w:highlight w:val="none"/>
              </w:rPr>
              <w:t>-5000</w:t>
            </w:r>
            <w:r>
              <w:rPr>
                <w:rFonts w:hAnsi="宋体"/>
                <w:color w:val="auto"/>
                <w:sz w:val="24"/>
                <w:szCs w:val="24"/>
                <w:highlight w:val="none"/>
              </w:rPr>
              <w:t>万元</w:t>
            </w:r>
          </w:p>
        </w:tc>
        <w:tc>
          <w:tcPr>
            <w:tcW w:w="4445" w:type="dxa"/>
            <w:noWrap w:val="0"/>
            <w:vAlign w:val="center"/>
          </w:tcPr>
          <w:p w14:paraId="4A666D7C">
            <w:pPr>
              <w:pStyle w:val="230"/>
              <w:spacing w:line="360" w:lineRule="auto"/>
              <w:rPr>
                <w:color w:val="auto"/>
                <w:sz w:val="24"/>
                <w:szCs w:val="24"/>
                <w:highlight w:val="none"/>
              </w:rPr>
            </w:pPr>
            <w:r>
              <w:rPr>
                <w:rFonts w:hAnsi="宋体"/>
                <w:color w:val="auto"/>
                <w:sz w:val="24"/>
                <w:szCs w:val="24"/>
                <w:highlight w:val="none"/>
              </w:rPr>
              <w:t>从接到竣工验收报告书之日起</w:t>
            </w:r>
            <w:r>
              <w:rPr>
                <w:color w:val="auto"/>
                <w:sz w:val="24"/>
                <w:szCs w:val="24"/>
                <w:highlight w:val="none"/>
              </w:rPr>
              <w:t>60</w:t>
            </w:r>
            <w:r>
              <w:rPr>
                <w:rFonts w:hAnsi="宋体"/>
                <w:color w:val="auto"/>
                <w:sz w:val="24"/>
                <w:szCs w:val="24"/>
                <w:highlight w:val="none"/>
              </w:rPr>
              <w:t>天</w:t>
            </w:r>
          </w:p>
        </w:tc>
      </w:tr>
      <w:tr w14:paraId="3E9B1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noWrap w:val="0"/>
            <w:vAlign w:val="center"/>
          </w:tcPr>
          <w:p w14:paraId="57FE8C2A">
            <w:pPr>
              <w:pStyle w:val="230"/>
              <w:spacing w:line="360" w:lineRule="auto"/>
              <w:rPr>
                <w:color w:val="auto"/>
                <w:sz w:val="24"/>
                <w:szCs w:val="24"/>
                <w:highlight w:val="none"/>
              </w:rPr>
            </w:pPr>
            <w:r>
              <w:rPr>
                <w:color w:val="auto"/>
                <w:sz w:val="24"/>
                <w:szCs w:val="24"/>
                <w:highlight w:val="none"/>
              </w:rPr>
              <w:t>4</w:t>
            </w:r>
          </w:p>
        </w:tc>
        <w:tc>
          <w:tcPr>
            <w:tcW w:w="2976" w:type="dxa"/>
            <w:noWrap w:val="0"/>
            <w:vAlign w:val="center"/>
          </w:tcPr>
          <w:p w14:paraId="03AC016C">
            <w:pPr>
              <w:pStyle w:val="230"/>
              <w:spacing w:line="360" w:lineRule="auto"/>
              <w:rPr>
                <w:color w:val="auto"/>
                <w:sz w:val="24"/>
                <w:szCs w:val="24"/>
                <w:highlight w:val="none"/>
              </w:rPr>
            </w:pPr>
            <w:r>
              <w:rPr>
                <w:color w:val="auto"/>
                <w:sz w:val="24"/>
                <w:szCs w:val="24"/>
                <w:highlight w:val="none"/>
              </w:rPr>
              <w:t>5000</w:t>
            </w:r>
            <w:r>
              <w:rPr>
                <w:rFonts w:hAnsi="宋体"/>
                <w:color w:val="auto"/>
                <w:sz w:val="24"/>
                <w:szCs w:val="24"/>
                <w:highlight w:val="none"/>
              </w:rPr>
              <w:t>万元以上</w:t>
            </w:r>
          </w:p>
        </w:tc>
        <w:tc>
          <w:tcPr>
            <w:tcW w:w="4445" w:type="dxa"/>
            <w:noWrap w:val="0"/>
            <w:vAlign w:val="center"/>
          </w:tcPr>
          <w:p w14:paraId="064E1762">
            <w:pPr>
              <w:pStyle w:val="230"/>
              <w:spacing w:line="360" w:lineRule="auto"/>
              <w:rPr>
                <w:color w:val="auto"/>
                <w:sz w:val="24"/>
                <w:szCs w:val="24"/>
                <w:highlight w:val="none"/>
              </w:rPr>
            </w:pPr>
            <w:r>
              <w:rPr>
                <w:rFonts w:hAnsi="宋体"/>
                <w:color w:val="auto"/>
                <w:sz w:val="24"/>
                <w:szCs w:val="24"/>
                <w:highlight w:val="none"/>
              </w:rPr>
              <w:t>从接到竣工验收报告书之日起</w:t>
            </w:r>
            <w:r>
              <w:rPr>
                <w:color w:val="auto"/>
                <w:sz w:val="24"/>
                <w:szCs w:val="24"/>
                <w:highlight w:val="none"/>
              </w:rPr>
              <w:t>75</w:t>
            </w:r>
            <w:r>
              <w:rPr>
                <w:rFonts w:hAnsi="宋体"/>
                <w:color w:val="auto"/>
                <w:sz w:val="24"/>
                <w:szCs w:val="24"/>
                <w:highlight w:val="none"/>
              </w:rPr>
              <w:t>天</w:t>
            </w:r>
          </w:p>
        </w:tc>
      </w:tr>
    </w:tbl>
    <w:p w14:paraId="0AE4858B">
      <w:pPr>
        <w:pStyle w:val="230"/>
        <w:spacing w:line="360" w:lineRule="auto"/>
        <w:ind w:firstLine="480" w:firstLineChars="200"/>
        <w:rPr>
          <w:color w:val="auto"/>
          <w:sz w:val="24"/>
          <w:szCs w:val="24"/>
          <w:highlight w:val="none"/>
        </w:rPr>
      </w:pPr>
      <w:r>
        <w:rPr>
          <w:rFonts w:hAnsi="宋体"/>
          <w:color w:val="auto"/>
          <w:sz w:val="24"/>
          <w:szCs w:val="24"/>
          <w:highlight w:val="none"/>
        </w:rPr>
        <w:t>如不按以上时间递交结算书，逾期按每日处以结算价的千分之一作为罚款。</w:t>
      </w:r>
      <w:r>
        <w:rPr>
          <w:rFonts w:hint="eastAsia" w:hAnsi="宋体"/>
          <w:color w:val="auto"/>
          <w:sz w:val="24"/>
          <w:szCs w:val="24"/>
          <w:highlight w:val="none"/>
        </w:rPr>
        <w:t>逾期达7天的，发包人有权以发包人自行审定的结算金额作为双方最终结算金额。</w:t>
      </w:r>
    </w:p>
    <w:p w14:paraId="35E3A7DB">
      <w:pPr>
        <w:pStyle w:val="230"/>
        <w:spacing w:line="360" w:lineRule="auto"/>
        <w:ind w:firstLine="236" w:firstLineChars="98"/>
        <w:rPr>
          <w:b/>
          <w:color w:val="auto"/>
          <w:sz w:val="24"/>
          <w:szCs w:val="24"/>
          <w:highlight w:val="none"/>
        </w:rPr>
      </w:pPr>
      <w:r>
        <w:rPr>
          <w:b/>
          <w:color w:val="auto"/>
          <w:sz w:val="24"/>
          <w:szCs w:val="24"/>
          <w:highlight w:val="none"/>
        </w:rPr>
        <w:t>1</w:t>
      </w:r>
      <w:r>
        <w:rPr>
          <w:rFonts w:hint="eastAsia"/>
          <w:b/>
          <w:color w:val="auto"/>
          <w:sz w:val="24"/>
          <w:szCs w:val="24"/>
          <w:highlight w:val="none"/>
        </w:rPr>
        <w:t>2</w:t>
      </w:r>
      <w:r>
        <w:rPr>
          <w:b/>
          <w:color w:val="auto"/>
          <w:sz w:val="24"/>
          <w:szCs w:val="24"/>
          <w:highlight w:val="none"/>
        </w:rPr>
        <w:t>.2</w:t>
      </w:r>
      <w:r>
        <w:rPr>
          <w:rFonts w:hAnsi="宋体"/>
          <w:b/>
          <w:color w:val="auto"/>
          <w:sz w:val="24"/>
          <w:szCs w:val="24"/>
          <w:highlight w:val="none"/>
        </w:rPr>
        <w:t>竣工付款申请</w:t>
      </w:r>
    </w:p>
    <w:p w14:paraId="1FA1F302">
      <w:pPr>
        <w:pStyle w:val="230"/>
        <w:spacing w:line="360" w:lineRule="auto"/>
        <w:ind w:firstLine="480" w:firstLineChars="200"/>
        <w:rPr>
          <w:color w:val="auto"/>
          <w:sz w:val="24"/>
          <w:szCs w:val="24"/>
          <w:highlight w:val="none"/>
        </w:rPr>
      </w:pPr>
      <w:r>
        <w:rPr>
          <w:rFonts w:hAnsi="宋体"/>
          <w:color w:val="auto"/>
          <w:sz w:val="24"/>
          <w:szCs w:val="24"/>
          <w:highlight w:val="none"/>
        </w:rPr>
        <w:t>承包人提交竣工付款申请单的期限：</w:t>
      </w:r>
      <w:r>
        <w:rPr>
          <w:rFonts w:hAnsi="宋体"/>
          <w:color w:val="auto"/>
          <w:sz w:val="24"/>
          <w:szCs w:val="24"/>
          <w:highlight w:val="none"/>
          <w:u w:val="single"/>
        </w:rPr>
        <w:t>工程竣工验收合格</w:t>
      </w:r>
      <w:r>
        <w:rPr>
          <w:rFonts w:hint="eastAsia" w:hAnsi="宋体"/>
          <w:color w:val="auto"/>
          <w:sz w:val="24"/>
          <w:szCs w:val="24"/>
          <w:highlight w:val="none"/>
          <w:u w:val="single"/>
        </w:rPr>
        <w:t>且完成竣工结算</w:t>
      </w:r>
      <w:r>
        <w:rPr>
          <w:rFonts w:hAnsi="宋体"/>
          <w:color w:val="auto"/>
          <w:sz w:val="24"/>
          <w:szCs w:val="24"/>
          <w:highlight w:val="none"/>
          <w:u w:val="single"/>
        </w:rPr>
        <w:t>后</w:t>
      </w:r>
      <w:r>
        <w:rPr>
          <w:color w:val="auto"/>
          <w:sz w:val="24"/>
          <w:szCs w:val="24"/>
          <w:highlight w:val="none"/>
          <w:u w:val="single"/>
        </w:rPr>
        <w:t>28</w:t>
      </w:r>
      <w:r>
        <w:rPr>
          <w:rFonts w:hAnsi="宋体"/>
          <w:color w:val="auto"/>
          <w:sz w:val="24"/>
          <w:szCs w:val="24"/>
          <w:highlight w:val="none"/>
          <w:u w:val="single"/>
        </w:rPr>
        <w:t>天内</w:t>
      </w:r>
      <w:r>
        <w:rPr>
          <w:rFonts w:hAnsi="宋体"/>
          <w:color w:val="auto"/>
          <w:sz w:val="24"/>
          <w:szCs w:val="24"/>
          <w:highlight w:val="none"/>
        </w:rPr>
        <w:t>。</w:t>
      </w:r>
    </w:p>
    <w:p w14:paraId="646230B6">
      <w:pPr>
        <w:autoSpaceDE w:val="0"/>
        <w:autoSpaceDN w:val="0"/>
        <w:adjustRightInd w:val="0"/>
        <w:spacing w:line="360" w:lineRule="auto"/>
        <w:ind w:firstLine="480" w:firstLineChars="200"/>
        <w:rPr>
          <w:rFonts w:ascii="Times New Roman" w:hAnsi="Times New Roman"/>
          <w:color w:val="auto"/>
          <w:sz w:val="24"/>
          <w:szCs w:val="24"/>
          <w:highlight w:val="none"/>
        </w:rPr>
      </w:pPr>
      <w:r>
        <w:rPr>
          <w:rFonts w:hAnsi="宋体"/>
          <w:color w:val="auto"/>
          <w:sz w:val="24"/>
          <w:szCs w:val="24"/>
          <w:highlight w:val="none"/>
        </w:rPr>
        <w:t>竣工付款申请单应包括的内容：</w:t>
      </w:r>
    </w:p>
    <w:p w14:paraId="1986AD62">
      <w:pPr>
        <w:autoSpaceDE w:val="0"/>
        <w:autoSpaceDN w:val="0"/>
        <w:adjustRightInd w:val="0"/>
        <w:spacing w:line="360" w:lineRule="auto"/>
        <w:ind w:firstLine="480" w:firstLineChars="200"/>
        <w:rPr>
          <w:rFonts w:ascii="Times New Roman" w:hAnsi="Times New Roman"/>
          <w:color w:val="auto"/>
          <w:sz w:val="24"/>
          <w:szCs w:val="24"/>
          <w:highlight w:val="none"/>
        </w:rPr>
      </w:pPr>
      <w:r>
        <w:rPr>
          <w:rFonts w:ascii="Times New Roman" w:hAnsi="宋体"/>
          <w:color w:val="auto"/>
          <w:sz w:val="24"/>
          <w:szCs w:val="24"/>
          <w:highlight w:val="none"/>
        </w:rPr>
        <w:t>⑴竣工结算合同价格；</w:t>
      </w:r>
    </w:p>
    <w:p w14:paraId="38DE64FE">
      <w:pPr>
        <w:autoSpaceDE w:val="0"/>
        <w:autoSpaceDN w:val="0"/>
        <w:adjustRightInd w:val="0"/>
        <w:spacing w:line="360" w:lineRule="auto"/>
        <w:ind w:firstLine="480" w:firstLineChars="200"/>
        <w:rPr>
          <w:rFonts w:ascii="Times New Roman" w:hAnsi="Times New Roman"/>
          <w:color w:val="auto"/>
          <w:sz w:val="24"/>
          <w:szCs w:val="24"/>
          <w:highlight w:val="none"/>
        </w:rPr>
      </w:pPr>
      <w:r>
        <w:rPr>
          <w:rFonts w:ascii="Times New Roman" w:hAnsi="宋体"/>
          <w:color w:val="auto"/>
          <w:sz w:val="24"/>
          <w:szCs w:val="24"/>
          <w:highlight w:val="none"/>
        </w:rPr>
        <w:t>⑵发包人已支付承包人的款项；</w:t>
      </w:r>
    </w:p>
    <w:p w14:paraId="357F1FB2">
      <w:pPr>
        <w:autoSpaceDE w:val="0"/>
        <w:autoSpaceDN w:val="0"/>
        <w:adjustRightInd w:val="0"/>
        <w:spacing w:line="360" w:lineRule="auto"/>
        <w:ind w:firstLine="480" w:firstLineChars="200"/>
        <w:rPr>
          <w:rFonts w:ascii="Times New Roman" w:hAnsi="Times New Roman"/>
          <w:color w:val="auto"/>
          <w:sz w:val="24"/>
          <w:szCs w:val="24"/>
          <w:highlight w:val="none"/>
        </w:rPr>
      </w:pPr>
      <w:r>
        <w:rPr>
          <w:rFonts w:ascii="Times New Roman" w:hAnsi="宋体"/>
          <w:color w:val="auto"/>
          <w:sz w:val="24"/>
          <w:szCs w:val="24"/>
          <w:highlight w:val="none"/>
        </w:rPr>
        <w:t>⑶应扣留的质量保证金。</w:t>
      </w:r>
      <w:r>
        <w:rPr>
          <w:rFonts w:ascii="Times New Roman" w:hAnsi="Times New Roman"/>
          <w:color w:val="auto"/>
          <w:sz w:val="24"/>
          <w:szCs w:val="24"/>
          <w:highlight w:val="none"/>
        </w:rPr>
        <w:t xml:space="preserve"> </w:t>
      </w:r>
    </w:p>
    <w:p w14:paraId="13829961">
      <w:pPr>
        <w:pStyle w:val="230"/>
        <w:spacing w:line="360" w:lineRule="auto"/>
        <w:ind w:firstLine="480" w:firstLineChars="200"/>
        <w:rPr>
          <w:color w:val="auto"/>
          <w:sz w:val="24"/>
          <w:szCs w:val="24"/>
          <w:highlight w:val="none"/>
        </w:rPr>
      </w:pPr>
      <w:r>
        <w:rPr>
          <w:rFonts w:hint="eastAsia" w:ascii="宋体" w:hAnsi="宋体"/>
          <w:color w:val="auto"/>
          <w:kern w:val="0"/>
          <w:sz w:val="24"/>
          <w:szCs w:val="24"/>
          <w:highlight w:val="none"/>
        </w:rPr>
        <w:t>⑷</w:t>
      </w:r>
      <w:r>
        <w:rPr>
          <w:rFonts w:hAnsi="宋体"/>
          <w:color w:val="auto"/>
          <w:sz w:val="24"/>
          <w:szCs w:val="24"/>
          <w:highlight w:val="none"/>
        </w:rPr>
        <w:t>发包人应支付承包人的合同价款。</w:t>
      </w:r>
    </w:p>
    <w:p w14:paraId="72ED6291">
      <w:pPr>
        <w:pStyle w:val="230"/>
        <w:spacing w:line="360" w:lineRule="auto"/>
        <w:ind w:firstLine="236" w:firstLineChars="98"/>
        <w:rPr>
          <w:b/>
          <w:color w:val="auto"/>
          <w:sz w:val="24"/>
          <w:szCs w:val="24"/>
          <w:highlight w:val="none"/>
        </w:rPr>
      </w:pPr>
      <w:r>
        <w:rPr>
          <w:b/>
          <w:color w:val="auto"/>
          <w:sz w:val="24"/>
          <w:szCs w:val="24"/>
          <w:highlight w:val="none"/>
        </w:rPr>
        <w:t>1</w:t>
      </w:r>
      <w:r>
        <w:rPr>
          <w:rFonts w:hint="eastAsia"/>
          <w:b/>
          <w:color w:val="auto"/>
          <w:sz w:val="24"/>
          <w:szCs w:val="24"/>
          <w:highlight w:val="none"/>
        </w:rPr>
        <w:t>2</w:t>
      </w:r>
      <w:r>
        <w:rPr>
          <w:b/>
          <w:color w:val="auto"/>
          <w:sz w:val="24"/>
          <w:szCs w:val="24"/>
          <w:highlight w:val="none"/>
        </w:rPr>
        <w:t>.3</w:t>
      </w:r>
      <w:r>
        <w:rPr>
          <w:rFonts w:hAnsi="宋体"/>
          <w:b/>
          <w:color w:val="auto"/>
          <w:sz w:val="24"/>
          <w:szCs w:val="24"/>
          <w:highlight w:val="none"/>
        </w:rPr>
        <w:t>竣工结算付款申请</w:t>
      </w:r>
    </w:p>
    <w:p w14:paraId="000941B0">
      <w:pPr>
        <w:pStyle w:val="230"/>
        <w:spacing w:line="360" w:lineRule="auto"/>
        <w:ind w:firstLine="480" w:firstLineChars="200"/>
        <w:rPr>
          <w:color w:val="auto"/>
          <w:sz w:val="24"/>
          <w:szCs w:val="24"/>
          <w:highlight w:val="none"/>
        </w:rPr>
      </w:pPr>
      <w:r>
        <w:rPr>
          <w:color w:val="auto"/>
          <w:sz w:val="24"/>
          <w:szCs w:val="24"/>
          <w:highlight w:val="none"/>
        </w:rPr>
        <w:t>1</w:t>
      </w:r>
      <w:r>
        <w:rPr>
          <w:rFonts w:hint="eastAsia"/>
          <w:color w:val="auto"/>
          <w:sz w:val="24"/>
          <w:szCs w:val="24"/>
          <w:highlight w:val="none"/>
        </w:rPr>
        <w:t>2</w:t>
      </w:r>
      <w:r>
        <w:rPr>
          <w:color w:val="auto"/>
          <w:sz w:val="24"/>
          <w:szCs w:val="24"/>
          <w:highlight w:val="none"/>
        </w:rPr>
        <w:t>.3.1</w:t>
      </w:r>
      <w:r>
        <w:rPr>
          <w:rFonts w:hAnsi="宋体"/>
          <w:color w:val="auto"/>
          <w:sz w:val="24"/>
          <w:szCs w:val="24"/>
          <w:highlight w:val="none"/>
        </w:rPr>
        <w:t>发包人审批竣工结算书的期限</w:t>
      </w:r>
    </w:p>
    <w:tbl>
      <w:tblPr>
        <w:tblStyle w:val="4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2793"/>
        <w:gridCol w:w="6090"/>
      </w:tblGrid>
      <w:tr w14:paraId="39013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567" w:type="dxa"/>
            <w:noWrap w:val="0"/>
            <w:vAlign w:val="center"/>
          </w:tcPr>
          <w:p w14:paraId="32B6F811">
            <w:pPr>
              <w:pStyle w:val="230"/>
              <w:spacing w:line="360" w:lineRule="auto"/>
              <w:rPr>
                <w:color w:val="auto"/>
                <w:sz w:val="24"/>
                <w:szCs w:val="24"/>
                <w:highlight w:val="none"/>
              </w:rPr>
            </w:pPr>
          </w:p>
        </w:tc>
        <w:tc>
          <w:tcPr>
            <w:tcW w:w="2793" w:type="dxa"/>
            <w:noWrap w:val="0"/>
            <w:vAlign w:val="center"/>
          </w:tcPr>
          <w:p w14:paraId="185C8289">
            <w:pPr>
              <w:pStyle w:val="230"/>
              <w:spacing w:line="360" w:lineRule="auto"/>
              <w:rPr>
                <w:color w:val="auto"/>
                <w:sz w:val="24"/>
                <w:szCs w:val="24"/>
                <w:highlight w:val="none"/>
              </w:rPr>
            </w:pPr>
            <w:r>
              <w:rPr>
                <w:rFonts w:hAnsi="宋体"/>
                <w:color w:val="auto"/>
                <w:sz w:val="24"/>
                <w:szCs w:val="24"/>
                <w:highlight w:val="none"/>
              </w:rPr>
              <w:t>工程竣工结算报告金额</w:t>
            </w:r>
          </w:p>
        </w:tc>
        <w:tc>
          <w:tcPr>
            <w:tcW w:w="6090" w:type="dxa"/>
            <w:noWrap w:val="0"/>
            <w:vAlign w:val="center"/>
          </w:tcPr>
          <w:p w14:paraId="1351A0CA">
            <w:pPr>
              <w:pStyle w:val="230"/>
              <w:spacing w:line="360" w:lineRule="auto"/>
              <w:rPr>
                <w:color w:val="auto"/>
                <w:sz w:val="24"/>
                <w:szCs w:val="24"/>
                <w:highlight w:val="none"/>
              </w:rPr>
            </w:pPr>
            <w:r>
              <w:rPr>
                <w:rFonts w:hAnsi="宋体"/>
                <w:color w:val="auto"/>
                <w:sz w:val="24"/>
                <w:szCs w:val="24"/>
                <w:highlight w:val="none"/>
              </w:rPr>
              <w:t>承包人提交时间</w:t>
            </w:r>
          </w:p>
        </w:tc>
      </w:tr>
      <w:tr w14:paraId="413CB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567" w:type="dxa"/>
            <w:noWrap w:val="0"/>
            <w:vAlign w:val="center"/>
          </w:tcPr>
          <w:p w14:paraId="42F4C651">
            <w:pPr>
              <w:pStyle w:val="230"/>
              <w:spacing w:line="360" w:lineRule="auto"/>
              <w:rPr>
                <w:color w:val="auto"/>
                <w:sz w:val="24"/>
                <w:szCs w:val="24"/>
                <w:highlight w:val="none"/>
              </w:rPr>
            </w:pPr>
            <w:r>
              <w:rPr>
                <w:color w:val="auto"/>
                <w:sz w:val="24"/>
                <w:szCs w:val="24"/>
                <w:highlight w:val="none"/>
              </w:rPr>
              <w:t>1</w:t>
            </w:r>
          </w:p>
        </w:tc>
        <w:tc>
          <w:tcPr>
            <w:tcW w:w="2793" w:type="dxa"/>
            <w:noWrap w:val="0"/>
            <w:vAlign w:val="center"/>
          </w:tcPr>
          <w:p w14:paraId="45E808D1">
            <w:pPr>
              <w:pStyle w:val="230"/>
              <w:spacing w:line="360" w:lineRule="auto"/>
              <w:rPr>
                <w:color w:val="auto"/>
                <w:sz w:val="24"/>
                <w:szCs w:val="24"/>
                <w:highlight w:val="none"/>
              </w:rPr>
            </w:pPr>
            <w:r>
              <w:rPr>
                <w:color w:val="auto"/>
                <w:sz w:val="24"/>
                <w:szCs w:val="24"/>
                <w:highlight w:val="none"/>
              </w:rPr>
              <w:t>500</w:t>
            </w:r>
            <w:r>
              <w:rPr>
                <w:rFonts w:hAnsi="宋体"/>
                <w:color w:val="auto"/>
                <w:sz w:val="24"/>
                <w:szCs w:val="24"/>
                <w:highlight w:val="none"/>
              </w:rPr>
              <w:t>万元以下</w:t>
            </w:r>
          </w:p>
        </w:tc>
        <w:tc>
          <w:tcPr>
            <w:tcW w:w="6090" w:type="dxa"/>
            <w:noWrap w:val="0"/>
            <w:vAlign w:val="center"/>
          </w:tcPr>
          <w:p w14:paraId="57E74D64">
            <w:pPr>
              <w:pStyle w:val="230"/>
              <w:spacing w:line="360" w:lineRule="auto"/>
              <w:rPr>
                <w:color w:val="auto"/>
                <w:sz w:val="24"/>
                <w:szCs w:val="24"/>
                <w:highlight w:val="none"/>
              </w:rPr>
            </w:pPr>
            <w:r>
              <w:rPr>
                <w:rFonts w:hAnsi="宋体"/>
                <w:color w:val="auto"/>
                <w:sz w:val="24"/>
                <w:szCs w:val="24"/>
                <w:highlight w:val="none"/>
              </w:rPr>
              <w:t>从接到竣工结算报告和完整的竣工结算资料之日起</w:t>
            </w:r>
            <w:r>
              <w:rPr>
                <w:color w:val="auto"/>
                <w:sz w:val="24"/>
                <w:szCs w:val="24"/>
                <w:highlight w:val="none"/>
              </w:rPr>
              <w:t>20</w:t>
            </w:r>
            <w:r>
              <w:rPr>
                <w:rFonts w:hAnsi="宋体"/>
                <w:color w:val="auto"/>
                <w:sz w:val="24"/>
                <w:szCs w:val="24"/>
                <w:highlight w:val="none"/>
              </w:rPr>
              <w:t>天</w:t>
            </w:r>
          </w:p>
        </w:tc>
      </w:tr>
      <w:tr w14:paraId="3CCD4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567" w:type="dxa"/>
            <w:noWrap w:val="0"/>
            <w:vAlign w:val="center"/>
          </w:tcPr>
          <w:p w14:paraId="2CDF879A">
            <w:pPr>
              <w:pStyle w:val="230"/>
              <w:spacing w:line="360" w:lineRule="auto"/>
              <w:rPr>
                <w:color w:val="auto"/>
                <w:sz w:val="24"/>
                <w:szCs w:val="24"/>
                <w:highlight w:val="none"/>
              </w:rPr>
            </w:pPr>
            <w:r>
              <w:rPr>
                <w:color w:val="auto"/>
                <w:sz w:val="24"/>
                <w:szCs w:val="24"/>
                <w:highlight w:val="none"/>
              </w:rPr>
              <w:t>2</w:t>
            </w:r>
          </w:p>
        </w:tc>
        <w:tc>
          <w:tcPr>
            <w:tcW w:w="2793" w:type="dxa"/>
            <w:noWrap w:val="0"/>
            <w:vAlign w:val="center"/>
          </w:tcPr>
          <w:p w14:paraId="7B3B2D4D">
            <w:pPr>
              <w:pStyle w:val="230"/>
              <w:spacing w:line="360" w:lineRule="auto"/>
              <w:rPr>
                <w:color w:val="auto"/>
                <w:sz w:val="24"/>
                <w:szCs w:val="24"/>
                <w:highlight w:val="none"/>
              </w:rPr>
            </w:pPr>
            <w:r>
              <w:rPr>
                <w:color w:val="auto"/>
                <w:sz w:val="24"/>
                <w:szCs w:val="24"/>
                <w:highlight w:val="none"/>
              </w:rPr>
              <w:t>500</w:t>
            </w:r>
            <w:r>
              <w:rPr>
                <w:rFonts w:hAnsi="宋体"/>
                <w:color w:val="auto"/>
                <w:sz w:val="24"/>
                <w:szCs w:val="24"/>
                <w:highlight w:val="none"/>
              </w:rPr>
              <w:t>万元</w:t>
            </w:r>
            <w:r>
              <w:rPr>
                <w:color w:val="auto"/>
                <w:sz w:val="24"/>
                <w:szCs w:val="24"/>
                <w:highlight w:val="none"/>
              </w:rPr>
              <w:t>-2000</w:t>
            </w:r>
            <w:r>
              <w:rPr>
                <w:rFonts w:hAnsi="宋体"/>
                <w:color w:val="auto"/>
                <w:sz w:val="24"/>
                <w:szCs w:val="24"/>
                <w:highlight w:val="none"/>
              </w:rPr>
              <w:t>万元</w:t>
            </w:r>
          </w:p>
        </w:tc>
        <w:tc>
          <w:tcPr>
            <w:tcW w:w="6090" w:type="dxa"/>
            <w:noWrap w:val="0"/>
            <w:vAlign w:val="top"/>
          </w:tcPr>
          <w:p w14:paraId="262911C2">
            <w:pPr>
              <w:spacing w:line="360" w:lineRule="auto"/>
              <w:rPr>
                <w:rFonts w:ascii="Times New Roman" w:hAnsi="Times New Roman"/>
                <w:color w:val="auto"/>
                <w:sz w:val="24"/>
                <w:szCs w:val="24"/>
                <w:highlight w:val="none"/>
              </w:rPr>
            </w:pPr>
            <w:r>
              <w:rPr>
                <w:rFonts w:ascii="Times New Roman" w:hAnsi="宋体"/>
                <w:color w:val="auto"/>
                <w:sz w:val="24"/>
                <w:szCs w:val="24"/>
                <w:highlight w:val="none"/>
              </w:rPr>
              <w:t>从接到竣工结算报告和完整的竣工结算资料之日起</w:t>
            </w:r>
            <w:r>
              <w:rPr>
                <w:rFonts w:ascii="Times New Roman" w:hAnsi="Times New Roman"/>
                <w:color w:val="auto"/>
                <w:sz w:val="24"/>
                <w:szCs w:val="24"/>
                <w:highlight w:val="none"/>
              </w:rPr>
              <w:t>30</w:t>
            </w:r>
            <w:r>
              <w:rPr>
                <w:rFonts w:ascii="Times New Roman" w:hAnsi="宋体"/>
                <w:color w:val="auto"/>
                <w:sz w:val="24"/>
                <w:szCs w:val="24"/>
                <w:highlight w:val="none"/>
              </w:rPr>
              <w:t>天</w:t>
            </w:r>
          </w:p>
        </w:tc>
      </w:tr>
      <w:tr w14:paraId="7B452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567" w:type="dxa"/>
            <w:noWrap w:val="0"/>
            <w:vAlign w:val="center"/>
          </w:tcPr>
          <w:p w14:paraId="309B4AA1">
            <w:pPr>
              <w:pStyle w:val="230"/>
              <w:spacing w:line="360" w:lineRule="auto"/>
              <w:rPr>
                <w:color w:val="auto"/>
                <w:sz w:val="24"/>
                <w:szCs w:val="24"/>
                <w:highlight w:val="none"/>
              </w:rPr>
            </w:pPr>
            <w:r>
              <w:rPr>
                <w:color w:val="auto"/>
                <w:sz w:val="24"/>
                <w:szCs w:val="24"/>
                <w:highlight w:val="none"/>
              </w:rPr>
              <w:t>3</w:t>
            </w:r>
          </w:p>
        </w:tc>
        <w:tc>
          <w:tcPr>
            <w:tcW w:w="2793" w:type="dxa"/>
            <w:noWrap w:val="0"/>
            <w:vAlign w:val="center"/>
          </w:tcPr>
          <w:p w14:paraId="0C5DF27C">
            <w:pPr>
              <w:pStyle w:val="230"/>
              <w:spacing w:line="360" w:lineRule="auto"/>
              <w:rPr>
                <w:color w:val="auto"/>
                <w:sz w:val="24"/>
                <w:szCs w:val="24"/>
                <w:highlight w:val="none"/>
              </w:rPr>
            </w:pPr>
            <w:r>
              <w:rPr>
                <w:color w:val="auto"/>
                <w:sz w:val="24"/>
                <w:szCs w:val="24"/>
                <w:highlight w:val="none"/>
              </w:rPr>
              <w:t>2000</w:t>
            </w:r>
            <w:r>
              <w:rPr>
                <w:rFonts w:hAnsi="宋体"/>
                <w:color w:val="auto"/>
                <w:sz w:val="24"/>
                <w:szCs w:val="24"/>
                <w:highlight w:val="none"/>
              </w:rPr>
              <w:t>万元</w:t>
            </w:r>
            <w:r>
              <w:rPr>
                <w:color w:val="auto"/>
                <w:sz w:val="24"/>
                <w:szCs w:val="24"/>
                <w:highlight w:val="none"/>
              </w:rPr>
              <w:t>-5000</w:t>
            </w:r>
            <w:r>
              <w:rPr>
                <w:rFonts w:hAnsi="宋体"/>
                <w:color w:val="auto"/>
                <w:sz w:val="24"/>
                <w:szCs w:val="24"/>
                <w:highlight w:val="none"/>
              </w:rPr>
              <w:t>万元</w:t>
            </w:r>
          </w:p>
        </w:tc>
        <w:tc>
          <w:tcPr>
            <w:tcW w:w="6090" w:type="dxa"/>
            <w:noWrap w:val="0"/>
            <w:vAlign w:val="top"/>
          </w:tcPr>
          <w:p w14:paraId="5E460E49">
            <w:pPr>
              <w:spacing w:line="360" w:lineRule="auto"/>
              <w:rPr>
                <w:rFonts w:ascii="Times New Roman" w:hAnsi="Times New Roman"/>
                <w:color w:val="auto"/>
                <w:sz w:val="24"/>
                <w:szCs w:val="24"/>
                <w:highlight w:val="none"/>
              </w:rPr>
            </w:pPr>
            <w:r>
              <w:rPr>
                <w:rFonts w:ascii="Times New Roman" w:hAnsi="宋体"/>
                <w:color w:val="auto"/>
                <w:sz w:val="24"/>
                <w:szCs w:val="24"/>
                <w:highlight w:val="none"/>
              </w:rPr>
              <w:t>从接到竣工结算报告和完整的竣工结算资料之日起</w:t>
            </w:r>
            <w:r>
              <w:rPr>
                <w:rFonts w:ascii="Times New Roman" w:hAnsi="Times New Roman"/>
                <w:color w:val="auto"/>
                <w:sz w:val="24"/>
                <w:szCs w:val="24"/>
                <w:highlight w:val="none"/>
              </w:rPr>
              <w:t>45</w:t>
            </w:r>
            <w:r>
              <w:rPr>
                <w:rFonts w:ascii="Times New Roman" w:hAnsi="宋体"/>
                <w:color w:val="auto"/>
                <w:sz w:val="24"/>
                <w:szCs w:val="24"/>
                <w:highlight w:val="none"/>
              </w:rPr>
              <w:t>天</w:t>
            </w:r>
          </w:p>
        </w:tc>
      </w:tr>
      <w:tr w14:paraId="3CC46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567" w:type="dxa"/>
            <w:noWrap w:val="0"/>
            <w:vAlign w:val="center"/>
          </w:tcPr>
          <w:p w14:paraId="1B6957DC">
            <w:pPr>
              <w:pStyle w:val="230"/>
              <w:spacing w:line="360" w:lineRule="auto"/>
              <w:rPr>
                <w:color w:val="auto"/>
                <w:sz w:val="24"/>
                <w:szCs w:val="24"/>
                <w:highlight w:val="none"/>
              </w:rPr>
            </w:pPr>
            <w:r>
              <w:rPr>
                <w:color w:val="auto"/>
                <w:sz w:val="24"/>
                <w:szCs w:val="24"/>
                <w:highlight w:val="none"/>
              </w:rPr>
              <w:t>4</w:t>
            </w:r>
          </w:p>
        </w:tc>
        <w:tc>
          <w:tcPr>
            <w:tcW w:w="2793" w:type="dxa"/>
            <w:noWrap w:val="0"/>
            <w:vAlign w:val="center"/>
          </w:tcPr>
          <w:p w14:paraId="2D75AD63">
            <w:pPr>
              <w:pStyle w:val="230"/>
              <w:spacing w:line="360" w:lineRule="auto"/>
              <w:rPr>
                <w:color w:val="auto"/>
                <w:sz w:val="24"/>
                <w:szCs w:val="24"/>
                <w:highlight w:val="none"/>
              </w:rPr>
            </w:pPr>
            <w:r>
              <w:rPr>
                <w:color w:val="auto"/>
                <w:sz w:val="24"/>
                <w:szCs w:val="24"/>
                <w:highlight w:val="none"/>
              </w:rPr>
              <w:t>5000</w:t>
            </w:r>
            <w:r>
              <w:rPr>
                <w:rFonts w:hAnsi="宋体"/>
                <w:color w:val="auto"/>
                <w:sz w:val="24"/>
                <w:szCs w:val="24"/>
                <w:highlight w:val="none"/>
              </w:rPr>
              <w:t>万元以上</w:t>
            </w:r>
          </w:p>
        </w:tc>
        <w:tc>
          <w:tcPr>
            <w:tcW w:w="6090" w:type="dxa"/>
            <w:noWrap w:val="0"/>
            <w:vAlign w:val="top"/>
          </w:tcPr>
          <w:p w14:paraId="42EA6865">
            <w:pPr>
              <w:spacing w:line="360" w:lineRule="auto"/>
              <w:rPr>
                <w:rFonts w:ascii="Times New Roman" w:hAnsi="Times New Roman"/>
                <w:color w:val="auto"/>
                <w:sz w:val="24"/>
                <w:szCs w:val="24"/>
                <w:highlight w:val="none"/>
              </w:rPr>
            </w:pPr>
            <w:r>
              <w:rPr>
                <w:rFonts w:ascii="Times New Roman" w:hAnsi="宋体"/>
                <w:color w:val="auto"/>
                <w:sz w:val="24"/>
                <w:szCs w:val="24"/>
                <w:highlight w:val="none"/>
              </w:rPr>
              <w:t>从接到竣工结算报告和完整的竣工结算资料之日起</w:t>
            </w:r>
            <w:r>
              <w:rPr>
                <w:rFonts w:ascii="Times New Roman" w:hAnsi="Times New Roman"/>
                <w:color w:val="auto"/>
                <w:sz w:val="24"/>
                <w:szCs w:val="24"/>
                <w:highlight w:val="none"/>
              </w:rPr>
              <w:t>85</w:t>
            </w:r>
            <w:r>
              <w:rPr>
                <w:rFonts w:ascii="Times New Roman" w:hAnsi="宋体"/>
                <w:color w:val="auto"/>
                <w:sz w:val="24"/>
                <w:szCs w:val="24"/>
                <w:highlight w:val="none"/>
              </w:rPr>
              <w:t>天</w:t>
            </w:r>
          </w:p>
        </w:tc>
      </w:tr>
    </w:tbl>
    <w:p w14:paraId="7312F391">
      <w:pPr>
        <w:pStyle w:val="230"/>
        <w:spacing w:line="360" w:lineRule="auto"/>
        <w:ind w:firstLine="480" w:firstLineChars="200"/>
        <w:rPr>
          <w:color w:val="auto"/>
          <w:sz w:val="24"/>
          <w:szCs w:val="24"/>
          <w:highlight w:val="none"/>
        </w:rPr>
      </w:pPr>
      <w:r>
        <w:rPr>
          <w:rFonts w:hAnsi="宋体"/>
          <w:color w:val="auto"/>
          <w:sz w:val="24"/>
          <w:szCs w:val="24"/>
          <w:highlight w:val="none"/>
        </w:rPr>
        <w:t>因承包人提供的结算资料不完整而需要补充或承包人不按时对账耽误时间时，审查时间应相应顺延。</w:t>
      </w:r>
    </w:p>
    <w:p w14:paraId="320AC3D9">
      <w:pPr>
        <w:pStyle w:val="230"/>
        <w:spacing w:line="360" w:lineRule="auto"/>
        <w:ind w:firstLine="480" w:firstLineChars="200"/>
        <w:rPr>
          <w:color w:val="auto"/>
          <w:sz w:val="24"/>
          <w:szCs w:val="24"/>
          <w:highlight w:val="none"/>
        </w:rPr>
      </w:pPr>
      <w:r>
        <w:rPr>
          <w:color w:val="auto"/>
          <w:sz w:val="24"/>
          <w:szCs w:val="24"/>
          <w:highlight w:val="none"/>
        </w:rPr>
        <w:t>12.3.2发包人完成竣工付款的期限：</w:t>
      </w:r>
      <w:r>
        <w:rPr>
          <w:rFonts w:hint="eastAsia"/>
          <w:color w:val="auto"/>
          <w:sz w:val="24"/>
          <w:szCs w:val="24"/>
          <w:highlight w:val="none"/>
          <w:u w:val="single"/>
        </w:rPr>
        <w:t>双方签订最终结算报告后30天内完成支付。</w:t>
      </w:r>
    </w:p>
    <w:p w14:paraId="2E69D812">
      <w:pPr>
        <w:spacing w:line="360" w:lineRule="auto"/>
        <w:ind w:firstLine="480" w:firstLineChars="200"/>
        <w:rPr>
          <w:rFonts w:ascii="Times New Roman" w:hAnsi="Times New Roman"/>
          <w:color w:val="auto"/>
          <w:kern w:val="0"/>
          <w:sz w:val="24"/>
          <w:szCs w:val="24"/>
          <w:highlight w:val="none"/>
        </w:rPr>
      </w:pPr>
      <w:r>
        <w:rPr>
          <w:rFonts w:ascii="Times New Roman" w:hAnsi="Times New Roman"/>
          <w:color w:val="auto"/>
          <w:sz w:val="24"/>
          <w:szCs w:val="24"/>
          <w:highlight w:val="none"/>
        </w:rPr>
        <w:t>12.3.3关于竣工付款证书异议部分达不成一致意见的，</w:t>
      </w:r>
      <w:r>
        <w:rPr>
          <w:rFonts w:ascii="Times New Roman" w:hAnsi="Times New Roman"/>
          <w:color w:val="auto"/>
          <w:kern w:val="0"/>
          <w:sz w:val="24"/>
          <w:szCs w:val="24"/>
          <w:highlight w:val="none"/>
        </w:rPr>
        <w:t>按照第18条〔争议解决〕的约定处理。</w:t>
      </w:r>
    </w:p>
    <w:p w14:paraId="1EA8CC53">
      <w:pPr>
        <w:pStyle w:val="230"/>
        <w:spacing w:line="360" w:lineRule="auto"/>
        <w:ind w:firstLine="480" w:firstLineChars="200"/>
        <w:rPr>
          <w:color w:val="auto"/>
          <w:sz w:val="24"/>
          <w:szCs w:val="24"/>
          <w:highlight w:val="none"/>
        </w:rPr>
      </w:pPr>
      <w:r>
        <w:rPr>
          <w:color w:val="auto"/>
          <w:sz w:val="24"/>
          <w:szCs w:val="24"/>
          <w:highlight w:val="none"/>
        </w:rPr>
        <w:t>12.3.4本工</w:t>
      </w:r>
      <w:r>
        <w:rPr>
          <w:rFonts w:hAnsi="宋体"/>
          <w:color w:val="auto"/>
          <w:sz w:val="24"/>
          <w:szCs w:val="24"/>
          <w:highlight w:val="none"/>
        </w:rPr>
        <w:t>程最终竣工结算达到《自治区本级财政投资评审实施办法》</w:t>
      </w:r>
      <w:r>
        <w:rPr>
          <w:rFonts w:hint="eastAsia" w:hAnsi="宋体"/>
          <w:color w:val="auto"/>
          <w:sz w:val="24"/>
          <w:szCs w:val="24"/>
          <w:highlight w:val="none"/>
        </w:rPr>
        <w:t>（</w:t>
      </w:r>
      <w:r>
        <w:rPr>
          <w:rFonts w:hAnsi="宋体"/>
          <w:color w:val="auto"/>
          <w:sz w:val="24"/>
          <w:szCs w:val="24"/>
          <w:highlight w:val="none"/>
        </w:rPr>
        <w:t>桂财办</w:t>
      </w:r>
      <w:r>
        <w:rPr>
          <w:rFonts w:hint="eastAsia" w:hAnsi="宋体"/>
          <w:color w:val="auto"/>
          <w:sz w:val="24"/>
          <w:szCs w:val="24"/>
          <w:highlight w:val="none"/>
        </w:rPr>
        <w:t>〔</w:t>
      </w:r>
      <w:r>
        <w:rPr>
          <w:color w:val="auto"/>
          <w:sz w:val="24"/>
          <w:szCs w:val="24"/>
          <w:highlight w:val="none"/>
        </w:rPr>
        <w:t>2015</w:t>
      </w:r>
      <w:r>
        <w:rPr>
          <w:rFonts w:hint="eastAsia" w:hAnsi="宋体"/>
          <w:color w:val="auto"/>
          <w:sz w:val="24"/>
          <w:szCs w:val="24"/>
          <w:highlight w:val="none"/>
        </w:rPr>
        <w:t>〕</w:t>
      </w:r>
      <w:r>
        <w:rPr>
          <w:color w:val="auto"/>
          <w:sz w:val="24"/>
          <w:szCs w:val="24"/>
          <w:highlight w:val="none"/>
        </w:rPr>
        <w:t>70</w:t>
      </w:r>
      <w:r>
        <w:rPr>
          <w:rFonts w:hAnsi="宋体"/>
          <w:color w:val="auto"/>
          <w:sz w:val="24"/>
          <w:szCs w:val="24"/>
          <w:highlight w:val="none"/>
        </w:rPr>
        <w:t>号</w:t>
      </w:r>
      <w:r>
        <w:rPr>
          <w:rFonts w:hint="eastAsia" w:hAnsi="宋体"/>
          <w:color w:val="auto"/>
          <w:sz w:val="24"/>
          <w:szCs w:val="24"/>
          <w:highlight w:val="none"/>
        </w:rPr>
        <w:t>）</w:t>
      </w:r>
      <w:r>
        <w:rPr>
          <w:rFonts w:hAnsi="宋体"/>
          <w:color w:val="auto"/>
          <w:sz w:val="24"/>
          <w:szCs w:val="24"/>
          <w:highlight w:val="none"/>
        </w:rPr>
        <w:t>规定的评审范围，需报财政部门审定。承包人所编制的工程竣工资料经发包人审核后，送到自治区财政部门之日起，承包人所遗漏的与工程造价有关的签证不再作为结算审核依据，按自动放弃处理。</w:t>
      </w:r>
    </w:p>
    <w:p w14:paraId="2BDF1328">
      <w:pPr>
        <w:pStyle w:val="230"/>
        <w:spacing w:line="360" w:lineRule="auto"/>
        <w:ind w:firstLine="480" w:firstLineChars="200"/>
        <w:rPr>
          <w:color w:val="auto"/>
          <w:sz w:val="24"/>
          <w:szCs w:val="24"/>
          <w:highlight w:val="none"/>
        </w:rPr>
      </w:pPr>
      <w:r>
        <w:rPr>
          <w:rFonts w:hAnsi="宋体"/>
          <w:color w:val="auto"/>
          <w:sz w:val="24"/>
          <w:szCs w:val="24"/>
          <w:highlight w:val="none"/>
        </w:rPr>
        <w:t>如承包人报送的工程结算总价过高，造成该结算审减率超过</w:t>
      </w:r>
      <w:r>
        <w:rPr>
          <w:color w:val="auto"/>
          <w:sz w:val="24"/>
          <w:szCs w:val="24"/>
          <w:highlight w:val="none"/>
        </w:rPr>
        <w:t>6%</w:t>
      </w:r>
      <w:r>
        <w:rPr>
          <w:rFonts w:hAnsi="宋体"/>
          <w:color w:val="auto"/>
          <w:sz w:val="24"/>
          <w:szCs w:val="24"/>
          <w:highlight w:val="none"/>
        </w:rPr>
        <w:t>以上的，则超出</w:t>
      </w:r>
      <w:r>
        <w:rPr>
          <w:color w:val="auto"/>
          <w:sz w:val="24"/>
          <w:szCs w:val="24"/>
          <w:highlight w:val="none"/>
        </w:rPr>
        <w:t>6%</w:t>
      </w:r>
      <w:r>
        <w:rPr>
          <w:rFonts w:hAnsi="宋体"/>
          <w:color w:val="auto"/>
          <w:sz w:val="24"/>
          <w:szCs w:val="24"/>
          <w:highlight w:val="none"/>
        </w:rPr>
        <w:t>以上部分的审核费由承包人承担，费用由发包人从承包人工程结算款中扣除。计算公式如下</w:t>
      </w:r>
      <w:r>
        <w:rPr>
          <w:color w:val="auto"/>
          <w:sz w:val="24"/>
          <w:szCs w:val="24"/>
          <w:highlight w:val="none"/>
        </w:rPr>
        <w:t>:</w:t>
      </w:r>
    </w:p>
    <w:p w14:paraId="1D2A1110">
      <w:pPr>
        <w:pStyle w:val="230"/>
        <w:spacing w:line="360" w:lineRule="auto"/>
        <w:ind w:firstLine="480" w:firstLineChars="200"/>
        <w:rPr>
          <w:color w:val="auto"/>
          <w:sz w:val="24"/>
          <w:szCs w:val="24"/>
          <w:highlight w:val="none"/>
        </w:rPr>
      </w:pPr>
      <w:r>
        <w:rPr>
          <w:rFonts w:hAnsi="宋体"/>
          <w:color w:val="auto"/>
          <w:sz w:val="24"/>
          <w:szCs w:val="24"/>
          <w:highlight w:val="none"/>
        </w:rPr>
        <w:t>审减率</w:t>
      </w:r>
      <w:r>
        <w:rPr>
          <w:color w:val="auto"/>
          <w:sz w:val="24"/>
          <w:szCs w:val="24"/>
          <w:highlight w:val="none"/>
        </w:rPr>
        <w:t>=</w:t>
      </w:r>
      <w:r>
        <w:rPr>
          <w:rFonts w:hint="eastAsia"/>
          <w:color w:val="auto"/>
          <w:sz w:val="24"/>
          <w:szCs w:val="24"/>
          <w:highlight w:val="none"/>
        </w:rPr>
        <w:t>（</w:t>
      </w:r>
      <w:r>
        <w:rPr>
          <w:rFonts w:hAnsi="宋体"/>
          <w:color w:val="auto"/>
          <w:sz w:val="24"/>
          <w:szCs w:val="24"/>
          <w:highlight w:val="none"/>
        </w:rPr>
        <w:t>送审造价－审定造价</w:t>
      </w:r>
      <w:r>
        <w:rPr>
          <w:rFonts w:hint="eastAsia"/>
          <w:color w:val="auto"/>
          <w:sz w:val="24"/>
          <w:szCs w:val="24"/>
          <w:highlight w:val="none"/>
        </w:rPr>
        <w:t>）</w:t>
      </w:r>
      <w:r>
        <w:rPr>
          <w:color w:val="auto"/>
          <w:sz w:val="24"/>
          <w:szCs w:val="24"/>
          <w:highlight w:val="none"/>
        </w:rPr>
        <w:t>/</w:t>
      </w:r>
      <w:r>
        <w:rPr>
          <w:rFonts w:hAnsi="宋体"/>
          <w:color w:val="auto"/>
          <w:sz w:val="24"/>
          <w:szCs w:val="24"/>
          <w:highlight w:val="none"/>
        </w:rPr>
        <w:t>送审造</w:t>
      </w:r>
      <w:r>
        <w:rPr>
          <w:rFonts w:ascii="宋体" w:hAnsi="宋体"/>
          <w:color w:val="auto"/>
          <w:sz w:val="24"/>
          <w:szCs w:val="24"/>
          <w:highlight w:val="none"/>
        </w:rPr>
        <w:t>价</w:t>
      </w:r>
      <w:r>
        <w:rPr>
          <w:rFonts w:hint="eastAsia" w:ascii="宋体" w:hAnsi="宋体"/>
          <w:color w:val="auto"/>
          <w:sz w:val="24"/>
          <w:szCs w:val="24"/>
          <w:highlight w:val="none"/>
        </w:rPr>
        <w:t>×</w:t>
      </w:r>
      <w:r>
        <w:rPr>
          <w:color w:val="auto"/>
          <w:sz w:val="24"/>
          <w:szCs w:val="24"/>
          <w:highlight w:val="none"/>
        </w:rPr>
        <w:t>100%</w:t>
      </w:r>
      <w:r>
        <w:rPr>
          <w:rFonts w:hint="eastAsia"/>
          <w:color w:val="auto"/>
          <w:sz w:val="24"/>
          <w:szCs w:val="24"/>
          <w:highlight w:val="none"/>
        </w:rPr>
        <w:t>；</w:t>
      </w:r>
      <w:r>
        <w:rPr>
          <w:rFonts w:hAnsi="宋体"/>
          <w:color w:val="auto"/>
          <w:sz w:val="24"/>
          <w:szCs w:val="24"/>
          <w:highlight w:val="none"/>
        </w:rPr>
        <w:t>当审减率大于</w:t>
      </w:r>
      <w:r>
        <w:rPr>
          <w:color w:val="auto"/>
          <w:sz w:val="24"/>
          <w:szCs w:val="24"/>
          <w:highlight w:val="none"/>
        </w:rPr>
        <w:t> 6%</w:t>
      </w:r>
      <w:r>
        <w:rPr>
          <w:rFonts w:hAnsi="宋体"/>
          <w:color w:val="auto"/>
          <w:sz w:val="24"/>
          <w:szCs w:val="24"/>
          <w:highlight w:val="none"/>
        </w:rPr>
        <w:t>时，承包人应承担的审核费</w:t>
      </w:r>
      <w:r>
        <w:rPr>
          <w:color w:val="auto"/>
          <w:sz w:val="24"/>
          <w:szCs w:val="24"/>
          <w:highlight w:val="none"/>
        </w:rPr>
        <w:t>=</w:t>
      </w:r>
      <w:r>
        <w:rPr>
          <w:rFonts w:hint="eastAsia"/>
          <w:color w:val="auto"/>
          <w:sz w:val="24"/>
          <w:szCs w:val="24"/>
          <w:highlight w:val="none"/>
        </w:rPr>
        <w:t>（</w:t>
      </w:r>
      <w:r>
        <w:rPr>
          <w:rFonts w:hAnsi="宋体"/>
          <w:color w:val="auto"/>
          <w:sz w:val="24"/>
          <w:szCs w:val="24"/>
          <w:highlight w:val="none"/>
        </w:rPr>
        <w:t>净审减额－送审额</w:t>
      </w:r>
      <w:r>
        <w:rPr>
          <w:rFonts w:hint="eastAsia" w:hAnsi="宋体"/>
          <w:color w:val="auto"/>
          <w:sz w:val="24"/>
          <w:szCs w:val="24"/>
          <w:highlight w:val="none"/>
        </w:rPr>
        <w:t>×</w:t>
      </w:r>
      <w:r>
        <w:rPr>
          <w:color w:val="auto"/>
          <w:sz w:val="24"/>
          <w:szCs w:val="24"/>
          <w:highlight w:val="none"/>
        </w:rPr>
        <w:t>6%</w:t>
      </w:r>
      <w:r>
        <w:rPr>
          <w:rFonts w:hint="eastAsia" w:ascii="宋体" w:hAnsi="宋体"/>
          <w:color w:val="auto"/>
          <w:sz w:val="24"/>
          <w:szCs w:val="24"/>
          <w:highlight w:val="none"/>
        </w:rPr>
        <w:t>）×</w:t>
      </w:r>
      <w:r>
        <w:rPr>
          <w:color w:val="auto"/>
          <w:sz w:val="24"/>
          <w:szCs w:val="24"/>
          <w:highlight w:val="none"/>
        </w:rPr>
        <w:t>3 %</w:t>
      </w:r>
      <w:r>
        <w:rPr>
          <w:rFonts w:hAnsi="宋体"/>
          <w:color w:val="auto"/>
          <w:sz w:val="24"/>
          <w:szCs w:val="24"/>
          <w:highlight w:val="none"/>
        </w:rPr>
        <w:t>。</w:t>
      </w:r>
    </w:p>
    <w:p w14:paraId="33DEB702">
      <w:pPr>
        <w:pStyle w:val="230"/>
        <w:spacing w:line="360" w:lineRule="auto"/>
        <w:ind w:firstLine="480" w:firstLineChars="200"/>
        <w:rPr>
          <w:color w:val="auto"/>
          <w:sz w:val="24"/>
          <w:szCs w:val="24"/>
          <w:highlight w:val="none"/>
        </w:rPr>
      </w:pPr>
      <w:r>
        <w:rPr>
          <w:color w:val="auto"/>
          <w:sz w:val="24"/>
          <w:szCs w:val="24"/>
          <w:highlight w:val="none"/>
        </w:rPr>
        <w:t>1</w:t>
      </w:r>
      <w:r>
        <w:rPr>
          <w:rFonts w:hint="eastAsia"/>
          <w:color w:val="auto"/>
          <w:sz w:val="24"/>
          <w:szCs w:val="24"/>
          <w:highlight w:val="none"/>
        </w:rPr>
        <w:t>2</w:t>
      </w:r>
      <w:r>
        <w:rPr>
          <w:color w:val="auto"/>
          <w:sz w:val="24"/>
          <w:szCs w:val="24"/>
          <w:highlight w:val="none"/>
        </w:rPr>
        <w:t>.3.5</w:t>
      </w:r>
      <w:r>
        <w:rPr>
          <w:rFonts w:hint="eastAsia"/>
          <w:color w:val="auto"/>
          <w:sz w:val="24"/>
          <w:szCs w:val="24"/>
          <w:highlight w:val="none"/>
        </w:rPr>
        <w:t xml:space="preserve"> </w:t>
      </w:r>
      <w:r>
        <w:rPr>
          <w:rFonts w:hAnsi="宋体"/>
          <w:color w:val="auto"/>
          <w:sz w:val="24"/>
          <w:szCs w:val="24"/>
          <w:highlight w:val="none"/>
        </w:rPr>
        <w:t>如承包人无正当理由拒绝在审定单盖章的，发包人发函至承包人要求承包人在</w:t>
      </w:r>
      <w:r>
        <w:rPr>
          <w:color w:val="auto"/>
          <w:sz w:val="24"/>
          <w:szCs w:val="24"/>
          <w:highlight w:val="none"/>
        </w:rPr>
        <w:t>15</w:t>
      </w:r>
      <w:r>
        <w:rPr>
          <w:rFonts w:hAnsi="宋体"/>
          <w:color w:val="auto"/>
          <w:sz w:val="24"/>
          <w:szCs w:val="24"/>
          <w:highlight w:val="none"/>
        </w:rPr>
        <w:t>个工作日内作出答复，如无答复视为默认审定单有效。</w:t>
      </w:r>
    </w:p>
    <w:bookmarkEnd w:id="634"/>
    <w:p w14:paraId="1EF99339">
      <w:pPr>
        <w:pStyle w:val="248"/>
        <w:spacing w:beforeLines="100" w:after="0" w:line="360" w:lineRule="auto"/>
        <w:rPr>
          <w:rFonts w:hint="eastAsia" w:hAnsi="宋体"/>
          <w:color w:val="auto"/>
          <w:sz w:val="24"/>
          <w:szCs w:val="24"/>
          <w:highlight w:val="none"/>
        </w:rPr>
      </w:pPr>
      <w:bookmarkStart w:id="637" w:name="_Toc351203598"/>
      <w:bookmarkStart w:id="638" w:name="_Toc337558815"/>
      <w:r>
        <w:rPr>
          <w:color w:val="auto"/>
          <w:sz w:val="24"/>
          <w:szCs w:val="24"/>
          <w:highlight w:val="none"/>
        </w:rPr>
        <w:t>1</w:t>
      </w:r>
      <w:r>
        <w:rPr>
          <w:rFonts w:hint="eastAsia"/>
          <w:color w:val="auto"/>
          <w:sz w:val="24"/>
          <w:szCs w:val="24"/>
          <w:highlight w:val="none"/>
        </w:rPr>
        <w:t>3</w:t>
      </w:r>
      <w:r>
        <w:rPr>
          <w:color w:val="auto"/>
          <w:sz w:val="24"/>
          <w:szCs w:val="24"/>
          <w:highlight w:val="none"/>
        </w:rPr>
        <w:t xml:space="preserve">. </w:t>
      </w:r>
      <w:r>
        <w:rPr>
          <w:rFonts w:hAnsi="宋体"/>
          <w:color w:val="auto"/>
          <w:sz w:val="24"/>
          <w:szCs w:val="24"/>
          <w:highlight w:val="none"/>
        </w:rPr>
        <w:t>缺陷责任与保修</w:t>
      </w:r>
      <w:bookmarkEnd w:id="637"/>
      <w:bookmarkStart w:id="639" w:name="_Toc373227765"/>
      <w:bookmarkStart w:id="640" w:name="_Toc373478412"/>
      <w:bookmarkStart w:id="641" w:name="_Toc467599627"/>
      <w:bookmarkStart w:id="642" w:name="_Toc389065330"/>
    </w:p>
    <w:p w14:paraId="26A551F0">
      <w:pPr>
        <w:pStyle w:val="248"/>
        <w:spacing w:before="0" w:after="0" w:line="360" w:lineRule="auto"/>
        <w:rPr>
          <w:color w:val="auto"/>
          <w:sz w:val="24"/>
          <w:szCs w:val="24"/>
          <w:highlight w:val="none"/>
        </w:rPr>
      </w:pPr>
      <w:bookmarkStart w:id="643" w:name="_Toc373227763"/>
      <w:bookmarkStart w:id="644" w:name="_Toc389065328"/>
      <w:bookmarkStart w:id="645" w:name="_Toc373478410"/>
      <w:bookmarkStart w:id="646" w:name="_Toc467599625"/>
      <w:bookmarkStart w:id="647" w:name="_Toc267251483"/>
      <w:bookmarkStart w:id="648" w:name="_Toc267251485"/>
      <w:bookmarkStart w:id="649" w:name="_Toc267251493"/>
      <w:bookmarkStart w:id="650" w:name="_Toc267251491"/>
      <w:bookmarkStart w:id="651" w:name="_Toc267251501"/>
      <w:bookmarkStart w:id="652" w:name="_Toc267251510"/>
      <w:bookmarkStart w:id="653" w:name="_Toc267251499"/>
      <w:bookmarkStart w:id="654" w:name="_Toc267251497"/>
      <w:bookmarkStart w:id="655" w:name="_Toc267251511"/>
      <w:bookmarkStart w:id="656" w:name="_Toc267251515"/>
      <w:bookmarkStart w:id="657" w:name="_Toc267251496"/>
      <w:bookmarkStart w:id="658" w:name="_Toc267251490"/>
      <w:bookmarkStart w:id="659" w:name="_Toc267251506"/>
      <w:bookmarkStart w:id="660" w:name="_Toc267251492"/>
      <w:bookmarkStart w:id="661" w:name="_Toc267251504"/>
      <w:bookmarkStart w:id="662" w:name="_Toc267251507"/>
      <w:bookmarkStart w:id="663" w:name="_Toc267251484"/>
      <w:bookmarkStart w:id="664" w:name="_Toc267251486"/>
      <w:bookmarkStart w:id="665" w:name="_Toc267251513"/>
      <w:bookmarkStart w:id="666" w:name="_Toc267251508"/>
      <w:bookmarkStart w:id="667" w:name="_Toc267251489"/>
      <w:bookmarkStart w:id="668" w:name="_Toc267251494"/>
      <w:bookmarkStart w:id="669" w:name="_Toc267251488"/>
      <w:bookmarkStart w:id="670" w:name="_Toc267251495"/>
      <w:bookmarkStart w:id="671" w:name="_Toc267251503"/>
      <w:bookmarkStart w:id="672" w:name="_Toc267251498"/>
      <w:bookmarkStart w:id="673" w:name="_Toc267251509"/>
      <w:bookmarkStart w:id="674" w:name="_Toc267251502"/>
      <w:bookmarkStart w:id="675" w:name="_Toc267251514"/>
      <w:bookmarkStart w:id="676" w:name="_Toc267251482"/>
      <w:r>
        <w:rPr>
          <w:color w:val="auto"/>
          <w:sz w:val="24"/>
          <w:szCs w:val="24"/>
          <w:highlight w:val="none"/>
        </w:rPr>
        <w:t>1</w:t>
      </w:r>
      <w:r>
        <w:rPr>
          <w:rFonts w:hint="eastAsia"/>
          <w:color w:val="auto"/>
          <w:sz w:val="24"/>
          <w:szCs w:val="24"/>
          <w:highlight w:val="none"/>
        </w:rPr>
        <w:t>3</w:t>
      </w:r>
      <w:r>
        <w:rPr>
          <w:color w:val="auto"/>
          <w:sz w:val="24"/>
          <w:szCs w:val="24"/>
          <w:highlight w:val="none"/>
        </w:rPr>
        <w:t>.</w:t>
      </w:r>
      <w:r>
        <w:rPr>
          <w:rFonts w:hint="eastAsia"/>
          <w:color w:val="auto"/>
          <w:sz w:val="24"/>
          <w:szCs w:val="24"/>
          <w:highlight w:val="none"/>
        </w:rPr>
        <w:t>1</w:t>
      </w:r>
      <w:r>
        <w:rPr>
          <w:color w:val="auto"/>
          <w:sz w:val="24"/>
          <w:szCs w:val="24"/>
          <w:highlight w:val="none"/>
        </w:rPr>
        <w:t xml:space="preserve"> </w:t>
      </w:r>
      <w:r>
        <w:rPr>
          <w:rFonts w:hAnsi="宋体"/>
          <w:color w:val="auto"/>
          <w:sz w:val="24"/>
          <w:szCs w:val="24"/>
          <w:highlight w:val="none"/>
        </w:rPr>
        <w:t>缺陷责任期</w:t>
      </w:r>
      <w:bookmarkEnd w:id="643"/>
      <w:bookmarkEnd w:id="644"/>
      <w:bookmarkEnd w:id="645"/>
      <w:bookmarkEnd w:id="646"/>
      <w:bookmarkEnd w:id="647"/>
    </w:p>
    <w:p w14:paraId="0EDF0369">
      <w:pPr>
        <w:pStyle w:val="230"/>
        <w:spacing w:line="360" w:lineRule="auto"/>
        <w:ind w:firstLine="480" w:firstLineChars="200"/>
        <w:rPr>
          <w:color w:val="auto"/>
          <w:sz w:val="24"/>
          <w:szCs w:val="24"/>
          <w:highlight w:val="none"/>
        </w:rPr>
      </w:pPr>
      <w:r>
        <w:rPr>
          <w:rFonts w:hint="eastAsia" w:hAnsi="宋体"/>
          <w:color w:val="auto"/>
          <w:sz w:val="24"/>
          <w:szCs w:val="24"/>
          <w:highlight w:val="none"/>
        </w:rPr>
        <w:t>本工程</w:t>
      </w:r>
      <w:r>
        <w:rPr>
          <w:rFonts w:hAnsi="宋体"/>
          <w:color w:val="auto"/>
          <w:sz w:val="24"/>
          <w:szCs w:val="24"/>
          <w:highlight w:val="none"/>
        </w:rPr>
        <w:t>缺陷责任期的具体期限：</w:t>
      </w:r>
      <w:bookmarkStart w:id="677" w:name="_Toc389065329"/>
      <w:bookmarkStart w:id="678" w:name="_Toc373478411"/>
      <w:bookmarkStart w:id="679" w:name="_Toc467599626"/>
      <w:bookmarkStart w:id="680" w:name="_Toc373227764"/>
      <w:r>
        <w:rPr>
          <w:color w:val="auto"/>
          <w:sz w:val="24"/>
          <w:szCs w:val="24"/>
          <w:highlight w:val="none"/>
          <w:u w:val="single"/>
        </w:rPr>
        <w:t>24</w:t>
      </w:r>
      <w:r>
        <w:rPr>
          <w:rFonts w:hAnsi="宋体"/>
          <w:color w:val="auto"/>
          <w:sz w:val="24"/>
          <w:szCs w:val="24"/>
          <w:highlight w:val="none"/>
          <w:u w:val="single"/>
        </w:rPr>
        <w:t>个月</w:t>
      </w:r>
      <w:r>
        <w:rPr>
          <w:rFonts w:hAnsi="宋体"/>
          <w:color w:val="auto"/>
          <w:sz w:val="24"/>
          <w:szCs w:val="24"/>
          <w:highlight w:val="none"/>
        </w:rPr>
        <w:t>。</w:t>
      </w:r>
    </w:p>
    <w:p w14:paraId="0F5B4388">
      <w:pPr>
        <w:pStyle w:val="230"/>
        <w:spacing w:line="360" w:lineRule="auto"/>
        <w:rPr>
          <w:b/>
          <w:color w:val="auto"/>
          <w:sz w:val="24"/>
          <w:szCs w:val="24"/>
          <w:highlight w:val="none"/>
        </w:rPr>
      </w:pPr>
      <w:r>
        <w:rPr>
          <w:rFonts w:hint="eastAsia"/>
          <w:b/>
          <w:color w:val="auto"/>
          <w:sz w:val="24"/>
          <w:szCs w:val="24"/>
          <w:highlight w:val="none"/>
        </w:rPr>
        <w:t xml:space="preserve">13.2 </w:t>
      </w:r>
      <w:r>
        <w:rPr>
          <w:rFonts w:hAnsi="宋体"/>
          <w:b/>
          <w:color w:val="auto"/>
          <w:sz w:val="24"/>
          <w:szCs w:val="24"/>
          <w:highlight w:val="none"/>
        </w:rPr>
        <w:t>质量保证金</w:t>
      </w:r>
      <w:bookmarkEnd w:id="677"/>
      <w:bookmarkEnd w:id="678"/>
      <w:bookmarkEnd w:id="679"/>
      <w:bookmarkEnd w:id="680"/>
    </w:p>
    <w:p w14:paraId="333EF534">
      <w:pPr>
        <w:pStyle w:val="230"/>
        <w:spacing w:line="360" w:lineRule="auto"/>
        <w:ind w:firstLine="480" w:firstLineChars="200"/>
        <w:rPr>
          <w:rFonts w:hint="eastAsia"/>
          <w:color w:val="auto"/>
          <w:kern w:val="0"/>
          <w:sz w:val="24"/>
          <w:szCs w:val="24"/>
          <w:highlight w:val="none"/>
        </w:rPr>
      </w:pPr>
      <w:r>
        <w:rPr>
          <w:rFonts w:hint="eastAsia"/>
          <w:color w:val="auto"/>
          <w:sz w:val="24"/>
          <w:szCs w:val="24"/>
          <w:highlight w:val="none"/>
        </w:rPr>
        <w:t>本工程</w:t>
      </w:r>
      <w:r>
        <w:rPr>
          <w:rFonts w:hint="eastAsia"/>
          <w:color w:val="auto"/>
          <w:sz w:val="24"/>
          <w:szCs w:val="24"/>
          <w:highlight w:val="none"/>
          <w:lang w:val="en-US" w:eastAsia="zh-CN"/>
        </w:rPr>
        <w:t>由承包人</w:t>
      </w:r>
      <w:r>
        <w:rPr>
          <w:rFonts w:hint="eastAsia"/>
          <w:color w:val="auto"/>
          <w:kern w:val="0"/>
          <w:sz w:val="24"/>
          <w:szCs w:val="24"/>
          <w:highlight w:val="none"/>
        </w:rPr>
        <w:t>在</w:t>
      </w:r>
      <w:r>
        <w:rPr>
          <w:color w:val="auto"/>
          <w:kern w:val="0"/>
          <w:sz w:val="24"/>
          <w:szCs w:val="24"/>
          <w:highlight w:val="none"/>
        </w:rPr>
        <w:t>工程</w:t>
      </w:r>
      <w:r>
        <w:rPr>
          <w:rFonts w:hint="eastAsia"/>
          <w:color w:val="auto"/>
          <w:kern w:val="0"/>
          <w:sz w:val="24"/>
          <w:szCs w:val="24"/>
          <w:highlight w:val="none"/>
        </w:rPr>
        <w:t>进度款</w:t>
      </w:r>
      <w:r>
        <w:rPr>
          <w:color w:val="auto"/>
          <w:kern w:val="0"/>
          <w:sz w:val="24"/>
          <w:szCs w:val="24"/>
          <w:highlight w:val="none"/>
        </w:rPr>
        <w:t>结算时</w:t>
      </w:r>
      <w:r>
        <w:rPr>
          <w:rFonts w:hint="eastAsia"/>
          <w:color w:val="auto"/>
          <w:kern w:val="0"/>
          <w:sz w:val="24"/>
          <w:szCs w:val="24"/>
          <w:highlight w:val="none"/>
          <w:lang w:val="en-US" w:eastAsia="zh-CN"/>
        </w:rPr>
        <w:t>向发包人指定账户按</w:t>
      </w:r>
      <w:r>
        <w:rPr>
          <w:color w:val="auto"/>
          <w:kern w:val="0"/>
          <w:sz w:val="24"/>
          <w:szCs w:val="24"/>
          <w:highlight w:val="none"/>
        </w:rPr>
        <w:t>结算</w:t>
      </w:r>
      <w:r>
        <w:rPr>
          <w:rFonts w:hint="eastAsia"/>
          <w:color w:val="auto"/>
          <w:kern w:val="0"/>
          <w:sz w:val="24"/>
          <w:szCs w:val="24"/>
          <w:highlight w:val="none"/>
        </w:rPr>
        <w:t>价款</w:t>
      </w:r>
      <w:r>
        <w:rPr>
          <w:color w:val="auto"/>
          <w:kern w:val="0"/>
          <w:sz w:val="24"/>
          <w:szCs w:val="24"/>
          <w:highlight w:val="none"/>
        </w:rPr>
        <w:t>的3%</w:t>
      </w:r>
      <w:r>
        <w:rPr>
          <w:rFonts w:hint="eastAsia"/>
          <w:color w:val="auto"/>
          <w:kern w:val="0"/>
          <w:sz w:val="24"/>
          <w:szCs w:val="24"/>
          <w:highlight w:val="none"/>
          <w:lang w:val="en-US" w:eastAsia="zh-CN"/>
        </w:rPr>
        <w:t>提交质量保证金</w:t>
      </w:r>
      <w:r>
        <w:rPr>
          <w:rFonts w:hint="eastAsia"/>
          <w:color w:val="auto"/>
          <w:kern w:val="0"/>
          <w:sz w:val="24"/>
          <w:szCs w:val="24"/>
          <w:highlight w:val="none"/>
        </w:rPr>
        <w:t>，待</w:t>
      </w:r>
      <w:r>
        <w:rPr>
          <w:color w:val="auto"/>
          <w:kern w:val="0"/>
          <w:sz w:val="24"/>
          <w:szCs w:val="24"/>
          <w:highlight w:val="none"/>
        </w:rPr>
        <w:t>工程竣工验收合格满两年后，14个工作日内全额无息返还工程质量保</w:t>
      </w:r>
      <w:r>
        <w:rPr>
          <w:rFonts w:hint="eastAsia"/>
          <w:color w:val="auto"/>
          <w:kern w:val="0"/>
          <w:sz w:val="24"/>
          <w:szCs w:val="24"/>
          <w:highlight w:val="none"/>
        </w:rPr>
        <w:t>证</w:t>
      </w:r>
      <w:r>
        <w:rPr>
          <w:color w:val="auto"/>
          <w:kern w:val="0"/>
          <w:sz w:val="24"/>
          <w:szCs w:val="24"/>
          <w:highlight w:val="none"/>
        </w:rPr>
        <w:t>金</w:t>
      </w:r>
      <w:r>
        <w:rPr>
          <w:rFonts w:hint="eastAsia"/>
          <w:color w:val="auto"/>
          <w:kern w:val="0"/>
          <w:sz w:val="24"/>
          <w:szCs w:val="24"/>
          <w:highlight w:val="none"/>
        </w:rPr>
        <w:t>给承包人</w:t>
      </w:r>
      <w:r>
        <w:rPr>
          <w:color w:val="auto"/>
          <w:kern w:val="0"/>
          <w:sz w:val="24"/>
          <w:szCs w:val="24"/>
          <w:highlight w:val="none"/>
        </w:rPr>
        <w:t>。</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14:paraId="76B60BE6">
      <w:pPr>
        <w:pStyle w:val="230"/>
        <w:spacing w:line="360" w:lineRule="auto"/>
        <w:rPr>
          <w:b/>
          <w:color w:val="auto"/>
          <w:sz w:val="24"/>
          <w:szCs w:val="24"/>
          <w:highlight w:val="none"/>
        </w:rPr>
      </w:pPr>
      <w:r>
        <w:rPr>
          <w:b/>
          <w:color w:val="auto"/>
          <w:kern w:val="0"/>
          <w:sz w:val="24"/>
          <w:szCs w:val="24"/>
          <w:highlight w:val="none"/>
        </w:rPr>
        <w:t>13.3</w:t>
      </w:r>
      <w:r>
        <w:rPr>
          <w:b/>
          <w:color w:val="auto"/>
          <w:sz w:val="24"/>
          <w:szCs w:val="24"/>
          <w:highlight w:val="none"/>
        </w:rPr>
        <w:t xml:space="preserve"> </w:t>
      </w:r>
      <w:r>
        <w:rPr>
          <w:rFonts w:hAnsi="宋体"/>
          <w:b/>
          <w:color w:val="auto"/>
          <w:sz w:val="24"/>
          <w:szCs w:val="24"/>
          <w:highlight w:val="none"/>
        </w:rPr>
        <w:t>保修</w:t>
      </w:r>
      <w:bookmarkEnd w:id="639"/>
      <w:bookmarkEnd w:id="640"/>
      <w:bookmarkEnd w:id="641"/>
      <w:bookmarkEnd w:id="642"/>
    </w:p>
    <w:p w14:paraId="12F9C6D8">
      <w:pPr>
        <w:pStyle w:val="230"/>
        <w:spacing w:line="360" w:lineRule="auto"/>
        <w:ind w:firstLine="468" w:firstLineChars="195"/>
        <w:outlineLvl w:val="0"/>
        <w:rPr>
          <w:color w:val="auto"/>
          <w:sz w:val="24"/>
          <w:szCs w:val="24"/>
          <w:highlight w:val="none"/>
          <w:u w:val="single"/>
        </w:rPr>
      </w:pPr>
      <w:r>
        <w:rPr>
          <w:color w:val="auto"/>
          <w:sz w:val="24"/>
          <w:szCs w:val="24"/>
          <w:highlight w:val="none"/>
        </w:rPr>
        <w:t>1</w:t>
      </w:r>
      <w:r>
        <w:rPr>
          <w:rFonts w:hint="eastAsia"/>
          <w:color w:val="auto"/>
          <w:sz w:val="24"/>
          <w:szCs w:val="24"/>
          <w:highlight w:val="none"/>
        </w:rPr>
        <w:t>3</w:t>
      </w:r>
      <w:r>
        <w:rPr>
          <w:color w:val="auto"/>
          <w:sz w:val="24"/>
          <w:szCs w:val="24"/>
          <w:highlight w:val="none"/>
        </w:rPr>
        <w:t>.</w:t>
      </w:r>
      <w:r>
        <w:rPr>
          <w:rFonts w:hint="eastAsia"/>
          <w:color w:val="auto"/>
          <w:sz w:val="24"/>
          <w:szCs w:val="24"/>
          <w:highlight w:val="none"/>
        </w:rPr>
        <w:t>3</w:t>
      </w:r>
      <w:r>
        <w:rPr>
          <w:color w:val="auto"/>
          <w:sz w:val="24"/>
          <w:szCs w:val="24"/>
          <w:highlight w:val="none"/>
        </w:rPr>
        <w:t xml:space="preserve">.1 </w:t>
      </w:r>
      <w:r>
        <w:rPr>
          <w:rFonts w:hint="eastAsia" w:hAnsi="宋体"/>
          <w:color w:val="auto"/>
          <w:sz w:val="24"/>
          <w:szCs w:val="24"/>
          <w:highlight w:val="none"/>
        </w:rPr>
        <w:t>本工程</w:t>
      </w:r>
      <w:r>
        <w:rPr>
          <w:rFonts w:hAnsi="宋体"/>
          <w:color w:val="auto"/>
          <w:sz w:val="24"/>
          <w:szCs w:val="24"/>
          <w:highlight w:val="none"/>
        </w:rPr>
        <w:t>保修期为：</w:t>
      </w:r>
      <w:r>
        <w:rPr>
          <w:rFonts w:hint="eastAsia" w:hAnsi="宋体"/>
          <w:color w:val="auto"/>
          <w:sz w:val="24"/>
          <w:szCs w:val="24"/>
          <w:highlight w:val="none"/>
          <w:u w:val="single"/>
          <w:lang w:val="en-US" w:eastAsia="zh-CN"/>
        </w:rPr>
        <w:t xml:space="preserve"> </w:t>
      </w:r>
      <w:r>
        <w:rPr>
          <w:rFonts w:hint="eastAsia"/>
          <w:color w:val="auto"/>
          <w:sz w:val="24"/>
          <w:szCs w:val="24"/>
          <w:highlight w:val="none"/>
          <w:u w:val="single"/>
          <w:lang w:val="en-US" w:eastAsia="zh-CN"/>
        </w:rPr>
        <w:t>以《工程质量保修书》约定为准</w:t>
      </w:r>
      <w:r>
        <w:rPr>
          <w:rFonts w:hAnsi="宋体"/>
          <w:color w:val="auto"/>
          <w:sz w:val="24"/>
          <w:szCs w:val="24"/>
          <w:highlight w:val="none"/>
          <w:u w:val="single"/>
        </w:rPr>
        <w:t>。</w:t>
      </w:r>
    </w:p>
    <w:p w14:paraId="4F5B8E32">
      <w:pPr>
        <w:pStyle w:val="230"/>
        <w:spacing w:line="360" w:lineRule="auto"/>
        <w:ind w:firstLine="468" w:firstLineChars="195"/>
        <w:rPr>
          <w:color w:val="auto"/>
          <w:sz w:val="24"/>
          <w:szCs w:val="24"/>
          <w:highlight w:val="none"/>
        </w:rPr>
      </w:pPr>
      <w:r>
        <w:rPr>
          <w:color w:val="auto"/>
          <w:sz w:val="24"/>
          <w:szCs w:val="24"/>
          <w:highlight w:val="none"/>
        </w:rPr>
        <w:t>1</w:t>
      </w:r>
      <w:r>
        <w:rPr>
          <w:rFonts w:hint="eastAsia"/>
          <w:color w:val="auto"/>
          <w:sz w:val="24"/>
          <w:szCs w:val="24"/>
          <w:highlight w:val="none"/>
        </w:rPr>
        <w:t>3</w:t>
      </w:r>
      <w:r>
        <w:rPr>
          <w:color w:val="auto"/>
          <w:sz w:val="24"/>
          <w:szCs w:val="24"/>
          <w:highlight w:val="none"/>
        </w:rPr>
        <w:t>.</w:t>
      </w:r>
      <w:r>
        <w:rPr>
          <w:rFonts w:hint="eastAsia"/>
          <w:color w:val="auto"/>
          <w:sz w:val="24"/>
          <w:szCs w:val="24"/>
          <w:highlight w:val="none"/>
        </w:rPr>
        <w:t>3</w:t>
      </w:r>
      <w:r>
        <w:rPr>
          <w:color w:val="auto"/>
          <w:sz w:val="24"/>
          <w:szCs w:val="24"/>
          <w:highlight w:val="none"/>
        </w:rPr>
        <w:t>.2</w:t>
      </w:r>
      <w:r>
        <w:rPr>
          <w:rFonts w:hint="eastAsia" w:hAnsi="宋体"/>
          <w:color w:val="auto"/>
          <w:sz w:val="24"/>
          <w:szCs w:val="24"/>
          <w:highlight w:val="none"/>
        </w:rPr>
        <w:t xml:space="preserve"> </w:t>
      </w:r>
      <w:r>
        <w:rPr>
          <w:rFonts w:hAnsi="宋体"/>
          <w:color w:val="auto"/>
          <w:sz w:val="24"/>
          <w:szCs w:val="24"/>
          <w:highlight w:val="none"/>
        </w:rPr>
        <w:t>在质保期内，承包人应对</w:t>
      </w:r>
      <w:r>
        <w:rPr>
          <w:rFonts w:hint="eastAsia" w:hAnsi="宋体"/>
          <w:color w:val="auto"/>
          <w:sz w:val="24"/>
          <w:szCs w:val="24"/>
          <w:highlight w:val="none"/>
        </w:rPr>
        <w:t>工程建设</w:t>
      </w:r>
      <w:r>
        <w:rPr>
          <w:rFonts w:hAnsi="宋体"/>
          <w:color w:val="auto"/>
          <w:sz w:val="24"/>
          <w:szCs w:val="24"/>
          <w:highlight w:val="none"/>
        </w:rPr>
        <w:t>出现的质量及安全问题负责处理解决并承担切费用。</w:t>
      </w:r>
    </w:p>
    <w:p w14:paraId="2A382852">
      <w:pPr>
        <w:pStyle w:val="230"/>
        <w:spacing w:line="360" w:lineRule="auto"/>
        <w:ind w:firstLine="468" w:firstLineChars="195"/>
        <w:rPr>
          <w:rFonts w:hint="eastAsia"/>
          <w:color w:val="auto"/>
          <w:sz w:val="24"/>
          <w:szCs w:val="24"/>
          <w:highlight w:val="none"/>
        </w:rPr>
      </w:pPr>
      <w:r>
        <w:rPr>
          <w:color w:val="auto"/>
          <w:sz w:val="24"/>
          <w:szCs w:val="24"/>
          <w:highlight w:val="none"/>
        </w:rPr>
        <w:t>1</w:t>
      </w:r>
      <w:r>
        <w:rPr>
          <w:rFonts w:hint="eastAsia"/>
          <w:color w:val="auto"/>
          <w:sz w:val="24"/>
          <w:szCs w:val="24"/>
          <w:highlight w:val="none"/>
        </w:rPr>
        <w:t>3</w:t>
      </w:r>
      <w:r>
        <w:rPr>
          <w:color w:val="auto"/>
          <w:sz w:val="24"/>
          <w:szCs w:val="24"/>
          <w:highlight w:val="none"/>
        </w:rPr>
        <w:t>.</w:t>
      </w:r>
      <w:r>
        <w:rPr>
          <w:rFonts w:hint="eastAsia"/>
          <w:color w:val="auto"/>
          <w:sz w:val="24"/>
          <w:szCs w:val="24"/>
          <w:highlight w:val="none"/>
        </w:rPr>
        <w:t>3</w:t>
      </w:r>
      <w:r>
        <w:rPr>
          <w:color w:val="auto"/>
          <w:sz w:val="24"/>
          <w:szCs w:val="24"/>
          <w:highlight w:val="none"/>
        </w:rPr>
        <w:t>.3</w:t>
      </w:r>
      <w:r>
        <w:rPr>
          <w:rFonts w:hint="eastAsia"/>
          <w:color w:val="auto"/>
          <w:sz w:val="24"/>
          <w:szCs w:val="24"/>
          <w:highlight w:val="none"/>
        </w:rPr>
        <w:t xml:space="preserve"> </w:t>
      </w:r>
      <w:r>
        <w:rPr>
          <w:rFonts w:hAnsi="宋体"/>
          <w:color w:val="auto"/>
          <w:sz w:val="24"/>
          <w:szCs w:val="24"/>
          <w:highlight w:val="none"/>
        </w:rPr>
        <w:t>在质保期内，</w:t>
      </w:r>
      <w:r>
        <w:rPr>
          <w:color w:val="auto"/>
          <w:kern w:val="0"/>
          <w:sz w:val="24"/>
          <w:szCs w:val="24"/>
          <w:highlight w:val="none"/>
        </w:rPr>
        <w:t>承包人收到</w:t>
      </w:r>
      <w:r>
        <w:rPr>
          <w:rFonts w:hint="eastAsia"/>
          <w:color w:val="auto"/>
          <w:kern w:val="0"/>
          <w:sz w:val="24"/>
          <w:szCs w:val="24"/>
          <w:highlight w:val="none"/>
        </w:rPr>
        <w:t>发包人或监理人</w:t>
      </w:r>
      <w:r>
        <w:rPr>
          <w:color w:val="auto"/>
          <w:kern w:val="0"/>
          <w:sz w:val="24"/>
          <w:szCs w:val="24"/>
          <w:highlight w:val="none"/>
        </w:rPr>
        <w:t>保修通知</w:t>
      </w:r>
      <w:r>
        <w:rPr>
          <w:rFonts w:hint="eastAsia"/>
          <w:color w:val="auto"/>
          <w:kern w:val="0"/>
          <w:sz w:val="24"/>
          <w:szCs w:val="24"/>
          <w:highlight w:val="none"/>
        </w:rPr>
        <w:t>后，应在</w:t>
      </w:r>
      <w:r>
        <w:rPr>
          <w:color w:val="auto"/>
          <w:sz w:val="24"/>
          <w:szCs w:val="24"/>
          <w:highlight w:val="none"/>
        </w:rPr>
        <w:t>24小</w:t>
      </w:r>
      <w:r>
        <w:rPr>
          <w:color w:val="auto"/>
          <w:kern w:val="0"/>
          <w:sz w:val="24"/>
          <w:szCs w:val="24"/>
          <w:highlight w:val="none"/>
        </w:rPr>
        <w:t>时内</w:t>
      </w:r>
      <w:r>
        <w:rPr>
          <w:rFonts w:hint="eastAsia"/>
          <w:color w:val="auto"/>
          <w:kern w:val="0"/>
          <w:sz w:val="24"/>
          <w:szCs w:val="24"/>
          <w:highlight w:val="none"/>
        </w:rPr>
        <w:t>组织人员、机械进场，保修工程量较少时，保修工作应在3日内完成，工程量较大时，原则上不能不能超过10日。</w:t>
      </w:r>
      <w:r>
        <w:rPr>
          <w:color w:val="auto"/>
          <w:kern w:val="0"/>
          <w:sz w:val="24"/>
          <w:szCs w:val="24"/>
          <w:highlight w:val="none"/>
        </w:rPr>
        <w:t>承包人收到</w:t>
      </w:r>
      <w:r>
        <w:rPr>
          <w:rFonts w:hint="eastAsia"/>
          <w:color w:val="auto"/>
          <w:kern w:val="0"/>
          <w:sz w:val="24"/>
          <w:szCs w:val="24"/>
          <w:highlight w:val="none"/>
        </w:rPr>
        <w:t>发包人或监理人</w:t>
      </w:r>
      <w:r>
        <w:rPr>
          <w:color w:val="auto"/>
          <w:kern w:val="0"/>
          <w:sz w:val="24"/>
          <w:szCs w:val="24"/>
          <w:highlight w:val="none"/>
        </w:rPr>
        <w:t>保修通知</w:t>
      </w:r>
      <w:r>
        <w:rPr>
          <w:rFonts w:hint="eastAsia"/>
          <w:color w:val="auto"/>
          <w:kern w:val="0"/>
          <w:sz w:val="24"/>
          <w:szCs w:val="24"/>
          <w:highlight w:val="none"/>
        </w:rPr>
        <w:t>后，未能按时组织进场，且在收到通知后5日内还未能按发包人要求组织进场保修，发包人有权委托第三人进行保修工作，产生的费用从扣留承包人的质保金中予以扣除，如扣留承包人的质保金不足以抵扣工程质量保修费用，不足部分，发包人有权要求承包人进行赔偿</w:t>
      </w:r>
      <w:bookmarkEnd w:id="635"/>
      <w:bookmarkEnd w:id="636"/>
      <w:bookmarkEnd w:id="638"/>
      <w:bookmarkStart w:id="681" w:name="_Toc373227766"/>
      <w:bookmarkStart w:id="682" w:name="_Toc351203648"/>
      <w:bookmarkStart w:id="683" w:name="_Toc389065331"/>
      <w:bookmarkStart w:id="684" w:name="_Toc467599628"/>
      <w:bookmarkStart w:id="685" w:name="_Toc373478413"/>
      <w:bookmarkStart w:id="686" w:name="_Toc280868717"/>
      <w:bookmarkStart w:id="687" w:name="_Toc280868718"/>
      <w:bookmarkStart w:id="688" w:name="_Toc373227768"/>
      <w:bookmarkStart w:id="689" w:name="_Toc373478415"/>
      <w:bookmarkStart w:id="690" w:name="_Toc467599630"/>
      <w:bookmarkStart w:id="691" w:name="_Toc389065333"/>
      <w:bookmarkStart w:id="692" w:name="_Toc337558820"/>
      <w:r>
        <w:rPr>
          <w:rFonts w:hint="eastAsia"/>
          <w:color w:val="auto"/>
          <w:kern w:val="0"/>
          <w:sz w:val="24"/>
          <w:szCs w:val="24"/>
          <w:highlight w:val="none"/>
        </w:rPr>
        <w:t>。</w:t>
      </w:r>
    </w:p>
    <w:p w14:paraId="69D78C39">
      <w:pPr>
        <w:pStyle w:val="247"/>
        <w:spacing w:beforeLines="100" w:after="0" w:line="360" w:lineRule="auto"/>
        <w:rPr>
          <w:rFonts w:ascii="Times New Roman" w:hAnsi="Times New Roman"/>
          <w:color w:val="auto"/>
          <w:sz w:val="24"/>
          <w:szCs w:val="24"/>
          <w:highlight w:val="none"/>
        </w:rPr>
      </w:pPr>
      <w:r>
        <w:rPr>
          <w:rFonts w:ascii="Times New Roman" w:hAnsi="Times New Roman"/>
          <w:color w:val="auto"/>
          <w:sz w:val="24"/>
          <w:szCs w:val="24"/>
          <w:highlight w:val="none"/>
        </w:rPr>
        <w:t>1</w:t>
      </w:r>
      <w:r>
        <w:rPr>
          <w:rFonts w:hint="eastAsia" w:ascii="Times New Roman" w:hAnsi="Times New Roman"/>
          <w:color w:val="auto"/>
          <w:sz w:val="24"/>
          <w:szCs w:val="24"/>
          <w:highlight w:val="none"/>
        </w:rPr>
        <w:t>4</w:t>
      </w:r>
      <w:r>
        <w:rPr>
          <w:rFonts w:ascii="Times New Roman" w:hAnsi="Times New Roman"/>
          <w:color w:val="auto"/>
          <w:sz w:val="24"/>
          <w:szCs w:val="24"/>
          <w:highlight w:val="none"/>
        </w:rPr>
        <w:t xml:space="preserve">. </w:t>
      </w:r>
      <w:r>
        <w:rPr>
          <w:rFonts w:ascii="Times New Roman" w:hAnsi="宋体"/>
          <w:color w:val="auto"/>
          <w:sz w:val="24"/>
          <w:szCs w:val="24"/>
          <w:highlight w:val="none"/>
        </w:rPr>
        <w:t>违约</w:t>
      </w:r>
      <w:bookmarkEnd w:id="681"/>
      <w:bookmarkEnd w:id="682"/>
      <w:bookmarkEnd w:id="683"/>
      <w:bookmarkEnd w:id="684"/>
      <w:bookmarkEnd w:id="685"/>
    </w:p>
    <w:p w14:paraId="3DEBB8C0">
      <w:pPr>
        <w:pStyle w:val="248"/>
        <w:spacing w:before="0" w:after="0" w:line="360" w:lineRule="auto"/>
        <w:ind w:firstLine="236" w:firstLineChars="98"/>
        <w:rPr>
          <w:color w:val="auto"/>
          <w:sz w:val="24"/>
          <w:szCs w:val="24"/>
          <w:highlight w:val="none"/>
        </w:rPr>
      </w:pPr>
      <w:bookmarkStart w:id="693" w:name="_Toc467599629"/>
      <w:bookmarkStart w:id="694" w:name="_Toc373227767"/>
      <w:bookmarkStart w:id="695" w:name="_Toc389065332"/>
      <w:bookmarkStart w:id="696" w:name="_Toc373478414"/>
      <w:r>
        <w:rPr>
          <w:color w:val="auto"/>
          <w:sz w:val="24"/>
          <w:szCs w:val="24"/>
          <w:highlight w:val="none"/>
        </w:rPr>
        <w:t>1</w:t>
      </w:r>
      <w:r>
        <w:rPr>
          <w:rFonts w:hint="eastAsia"/>
          <w:color w:val="auto"/>
          <w:sz w:val="24"/>
          <w:szCs w:val="24"/>
          <w:highlight w:val="none"/>
        </w:rPr>
        <w:t>4</w:t>
      </w:r>
      <w:r>
        <w:rPr>
          <w:color w:val="auto"/>
          <w:sz w:val="24"/>
          <w:szCs w:val="24"/>
          <w:highlight w:val="none"/>
        </w:rPr>
        <w:t xml:space="preserve">.1 </w:t>
      </w:r>
      <w:r>
        <w:rPr>
          <w:rFonts w:hAnsi="宋体"/>
          <w:color w:val="auto"/>
          <w:sz w:val="24"/>
          <w:szCs w:val="24"/>
          <w:highlight w:val="none"/>
        </w:rPr>
        <w:t>发包人违约</w:t>
      </w:r>
      <w:bookmarkEnd w:id="693"/>
      <w:bookmarkEnd w:id="694"/>
      <w:bookmarkEnd w:id="695"/>
      <w:bookmarkEnd w:id="696"/>
      <w:r>
        <w:rPr>
          <w:rFonts w:hAnsi="宋体"/>
          <w:color w:val="auto"/>
          <w:kern w:val="0"/>
          <w:sz w:val="24"/>
          <w:szCs w:val="24"/>
          <w:highlight w:val="none"/>
        </w:rPr>
        <w:t>责任</w:t>
      </w:r>
    </w:p>
    <w:p w14:paraId="098C5902">
      <w:pPr>
        <w:pStyle w:val="230"/>
        <w:spacing w:line="360" w:lineRule="auto"/>
        <w:ind w:firstLine="480" w:firstLineChars="200"/>
        <w:rPr>
          <w:color w:val="auto"/>
          <w:kern w:val="0"/>
          <w:sz w:val="24"/>
          <w:szCs w:val="24"/>
          <w:highlight w:val="none"/>
        </w:rPr>
      </w:pPr>
      <w:r>
        <w:rPr>
          <w:rFonts w:hAnsi="宋体"/>
          <w:color w:val="auto"/>
          <w:kern w:val="0"/>
          <w:sz w:val="24"/>
          <w:szCs w:val="24"/>
          <w:highlight w:val="none"/>
        </w:rPr>
        <w:t>⑴因发包人原因未能按合同约定支付合同价款的违约责任：</w:t>
      </w:r>
      <w:r>
        <w:rPr>
          <w:rFonts w:hAnsi="宋体"/>
          <w:color w:val="auto"/>
          <w:kern w:val="0"/>
          <w:sz w:val="24"/>
          <w:szCs w:val="24"/>
          <w:highlight w:val="none"/>
          <w:u w:val="single"/>
        </w:rPr>
        <w:t>承包人与发包人签订延期付款协议。</w:t>
      </w:r>
    </w:p>
    <w:p w14:paraId="51EA6326">
      <w:pPr>
        <w:pStyle w:val="230"/>
        <w:spacing w:line="360" w:lineRule="auto"/>
        <w:ind w:firstLine="480" w:firstLineChars="200"/>
        <w:rPr>
          <w:color w:val="auto"/>
          <w:kern w:val="0"/>
          <w:sz w:val="24"/>
          <w:szCs w:val="24"/>
          <w:highlight w:val="none"/>
        </w:rPr>
      </w:pPr>
      <w:r>
        <w:rPr>
          <w:rFonts w:hAnsi="宋体"/>
          <w:color w:val="auto"/>
          <w:kern w:val="0"/>
          <w:sz w:val="24"/>
          <w:szCs w:val="24"/>
          <w:highlight w:val="none"/>
        </w:rPr>
        <w:t>⑵其他：</w:t>
      </w:r>
      <w:r>
        <w:rPr>
          <w:color w:val="auto"/>
          <w:kern w:val="0"/>
          <w:sz w:val="24"/>
          <w:szCs w:val="24"/>
          <w:highlight w:val="none"/>
          <w:u w:val="single"/>
        </w:rPr>
        <w:t xml:space="preserve">  </w:t>
      </w:r>
      <w:r>
        <w:rPr>
          <w:rFonts w:hAnsi="宋体"/>
          <w:color w:val="auto"/>
          <w:kern w:val="0"/>
          <w:sz w:val="24"/>
          <w:szCs w:val="24"/>
          <w:highlight w:val="none"/>
          <w:u w:val="single"/>
        </w:rPr>
        <w:t>无</w:t>
      </w:r>
      <w:r>
        <w:rPr>
          <w:color w:val="auto"/>
          <w:kern w:val="0"/>
          <w:sz w:val="24"/>
          <w:szCs w:val="24"/>
          <w:highlight w:val="none"/>
          <w:u w:val="single"/>
        </w:rPr>
        <w:t xml:space="preserve">  </w:t>
      </w:r>
      <w:r>
        <w:rPr>
          <w:rFonts w:hAnsi="宋体"/>
          <w:color w:val="auto"/>
          <w:kern w:val="0"/>
          <w:sz w:val="24"/>
          <w:szCs w:val="24"/>
          <w:highlight w:val="none"/>
        </w:rPr>
        <w:t>。</w:t>
      </w:r>
    </w:p>
    <w:bookmarkEnd w:id="686"/>
    <w:bookmarkEnd w:id="687"/>
    <w:p w14:paraId="053E219F">
      <w:pPr>
        <w:pStyle w:val="248"/>
        <w:spacing w:before="0" w:after="0" w:line="360" w:lineRule="auto"/>
        <w:ind w:firstLine="236" w:firstLineChars="98"/>
        <w:rPr>
          <w:color w:val="auto"/>
          <w:sz w:val="24"/>
          <w:szCs w:val="24"/>
          <w:highlight w:val="none"/>
        </w:rPr>
      </w:pPr>
      <w:r>
        <w:rPr>
          <w:color w:val="auto"/>
          <w:sz w:val="24"/>
          <w:szCs w:val="24"/>
          <w:highlight w:val="none"/>
        </w:rPr>
        <w:t>1</w:t>
      </w:r>
      <w:r>
        <w:rPr>
          <w:rFonts w:hint="eastAsia"/>
          <w:color w:val="auto"/>
          <w:sz w:val="24"/>
          <w:szCs w:val="24"/>
          <w:highlight w:val="none"/>
        </w:rPr>
        <w:t>4</w:t>
      </w:r>
      <w:r>
        <w:rPr>
          <w:color w:val="auto"/>
          <w:sz w:val="24"/>
          <w:szCs w:val="24"/>
          <w:highlight w:val="none"/>
        </w:rPr>
        <w:t xml:space="preserve">.2 </w:t>
      </w:r>
      <w:r>
        <w:rPr>
          <w:rFonts w:hAnsi="宋体"/>
          <w:color w:val="auto"/>
          <w:sz w:val="24"/>
          <w:szCs w:val="24"/>
          <w:highlight w:val="none"/>
        </w:rPr>
        <w:t>承包人违约</w:t>
      </w:r>
      <w:bookmarkEnd w:id="688"/>
      <w:bookmarkEnd w:id="689"/>
      <w:bookmarkEnd w:id="690"/>
      <w:bookmarkEnd w:id="691"/>
    </w:p>
    <w:p w14:paraId="1D5DCE59">
      <w:pPr>
        <w:pStyle w:val="230"/>
        <w:spacing w:line="360" w:lineRule="auto"/>
        <w:ind w:firstLine="480" w:firstLineChars="200"/>
        <w:rPr>
          <w:color w:val="auto"/>
          <w:kern w:val="0"/>
          <w:sz w:val="24"/>
          <w:szCs w:val="24"/>
          <w:highlight w:val="none"/>
        </w:rPr>
      </w:pPr>
      <w:r>
        <w:rPr>
          <w:color w:val="auto"/>
          <w:kern w:val="0"/>
          <w:sz w:val="24"/>
          <w:szCs w:val="24"/>
          <w:highlight w:val="none"/>
        </w:rPr>
        <w:t>1</w:t>
      </w:r>
      <w:r>
        <w:rPr>
          <w:rFonts w:hint="eastAsia"/>
          <w:color w:val="auto"/>
          <w:kern w:val="0"/>
          <w:sz w:val="24"/>
          <w:szCs w:val="24"/>
          <w:highlight w:val="none"/>
        </w:rPr>
        <w:t>4</w:t>
      </w:r>
      <w:r>
        <w:rPr>
          <w:color w:val="auto"/>
          <w:kern w:val="0"/>
          <w:sz w:val="24"/>
          <w:szCs w:val="24"/>
          <w:highlight w:val="none"/>
        </w:rPr>
        <w:t xml:space="preserve">.2.1 </w:t>
      </w:r>
      <w:r>
        <w:rPr>
          <w:rFonts w:hAnsi="宋体"/>
          <w:color w:val="auto"/>
          <w:kern w:val="0"/>
          <w:sz w:val="24"/>
          <w:szCs w:val="24"/>
          <w:highlight w:val="none"/>
        </w:rPr>
        <w:t>承包人违约的情形</w:t>
      </w:r>
    </w:p>
    <w:p w14:paraId="0E3C6749">
      <w:pPr>
        <w:pStyle w:val="232"/>
        <w:spacing w:line="360" w:lineRule="auto"/>
        <w:ind w:firstLine="420"/>
        <w:rPr>
          <w:rFonts w:ascii="Times New Roman" w:hAnsi="Times New Roman"/>
          <w:color w:val="auto"/>
          <w:sz w:val="24"/>
          <w:szCs w:val="24"/>
          <w:highlight w:val="none"/>
        </w:rPr>
      </w:pPr>
      <w:r>
        <w:rPr>
          <w:rFonts w:ascii="Times New Roman" w:hAnsi="宋体"/>
          <w:color w:val="auto"/>
          <w:sz w:val="24"/>
          <w:szCs w:val="24"/>
          <w:highlight w:val="none"/>
        </w:rPr>
        <w:t>⑴承包人违反合同约定进行转包或违法分包的；</w:t>
      </w:r>
    </w:p>
    <w:p w14:paraId="0D942003">
      <w:pPr>
        <w:pStyle w:val="232"/>
        <w:spacing w:line="360" w:lineRule="auto"/>
        <w:ind w:firstLine="420"/>
        <w:rPr>
          <w:rFonts w:ascii="Times New Roman" w:hAnsi="Times New Roman"/>
          <w:color w:val="auto"/>
          <w:sz w:val="24"/>
          <w:szCs w:val="24"/>
          <w:highlight w:val="none"/>
        </w:rPr>
      </w:pPr>
      <w:r>
        <w:rPr>
          <w:rFonts w:ascii="Times New Roman" w:hAnsi="宋体"/>
          <w:color w:val="auto"/>
          <w:sz w:val="24"/>
          <w:szCs w:val="24"/>
          <w:highlight w:val="none"/>
        </w:rPr>
        <w:t>⑵承包人违反合同约定采购和使用不合格的材料和工程设备的；</w:t>
      </w:r>
    </w:p>
    <w:p w14:paraId="21CA8796">
      <w:pPr>
        <w:pStyle w:val="232"/>
        <w:spacing w:line="360" w:lineRule="auto"/>
        <w:ind w:firstLine="420"/>
        <w:rPr>
          <w:rFonts w:ascii="宋体" w:hAnsi="宋体"/>
          <w:color w:val="auto"/>
          <w:sz w:val="24"/>
          <w:szCs w:val="24"/>
          <w:highlight w:val="none"/>
        </w:rPr>
      </w:pPr>
      <w:r>
        <w:rPr>
          <w:rFonts w:ascii="Times New Roman" w:hAnsi="宋体"/>
          <w:color w:val="auto"/>
          <w:sz w:val="24"/>
          <w:szCs w:val="24"/>
          <w:highlight w:val="none"/>
        </w:rPr>
        <w:t>⑶因承包人原因导致工程质量不符合合同要求的；</w:t>
      </w:r>
    </w:p>
    <w:p w14:paraId="124B7E52">
      <w:pPr>
        <w:pStyle w:val="232"/>
        <w:spacing w:line="360" w:lineRule="auto"/>
        <w:ind w:firstLine="420"/>
        <w:rPr>
          <w:rFonts w:ascii="宋体" w:hAnsi="宋体"/>
          <w:color w:val="auto"/>
          <w:sz w:val="24"/>
          <w:szCs w:val="24"/>
          <w:highlight w:val="none"/>
        </w:rPr>
      </w:pPr>
      <w:r>
        <w:rPr>
          <w:rFonts w:hint="eastAsia" w:ascii="宋体" w:hAnsi="宋体"/>
          <w:color w:val="auto"/>
          <w:sz w:val="24"/>
          <w:szCs w:val="24"/>
          <w:highlight w:val="none"/>
        </w:rPr>
        <w:t>⑷</w:t>
      </w:r>
      <w:r>
        <w:rPr>
          <w:rFonts w:ascii="Times New Roman" w:hAnsi="宋体"/>
          <w:color w:val="auto"/>
          <w:sz w:val="24"/>
          <w:szCs w:val="24"/>
          <w:highlight w:val="none"/>
        </w:rPr>
        <w:t>承包人违反第</w:t>
      </w:r>
      <w:r>
        <w:rPr>
          <w:rFonts w:hint="eastAsia" w:ascii="Times New Roman" w:hAnsi="Times New Roman"/>
          <w:color w:val="auto"/>
          <w:sz w:val="24"/>
          <w:szCs w:val="24"/>
          <w:highlight w:val="none"/>
        </w:rPr>
        <w:t>7</w:t>
      </w:r>
      <w:r>
        <w:rPr>
          <w:rFonts w:ascii="Times New Roman" w:hAnsi="宋体"/>
          <w:color w:val="auto"/>
          <w:sz w:val="24"/>
          <w:szCs w:val="24"/>
          <w:highlight w:val="none"/>
        </w:rPr>
        <w:t>款〔材料与设备〕的约定，未经批准，私自将已按照合同约定进入施工现场的材料或设备撤离施工现场的；</w:t>
      </w:r>
    </w:p>
    <w:p w14:paraId="4E7CBF3D">
      <w:pPr>
        <w:pStyle w:val="232"/>
        <w:spacing w:line="360" w:lineRule="auto"/>
        <w:ind w:firstLine="420"/>
        <w:rPr>
          <w:rFonts w:ascii="宋体" w:hAnsi="宋体"/>
          <w:color w:val="auto"/>
          <w:sz w:val="24"/>
          <w:szCs w:val="24"/>
          <w:highlight w:val="none"/>
        </w:rPr>
      </w:pPr>
      <w:r>
        <w:rPr>
          <w:rFonts w:hint="eastAsia" w:ascii="宋体" w:hAnsi="宋体"/>
          <w:color w:val="auto"/>
          <w:sz w:val="24"/>
          <w:szCs w:val="24"/>
          <w:highlight w:val="none"/>
        </w:rPr>
        <w:t>⑸</w:t>
      </w:r>
      <w:r>
        <w:rPr>
          <w:rFonts w:ascii="Times New Roman" w:hAnsi="宋体"/>
          <w:color w:val="auto"/>
          <w:sz w:val="24"/>
          <w:szCs w:val="24"/>
          <w:highlight w:val="none"/>
        </w:rPr>
        <w:t>承包人未能按施工进度计划及时完成合同约定的工作，造成工期延误的；</w:t>
      </w:r>
    </w:p>
    <w:p w14:paraId="4AA2BE8F">
      <w:pPr>
        <w:pStyle w:val="232"/>
        <w:spacing w:line="360" w:lineRule="auto"/>
        <w:ind w:firstLine="420"/>
        <w:rPr>
          <w:rFonts w:ascii="宋体" w:hAnsi="宋体"/>
          <w:color w:val="auto"/>
          <w:sz w:val="24"/>
          <w:szCs w:val="24"/>
          <w:highlight w:val="none"/>
        </w:rPr>
      </w:pPr>
      <w:r>
        <w:rPr>
          <w:rFonts w:hint="eastAsia" w:ascii="宋体" w:hAnsi="宋体"/>
          <w:color w:val="auto"/>
          <w:sz w:val="24"/>
          <w:szCs w:val="24"/>
          <w:highlight w:val="none"/>
        </w:rPr>
        <w:t>⑹</w:t>
      </w:r>
      <w:r>
        <w:rPr>
          <w:rFonts w:ascii="Times New Roman" w:hAnsi="宋体"/>
          <w:color w:val="auto"/>
          <w:sz w:val="24"/>
          <w:szCs w:val="24"/>
          <w:highlight w:val="none"/>
        </w:rPr>
        <w:t>承包人在缺陷责任期及保修期内，未能在合理期限对工程缺陷进行修复，或拒绝按发包人要求进行修复的；</w:t>
      </w:r>
    </w:p>
    <w:p w14:paraId="61FF4948">
      <w:pPr>
        <w:pStyle w:val="232"/>
        <w:spacing w:line="360" w:lineRule="auto"/>
        <w:ind w:firstLine="420"/>
        <w:rPr>
          <w:rFonts w:ascii="宋体" w:hAnsi="宋体"/>
          <w:color w:val="auto"/>
          <w:sz w:val="24"/>
          <w:szCs w:val="24"/>
          <w:highlight w:val="none"/>
        </w:rPr>
      </w:pPr>
      <w:r>
        <w:rPr>
          <w:rFonts w:hint="eastAsia" w:ascii="宋体" w:hAnsi="宋体"/>
          <w:color w:val="auto"/>
          <w:sz w:val="24"/>
          <w:szCs w:val="24"/>
          <w:highlight w:val="none"/>
        </w:rPr>
        <w:t>⑺</w:t>
      </w:r>
      <w:r>
        <w:rPr>
          <w:rFonts w:ascii="Times New Roman" w:hAnsi="宋体"/>
          <w:color w:val="auto"/>
          <w:sz w:val="24"/>
          <w:szCs w:val="24"/>
          <w:highlight w:val="none"/>
        </w:rPr>
        <w:t>承包人明确表示或者以其行为表明不履行合同主要义务的；</w:t>
      </w:r>
    </w:p>
    <w:p w14:paraId="1D497859">
      <w:pPr>
        <w:pStyle w:val="232"/>
        <w:spacing w:line="360" w:lineRule="auto"/>
        <w:ind w:firstLine="420"/>
        <w:rPr>
          <w:rFonts w:ascii="Times New Roman" w:hAnsi="Times New Roman"/>
          <w:color w:val="auto"/>
          <w:sz w:val="24"/>
          <w:szCs w:val="24"/>
          <w:highlight w:val="none"/>
        </w:rPr>
      </w:pPr>
      <w:r>
        <w:rPr>
          <w:rFonts w:hint="eastAsia" w:ascii="宋体" w:hAnsi="宋体"/>
          <w:color w:val="auto"/>
          <w:sz w:val="24"/>
          <w:szCs w:val="24"/>
          <w:highlight w:val="none"/>
        </w:rPr>
        <w:t>⑻</w:t>
      </w:r>
      <w:r>
        <w:rPr>
          <w:rFonts w:ascii="Times New Roman" w:hAnsi="宋体"/>
          <w:color w:val="auto"/>
          <w:sz w:val="24"/>
          <w:szCs w:val="24"/>
          <w:highlight w:val="none"/>
        </w:rPr>
        <w:t>承包人未能按照合同约定履行其他义务的。</w:t>
      </w:r>
    </w:p>
    <w:p w14:paraId="55E32362">
      <w:pPr>
        <w:pStyle w:val="232"/>
        <w:spacing w:line="360" w:lineRule="auto"/>
        <w:ind w:firstLine="420"/>
        <w:rPr>
          <w:rFonts w:ascii="Times New Roman" w:hAnsi="Times New Roman"/>
          <w:color w:val="auto"/>
          <w:sz w:val="24"/>
          <w:szCs w:val="24"/>
          <w:highlight w:val="none"/>
        </w:rPr>
      </w:pPr>
      <w:r>
        <w:rPr>
          <w:rFonts w:ascii="Times New Roman" w:hAnsi="宋体"/>
          <w:color w:val="auto"/>
          <w:sz w:val="24"/>
          <w:szCs w:val="24"/>
          <w:highlight w:val="none"/>
        </w:rPr>
        <w:t>承包人发生除本项</w:t>
      </w:r>
      <w:r>
        <w:rPr>
          <w:rFonts w:ascii="宋体" w:hAnsi="宋体"/>
          <w:color w:val="auto"/>
          <w:sz w:val="24"/>
          <w:szCs w:val="24"/>
          <w:highlight w:val="none"/>
        </w:rPr>
        <w:t>第</w:t>
      </w:r>
      <w:r>
        <w:rPr>
          <w:rFonts w:hint="eastAsia" w:ascii="宋体" w:hAnsi="宋体"/>
          <w:color w:val="auto"/>
          <w:sz w:val="24"/>
          <w:szCs w:val="24"/>
          <w:highlight w:val="none"/>
        </w:rPr>
        <w:t>⑺</w:t>
      </w:r>
      <w:r>
        <w:rPr>
          <w:rFonts w:ascii="Times New Roman" w:hAnsi="宋体"/>
          <w:color w:val="auto"/>
          <w:sz w:val="24"/>
          <w:szCs w:val="24"/>
          <w:highlight w:val="none"/>
        </w:rPr>
        <w:t>目约定以外的其他违约情况时，</w:t>
      </w:r>
      <w:r>
        <w:rPr>
          <w:rFonts w:hint="eastAsia" w:ascii="Times New Roman" w:hAnsi="宋体"/>
          <w:color w:val="auto"/>
          <w:sz w:val="24"/>
          <w:szCs w:val="24"/>
          <w:highlight w:val="none"/>
        </w:rPr>
        <w:t>发包人或</w:t>
      </w:r>
      <w:r>
        <w:rPr>
          <w:rFonts w:ascii="Times New Roman" w:hAnsi="宋体"/>
          <w:color w:val="auto"/>
          <w:sz w:val="24"/>
          <w:szCs w:val="24"/>
          <w:highlight w:val="none"/>
        </w:rPr>
        <w:t>监理人可向承包人发出整改通知，要求其在指定的期限内改正。</w:t>
      </w:r>
    </w:p>
    <w:p w14:paraId="3FBDC998">
      <w:pPr>
        <w:pStyle w:val="232"/>
        <w:spacing w:line="360" w:lineRule="auto"/>
        <w:ind w:firstLine="480" w:firstLineChars="200"/>
        <w:rPr>
          <w:rFonts w:ascii="Times New Roman" w:hAnsi="Times New Roman"/>
          <w:color w:val="auto"/>
          <w:sz w:val="24"/>
          <w:szCs w:val="24"/>
          <w:highlight w:val="none"/>
        </w:rPr>
      </w:pPr>
      <w:r>
        <w:rPr>
          <w:rFonts w:ascii="Times New Roman" w:hAnsi="宋体"/>
          <w:color w:val="auto"/>
          <w:sz w:val="24"/>
          <w:szCs w:val="24"/>
          <w:highlight w:val="none"/>
        </w:rPr>
        <w:t>承包人违约的其他情形：承包人有违反《南宁市建设工程造价管理办法》（南宁市人民政府令</w:t>
      </w:r>
      <w:r>
        <w:rPr>
          <w:rFonts w:ascii="Times New Roman" w:hAnsi="Times New Roman"/>
          <w:color w:val="auto"/>
          <w:sz w:val="24"/>
          <w:szCs w:val="24"/>
          <w:highlight w:val="none"/>
        </w:rPr>
        <w:t>2007</w:t>
      </w:r>
      <w:r>
        <w:rPr>
          <w:rFonts w:ascii="Times New Roman" w:hAnsi="宋体"/>
          <w:color w:val="auto"/>
          <w:sz w:val="24"/>
          <w:szCs w:val="24"/>
          <w:highlight w:val="none"/>
        </w:rPr>
        <w:t>年第</w:t>
      </w:r>
      <w:r>
        <w:rPr>
          <w:rFonts w:ascii="Times New Roman" w:hAnsi="Times New Roman"/>
          <w:color w:val="auto"/>
          <w:sz w:val="24"/>
          <w:szCs w:val="24"/>
          <w:highlight w:val="none"/>
        </w:rPr>
        <w:t>5</w:t>
      </w:r>
      <w:r>
        <w:rPr>
          <w:rFonts w:ascii="Times New Roman" w:hAnsi="宋体"/>
          <w:color w:val="auto"/>
          <w:sz w:val="24"/>
          <w:szCs w:val="24"/>
          <w:highlight w:val="none"/>
        </w:rPr>
        <w:t>号）规定的，按规定给予处罚。</w:t>
      </w:r>
    </w:p>
    <w:p w14:paraId="083468F6">
      <w:pPr>
        <w:pStyle w:val="230"/>
        <w:spacing w:line="360" w:lineRule="auto"/>
        <w:ind w:firstLine="480" w:firstLineChars="200"/>
        <w:rPr>
          <w:color w:val="auto"/>
          <w:kern w:val="0"/>
          <w:sz w:val="24"/>
          <w:szCs w:val="24"/>
          <w:highlight w:val="none"/>
        </w:rPr>
      </w:pPr>
      <w:r>
        <w:rPr>
          <w:color w:val="auto"/>
          <w:kern w:val="0"/>
          <w:sz w:val="24"/>
          <w:szCs w:val="24"/>
          <w:highlight w:val="none"/>
        </w:rPr>
        <w:t>1</w:t>
      </w:r>
      <w:r>
        <w:rPr>
          <w:rFonts w:hint="eastAsia"/>
          <w:color w:val="auto"/>
          <w:kern w:val="0"/>
          <w:sz w:val="24"/>
          <w:szCs w:val="24"/>
          <w:highlight w:val="none"/>
        </w:rPr>
        <w:t>4</w:t>
      </w:r>
      <w:r>
        <w:rPr>
          <w:color w:val="auto"/>
          <w:kern w:val="0"/>
          <w:sz w:val="24"/>
          <w:szCs w:val="24"/>
          <w:highlight w:val="none"/>
        </w:rPr>
        <w:t>.2.2</w:t>
      </w:r>
      <w:r>
        <w:rPr>
          <w:rFonts w:hAnsi="宋体"/>
          <w:color w:val="auto"/>
          <w:kern w:val="0"/>
          <w:sz w:val="24"/>
          <w:szCs w:val="24"/>
          <w:highlight w:val="none"/>
        </w:rPr>
        <w:t>承包人违约的责任</w:t>
      </w:r>
    </w:p>
    <w:p w14:paraId="17ED9AE5">
      <w:pPr>
        <w:pStyle w:val="230"/>
        <w:spacing w:line="360" w:lineRule="auto"/>
        <w:ind w:firstLine="480" w:firstLineChars="200"/>
        <w:rPr>
          <w:color w:val="auto"/>
          <w:kern w:val="0"/>
          <w:sz w:val="24"/>
          <w:szCs w:val="24"/>
          <w:highlight w:val="none"/>
        </w:rPr>
      </w:pPr>
      <w:r>
        <w:rPr>
          <w:rFonts w:hAnsi="宋体"/>
          <w:color w:val="auto"/>
          <w:kern w:val="0"/>
          <w:sz w:val="24"/>
          <w:szCs w:val="24"/>
          <w:highlight w:val="none"/>
        </w:rPr>
        <w:t>承包人违约责任的承担方式和计算方法：</w:t>
      </w:r>
    </w:p>
    <w:p w14:paraId="0A95107D">
      <w:pPr>
        <w:pStyle w:val="230"/>
        <w:spacing w:line="360" w:lineRule="auto"/>
        <w:ind w:firstLine="480" w:firstLineChars="200"/>
        <w:rPr>
          <w:color w:val="auto"/>
          <w:kern w:val="0"/>
          <w:sz w:val="24"/>
          <w:szCs w:val="24"/>
          <w:highlight w:val="none"/>
        </w:rPr>
      </w:pPr>
      <w:r>
        <w:rPr>
          <w:rFonts w:hAnsi="宋体"/>
          <w:color w:val="auto"/>
          <w:kern w:val="0"/>
          <w:sz w:val="24"/>
          <w:szCs w:val="24"/>
          <w:highlight w:val="none"/>
        </w:rPr>
        <w:t>⑴承包人未按本合同</w:t>
      </w:r>
      <w:r>
        <w:rPr>
          <w:rFonts w:hint="eastAsia" w:hAnsi="宋体"/>
          <w:color w:val="auto"/>
          <w:kern w:val="0"/>
          <w:sz w:val="24"/>
          <w:szCs w:val="24"/>
          <w:highlight w:val="none"/>
        </w:rPr>
        <w:t>4</w:t>
      </w:r>
      <w:r>
        <w:rPr>
          <w:rFonts w:hAnsi="宋体"/>
          <w:color w:val="auto"/>
          <w:kern w:val="0"/>
          <w:sz w:val="24"/>
          <w:szCs w:val="24"/>
          <w:highlight w:val="none"/>
        </w:rPr>
        <w:t>条款第</w:t>
      </w:r>
      <w:r>
        <w:rPr>
          <w:color w:val="auto"/>
          <w:kern w:val="0"/>
          <w:sz w:val="24"/>
          <w:szCs w:val="24"/>
          <w:highlight w:val="none"/>
        </w:rPr>
        <w:t>1</w:t>
      </w:r>
      <w:r>
        <w:rPr>
          <w:rFonts w:hint="eastAsia"/>
          <w:color w:val="auto"/>
          <w:kern w:val="0"/>
          <w:sz w:val="24"/>
          <w:szCs w:val="24"/>
          <w:highlight w:val="none"/>
        </w:rPr>
        <w:t>4</w:t>
      </w:r>
      <w:r>
        <w:rPr>
          <w:color w:val="auto"/>
          <w:kern w:val="0"/>
          <w:sz w:val="24"/>
          <w:szCs w:val="24"/>
          <w:highlight w:val="none"/>
        </w:rPr>
        <w:t>.2.1</w:t>
      </w:r>
      <w:r>
        <w:rPr>
          <w:rFonts w:hAnsi="宋体"/>
          <w:color w:val="auto"/>
          <w:kern w:val="0"/>
          <w:sz w:val="24"/>
          <w:szCs w:val="24"/>
          <w:highlight w:val="none"/>
        </w:rPr>
        <w:t>⑵、⑶条内容完成的，承包人无条件返工处理，修复至工程质量要求并承担相关费用，并在发包人规定的时间内完成返工，否则发包人有权扣罚该分项工程</w:t>
      </w:r>
      <w:r>
        <w:rPr>
          <w:color w:val="auto"/>
          <w:kern w:val="0"/>
          <w:sz w:val="24"/>
          <w:szCs w:val="24"/>
          <w:highlight w:val="none"/>
        </w:rPr>
        <w:t>10%</w:t>
      </w:r>
      <w:r>
        <w:rPr>
          <w:rFonts w:hAnsi="宋体"/>
          <w:color w:val="auto"/>
          <w:kern w:val="0"/>
          <w:sz w:val="24"/>
          <w:szCs w:val="24"/>
          <w:highlight w:val="none"/>
        </w:rPr>
        <w:t>的工程款作为处罚。</w:t>
      </w:r>
    </w:p>
    <w:p w14:paraId="79EF6984">
      <w:pPr>
        <w:pStyle w:val="230"/>
        <w:spacing w:line="360" w:lineRule="auto"/>
        <w:ind w:firstLine="480" w:firstLineChars="200"/>
        <w:rPr>
          <w:color w:val="auto"/>
          <w:kern w:val="0"/>
          <w:sz w:val="24"/>
          <w:szCs w:val="24"/>
          <w:highlight w:val="none"/>
        </w:rPr>
      </w:pPr>
      <w:r>
        <w:rPr>
          <w:rFonts w:hAnsi="宋体"/>
          <w:color w:val="auto"/>
          <w:kern w:val="0"/>
          <w:sz w:val="24"/>
          <w:szCs w:val="24"/>
          <w:highlight w:val="none"/>
        </w:rPr>
        <w:t>⑵承包人有本合同条款第</w:t>
      </w:r>
      <w:r>
        <w:rPr>
          <w:color w:val="auto"/>
          <w:kern w:val="0"/>
          <w:sz w:val="24"/>
          <w:szCs w:val="24"/>
          <w:highlight w:val="none"/>
        </w:rPr>
        <w:t>1</w:t>
      </w:r>
      <w:r>
        <w:rPr>
          <w:rFonts w:hint="eastAsia"/>
          <w:color w:val="auto"/>
          <w:kern w:val="0"/>
          <w:sz w:val="24"/>
          <w:szCs w:val="24"/>
          <w:highlight w:val="none"/>
        </w:rPr>
        <w:t>4</w:t>
      </w:r>
      <w:r>
        <w:rPr>
          <w:color w:val="auto"/>
          <w:kern w:val="0"/>
          <w:sz w:val="24"/>
          <w:szCs w:val="24"/>
          <w:highlight w:val="none"/>
        </w:rPr>
        <w:t>.2.</w:t>
      </w:r>
      <w:r>
        <w:rPr>
          <w:rFonts w:ascii="宋体" w:hAnsi="宋体"/>
          <w:color w:val="auto"/>
          <w:kern w:val="0"/>
          <w:sz w:val="24"/>
          <w:szCs w:val="24"/>
          <w:highlight w:val="none"/>
        </w:rPr>
        <w:t>1</w:t>
      </w:r>
      <w:r>
        <w:rPr>
          <w:rFonts w:hint="eastAsia" w:ascii="宋体" w:hAnsi="宋体"/>
          <w:color w:val="auto"/>
          <w:kern w:val="0"/>
          <w:sz w:val="24"/>
          <w:szCs w:val="24"/>
          <w:highlight w:val="none"/>
        </w:rPr>
        <w:t>⑹</w:t>
      </w:r>
      <w:r>
        <w:rPr>
          <w:rFonts w:hAnsi="宋体"/>
          <w:color w:val="auto"/>
          <w:kern w:val="0"/>
          <w:sz w:val="24"/>
          <w:szCs w:val="24"/>
          <w:highlight w:val="none"/>
        </w:rPr>
        <w:t>条情形的，或经监理人检验认为修复质量不合格而承包人拒绝再进行修补的，发包人将扣除承包人全部质量保修金。</w:t>
      </w:r>
    </w:p>
    <w:p w14:paraId="57D04498">
      <w:pPr>
        <w:pStyle w:val="230"/>
        <w:spacing w:line="360" w:lineRule="auto"/>
        <w:ind w:firstLine="480" w:firstLineChars="200"/>
        <w:rPr>
          <w:color w:val="auto"/>
          <w:sz w:val="24"/>
          <w:szCs w:val="24"/>
          <w:highlight w:val="none"/>
        </w:rPr>
      </w:pPr>
      <w:r>
        <w:rPr>
          <w:color w:val="auto"/>
          <w:sz w:val="24"/>
          <w:szCs w:val="24"/>
          <w:highlight w:val="none"/>
        </w:rPr>
        <w:t>1</w:t>
      </w:r>
      <w:r>
        <w:rPr>
          <w:rFonts w:hint="eastAsia"/>
          <w:color w:val="auto"/>
          <w:sz w:val="24"/>
          <w:szCs w:val="24"/>
          <w:highlight w:val="none"/>
        </w:rPr>
        <w:t>4</w:t>
      </w:r>
      <w:r>
        <w:rPr>
          <w:color w:val="auto"/>
          <w:sz w:val="24"/>
          <w:szCs w:val="24"/>
          <w:highlight w:val="none"/>
        </w:rPr>
        <w:t xml:space="preserve">.2.3 </w:t>
      </w:r>
      <w:r>
        <w:rPr>
          <w:rFonts w:hAnsi="宋体"/>
          <w:color w:val="auto"/>
          <w:sz w:val="24"/>
          <w:szCs w:val="24"/>
          <w:highlight w:val="none"/>
        </w:rPr>
        <w:t>因承包人违约解除合同</w:t>
      </w:r>
    </w:p>
    <w:p w14:paraId="6CCA3398">
      <w:pPr>
        <w:pStyle w:val="230"/>
        <w:spacing w:line="360" w:lineRule="auto"/>
        <w:ind w:firstLine="480" w:firstLineChars="200"/>
        <w:rPr>
          <w:rFonts w:ascii="宋体" w:hAnsi="宋体"/>
          <w:color w:val="auto"/>
          <w:kern w:val="0"/>
          <w:sz w:val="24"/>
          <w:szCs w:val="24"/>
          <w:highlight w:val="none"/>
        </w:rPr>
      </w:pPr>
      <w:r>
        <w:rPr>
          <w:rFonts w:hAnsi="宋体"/>
          <w:color w:val="auto"/>
          <w:kern w:val="0"/>
          <w:sz w:val="24"/>
          <w:szCs w:val="24"/>
          <w:highlight w:val="none"/>
        </w:rPr>
        <w:t>关于承包人违约解除合同的特别约定：承包人有违反以下情况之一的，发包人有权</w:t>
      </w:r>
      <w:r>
        <w:rPr>
          <w:rFonts w:hint="eastAsia" w:hAnsi="宋体"/>
          <w:color w:val="auto"/>
          <w:kern w:val="0"/>
          <w:sz w:val="24"/>
          <w:szCs w:val="24"/>
          <w:highlight w:val="none"/>
        </w:rPr>
        <w:t>单方面</w:t>
      </w:r>
      <w:r>
        <w:rPr>
          <w:rFonts w:hAnsi="宋体"/>
          <w:color w:val="auto"/>
          <w:kern w:val="0"/>
          <w:sz w:val="24"/>
          <w:szCs w:val="24"/>
          <w:highlight w:val="none"/>
        </w:rPr>
        <w:t>解除合同，并没收其全部履约保证金。</w:t>
      </w:r>
    </w:p>
    <w:p w14:paraId="6831AB33">
      <w:pPr>
        <w:pStyle w:val="230"/>
        <w:spacing w:line="360" w:lineRule="auto"/>
        <w:ind w:firstLine="480" w:firstLineChars="200"/>
        <w:rPr>
          <w:rFonts w:ascii="宋体" w:hAnsi="宋体"/>
          <w:color w:val="auto"/>
          <w:kern w:val="0"/>
          <w:sz w:val="24"/>
          <w:szCs w:val="24"/>
          <w:highlight w:val="none"/>
        </w:rPr>
      </w:pPr>
      <w:r>
        <w:rPr>
          <w:rFonts w:hint="eastAsia" w:ascii="宋体" w:hAnsi="宋体"/>
          <w:color w:val="auto"/>
          <w:kern w:val="0"/>
          <w:sz w:val="24"/>
          <w:szCs w:val="24"/>
          <w:highlight w:val="none"/>
        </w:rPr>
        <w:t>⑴</w:t>
      </w:r>
      <w:r>
        <w:rPr>
          <w:rFonts w:hAnsi="宋体"/>
          <w:color w:val="auto"/>
          <w:kern w:val="0"/>
          <w:sz w:val="24"/>
          <w:szCs w:val="24"/>
          <w:highlight w:val="none"/>
        </w:rPr>
        <w:t>承包人无正当理由不按开工通知的要求及时进场组织施工和不按签订协议书时商定的进度计划有效地开展施工准备，造成工期延误的；</w:t>
      </w:r>
    </w:p>
    <w:p w14:paraId="47D4C440">
      <w:pPr>
        <w:pStyle w:val="230"/>
        <w:spacing w:line="360" w:lineRule="auto"/>
        <w:ind w:firstLine="480" w:firstLineChars="200"/>
        <w:rPr>
          <w:rFonts w:ascii="宋体" w:hAnsi="宋体"/>
          <w:color w:val="auto"/>
          <w:kern w:val="0"/>
          <w:sz w:val="24"/>
          <w:szCs w:val="24"/>
          <w:highlight w:val="none"/>
        </w:rPr>
      </w:pPr>
      <w:r>
        <w:rPr>
          <w:rFonts w:hint="eastAsia" w:ascii="宋体" w:hAnsi="宋体"/>
          <w:color w:val="auto"/>
          <w:kern w:val="0"/>
          <w:sz w:val="24"/>
          <w:szCs w:val="24"/>
          <w:highlight w:val="none"/>
        </w:rPr>
        <w:t>⑵</w:t>
      </w:r>
      <w:r>
        <w:rPr>
          <w:rFonts w:hAnsi="宋体"/>
          <w:color w:val="auto"/>
          <w:kern w:val="0"/>
          <w:sz w:val="24"/>
          <w:szCs w:val="24"/>
          <w:highlight w:val="none"/>
        </w:rPr>
        <w:t>承包人违反规定私自将合同或合同的任何部分或任何权利转让给其他人，或私自将工程或工程的一部分分包出去的；</w:t>
      </w:r>
    </w:p>
    <w:p w14:paraId="3BDB4D57">
      <w:pPr>
        <w:pStyle w:val="230"/>
        <w:spacing w:line="360" w:lineRule="auto"/>
        <w:ind w:firstLine="480" w:firstLineChars="200"/>
        <w:rPr>
          <w:rFonts w:ascii="宋体" w:hAnsi="宋体"/>
          <w:color w:val="auto"/>
          <w:kern w:val="0"/>
          <w:sz w:val="24"/>
          <w:szCs w:val="24"/>
          <w:highlight w:val="none"/>
        </w:rPr>
      </w:pPr>
      <w:r>
        <w:rPr>
          <w:rFonts w:hint="eastAsia" w:ascii="宋体" w:hAnsi="宋体"/>
          <w:color w:val="auto"/>
          <w:kern w:val="0"/>
          <w:sz w:val="24"/>
          <w:szCs w:val="24"/>
          <w:highlight w:val="none"/>
        </w:rPr>
        <w:t>⑶</w:t>
      </w:r>
      <w:r>
        <w:rPr>
          <w:rFonts w:hAnsi="宋体"/>
          <w:color w:val="auto"/>
          <w:kern w:val="0"/>
          <w:sz w:val="24"/>
          <w:szCs w:val="24"/>
          <w:highlight w:val="none"/>
        </w:rPr>
        <w:t>未经</w:t>
      </w:r>
      <w:r>
        <w:rPr>
          <w:rFonts w:hint="eastAsia" w:hAnsi="宋体"/>
          <w:color w:val="auto"/>
          <w:kern w:val="0"/>
          <w:sz w:val="24"/>
          <w:szCs w:val="24"/>
          <w:highlight w:val="none"/>
        </w:rPr>
        <w:t>发包人或</w:t>
      </w:r>
      <w:r>
        <w:rPr>
          <w:rFonts w:hAnsi="宋体"/>
          <w:color w:val="auto"/>
          <w:kern w:val="0"/>
          <w:sz w:val="24"/>
          <w:szCs w:val="24"/>
          <w:highlight w:val="none"/>
        </w:rPr>
        <w:t>监理人批准，承包人私自将已按投标文件承诺进入工地的工程设备、施工设备、临时工程或材料撤离工地的；</w:t>
      </w:r>
    </w:p>
    <w:p w14:paraId="02235DFC">
      <w:pPr>
        <w:pStyle w:val="230"/>
        <w:spacing w:line="360" w:lineRule="auto"/>
        <w:ind w:firstLine="480" w:firstLineChars="200"/>
        <w:rPr>
          <w:rFonts w:ascii="宋体" w:hAnsi="宋体"/>
          <w:color w:val="auto"/>
          <w:kern w:val="0"/>
          <w:sz w:val="24"/>
          <w:szCs w:val="24"/>
          <w:highlight w:val="none"/>
        </w:rPr>
      </w:pPr>
      <w:r>
        <w:rPr>
          <w:rFonts w:hint="eastAsia" w:ascii="宋体" w:hAnsi="宋体"/>
          <w:color w:val="auto"/>
          <w:kern w:val="0"/>
          <w:sz w:val="24"/>
          <w:szCs w:val="24"/>
          <w:highlight w:val="none"/>
        </w:rPr>
        <w:t>⑷</w:t>
      </w:r>
      <w:r>
        <w:rPr>
          <w:rFonts w:hAnsi="宋体"/>
          <w:color w:val="auto"/>
          <w:kern w:val="0"/>
          <w:sz w:val="24"/>
          <w:szCs w:val="24"/>
          <w:highlight w:val="none"/>
        </w:rPr>
        <w:t>由于承包人原因拒绝按合同进度计划及时完成合同规定的工程，而又未采取有效措施赶上进度，造成工期严重延误的；</w:t>
      </w:r>
    </w:p>
    <w:p w14:paraId="4300FBEA">
      <w:pPr>
        <w:pStyle w:val="230"/>
        <w:spacing w:line="360" w:lineRule="auto"/>
        <w:ind w:firstLine="480" w:firstLineChars="200"/>
        <w:rPr>
          <w:rFonts w:ascii="宋体" w:hAnsi="宋体"/>
          <w:color w:val="auto"/>
          <w:kern w:val="0"/>
          <w:sz w:val="24"/>
          <w:szCs w:val="24"/>
          <w:highlight w:val="none"/>
        </w:rPr>
      </w:pPr>
      <w:r>
        <w:rPr>
          <w:rFonts w:hint="eastAsia" w:ascii="宋体" w:hAnsi="宋体"/>
          <w:color w:val="auto"/>
          <w:kern w:val="0"/>
          <w:sz w:val="24"/>
          <w:szCs w:val="24"/>
          <w:highlight w:val="none"/>
        </w:rPr>
        <w:t>⑸</w:t>
      </w:r>
      <w:r>
        <w:rPr>
          <w:rFonts w:hAnsi="宋体"/>
          <w:color w:val="auto"/>
          <w:kern w:val="0"/>
          <w:sz w:val="24"/>
          <w:szCs w:val="24"/>
          <w:highlight w:val="none"/>
        </w:rPr>
        <w:t>承包人否认合同有效或拒绝履行合同规定的承包人义务，或由于法律、财务等原因导致承包人无法继续履行或实质上已停止履行合同的义务的；</w:t>
      </w:r>
    </w:p>
    <w:p w14:paraId="17DD00D1">
      <w:pPr>
        <w:pStyle w:val="230"/>
        <w:spacing w:line="360" w:lineRule="auto"/>
        <w:ind w:firstLine="480" w:firstLineChars="200"/>
        <w:rPr>
          <w:rFonts w:hint="eastAsia" w:hAnsi="宋体"/>
          <w:color w:val="auto"/>
          <w:kern w:val="0"/>
          <w:sz w:val="24"/>
          <w:szCs w:val="24"/>
          <w:highlight w:val="none"/>
        </w:rPr>
      </w:pPr>
      <w:r>
        <w:rPr>
          <w:rFonts w:hint="eastAsia" w:ascii="宋体" w:hAnsi="宋体"/>
          <w:color w:val="auto"/>
          <w:kern w:val="0"/>
          <w:sz w:val="24"/>
          <w:szCs w:val="24"/>
          <w:highlight w:val="none"/>
        </w:rPr>
        <w:t>⑹</w:t>
      </w:r>
      <w:r>
        <w:rPr>
          <w:rFonts w:hAnsi="宋体"/>
          <w:color w:val="auto"/>
          <w:kern w:val="0"/>
          <w:sz w:val="24"/>
          <w:szCs w:val="24"/>
          <w:highlight w:val="none"/>
        </w:rPr>
        <w:t>合同签订之日起十五日内，承包人人员和机械无法全部按合同</w:t>
      </w:r>
      <w:r>
        <w:rPr>
          <w:rFonts w:hint="eastAsia" w:hAnsi="宋体"/>
          <w:color w:val="auto"/>
          <w:kern w:val="0"/>
          <w:sz w:val="24"/>
          <w:szCs w:val="24"/>
          <w:highlight w:val="none"/>
        </w:rPr>
        <w:t>约定承诺和发包人要求</w:t>
      </w:r>
      <w:r>
        <w:rPr>
          <w:rFonts w:hAnsi="宋体"/>
          <w:color w:val="auto"/>
          <w:kern w:val="0"/>
          <w:sz w:val="24"/>
          <w:szCs w:val="24"/>
          <w:highlight w:val="none"/>
        </w:rPr>
        <w:t>进场的。</w:t>
      </w:r>
    </w:p>
    <w:p w14:paraId="77527E52">
      <w:pPr>
        <w:pStyle w:val="230"/>
        <w:spacing w:line="360" w:lineRule="auto"/>
        <w:ind w:firstLine="480" w:firstLineChars="200"/>
        <w:rPr>
          <w:rFonts w:hint="eastAsia"/>
          <w:color w:val="auto"/>
          <w:kern w:val="0"/>
          <w:sz w:val="24"/>
          <w:szCs w:val="24"/>
          <w:highlight w:val="none"/>
        </w:rPr>
      </w:pPr>
      <w:r>
        <w:rPr>
          <w:rFonts w:hint="eastAsia" w:hAnsi="宋体"/>
          <w:color w:val="auto"/>
          <w:kern w:val="0"/>
          <w:sz w:val="24"/>
          <w:szCs w:val="24"/>
          <w:highlight w:val="none"/>
        </w:rPr>
        <w:t>⑺</w:t>
      </w:r>
      <w:r>
        <w:rPr>
          <w:rFonts w:hint="eastAsia"/>
          <w:color w:val="auto"/>
          <w:sz w:val="24"/>
          <w:szCs w:val="24"/>
          <w:highlight w:val="none"/>
        </w:rPr>
        <w:t>除不可抗力外，因承包人原因造成停工连续超过</w:t>
      </w:r>
      <w:r>
        <w:rPr>
          <w:color w:val="auto"/>
          <w:sz w:val="24"/>
          <w:szCs w:val="24"/>
          <w:highlight w:val="none"/>
        </w:rPr>
        <w:t>7</w:t>
      </w:r>
      <w:r>
        <w:rPr>
          <w:rFonts w:hint="eastAsia"/>
          <w:color w:val="auto"/>
          <w:sz w:val="24"/>
          <w:szCs w:val="24"/>
          <w:highlight w:val="none"/>
        </w:rPr>
        <w:t>天或停工超过两次的。</w:t>
      </w:r>
    </w:p>
    <w:bookmarkEnd w:id="692"/>
    <w:p w14:paraId="04BF9222">
      <w:pPr>
        <w:spacing w:line="360" w:lineRule="auto"/>
        <w:ind w:firstLine="480" w:firstLineChars="200"/>
        <w:rPr>
          <w:rFonts w:ascii="Times New Roman" w:hAnsi="Times New Roman"/>
          <w:color w:val="auto"/>
          <w:kern w:val="0"/>
          <w:sz w:val="24"/>
          <w:szCs w:val="24"/>
          <w:highlight w:val="none"/>
        </w:rPr>
      </w:pPr>
      <w:r>
        <w:rPr>
          <w:rFonts w:ascii="Times New Roman" w:hAnsi="Times New Roman"/>
          <w:color w:val="auto"/>
          <w:kern w:val="0"/>
          <w:sz w:val="24"/>
          <w:szCs w:val="24"/>
          <w:highlight w:val="none"/>
        </w:rPr>
        <w:t>1</w:t>
      </w:r>
      <w:r>
        <w:rPr>
          <w:rFonts w:hint="eastAsia" w:ascii="Times New Roman" w:hAnsi="Times New Roman"/>
          <w:color w:val="auto"/>
          <w:kern w:val="0"/>
          <w:sz w:val="24"/>
          <w:szCs w:val="24"/>
          <w:highlight w:val="none"/>
        </w:rPr>
        <w:t>4</w:t>
      </w:r>
      <w:r>
        <w:rPr>
          <w:rFonts w:ascii="Times New Roman" w:hAnsi="Times New Roman"/>
          <w:color w:val="auto"/>
          <w:kern w:val="0"/>
          <w:sz w:val="24"/>
          <w:szCs w:val="24"/>
          <w:highlight w:val="none"/>
        </w:rPr>
        <w:t>.2.4</w:t>
      </w:r>
      <w:r>
        <w:rPr>
          <w:rFonts w:ascii="Times New Roman" w:hAnsi="宋体"/>
          <w:color w:val="auto"/>
          <w:kern w:val="0"/>
          <w:sz w:val="24"/>
          <w:szCs w:val="24"/>
          <w:highlight w:val="none"/>
        </w:rPr>
        <w:t>因承包人违约解除合同后的处理</w:t>
      </w:r>
    </w:p>
    <w:p w14:paraId="666533C6">
      <w:pPr>
        <w:spacing w:line="360" w:lineRule="auto"/>
        <w:ind w:firstLine="480" w:firstLineChars="200"/>
        <w:rPr>
          <w:rFonts w:ascii="Times New Roman" w:hAnsi="Times New Roman"/>
          <w:color w:val="auto"/>
          <w:kern w:val="0"/>
          <w:sz w:val="24"/>
          <w:szCs w:val="24"/>
          <w:highlight w:val="none"/>
        </w:rPr>
      </w:pPr>
      <w:r>
        <w:rPr>
          <w:rFonts w:ascii="Times New Roman" w:hAnsi="宋体"/>
          <w:color w:val="auto"/>
          <w:kern w:val="0"/>
          <w:sz w:val="24"/>
          <w:szCs w:val="24"/>
          <w:highlight w:val="none"/>
        </w:rPr>
        <w:t>因承包人原因导致合同解除的，则合同当事人应在合同解除后</w:t>
      </w:r>
      <w:r>
        <w:rPr>
          <w:rFonts w:ascii="Times New Roman" w:hAnsi="Times New Roman"/>
          <w:color w:val="auto"/>
          <w:kern w:val="0"/>
          <w:sz w:val="24"/>
          <w:szCs w:val="24"/>
          <w:highlight w:val="none"/>
        </w:rPr>
        <w:t>28</w:t>
      </w:r>
      <w:r>
        <w:rPr>
          <w:rFonts w:ascii="Times New Roman" w:hAnsi="宋体"/>
          <w:color w:val="auto"/>
          <w:kern w:val="0"/>
          <w:sz w:val="24"/>
          <w:szCs w:val="24"/>
          <w:highlight w:val="none"/>
        </w:rPr>
        <w:t>天内完成估价、付款和清算，并按以下约定执行：</w:t>
      </w:r>
    </w:p>
    <w:p w14:paraId="187E083D">
      <w:pPr>
        <w:spacing w:line="360" w:lineRule="auto"/>
        <w:ind w:firstLine="480" w:firstLineChars="200"/>
        <w:rPr>
          <w:rFonts w:ascii="Times New Roman" w:hAnsi="Times New Roman"/>
          <w:color w:val="auto"/>
          <w:kern w:val="0"/>
          <w:sz w:val="24"/>
          <w:szCs w:val="24"/>
          <w:highlight w:val="none"/>
        </w:rPr>
      </w:pPr>
      <w:r>
        <w:rPr>
          <w:rFonts w:ascii="Times New Roman" w:hAnsi="宋体"/>
          <w:color w:val="auto"/>
          <w:kern w:val="0"/>
          <w:sz w:val="24"/>
          <w:szCs w:val="24"/>
          <w:highlight w:val="none"/>
        </w:rPr>
        <w:t>⑴合同解除后，</w:t>
      </w:r>
      <w:r>
        <w:rPr>
          <w:rFonts w:hint="eastAsia" w:ascii="Times New Roman" w:hAnsi="宋体"/>
          <w:color w:val="auto"/>
          <w:kern w:val="0"/>
          <w:sz w:val="24"/>
          <w:szCs w:val="24"/>
          <w:highlight w:val="none"/>
        </w:rPr>
        <w:t>发包人与承包人</w:t>
      </w:r>
      <w:r>
        <w:rPr>
          <w:rFonts w:ascii="Times New Roman" w:hAnsi="宋体"/>
          <w:color w:val="auto"/>
          <w:kern w:val="0"/>
          <w:sz w:val="24"/>
          <w:szCs w:val="24"/>
          <w:highlight w:val="none"/>
        </w:rPr>
        <w:t>商定或确定承包人实际完成工作对应的合同价款，以及承包人已提供的材料、工程设备、施工设备和临时工程等的价值；</w:t>
      </w:r>
    </w:p>
    <w:p w14:paraId="21511D39">
      <w:pPr>
        <w:spacing w:line="360" w:lineRule="auto"/>
        <w:ind w:firstLine="480" w:firstLineChars="200"/>
        <w:rPr>
          <w:rFonts w:ascii="Times New Roman" w:hAnsi="Times New Roman"/>
          <w:color w:val="auto"/>
          <w:kern w:val="0"/>
          <w:sz w:val="24"/>
          <w:szCs w:val="24"/>
          <w:highlight w:val="none"/>
        </w:rPr>
      </w:pPr>
      <w:r>
        <w:rPr>
          <w:rFonts w:ascii="Times New Roman" w:hAnsi="宋体"/>
          <w:color w:val="auto"/>
          <w:kern w:val="0"/>
          <w:sz w:val="24"/>
          <w:szCs w:val="24"/>
          <w:highlight w:val="none"/>
        </w:rPr>
        <w:t>⑵合同解除后，承包人应支付的违约金；</w:t>
      </w:r>
    </w:p>
    <w:p w14:paraId="1D028FB7">
      <w:pPr>
        <w:spacing w:line="360" w:lineRule="auto"/>
        <w:ind w:firstLine="480" w:firstLineChars="200"/>
        <w:rPr>
          <w:rFonts w:ascii="宋体" w:hAnsi="宋体"/>
          <w:color w:val="auto"/>
          <w:kern w:val="0"/>
          <w:sz w:val="24"/>
          <w:szCs w:val="24"/>
          <w:highlight w:val="none"/>
        </w:rPr>
      </w:pPr>
      <w:r>
        <w:rPr>
          <w:rFonts w:ascii="Times New Roman" w:hAnsi="宋体"/>
          <w:color w:val="auto"/>
          <w:kern w:val="0"/>
          <w:sz w:val="24"/>
          <w:szCs w:val="24"/>
          <w:highlight w:val="none"/>
        </w:rPr>
        <w:t>⑶合同解除后，因解除合同给发包人造成的损失；</w:t>
      </w:r>
    </w:p>
    <w:p w14:paraId="6B86347A">
      <w:pPr>
        <w:spacing w:line="360" w:lineRule="auto"/>
        <w:ind w:firstLine="480" w:firstLineChars="200"/>
        <w:rPr>
          <w:rFonts w:ascii="宋体" w:hAnsi="宋体"/>
          <w:color w:val="auto"/>
          <w:kern w:val="0"/>
          <w:sz w:val="24"/>
          <w:szCs w:val="24"/>
          <w:highlight w:val="none"/>
        </w:rPr>
      </w:pPr>
      <w:r>
        <w:rPr>
          <w:rFonts w:hint="eastAsia" w:ascii="宋体" w:hAnsi="宋体"/>
          <w:color w:val="auto"/>
          <w:kern w:val="0"/>
          <w:sz w:val="24"/>
          <w:szCs w:val="24"/>
          <w:highlight w:val="none"/>
        </w:rPr>
        <w:t>⑷</w:t>
      </w:r>
      <w:r>
        <w:rPr>
          <w:rFonts w:ascii="Times New Roman" w:hAnsi="宋体"/>
          <w:color w:val="auto"/>
          <w:kern w:val="0"/>
          <w:sz w:val="24"/>
          <w:szCs w:val="24"/>
          <w:highlight w:val="none"/>
        </w:rPr>
        <w:t>合同解除后，承包人应按照发包人要求和监理人的指示完成现场的清理和撤离；</w:t>
      </w:r>
    </w:p>
    <w:p w14:paraId="0EB8F57F">
      <w:pPr>
        <w:spacing w:line="360" w:lineRule="auto"/>
        <w:ind w:firstLine="480" w:firstLineChars="200"/>
        <w:rPr>
          <w:rFonts w:ascii="Times New Roman" w:hAnsi="Times New Roman"/>
          <w:color w:val="auto"/>
          <w:kern w:val="0"/>
          <w:sz w:val="24"/>
          <w:szCs w:val="24"/>
          <w:highlight w:val="none"/>
        </w:rPr>
      </w:pPr>
      <w:r>
        <w:rPr>
          <w:rFonts w:hint="eastAsia" w:ascii="宋体" w:hAnsi="宋体"/>
          <w:color w:val="auto"/>
          <w:kern w:val="0"/>
          <w:sz w:val="24"/>
          <w:szCs w:val="24"/>
          <w:highlight w:val="none"/>
        </w:rPr>
        <w:t>⑸</w:t>
      </w:r>
      <w:r>
        <w:rPr>
          <w:rFonts w:ascii="Times New Roman" w:hAnsi="宋体"/>
          <w:color w:val="auto"/>
          <w:kern w:val="0"/>
          <w:sz w:val="24"/>
          <w:szCs w:val="24"/>
          <w:highlight w:val="none"/>
        </w:rPr>
        <w:t>发包人和承包人应在合同解除后进行清算，出具最终结清付款证书，结清全部款项。</w:t>
      </w:r>
    </w:p>
    <w:p w14:paraId="37CD5400">
      <w:pPr>
        <w:spacing w:line="360" w:lineRule="auto"/>
        <w:ind w:firstLine="480" w:firstLineChars="200"/>
        <w:rPr>
          <w:rFonts w:ascii="Times New Roman" w:hAnsi="Times New Roman"/>
          <w:color w:val="auto"/>
          <w:kern w:val="0"/>
          <w:sz w:val="24"/>
          <w:szCs w:val="24"/>
          <w:highlight w:val="none"/>
        </w:rPr>
      </w:pPr>
      <w:r>
        <w:rPr>
          <w:rFonts w:ascii="Times New Roman" w:hAnsi="宋体"/>
          <w:color w:val="auto"/>
          <w:kern w:val="0"/>
          <w:sz w:val="24"/>
          <w:szCs w:val="24"/>
          <w:highlight w:val="none"/>
        </w:rPr>
        <w:t>因承包人违约解除合同的，发包人有权暂停对承包人的付款，查清各项付款和已扣款项。发包人和承包人未能就合同解除后的清算和款项支付达成一致的，按照第</w:t>
      </w:r>
      <w:r>
        <w:rPr>
          <w:rFonts w:hint="eastAsia" w:ascii="Times New Roman" w:hAnsi="Times New Roman"/>
          <w:color w:val="auto"/>
          <w:kern w:val="0"/>
          <w:sz w:val="24"/>
          <w:szCs w:val="24"/>
          <w:highlight w:val="none"/>
        </w:rPr>
        <w:t>18</w:t>
      </w:r>
      <w:r>
        <w:rPr>
          <w:rFonts w:ascii="Times New Roman" w:hAnsi="宋体"/>
          <w:color w:val="auto"/>
          <w:kern w:val="0"/>
          <w:sz w:val="24"/>
          <w:szCs w:val="24"/>
          <w:highlight w:val="none"/>
        </w:rPr>
        <w:t>条〔争议解决〕的约定处理。</w:t>
      </w:r>
    </w:p>
    <w:p w14:paraId="5C32AF6B">
      <w:pPr>
        <w:pStyle w:val="248"/>
        <w:spacing w:beforeLines="100" w:after="0" w:line="360" w:lineRule="auto"/>
        <w:rPr>
          <w:color w:val="auto"/>
          <w:sz w:val="24"/>
          <w:szCs w:val="24"/>
          <w:highlight w:val="none"/>
        </w:rPr>
      </w:pPr>
      <w:bookmarkStart w:id="697" w:name="_Toc373227769"/>
      <w:bookmarkStart w:id="698" w:name="_Toc351203649"/>
      <w:bookmarkStart w:id="699" w:name="_Toc389065334"/>
      <w:bookmarkStart w:id="700" w:name="_Toc467599631"/>
      <w:bookmarkStart w:id="701" w:name="_Toc373478416"/>
      <w:bookmarkStart w:id="702" w:name="_Toc337558823"/>
      <w:bookmarkStart w:id="703" w:name="_Toc351203607"/>
      <w:bookmarkStart w:id="704" w:name="_Toc296503116"/>
      <w:bookmarkStart w:id="705" w:name="_Toc296346617"/>
      <w:r>
        <w:rPr>
          <w:color w:val="auto"/>
          <w:sz w:val="24"/>
          <w:szCs w:val="24"/>
          <w:highlight w:val="none"/>
        </w:rPr>
        <w:t>1</w:t>
      </w:r>
      <w:r>
        <w:rPr>
          <w:rFonts w:hint="eastAsia"/>
          <w:color w:val="auto"/>
          <w:sz w:val="24"/>
          <w:szCs w:val="24"/>
          <w:highlight w:val="none"/>
        </w:rPr>
        <w:t>5</w:t>
      </w:r>
      <w:r>
        <w:rPr>
          <w:color w:val="auto"/>
          <w:sz w:val="24"/>
          <w:szCs w:val="24"/>
          <w:highlight w:val="none"/>
        </w:rPr>
        <w:t xml:space="preserve">. </w:t>
      </w:r>
      <w:r>
        <w:rPr>
          <w:rFonts w:hAnsi="宋体"/>
          <w:color w:val="auto"/>
          <w:sz w:val="24"/>
          <w:szCs w:val="24"/>
          <w:highlight w:val="none"/>
        </w:rPr>
        <w:t>不可抗力</w:t>
      </w:r>
      <w:bookmarkEnd w:id="697"/>
      <w:bookmarkEnd w:id="698"/>
      <w:bookmarkEnd w:id="699"/>
      <w:bookmarkEnd w:id="700"/>
      <w:bookmarkEnd w:id="701"/>
      <w:r>
        <w:rPr>
          <w:color w:val="auto"/>
          <w:sz w:val="24"/>
          <w:szCs w:val="24"/>
          <w:highlight w:val="none"/>
        </w:rPr>
        <w:t xml:space="preserve"> </w:t>
      </w:r>
    </w:p>
    <w:p w14:paraId="58C330E0">
      <w:pPr>
        <w:pStyle w:val="248"/>
        <w:spacing w:before="0" w:after="0" w:line="360" w:lineRule="auto"/>
        <w:ind w:firstLine="236" w:firstLineChars="98"/>
        <w:rPr>
          <w:color w:val="auto"/>
          <w:sz w:val="24"/>
          <w:szCs w:val="24"/>
          <w:highlight w:val="none"/>
        </w:rPr>
      </w:pPr>
      <w:bookmarkStart w:id="706" w:name="_Toc467599632"/>
      <w:bookmarkStart w:id="707" w:name="_Toc389065335"/>
      <w:bookmarkStart w:id="708" w:name="_Toc373478417"/>
      <w:bookmarkStart w:id="709" w:name="_Toc373227770"/>
      <w:r>
        <w:rPr>
          <w:color w:val="auto"/>
          <w:sz w:val="24"/>
          <w:szCs w:val="24"/>
          <w:highlight w:val="none"/>
        </w:rPr>
        <w:t>1</w:t>
      </w:r>
      <w:r>
        <w:rPr>
          <w:rFonts w:hint="eastAsia"/>
          <w:color w:val="auto"/>
          <w:sz w:val="24"/>
          <w:szCs w:val="24"/>
          <w:highlight w:val="none"/>
        </w:rPr>
        <w:t>5</w:t>
      </w:r>
      <w:r>
        <w:rPr>
          <w:color w:val="auto"/>
          <w:sz w:val="24"/>
          <w:szCs w:val="24"/>
          <w:highlight w:val="none"/>
        </w:rPr>
        <w:t xml:space="preserve">.1 </w:t>
      </w:r>
      <w:r>
        <w:rPr>
          <w:rFonts w:hAnsi="宋体"/>
          <w:color w:val="auto"/>
          <w:sz w:val="24"/>
          <w:szCs w:val="24"/>
          <w:highlight w:val="none"/>
        </w:rPr>
        <w:t>不可抗力的确认</w:t>
      </w:r>
      <w:bookmarkEnd w:id="706"/>
      <w:bookmarkEnd w:id="707"/>
      <w:bookmarkEnd w:id="708"/>
      <w:bookmarkEnd w:id="709"/>
    </w:p>
    <w:p w14:paraId="4513484A">
      <w:pPr>
        <w:autoSpaceDE w:val="0"/>
        <w:autoSpaceDN w:val="0"/>
        <w:adjustRightInd w:val="0"/>
        <w:spacing w:line="360" w:lineRule="auto"/>
        <w:ind w:firstLine="480" w:firstLineChars="200"/>
        <w:rPr>
          <w:rFonts w:hint="eastAsia" w:ascii="Times New Roman" w:hAnsi="宋体"/>
          <w:color w:val="auto"/>
          <w:kern w:val="0"/>
          <w:sz w:val="24"/>
          <w:szCs w:val="24"/>
          <w:highlight w:val="none"/>
        </w:rPr>
      </w:pPr>
      <w:r>
        <w:rPr>
          <w:rFonts w:hint="eastAsia" w:ascii="Times New Roman" w:hAnsi="宋体"/>
          <w:color w:val="auto"/>
          <w:kern w:val="0"/>
          <w:sz w:val="24"/>
          <w:szCs w:val="24"/>
          <w:highlight w:val="none"/>
        </w:rPr>
        <w:t xml:space="preserve">15.1.1 </w:t>
      </w:r>
      <w:r>
        <w:rPr>
          <w:rFonts w:ascii="Times New Roman" w:hAnsi="宋体"/>
          <w:color w:val="auto"/>
          <w:kern w:val="0"/>
          <w:sz w:val="24"/>
          <w:szCs w:val="24"/>
          <w:highlight w:val="none"/>
        </w:rPr>
        <w:t>不可抗力是指合同当事人在签订合同时不可预见，在合同履行过程中不可避免且不能克服的自然灾害和社会性突发事件。</w:t>
      </w:r>
    </w:p>
    <w:p w14:paraId="36646A8E">
      <w:pPr>
        <w:autoSpaceDE w:val="0"/>
        <w:autoSpaceDN w:val="0"/>
        <w:adjustRightInd w:val="0"/>
        <w:spacing w:line="360" w:lineRule="auto"/>
        <w:ind w:firstLine="480" w:firstLineChars="200"/>
        <w:rPr>
          <w:rFonts w:ascii="Times New Roman" w:hAnsi="Times New Roman"/>
          <w:color w:val="auto"/>
          <w:kern w:val="0"/>
          <w:sz w:val="24"/>
          <w:szCs w:val="24"/>
          <w:highlight w:val="none"/>
        </w:rPr>
      </w:pPr>
      <w:r>
        <w:rPr>
          <w:rFonts w:ascii="Times New Roman" w:hAnsi="宋体"/>
          <w:color w:val="auto"/>
          <w:kern w:val="0"/>
          <w:sz w:val="24"/>
          <w:szCs w:val="24"/>
          <w:highlight w:val="none"/>
        </w:rPr>
        <w:t>不可抗力引起的后果及造成的损失由合同当事人按照法律规定及合同约定各自承担。不可抗力发生前已完成的工程应当按照合同约定进行计量支付。合同当事人对是否属于不可抗力或其损失的意见发生争议时，按第</w:t>
      </w:r>
      <w:r>
        <w:rPr>
          <w:rFonts w:hint="eastAsia" w:ascii="Times New Roman" w:hAnsi="Times New Roman"/>
          <w:color w:val="auto"/>
          <w:kern w:val="0"/>
          <w:sz w:val="24"/>
          <w:szCs w:val="24"/>
          <w:highlight w:val="none"/>
        </w:rPr>
        <w:t>18</w:t>
      </w:r>
      <w:r>
        <w:rPr>
          <w:rFonts w:ascii="Times New Roman" w:hAnsi="宋体"/>
          <w:color w:val="auto"/>
          <w:kern w:val="0"/>
          <w:sz w:val="24"/>
          <w:szCs w:val="24"/>
          <w:highlight w:val="none"/>
        </w:rPr>
        <w:t>条〔争议解决〕的约定处理。</w:t>
      </w:r>
    </w:p>
    <w:p w14:paraId="20DDCE7B">
      <w:pPr>
        <w:autoSpaceDE w:val="0"/>
        <w:autoSpaceDN w:val="0"/>
        <w:adjustRightInd w:val="0"/>
        <w:spacing w:line="360" w:lineRule="auto"/>
        <w:ind w:firstLine="480" w:firstLineChars="200"/>
        <w:rPr>
          <w:rFonts w:ascii="Times New Roman" w:hAnsi="Times New Roman"/>
          <w:color w:val="auto"/>
          <w:kern w:val="0"/>
          <w:sz w:val="24"/>
          <w:szCs w:val="24"/>
          <w:highlight w:val="none"/>
        </w:rPr>
      </w:pPr>
      <w:bookmarkStart w:id="710" w:name="_Toc373227771"/>
      <w:bookmarkStart w:id="711" w:name="_Toc373478418"/>
      <w:bookmarkStart w:id="712" w:name="_Toc389065336"/>
      <w:bookmarkStart w:id="713" w:name="_Toc467599633"/>
      <w:r>
        <w:rPr>
          <w:rFonts w:hint="eastAsia" w:ascii="Times New Roman" w:hAnsi="宋体"/>
          <w:color w:val="auto"/>
          <w:kern w:val="0"/>
          <w:sz w:val="24"/>
          <w:szCs w:val="24"/>
          <w:highlight w:val="none"/>
        </w:rPr>
        <w:t xml:space="preserve">15.1.2 </w:t>
      </w:r>
      <w:r>
        <w:rPr>
          <w:rFonts w:ascii="Times New Roman" w:hAnsi="宋体"/>
          <w:color w:val="auto"/>
          <w:kern w:val="0"/>
          <w:sz w:val="24"/>
          <w:szCs w:val="24"/>
          <w:highlight w:val="none"/>
        </w:rPr>
        <w:t>不可抗力导致的人员伤亡、财产损失、费用增加和（或）工期延误等后果，由合同当事人按以下原则承担：</w:t>
      </w:r>
    </w:p>
    <w:p w14:paraId="3275B7A0">
      <w:pPr>
        <w:autoSpaceDE w:val="0"/>
        <w:autoSpaceDN w:val="0"/>
        <w:adjustRightInd w:val="0"/>
        <w:spacing w:line="360" w:lineRule="auto"/>
        <w:ind w:firstLine="480" w:firstLineChars="200"/>
        <w:rPr>
          <w:rFonts w:ascii="Times New Roman" w:hAnsi="Times New Roman"/>
          <w:color w:val="auto"/>
          <w:kern w:val="0"/>
          <w:sz w:val="24"/>
          <w:szCs w:val="24"/>
          <w:highlight w:val="none"/>
        </w:rPr>
      </w:pPr>
      <w:r>
        <w:rPr>
          <w:rFonts w:ascii="Times New Roman" w:hAnsi="宋体"/>
          <w:color w:val="auto"/>
          <w:kern w:val="0"/>
          <w:sz w:val="24"/>
          <w:szCs w:val="24"/>
          <w:highlight w:val="none"/>
        </w:rPr>
        <w:t>⑴永久工程、已运至施工现场的材料和工程设备的损坏，以及因工程损坏造成的第三人人员伤亡和财产损失由发包人承担；</w:t>
      </w:r>
    </w:p>
    <w:p w14:paraId="58C832BE">
      <w:pPr>
        <w:autoSpaceDE w:val="0"/>
        <w:autoSpaceDN w:val="0"/>
        <w:adjustRightInd w:val="0"/>
        <w:spacing w:line="360" w:lineRule="auto"/>
        <w:ind w:firstLine="480" w:firstLineChars="200"/>
        <w:rPr>
          <w:rFonts w:ascii="Times New Roman" w:hAnsi="Times New Roman"/>
          <w:color w:val="auto"/>
          <w:kern w:val="0"/>
          <w:sz w:val="24"/>
          <w:szCs w:val="24"/>
          <w:highlight w:val="none"/>
        </w:rPr>
      </w:pPr>
      <w:r>
        <w:rPr>
          <w:rFonts w:ascii="Times New Roman" w:hAnsi="宋体"/>
          <w:color w:val="auto"/>
          <w:kern w:val="0"/>
          <w:sz w:val="24"/>
          <w:szCs w:val="24"/>
          <w:highlight w:val="none"/>
        </w:rPr>
        <w:t>⑵承包人施工设备的损坏由承包人承担；</w:t>
      </w:r>
    </w:p>
    <w:p w14:paraId="77E6CF58">
      <w:pPr>
        <w:autoSpaceDE w:val="0"/>
        <w:autoSpaceDN w:val="0"/>
        <w:adjustRightInd w:val="0"/>
        <w:spacing w:line="360" w:lineRule="auto"/>
        <w:ind w:firstLine="480" w:firstLineChars="200"/>
        <w:rPr>
          <w:rFonts w:ascii="宋体" w:hAnsi="宋体"/>
          <w:color w:val="auto"/>
          <w:kern w:val="0"/>
          <w:sz w:val="24"/>
          <w:szCs w:val="24"/>
          <w:highlight w:val="none"/>
        </w:rPr>
      </w:pPr>
      <w:r>
        <w:rPr>
          <w:rFonts w:ascii="Times New Roman" w:hAnsi="宋体"/>
          <w:color w:val="auto"/>
          <w:kern w:val="0"/>
          <w:sz w:val="24"/>
          <w:szCs w:val="24"/>
          <w:highlight w:val="none"/>
        </w:rPr>
        <w:t>⑶发包人和承包人承担各自人员伤亡和财产的损失；</w:t>
      </w:r>
    </w:p>
    <w:p w14:paraId="30FAACBE">
      <w:pPr>
        <w:autoSpaceDE w:val="0"/>
        <w:autoSpaceDN w:val="0"/>
        <w:adjustRightInd w:val="0"/>
        <w:spacing w:line="360" w:lineRule="auto"/>
        <w:ind w:firstLine="480" w:firstLineChars="200"/>
        <w:rPr>
          <w:rFonts w:ascii="宋体" w:hAnsi="宋体"/>
          <w:color w:val="auto"/>
          <w:kern w:val="0"/>
          <w:sz w:val="24"/>
          <w:szCs w:val="24"/>
          <w:highlight w:val="none"/>
        </w:rPr>
      </w:pPr>
      <w:r>
        <w:rPr>
          <w:rFonts w:hint="eastAsia" w:ascii="宋体" w:hAnsi="宋体"/>
          <w:color w:val="auto"/>
          <w:kern w:val="0"/>
          <w:sz w:val="24"/>
          <w:szCs w:val="24"/>
          <w:highlight w:val="none"/>
        </w:rPr>
        <w:t>⑷</w:t>
      </w:r>
      <w:r>
        <w:rPr>
          <w:rFonts w:ascii="Times New Roman" w:hAnsi="宋体"/>
          <w:color w:val="auto"/>
          <w:kern w:val="0"/>
          <w:sz w:val="24"/>
          <w:szCs w:val="24"/>
          <w:highlight w:val="none"/>
        </w:rPr>
        <w:t>因不可抗力影响承包人履行合同约定的义务，已经引起或将引起工期延误的，应当顺延工期，由此导致承包人停工的费用损失由发包人和承包人合理分担，停工期间必须支付的工人工资由发包人承担；</w:t>
      </w:r>
    </w:p>
    <w:p w14:paraId="0789EA3E">
      <w:pPr>
        <w:autoSpaceDE w:val="0"/>
        <w:autoSpaceDN w:val="0"/>
        <w:adjustRightInd w:val="0"/>
        <w:spacing w:line="360" w:lineRule="auto"/>
        <w:ind w:firstLine="480" w:firstLineChars="200"/>
        <w:rPr>
          <w:rFonts w:ascii="宋体" w:hAnsi="宋体"/>
          <w:color w:val="auto"/>
          <w:kern w:val="0"/>
          <w:sz w:val="24"/>
          <w:szCs w:val="24"/>
          <w:highlight w:val="none"/>
        </w:rPr>
      </w:pPr>
      <w:r>
        <w:rPr>
          <w:rFonts w:hint="eastAsia" w:ascii="宋体" w:hAnsi="宋体"/>
          <w:color w:val="auto"/>
          <w:kern w:val="0"/>
          <w:sz w:val="24"/>
          <w:szCs w:val="24"/>
          <w:highlight w:val="none"/>
        </w:rPr>
        <w:t>⑸</w:t>
      </w:r>
      <w:r>
        <w:rPr>
          <w:rFonts w:ascii="Times New Roman" w:hAnsi="宋体"/>
          <w:color w:val="auto"/>
          <w:kern w:val="0"/>
          <w:sz w:val="24"/>
          <w:szCs w:val="24"/>
          <w:highlight w:val="none"/>
        </w:rPr>
        <w:t>因不可抗力引起或将引起工期延误，发包人要求赶工的，由此增加的赶工费用由发包人承担；</w:t>
      </w:r>
    </w:p>
    <w:p w14:paraId="4E83A6DD">
      <w:pPr>
        <w:autoSpaceDE w:val="0"/>
        <w:autoSpaceDN w:val="0"/>
        <w:adjustRightInd w:val="0"/>
        <w:spacing w:line="360" w:lineRule="auto"/>
        <w:ind w:firstLine="480" w:firstLineChars="200"/>
        <w:rPr>
          <w:rFonts w:ascii="Times New Roman" w:hAnsi="Times New Roman"/>
          <w:color w:val="auto"/>
          <w:kern w:val="0"/>
          <w:sz w:val="24"/>
          <w:szCs w:val="24"/>
          <w:highlight w:val="none"/>
        </w:rPr>
      </w:pPr>
      <w:r>
        <w:rPr>
          <w:rFonts w:hint="eastAsia" w:ascii="宋体" w:hAnsi="宋体"/>
          <w:color w:val="auto"/>
          <w:kern w:val="0"/>
          <w:sz w:val="24"/>
          <w:szCs w:val="24"/>
          <w:highlight w:val="none"/>
        </w:rPr>
        <w:t>⑹</w:t>
      </w:r>
      <w:r>
        <w:rPr>
          <w:rFonts w:ascii="Times New Roman" w:hAnsi="宋体"/>
          <w:color w:val="auto"/>
          <w:kern w:val="0"/>
          <w:sz w:val="24"/>
          <w:szCs w:val="24"/>
          <w:highlight w:val="none"/>
        </w:rPr>
        <w:t>承包人在停工期间按照发包人要求照管、清理和修复工程的费用由发包人承担。</w:t>
      </w:r>
    </w:p>
    <w:p w14:paraId="66907E4A">
      <w:pPr>
        <w:autoSpaceDE w:val="0"/>
        <w:autoSpaceDN w:val="0"/>
        <w:adjustRightInd w:val="0"/>
        <w:spacing w:line="360" w:lineRule="auto"/>
        <w:ind w:firstLine="480" w:firstLineChars="200"/>
        <w:rPr>
          <w:rFonts w:ascii="Times New Roman" w:hAnsi="Times New Roman"/>
          <w:color w:val="auto"/>
          <w:kern w:val="0"/>
          <w:sz w:val="24"/>
          <w:szCs w:val="24"/>
          <w:highlight w:val="none"/>
        </w:rPr>
      </w:pPr>
      <w:r>
        <w:rPr>
          <w:rFonts w:ascii="Times New Roman" w:hAnsi="宋体"/>
          <w:color w:val="auto"/>
          <w:kern w:val="0"/>
          <w:sz w:val="24"/>
          <w:szCs w:val="24"/>
          <w:highlight w:val="none"/>
        </w:rPr>
        <w:t>不可抗力发生后，合同当事人均应采取措施尽量避免和减少损失的扩大，任何一方当事人没有采取有效措施导致损失扩大的，应对扩大的损失承担责任。</w:t>
      </w:r>
    </w:p>
    <w:p w14:paraId="7F139D11">
      <w:pPr>
        <w:pStyle w:val="248"/>
        <w:spacing w:before="0" w:after="0" w:line="360" w:lineRule="auto"/>
        <w:ind w:firstLine="470" w:firstLineChars="196"/>
        <w:rPr>
          <w:rFonts w:hint="eastAsia" w:hAnsi="宋体"/>
          <w:b w:val="0"/>
          <w:color w:val="auto"/>
          <w:kern w:val="0"/>
          <w:sz w:val="24"/>
          <w:szCs w:val="24"/>
          <w:highlight w:val="none"/>
        </w:rPr>
      </w:pPr>
      <w:r>
        <w:rPr>
          <w:rFonts w:hAnsi="宋体"/>
          <w:b w:val="0"/>
          <w:color w:val="auto"/>
          <w:kern w:val="0"/>
          <w:sz w:val="24"/>
          <w:szCs w:val="24"/>
          <w:highlight w:val="none"/>
        </w:rPr>
        <w:t>因合同一方迟延履行合同义务，在迟延履行期间遭遇不可抗力的，不免除其违约责任。</w:t>
      </w:r>
    </w:p>
    <w:p w14:paraId="1CC653D4">
      <w:pPr>
        <w:pStyle w:val="248"/>
        <w:spacing w:before="0" w:after="0" w:line="360" w:lineRule="auto"/>
        <w:ind w:firstLine="236" w:firstLineChars="98"/>
        <w:rPr>
          <w:color w:val="auto"/>
          <w:sz w:val="24"/>
          <w:szCs w:val="24"/>
          <w:highlight w:val="none"/>
        </w:rPr>
      </w:pPr>
      <w:r>
        <w:rPr>
          <w:color w:val="auto"/>
          <w:sz w:val="24"/>
          <w:szCs w:val="24"/>
          <w:highlight w:val="none"/>
        </w:rPr>
        <w:t>1</w:t>
      </w:r>
      <w:r>
        <w:rPr>
          <w:rFonts w:hint="eastAsia"/>
          <w:color w:val="auto"/>
          <w:sz w:val="24"/>
          <w:szCs w:val="24"/>
          <w:highlight w:val="none"/>
        </w:rPr>
        <w:t>5</w:t>
      </w:r>
      <w:r>
        <w:rPr>
          <w:color w:val="auto"/>
          <w:sz w:val="24"/>
          <w:szCs w:val="24"/>
          <w:highlight w:val="none"/>
        </w:rPr>
        <w:t xml:space="preserve">.2 </w:t>
      </w:r>
      <w:r>
        <w:rPr>
          <w:rFonts w:hAnsi="宋体"/>
          <w:color w:val="auto"/>
          <w:sz w:val="24"/>
          <w:szCs w:val="24"/>
          <w:highlight w:val="none"/>
        </w:rPr>
        <w:t>因不可抗力解除合同</w:t>
      </w:r>
      <w:bookmarkEnd w:id="710"/>
      <w:bookmarkEnd w:id="711"/>
      <w:bookmarkEnd w:id="712"/>
      <w:bookmarkEnd w:id="713"/>
    </w:p>
    <w:p w14:paraId="59919B21">
      <w:pPr>
        <w:pStyle w:val="230"/>
        <w:spacing w:line="360" w:lineRule="auto"/>
        <w:ind w:firstLine="480" w:firstLineChars="200"/>
        <w:rPr>
          <w:color w:val="auto"/>
          <w:sz w:val="24"/>
          <w:szCs w:val="24"/>
          <w:highlight w:val="none"/>
        </w:rPr>
      </w:pPr>
      <w:r>
        <w:rPr>
          <w:rFonts w:hAnsi="宋体"/>
          <w:color w:val="auto"/>
          <w:kern w:val="0"/>
          <w:sz w:val="24"/>
          <w:szCs w:val="24"/>
          <w:highlight w:val="none"/>
        </w:rPr>
        <w:t>因不可抗力导致合同无法履行，发包人和承包人均有权解除合同。</w:t>
      </w:r>
      <w:r>
        <w:rPr>
          <w:rFonts w:hAnsi="宋体"/>
          <w:color w:val="auto"/>
          <w:sz w:val="24"/>
          <w:szCs w:val="24"/>
          <w:highlight w:val="none"/>
        </w:rPr>
        <w:t>合同解除后，发包人应在商定或确定发包人应支付款项后</w:t>
      </w:r>
      <w:r>
        <w:rPr>
          <w:color w:val="auto"/>
          <w:sz w:val="24"/>
          <w:szCs w:val="24"/>
          <w:highlight w:val="none"/>
          <w:u w:val="single"/>
        </w:rPr>
        <w:t xml:space="preserve">  60 </w:t>
      </w:r>
      <w:r>
        <w:rPr>
          <w:rFonts w:hAnsi="宋体"/>
          <w:color w:val="auto"/>
          <w:sz w:val="24"/>
          <w:szCs w:val="24"/>
          <w:highlight w:val="none"/>
        </w:rPr>
        <w:t>天内完成款项的支付。</w:t>
      </w:r>
    </w:p>
    <w:bookmarkEnd w:id="702"/>
    <w:bookmarkEnd w:id="703"/>
    <w:bookmarkEnd w:id="704"/>
    <w:bookmarkEnd w:id="705"/>
    <w:p w14:paraId="3911477C">
      <w:pPr>
        <w:pStyle w:val="5"/>
        <w:spacing w:beforeLines="100" w:after="0" w:line="360" w:lineRule="auto"/>
        <w:rPr>
          <w:rFonts w:ascii="Times New Roman" w:hAnsi="Times New Roman"/>
          <w:color w:val="auto"/>
          <w:sz w:val="24"/>
          <w:szCs w:val="24"/>
          <w:highlight w:val="none"/>
        </w:rPr>
      </w:pPr>
      <w:bookmarkStart w:id="714" w:name="_Toc351203612"/>
      <w:bookmarkStart w:id="715" w:name="_Toc296503120"/>
      <w:bookmarkStart w:id="716" w:name="_Toc296346621"/>
      <w:bookmarkStart w:id="717" w:name="_Toc337558828"/>
      <w:r>
        <w:rPr>
          <w:rFonts w:ascii="Times New Roman" w:hAnsi="Times New Roman"/>
          <w:color w:val="auto"/>
          <w:sz w:val="24"/>
          <w:szCs w:val="24"/>
          <w:highlight w:val="none"/>
        </w:rPr>
        <w:t>1</w:t>
      </w:r>
      <w:r>
        <w:rPr>
          <w:rFonts w:hint="eastAsia" w:ascii="Times New Roman" w:hAnsi="Times New Roman"/>
          <w:color w:val="auto"/>
          <w:sz w:val="24"/>
          <w:szCs w:val="24"/>
          <w:highlight w:val="none"/>
        </w:rPr>
        <w:t>6</w:t>
      </w:r>
      <w:r>
        <w:rPr>
          <w:rFonts w:ascii="Times New Roman" w:hAnsi="Times New Roman"/>
          <w:color w:val="auto"/>
          <w:sz w:val="24"/>
          <w:szCs w:val="24"/>
          <w:highlight w:val="none"/>
        </w:rPr>
        <w:t xml:space="preserve">. </w:t>
      </w:r>
      <w:r>
        <w:rPr>
          <w:rFonts w:ascii="Times New Roman" w:hAnsi="宋体"/>
          <w:color w:val="auto"/>
          <w:sz w:val="24"/>
          <w:szCs w:val="24"/>
          <w:highlight w:val="none"/>
        </w:rPr>
        <w:t>保险</w:t>
      </w:r>
      <w:bookmarkEnd w:id="714"/>
    </w:p>
    <w:bookmarkEnd w:id="715"/>
    <w:bookmarkEnd w:id="716"/>
    <w:bookmarkEnd w:id="717"/>
    <w:p w14:paraId="37C79563">
      <w:pPr>
        <w:autoSpaceDE w:val="0"/>
        <w:autoSpaceDN w:val="0"/>
        <w:adjustRightInd w:val="0"/>
        <w:spacing w:line="360" w:lineRule="auto"/>
        <w:ind w:firstLine="480" w:firstLineChars="200"/>
        <w:rPr>
          <w:rFonts w:ascii="Times New Roman" w:hAnsi="Times New Roman"/>
          <w:color w:val="auto"/>
          <w:kern w:val="0"/>
          <w:sz w:val="24"/>
          <w:szCs w:val="24"/>
          <w:highlight w:val="none"/>
        </w:rPr>
      </w:pPr>
      <w:r>
        <w:rPr>
          <w:rFonts w:ascii="Times New Roman" w:hAnsi="宋体"/>
          <w:color w:val="auto"/>
          <w:kern w:val="0"/>
          <w:sz w:val="24"/>
          <w:szCs w:val="24"/>
          <w:highlight w:val="none"/>
        </w:rPr>
        <w:t>承包人应依照法律规定参加工伤保险，并为其履行合同的全部员工办理工伤保险，缴纳工伤保险费。</w:t>
      </w:r>
    </w:p>
    <w:p w14:paraId="32C7C7D6">
      <w:pPr>
        <w:spacing w:line="360" w:lineRule="auto"/>
        <w:ind w:firstLine="480" w:firstLineChars="200"/>
        <w:rPr>
          <w:rFonts w:ascii="Times New Roman" w:hAnsi="Times New Roman"/>
          <w:color w:val="auto"/>
          <w:sz w:val="24"/>
          <w:szCs w:val="24"/>
          <w:highlight w:val="none"/>
        </w:rPr>
      </w:pPr>
      <w:r>
        <w:rPr>
          <w:rFonts w:ascii="Times New Roman" w:hAnsi="宋体"/>
          <w:color w:val="auto"/>
          <w:sz w:val="24"/>
          <w:szCs w:val="24"/>
          <w:highlight w:val="none"/>
        </w:rPr>
        <w:t>承包人</w:t>
      </w:r>
      <w:r>
        <w:rPr>
          <w:rFonts w:hint="eastAsia" w:ascii="Times New Roman" w:hAnsi="宋体"/>
          <w:color w:val="auto"/>
          <w:sz w:val="24"/>
          <w:szCs w:val="24"/>
          <w:highlight w:val="none"/>
        </w:rPr>
        <w:t>应</w:t>
      </w:r>
      <w:r>
        <w:rPr>
          <w:rFonts w:ascii="Times New Roman" w:hAnsi="宋体"/>
          <w:color w:val="auto"/>
          <w:sz w:val="24"/>
          <w:szCs w:val="24"/>
          <w:highlight w:val="none"/>
        </w:rPr>
        <w:t>为其施工现场的全部人员办理意外伤害保险并支付保险费。</w:t>
      </w:r>
    </w:p>
    <w:p w14:paraId="503F8F03">
      <w:pPr>
        <w:spacing w:line="360" w:lineRule="auto"/>
        <w:ind w:firstLine="480" w:firstLineChars="200"/>
        <w:rPr>
          <w:rFonts w:ascii="Times New Roman" w:hAnsi="Times New Roman"/>
          <w:color w:val="auto"/>
          <w:sz w:val="24"/>
          <w:szCs w:val="24"/>
          <w:highlight w:val="none"/>
        </w:rPr>
      </w:pPr>
      <w:r>
        <w:rPr>
          <w:rFonts w:ascii="Times New Roman" w:hAnsi="宋体"/>
          <w:color w:val="auto"/>
          <w:sz w:val="24"/>
          <w:szCs w:val="24"/>
          <w:highlight w:val="none"/>
        </w:rPr>
        <w:t>承包人未按合同约定办理保险，导致未能得到足额赔偿的，由承包人负责补足。</w:t>
      </w:r>
    </w:p>
    <w:p w14:paraId="0F54DF80">
      <w:pPr>
        <w:pStyle w:val="5"/>
        <w:spacing w:beforeLines="100" w:after="0" w:line="360" w:lineRule="auto"/>
        <w:rPr>
          <w:rFonts w:ascii="Times New Roman" w:hAnsi="Times New Roman"/>
          <w:color w:val="auto"/>
          <w:sz w:val="24"/>
          <w:szCs w:val="24"/>
          <w:highlight w:val="none"/>
        </w:rPr>
      </w:pPr>
      <w:bookmarkStart w:id="718" w:name="_Toc351203620"/>
      <w:bookmarkStart w:id="719" w:name="_Toc296503140"/>
      <w:bookmarkStart w:id="720" w:name="_Toc337558835"/>
      <w:bookmarkStart w:id="721" w:name="_Toc296346641"/>
      <w:r>
        <w:rPr>
          <w:rFonts w:ascii="Times New Roman" w:hAnsi="Times New Roman"/>
          <w:color w:val="auto"/>
          <w:sz w:val="24"/>
          <w:szCs w:val="24"/>
          <w:highlight w:val="none"/>
        </w:rPr>
        <w:t>1</w:t>
      </w:r>
      <w:r>
        <w:rPr>
          <w:rFonts w:hint="eastAsia" w:ascii="Times New Roman" w:hAnsi="Times New Roman"/>
          <w:color w:val="auto"/>
          <w:sz w:val="24"/>
          <w:szCs w:val="24"/>
          <w:highlight w:val="none"/>
        </w:rPr>
        <w:t>7</w:t>
      </w:r>
      <w:r>
        <w:rPr>
          <w:rFonts w:ascii="Times New Roman" w:hAnsi="Times New Roman"/>
          <w:color w:val="auto"/>
          <w:sz w:val="24"/>
          <w:szCs w:val="24"/>
          <w:highlight w:val="none"/>
        </w:rPr>
        <w:t xml:space="preserve">. </w:t>
      </w:r>
      <w:r>
        <w:rPr>
          <w:rFonts w:ascii="Times New Roman" w:hAnsi="宋体"/>
          <w:color w:val="auto"/>
          <w:sz w:val="24"/>
          <w:szCs w:val="24"/>
          <w:highlight w:val="none"/>
        </w:rPr>
        <w:t>索赔</w:t>
      </w:r>
      <w:bookmarkEnd w:id="718"/>
    </w:p>
    <w:bookmarkEnd w:id="719"/>
    <w:bookmarkEnd w:id="720"/>
    <w:bookmarkEnd w:id="721"/>
    <w:p w14:paraId="493A1E12">
      <w:pPr>
        <w:pStyle w:val="6"/>
        <w:spacing w:before="0" w:after="0" w:line="360" w:lineRule="auto"/>
        <w:ind w:firstLine="236" w:firstLineChars="98"/>
        <w:rPr>
          <w:rFonts w:ascii="Times New Roman" w:hAnsi="Times New Roman"/>
          <w:color w:val="auto"/>
          <w:sz w:val="24"/>
          <w:szCs w:val="24"/>
          <w:highlight w:val="none"/>
        </w:rPr>
      </w:pPr>
      <w:bookmarkStart w:id="722" w:name="_Toc351203621"/>
      <w:bookmarkStart w:id="723" w:name="_Toc296346642"/>
      <w:bookmarkStart w:id="724" w:name="_Toc337558836"/>
      <w:bookmarkStart w:id="725" w:name="_Toc296503141"/>
      <w:r>
        <w:rPr>
          <w:rFonts w:ascii="Times New Roman" w:hAnsi="Times New Roman"/>
          <w:color w:val="auto"/>
          <w:sz w:val="24"/>
          <w:szCs w:val="24"/>
          <w:highlight w:val="none"/>
        </w:rPr>
        <w:t>1</w:t>
      </w:r>
      <w:r>
        <w:rPr>
          <w:rFonts w:hint="eastAsia" w:ascii="Times New Roman" w:hAnsi="Times New Roman"/>
          <w:color w:val="auto"/>
          <w:sz w:val="24"/>
          <w:szCs w:val="24"/>
          <w:highlight w:val="none"/>
        </w:rPr>
        <w:t>7</w:t>
      </w:r>
      <w:r>
        <w:rPr>
          <w:rFonts w:ascii="Times New Roman" w:hAnsi="Times New Roman"/>
          <w:color w:val="auto"/>
          <w:sz w:val="24"/>
          <w:szCs w:val="24"/>
          <w:highlight w:val="none"/>
        </w:rPr>
        <w:t>.1</w:t>
      </w:r>
      <w:r>
        <w:rPr>
          <w:rFonts w:hint="eastAsia" w:ascii="Times New Roman" w:hAnsi="Times New Roman"/>
          <w:color w:val="auto"/>
          <w:sz w:val="24"/>
          <w:szCs w:val="24"/>
          <w:highlight w:val="none"/>
        </w:rPr>
        <w:t xml:space="preserve"> </w:t>
      </w:r>
      <w:r>
        <w:rPr>
          <w:rFonts w:ascii="Times New Roman" w:hAnsi="宋体"/>
          <w:color w:val="auto"/>
          <w:sz w:val="24"/>
          <w:szCs w:val="24"/>
          <w:highlight w:val="none"/>
        </w:rPr>
        <w:t>承包人的索赔</w:t>
      </w:r>
      <w:bookmarkEnd w:id="722"/>
    </w:p>
    <w:bookmarkEnd w:id="723"/>
    <w:bookmarkEnd w:id="724"/>
    <w:bookmarkEnd w:id="725"/>
    <w:p w14:paraId="11E02BC3">
      <w:pPr>
        <w:autoSpaceDE w:val="0"/>
        <w:autoSpaceDN w:val="0"/>
        <w:adjustRightInd w:val="0"/>
        <w:spacing w:line="360" w:lineRule="auto"/>
        <w:ind w:firstLine="480" w:firstLineChars="200"/>
        <w:rPr>
          <w:rFonts w:ascii="Times New Roman" w:hAnsi="Times New Roman"/>
          <w:color w:val="auto"/>
          <w:kern w:val="0"/>
          <w:sz w:val="24"/>
          <w:szCs w:val="24"/>
          <w:highlight w:val="none"/>
        </w:rPr>
      </w:pPr>
      <w:r>
        <w:rPr>
          <w:rFonts w:ascii="Times New Roman" w:hAnsi="宋体"/>
          <w:color w:val="auto"/>
          <w:kern w:val="0"/>
          <w:sz w:val="24"/>
          <w:szCs w:val="24"/>
          <w:highlight w:val="none"/>
        </w:rPr>
        <w:t>根据合同约定，承包人认为有权得到追加付款和（或）延长工期的，应按以下程序向发包人提出索赔：</w:t>
      </w:r>
    </w:p>
    <w:p w14:paraId="069E3B9D">
      <w:pPr>
        <w:autoSpaceDE w:val="0"/>
        <w:autoSpaceDN w:val="0"/>
        <w:adjustRightInd w:val="0"/>
        <w:spacing w:line="360" w:lineRule="auto"/>
        <w:ind w:firstLine="480" w:firstLineChars="200"/>
        <w:rPr>
          <w:rFonts w:ascii="Times New Roman" w:hAnsi="Times New Roman"/>
          <w:color w:val="auto"/>
          <w:kern w:val="0"/>
          <w:sz w:val="24"/>
          <w:szCs w:val="24"/>
          <w:highlight w:val="none"/>
        </w:rPr>
      </w:pPr>
      <w:r>
        <w:rPr>
          <w:rFonts w:ascii="Times New Roman" w:hAnsi="宋体"/>
          <w:color w:val="auto"/>
          <w:kern w:val="0"/>
          <w:sz w:val="24"/>
          <w:szCs w:val="24"/>
          <w:highlight w:val="none"/>
        </w:rPr>
        <w:t>⑴承包人应在知道或应当知道索赔事件发生后</w:t>
      </w:r>
      <w:r>
        <w:rPr>
          <w:rFonts w:ascii="Times New Roman" w:hAnsi="Times New Roman"/>
          <w:color w:val="auto"/>
          <w:kern w:val="0"/>
          <w:sz w:val="24"/>
          <w:szCs w:val="24"/>
          <w:highlight w:val="none"/>
        </w:rPr>
        <w:t>28</w:t>
      </w:r>
      <w:r>
        <w:rPr>
          <w:rFonts w:ascii="Times New Roman" w:hAnsi="宋体"/>
          <w:color w:val="auto"/>
          <w:kern w:val="0"/>
          <w:sz w:val="24"/>
          <w:szCs w:val="24"/>
          <w:highlight w:val="none"/>
        </w:rPr>
        <w:t>天内，向监理人递交索赔意向通知书，并说明发生索赔事件的事由；承包人未在前述</w:t>
      </w:r>
      <w:r>
        <w:rPr>
          <w:rFonts w:ascii="Times New Roman" w:hAnsi="Times New Roman"/>
          <w:color w:val="auto"/>
          <w:kern w:val="0"/>
          <w:sz w:val="24"/>
          <w:szCs w:val="24"/>
          <w:highlight w:val="none"/>
        </w:rPr>
        <w:t>28</w:t>
      </w:r>
      <w:r>
        <w:rPr>
          <w:rFonts w:ascii="Times New Roman" w:hAnsi="宋体"/>
          <w:color w:val="auto"/>
          <w:kern w:val="0"/>
          <w:sz w:val="24"/>
          <w:szCs w:val="24"/>
          <w:highlight w:val="none"/>
        </w:rPr>
        <w:t>天内发出索赔意向通知书的，丧失要求追加付款和（或）延长工期的权利；</w:t>
      </w:r>
    </w:p>
    <w:p w14:paraId="39861673">
      <w:pPr>
        <w:autoSpaceDE w:val="0"/>
        <w:autoSpaceDN w:val="0"/>
        <w:adjustRightInd w:val="0"/>
        <w:spacing w:line="360" w:lineRule="auto"/>
        <w:ind w:firstLine="480" w:firstLineChars="200"/>
        <w:rPr>
          <w:rFonts w:ascii="Times New Roman" w:hAnsi="Times New Roman"/>
          <w:color w:val="auto"/>
          <w:kern w:val="0"/>
          <w:sz w:val="24"/>
          <w:szCs w:val="24"/>
          <w:highlight w:val="none"/>
        </w:rPr>
      </w:pPr>
      <w:r>
        <w:rPr>
          <w:rFonts w:ascii="Times New Roman" w:hAnsi="宋体"/>
          <w:color w:val="auto"/>
          <w:kern w:val="0"/>
          <w:sz w:val="24"/>
          <w:szCs w:val="24"/>
          <w:highlight w:val="none"/>
        </w:rPr>
        <w:t>⑵承包人应在发出索赔意向通知书后</w:t>
      </w:r>
      <w:r>
        <w:rPr>
          <w:rFonts w:ascii="Times New Roman" w:hAnsi="Times New Roman"/>
          <w:color w:val="auto"/>
          <w:kern w:val="0"/>
          <w:sz w:val="24"/>
          <w:szCs w:val="24"/>
          <w:highlight w:val="none"/>
        </w:rPr>
        <w:t>28</w:t>
      </w:r>
      <w:r>
        <w:rPr>
          <w:rFonts w:ascii="Times New Roman" w:hAnsi="宋体"/>
          <w:color w:val="auto"/>
          <w:kern w:val="0"/>
          <w:sz w:val="24"/>
          <w:szCs w:val="24"/>
          <w:highlight w:val="none"/>
        </w:rPr>
        <w:t>天内，向监理人正式递交索赔报告；索赔报告应详细说明索赔理由以及要求追加的付款金额和（或）延长的工期，并附必要的记录和证明材料；</w:t>
      </w:r>
    </w:p>
    <w:p w14:paraId="738F8255">
      <w:pPr>
        <w:autoSpaceDE w:val="0"/>
        <w:autoSpaceDN w:val="0"/>
        <w:adjustRightInd w:val="0"/>
        <w:spacing w:line="360" w:lineRule="auto"/>
        <w:ind w:firstLine="480" w:firstLineChars="200"/>
        <w:rPr>
          <w:rFonts w:ascii="Times New Roman" w:hAnsi="Times New Roman"/>
          <w:color w:val="auto"/>
          <w:kern w:val="0"/>
          <w:sz w:val="24"/>
          <w:szCs w:val="24"/>
          <w:highlight w:val="none"/>
        </w:rPr>
      </w:pPr>
      <w:r>
        <w:rPr>
          <w:rFonts w:ascii="Times New Roman" w:hAnsi="宋体"/>
          <w:color w:val="auto"/>
          <w:kern w:val="0"/>
          <w:sz w:val="24"/>
          <w:szCs w:val="24"/>
          <w:highlight w:val="none"/>
        </w:rPr>
        <w:t>⑶索赔事件具有持续影响的，承包人应按合理时间间隔继续递交延续索赔通知，说明持续影响的实际情况和记录，列出累计的追加付款金额和（或）工期延长天数；</w:t>
      </w:r>
    </w:p>
    <w:p w14:paraId="246EB22B">
      <w:pPr>
        <w:autoSpaceDE w:val="0"/>
        <w:autoSpaceDN w:val="0"/>
        <w:adjustRightInd w:val="0"/>
        <w:spacing w:line="360" w:lineRule="auto"/>
        <w:ind w:firstLine="480" w:firstLineChars="200"/>
        <w:rPr>
          <w:rFonts w:ascii="Times New Roman" w:hAnsi="Times New Roman"/>
          <w:color w:val="auto"/>
          <w:kern w:val="0"/>
          <w:sz w:val="24"/>
          <w:szCs w:val="24"/>
          <w:highlight w:val="none"/>
        </w:rPr>
      </w:pPr>
      <w:r>
        <w:rPr>
          <w:rFonts w:ascii="Times New Roman" w:hAnsi="宋体"/>
          <w:color w:val="auto"/>
          <w:kern w:val="0"/>
          <w:sz w:val="24"/>
          <w:szCs w:val="24"/>
          <w:highlight w:val="none"/>
        </w:rPr>
        <w:t>（</w:t>
      </w:r>
      <w:r>
        <w:rPr>
          <w:rFonts w:ascii="Times New Roman" w:hAnsi="Times New Roman"/>
          <w:color w:val="auto"/>
          <w:kern w:val="0"/>
          <w:sz w:val="24"/>
          <w:szCs w:val="24"/>
          <w:highlight w:val="none"/>
        </w:rPr>
        <w:t>4</w:t>
      </w:r>
      <w:r>
        <w:rPr>
          <w:rFonts w:ascii="Times New Roman" w:hAnsi="宋体"/>
          <w:color w:val="auto"/>
          <w:kern w:val="0"/>
          <w:sz w:val="24"/>
          <w:szCs w:val="24"/>
          <w:highlight w:val="none"/>
        </w:rPr>
        <w:t>）在索赔事件影响结束后</w:t>
      </w:r>
      <w:r>
        <w:rPr>
          <w:rFonts w:ascii="Times New Roman" w:hAnsi="Times New Roman"/>
          <w:color w:val="auto"/>
          <w:kern w:val="0"/>
          <w:sz w:val="24"/>
          <w:szCs w:val="24"/>
          <w:highlight w:val="none"/>
        </w:rPr>
        <w:t>28</w:t>
      </w:r>
      <w:r>
        <w:rPr>
          <w:rFonts w:ascii="Times New Roman" w:hAnsi="宋体"/>
          <w:color w:val="auto"/>
          <w:kern w:val="0"/>
          <w:sz w:val="24"/>
          <w:szCs w:val="24"/>
          <w:highlight w:val="none"/>
        </w:rPr>
        <w:t>天内，承包人应向监理人递交最终索赔报告，说明最终要求索赔的追加付款金额和（或）延长的工期，并附必要的记录和证明材料。</w:t>
      </w:r>
    </w:p>
    <w:p w14:paraId="79A43DA4">
      <w:pPr>
        <w:pStyle w:val="6"/>
        <w:spacing w:before="0" w:after="0" w:line="360" w:lineRule="auto"/>
        <w:ind w:firstLine="236" w:firstLineChars="98"/>
        <w:rPr>
          <w:rFonts w:ascii="Times New Roman" w:hAnsi="Times New Roman"/>
          <w:color w:val="auto"/>
          <w:sz w:val="24"/>
          <w:szCs w:val="24"/>
          <w:highlight w:val="none"/>
        </w:rPr>
      </w:pPr>
      <w:bookmarkStart w:id="726" w:name="_Toc351203622"/>
      <w:bookmarkStart w:id="727" w:name="_Toc337558837"/>
      <w:bookmarkStart w:id="728" w:name="_Toc296346643"/>
      <w:bookmarkStart w:id="729" w:name="_Toc296503142"/>
      <w:r>
        <w:rPr>
          <w:rFonts w:ascii="Times New Roman" w:hAnsi="Times New Roman"/>
          <w:color w:val="auto"/>
          <w:sz w:val="24"/>
          <w:szCs w:val="24"/>
          <w:highlight w:val="none"/>
        </w:rPr>
        <w:t>1</w:t>
      </w:r>
      <w:r>
        <w:rPr>
          <w:rFonts w:hint="eastAsia" w:ascii="Times New Roman" w:hAnsi="Times New Roman"/>
          <w:color w:val="auto"/>
          <w:sz w:val="24"/>
          <w:szCs w:val="24"/>
          <w:highlight w:val="none"/>
        </w:rPr>
        <w:t>7</w:t>
      </w:r>
      <w:r>
        <w:rPr>
          <w:rFonts w:ascii="Times New Roman" w:hAnsi="Times New Roman"/>
          <w:color w:val="auto"/>
          <w:sz w:val="24"/>
          <w:szCs w:val="24"/>
          <w:highlight w:val="none"/>
        </w:rPr>
        <w:t xml:space="preserve">.2 </w:t>
      </w:r>
      <w:r>
        <w:rPr>
          <w:rFonts w:ascii="Times New Roman" w:hAnsi="宋体"/>
          <w:color w:val="auto"/>
          <w:sz w:val="24"/>
          <w:szCs w:val="24"/>
          <w:highlight w:val="none"/>
        </w:rPr>
        <w:t>对承包人索赔的处理</w:t>
      </w:r>
      <w:bookmarkEnd w:id="726"/>
    </w:p>
    <w:bookmarkEnd w:id="727"/>
    <w:bookmarkEnd w:id="728"/>
    <w:bookmarkEnd w:id="729"/>
    <w:p w14:paraId="37582D0E">
      <w:pPr>
        <w:autoSpaceDE w:val="0"/>
        <w:autoSpaceDN w:val="0"/>
        <w:adjustRightInd w:val="0"/>
        <w:spacing w:line="360" w:lineRule="auto"/>
        <w:ind w:firstLine="480" w:firstLineChars="200"/>
        <w:rPr>
          <w:rFonts w:ascii="Times New Roman" w:hAnsi="Times New Roman"/>
          <w:color w:val="auto"/>
          <w:kern w:val="0"/>
          <w:sz w:val="24"/>
          <w:szCs w:val="24"/>
          <w:highlight w:val="none"/>
        </w:rPr>
      </w:pPr>
      <w:r>
        <w:rPr>
          <w:rFonts w:ascii="Times New Roman" w:hAnsi="宋体"/>
          <w:color w:val="auto"/>
          <w:kern w:val="0"/>
          <w:sz w:val="24"/>
          <w:szCs w:val="24"/>
          <w:highlight w:val="none"/>
        </w:rPr>
        <w:t>对承包人索赔的处理如下：</w:t>
      </w:r>
    </w:p>
    <w:p w14:paraId="649FE847">
      <w:pPr>
        <w:autoSpaceDE w:val="0"/>
        <w:autoSpaceDN w:val="0"/>
        <w:adjustRightInd w:val="0"/>
        <w:spacing w:line="360" w:lineRule="auto"/>
        <w:ind w:firstLine="480" w:firstLineChars="200"/>
        <w:rPr>
          <w:rFonts w:ascii="Times New Roman" w:hAnsi="Times New Roman"/>
          <w:color w:val="auto"/>
          <w:kern w:val="0"/>
          <w:sz w:val="24"/>
          <w:szCs w:val="24"/>
          <w:highlight w:val="none"/>
        </w:rPr>
      </w:pPr>
      <w:r>
        <w:rPr>
          <w:rFonts w:ascii="Times New Roman" w:hAnsi="宋体"/>
          <w:color w:val="auto"/>
          <w:kern w:val="0"/>
          <w:sz w:val="24"/>
          <w:szCs w:val="24"/>
          <w:highlight w:val="none"/>
        </w:rPr>
        <w:t>⑴监理人应在收到索赔报告后</w:t>
      </w:r>
      <w:r>
        <w:rPr>
          <w:rFonts w:ascii="Times New Roman" w:hAnsi="Times New Roman"/>
          <w:color w:val="auto"/>
          <w:kern w:val="0"/>
          <w:sz w:val="24"/>
          <w:szCs w:val="24"/>
          <w:highlight w:val="none"/>
        </w:rPr>
        <w:t>14</w:t>
      </w:r>
      <w:r>
        <w:rPr>
          <w:rFonts w:ascii="Times New Roman" w:hAnsi="宋体"/>
          <w:color w:val="auto"/>
          <w:kern w:val="0"/>
          <w:sz w:val="24"/>
          <w:szCs w:val="24"/>
          <w:highlight w:val="none"/>
        </w:rPr>
        <w:t>天内完成审查并报送发包人。监理人对索赔报告存在异议的，有权要求承包人提交全部原始记录副本；</w:t>
      </w:r>
    </w:p>
    <w:p w14:paraId="70456704">
      <w:pPr>
        <w:autoSpaceDE w:val="0"/>
        <w:autoSpaceDN w:val="0"/>
        <w:adjustRightInd w:val="0"/>
        <w:spacing w:line="360" w:lineRule="auto"/>
        <w:ind w:firstLine="480" w:firstLineChars="200"/>
        <w:rPr>
          <w:rFonts w:ascii="Times New Roman" w:hAnsi="Times New Roman"/>
          <w:color w:val="auto"/>
          <w:kern w:val="0"/>
          <w:sz w:val="24"/>
          <w:szCs w:val="24"/>
          <w:highlight w:val="none"/>
        </w:rPr>
      </w:pPr>
      <w:r>
        <w:rPr>
          <w:rFonts w:ascii="Times New Roman" w:hAnsi="宋体"/>
          <w:color w:val="auto"/>
          <w:kern w:val="0"/>
          <w:sz w:val="24"/>
          <w:szCs w:val="24"/>
          <w:highlight w:val="none"/>
        </w:rPr>
        <w:t>⑵发包人应在监理人收到索赔报告或有关索赔的进一步证明材料后的</w:t>
      </w:r>
      <w:r>
        <w:rPr>
          <w:rFonts w:ascii="Times New Roman" w:hAnsi="Times New Roman"/>
          <w:color w:val="auto"/>
          <w:kern w:val="0"/>
          <w:sz w:val="24"/>
          <w:szCs w:val="24"/>
          <w:highlight w:val="none"/>
        </w:rPr>
        <w:t>28</w:t>
      </w:r>
      <w:r>
        <w:rPr>
          <w:rFonts w:ascii="Times New Roman" w:hAnsi="宋体"/>
          <w:color w:val="auto"/>
          <w:kern w:val="0"/>
          <w:sz w:val="24"/>
          <w:szCs w:val="24"/>
          <w:highlight w:val="none"/>
        </w:rPr>
        <w:t>天内，由监理人向承包人出具经发包人签认的索赔处理结果。发包人逾期答复的，则视为认可承包人的索赔要求；</w:t>
      </w:r>
    </w:p>
    <w:p w14:paraId="5CA5A4EC">
      <w:pPr>
        <w:autoSpaceDE w:val="0"/>
        <w:autoSpaceDN w:val="0"/>
        <w:adjustRightInd w:val="0"/>
        <w:spacing w:line="360" w:lineRule="auto"/>
        <w:ind w:firstLine="480" w:firstLineChars="200"/>
        <w:rPr>
          <w:rFonts w:ascii="Times New Roman" w:hAnsi="Times New Roman"/>
          <w:color w:val="auto"/>
          <w:kern w:val="0"/>
          <w:sz w:val="24"/>
          <w:szCs w:val="24"/>
          <w:highlight w:val="none"/>
        </w:rPr>
      </w:pPr>
      <w:r>
        <w:rPr>
          <w:rFonts w:ascii="Times New Roman" w:hAnsi="宋体"/>
          <w:color w:val="auto"/>
          <w:kern w:val="0"/>
          <w:sz w:val="24"/>
          <w:szCs w:val="24"/>
          <w:highlight w:val="none"/>
        </w:rPr>
        <w:t>⑶承包人接受索赔处理结果的，索赔款项在当期进度款中进行支付；承包人不接受索赔处理结果的，按照第</w:t>
      </w:r>
      <w:r>
        <w:rPr>
          <w:rFonts w:hint="eastAsia" w:ascii="Times New Roman" w:hAnsi="Times New Roman"/>
          <w:color w:val="auto"/>
          <w:kern w:val="0"/>
          <w:sz w:val="24"/>
          <w:szCs w:val="24"/>
          <w:highlight w:val="none"/>
        </w:rPr>
        <w:t>18</w:t>
      </w:r>
      <w:r>
        <w:rPr>
          <w:rFonts w:ascii="Times New Roman" w:hAnsi="宋体"/>
          <w:color w:val="auto"/>
          <w:kern w:val="0"/>
          <w:sz w:val="24"/>
          <w:szCs w:val="24"/>
          <w:highlight w:val="none"/>
        </w:rPr>
        <w:t>条〔争议解决〕约定处理。</w:t>
      </w:r>
    </w:p>
    <w:p w14:paraId="728BA670">
      <w:pPr>
        <w:pStyle w:val="247"/>
        <w:spacing w:beforeLines="100" w:after="0" w:line="360" w:lineRule="auto"/>
        <w:rPr>
          <w:rFonts w:ascii="Times New Roman" w:hAnsi="Times New Roman"/>
          <w:color w:val="auto"/>
          <w:sz w:val="24"/>
          <w:szCs w:val="24"/>
          <w:highlight w:val="none"/>
        </w:rPr>
      </w:pPr>
      <w:bookmarkStart w:id="730" w:name="_Toc373478423"/>
      <w:bookmarkStart w:id="731" w:name="_Toc351203651"/>
      <w:bookmarkStart w:id="732" w:name="_Toc389065341"/>
      <w:bookmarkStart w:id="733" w:name="_Toc467599638"/>
      <w:bookmarkStart w:id="734" w:name="_Toc373227776"/>
      <w:r>
        <w:rPr>
          <w:rFonts w:hint="eastAsia" w:ascii="Times New Roman" w:hAnsi="Times New Roman"/>
          <w:color w:val="auto"/>
          <w:sz w:val="24"/>
          <w:szCs w:val="24"/>
          <w:highlight w:val="none"/>
        </w:rPr>
        <w:t>18</w:t>
      </w:r>
      <w:r>
        <w:rPr>
          <w:rFonts w:ascii="Times New Roman" w:hAnsi="Times New Roman"/>
          <w:color w:val="auto"/>
          <w:sz w:val="24"/>
          <w:szCs w:val="24"/>
          <w:highlight w:val="none"/>
        </w:rPr>
        <w:t xml:space="preserve">. </w:t>
      </w:r>
      <w:r>
        <w:rPr>
          <w:rFonts w:ascii="Times New Roman" w:hAnsi="宋体"/>
          <w:color w:val="auto"/>
          <w:sz w:val="24"/>
          <w:szCs w:val="24"/>
          <w:highlight w:val="none"/>
        </w:rPr>
        <w:t>争议解决</w:t>
      </w:r>
      <w:bookmarkEnd w:id="730"/>
      <w:bookmarkEnd w:id="731"/>
      <w:bookmarkEnd w:id="732"/>
      <w:bookmarkEnd w:id="733"/>
      <w:bookmarkEnd w:id="734"/>
    </w:p>
    <w:p w14:paraId="222520C2">
      <w:pPr>
        <w:pStyle w:val="230"/>
        <w:spacing w:line="360" w:lineRule="auto"/>
        <w:ind w:firstLine="480" w:firstLineChars="200"/>
        <w:rPr>
          <w:color w:val="auto"/>
          <w:sz w:val="24"/>
          <w:szCs w:val="24"/>
          <w:highlight w:val="none"/>
        </w:rPr>
      </w:pPr>
      <w:r>
        <w:rPr>
          <w:rFonts w:hAnsi="宋体"/>
          <w:color w:val="auto"/>
          <w:sz w:val="24"/>
          <w:szCs w:val="24"/>
          <w:highlight w:val="none"/>
        </w:rPr>
        <w:t>因合同及合同有关事项发生的争议，</w:t>
      </w:r>
      <w:r>
        <w:rPr>
          <w:rFonts w:hint="eastAsia" w:hAnsi="宋体"/>
          <w:color w:val="auto"/>
          <w:sz w:val="24"/>
          <w:szCs w:val="24"/>
          <w:highlight w:val="none"/>
        </w:rPr>
        <w:t>双方均可</w:t>
      </w:r>
      <w:r>
        <w:rPr>
          <w:rFonts w:hAnsi="宋体"/>
          <w:color w:val="auto"/>
          <w:sz w:val="24"/>
          <w:szCs w:val="24"/>
          <w:highlight w:val="none"/>
        </w:rPr>
        <w:t>向</w:t>
      </w:r>
      <w:r>
        <w:rPr>
          <w:color w:val="auto"/>
          <w:sz w:val="24"/>
          <w:szCs w:val="24"/>
          <w:highlight w:val="none"/>
          <w:u w:val="single"/>
        </w:rPr>
        <w:t xml:space="preserve">  </w:t>
      </w:r>
      <w:r>
        <w:rPr>
          <w:rFonts w:hint="eastAsia" w:hAnsi="宋体"/>
          <w:color w:val="auto"/>
          <w:sz w:val="24"/>
          <w:szCs w:val="24"/>
          <w:highlight w:val="none"/>
          <w:u w:val="single"/>
        </w:rPr>
        <w:t>工程所在地</w:t>
      </w:r>
      <w:r>
        <w:rPr>
          <w:color w:val="auto"/>
          <w:sz w:val="24"/>
          <w:szCs w:val="24"/>
          <w:highlight w:val="none"/>
          <w:u w:val="single"/>
        </w:rPr>
        <w:t xml:space="preserve">  </w:t>
      </w:r>
      <w:r>
        <w:rPr>
          <w:rFonts w:hAnsi="宋体"/>
          <w:color w:val="auto"/>
          <w:sz w:val="24"/>
          <w:szCs w:val="24"/>
          <w:highlight w:val="none"/>
        </w:rPr>
        <w:t>人民法院起诉。</w:t>
      </w:r>
    </w:p>
    <w:p w14:paraId="48C94CF0">
      <w:pPr>
        <w:pStyle w:val="247"/>
        <w:spacing w:beforeLines="100" w:after="0" w:line="360" w:lineRule="auto"/>
        <w:rPr>
          <w:rFonts w:ascii="Times New Roman" w:hAnsi="Times New Roman"/>
          <w:color w:val="auto"/>
          <w:sz w:val="24"/>
          <w:szCs w:val="24"/>
          <w:highlight w:val="none"/>
        </w:rPr>
      </w:pPr>
      <w:bookmarkStart w:id="735" w:name="_Toc389065344"/>
      <w:bookmarkStart w:id="736" w:name="_Toc373478426"/>
      <w:bookmarkStart w:id="737" w:name="_Toc373227779"/>
      <w:bookmarkStart w:id="738" w:name="_Toc467599641"/>
      <w:r>
        <w:rPr>
          <w:rFonts w:hint="eastAsia" w:ascii="Times New Roman" w:hAnsi="Times New Roman"/>
          <w:color w:val="auto"/>
          <w:sz w:val="24"/>
          <w:szCs w:val="24"/>
          <w:highlight w:val="none"/>
        </w:rPr>
        <w:t>19</w:t>
      </w:r>
      <w:r>
        <w:rPr>
          <w:rFonts w:ascii="Times New Roman" w:hAnsi="Times New Roman"/>
          <w:color w:val="auto"/>
          <w:sz w:val="24"/>
          <w:szCs w:val="24"/>
          <w:highlight w:val="none"/>
        </w:rPr>
        <w:t xml:space="preserve">. </w:t>
      </w:r>
      <w:r>
        <w:rPr>
          <w:rFonts w:ascii="Times New Roman" w:hAnsi="宋体"/>
          <w:color w:val="auto"/>
          <w:sz w:val="24"/>
          <w:szCs w:val="24"/>
          <w:highlight w:val="none"/>
        </w:rPr>
        <w:t>补充条款</w:t>
      </w:r>
      <w:bookmarkEnd w:id="735"/>
      <w:bookmarkEnd w:id="736"/>
      <w:bookmarkEnd w:id="737"/>
      <w:bookmarkEnd w:id="738"/>
    </w:p>
    <w:p w14:paraId="7890ED1A">
      <w:pPr>
        <w:pStyle w:val="232"/>
        <w:spacing w:line="360" w:lineRule="auto"/>
        <w:ind w:firstLine="480" w:firstLineChars="200"/>
        <w:rPr>
          <w:rFonts w:ascii="Times New Roman" w:hAnsi="Times New Roman"/>
          <w:color w:val="auto"/>
          <w:sz w:val="24"/>
          <w:szCs w:val="24"/>
          <w:highlight w:val="none"/>
        </w:rPr>
      </w:pPr>
      <w:r>
        <w:rPr>
          <w:rFonts w:ascii="Times New Roman" w:hAnsi="宋体"/>
          <w:color w:val="auto"/>
          <w:sz w:val="24"/>
          <w:szCs w:val="24"/>
          <w:highlight w:val="none"/>
        </w:rPr>
        <w:t>⑴承包人必须按施工进度及时支付用于本工程的各种材料、施工机械设备、配件款，不得将材料款挪用。</w:t>
      </w:r>
    </w:p>
    <w:p w14:paraId="35B66564">
      <w:pPr>
        <w:pStyle w:val="232"/>
        <w:spacing w:line="360" w:lineRule="auto"/>
        <w:ind w:firstLine="487" w:firstLineChars="203"/>
        <w:rPr>
          <w:rFonts w:ascii="Times New Roman" w:hAnsi="Times New Roman"/>
          <w:color w:val="auto"/>
          <w:sz w:val="24"/>
          <w:szCs w:val="24"/>
          <w:highlight w:val="none"/>
        </w:rPr>
      </w:pPr>
      <w:r>
        <w:rPr>
          <w:rFonts w:ascii="Times New Roman" w:hAnsi="宋体"/>
          <w:color w:val="auto"/>
          <w:sz w:val="24"/>
          <w:szCs w:val="24"/>
          <w:highlight w:val="none"/>
        </w:rPr>
        <w:t>⑵本工程要求为承包人</w:t>
      </w:r>
      <w:r>
        <w:rPr>
          <w:rFonts w:hint="eastAsia" w:ascii="Times New Roman" w:hAnsi="宋体"/>
          <w:color w:val="auto"/>
          <w:sz w:val="24"/>
          <w:szCs w:val="24"/>
          <w:highlight w:val="none"/>
        </w:rPr>
        <w:t>自主实施</w:t>
      </w:r>
      <w:r>
        <w:rPr>
          <w:rFonts w:ascii="Times New Roman" w:hAnsi="宋体"/>
          <w:color w:val="auto"/>
          <w:sz w:val="24"/>
          <w:szCs w:val="24"/>
          <w:highlight w:val="none"/>
        </w:rPr>
        <w:t>项目，合同签订后发现属承包方出借资质证书、营业执照以及其他方式给予外单位、个人挂靠经营的，本合同无效。承包人须按合同总造价的</w:t>
      </w:r>
      <w:r>
        <w:rPr>
          <w:rFonts w:ascii="Times New Roman" w:hAnsi="Times New Roman"/>
          <w:color w:val="auto"/>
          <w:sz w:val="24"/>
          <w:szCs w:val="24"/>
          <w:highlight w:val="none"/>
        </w:rPr>
        <w:t>5%</w:t>
      </w:r>
      <w:r>
        <w:rPr>
          <w:rFonts w:ascii="Times New Roman" w:hAnsi="宋体"/>
          <w:color w:val="auto"/>
          <w:sz w:val="24"/>
          <w:szCs w:val="24"/>
          <w:highlight w:val="none"/>
        </w:rPr>
        <w:t>向发包人支付赔偿金。以承包人名义完成的工程量由发包人按成本支付。承包人按相关法规规定承担相应责任。</w:t>
      </w:r>
    </w:p>
    <w:p w14:paraId="3BFBC5A5">
      <w:pPr>
        <w:pStyle w:val="232"/>
        <w:spacing w:line="360" w:lineRule="auto"/>
        <w:ind w:firstLine="487" w:firstLineChars="203"/>
        <w:rPr>
          <w:rFonts w:ascii="宋体" w:hAnsi="宋体"/>
          <w:color w:val="auto"/>
          <w:sz w:val="24"/>
          <w:szCs w:val="24"/>
          <w:highlight w:val="none"/>
        </w:rPr>
      </w:pPr>
      <w:r>
        <w:rPr>
          <w:rFonts w:ascii="Times New Roman" w:hAnsi="宋体"/>
          <w:color w:val="auto"/>
          <w:sz w:val="24"/>
          <w:szCs w:val="24"/>
          <w:highlight w:val="none"/>
        </w:rPr>
        <w:t>⑶如因承包人所承包的项目中出现拖欠农民工和工人工资的情况，由此造成的损失由承包人承担</w:t>
      </w:r>
      <w:r>
        <w:rPr>
          <w:rFonts w:hint="eastAsia" w:ascii="Times New Roman" w:hAnsi="宋体"/>
          <w:color w:val="auto"/>
          <w:sz w:val="24"/>
          <w:szCs w:val="24"/>
          <w:highlight w:val="none"/>
        </w:rPr>
        <w:t>，且发包人有权从支付给承包人的工程款中扣留</w:t>
      </w:r>
      <w:r>
        <w:rPr>
          <w:rFonts w:ascii="Times New Roman" w:hAnsi="宋体"/>
          <w:color w:val="auto"/>
          <w:sz w:val="24"/>
          <w:szCs w:val="24"/>
          <w:highlight w:val="none"/>
        </w:rPr>
        <w:t>拖欠</w:t>
      </w:r>
      <w:r>
        <w:rPr>
          <w:rFonts w:hint="eastAsia" w:ascii="Times New Roman" w:hAnsi="宋体"/>
          <w:color w:val="auto"/>
          <w:sz w:val="24"/>
          <w:szCs w:val="24"/>
          <w:highlight w:val="none"/>
        </w:rPr>
        <w:t>费用的，专用于解决</w:t>
      </w:r>
      <w:r>
        <w:rPr>
          <w:rFonts w:ascii="Times New Roman" w:hAnsi="宋体"/>
          <w:color w:val="auto"/>
          <w:sz w:val="24"/>
          <w:szCs w:val="24"/>
          <w:highlight w:val="none"/>
        </w:rPr>
        <w:t>拖欠农民工和工人工资。</w:t>
      </w:r>
    </w:p>
    <w:p w14:paraId="644BB9CC">
      <w:pPr>
        <w:pStyle w:val="232"/>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⑷</w:t>
      </w:r>
      <w:r>
        <w:rPr>
          <w:rFonts w:ascii="Times New Roman" w:hAnsi="宋体"/>
          <w:color w:val="auto"/>
          <w:sz w:val="24"/>
          <w:szCs w:val="24"/>
          <w:highlight w:val="none"/>
        </w:rPr>
        <w:t>承包人必须建立健全消防安全制度，负责建筑工地的消防安全。</w:t>
      </w:r>
    </w:p>
    <w:p w14:paraId="790F16E2">
      <w:pPr>
        <w:pStyle w:val="232"/>
        <w:spacing w:line="360" w:lineRule="auto"/>
        <w:ind w:firstLine="487" w:firstLineChars="203"/>
        <w:rPr>
          <w:rFonts w:hint="eastAsia" w:ascii="宋体" w:hAnsi="宋体"/>
          <w:color w:val="auto"/>
          <w:sz w:val="24"/>
          <w:szCs w:val="24"/>
          <w:highlight w:val="none"/>
        </w:rPr>
      </w:pPr>
      <w:r>
        <w:rPr>
          <w:rFonts w:hint="eastAsia" w:ascii="宋体" w:hAnsi="宋体"/>
          <w:color w:val="auto"/>
          <w:sz w:val="24"/>
          <w:szCs w:val="24"/>
          <w:highlight w:val="none"/>
        </w:rPr>
        <w:t>⑸</w:t>
      </w:r>
      <w:r>
        <w:rPr>
          <w:rFonts w:ascii="Times New Roman" w:hAnsi="宋体"/>
          <w:color w:val="auto"/>
          <w:sz w:val="24"/>
          <w:szCs w:val="24"/>
          <w:highlight w:val="none"/>
        </w:rPr>
        <w:t>承包人有义务配合发包人办理工程竣工备案工作，以及</w:t>
      </w:r>
      <w:r>
        <w:rPr>
          <w:rFonts w:hint="eastAsia" w:ascii="Times New Roman" w:hAnsi="宋体"/>
          <w:color w:val="auto"/>
          <w:sz w:val="24"/>
          <w:szCs w:val="24"/>
          <w:highlight w:val="none"/>
        </w:rPr>
        <w:t>设计本工程的各项</w:t>
      </w:r>
      <w:r>
        <w:rPr>
          <w:rFonts w:ascii="Times New Roman" w:hAnsi="宋体"/>
          <w:color w:val="auto"/>
          <w:sz w:val="24"/>
          <w:szCs w:val="24"/>
          <w:highlight w:val="none"/>
        </w:rPr>
        <w:t>退费工作。</w:t>
      </w:r>
    </w:p>
    <w:p w14:paraId="28899284">
      <w:pPr>
        <w:pStyle w:val="232"/>
        <w:spacing w:line="360" w:lineRule="auto"/>
        <w:ind w:firstLine="487" w:firstLineChars="203"/>
        <w:rPr>
          <w:rFonts w:ascii="宋体" w:hAnsi="宋体"/>
          <w:color w:val="auto"/>
          <w:sz w:val="24"/>
          <w:szCs w:val="24"/>
          <w:highlight w:val="none"/>
        </w:rPr>
      </w:pPr>
      <w:r>
        <w:rPr>
          <w:rFonts w:hint="eastAsia" w:ascii="宋体" w:hAnsi="宋体"/>
          <w:color w:val="auto"/>
          <w:sz w:val="24"/>
          <w:szCs w:val="24"/>
          <w:highlight w:val="none"/>
        </w:rPr>
        <w:t>⑹</w:t>
      </w:r>
      <w:r>
        <w:rPr>
          <w:rFonts w:ascii="Times New Roman" w:hAnsi="宋体"/>
          <w:color w:val="auto"/>
          <w:sz w:val="24"/>
          <w:szCs w:val="24"/>
          <w:highlight w:val="none"/>
        </w:rPr>
        <w:t>承包人应及时办理工程质监安监备案、</w:t>
      </w:r>
      <w:r>
        <w:rPr>
          <w:rFonts w:hint="eastAsia" w:ascii="Times New Roman" w:hAnsi="宋体"/>
          <w:color w:val="auto"/>
          <w:sz w:val="24"/>
          <w:szCs w:val="24"/>
          <w:highlight w:val="none"/>
        </w:rPr>
        <w:t>环境噪声、防尘降尘及</w:t>
      </w:r>
      <w:r>
        <w:rPr>
          <w:rFonts w:ascii="Times New Roman" w:hAnsi="宋体"/>
          <w:color w:val="auto"/>
          <w:sz w:val="24"/>
          <w:szCs w:val="24"/>
          <w:highlight w:val="none"/>
        </w:rPr>
        <w:t>夜间施工备案等手续，发包人给予配合。</w:t>
      </w:r>
    </w:p>
    <w:p w14:paraId="0F2D1125">
      <w:pPr>
        <w:pStyle w:val="232"/>
        <w:spacing w:line="360" w:lineRule="auto"/>
        <w:ind w:firstLine="487" w:firstLineChars="203"/>
        <w:rPr>
          <w:rFonts w:ascii="Times New Roman" w:hAnsi="Times New Roman"/>
          <w:color w:val="auto"/>
          <w:sz w:val="24"/>
          <w:szCs w:val="24"/>
          <w:highlight w:val="none"/>
        </w:rPr>
      </w:pPr>
      <w:r>
        <w:rPr>
          <w:rFonts w:hint="eastAsia" w:ascii="宋体" w:hAnsi="宋体"/>
          <w:color w:val="auto"/>
          <w:sz w:val="24"/>
          <w:szCs w:val="24"/>
          <w:highlight w:val="none"/>
        </w:rPr>
        <w:t>⑺</w:t>
      </w:r>
      <w:r>
        <w:rPr>
          <w:rFonts w:hAnsi="宋体"/>
          <w:color w:val="auto"/>
          <w:sz w:val="24"/>
          <w:szCs w:val="24"/>
          <w:highlight w:val="none"/>
        </w:rPr>
        <w:t>承包人对本工程的农民工工资支付负直接责任，不得以工程款未到位等为由克扣或拖欠农民工工资，不得将合同应收工程款等经营风险转嫁给农民工。</w:t>
      </w:r>
    </w:p>
    <w:p w14:paraId="60BB5F3A">
      <w:pPr>
        <w:autoSpaceDE w:val="0"/>
        <w:autoSpaceDN w:val="0"/>
        <w:adjustRightInd w:val="0"/>
        <w:spacing w:line="360" w:lineRule="auto"/>
        <w:rPr>
          <w:rFonts w:ascii="Times New Roman" w:hAnsi="Times New Roman"/>
          <w:color w:val="auto"/>
          <w:kern w:val="0"/>
          <w:sz w:val="24"/>
          <w:szCs w:val="24"/>
          <w:highlight w:val="none"/>
        </w:rPr>
      </w:pPr>
    </w:p>
    <w:p w14:paraId="526DB794">
      <w:pPr>
        <w:autoSpaceDE w:val="0"/>
        <w:autoSpaceDN w:val="0"/>
        <w:adjustRightInd w:val="0"/>
        <w:spacing w:line="360" w:lineRule="auto"/>
        <w:rPr>
          <w:rFonts w:hint="eastAsia" w:ascii="Times New Roman" w:hAnsi="Times New Roman"/>
          <w:color w:val="auto"/>
          <w:kern w:val="0"/>
          <w:sz w:val="24"/>
          <w:szCs w:val="24"/>
          <w:highlight w:val="none"/>
        </w:rPr>
      </w:pPr>
    </w:p>
    <w:p w14:paraId="74F36623">
      <w:pPr>
        <w:autoSpaceDE w:val="0"/>
        <w:autoSpaceDN w:val="0"/>
        <w:adjustRightInd w:val="0"/>
        <w:spacing w:line="360" w:lineRule="auto"/>
        <w:rPr>
          <w:rFonts w:hint="eastAsia" w:ascii="Times New Roman" w:hAnsi="Times New Roman"/>
          <w:color w:val="auto"/>
          <w:kern w:val="0"/>
          <w:sz w:val="24"/>
          <w:szCs w:val="24"/>
          <w:highlight w:val="none"/>
        </w:rPr>
      </w:pPr>
    </w:p>
    <w:p w14:paraId="13ED682D">
      <w:pPr>
        <w:autoSpaceDE w:val="0"/>
        <w:autoSpaceDN w:val="0"/>
        <w:adjustRightInd w:val="0"/>
        <w:spacing w:line="360" w:lineRule="auto"/>
        <w:rPr>
          <w:rFonts w:hint="eastAsia" w:ascii="Times New Roman" w:hAnsi="Times New Roman"/>
          <w:color w:val="auto"/>
          <w:kern w:val="0"/>
          <w:sz w:val="24"/>
          <w:szCs w:val="24"/>
          <w:highlight w:val="none"/>
        </w:rPr>
      </w:pPr>
    </w:p>
    <w:p w14:paraId="575198F9">
      <w:pPr>
        <w:autoSpaceDE w:val="0"/>
        <w:autoSpaceDN w:val="0"/>
        <w:adjustRightInd w:val="0"/>
        <w:spacing w:line="360" w:lineRule="auto"/>
        <w:rPr>
          <w:rFonts w:hint="eastAsia" w:ascii="Times New Roman" w:hAnsi="Times New Roman"/>
          <w:color w:val="auto"/>
          <w:kern w:val="0"/>
          <w:sz w:val="24"/>
          <w:szCs w:val="24"/>
          <w:highlight w:val="none"/>
        </w:rPr>
      </w:pPr>
    </w:p>
    <w:p w14:paraId="46609F55">
      <w:pPr>
        <w:autoSpaceDE w:val="0"/>
        <w:autoSpaceDN w:val="0"/>
        <w:adjustRightInd w:val="0"/>
        <w:spacing w:line="360" w:lineRule="auto"/>
        <w:rPr>
          <w:rFonts w:hint="eastAsia" w:ascii="Times New Roman" w:hAnsi="Times New Roman"/>
          <w:color w:val="auto"/>
          <w:kern w:val="0"/>
          <w:sz w:val="24"/>
          <w:szCs w:val="24"/>
          <w:highlight w:val="none"/>
        </w:rPr>
      </w:pPr>
    </w:p>
    <w:p w14:paraId="47E28C3B">
      <w:pPr>
        <w:autoSpaceDE w:val="0"/>
        <w:autoSpaceDN w:val="0"/>
        <w:adjustRightInd w:val="0"/>
        <w:spacing w:line="360" w:lineRule="auto"/>
        <w:rPr>
          <w:rFonts w:hint="eastAsia" w:ascii="Times New Roman" w:hAnsi="Times New Roman"/>
          <w:color w:val="auto"/>
          <w:kern w:val="0"/>
          <w:sz w:val="24"/>
          <w:szCs w:val="24"/>
          <w:highlight w:val="none"/>
        </w:rPr>
      </w:pPr>
    </w:p>
    <w:p w14:paraId="6DE876A5">
      <w:pPr>
        <w:autoSpaceDE w:val="0"/>
        <w:autoSpaceDN w:val="0"/>
        <w:adjustRightInd w:val="0"/>
        <w:spacing w:line="360" w:lineRule="auto"/>
        <w:rPr>
          <w:rFonts w:hint="eastAsia" w:ascii="Times New Roman" w:hAnsi="Times New Roman"/>
          <w:color w:val="auto"/>
          <w:kern w:val="0"/>
          <w:sz w:val="24"/>
          <w:szCs w:val="24"/>
          <w:highlight w:val="none"/>
        </w:rPr>
      </w:pPr>
    </w:p>
    <w:p w14:paraId="2FB49340">
      <w:pPr>
        <w:autoSpaceDE w:val="0"/>
        <w:autoSpaceDN w:val="0"/>
        <w:adjustRightInd w:val="0"/>
        <w:spacing w:line="360" w:lineRule="auto"/>
        <w:rPr>
          <w:rFonts w:hint="eastAsia" w:ascii="Times New Roman" w:hAnsi="Times New Roman"/>
          <w:color w:val="auto"/>
          <w:kern w:val="0"/>
          <w:sz w:val="24"/>
          <w:szCs w:val="24"/>
          <w:highlight w:val="none"/>
        </w:rPr>
      </w:pPr>
    </w:p>
    <w:p w14:paraId="6F9A55E4">
      <w:pPr>
        <w:autoSpaceDE w:val="0"/>
        <w:autoSpaceDN w:val="0"/>
        <w:adjustRightInd w:val="0"/>
        <w:spacing w:line="360" w:lineRule="auto"/>
        <w:jc w:val="center"/>
        <w:rPr>
          <w:rFonts w:hint="eastAsia" w:ascii="宋体" w:hAnsi="宋体"/>
          <w:b/>
          <w:color w:val="auto"/>
          <w:sz w:val="44"/>
          <w:szCs w:val="44"/>
          <w:highlight w:val="none"/>
        </w:rPr>
      </w:pPr>
    </w:p>
    <w:p w14:paraId="181E41B7">
      <w:pPr>
        <w:autoSpaceDE w:val="0"/>
        <w:autoSpaceDN w:val="0"/>
        <w:adjustRightInd w:val="0"/>
        <w:spacing w:line="360" w:lineRule="auto"/>
        <w:jc w:val="center"/>
        <w:rPr>
          <w:rFonts w:hint="eastAsia" w:ascii="宋体" w:hAnsi="宋体"/>
          <w:b/>
          <w:color w:val="auto"/>
          <w:sz w:val="44"/>
          <w:szCs w:val="44"/>
          <w:highlight w:val="none"/>
        </w:rPr>
      </w:pPr>
    </w:p>
    <w:p w14:paraId="320EE033">
      <w:pPr>
        <w:autoSpaceDE w:val="0"/>
        <w:autoSpaceDN w:val="0"/>
        <w:adjustRightInd w:val="0"/>
        <w:spacing w:line="360" w:lineRule="auto"/>
        <w:jc w:val="center"/>
        <w:rPr>
          <w:rFonts w:hint="eastAsia" w:ascii="宋体" w:hAnsi="宋体"/>
          <w:b/>
          <w:color w:val="auto"/>
          <w:sz w:val="44"/>
          <w:szCs w:val="44"/>
          <w:highlight w:val="none"/>
        </w:rPr>
      </w:pPr>
    </w:p>
    <w:p w14:paraId="2719E009">
      <w:pPr>
        <w:autoSpaceDE w:val="0"/>
        <w:autoSpaceDN w:val="0"/>
        <w:adjustRightInd w:val="0"/>
        <w:spacing w:line="360" w:lineRule="auto"/>
        <w:jc w:val="center"/>
        <w:rPr>
          <w:rFonts w:hint="eastAsia" w:ascii="宋体" w:hAnsi="宋体"/>
          <w:b/>
          <w:color w:val="auto"/>
          <w:sz w:val="44"/>
          <w:szCs w:val="44"/>
          <w:highlight w:val="none"/>
        </w:rPr>
      </w:pPr>
    </w:p>
    <w:p w14:paraId="03C731EE">
      <w:pPr>
        <w:autoSpaceDE w:val="0"/>
        <w:autoSpaceDN w:val="0"/>
        <w:adjustRightInd w:val="0"/>
        <w:spacing w:line="360" w:lineRule="auto"/>
        <w:jc w:val="center"/>
        <w:rPr>
          <w:rFonts w:hint="eastAsia" w:ascii="宋体" w:hAnsi="宋体"/>
          <w:b/>
          <w:color w:val="auto"/>
          <w:sz w:val="44"/>
          <w:szCs w:val="44"/>
          <w:highlight w:val="none"/>
        </w:rPr>
      </w:pPr>
    </w:p>
    <w:p w14:paraId="3DE112FF">
      <w:pPr>
        <w:autoSpaceDE w:val="0"/>
        <w:autoSpaceDN w:val="0"/>
        <w:adjustRightInd w:val="0"/>
        <w:spacing w:line="360" w:lineRule="auto"/>
        <w:jc w:val="center"/>
        <w:rPr>
          <w:rFonts w:hint="eastAsia" w:ascii="宋体" w:hAnsi="宋体"/>
          <w:b/>
          <w:color w:val="auto"/>
          <w:sz w:val="44"/>
          <w:szCs w:val="44"/>
          <w:highlight w:val="none"/>
        </w:rPr>
      </w:pPr>
    </w:p>
    <w:p w14:paraId="66BFFDFA">
      <w:pPr>
        <w:rPr>
          <w:rFonts w:hint="eastAsia" w:ascii="宋体" w:hAnsi="宋体"/>
          <w:b/>
          <w:color w:val="auto"/>
          <w:sz w:val="44"/>
          <w:szCs w:val="44"/>
          <w:highlight w:val="none"/>
        </w:rPr>
      </w:pPr>
      <w:r>
        <w:rPr>
          <w:rFonts w:hint="eastAsia" w:ascii="宋体" w:hAnsi="宋体"/>
          <w:b/>
          <w:color w:val="auto"/>
          <w:sz w:val="44"/>
          <w:szCs w:val="44"/>
          <w:highlight w:val="none"/>
        </w:rPr>
        <w:br w:type="page"/>
      </w:r>
    </w:p>
    <w:p w14:paraId="160D538D">
      <w:pPr>
        <w:autoSpaceDE w:val="0"/>
        <w:autoSpaceDN w:val="0"/>
        <w:adjustRightInd w:val="0"/>
        <w:spacing w:line="360" w:lineRule="auto"/>
        <w:jc w:val="center"/>
        <w:rPr>
          <w:rFonts w:hint="eastAsia" w:ascii="宋体" w:hAnsi="宋体"/>
          <w:b/>
          <w:color w:val="auto"/>
          <w:sz w:val="44"/>
          <w:szCs w:val="44"/>
          <w:highlight w:val="none"/>
        </w:rPr>
      </w:pPr>
      <w:r>
        <w:rPr>
          <w:rFonts w:hint="eastAsia" w:ascii="宋体" w:hAnsi="宋体"/>
          <w:b/>
          <w:color w:val="auto"/>
          <w:sz w:val="44"/>
          <w:szCs w:val="44"/>
          <w:highlight w:val="none"/>
        </w:rPr>
        <w:t>工程质量保修书</w:t>
      </w:r>
    </w:p>
    <w:p w14:paraId="1E3E5C30">
      <w:pPr>
        <w:spacing w:line="360" w:lineRule="auto"/>
        <w:ind w:firstLine="480" w:firstLineChars="200"/>
        <w:rPr>
          <w:rFonts w:ascii="Times New Roman" w:hAnsi="Times New Roman"/>
          <w:color w:val="auto"/>
          <w:sz w:val="24"/>
          <w:szCs w:val="24"/>
          <w:highlight w:val="none"/>
        </w:rPr>
      </w:pPr>
    </w:p>
    <w:p w14:paraId="0E750EE5">
      <w:pPr>
        <w:spacing w:line="360" w:lineRule="auto"/>
        <w:ind w:firstLine="480" w:firstLineChars="200"/>
        <w:rPr>
          <w:rFonts w:ascii="Times New Roman" w:hAnsi="Times New Roman"/>
          <w:color w:val="auto"/>
          <w:sz w:val="24"/>
          <w:szCs w:val="24"/>
          <w:highlight w:val="none"/>
        </w:rPr>
      </w:pPr>
      <w:r>
        <w:rPr>
          <w:rFonts w:ascii="Times New Roman" w:hAnsi="宋体"/>
          <w:color w:val="auto"/>
          <w:sz w:val="24"/>
          <w:szCs w:val="24"/>
          <w:highlight w:val="none"/>
        </w:rPr>
        <w:t>发包人（全称）：</w:t>
      </w:r>
      <w:r>
        <w:rPr>
          <w:rFonts w:ascii="Times New Roman" w:hAnsi="Times New Roman"/>
          <w:color w:val="auto"/>
          <w:sz w:val="24"/>
          <w:szCs w:val="24"/>
          <w:highlight w:val="none"/>
          <w:u w:val="single"/>
        </w:rPr>
        <w:t xml:space="preserve">  </w:t>
      </w:r>
      <w:r>
        <w:rPr>
          <w:rFonts w:hint="eastAsia" w:ascii="Times New Roman" w:hAnsi="Times New Roman"/>
          <w:color w:val="auto"/>
          <w:sz w:val="24"/>
          <w:szCs w:val="24"/>
          <w:highlight w:val="none"/>
          <w:u w:val="single"/>
        </w:rPr>
        <w:t xml:space="preserve">       </w:t>
      </w:r>
      <w:r>
        <w:rPr>
          <w:rFonts w:ascii="Times New Roman" w:hAnsi="Times New Roman"/>
          <w:color w:val="auto"/>
          <w:sz w:val="24"/>
          <w:szCs w:val="24"/>
          <w:highlight w:val="none"/>
          <w:u w:val="single"/>
        </w:rPr>
        <w:t xml:space="preserve"> </w:t>
      </w:r>
      <w:r>
        <w:rPr>
          <w:rFonts w:hint="eastAsia" w:ascii="Times New Roman" w:hAnsi="Times New Roman"/>
          <w:color w:val="auto"/>
          <w:sz w:val="24"/>
          <w:szCs w:val="24"/>
          <w:highlight w:val="none"/>
          <w:u w:val="single"/>
        </w:rPr>
        <w:t>广西警察学院</w:t>
      </w:r>
      <w:r>
        <w:rPr>
          <w:rFonts w:ascii="Times New Roman" w:hAnsi="Times New Roman"/>
          <w:color w:val="auto"/>
          <w:sz w:val="24"/>
          <w:szCs w:val="24"/>
          <w:highlight w:val="none"/>
          <w:u w:val="single"/>
        </w:rPr>
        <w:t xml:space="preserve"> </w:t>
      </w:r>
      <w:r>
        <w:rPr>
          <w:rFonts w:hint="eastAsia" w:ascii="Times New Roman" w:hAnsi="Times New Roman"/>
          <w:color w:val="auto"/>
          <w:sz w:val="24"/>
          <w:szCs w:val="24"/>
          <w:highlight w:val="none"/>
          <w:u w:val="single"/>
        </w:rPr>
        <w:t xml:space="preserve">    </w:t>
      </w:r>
      <w:r>
        <w:rPr>
          <w:rFonts w:ascii="Times New Roman" w:hAnsi="Times New Roman"/>
          <w:color w:val="auto"/>
          <w:sz w:val="24"/>
          <w:szCs w:val="24"/>
          <w:highlight w:val="none"/>
          <w:u w:val="single"/>
        </w:rPr>
        <w:t xml:space="preserve"> </w:t>
      </w:r>
      <w:r>
        <w:rPr>
          <w:rFonts w:hint="eastAsia" w:ascii="Times New Roman" w:hAnsi="Times New Roman"/>
          <w:color w:val="auto"/>
          <w:sz w:val="24"/>
          <w:szCs w:val="24"/>
          <w:highlight w:val="none"/>
          <w:u w:val="single"/>
        </w:rPr>
        <w:t xml:space="preserve"> </w:t>
      </w:r>
      <w:r>
        <w:rPr>
          <w:rFonts w:ascii="Times New Roman" w:hAnsi="Times New Roman"/>
          <w:color w:val="auto"/>
          <w:sz w:val="24"/>
          <w:szCs w:val="24"/>
          <w:highlight w:val="none"/>
          <w:u w:val="single"/>
        </w:rPr>
        <w:t xml:space="preserve">   </w:t>
      </w:r>
      <w:r>
        <w:rPr>
          <w:rFonts w:ascii="Times New Roman" w:hAnsi="Times New Roman"/>
          <w:color w:val="auto"/>
          <w:sz w:val="24"/>
          <w:szCs w:val="24"/>
          <w:highlight w:val="none"/>
        </w:rPr>
        <w:t xml:space="preserve"> </w:t>
      </w:r>
    </w:p>
    <w:p w14:paraId="09FEEAFA">
      <w:pPr>
        <w:spacing w:line="360" w:lineRule="auto"/>
        <w:rPr>
          <w:rFonts w:ascii="Times New Roman" w:hAnsi="Times New Roman"/>
          <w:color w:val="auto"/>
          <w:sz w:val="24"/>
          <w:szCs w:val="24"/>
          <w:highlight w:val="none"/>
        </w:rPr>
      </w:pPr>
      <w:r>
        <w:rPr>
          <w:rFonts w:ascii="Times New Roman" w:hAnsi="宋体"/>
          <w:color w:val="auto"/>
          <w:sz w:val="24"/>
          <w:szCs w:val="24"/>
          <w:highlight w:val="none"/>
        </w:rPr>
        <w:t>　　承包人（全称）：</w:t>
      </w:r>
      <w:r>
        <w:rPr>
          <w:rFonts w:ascii="Times New Roman" w:hAnsi="Times New Roman"/>
          <w:color w:val="auto"/>
          <w:sz w:val="24"/>
          <w:szCs w:val="24"/>
          <w:highlight w:val="none"/>
          <w:u w:val="single"/>
        </w:rPr>
        <w:t xml:space="preserve">                                </w:t>
      </w:r>
      <w:r>
        <w:rPr>
          <w:rFonts w:ascii="Times New Roman" w:hAnsi="Times New Roman"/>
          <w:color w:val="auto"/>
          <w:sz w:val="24"/>
          <w:szCs w:val="24"/>
          <w:highlight w:val="none"/>
        </w:rPr>
        <w:t xml:space="preserve"> </w:t>
      </w:r>
    </w:p>
    <w:p w14:paraId="680BC500">
      <w:pPr>
        <w:spacing w:line="360" w:lineRule="auto"/>
        <w:rPr>
          <w:rFonts w:ascii="Times New Roman" w:hAnsi="Times New Roman"/>
          <w:color w:val="auto"/>
          <w:sz w:val="24"/>
          <w:szCs w:val="24"/>
          <w:highlight w:val="none"/>
        </w:rPr>
      </w:pPr>
    </w:p>
    <w:p w14:paraId="5D900487">
      <w:pPr>
        <w:spacing w:line="360" w:lineRule="auto"/>
        <w:rPr>
          <w:rFonts w:ascii="Times New Roman" w:hAnsi="Times New Roman"/>
          <w:color w:val="auto"/>
          <w:sz w:val="24"/>
          <w:szCs w:val="24"/>
          <w:highlight w:val="none"/>
        </w:rPr>
      </w:pPr>
      <w:r>
        <w:rPr>
          <w:rFonts w:ascii="Times New Roman" w:hAnsi="宋体"/>
          <w:color w:val="auto"/>
          <w:sz w:val="24"/>
          <w:szCs w:val="24"/>
          <w:highlight w:val="none"/>
        </w:rPr>
        <w:t>　　发包人和承包人根据《中华人民共和国建筑法》和《建设工程质量管理条例》，经协商一致就</w:t>
      </w:r>
      <w:r>
        <w:rPr>
          <w:rFonts w:hint="eastAsia" w:ascii="宋体" w:hAnsi="宋体" w:cs="宋体"/>
          <w:color w:val="auto"/>
          <w:kern w:val="0"/>
          <w:sz w:val="24"/>
          <w:highlight w:val="none"/>
          <w:u w:val="single"/>
          <w:lang w:val="en-US" w:eastAsia="zh-CN"/>
        </w:rPr>
        <w:t xml:space="preserve">                                       </w:t>
      </w:r>
      <w:r>
        <w:rPr>
          <w:rFonts w:ascii="Times New Roman" w:hAnsi="宋体"/>
          <w:color w:val="auto"/>
          <w:sz w:val="24"/>
          <w:szCs w:val="24"/>
          <w:highlight w:val="none"/>
        </w:rPr>
        <w:t>签订工程质量保修书。</w:t>
      </w:r>
    </w:p>
    <w:p w14:paraId="3756D948">
      <w:pPr>
        <w:spacing w:line="360" w:lineRule="auto"/>
        <w:outlineLvl w:val="0"/>
        <w:rPr>
          <w:rFonts w:ascii="Times New Roman" w:hAnsi="Times New Roman"/>
          <w:color w:val="auto"/>
          <w:sz w:val="24"/>
          <w:szCs w:val="24"/>
          <w:highlight w:val="none"/>
        </w:rPr>
      </w:pPr>
      <w:r>
        <w:rPr>
          <w:rFonts w:ascii="Times New Roman" w:hAnsi="宋体"/>
          <w:color w:val="auto"/>
          <w:sz w:val="24"/>
          <w:szCs w:val="24"/>
          <w:highlight w:val="none"/>
        </w:rPr>
        <w:t>　　一、工程质量保修范围和内容</w:t>
      </w:r>
    </w:p>
    <w:p w14:paraId="2AFCC37C">
      <w:pPr>
        <w:spacing w:line="360" w:lineRule="auto"/>
        <w:rPr>
          <w:rFonts w:ascii="Times New Roman" w:hAnsi="Times New Roman"/>
          <w:color w:val="auto"/>
          <w:sz w:val="24"/>
          <w:szCs w:val="24"/>
          <w:highlight w:val="none"/>
        </w:rPr>
      </w:pPr>
      <w:r>
        <w:rPr>
          <w:rFonts w:ascii="Times New Roman" w:hAnsi="宋体"/>
          <w:color w:val="auto"/>
          <w:sz w:val="24"/>
          <w:szCs w:val="24"/>
          <w:highlight w:val="none"/>
        </w:rPr>
        <w:t>　　承包人在质量保修期内，按照有关法律规定和合同约定，承担工程质量保修责任。</w:t>
      </w:r>
    </w:p>
    <w:p w14:paraId="59667FD4">
      <w:pPr>
        <w:spacing w:line="360" w:lineRule="auto"/>
        <w:rPr>
          <w:rFonts w:ascii="Times New Roman" w:hAnsi="Times New Roman"/>
          <w:color w:val="auto"/>
          <w:sz w:val="24"/>
          <w:szCs w:val="24"/>
          <w:highlight w:val="none"/>
        </w:rPr>
      </w:pPr>
      <w:r>
        <w:rPr>
          <w:rFonts w:ascii="Times New Roman" w:hAnsi="宋体"/>
          <w:color w:val="auto"/>
          <w:sz w:val="24"/>
          <w:szCs w:val="24"/>
          <w:highlight w:val="none"/>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hint="eastAsia" w:ascii="Times New Roman" w:hAnsi="Times New Roman"/>
          <w:color w:val="auto"/>
          <w:sz w:val="24"/>
          <w:szCs w:val="24"/>
          <w:highlight w:val="none"/>
          <w:u w:val="single"/>
        </w:rPr>
        <w:t>质量保修期从工程实际竣工验收合格之日起算（如发生返修的，从返修验收合格之日起算</w:t>
      </w:r>
      <w:r>
        <w:rPr>
          <w:rFonts w:hint="eastAsia" w:ascii="Times New Roman" w:hAnsi="Times New Roman"/>
          <w:color w:val="auto"/>
          <w:sz w:val="24"/>
          <w:szCs w:val="24"/>
          <w:highlight w:val="none"/>
          <w:u w:val="single"/>
          <w:lang w:eastAsia="zh-CN"/>
        </w:rPr>
        <w:t>）</w:t>
      </w:r>
      <w:r>
        <w:rPr>
          <w:rFonts w:ascii="Times New Roman" w:hAnsi="宋体"/>
          <w:color w:val="auto"/>
          <w:sz w:val="24"/>
          <w:szCs w:val="24"/>
          <w:highlight w:val="none"/>
        </w:rPr>
        <w:t>。</w:t>
      </w:r>
    </w:p>
    <w:p w14:paraId="2C9CD4AD">
      <w:pPr>
        <w:spacing w:line="360" w:lineRule="auto"/>
        <w:outlineLvl w:val="0"/>
        <w:rPr>
          <w:rFonts w:ascii="Times New Roman" w:hAnsi="Times New Roman"/>
          <w:color w:val="auto"/>
          <w:sz w:val="24"/>
          <w:szCs w:val="24"/>
          <w:highlight w:val="none"/>
        </w:rPr>
      </w:pPr>
      <w:r>
        <w:rPr>
          <w:rFonts w:ascii="Times New Roman" w:hAnsi="宋体"/>
          <w:b/>
          <w:color w:val="auto"/>
          <w:sz w:val="24"/>
          <w:szCs w:val="24"/>
          <w:highlight w:val="none"/>
        </w:rPr>
        <w:t>　　</w:t>
      </w:r>
      <w:r>
        <w:rPr>
          <w:rFonts w:ascii="Times New Roman" w:hAnsi="宋体"/>
          <w:color w:val="auto"/>
          <w:sz w:val="24"/>
          <w:szCs w:val="24"/>
          <w:highlight w:val="none"/>
        </w:rPr>
        <w:t>二、质量保修期</w:t>
      </w:r>
    </w:p>
    <w:p w14:paraId="2F45867F">
      <w:pPr>
        <w:spacing w:line="360" w:lineRule="auto"/>
        <w:ind w:firstLine="480" w:firstLineChars="200"/>
        <w:rPr>
          <w:rFonts w:ascii="Times New Roman" w:hAnsi="Times New Roman"/>
          <w:color w:val="auto"/>
          <w:sz w:val="24"/>
          <w:szCs w:val="24"/>
          <w:highlight w:val="none"/>
        </w:rPr>
      </w:pPr>
      <w:r>
        <w:rPr>
          <w:rFonts w:ascii="Times New Roman" w:hAnsi="宋体"/>
          <w:color w:val="auto"/>
          <w:sz w:val="24"/>
          <w:szCs w:val="24"/>
          <w:highlight w:val="none"/>
        </w:rPr>
        <w:t>根据《建设工程质量管理条例》及有关规定，工程的质量保修期如下：</w:t>
      </w:r>
    </w:p>
    <w:p w14:paraId="1BA2545B">
      <w:pPr>
        <w:spacing w:line="360" w:lineRule="auto"/>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1</w:t>
      </w:r>
      <w:r>
        <w:rPr>
          <w:rFonts w:ascii="Times New Roman" w:hAnsi="宋体"/>
          <w:color w:val="auto"/>
          <w:sz w:val="24"/>
          <w:szCs w:val="24"/>
          <w:highlight w:val="none"/>
        </w:rPr>
        <w:t>．地基基础工程和主体结构工程为设计文件规定的工程合理使用年限；</w:t>
      </w:r>
    </w:p>
    <w:p w14:paraId="0EB034E4">
      <w:pPr>
        <w:spacing w:line="360" w:lineRule="auto"/>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2</w:t>
      </w:r>
      <w:r>
        <w:rPr>
          <w:rFonts w:ascii="Times New Roman" w:hAnsi="宋体"/>
          <w:color w:val="auto"/>
          <w:sz w:val="24"/>
          <w:szCs w:val="24"/>
          <w:highlight w:val="none"/>
        </w:rPr>
        <w:t>．屋面防水工程、有防水要求的卫生间、房间和外墙面的防渗为</w:t>
      </w:r>
      <w:r>
        <w:rPr>
          <w:rFonts w:ascii="Times New Roman" w:hAnsi="Times New Roman"/>
          <w:color w:val="auto"/>
          <w:sz w:val="24"/>
          <w:szCs w:val="24"/>
          <w:highlight w:val="none"/>
          <w:u w:val="single"/>
        </w:rPr>
        <w:t xml:space="preserve">   </w:t>
      </w:r>
      <w:r>
        <w:rPr>
          <w:rFonts w:hint="eastAsia" w:ascii="Times New Roman" w:hAnsi="Times New Roman"/>
          <w:color w:val="auto"/>
          <w:sz w:val="24"/>
          <w:szCs w:val="24"/>
          <w:highlight w:val="none"/>
          <w:u w:val="single"/>
        </w:rPr>
        <w:t>5</w:t>
      </w:r>
      <w:r>
        <w:rPr>
          <w:rFonts w:ascii="Times New Roman" w:hAnsi="Times New Roman"/>
          <w:color w:val="auto"/>
          <w:sz w:val="24"/>
          <w:szCs w:val="24"/>
          <w:highlight w:val="none"/>
          <w:u w:val="single"/>
        </w:rPr>
        <w:t xml:space="preserve">   </w:t>
      </w:r>
      <w:r>
        <w:rPr>
          <w:rFonts w:ascii="Times New Roman" w:hAnsi="宋体"/>
          <w:color w:val="auto"/>
          <w:sz w:val="24"/>
          <w:szCs w:val="24"/>
          <w:highlight w:val="none"/>
        </w:rPr>
        <w:t>年；</w:t>
      </w:r>
    </w:p>
    <w:p w14:paraId="6554BB45">
      <w:pPr>
        <w:spacing w:line="360" w:lineRule="auto"/>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3</w:t>
      </w:r>
      <w:r>
        <w:rPr>
          <w:rFonts w:ascii="Times New Roman" w:hAnsi="宋体"/>
          <w:color w:val="auto"/>
          <w:sz w:val="24"/>
          <w:szCs w:val="24"/>
          <w:highlight w:val="none"/>
        </w:rPr>
        <w:t>．装修工程为</w:t>
      </w:r>
      <w:r>
        <w:rPr>
          <w:rFonts w:ascii="Times New Roman" w:hAnsi="Times New Roman"/>
          <w:color w:val="auto"/>
          <w:sz w:val="24"/>
          <w:szCs w:val="24"/>
          <w:highlight w:val="none"/>
          <w:u w:val="single"/>
        </w:rPr>
        <w:t xml:space="preserve">    </w:t>
      </w:r>
      <w:r>
        <w:rPr>
          <w:rFonts w:hint="eastAsia" w:ascii="Times New Roman" w:hAnsi="Times New Roman"/>
          <w:color w:val="auto"/>
          <w:sz w:val="24"/>
          <w:szCs w:val="24"/>
          <w:highlight w:val="none"/>
          <w:u w:val="single"/>
        </w:rPr>
        <w:t>2</w:t>
      </w:r>
      <w:r>
        <w:rPr>
          <w:rFonts w:ascii="Times New Roman" w:hAnsi="Times New Roman"/>
          <w:color w:val="auto"/>
          <w:sz w:val="24"/>
          <w:szCs w:val="24"/>
          <w:highlight w:val="none"/>
          <w:u w:val="single"/>
        </w:rPr>
        <w:t xml:space="preserve">    </w:t>
      </w:r>
      <w:r>
        <w:rPr>
          <w:rFonts w:ascii="Times New Roman" w:hAnsi="宋体"/>
          <w:color w:val="auto"/>
          <w:sz w:val="24"/>
          <w:szCs w:val="24"/>
          <w:highlight w:val="none"/>
        </w:rPr>
        <w:t>年；</w:t>
      </w:r>
    </w:p>
    <w:p w14:paraId="252ADF2C">
      <w:pPr>
        <w:spacing w:line="360" w:lineRule="auto"/>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4</w:t>
      </w:r>
      <w:r>
        <w:rPr>
          <w:rFonts w:ascii="Times New Roman" w:hAnsi="宋体"/>
          <w:color w:val="auto"/>
          <w:sz w:val="24"/>
          <w:szCs w:val="24"/>
          <w:highlight w:val="none"/>
        </w:rPr>
        <w:t>．电气管线、给排水管道、设备安装工程为</w:t>
      </w:r>
      <w:r>
        <w:rPr>
          <w:rFonts w:ascii="Times New Roman" w:hAnsi="Times New Roman"/>
          <w:color w:val="auto"/>
          <w:sz w:val="24"/>
          <w:szCs w:val="24"/>
          <w:highlight w:val="none"/>
          <w:u w:val="single"/>
        </w:rPr>
        <w:t xml:space="preserve">    </w:t>
      </w:r>
      <w:r>
        <w:rPr>
          <w:rFonts w:hint="eastAsia" w:ascii="Times New Roman" w:hAnsi="Times New Roman"/>
          <w:color w:val="auto"/>
          <w:sz w:val="24"/>
          <w:szCs w:val="24"/>
          <w:highlight w:val="none"/>
          <w:u w:val="single"/>
        </w:rPr>
        <w:t>2</w:t>
      </w:r>
      <w:r>
        <w:rPr>
          <w:rFonts w:ascii="Times New Roman" w:hAnsi="Times New Roman"/>
          <w:color w:val="auto"/>
          <w:sz w:val="24"/>
          <w:szCs w:val="24"/>
          <w:highlight w:val="none"/>
          <w:u w:val="single"/>
        </w:rPr>
        <w:t xml:space="preserve">    </w:t>
      </w:r>
      <w:r>
        <w:rPr>
          <w:rFonts w:ascii="Times New Roman" w:hAnsi="宋体"/>
          <w:color w:val="auto"/>
          <w:sz w:val="24"/>
          <w:szCs w:val="24"/>
          <w:highlight w:val="none"/>
        </w:rPr>
        <w:t>年；</w:t>
      </w:r>
    </w:p>
    <w:p w14:paraId="7D87F14A">
      <w:pPr>
        <w:spacing w:line="360" w:lineRule="auto"/>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5</w:t>
      </w:r>
      <w:r>
        <w:rPr>
          <w:rFonts w:ascii="Times New Roman" w:hAnsi="宋体"/>
          <w:color w:val="auto"/>
          <w:sz w:val="24"/>
          <w:szCs w:val="24"/>
          <w:highlight w:val="none"/>
        </w:rPr>
        <w:t>．供热与供冷系统为</w:t>
      </w:r>
      <w:r>
        <w:rPr>
          <w:rFonts w:ascii="Times New Roman" w:hAnsi="Times New Roman"/>
          <w:color w:val="auto"/>
          <w:sz w:val="24"/>
          <w:szCs w:val="24"/>
          <w:highlight w:val="none"/>
          <w:u w:val="single"/>
        </w:rPr>
        <w:t xml:space="preserve">    </w:t>
      </w:r>
      <w:r>
        <w:rPr>
          <w:rFonts w:hint="eastAsia" w:ascii="Times New Roman" w:hAnsi="Times New Roman"/>
          <w:color w:val="auto"/>
          <w:sz w:val="24"/>
          <w:szCs w:val="24"/>
          <w:highlight w:val="none"/>
          <w:u w:val="single"/>
        </w:rPr>
        <w:t>2</w:t>
      </w:r>
      <w:r>
        <w:rPr>
          <w:rFonts w:ascii="Times New Roman" w:hAnsi="Times New Roman"/>
          <w:color w:val="auto"/>
          <w:sz w:val="24"/>
          <w:szCs w:val="24"/>
          <w:highlight w:val="none"/>
          <w:u w:val="single"/>
        </w:rPr>
        <w:t xml:space="preserve">    </w:t>
      </w:r>
      <w:r>
        <w:rPr>
          <w:rFonts w:ascii="Times New Roman" w:hAnsi="宋体"/>
          <w:color w:val="auto"/>
          <w:sz w:val="24"/>
          <w:szCs w:val="24"/>
          <w:highlight w:val="none"/>
        </w:rPr>
        <w:t>个采暖期、供冷期；</w:t>
      </w:r>
    </w:p>
    <w:p w14:paraId="74A6FB08">
      <w:pPr>
        <w:spacing w:line="360" w:lineRule="auto"/>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6</w:t>
      </w:r>
      <w:r>
        <w:rPr>
          <w:rFonts w:ascii="Times New Roman" w:hAnsi="宋体"/>
          <w:color w:val="auto"/>
          <w:sz w:val="24"/>
          <w:szCs w:val="24"/>
          <w:highlight w:val="none"/>
        </w:rPr>
        <w:t>．住宅小区内的给排水设施、道路等配套工程为</w:t>
      </w:r>
      <w:r>
        <w:rPr>
          <w:rFonts w:ascii="Times New Roman" w:hAnsi="Times New Roman"/>
          <w:color w:val="auto"/>
          <w:sz w:val="24"/>
          <w:szCs w:val="24"/>
          <w:highlight w:val="none"/>
          <w:u w:val="single"/>
        </w:rPr>
        <w:t xml:space="preserve">    </w:t>
      </w:r>
      <w:r>
        <w:rPr>
          <w:rFonts w:hint="eastAsia" w:ascii="Times New Roman" w:hAnsi="Times New Roman"/>
          <w:color w:val="auto"/>
          <w:sz w:val="24"/>
          <w:szCs w:val="24"/>
          <w:highlight w:val="none"/>
          <w:u w:val="single"/>
        </w:rPr>
        <w:t>2</w:t>
      </w:r>
      <w:r>
        <w:rPr>
          <w:rFonts w:ascii="Times New Roman" w:hAnsi="Times New Roman"/>
          <w:color w:val="auto"/>
          <w:sz w:val="24"/>
          <w:szCs w:val="24"/>
          <w:highlight w:val="none"/>
          <w:u w:val="single"/>
        </w:rPr>
        <w:t xml:space="preserve">    </w:t>
      </w:r>
      <w:r>
        <w:rPr>
          <w:rFonts w:ascii="Times New Roman" w:hAnsi="宋体"/>
          <w:color w:val="auto"/>
          <w:sz w:val="24"/>
          <w:szCs w:val="24"/>
          <w:highlight w:val="none"/>
        </w:rPr>
        <w:t>年；</w:t>
      </w:r>
    </w:p>
    <w:p w14:paraId="1DEF94C0">
      <w:pPr>
        <w:spacing w:line="360" w:lineRule="auto"/>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7</w:t>
      </w:r>
      <w:r>
        <w:rPr>
          <w:rFonts w:ascii="Times New Roman" w:hAnsi="宋体"/>
          <w:color w:val="auto"/>
          <w:sz w:val="24"/>
          <w:szCs w:val="24"/>
          <w:highlight w:val="none"/>
        </w:rPr>
        <w:t>．其他项目保修期限约定如下：</w:t>
      </w:r>
      <w:r>
        <w:rPr>
          <w:rFonts w:ascii="Times New Roman" w:hAnsi="Times New Roman"/>
          <w:color w:val="auto"/>
          <w:sz w:val="24"/>
          <w:szCs w:val="24"/>
          <w:highlight w:val="none"/>
          <w:u w:val="single"/>
        </w:rPr>
        <w:t xml:space="preserve">           </w:t>
      </w:r>
      <w:r>
        <w:rPr>
          <w:rFonts w:hint="eastAsia" w:ascii="Times New Roman" w:hAnsi="Times New Roman"/>
          <w:color w:val="auto"/>
          <w:sz w:val="24"/>
          <w:szCs w:val="24"/>
          <w:highlight w:val="none"/>
          <w:u w:val="single"/>
        </w:rPr>
        <w:t>无</w:t>
      </w:r>
      <w:r>
        <w:rPr>
          <w:rFonts w:ascii="Times New Roman" w:hAnsi="Times New Roman"/>
          <w:color w:val="auto"/>
          <w:sz w:val="24"/>
          <w:szCs w:val="24"/>
          <w:highlight w:val="none"/>
          <w:u w:val="single"/>
        </w:rPr>
        <w:t xml:space="preserve">              </w:t>
      </w:r>
      <w:r>
        <w:rPr>
          <w:rFonts w:ascii="Times New Roman" w:hAnsi="宋体"/>
          <w:color w:val="auto"/>
          <w:sz w:val="24"/>
          <w:szCs w:val="24"/>
          <w:highlight w:val="none"/>
        </w:rPr>
        <w:t>。</w:t>
      </w:r>
    </w:p>
    <w:p w14:paraId="335F0A8A">
      <w:pPr>
        <w:spacing w:line="360" w:lineRule="auto"/>
        <w:rPr>
          <w:rFonts w:ascii="Times New Roman" w:hAnsi="Times New Roman"/>
          <w:color w:val="auto"/>
          <w:sz w:val="24"/>
          <w:szCs w:val="24"/>
          <w:highlight w:val="none"/>
        </w:rPr>
      </w:pPr>
      <w:r>
        <w:rPr>
          <w:rFonts w:ascii="Times New Roman" w:hAnsi="宋体"/>
          <w:color w:val="auto"/>
          <w:sz w:val="24"/>
          <w:szCs w:val="24"/>
          <w:highlight w:val="none"/>
        </w:rPr>
        <w:t>　　质量保修期自工程竣工验收合格之日起计算。</w:t>
      </w:r>
    </w:p>
    <w:p w14:paraId="58B7EA74">
      <w:pPr>
        <w:spacing w:line="360" w:lineRule="auto"/>
        <w:ind w:firstLine="480" w:firstLineChars="200"/>
        <w:outlineLvl w:val="0"/>
        <w:rPr>
          <w:rFonts w:ascii="Times New Roman" w:hAnsi="Times New Roman"/>
          <w:color w:val="auto"/>
          <w:sz w:val="24"/>
          <w:szCs w:val="24"/>
          <w:highlight w:val="none"/>
        </w:rPr>
      </w:pPr>
      <w:r>
        <w:rPr>
          <w:rFonts w:ascii="Times New Roman" w:hAnsi="宋体"/>
          <w:color w:val="auto"/>
          <w:sz w:val="24"/>
          <w:szCs w:val="24"/>
          <w:highlight w:val="none"/>
        </w:rPr>
        <w:t>三、缺陷责任期</w:t>
      </w:r>
    </w:p>
    <w:p w14:paraId="292E424B">
      <w:pPr>
        <w:spacing w:line="360" w:lineRule="auto"/>
        <w:ind w:firstLine="480" w:firstLineChars="200"/>
        <w:rPr>
          <w:rFonts w:ascii="Times New Roman" w:hAnsi="Times New Roman"/>
          <w:color w:val="auto"/>
          <w:sz w:val="24"/>
          <w:szCs w:val="24"/>
          <w:highlight w:val="none"/>
        </w:rPr>
      </w:pPr>
      <w:r>
        <w:rPr>
          <w:rFonts w:ascii="Times New Roman" w:hAnsi="宋体"/>
          <w:color w:val="auto"/>
          <w:sz w:val="24"/>
          <w:szCs w:val="24"/>
          <w:highlight w:val="none"/>
        </w:rPr>
        <w:t>工程缺陷责任期为</w:t>
      </w:r>
      <w:r>
        <w:rPr>
          <w:rFonts w:ascii="Times New Roman" w:hAnsi="Times New Roman"/>
          <w:color w:val="auto"/>
          <w:sz w:val="24"/>
          <w:szCs w:val="24"/>
          <w:highlight w:val="none"/>
          <w:u w:val="single"/>
        </w:rPr>
        <w:t xml:space="preserve">   </w:t>
      </w:r>
      <w:r>
        <w:rPr>
          <w:rFonts w:hint="eastAsia" w:ascii="Times New Roman" w:hAnsi="Times New Roman"/>
          <w:color w:val="auto"/>
          <w:sz w:val="24"/>
          <w:szCs w:val="24"/>
          <w:highlight w:val="none"/>
          <w:u w:val="single"/>
        </w:rPr>
        <w:t>24</w:t>
      </w:r>
      <w:r>
        <w:rPr>
          <w:rFonts w:ascii="Times New Roman" w:hAnsi="Times New Roman"/>
          <w:color w:val="auto"/>
          <w:sz w:val="24"/>
          <w:szCs w:val="24"/>
          <w:highlight w:val="none"/>
          <w:u w:val="single"/>
        </w:rPr>
        <w:t xml:space="preserve">   </w:t>
      </w:r>
      <w:r>
        <w:rPr>
          <w:rFonts w:ascii="Times New Roman" w:hAnsi="宋体"/>
          <w:color w:val="auto"/>
          <w:sz w:val="24"/>
          <w:szCs w:val="24"/>
          <w:highlight w:val="none"/>
        </w:rPr>
        <w:t>个月，缺陷责任期自工程通过竣工验收之日起计算。单位工程先于全部工程进行验收，单位工程缺陷责任期自单位工程验收合格之日起算。</w:t>
      </w:r>
    </w:p>
    <w:p w14:paraId="52B88129">
      <w:pPr>
        <w:spacing w:line="360" w:lineRule="auto"/>
        <w:ind w:firstLine="480" w:firstLineChars="200"/>
        <w:rPr>
          <w:rFonts w:ascii="Times New Roman" w:hAnsi="Times New Roman"/>
          <w:color w:val="auto"/>
          <w:sz w:val="24"/>
          <w:szCs w:val="24"/>
          <w:highlight w:val="none"/>
        </w:rPr>
      </w:pPr>
      <w:r>
        <w:rPr>
          <w:rFonts w:ascii="Times New Roman" w:hAnsi="宋体"/>
          <w:color w:val="auto"/>
          <w:sz w:val="24"/>
          <w:szCs w:val="24"/>
          <w:highlight w:val="none"/>
        </w:rPr>
        <w:t>缺陷责任期终止后，发包人应退还剩余的质量保证金。</w:t>
      </w:r>
    </w:p>
    <w:p w14:paraId="65D156C2">
      <w:pPr>
        <w:spacing w:line="360" w:lineRule="auto"/>
        <w:outlineLvl w:val="0"/>
        <w:rPr>
          <w:rFonts w:ascii="Times New Roman" w:hAnsi="Times New Roman"/>
          <w:color w:val="auto"/>
          <w:sz w:val="24"/>
          <w:szCs w:val="24"/>
          <w:highlight w:val="none"/>
        </w:rPr>
      </w:pPr>
      <w:r>
        <w:rPr>
          <w:rFonts w:ascii="Times New Roman" w:hAnsi="Times New Roman"/>
          <w:color w:val="auto"/>
          <w:sz w:val="24"/>
          <w:szCs w:val="24"/>
          <w:highlight w:val="none"/>
        </w:rPr>
        <w:t xml:space="preserve">    </w:t>
      </w:r>
      <w:r>
        <w:rPr>
          <w:rFonts w:ascii="Times New Roman" w:hAnsi="宋体"/>
          <w:color w:val="auto"/>
          <w:sz w:val="24"/>
          <w:szCs w:val="24"/>
          <w:highlight w:val="none"/>
        </w:rPr>
        <w:t>四、质量保修责任</w:t>
      </w:r>
    </w:p>
    <w:p w14:paraId="06CC4A7F">
      <w:pPr>
        <w:spacing w:line="360" w:lineRule="auto"/>
        <w:ind w:firstLine="491" w:firstLineChars="205"/>
        <w:rPr>
          <w:rFonts w:ascii="Times New Roman" w:hAnsi="Times New Roman"/>
          <w:color w:val="auto"/>
          <w:sz w:val="24"/>
          <w:szCs w:val="24"/>
          <w:highlight w:val="none"/>
        </w:rPr>
      </w:pPr>
      <w:r>
        <w:rPr>
          <w:rFonts w:ascii="Times New Roman" w:hAnsi="Times New Roman"/>
          <w:color w:val="auto"/>
          <w:sz w:val="24"/>
          <w:szCs w:val="24"/>
          <w:highlight w:val="none"/>
        </w:rPr>
        <w:t>1</w:t>
      </w:r>
      <w:r>
        <w:rPr>
          <w:rFonts w:ascii="Times New Roman" w:hAnsi="宋体"/>
          <w:color w:val="auto"/>
          <w:sz w:val="24"/>
          <w:szCs w:val="24"/>
          <w:highlight w:val="none"/>
        </w:rPr>
        <w:t>．属于保修范围、内容的项目，承包人应当在接到保修通知之日起</w:t>
      </w:r>
      <w:r>
        <w:rPr>
          <w:rFonts w:ascii="Times New Roman" w:hAnsi="Times New Roman"/>
          <w:color w:val="auto"/>
          <w:sz w:val="24"/>
          <w:szCs w:val="24"/>
          <w:highlight w:val="none"/>
          <w:u w:val="single"/>
        </w:rPr>
        <w:t>7</w:t>
      </w:r>
      <w:r>
        <w:rPr>
          <w:rFonts w:ascii="Times New Roman" w:hAnsi="宋体"/>
          <w:color w:val="auto"/>
          <w:sz w:val="24"/>
          <w:szCs w:val="24"/>
          <w:highlight w:val="none"/>
        </w:rPr>
        <w:t>天内派人保修。承包人不在约定期限内派人保修的，发包人可以委托他人修理。</w:t>
      </w:r>
    </w:p>
    <w:p w14:paraId="222EAC50">
      <w:pPr>
        <w:spacing w:line="360" w:lineRule="auto"/>
        <w:ind w:firstLine="491" w:firstLineChars="205"/>
        <w:rPr>
          <w:rFonts w:ascii="Times New Roman" w:hAnsi="Times New Roman"/>
          <w:color w:val="auto"/>
          <w:sz w:val="24"/>
          <w:szCs w:val="24"/>
          <w:highlight w:val="none"/>
        </w:rPr>
      </w:pPr>
      <w:r>
        <w:rPr>
          <w:rFonts w:ascii="Times New Roman" w:hAnsi="Times New Roman"/>
          <w:color w:val="auto"/>
          <w:sz w:val="24"/>
          <w:szCs w:val="24"/>
          <w:highlight w:val="none"/>
        </w:rPr>
        <w:t>2</w:t>
      </w:r>
      <w:r>
        <w:rPr>
          <w:rFonts w:ascii="Times New Roman" w:hAnsi="宋体"/>
          <w:color w:val="auto"/>
          <w:sz w:val="24"/>
          <w:szCs w:val="24"/>
          <w:highlight w:val="none"/>
        </w:rPr>
        <w:t>．发生紧急事故需抢修的，承包人在接到事故通知后，应当立即到达事故现场抢修。</w:t>
      </w:r>
    </w:p>
    <w:p w14:paraId="242F6D33">
      <w:pPr>
        <w:spacing w:line="360" w:lineRule="auto"/>
        <w:ind w:firstLine="491" w:firstLineChars="205"/>
        <w:rPr>
          <w:rFonts w:ascii="Times New Roman" w:hAnsi="Times New Roman"/>
          <w:color w:val="auto"/>
          <w:sz w:val="24"/>
          <w:szCs w:val="24"/>
          <w:highlight w:val="none"/>
        </w:rPr>
      </w:pPr>
      <w:r>
        <w:rPr>
          <w:rFonts w:ascii="Times New Roman" w:hAnsi="Times New Roman"/>
          <w:color w:val="auto"/>
          <w:sz w:val="24"/>
          <w:szCs w:val="24"/>
          <w:highlight w:val="none"/>
        </w:rPr>
        <w:t>3</w:t>
      </w:r>
      <w:r>
        <w:rPr>
          <w:rFonts w:ascii="Times New Roman" w:hAnsi="宋体"/>
          <w:color w:val="auto"/>
          <w:sz w:val="24"/>
          <w:szCs w:val="24"/>
          <w:highlight w:val="none"/>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2954C248">
      <w:pPr>
        <w:spacing w:line="360" w:lineRule="auto"/>
        <w:ind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4</w:t>
      </w:r>
      <w:r>
        <w:rPr>
          <w:rFonts w:ascii="Times New Roman" w:hAnsi="宋体"/>
          <w:color w:val="auto"/>
          <w:sz w:val="24"/>
          <w:szCs w:val="24"/>
          <w:highlight w:val="none"/>
        </w:rPr>
        <w:t>．质量保修完成后，由发包人组织验收。</w:t>
      </w:r>
    </w:p>
    <w:p w14:paraId="1384618E">
      <w:pPr>
        <w:spacing w:line="360" w:lineRule="auto"/>
        <w:outlineLvl w:val="0"/>
        <w:rPr>
          <w:rFonts w:ascii="Times New Roman" w:hAnsi="Times New Roman"/>
          <w:color w:val="auto"/>
          <w:sz w:val="24"/>
          <w:szCs w:val="24"/>
          <w:highlight w:val="none"/>
        </w:rPr>
      </w:pPr>
      <w:r>
        <w:rPr>
          <w:rFonts w:ascii="Times New Roman" w:hAnsi="宋体"/>
          <w:color w:val="auto"/>
          <w:sz w:val="24"/>
          <w:szCs w:val="24"/>
          <w:highlight w:val="none"/>
        </w:rPr>
        <w:t>　　</w:t>
      </w:r>
      <w:r>
        <w:rPr>
          <w:rFonts w:hint="eastAsia" w:ascii="Times New Roman" w:hAnsi="宋体"/>
          <w:color w:val="auto"/>
          <w:sz w:val="24"/>
          <w:szCs w:val="24"/>
          <w:highlight w:val="none"/>
        </w:rPr>
        <w:t>五</w:t>
      </w:r>
      <w:r>
        <w:rPr>
          <w:rFonts w:ascii="Times New Roman" w:hAnsi="宋体"/>
          <w:color w:val="auto"/>
          <w:sz w:val="24"/>
          <w:szCs w:val="24"/>
          <w:highlight w:val="none"/>
        </w:rPr>
        <w:t>、双方约定的其他工程质量保修事项：</w:t>
      </w:r>
      <w:r>
        <w:rPr>
          <w:rFonts w:hint="eastAsia"/>
          <w:color w:val="auto"/>
          <w:sz w:val="24"/>
          <w:highlight w:val="none"/>
          <w:u w:val="single"/>
          <w:lang w:val="en-US" w:eastAsia="zh-CN"/>
        </w:rPr>
        <w:t>发包人按工程价款结算总额的3%暂存承包人缴来的工程质量保证金</w:t>
      </w:r>
      <w:r>
        <w:rPr>
          <w:rFonts w:hint="eastAsia" w:ascii="Times New Roman" w:hAnsi="Times New Roman"/>
          <w:color w:val="auto"/>
          <w:sz w:val="24"/>
          <w:szCs w:val="24"/>
          <w:highlight w:val="none"/>
          <w:u w:val="single"/>
        </w:rPr>
        <w:t>，待缺陷责任期终止后14日内返还全部质量保证金（无息）</w:t>
      </w:r>
      <w:r>
        <w:rPr>
          <w:rFonts w:hint="eastAsia" w:ascii="Times New Roman" w:hAnsi="Times New Roman"/>
          <w:color w:val="auto"/>
          <w:sz w:val="24"/>
          <w:szCs w:val="24"/>
          <w:highlight w:val="none"/>
        </w:rPr>
        <w:t>。</w:t>
      </w:r>
    </w:p>
    <w:p w14:paraId="442E2976">
      <w:pPr>
        <w:spacing w:line="360" w:lineRule="auto"/>
        <w:ind w:firstLine="456" w:firstLineChars="190"/>
        <w:rPr>
          <w:rFonts w:ascii="Times New Roman" w:hAnsi="Times New Roman"/>
          <w:color w:val="auto"/>
          <w:sz w:val="24"/>
          <w:szCs w:val="24"/>
          <w:highlight w:val="none"/>
        </w:rPr>
      </w:pPr>
      <w:r>
        <w:rPr>
          <w:rFonts w:ascii="Times New Roman" w:hAnsi="宋体"/>
          <w:color w:val="auto"/>
          <w:sz w:val="24"/>
          <w:szCs w:val="24"/>
          <w:highlight w:val="none"/>
        </w:rPr>
        <w:t>工程质量保修书由发包人、承包人在工程竣工验收前共同签署，作为施工合同附件，其有效期限至保修期满。</w:t>
      </w:r>
    </w:p>
    <w:p w14:paraId="7ABDF5DE">
      <w:pPr>
        <w:spacing w:line="360" w:lineRule="auto"/>
        <w:ind w:firstLine="420"/>
        <w:rPr>
          <w:rFonts w:hint="eastAsia" w:ascii="Times New Roman" w:hAnsi="Times New Roman"/>
          <w:color w:val="auto"/>
          <w:sz w:val="24"/>
          <w:szCs w:val="24"/>
          <w:highlight w:val="none"/>
        </w:rPr>
      </w:pPr>
    </w:p>
    <w:p w14:paraId="71C3C652">
      <w:pPr>
        <w:spacing w:line="360" w:lineRule="auto"/>
        <w:ind w:firstLine="420"/>
        <w:rPr>
          <w:rFonts w:hint="eastAsia" w:ascii="Times New Roman" w:hAnsi="Times New Roman"/>
          <w:color w:val="auto"/>
          <w:sz w:val="24"/>
          <w:szCs w:val="24"/>
          <w:highlight w:val="none"/>
        </w:rPr>
      </w:pPr>
    </w:p>
    <w:p w14:paraId="082EC8F1">
      <w:pPr>
        <w:spacing w:line="360" w:lineRule="auto"/>
        <w:ind w:firstLine="420"/>
        <w:rPr>
          <w:rFonts w:hint="eastAsia" w:ascii="Times New Roman" w:hAnsi="Times New Roman"/>
          <w:color w:val="auto"/>
          <w:sz w:val="24"/>
          <w:szCs w:val="24"/>
          <w:highlight w:val="none"/>
        </w:rPr>
      </w:pPr>
    </w:p>
    <w:p w14:paraId="7FF23E04">
      <w:pPr>
        <w:spacing w:line="360" w:lineRule="auto"/>
        <w:rPr>
          <w:rFonts w:ascii="Times New Roman" w:hAnsi="Times New Roman"/>
          <w:color w:val="auto"/>
          <w:sz w:val="24"/>
          <w:szCs w:val="24"/>
          <w:highlight w:val="none"/>
        </w:rPr>
      </w:pPr>
      <w:r>
        <w:rPr>
          <w:rFonts w:ascii="Times New Roman" w:hAnsi="宋体"/>
          <w:color w:val="auto"/>
          <w:sz w:val="24"/>
          <w:szCs w:val="24"/>
          <w:highlight w:val="none"/>
        </w:rPr>
        <w:t>发包人</w:t>
      </w:r>
      <w:r>
        <w:rPr>
          <w:rFonts w:hint="eastAsia" w:ascii="Times New Roman" w:hAnsi="宋体"/>
          <w:color w:val="auto"/>
          <w:sz w:val="24"/>
          <w:szCs w:val="24"/>
          <w:highlight w:val="none"/>
        </w:rPr>
        <w:t>（</w:t>
      </w:r>
      <w:r>
        <w:rPr>
          <w:rFonts w:ascii="Times New Roman" w:hAnsi="宋体"/>
          <w:color w:val="auto"/>
          <w:sz w:val="24"/>
          <w:szCs w:val="24"/>
          <w:highlight w:val="none"/>
        </w:rPr>
        <w:t>公章</w:t>
      </w:r>
      <w:r>
        <w:rPr>
          <w:rFonts w:hint="eastAsia" w:ascii="Times New Roman" w:hAnsi="宋体"/>
          <w:color w:val="auto"/>
          <w:sz w:val="24"/>
          <w:szCs w:val="24"/>
          <w:highlight w:val="none"/>
        </w:rPr>
        <w:t>）</w:t>
      </w:r>
      <w:r>
        <w:rPr>
          <w:rFonts w:ascii="Times New Roman" w:hAnsi="宋体"/>
          <w:color w:val="auto"/>
          <w:sz w:val="24"/>
          <w:szCs w:val="24"/>
          <w:highlight w:val="none"/>
        </w:rPr>
        <w:t>：</w:t>
      </w:r>
      <w:r>
        <w:rPr>
          <w:rFonts w:ascii="Times New Roman" w:hAnsi="Times New Roman"/>
          <w:color w:val="auto"/>
          <w:sz w:val="24"/>
          <w:szCs w:val="24"/>
          <w:highlight w:val="none"/>
          <w:u w:val="single"/>
        </w:rPr>
        <w:t xml:space="preserve"> </w:t>
      </w:r>
      <w:r>
        <w:rPr>
          <w:rFonts w:ascii="宋体" w:hAnsi="宋体"/>
          <w:color w:val="auto"/>
          <w:sz w:val="24"/>
          <w:szCs w:val="24"/>
          <w:highlight w:val="none"/>
          <w:u w:val="single"/>
        </w:rPr>
        <w:t></w:t>
      </w:r>
      <w:r>
        <w:rPr>
          <w:rFonts w:ascii="Times New Roman" w:hAnsi="Times New Roman"/>
          <w:color w:val="auto"/>
          <w:sz w:val="24"/>
          <w:szCs w:val="24"/>
          <w:highlight w:val="none"/>
          <w:u w:val="single"/>
        </w:rPr>
        <w:t xml:space="preserve"> </w:t>
      </w:r>
      <w:r>
        <w:rPr>
          <w:rFonts w:ascii="宋体" w:hAnsi="宋体"/>
          <w:color w:val="auto"/>
          <w:sz w:val="24"/>
          <w:szCs w:val="24"/>
          <w:highlight w:val="none"/>
          <w:u w:val="single"/>
        </w:rPr>
        <w:t></w:t>
      </w:r>
      <w:r>
        <w:rPr>
          <w:rFonts w:ascii="Times New Roman" w:hAnsi="Times New Roman"/>
          <w:color w:val="auto"/>
          <w:sz w:val="24"/>
          <w:szCs w:val="24"/>
          <w:highlight w:val="none"/>
          <w:u w:val="single"/>
        </w:rPr>
        <w:t xml:space="preserve">      </w:t>
      </w:r>
      <w:r>
        <w:rPr>
          <w:rFonts w:ascii="Times New Roman" w:hAnsi="Times New Roman"/>
          <w:color w:val="auto"/>
          <w:sz w:val="24"/>
          <w:szCs w:val="24"/>
          <w:highlight w:val="none"/>
        </w:rPr>
        <w:t xml:space="preserve">                </w:t>
      </w:r>
      <w:r>
        <w:rPr>
          <w:rFonts w:ascii="Times New Roman" w:hAnsi="宋体"/>
          <w:color w:val="auto"/>
          <w:sz w:val="24"/>
          <w:szCs w:val="24"/>
          <w:highlight w:val="none"/>
        </w:rPr>
        <w:t>承包人</w:t>
      </w:r>
      <w:r>
        <w:rPr>
          <w:rFonts w:hint="eastAsia" w:ascii="Times New Roman" w:hAnsi="宋体"/>
          <w:color w:val="auto"/>
          <w:sz w:val="24"/>
          <w:szCs w:val="24"/>
          <w:highlight w:val="none"/>
        </w:rPr>
        <w:t>（</w:t>
      </w:r>
      <w:r>
        <w:rPr>
          <w:rFonts w:ascii="Times New Roman" w:hAnsi="宋体"/>
          <w:color w:val="auto"/>
          <w:sz w:val="24"/>
          <w:szCs w:val="24"/>
          <w:highlight w:val="none"/>
        </w:rPr>
        <w:t>公章</w:t>
      </w:r>
      <w:r>
        <w:rPr>
          <w:rFonts w:hint="eastAsia" w:ascii="Times New Roman" w:hAnsi="宋体"/>
          <w:color w:val="auto"/>
          <w:sz w:val="24"/>
          <w:szCs w:val="24"/>
          <w:highlight w:val="none"/>
        </w:rPr>
        <w:t>）</w:t>
      </w:r>
      <w:r>
        <w:rPr>
          <w:rFonts w:ascii="Times New Roman" w:hAnsi="宋体"/>
          <w:color w:val="auto"/>
          <w:sz w:val="24"/>
          <w:szCs w:val="24"/>
          <w:highlight w:val="none"/>
        </w:rPr>
        <w:t>：</w:t>
      </w:r>
      <w:r>
        <w:rPr>
          <w:rFonts w:ascii="宋体" w:hAnsi="宋体"/>
          <w:color w:val="auto"/>
          <w:sz w:val="24"/>
          <w:szCs w:val="24"/>
          <w:highlight w:val="none"/>
          <w:u w:val="single"/>
        </w:rPr>
        <w:t></w:t>
      </w:r>
      <w:r>
        <w:rPr>
          <w:rFonts w:ascii="Times New Roman" w:hAnsi="Times New Roman"/>
          <w:color w:val="auto"/>
          <w:sz w:val="24"/>
          <w:szCs w:val="24"/>
          <w:highlight w:val="none"/>
          <w:u w:val="single"/>
        </w:rPr>
        <w:t xml:space="preserve">          </w:t>
      </w:r>
      <w:r>
        <w:rPr>
          <w:rFonts w:ascii="宋体" w:hAnsi="宋体"/>
          <w:color w:val="auto"/>
          <w:sz w:val="24"/>
          <w:szCs w:val="24"/>
          <w:highlight w:val="none"/>
          <w:u w:val="single"/>
        </w:rPr>
        <w:t></w:t>
      </w:r>
      <w:r>
        <w:rPr>
          <w:rFonts w:ascii="Times New Roman" w:hAnsi="Times New Roman"/>
          <w:color w:val="auto"/>
          <w:sz w:val="24"/>
          <w:szCs w:val="24"/>
          <w:highlight w:val="none"/>
          <w:u w:val="single"/>
        </w:rPr>
        <w:t xml:space="preserve"> </w:t>
      </w:r>
    </w:p>
    <w:p w14:paraId="0299ED1D">
      <w:pPr>
        <w:spacing w:line="360" w:lineRule="auto"/>
        <w:rPr>
          <w:rFonts w:ascii="Times New Roman" w:hAnsi="Times New Roman"/>
          <w:color w:val="auto"/>
          <w:sz w:val="24"/>
          <w:szCs w:val="24"/>
          <w:highlight w:val="none"/>
        </w:rPr>
      </w:pPr>
      <w:r>
        <w:rPr>
          <w:rFonts w:ascii="Times New Roman" w:hAnsi="宋体"/>
          <w:color w:val="auto"/>
          <w:sz w:val="24"/>
          <w:szCs w:val="24"/>
          <w:highlight w:val="none"/>
        </w:rPr>
        <w:t>地</w:t>
      </w:r>
      <w:r>
        <w:rPr>
          <w:rFonts w:ascii="Times New Roman" w:hAnsi="Times New Roman"/>
          <w:color w:val="auto"/>
          <w:sz w:val="24"/>
          <w:szCs w:val="24"/>
          <w:highlight w:val="none"/>
        </w:rPr>
        <w:t xml:space="preserve">  </w:t>
      </w:r>
      <w:r>
        <w:rPr>
          <w:rFonts w:ascii="Times New Roman" w:hAnsi="宋体"/>
          <w:color w:val="auto"/>
          <w:sz w:val="24"/>
          <w:szCs w:val="24"/>
          <w:highlight w:val="none"/>
        </w:rPr>
        <w:t>址：</w:t>
      </w:r>
      <w:r>
        <w:rPr>
          <w:rFonts w:ascii="Times New Roman" w:hAnsi="Times New Roman"/>
          <w:color w:val="auto"/>
          <w:sz w:val="24"/>
          <w:szCs w:val="24"/>
          <w:highlight w:val="none"/>
          <w:u w:val="single"/>
        </w:rPr>
        <w:t xml:space="preserve"> </w:t>
      </w:r>
      <w:r>
        <w:rPr>
          <w:rFonts w:ascii="宋体" w:hAnsi="宋体"/>
          <w:color w:val="auto"/>
          <w:sz w:val="24"/>
          <w:szCs w:val="24"/>
          <w:highlight w:val="none"/>
          <w:u w:val="single"/>
        </w:rPr>
        <w:t></w:t>
      </w:r>
      <w:r>
        <w:rPr>
          <w:rFonts w:hint="eastAsia" w:ascii="宋体" w:hAnsi="宋体"/>
          <w:color w:val="auto"/>
          <w:sz w:val="24"/>
          <w:szCs w:val="24"/>
          <w:highlight w:val="none"/>
          <w:u w:val="single"/>
        </w:rPr>
        <w:t xml:space="preserve">  </w:t>
      </w:r>
      <w:r>
        <w:rPr>
          <w:rFonts w:ascii="Times New Roman" w:hAnsi="Times New Roman"/>
          <w:color w:val="auto"/>
          <w:sz w:val="24"/>
          <w:szCs w:val="24"/>
          <w:highlight w:val="none"/>
          <w:u w:val="single"/>
        </w:rPr>
        <w:t xml:space="preserve">    </w:t>
      </w:r>
      <w:r>
        <w:rPr>
          <w:rFonts w:ascii="Times New Roman" w:hAnsi="Times New Roman"/>
          <w:color w:val="auto"/>
          <w:sz w:val="24"/>
          <w:szCs w:val="24"/>
          <w:highlight w:val="none"/>
        </w:rPr>
        <w:t xml:space="preserve">               </w:t>
      </w:r>
      <w:r>
        <w:rPr>
          <w:rFonts w:hint="eastAsia" w:ascii="Times New Roman" w:hAnsi="Times New Roman"/>
          <w:color w:val="auto"/>
          <w:sz w:val="24"/>
          <w:szCs w:val="24"/>
          <w:highlight w:val="none"/>
        </w:rPr>
        <w:t xml:space="preserve"> </w:t>
      </w:r>
      <w:r>
        <w:rPr>
          <w:rFonts w:ascii="Times New Roman" w:hAnsi="宋体"/>
          <w:color w:val="auto"/>
          <w:sz w:val="24"/>
          <w:szCs w:val="24"/>
          <w:highlight w:val="none"/>
        </w:rPr>
        <w:t>地</w:t>
      </w:r>
      <w:r>
        <w:rPr>
          <w:rFonts w:ascii="Times New Roman" w:hAnsi="Times New Roman"/>
          <w:color w:val="auto"/>
          <w:sz w:val="24"/>
          <w:szCs w:val="24"/>
          <w:highlight w:val="none"/>
        </w:rPr>
        <w:t xml:space="preserve">  </w:t>
      </w:r>
      <w:r>
        <w:rPr>
          <w:rFonts w:ascii="Times New Roman" w:hAnsi="宋体"/>
          <w:color w:val="auto"/>
          <w:sz w:val="24"/>
          <w:szCs w:val="24"/>
          <w:highlight w:val="none"/>
        </w:rPr>
        <w:t>址：</w:t>
      </w:r>
      <w:r>
        <w:rPr>
          <w:rFonts w:ascii="宋体" w:hAnsi="宋体"/>
          <w:color w:val="auto"/>
          <w:sz w:val="24"/>
          <w:szCs w:val="24"/>
          <w:highlight w:val="none"/>
          <w:u w:val="single"/>
        </w:rPr>
        <w:t></w:t>
      </w:r>
      <w:r>
        <w:rPr>
          <w:rFonts w:ascii="Times New Roman" w:hAnsi="Times New Roman"/>
          <w:color w:val="auto"/>
          <w:sz w:val="24"/>
          <w:szCs w:val="24"/>
          <w:highlight w:val="none"/>
          <w:u w:val="single"/>
        </w:rPr>
        <w:t xml:space="preserve"> </w:t>
      </w:r>
      <w:r>
        <w:rPr>
          <w:rFonts w:ascii="宋体" w:hAnsi="宋体"/>
          <w:color w:val="auto"/>
          <w:sz w:val="24"/>
          <w:szCs w:val="24"/>
          <w:highlight w:val="none"/>
          <w:u w:val="single"/>
        </w:rPr>
        <w:t></w:t>
      </w:r>
      <w:r>
        <w:rPr>
          <w:rFonts w:ascii="Times New Roman" w:hAnsi="Times New Roman"/>
          <w:color w:val="auto"/>
          <w:sz w:val="24"/>
          <w:szCs w:val="24"/>
          <w:highlight w:val="none"/>
          <w:u w:val="single"/>
        </w:rPr>
        <w:t xml:space="preserve">      </w:t>
      </w:r>
    </w:p>
    <w:p w14:paraId="5D11E698">
      <w:pPr>
        <w:spacing w:line="360" w:lineRule="auto"/>
        <w:ind w:left="1080" w:hanging="1080" w:hangingChars="450"/>
        <w:rPr>
          <w:rFonts w:hint="eastAsia" w:ascii="Times New Roman" w:hAnsi="Times New Roman"/>
          <w:color w:val="auto"/>
          <w:sz w:val="24"/>
          <w:szCs w:val="24"/>
          <w:highlight w:val="none"/>
        </w:rPr>
      </w:pPr>
      <w:r>
        <w:rPr>
          <w:rFonts w:ascii="Times New Roman" w:hAnsi="宋体"/>
          <w:color w:val="auto"/>
          <w:sz w:val="24"/>
          <w:szCs w:val="24"/>
          <w:highlight w:val="none"/>
        </w:rPr>
        <w:t>法定代表人</w:t>
      </w:r>
      <w:r>
        <w:rPr>
          <w:rFonts w:hint="eastAsia" w:ascii="Times New Roman" w:hAnsi="宋体"/>
          <w:color w:val="auto"/>
          <w:sz w:val="24"/>
          <w:szCs w:val="24"/>
          <w:highlight w:val="none"/>
        </w:rPr>
        <w:t>或</w:t>
      </w:r>
      <w:r>
        <w:rPr>
          <w:rFonts w:ascii="Times New Roman" w:hAnsi="宋体"/>
          <w:color w:val="auto"/>
          <w:sz w:val="24"/>
          <w:szCs w:val="24"/>
          <w:highlight w:val="none"/>
        </w:rPr>
        <w:t>委托代理人</w:t>
      </w:r>
      <w:r>
        <w:rPr>
          <w:rFonts w:hint="eastAsia" w:ascii="Times New Roman" w:hAnsi="宋体"/>
          <w:color w:val="auto"/>
          <w:sz w:val="24"/>
          <w:szCs w:val="24"/>
          <w:highlight w:val="none"/>
        </w:rPr>
        <w:t>（</w:t>
      </w:r>
      <w:r>
        <w:rPr>
          <w:rFonts w:ascii="Times New Roman" w:hAnsi="宋体"/>
          <w:color w:val="auto"/>
          <w:sz w:val="24"/>
          <w:szCs w:val="24"/>
          <w:highlight w:val="none"/>
        </w:rPr>
        <w:t>签字</w:t>
      </w:r>
      <w:r>
        <w:rPr>
          <w:rFonts w:hint="eastAsia" w:ascii="Times New Roman" w:hAnsi="宋体"/>
          <w:color w:val="auto"/>
          <w:sz w:val="24"/>
          <w:szCs w:val="24"/>
          <w:highlight w:val="none"/>
        </w:rPr>
        <w:t>）</w:t>
      </w:r>
      <w:r>
        <w:rPr>
          <w:rFonts w:ascii="Times New Roman" w:hAnsi="宋体"/>
          <w:color w:val="auto"/>
          <w:sz w:val="24"/>
          <w:szCs w:val="24"/>
          <w:highlight w:val="none"/>
        </w:rPr>
        <w:t>：</w:t>
      </w:r>
      <w:r>
        <w:rPr>
          <w:rFonts w:ascii="Times New Roman" w:hAnsi="Times New Roman"/>
          <w:color w:val="auto"/>
          <w:sz w:val="24"/>
          <w:szCs w:val="24"/>
          <w:highlight w:val="none"/>
        </w:rPr>
        <w:t xml:space="preserve">             </w:t>
      </w:r>
      <w:r>
        <w:rPr>
          <w:rFonts w:hint="eastAsia" w:ascii="Times New Roman" w:hAnsi="Times New Roman"/>
          <w:color w:val="auto"/>
          <w:sz w:val="24"/>
          <w:szCs w:val="24"/>
          <w:highlight w:val="none"/>
        </w:rPr>
        <w:t xml:space="preserve"> </w:t>
      </w:r>
      <w:r>
        <w:rPr>
          <w:rFonts w:ascii="Times New Roman" w:hAnsi="宋体"/>
          <w:color w:val="auto"/>
          <w:sz w:val="24"/>
          <w:szCs w:val="24"/>
          <w:highlight w:val="none"/>
        </w:rPr>
        <w:t>法定代表人</w:t>
      </w:r>
      <w:r>
        <w:rPr>
          <w:rFonts w:hint="eastAsia" w:ascii="Times New Roman" w:hAnsi="宋体"/>
          <w:color w:val="auto"/>
          <w:sz w:val="24"/>
          <w:szCs w:val="24"/>
          <w:highlight w:val="none"/>
        </w:rPr>
        <w:t>或</w:t>
      </w:r>
      <w:r>
        <w:rPr>
          <w:rFonts w:ascii="Times New Roman" w:hAnsi="宋体"/>
          <w:color w:val="auto"/>
          <w:sz w:val="24"/>
          <w:szCs w:val="24"/>
          <w:highlight w:val="none"/>
        </w:rPr>
        <w:t>委托代理人</w:t>
      </w:r>
      <w:r>
        <w:rPr>
          <w:rFonts w:hint="eastAsia" w:ascii="Times New Roman" w:hAnsi="宋体"/>
          <w:color w:val="auto"/>
          <w:sz w:val="24"/>
          <w:szCs w:val="24"/>
          <w:highlight w:val="none"/>
        </w:rPr>
        <w:t>（</w:t>
      </w:r>
      <w:r>
        <w:rPr>
          <w:rFonts w:ascii="Times New Roman" w:hAnsi="宋体"/>
          <w:color w:val="auto"/>
          <w:sz w:val="24"/>
          <w:szCs w:val="24"/>
          <w:highlight w:val="none"/>
        </w:rPr>
        <w:t>签字</w:t>
      </w:r>
      <w:r>
        <w:rPr>
          <w:rFonts w:hint="eastAsia" w:ascii="Times New Roman" w:hAnsi="宋体"/>
          <w:color w:val="auto"/>
          <w:sz w:val="24"/>
          <w:szCs w:val="24"/>
          <w:highlight w:val="none"/>
        </w:rPr>
        <w:t>）：</w:t>
      </w:r>
      <w:r>
        <w:rPr>
          <w:rFonts w:ascii="宋体" w:hAnsi="宋体"/>
          <w:color w:val="auto"/>
          <w:sz w:val="24"/>
          <w:szCs w:val="24"/>
          <w:highlight w:val="none"/>
          <w:u w:val="single"/>
        </w:rPr>
        <w:t></w:t>
      </w:r>
      <w:r>
        <w:rPr>
          <w:rFonts w:ascii="Times New Roman" w:hAnsi="Times New Roman"/>
          <w:color w:val="auto"/>
          <w:sz w:val="24"/>
          <w:szCs w:val="24"/>
          <w:highlight w:val="none"/>
          <w:u w:val="single"/>
        </w:rPr>
        <w:t xml:space="preserve">     </w:t>
      </w:r>
      <w:r>
        <w:rPr>
          <w:rFonts w:hint="eastAsia" w:ascii="Times New Roman" w:hAnsi="Times New Roman"/>
          <w:color w:val="auto"/>
          <w:sz w:val="24"/>
          <w:szCs w:val="24"/>
          <w:highlight w:val="none"/>
          <w:u w:val="single"/>
        </w:rPr>
        <w:t xml:space="preserve">           </w:t>
      </w:r>
      <w:r>
        <w:rPr>
          <w:rFonts w:hint="eastAsia" w:ascii="Times New Roman" w:hAnsi="Times New Roman"/>
          <w:color w:val="auto"/>
          <w:sz w:val="24"/>
          <w:szCs w:val="24"/>
          <w:highlight w:val="none"/>
        </w:rPr>
        <w:t xml:space="preserve">               </w:t>
      </w:r>
      <w:r>
        <w:rPr>
          <w:rFonts w:hint="eastAsia" w:ascii="宋体" w:hAnsi="宋体"/>
          <w:color w:val="auto"/>
          <w:sz w:val="24"/>
          <w:szCs w:val="24"/>
          <w:highlight w:val="none"/>
        </w:rPr>
        <w:t xml:space="preserve"> </w:t>
      </w:r>
      <w:r>
        <w:rPr>
          <w:rFonts w:ascii="Times New Roman" w:hAnsi="Times New Roman"/>
          <w:color w:val="auto"/>
          <w:sz w:val="24"/>
          <w:szCs w:val="24"/>
          <w:highlight w:val="none"/>
        </w:rPr>
        <w:t xml:space="preserve">  </w:t>
      </w:r>
      <w:r>
        <w:rPr>
          <w:rFonts w:hint="eastAsia" w:ascii="Times New Roman" w:hAnsi="Times New Roman"/>
          <w:color w:val="auto"/>
          <w:sz w:val="24"/>
          <w:szCs w:val="24"/>
          <w:highlight w:val="none"/>
        </w:rPr>
        <w:t xml:space="preserve">     </w:t>
      </w:r>
      <w:r>
        <w:rPr>
          <w:rFonts w:ascii="Times New Roman" w:hAnsi="Times New Roman"/>
          <w:color w:val="auto"/>
          <w:sz w:val="24"/>
          <w:szCs w:val="24"/>
          <w:highlight w:val="none"/>
          <w:u w:val="single"/>
        </w:rPr>
        <w:t xml:space="preserve">  </w:t>
      </w:r>
      <w:r>
        <w:rPr>
          <w:rFonts w:hint="eastAsia" w:ascii="Times New Roman" w:hAnsi="Times New Roman"/>
          <w:color w:val="auto"/>
          <w:sz w:val="24"/>
          <w:szCs w:val="24"/>
          <w:highlight w:val="none"/>
          <w:u w:val="single"/>
        </w:rPr>
        <w:t xml:space="preserve">                    </w:t>
      </w:r>
    </w:p>
    <w:p w14:paraId="221CCC3C">
      <w:pPr>
        <w:spacing w:line="360" w:lineRule="auto"/>
        <w:rPr>
          <w:rFonts w:ascii="Times New Roman" w:hAnsi="Times New Roman"/>
          <w:color w:val="auto"/>
          <w:sz w:val="24"/>
          <w:szCs w:val="24"/>
          <w:highlight w:val="none"/>
        </w:rPr>
      </w:pPr>
      <w:r>
        <w:rPr>
          <w:rFonts w:ascii="Times New Roman" w:hAnsi="宋体"/>
          <w:color w:val="auto"/>
          <w:sz w:val="24"/>
          <w:szCs w:val="24"/>
          <w:highlight w:val="none"/>
        </w:rPr>
        <w:t>电</w:t>
      </w:r>
      <w:r>
        <w:rPr>
          <w:rFonts w:ascii="Times New Roman" w:hAnsi="Times New Roman"/>
          <w:color w:val="auto"/>
          <w:sz w:val="24"/>
          <w:szCs w:val="24"/>
          <w:highlight w:val="none"/>
        </w:rPr>
        <w:t xml:space="preserve">  </w:t>
      </w:r>
      <w:r>
        <w:rPr>
          <w:rFonts w:ascii="Times New Roman" w:hAnsi="宋体"/>
          <w:color w:val="auto"/>
          <w:sz w:val="24"/>
          <w:szCs w:val="24"/>
          <w:highlight w:val="none"/>
        </w:rPr>
        <w:t>话：</w:t>
      </w:r>
      <w:r>
        <w:rPr>
          <w:rFonts w:ascii="宋体" w:hAnsi="宋体"/>
          <w:color w:val="auto"/>
          <w:sz w:val="24"/>
          <w:szCs w:val="24"/>
          <w:highlight w:val="none"/>
          <w:u w:val="single"/>
        </w:rPr>
        <w:t></w:t>
      </w:r>
      <w:r>
        <w:rPr>
          <w:rFonts w:ascii="Times New Roman" w:hAnsi="Times New Roman"/>
          <w:color w:val="auto"/>
          <w:sz w:val="24"/>
          <w:szCs w:val="24"/>
          <w:highlight w:val="none"/>
          <w:u w:val="single"/>
        </w:rPr>
        <w:t xml:space="preserve">   </w:t>
      </w:r>
      <w:r>
        <w:rPr>
          <w:rFonts w:ascii="Times New Roman" w:hAnsi="Times New Roman"/>
          <w:color w:val="auto"/>
          <w:sz w:val="24"/>
          <w:szCs w:val="24"/>
          <w:highlight w:val="none"/>
        </w:rPr>
        <w:t xml:space="preserve">                 </w:t>
      </w:r>
      <w:r>
        <w:rPr>
          <w:rFonts w:ascii="Times New Roman" w:hAnsi="宋体"/>
          <w:color w:val="auto"/>
          <w:sz w:val="24"/>
          <w:szCs w:val="24"/>
          <w:highlight w:val="none"/>
        </w:rPr>
        <w:t>电</w:t>
      </w:r>
      <w:r>
        <w:rPr>
          <w:rFonts w:ascii="Times New Roman" w:hAnsi="Times New Roman"/>
          <w:color w:val="auto"/>
          <w:sz w:val="24"/>
          <w:szCs w:val="24"/>
          <w:highlight w:val="none"/>
        </w:rPr>
        <w:t xml:space="preserve">  </w:t>
      </w:r>
      <w:r>
        <w:rPr>
          <w:rFonts w:ascii="Times New Roman" w:hAnsi="宋体"/>
          <w:color w:val="auto"/>
          <w:sz w:val="24"/>
          <w:szCs w:val="24"/>
          <w:highlight w:val="none"/>
        </w:rPr>
        <w:t>话：</w:t>
      </w:r>
      <w:r>
        <w:rPr>
          <w:rFonts w:ascii="宋体" w:hAnsi="宋体"/>
          <w:color w:val="auto"/>
          <w:sz w:val="24"/>
          <w:szCs w:val="24"/>
          <w:highlight w:val="none"/>
          <w:u w:val="single"/>
        </w:rPr>
        <w:t></w:t>
      </w:r>
      <w:r>
        <w:rPr>
          <w:rFonts w:ascii="Times New Roman" w:hAnsi="Times New Roman"/>
          <w:color w:val="auto"/>
          <w:sz w:val="24"/>
          <w:szCs w:val="24"/>
          <w:highlight w:val="none"/>
          <w:u w:val="single"/>
        </w:rPr>
        <w:t xml:space="preserve">     </w:t>
      </w:r>
    </w:p>
    <w:p w14:paraId="7078A69F">
      <w:pPr>
        <w:spacing w:line="360" w:lineRule="auto"/>
        <w:rPr>
          <w:rFonts w:ascii="Times New Roman" w:hAnsi="Times New Roman"/>
          <w:color w:val="auto"/>
          <w:sz w:val="24"/>
          <w:szCs w:val="24"/>
          <w:highlight w:val="none"/>
        </w:rPr>
      </w:pPr>
      <w:r>
        <w:rPr>
          <w:rFonts w:ascii="Times New Roman" w:hAnsi="宋体"/>
          <w:color w:val="auto"/>
          <w:sz w:val="24"/>
          <w:szCs w:val="24"/>
          <w:highlight w:val="none"/>
        </w:rPr>
        <w:t>传</w:t>
      </w:r>
      <w:r>
        <w:rPr>
          <w:rFonts w:ascii="Times New Roman" w:hAnsi="Times New Roman"/>
          <w:color w:val="auto"/>
          <w:sz w:val="24"/>
          <w:szCs w:val="24"/>
          <w:highlight w:val="none"/>
        </w:rPr>
        <w:t xml:space="preserve">  </w:t>
      </w:r>
      <w:r>
        <w:rPr>
          <w:rFonts w:ascii="Times New Roman" w:hAnsi="宋体"/>
          <w:color w:val="auto"/>
          <w:sz w:val="24"/>
          <w:szCs w:val="24"/>
          <w:highlight w:val="none"/>
        </w:rPr>
        <w:t>真：</w:t>
      </w:r>
      <w:r>
        <w:rPr>
          <w:rFonts w:ascii="宋体" w:hAnsi="宋体"/>
          <w:color w:val="auto"/>
          <w:sz w:val="24"/>
          <w:szCs w:val="24"/>
          <w:highlight w:val="none"/>
          <w:u w:val="single"/>
        </w:rPr>
        <w:t></w:t>
      </w:r>
      <w:r>
        <w:rPr>
          <w:rFonts w:ascii="Times New Roman" w:hAnsi="Times New Roman"/>
          <w:color w:val="auto"/>
          <w:sz w:val="24"/>
          <w:szCs w:val="24"/>
          <w:highlight w:val="none"/>
          <w:u w:val="single"/>
        </w:rPr>
        <w:t xml:space="preserve">   </w:t>
      </w:r>
      <w:r>
        <w:rPr>
          <w:rFonts w:ascii="Times New Roman" w:hAnsi="Times New Roman"/>
          <w:color w:val="auto"/>
          <w:sz w:val="24"/>
          <w:szCs w:val="24"/>
          <w:highlight w:val="none"/>
        </w:rPr>
        <w:t xml:space="preserve">                 </w:t>
      </w:r>
      <w:r>
        <w:rPr>
          <w:rFonts w:ascii="Times New Roman" w:hAnsi="宋体"/>
          <w:color w:val="auto"/>
          <w:sz w:val="24"/>
          <w:szCs w:val="24"/>
          <w:highlight w:val="none"/>
        </w:rPr>
        <w:t>传</w:t>
      </w:r>
      <w:r>
        <w:rPr>
          <w:rFonts w:ascii="Times New Roman" w:hAnsi="Times New Roman"/>
          <w:color w:val="auto"/>
          <w:sz w:val="24"/>
          <w:szCs w:val="24"/>
          <w:highlight w:val="none"/>
        </w:rPr>
        <w:t xml:space="preserve">  </w:t>
      </w:r>
      <w:r>
        <w:rPr>
          <w:rFonts w:ascii="Times New Roman" w:hAnsi="宋体"/>
          <w:color w:val="auto"/>
          <w:sz w:val="24"/>
          <w:szCs w:val="24"/>
          <w:highlight w:val="none"/>
        </w:rPr>
        <w:t>真：</w:t>
      </w:r>
      <w:r>
        <w:rPr>
          <w:rFonts w:ascii="宋体" w:hAnsi="宋体"/>
          <w:color w:val="auto"/>
          <w:sz w:val="24"/>
          <w:szCs w:val="24"/>
          <w:highlight w:val="none"/>
          <w:u w:val="single"/>
        </w:rPr>
        <w:t></w:t>
      </w:r>
      <w:r>
        <w:rPr>
          <w:rFonts w:ascii="Times New Roman" w:hAnsi="Times New Roman"/>
          <w:color w:val="auto"/>
          <w:sz w:val="24"/>
          <w:szCs w:val="24"/>
          <w:highlight w:val="none"/>
          <w:u w:val="single"/>
        </w:rPr>
        <w:t xml:space="preserve">  </w:t>
      </w:r>
      <w:r>
        <w:rPr>
          <w:rFonts w:ascii="宋体" w:hAnsi="宋体"/>
          <w:color w:val="auto"/>
          <w:sz w:val="24"/>
          <w:szCs w:val="24"/>
          <w:highlight w:val="none"/>
          <w:u w:val="single"/>
        </w:rPr>
        <w:t></w:t>
      </w:r>
      <w:r>
        <w:rPr>
          <w:rFonts w:ascii="Times New Roman" w:hAnsi="Times New Roman"/>
          <w:color w:val="auto"/>
          <w:sz w:val="24"/>
          <w:szCs w:val="24"/>
          <w:highlight w:val="none"/>
          <w:u w:val="single"/>
        </w:rPr>
        <w:t xml:space="preserve">   </w:t>
      </w:r>
    </w:p>
    <w:p w14:paraId="673EF0FA">
      <w:pPr>
        <w:spacing w:line="360" w:lineRule="auto"/>
        <w:rPr>
          <w:rFonts w:ascii="Times New Roman" w:hAnsi="Times New Roman"/>
          <w:color w:val="auto"/>
          <w:sz w:val="24"/>
          <w:szCs w:val="24"/>
          <w:highlight w:val="none"/>
        </w:rPr>
      </w:pPr>
      <w:r>
        <w:rPr>
          <w:rFonts w:ascii="Times New Roman" w:hAnsi="宋体"/>
          <w:color w:val="auto"/>
          <w:sz w:val="24"/>
          <w:szCs w:val="24"/>
          <w:highlight w:val="none"/>
        </w:rPr>
        <w:t>开户银行：</w:t>
      </w:r>
      <w:r>
        <w:rPr>
          <w:rFonts w:ascii="宋体" w:hAnsi="宋体"/>
          <w:color w:val="auto"/>
          <w:sz w:val="24"/>
          <w:szCs w:val="24"/>
          <w:highlight w:val="none"/>
          <w:u w:val="single"/>
        </w:rPr>
        <w:t></w:t>
      </w:r>
      <w:r>
        <w:rPr>
          <w:rFonts w:ascii="Times New Roman" w:hAnsi="Times New Roman"/>
          <w:color w:val="auto"/>
          <w:sz w:val="24"/>
          <w:szCs w:val="24"/>
          <w:highlight w:val="none"/>
          <w:u w:val="single"/>
        </w:rPr>
        <w:t xml:space="preserve">   </w:t>
      </w:r>
      <w:r>
        <w:rPr>
          <w:rFonts w:ascii="Times New Roman" w:hAnsi="Times New Roman"/>
          <w:color w:val="auto"/>
          <w:sz w:val="24"/>
          <w:szCs w:val="24"/>
          <w:highlight w:val="none"/>
        </w:rPr>
        <w:t xml:space="preserve">                 </w:t>
      </w:r>
      <w:r>
        <w:rPr>
          <w:rFonts w:ascii="Times New Roman" w:hAnsi="宋体"/>
          <w:color w:val="auto"/>
          <w:sz w:val="24"/>
          <w:szCs w:val="24"/>
          <w:highlight w:val="none"/>
        </w:rPr>
        <w:t>开户银行：</w:t>
      </w:r>
      <w:r>
        <w:rPr>
          <w:rFonts w:ascii="宋体" w:hAnsi="宋体"/>
          <w:color w:val="auto"/>
          <w:sz w:val="24"/>
          <w:szCs w:val="24"/>
          <w:highlight w:val="none"/>
          <w:u w:val="single"/>
        </w:rPr>
        <w:t></w:t>
      </w:r>
      <w:r>
        <w:rPr>
          <w:rFonts w:ascii="Times New Roman" w:hAnsi="Times New Roman"/>
          <w:color w:val="auto"/>
          <w:sz w:val="24"/>
          <w:szCs w:val="24"/>
          <w:highlight w:val="none"/>
          <w:u w:val="single"/>
        </w:rPr>
        <w:t xml:space="preserve">   </w:t>
      </w:r>
    </w:p>
    <w:p w14:paraId="05C7785C">
      <w:pPr>
        <w:spacing w:line="360" w:lineRule="auto"/>
        <w:rPr>
          <w:rFonts w:ascii="Times New Roman" w:hAnsi="Times New Roman"/>
          <w:color w:val="auto"/>
          <w:sz w:val="24"/>
          <w:szCs w:val="24"/>
          <w:highlight w:val="none"/>
        </w:rPr>
      </w:pPr>
      <w:r>
        <w:rPr>
          <w:rFonts w:ascii="Times New Roman" w:hAnsi="宋体"/>
          <w:color w:val="auto"/>
          <w:sz w:val="24"/>
          <w:szCs w:val="24"/>
          <w:highlight w:val="none"/>
        </w:rPr>
        <w:t>账</w:t>
      </w:r>
      <w:r>
        <w:rPr>
          <w:rFonts w:ascii="Times New Roman" w:hAnsi="Times New Roman"/>
          <w:color w:val="auto"/>
          <w:sz w:val="24"/>
          <w:szCs w:val="24"/>
          <w:highlight w:val="none"/>
        </w:rPr>
        <w:t xml:space="preserve">  </w:t>
      </w:r>
      <w:r>
        <w:rPr>
          <w:rFonts w:ascii="Times New Roman" w:hAnsi="宋体"/>
          <w:color w:val="auto"/>
          <w:sz w:val="24"/>
          <w:szCs w:val="24"/>
          <w:highlight w:val="none"/>
        </w:rPr>
        <w:t>号：</w:t>
      </w:r>
      <w:r>
        <w:rPr>
          <w:rFonts w:ascii="宋体" w:hAnsi="宋体"/>
          <w:color w:val="auto"/>
          <w:sz w:val="24"/>
          <w:szCs w:val="24"/>
          <w:highlight w:val="none"/>
          <w:u w:val="single"/>
        </w:rPr>
        <w:t></w:t>
      </w:r>
      <w:r>
        <w:rPr>
          <w:rFonts w:ascii="Times New Roman" w:hAnsi="Times New Roman"/>
          <w:color w:val="auto"/>
          <w:sz w:val="24"/>
          <w:szCs w:val="24"/>
          <w:highlight w:val="none"/>
          <w:u w:val="single"/>
        </w:rPr>
        <w:t xml:space="preserve"> </w:t>
      </w:r>
      <w:r>
        <w:rPr>
          <w:rFonts w:ascii="宋体" w:hAnsi="宋体"/>
          <w:color w:val="auto"/>
          <w:sz w:val="24"/>
          <w:szCs w:val="24"/>
          <w:highlight w:val="none"/>
          <w:u w:val="single"/>
        </w:rPr>
        <w:t></w:t>
      </w:r>
      <w:r>
        <w:rPr>
          <w:rFonts w:ascii="Times New Roman" w:hAnsi="Times New Roman"/>
          <w:color w:val="auto"/>
          <w:sz w:val="24"/>
          <w:szCs w:val="24"/>
          <w:highlight w:val="none"/>
          <w:u w:val="single"/>
        </w:rPr>
        <w:t xml:space="preserve">      </w:t>
      </w:r>
      <w:r>
        <w:rPr>
          <w:rFonts w:ascii="Times New Roman" w:hAnsi="Times New Roman"/>
          <w:color w:val="auto"/>
          <w:sz w:val="24"/>
          <w:szCs w:val="24"/>
          <w:highlight w:val="none"/>
        </w:rPr>
        <w:t xml:space="preserve">                  </w:t>
      </w:r>
      <w:r>
        <w:rPr>
          <w:rFonts w:ascii="Times New Roman" w:hAnsi="宋体"/>
          <w:color w:val="auto"/>
          <w:sz w:val="24"/>
          <w:szCs w:val="24"/>
          <w:highlight w:val="none"/>
        </w:rPr>
        <w:t>账</w:t>
      </w:r>
      <w:r>
        <w:rPr>
          <w:rFonts w:ascii="Times New Roman" w:hAnsi="Times New Roman"/>
          <w:color w:val="auto"/>
          <w:sz w:val="24"/>
          <w:szCs w:val="24"/>
          <w:highlight w:val="none"/>
        </w:rPr>
        <w:t xml:space="preserve">  </w:t>
      </w:r>
      <w:r>
        <w:rPr>
          <w:rFonts w:ascii="Times New Roman" w:hAnsi="宋体"/>
          <w:color w:val="auto"/>
          <w:sz w:val="24"/>
          <w:szCs w:val="24"/>
          <w:highlight w:val="none"/>
        </w:rPr>
        <w:t>号：</w:t>
      </w:r>
      <w:r>
        <w:rPr>
          <w:rFonts w:ascii="宋体" w:hAnsi="宋体"/>
          <w:color w:val="auto"/>
          <w:sz w:val="24"/>
          <w:szCs w:val="24"/>
          <w:highlight w:val="none"/>
          <w:u w:val="single"/>
        </w:rPr>
        <w:t></w:t>
      </w:r>
      <w:r>
        <w:rPr>
          <w:rFonts w:ascii="Times New Roman" w:hAnsi="Times New Roman"/>
          <w:color w:val="auto"/>
          <w:sz w:val="24"/>
          <w:szCs w:val="24"/>
          <w:highlight w:val="none"/>
          <w:u w:val="single"/>
        </w:rPr>
        <w:t xml:space="preserve">     </w:t>
      </w:r>
    </w:p>
    <w:p w14:paraId="37243242">
      <w:pPr>
        <w:pStyle w:val="43"/>
        <w:spacing w:line="360" w:lineRule="auto"/>
        <w:ind w:left="0" w:leftChars="0" w:firstLine="0" w:firstLineChars="0"/>
        <w:rPr>
          <w:rFonts w:hint="eastAsia"/>
          <w:color w:val="auto"/>
          <w:highlight w:val="none"/>
        </w:rPr>
      </w:pPr>
    </w:p>
    <w:sectPr>
      <w:footerReference r:id="rId8" w:type="first"/>
      <w:footerReference r:id="rId7" w:type="default"/>
      <w:pgSz w:w="11906" w:h="16838"/>
      <w:pgMar w:top="1440" w:right="1080" w:bottom="1440" w:left="1080"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F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 New Roman)">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宋体正文">
    <w:altName w:val="宋体"/>
    <w:panose1 w:val="00000000000000000000"/>
    <w:charset w:val="00"/>
    <w:family w:val="auto"/>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方正小标宋简体">
    <w:altName w:val="仿宋_GB2312"/>
    <w:panose1 w:val="02000000000000000000"/>
    <w:charset w:val="86"/>
    <w:family w:val="script"/>
    <w:pitch w:val="default"/>
    <w:sig w:usb0="00000000" w:usb1="00000000" w:usb2="00000012" w:usb3="00000000" w:csb0="00040001" w:csb1="00000000"/>
  </w:font>
  <w:font w:name="华文新魏">
    <w:altName w:val="宋体"/>
    <w:panose1 w:val="0201080004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ˎ̥">
    <w:altName w:val="微软雅黑"/>
    <w:panose1 w:val="00000000000000000000"/>
    <w:charset w:val="00"/>
    <w:family w:val="roman"/>
    <w:pitch w:val="default"/>
    <w:sig w:usb0="00000000" w:usb1="00000000" w:usb2="00000000"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Kingsoft UE">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D625D">
    <w:pPr>
      <w:pStyle w:val="29"/>
      <w:tabs>
        <w:tab w:val="center" w:pos="4439"/>
        <w:tab w:val="clear" w:pos="4153"/>
      </w:tabs>
      <w:jc w:val="both"/>
    </w:pPr>
  </w:p>
  <w:p w14:paraId="02ED57DA">
    <w:pPr>
      <w:pStyle w:val="2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061D6">
    <w:pPr>
      <w:pStyle w:val="29"/>
      <w:tabs>
        <w:tab w:val="center" w:pos="4439"/>
        <w:tab w:val="clear" w:pos="4153"/>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53035"/>
              <wp:effectExtent l="0" t="0" r="0" b="0"/>
              <wp:wrapNone/>
              <wp:docPr id="4" name="Text Box 4100"/>
              <wp:cNvGraphicFramePr/>
              <a:graphic xmlns:a="http://schemas.openxmlformats.org/drawingml/2006/main">
                <a:graphicData uri="http://schemas.microsoft.com/office/word/2010/wordprocessingShape">
                  <wps:wsp>
                    <wps:cNvSpPr txBox="1">
                      <a:spLocks noChangeArrowheads="1"/>
                    </wps:cNvSpPr>
                    <wps:spPr bwMode="auto">
                      <a:xfrm>
                        <a:off x="0" y="0"/>
                        <a:ext cx="114935" cy="153035"/>
                      </a:xfrm>
                      <a:prstGeom prst="rect">
                        <a:avLst/>
                      </a:prstGeom>
                      <a:noFill/>
                      <a:ln>
                        <a:noFill/>
                      </a:ln>
                      <a:effectLst/>
                    </wps:spPr>
                    <wps:txbx>
                      <w:txbxContent>
                        <w:p w14:paraId="24AED3DF"/>
                      </w:txbxContent>
                    </wps:txbx>
                    <wps:bodyPr rot="0" vert="horz" wrap="none" lIns="0" tIns="0" rIns="0" bIns="0" anchor="t" anchorCtr="0" upright="1">
                      <a:spAutoFit/>
                    </wps:bodyPr>
                  </wps:wsp>
                </a:graphicData>
              </a:graphic>
            </wp:anchor>
          </w:drawing>
        </mc:Choice>
        <mc:Fallback>
          <w:pict>
            <v:shape id="Text Box 4100" o:spid="_x0000_s1026" o:spt="202" type="#_x0000_t202" style="position:absolute;left:0pt;margin-top:0pt;height:12.05pt;width:9.05pt;mso-position-horizontal:center;mso-position-horizontal-relative:margin;mso-wrap-style:none;z-index:251659264;mso-width-relative:page;mso-height-relative:page;" filled="f" stroked="f" coordsize="21600,21600" o:gfxdata="UEsDBAoAAAAAAIdO4kAAAAAAAAAAAAAAAAAEAAAAZHJzL1BLAwQUAAAACACHTuJACQVPmtAAAAAD&#10;AQAADwAAAGRycy9kb3ducmV2LnhtbE2PwWrDMBBE74X8g9hCb43sUFrjWM4hkEtvTUuht421sUyl&#10;lZEUx/77Kr20l4Vhhpm3zW52VkwU4uBZQbkuQBB3Xg/cK/h4PzxWIGJC1mg9k4KFIuza1V2DtfZX&#10;fqPpmHqRSzjWqMCkNNZSxs6Qw7j2I3H2zj44TFmGXuqA11zurNwUxbN0OHBeMDjS3lD3fbw4BS/z&#10;p6cx0p6+zlMXzLBU9nVR6uG+LLYgEs3pLww3/IwObWY6+QvrKKyC/Ej6vTevKkGcFGyeSpBtI/+z&#10;tz9QSwMEFAAAAAgAh07iQPSZePP+AQAAEgQAAA4AAABkcnMvZTJvRG9jLnhtbK1TTW/bMAy9D9h/&#10;EHRfbLfpsBlxiq5BhgHdB9DuB8iyHAu1RIFSYme/fpQcp1136aEXg5bIR77Hp9X1aHp2UOg12IoX&#10;i5wzZSU02u4q/vth++ETZz4I24gerKr4UXl+vX7/bjW4Ul1AB32jkBGI9eXgKt6F4Mos87JTRvgF&#10;OGXpsgU0ItAv7rIGxUDops8u8vxjNgA2DkEq7+l0M13yEyK+BhDaVku1Abk3yoYJFVUvAlHynXae&#10;r9O0batk+Nm2XgXWV5yYhvSlJhTX8ZutV6LcoXCdlqcRxGtGeMHJCG2p6RlqI4Jge9T/QRktETy0&#10;YSHBZBORpAixKPIX2tx3wqnEhaT27iy6fztY+ePwC5luKr7kzApDC39QY2BfYGTLIk8CDc6XlHfv&#10;KDOMdEO2SWS9uwP56JmF207YnbpBhKFToqEBiyht9qw0rsSXPoLUw3doqJPYB0hAY4smqkd6MEKn&#10;5RzPy4nTyNiyWH6+vOJM0lVxdZlTHDuIci526MNXBYbFoOJIu0/g4nDnw5Q6p8ReFra679P+e/vP&#10;AWFOJyoZ6FQ9Tz/xCGM9Um08rKE5EimEyVz0tCjoAP9wNpCxKm7pHXHWf7MkS/TgHOAc1HMgrKTC&#10;igfOpvA2TF7dO9S7jnBn4W9Iuq1OtJ5mOAlOVknCnGwdvfj8P2U9PeX1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AkFT5rQAAAAAwEAAA8AAAAAAAAAAQAgAAAAIgAAAGRycy9kb3ducmV2LnhtbFBL&#10;AQIUABQAAAAIAIdO4kD0mXjz/gEAABIEAAAOAAAAAAAAAAEAIAAAAB8BAABkcnMvZTJvRG9jLnht&#10;bFBLBQYAAAAABgAGAFkBAACPBQAAAAA=&#10;">
              <v:fill on="f" focussize="0,0"/>
              <v:stroke on="f"/>
              <v:imagedata o:title=""/>
              <o:lock v:ext="edit" aspectratio="f"/>
              <v:textbox inset="0mm,0mm,0mm,0mm" style="mso-fit-shape-to-text:t;">
                <w:txbxContent>
                  <w:p w14:paraId="24AED3DF"/>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8D36B">
    <w:pPr>
      <w:pStyle w:val="29"/>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06A378">
                          <w:pPr>
                            <w:pStyle w:val="29"/>
                          </w:pPr>
                          <w:r>
                            <w:fldChar w:fldCharType="begin"/>
                          </w:r>
                          <w:r>
                            <w:instrText xml:space="preserve"> PAGE  \* MERGEFORMAT </w:instrText>
                          </w:r>
                          <w:r>
                            <w:fldChar w:fldCharType="separate"/>
                          </w:r>
                          <w:r>
                            <w:t>88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7006A378">
                    <w:pPr>
                      <w:pStyle w:val="29"/>
                    </w:pPr>
                    <w:r>
                      <w:fldChar w:fldCharType="begin"/>
                    </w:r>
                    <w:r>
                      <w:instrText xml:space="preserve"> PAGE  \* MERGEFORMAT </w:instrText>
                    </w:r>
                    <w:r>
                      <w:fldChar w:fldCharType="separate"/>
                    </w:r>
                    <w:r>
                      <w:t>88</w:t>
                    </w:r>
                    <w:r>
                      <w:fldChar w:fldCharType="end"/>
                    </w:r>
                  </w:p>
                </w:txbxContent>
              </v:textbox>
            </v:shape>
          </w:pict>
        </mc:Fallback>
      </mc:AlternateContent>
    </w:r>
  </w:p>
  <w:p w14:paraId="5DA39A7E">
    <w:pPr>
      <w:pStyle w:val="2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D6E4F">
    <w:pPr>
      <w:pStyle w:val="29"/>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433CEA">
                          <w:pPr>
                            <w:pStyle w:val="29"/>
                          </w:pPr>
                          <w:r>
                            <w:fldChar w:fldCharType="begin"/>
                          </w:r>
                          <w:r>
                            <w:instrText xml:space="preserve"> PAGE  \* MERGEFORMAT </w:instrText>
                          </w:r>
                          <w:r>
                            <w:fldChar w:fldCharType="separate"/>
                          </w:r>
                          <w:r>
                            <w:t>87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21433CEA">
                    <w:pPr>
                      <w:pStyle w:val="29"/>
                    </w:pPr>
                    <w:r>
                      <w:fldChar w:fldCharType="begin"/>
                    </w:r>
                    <w:r>
                      <w:instrText xml:space="preserve"> PAGE  \* MERGEFORMAT </w:instrText>
                    </w:r>
                    <w:r>
                      <w:fldChar w:fldCharType="separate"/>
                    </w:r>
                    <w:r>
                      <w:t>87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623AC">
    <w:pPr>
      <w:pStyle w:val="3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0933B0">
    <w:pPr>
      <w:pStyle w:val="30"/>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4499CC"/>
    <w:multiLevelType w:val="singleLevel"/>
    <w:tmpl w:val="324499CC"/>
    <w:lvl w:ilvl="0" w:tentative="0">
      <w:start w:val="2"/>
      <w:numFmt w:val="decimal"/>
      <w:suff w:val="nothing"/>
      <w:lvlText w:val="（%1）"/>
      <w:lvlJc w:val="left"/>
    </w:lvl>
  </w:abstractNum>
  <w:abstractNum w:abstractNumId="1">
    <w:nsid w:val="408860E8"/>
    <w:multiLevelType w:val="singleLevel"/>
    <w:tmpl w:val="408860E8"/>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ZhM2JhMjViNGU0NTcyZDJlM2Q3Y2E3ZWY1ZWUyNjAifQ=="/>
  </w:docVars>
  <w:rsids>
    <w:rsidRoot w:val="00F34B14"/>
    <w:rsid w:val="000002E0"/>
    <w:rsid w:val="00000672"/>
    <w:rsid w:val="00000C53"/>
    <w:rsid w:val="00000E69"/>
    <w:rsid w:val="00000FD7"/>
    <w:rsid w:val="00001013"/>
    <w:rsid w:val="00001245"/>
    <w:rsid w:val="00001799"/>
    <w:rsid w:val="00001AF2"/>
    <w:rsid w:val="00001CA1"/>
    <w:rsid w:val="00001ECA"/>
    <w:rsid w:val="00002480"/>
    <w:rsid w:val="00002D29"/>
    <w:rsid w:val="0000347E"/>
    <w:rsid w:val="00003B93"/>
    <w:rsid w:val="0000474D"/>
    <w:rsid w:val="0000529E"/>
    <w:rsid w:val="000057F8"/>
    <w:rsid w:val="00005FDF"/>
    <w:rsid w:val="0000644A"/>
    <w:rsid w:val="00006D8A"/>
    <w:rsid w:val="00007081"/>
    <w:rsid w:val="000070B3"/>
    <w:rsid w:val="000076B8"/>
    <w:rsid w:val="00007AE6"/>
    <w:rsid w:val="0001010E"/>
    <w:rsid w:val="000109DC"/>
    <w:rsid w:val="00010D39"/>
    <w:rsid w:val="0001172C"/>
    <w:rsid w:val="00011BC9"/>
    <w:rsid w:val="00012854"/>
    <w:rsid w:val="00012D72"/>
    <w:rsid w:val="00012EA6"/>
    <w:rsid w:val="00013359"/>
    <w:rsid w:val="000139CF"/>
    <w:rsid w:val="00013AA4"/>
    <w:rsid w:val="00013DFE"/>
    <w:rsid w:val="000141EA"/>
    <w:rsid w:val="00015111"/>
    <w:rsid w:val="000151DB"/>
    <w:rsid w:val="00015239"/>
    <w:rsid w:val="00015C28"/>
    <w:rsid w:val="000163AB"/>
    <w:rsid w:val="0001657F"/>
    <w:rsid w:val="00016ABC"/>
    <w:rsid w:val="00016C68"/>
    <w:rsid w:val="000177DB"/>
    <w:rsid w:val="000179C9"/>
    <w:rsid w:val="00017CCC"/>
    <w:rsid w:val="00020227"/>
    <w:rsid w:val="00020263"/>
    <w:rsid w:val="000202AC"/>
    <w:rsid w:val="00020398"/>
    <w:rsid w:val="00020455"/>
    <w:rsid w:val="00020813"/>
    <w:rsid w:val="00020A9E"/>
    <w:rsid w:val="00020C36"/>
    <w:rsid w:val="000215D0"/>
    <w:rsid w:val="00021F52"/>
    <w:rsid w:val="00021FCF"/>
    <w:rsid w:val="000220B2"/>
    <w:rsid w:val="0002264C"/>
    <w:rsid w:val="00022731"/>
    <w:rsid w:val="00022792"/>
    <w:rsid w:val="00023287"/>
    <w:rsid w:val="00023A6D"/>
    <w:rsid w:val="00024292"/>
    <w:rsid w:val="00024463"/>
    <w:rsid w:val="00025461"/>
    <w:rsid w:val="00025636"/>
    <w:rsid w:val="00025E36"/>
    <w:rsid w:val="000260F7"/>
    <w:rsid w:val="000260FF"/>
    <w:rsid w:val="00026855"/>
    <w:rsid w:val="00026886"/>
    <w:rsid w:val="000273DE"/>
    <w:rsid w:val="0002754F"/>
    <w:rsid w:val="0002785D"/>
    <w:rsid w:val="00030544"/>
    <w:rsid w:val="000307BE"/>
    <w:rsid w:val="000317BF"/>
    <w:rsid w:val="000321AB"/>
    <w:rsid w:val="00032633"/>
    <w:rsid w:val="000329E0"/>
    <w:rsid w:val="000336D0"/>
    <w:rsid w:val="000351A2"/>
    <w:rsid w:val="000352E9"/>
    <w:rsid w:val="00035494"/>
    <w:rsid w:val="00035ECF"/>
    <w:rsid w:val="00036125"/>
    <w:rsid w:val="00036A07"/>
    <w:rsid w:val="0003780B"/>
    <w:rsid w:val="00037C41"/>
    <w:rsid w:val="00040571"/>
    <w:rsid w:val="00040973"/>
    <w:rsid w:val="0004156E"/>
    <w:rsid w:val="00041713"/>
    <w:rsid w:val="0004212E"/>
    <w:rsid w:val="00042A19"/>
    <w:rsid w:val="00042B32"/>
    <w:rsid w:val="00042EE8"/>
    <w:rsid w:val="000434FD"/>
    <w:rsid w:val="000439AA"/>
    <w:rsid w:val="0004440C"/>
    <w:rsid w:val="00046B5E"/>
    <w:rsid w:val="000470CB"/>
    <w:rsid w:val="000479D5"/>
    <w:rsid w:val="000501AA"/>
    <w:rsid w:val="000504A6"/>
    <w:rsid w:val="000506DE"/>
    <w:rsid w:val="000509D9"/>
    <w:rsid w:val="00051006"/>
    <w:rsid w:val="00051165"/>
    <w:rsid w:val="000512AF"/>
    <w:rsid w:val="000516F3"/>
    <w:rsid w:val="00051ACB"/>
    <w:rsid w:val="00052E40"/>
    <w:rsid w:val="000531EC"/>
    <w:rsid w:val="000533E7"/>
    <w:rsid w:val="00053B29"/>
    <w:rsid w:val="00054B4B"/>
    <w:rsid w:val="000550E8"/>
    <w:rsid w:val="00055519"/>
    <w:rsid w:val="00055D41"/>
    <w:rsid w:val="000560DE"/>
    <w:rsid w:val="00056EF6"/>
    <w:rsid w:val="000575CF"/>
    <w:rsid w:val="00057CD6"/>
    <w:rsid w:val="00060D7F"/>
    <w:rsid w:val="00060DCE"/>
    <w:rsid w:val="000610E3"/>
    <w:rsid w:val="00061143"/>
    <w:rsid w:val="000614F3"/>
    <w:rsid w:val="00061A1B"/>
    <w:rsid w:val="00061EB4"/>
    <w:rsid w:val="000623B4"/>
    <w:rsid w:val="00062405"/>
    <w:rsid w:val="000627E5"/>
    <w:rsid w:val="000628B7"/>
    <w:rsid w:val="00062EC2"/>
    <w:rsid w:val="0006347E"/>
    <w:rsid w:val="000634A7"/>
    <w:rsid w:val="00063B0B"/>
    <w:rsid w:val="00063F81"/>
    <w:rsid w:val="00064847"/>
    <w:rsid w:val="00065E08"/>
    <w:rsid w:val="00065E2D"/>
    <w:rsid w:val="00066AD9"/>
    <w:rsid w:val="00066D2E"/>
    <w:rsid w:val="000673E2"/>
    <w:rsid w:val="00067EF1"/>
    <w:rsid w:val="00070378"/>
    <w:rsid w:val="0007037E"/>
    <w:rsid w:val="0007063F"/>
    <w:rsid w:val="000707FD"/>
    <w:rsid w:val="00070949"/>
    <w:rsid w:val="00070C0E"/>
    <w:rsid w:val="000711E4"/>
    <w:rsid w:val="00071E9B"/>
    <w:rsid w:val="000720A1"/>
    <w:rsid w:val="000724D9"/>
    <w:rsid w:val="00072AED"/>
    <w:rsid w:val="00073F47"/>
    <w:rsid w:val="0007492F"/>
    <w:rsid w:val="00074B5B"/>
    <w:rsid w:val="00074BC7"/>
    <w:rsid w:val="00074ED8"/>
    <w:rsid w:val="00075B7E"/>
    <w:rsid w:val="00076852"/>
    <w:rsid w:val="00076D70"/>
    <w:rsid w:val="00077ACA"/>
    <w:rsid w:val="00077C70"/>
    <w:rsid w:val="00080C87"/>
    <w:rsid w:val="00080CFB"/>
    <w:rsid w:val="000813B5"/>
    <w:rsid w:val="000813E7"/>
    <w:rsid w:val="0008191E"/>
    <w:rsid w:val="00081BA3"/>
    <w:rsid w:val="00081D2E"/>
    <w:rsid w:val="00081F89"/>
    <w:rsid w:val="00082619"/>
    <w:rsid w:val="00082D02"/>
    <w:rsid w:val="0008381A"/>
    <w:rsid w:val="00083871"/>
    <w:rsid w:val="00083B91"/>
    <w:rsid w:val="0008473C"/>
    <w:rsid w:val="00084E4F"/>
    <w:rsid w:val="00085193"/>
    <w:rsid w:val="0008520B"/>
    <w:rsid w:val="0008527B"/>
    <w:rsid w:val="000857DE"/>
    <w:rsid w:val="000860BD"/>
    <w:rsid w:val="000871B8"/>
    <w:rsid w:val="00087B0A"/>
    <w:rsid w:val="00090339"/>
    <w:rsid w:val="00091373"/>
    <w:rsid w:val="000916DA"/>
    <w:rsid w:val="00091AAB"/>
    <w:rsid w:val="00092442"/>
    <w:rsid w:val="000929EF"/>
    <w:rsid w:val="00092C26"/>
    <w:rsid w:val="00092EC0"/>
    <w:rsid w:val="000933BE"/>
    <w:rsid w:val="00094428"/>
    <w:rsid w:val="000944FC"/>
    <w:rsid w:val="00094F71"/>
    <w:rsid w:val="0009560F"/>
    <w:rsid w:val="0009588E"/>
    <w:rsid w:val="000959ED"/>
    <w:rsid w:val="000959EE"/>
    <w:rsid w:val="00096C2E"/>
    <w:rsid w:val="00096DB9"/>
    <w:rsid w:val="00097183"/>
    <w:rsid w:val="000972CB"/>
    <w:rsid w:val="00097608"/>
    <w:rsid w:val="000A0928"/>
    <w:rsid w:val="000A0DFC"/>
    <w:rsid w:val="000A0F35"/>
    <w:rsid w:val="000A1175"/>
    <w:rsid w:val="000A13F3"/>
    <w:rsid w:val="000A165B"/>
    <w:rsid w:val="000A1963"/>
    <w:rsid w:val="000A1C18"/>
    <w:rsid w:val="000A23B1"/>
    <w:rsid w:val="000A2818"/>
    <w:rsid w:val="000A2B0E"/>
    <w:rsid w:val="000A2D1D"/>
    <w:rsid w:val="000A3095"/>
    <w:rsid w:val="000A392D"/>
    <w:rsid w:val="000A398F"/>
    <w:rsid w:val="000A448C"/>
    <w:rsid w:val="000A4E26"/>
    <w:rsid w:val="000A509C"/>
    <w:rsid w:val="000A545A"/>
    <w:rsid w:val="000A54A7"/>
    <w:rsid w:val="000A5A17"/>
    <w:rsid w:val="000A5CC8"/>
    <w:rsid w:val="000A6007"/>
    <w:rsid w:val="000A6564"/>
    <w:rsid w:val="000A65A6"/>
    <w:rsid w:val="000A69C2"/>
    <w:rsid w:val="000A70E3"/>
    <w:rsid w:val="000A7275"/>
    <w:rsid w:val="000A7408"/>
    <w:rsid w:val="000A7A12"/>
    <w:rsid w:val="000A7A72"/>
    <w:rsid w:val="000A7DE5"/>
    <w:rsid w:val="000A7EEA"/>
    <w:rsid w:val="000B0382"/>
    <w:rsid w:val="000B0FE0"/>
    <w:rsid w:val="000B1202"/>
    <w:rsid w:val="000B12FF"/>
    <w:rsid w:val="000B1801"/>
    <w:rsid w:val="000B187E"/>
    <w:rsid w:val="000B1D0C"/>
    <w:rsid w:val="000B2273"/>
    <w:rsid w:val="000B2563"/>
    <w:rsid w:val="000B2BC6"/>
    <w:rsid w:val="000B2D03"/>
    <w:rsid w:val="000B37F2"/>
    <w:rsid w:val="000B3815"/>
    <w:rsid w:val="000B3C7B"/>
    <w:rsid w:val="000B3E68"/>
    <w:rsid w:val="000B4321"/>
    <w:rsid w:val="000B5367"/>
    <w:rsid w:val="000B544A"/>
    <w:rsid w:val="000B5CCB"/>
    <w:rsid w:val="000B5F6B"/>
    <w:rsid w:val="000B613A"/>
    <w:rsid w:val="000B6A6B"/>
    <w:rsid w:val="000B6C95"/>
    <w:rsid w:val="000B6F80"/>
    <w:rsid w:val="000B79FC"/>
    <w:rsid w:val="000B7E0A"/>
    <w:rsid w:val="000C0CF9"/>
    <w:rsid w:val="000C144E"/>
    <w:rsid w:val="000C1679"/>
    <w:rsid w:val="000C190E"/>
    <w:rsid w:val="000C1953"/>
    <w:rsid w:val="000C1BFE"/>
    <w:rsid w:val="000C1EE3"/>
    <w:rsid w:val="000C35D0"/>
    <w:rsid w:val="000C3AE5"/>
    <w:rsid w:val="000C3AE7"/>
    <w:rsid w:val="000C3CC9"/>
    <w:rsid w:val="000C3DBC"/>
    <w:rsid w:val="000C4D87"/>
    <w:rsid w:val="000C5823"/>
    <w:rsid w:val="000C59C6"/>
    <w:rsid w:val="000C67C7"/>
    <w:rsid w:val="000C6DE4"/>
    <w:rsid w:val="000C7202"/>
    <w:rsid w:val="000C7432"/>
    <w:rsid w:val="000C7926"/>
    <w:rsid w:val="000C7FC6"/>
    <w:rsid w:val="000D0A89"/>
    <w:rsid w:val="000D10F1"/>
    <w:rsid w:val="000D1389"/>
    <w:rsid w:val="000D1798"/>
    <w:rsid w:val="000D2626"/>
    <w:rsid w:val="000D264F"/>
    <w:rsid w:val="000D285A"/>
    <w:rsid w:val="000D2CD3"/>
    <w:rsid w:val="000D4016"/>
    <w:rsid w:val="000D411D"/>
    <w:rsid w:val="000D4589"/>
    <w:rsid w:val="000D4809"/>
    <w:rsid w:val="000D4FB6"/>
    <w:rsid w:val="000D5304"/>
    <w:rsid w:val="000D5C29"/>
    <w:rsid w:val="000D6C31"/>
    <w:rsid w:val="000D6F6B"/>
    <w:rsid w:val="000D73DD"/>
    <w:rsid w:val="000D7761"/>
    <w:rsid w:val="000E02E8"/>
    <w:rsid w:val="000E0C67"/>
    <w:rsid w:val="000E1C38"/>
    <w:rsid w:val="000E1C51"/>
    <w:rsid w:val="000E1D3E"/>
    <w:rsid w:val="000E230A"/>
    <w:rsid w:val="000E28AB"/>
    <w:rsid w:val="000E2E3E"/>
    <w:rsid w:val="000E3583"/>
    <w:rsid w:val="000E3AF0"/>
    <w:rsid w:val="000E43EC"/>
    <w:rsid w:val="000E450F"/>
    <w:rsid w:val="000E4DC7"/>
    <w:rsid w:val="000E4E04"/>
    <w:rsid w:val="000E592E"/>
    <w:rsid w:val="000E5AF5"/>
    <w:rsid w:val="000E5CCD"/>
    <w:rsid w:val="000E5D63"/>
    <w:rsid w:val="000E693B"/>
    <w:rsid w:val="000E6D5C"/>
    <w:rsid w:val="000E6DBC"/>
    <w:rsid w:val="000E6EC9"/>
    <w:rsid w:val="000E70B4"/>
    <w:rsid w:val="000E7B62"/>
    <w:rsid w:val="000E7EDC"/>
    <w:rsid w:val="000F0149"/>
    <w:rsid w:val="000F085D"/>
    <w:rsid w:val="000F0E1E"/>
    <w:rsid w:val="000F1129"/>
    <w:rsid w:val="000F1A1B"/>
    <w:rsid w:val="000F2A95"/>
    <w:rsid w:val="000F2BB7"/>
    <w:rsid w:val="000F324A"/>
    <w:rsid w:val="000F3281"/>
    <w:rsid w:val="000F32FD"/>
    <w:rsid w:val="000F3733"/>
    <w:rsid w:val="000F3F1F"/>
    <w:rsid w:val="000F5B2B"/>
    <w:rsid w:val="000F5F8B"/>
    <w:rsid w:val="000F6153"/>
    <w:rsid w:val="000F649D"/>
    <w:rsid w:val="000F64AA"/>
    <w:rsid w:val="000F6C7B"/>
    <w:rsid w:val="000F7055"/>
    <w:rsid w:val="000F73AD"/>
    <w:rsid w:val="000F7AF4"/>
    <w:rsid w:val="000F7C33"/>
    <w:rsid w:val="000F7F0C"/>
    <w:rsid w:val="001004D6"/>
    <w:rsid w:val="0010176A"/>
    <w:rsid w:val="00101D1B"/>
    <w:rsid w:val="00101E8E"/>
    <w:rsid w:val="00102676"/>
    <w:rsid w:val="00103646"/>
    <w:rsid w:val="00103918"/>
    <w:rsid w:val="00104897"/>
    <w:rsid w:val="00104EDE"/>
    <w:rsid w:val="00104F54"/>
    <w:rsid w:val="00105992"/>
    <w:rsid w:val="00105CDA"/>
    <w:rsid w:val="00105F97"/>
    <w:rsid w:val="00106BEE"/>
    <w:rsid w:val="00106EE0"/>
    <w:rsid w:val="0010711C"/>
    <w:rsid w:val="00107368"/>
    <w:rsid w:val="001078E7"/>
    <w:rsid w:val="00107BDF"/>
    <w:rsid w:val="00107C74"/>
    <w:rsid w:val="0011091C"/>
    <w:rsid w:val="00111266"/>
    <w:rsid w:val="001112EB"/>
    <w:rsid w:val="00111FD1"/>
    <w:rsid w:val="00111FD7"/>
    <w:rsid w:val="0011220E"/>
    <w:rsid w:val="0011247D"/>
    <w:rsid w:val="0011351F"/>
    <w:rsid w:val="00113678"/>
    <w:rsid w:val="00113A7D"/>
    <w:rsid w:val="00113C3E"/>
    <w:rsid w:val="001142A8"/>
    <w:rsid w:val="00115375"/>
    <w:rsid w:val="001157F8"/>
    <w:rsid w:val="001159A5"/>
    <w:rsid w:val="00115E11"/>
    <w:rsid w:val="00115EEE"/>
    <w:rsid w:val="00115F56"/>
    <w:rsid w:val="001164ED"/>
    <w:rsid w:val="00116872"/>
    <w:rsid w:val="00116AF3"/>
    <w:rsid w:val="00116CA9"/>
    <w:rsid w:val="00116F38"/>
    <w:rsid w:val="001170A4"/>
    <w:rsid w:val="00117987"/>
    <w:rsid w:val="00117AE7"/>
    <w:rsid w:val="00117B85"/>
    <w:rsid w:val="00117CBD"/>
    <w:rsid w:val="0012006A"/>
    <w:rsid w:val="001217E7"/>
    <w:rsid w:val="00121979"/>
    <w:rsid w:val="00122064"/>
    <w:rsid w:val="0012277A"/>
    <w:rsid w:val="0012301B"/>
    <w:rsid w:val="00123428"/>
    <w:rsid w:val="00124341"/>
    <w:rsid w:val="00124492"/>
    <w:rsid w:val="00124655"/>
    <w:rsid w:val="00124B12"/>
    <w:rsid w:val="001250A0"/>
    <w:rsid w:val="0012535C"/>
    <w:rsid w:val="001263B8"/>
    <w:rsid w:val="001273C1"/>
    <w:rsid w:val="00127B1A"/>
    <w:rsid w:val="00127E3E"/>
    <w:rsid w:val="00130217"/>
    <w:rsid w:val="00130641"/>
    <w:rsid w:val="00130783"/>
    <w:rsid w:val="00130A47"/>
    <w:rsid w:val="00130FB0"/>
    <w:rsid w:val="00132B47"/>
    <w:rsid w:val="00132DDA"/>
    <w:rsid w:val="0013346C"/>
    <w:rsid w:val="00133768"/>
    <w:rsid w:val="001337F8"/>
    <w:rsid w:val="001341B2"/>
    <w:rsid w:val="001348B4"/>
    <w:rsid w:val="001349F4"/>
    <w:rsid w:val="00134B1F"/>
    <w:rsid w:val="0013506E"/>
    <w:rsid w:val="001351CB"/>
    <w:rsid w:val="00135530"/>
    <w:rsid w:val="00135947"/>
    <w:rsid w:val="001359A2"/>
    <w:rsid w:val="00135F92"/>
    <w:rsid w:val="00136020"/>
    <w:rsid w:val="00136445"/>
    <w:rsid w:val="00136965"/>
    <w:rsid w:val="00136A9C"/>
    <w:rsid w:val="00136EA0"/>
    <w:rsid w:val="00137389"/>
    <w:rsid w:val="00140132"/>
    <w:rsid w:val="00141455"/>
    <w:rsid w:val="0014190C"/>
    <w:rsid w:val="00141C1B"/>
    <w:rsid w:val="00141C9C"/>
    <w:rsid w:val="0014277F"/>
    <w:rsid w:val="00142AD2"/>
    <w:rsid w:val="001434BE"/>
    <w:rsid w:val="00143AAD"/>
    <w:rsid w:val="00144050"/>
    <w:rsid w:val="00144369"/>
    <w:rsid w:val="0014438A"/>
    <w:rsid w:val="00144398"/>
    <w:rsid w:val="0014479F"/>
    <w:rsid w:val="00144806"/>
    <w:rsid w:val="001452B4"/>
    <w:rsid w:val="00145320"/>
    <w:rsid w:val="00145A8E"/>
    <w:rsid w:val="00145B3E"/>
    <w:rsid w:val="001476D3"/>
    <w:rsid w:val="00147999"/>
    <w:rsid w:val="00147D03"/>
    <w:rsid w:val="001505DA"/>
    <w:rsid w:val="001509CF"/>
    <w:rsid w:val="00150B99"/>
    <w:rsid w:val="00150D1D"/>
    <w:rsid w:val="0015119C"/>
    <w:rsid w:val="00151948"/>
    <w:rsid w:val="001525AA"/>
    <w:rsid w:val="00152A87"/>
    <w:rsid w:val="00152AC1"/>
    <w:rsid w:val="00153A84"/>
    <w:rsid w:val="00153BB5"/>
    <w:rsid w:val="00154518"/>
    <w:rsid w:val="0015567E"/>
    <w:rsid w:val="001556B8"/>
    <w:rsid w:val="00155944"/>
    <w:rsid w:val="00156320"/>
    <w:rsid w:val="00156359"/>
    <w:rsid w:val="00156DD6"/>
    <w:rsid w:val="00160238"/>
    <w:rsid w:val="0016086E"/>
    <w:rsid w:val="001609B9"/>
    <w:rsid w:val="00160D0C"/>
    <w:rsid w:val="00160DC9"/>
    <w:rsid w:val="00160DD1"/>
    <w:rsid w:val="00160E03"/>
    <w:rsid w:val="00161172"/>
    <w:rsid w:val="00161998"/>
    <w:rsid w:val="00161E65"/>
    <w:rsid w:val="00161F0E"/>
    <w:rsid w:val="00162597"/>
    <w:rsid w:val="001629AF"/>
    <w:rsid w:val="001629FD"/>
    <w:rsid w:val="0016428A"/>
    <w:rsid w:val="001646D5"/>
    <w:rsid w:val="001647C9"/>
    <w:rsid w:val="00164C94"/>
    <w:rsid w:val="0016537E"/>
    <w:rsid w:val="00165627"/>
    <w:rsid w:val="001661A3"/>
    <w:rsid w:val="00166AD5"/>
    <w:rsid w:val="00166E81"/>
    <w:rsid w:val="00167226"/>
    <w:rsid w:val="0016782B"/>
    <w:rsid w:val="0016784D"/>
    <w:rsid w:val="00167853"/>
    <w:rsid w:val="00167887"/>
    <w:rsid w:val="00167AE7"/>
    <w:rsid w:val="00167CAA"/>
    <w:rsid w:val="00170613"/>
    <w:rsid w:val="00170F0C"/>
    <w:rsid w:val="00171319"/>
    <w:rsid w:val="00171B8F"/>
    <w:rsid w:val="001721F8"/>
    <w:rsid w:val="0017267A"/>
    <w:rsid w:val="00172CA8"/>
    <w:rsid w:val="00173256"/>
    <w:rsid w:val="00173B0E"/>
    <w:rsid w:val="00173D86"/>
    <w:rsid w:val="00173E03"/>
    <w:rsid w:val="0017405A"/>
    <w:rsid w:val="001741C9"/>
    <w:rsid w:val="0017461E"/>
    <w:rsid w:val="00174704"/>
    <w:rsid w:val="0017512C"/>
    <w:rsid w:val="001756AF"/>
    <w:rsid w:val="0017576E"/>
    <w:rsid w:val="0017586A"/>
    <w:rsid w:val="00175BA6"/>
    <w:rsid w:val="00175C6F"/>
    <w:rsid w:val="00176CA7"/>
    <w:rsid w:val="00176D0C"/>
    <w:rsid w:val="00176F8E"/>
    <w:rsid w:val="00177485"/>
    <w:rsid w:val="0017789A"/>
    <w:rsid w:val="001778C5"/>
    <w:rsid w:val="00177C07"/>
    <w:rsid w:val="00177E56"/>
    <w:rsid w:val="00177F0A"/>
    <w:rsid w:val="0018090D"/>
    <w:rsid w:val="00180DA0"/>
    <w:rsid w:val="00181813"/>
    <w:rsid w:val="00181EAD"/>
    <w:rsid w:val="00182862"/>
    <w:rsid w:val="00184F57"/>
    <w:rsid w:val="00185091"/>
    <w:rsid w:val="00185544"/>
    <w:rsid w:val="001855B2"/>
    <w:rsid w:val="00185617"/>
    <w:rsid w:val="00186FE1"/>
    <w:rsid w:val="00187A14"/>
    <w:rsid w:val="00190D50"/>
    <w:rsid w:val="00190E7C"/>
    <w:rsid w:val="00191177"/>
    <w:rsid w:val="0019171E"/>
    <w:rsid w:val="00192368"/>
    <w:rsid w:val="001923A0"/>
    <w:rsid w:val="001924F9"/>
    <w:rsid w:val="0019270F"/>
    <w:rsid w:val="001928B1"/>
    <w:rsid w:val="00192C38"/>
    <w:rsid w:val="00192CA1"/>
    <w:rsid w:val="00193537"/>
    <w:rsid w:val="00193808"/>
    <w:rsid w:val="00193846"/>
    <w:rsid w:val="00193F6A"/>
    <w:rsid w:val="00195117"/>
    <w:rsid w:val="00195424"/>
    <w:rsid w:val="001955FF"/>
    <w:rsid w:val="001972F8"/>
    <w:rsid w:val="00197EDD"/>
    <w:rsid w:val="001A02B3"/>
    <w:rsid w:val="001A04BB"/>
    <w:rsid w:val="001A06CC"/>
    <w:rsid w:val="001A0889"/>
    <w:rsid w:val="001A08D0"/>
    <w:rsid w:val="001A17B2"/>
    <w:rsid w:val="001A18EA"/>
    <w:rsid w:val="001A1B39"/>
    <w:rsid w:val="001A1D4A"/>
    <w:rsid w:val="001A2120"/>
    <w:rsid w:val="001A21DD"/>
    <w:rsid w:val="001A28C6"/>
    <w:rsid w:val="001A2E69"/>
    <w:rsid w:val="001A3C34"/>
    <w:rsid w:val="001A3EDE"/>
    <w:rsid w:val="001A41CD"/>
    <w:rsid w:val="001A4222"/>
    <w:rsid w:val="001A4235"/>
    <w:rsid w:val="001A43BE"/>
    <w:rsid w:val="001A48B2"/>
    <w:rsid w:val="001A4CFA"/>
    <w:rsid w:val="001A50EA"/>
    <w:rsid w:val="001A55A9"/>
    <w:rsid w:val="001A5BAA"/>
    <w:rsid w:val="001A5E24"/>
    <w:rsid w:val="001A661D"/>
    <w:rsid w:val="001A6795"/>
    <w:rsid w:val="001A6B27"/>
    <w:rsid w:val="001A6D8B"/>
    <w:rsid w:val="001A6DAA"/>
    <w:rsid w:val="001A7717"/>
    <w:rsid w:val="001A793A"/>
    <w:rsid w:val="001B035E"/>
    <w:rsid w:val="001B0464"/>
    <w:rsid w:val="001B125A"/>
    <w:rsid w:val="001B1EBA"/>
    <w:rsid w:val="001B2142"/>
    <w:rsid w:val="001B2F2B"/>
    <w:rsid w:val="001B31C2"/>
    <w:rsid w:val="001B327A"/>
    <w:rsid w:val="001B3379"/>
    <w:rsid w:val="001B35DE"/>
    <w:rsid w:val="001B3A13"/>
    <w:rsid w:val="001B3F5C"/>
    <w:rsid w:val="001B57C9"/>
    <w:rsid w:val="001B59FF"/>
    <w:rsid w:val="001B5D13"/>
    <w:rsid w:val="001B6512"/>
    <w:rsid w:val="001B65D7"/>
    <w:rsid w:val="001B6752"/>
    <w:rsid w:val="001B6768"/>
    <w:rsid w:val="001B6B39"/>
    <w:rsid w:val="001B6F1F"/>
    <w:rsid w:val="001B7ECC"/>
    <w:rsid w:val="001C025B"/>
    <w:rsid w:val="001C059D"/>
    <w:rsid w:val="001C0DD4"/>
    <w:rsid w:val="001C115F"/>
    <w:rsid w:val="001C1B1C"/>
    <w:rsid w:val="001C1DED"/>
    <w:rsid w:val="001C1EAB"/>
    <w:rsid w:val="001C25A7"/>
    <w:rsid w:val="001C2775"/>
    <w:rsid w:val="001C2895"/>
    <w:rsid w:val="001C2A1D"/>
    <w:rsid w:val="001C318C"/>
    <w:rsid w:val="001C35C4"/>
    <w:rsid w:val="001C4287"/>
    <w:rsid w:val="001C4479"/>
    <w:rsid w:val="001C4F79"/>
    <w:rsid w:val="001C5190"/>
    <w:rsid w:val="001C5951"/>
    <w:rsid w:val="001C5A1F"/>
    <w:rsid w:val="001C6081"/>
    <w:rsid w:val="001C7284"/>
    <w:rsid w:val="001C73EB"/>
    <w:rsid w:val="001C7781"/>
    <w:rsid w:val="001C7B48"/>
    <w:rsid w:val="001D0CFB"/>
    <w:rsid w:val="001D108A"/>
    <w:rsid w:val="001D16C5"/>
    <w:rsid w:val="001D1A0D"/>
    <w:rsid w:val="001D1DD1"/>
    <w:rsid w:val="001D22CB"/>
    <w:rsid w:val="001D23DA"/>
    <w:rsid w:val="001D266C"/>
    <w:rsid w:val="001D267C"/>
    <w:rsid w:val="001D2AB8"/>
    <w:rsid w:val="001D2F77"/>
    <w:rsid w:val="001D343C"/>
    <w:rsid w:val="001D56E2"/>
    <w:rsid w:val="001D58A1"/>
    <w:rsid w:val="001D58C2"/>
    <w:rsid w:val="001D5A8A"/>
    <w:rsid w:val="001D5B64"/>
    <w:rsid w:val="001D61CA"/>
    <w:rsid w:val="001D6210"/>
    <w:rsid w:val="001D62C9"/>
    <w:rsid w:val="001D654A"/>
    <w:rsid w:val="001D6E87"/>
    <w:rsid w:val="001D735E"/>
    <w:rsid w:val="001D73C8"/>
    <w:rsid w:val="001D7BC6"/>
    <w:rsid w:val="001D7CA4"/>
    <w:rsid w:val="001E0C72"/>
    <w:rsid w:val="001E129E"/>
    <w:rsid w:val="001E175C"/>
    <w:rsid w:val="001E199A"/>
    <w:rsid w:val="001E1B0E"/>
    <w:rsid w:val="001E2A86"/>
    <w:rsid w:val="001E308A"/>
    <w:rsid w:val="001E38EC"/>
    <w:rsid w:val="001E3B63"/>
    <w:rsid w:val="001E4996"/>
    <w:rsid w:val="001E57B2"/>
    <w:rsid w:val="001E5A94"/>
    <w:rsid w:val="001E5CBB"/>
    <w:rsid w:val="001E5CDC"/>
    <w:rsid w:val="001E6B4B"/>
    <w:rsid w:val="001E6CE9"/>
    <w:rsid w:val="001F0C0A"/>
    <w:rsid w:val="001F13FD"/>
    <w:rsid w:val="001F2A2E"/>
    <w:rsid w:val="001F3180"/>
    <w:rsid w:val="001F3356"/>
    <w:rsid w:val="001F3A99"/>
    <w:rsid w:val="001F3C63"/>
    <w:rsid w:val="001F3CBC"/>
    <w:rsid w:val="001F4141"/>
    <w:rsid w:val="001F4460"/>
    <w:rsid w:val="001F4724"/>
    <w:rsid w:val="001F4833"/>
    <w:rsid w:val="001F5869"/>
    <w:rsid w:val="001F61A6"/>
    <w:rsid w:val="001F6C96"/>
    <w:rsid w:val="001F711A"/>
    <w:rsid w:val="001F75B0"/>
    <w:rsid w:val="001F7CBE"/>
    <w:rsid w:val="0020057C"/>
    <w:rsid w:val="0020083C"/>
    <w:rsid w:val="00200CE5"/>
    <w:rsid w:val="00200F7C"/>
    <w:rsid w:val="002014DB"/>
    <w:rsid w:val="0020150B"/>
    <w:rsid w:val="00201815"/>
    <w:rsid w:val="00201D51"/>
    <w:rsid w:val="00201E12"/>
    <w:rsid w:val="00202295"/>
    <w:rsid w:val="002033B5"/>
    <w:rsid w:val="0020382C"/>
    <w:rsid w:val="0020390A"/>
    <w:rsid w:val="00203EDF"/>
    <w:rsid w:val="002042E9"/>
    <w:rsid w:val="0020437A"/>
    <w:rsid w:val="0020454C"/>
    <w:rsid w:val="00204740"/>
    <w:rsid w:val="00204942"/>
    <w:rsid w:val="00204C12"/>
    <w:rsid w:val="00205129"/>
    <w:rsid w:val="0020521F"/>
    <w:rsid w:val="0020532C"/>
    <w:rsid w:val="002065D6"/>
    <w:rsid w:val="00206AE8"/>
    <w:rsid w:val="00210A54"/>
    <w:rsid w:val="002114C7"/>
    <w:rsid w:val="00211A7B"/>
    <w:rsid w:val="0021302C"/>
    <w:rsid w:val="002131AF"/>
    <w:rsid w:val="002139F1"/>
    <w:rsid w:val="00213B18"/>
    <w:rsid w:val="00213B1C"/>
    <w:rsid w:val="00213F1E"/>
    <w:rsid w:val="00214202"/>
    <w:rsid w:val="00214530"/>
    <w:rsid w:val="002148E3"/>
    <w:rsid w:val="002148E5"/>
    <w:rsid w:val="00214C1A"/>
    <w:rsid w:val="0021552D"/>
    <w:rsid w:val="002156AE"/>
    <w:rsid w:val="0021577B"/>
    <w:rsid w:val="00215DC7"/>
    <w:rsid w:val="00215E99"/>
    <w:rsid w:val="00217B07"/>
    <w:rsid w:val="00217C26"/>
    <w:rsid w:val="00220043"/>
    <w:rsid w:val="0022054D"/>
    <w:rsid w:val="0022107B"/>
    <w:rsid w:val="00221AFB"/>
    <w:rsid w:val="002223EB"/>
    <w:rsid w:val="002238DD"/>
    <w:rsid w:val="00223DDB"/>
    <w:rsid w:val="00223FA4"/>
    <w:rsid w:val="00223FB0"/>
    <w:rsid w:val="0022405A"/>
    <w:rsid w:val="00224067"/>
    <w:rsid w:val="0022421C"/>
    <w:rsid w:val="0022454F"/>
    <w:rsid w:val="002249D1"/>
    <w:rsid w:val="00224C4A"/>
    <w:rsid w:val="00224E83"/>
    <w:rsid w:val="00225664"/>
    <w:rsid w:val="00225F84"/>
    <w:rsid w:val="0022663D"/>
    <w:rsid w:val="00226995"/>
    <w:rsid w:val="0022755B"/>
    <w:rsid w:val="00227669"/>
    <w:rsid w:val="00227682"/>
    <w:rsid w:val="00227896"/>
    <w:rsid w:val="00227C56"/>
    <w:rsid w:val="00227F2D"/>
    <w:rsid w:val="00227F52"/>
    <w:rsid w:val="00230EA4"/>
    <w:rsid w:val="00231851"/>
    <w:rsid w:val="002319FB"/>
    <w:rsid w:val="00231B89"/>
    <w:rsid w:val="00231F11"/>
    <w:rsid w:val="00231F5E"/>
    <w:rsid w:val="00232E5E"/>
    <w:rsid w:val="00233395"/>
    <w:rsid w:val="002346B4"/>
    <w:rsid w:val="00234CD9"/>
    <w:rsid w:val="00234F6E"/>
    <w:rsid w:val="002351FA"/>
    <w:rsid w:val="002355BE"/>
    <w:rsid w:val="002358EA"/>
    <w:rsid w:val="0023609B"/>
    <w:rsid w:val="00236578"/>
    <w:rsid w:val="00236A10"/>
    <w:rsid w:val="00236DE9"/>
    <w:rsid w:val="00237342"/>
    <w:rsid w:val="00237D5A"/>
    <w:rsid w:val="002401BC"/>
    <w:rsid w:val="002407BA"/>
    <w:rsid w:val="00240922"/>
    <w:rsid w:val="00240D75"/>
    <w:rsid w:val="00240F92"/>
    <w:rsid w:val="00241288"/>
    <w:rsid w:val="002412E4"/>
    <w:rsid w:val="002415AE"/>
    <w:rsid w:val="00241B38"/>
    <w:rsid w:val="00241BC7"/>
    <w:rsid w:val="00241D3C"/>
    <w:rsid w:val="00242109"/>
    <w:rsid w:val="00242B6B"/>
    <w:rsid w:val="00242F31"/>
    <w:rsid w:val="00243189"/>
    <w:rsid w:val="002439AB"/>
    <w:rsid w:val="00243C19"/>
    <w:rsid w:val="00244308"/>
    <w:rsid w:val="002448E7"/>
    <w:rsid w:val="00244AE8"/>
    <w:rsid w:val="00244DC9"/>
    <w:rsid w:val="00244EF3"/>
    <w:rsid w:val="0024531F"/>
    <w:rsid w:val="00245587"/>
    <w:rsid w:val="00245F2B"/>
    <w:rsid w:val="002460E2"/>
    <w:rsid w:val="002466CD"/>
    <w:rsid w:val="0024729B"/>
    <w:rsid w:val="00247F3A"/>
    <w:rsid w:val="00250122"/>
    <w:rsid w:val="0025024D"/>
    <w:rsid w:val="00250755"/>
    <w:rsid w:val="00251043"/>
    <w:rsid w:val="00251C4A"/>
    <w:rsid w:val="0025271C"/>
    <w:rsid w:val="0025277A"/>
    <w:rsid w:val="002533CD"/>
    <w:rsid w:val="002535EA"/>
    <w:rsid w:val="00253A8A"/>
    <w:rsid w:val="00254EAB"/>
    <w:rsid w:val="00255794"/>
    <w:rsid w:val="002557AF"/>
    <w:rsid w:val="0025589C"/>
    <w:rsid w:val="00255B62"/>
    <w:rsid w:val="002566B1"/>
    <w:rsid w:val="002575E3"/>
    <w:rsid w:val="00257A74"/>
    <w:rsid w:val="00257C5D"/>
    <w:rsid w:val="002603C1"/>
    <w:rsid w:val="002609A1"/>
    <w:rsid w:val="002612B1"/>
    <w:rsid w:val="00261997"/>
    <w:rsid w:val="00262B14"/>
    <w:rsid w:val="00264DF8"/>
    <w:rsid w:val="00265A12"/>
    <w:rsid w:val="00266165"/>
    <w:rsid w:val="00266A48"/>
    <w:rsid w:val="00266F2C"/>
    <w:rsid w:val="00267402"/>
    <w:rsid w:val="00267DAF"/>
    <w:rsid w:val="00270122"/>
    <w:rsid w:val="00270632"/>
    <w:rsid w:val="00270744"/>
    <w:rsid w:val="00270B87"/>
    <w:rsid w:val="0027125E"/>
    <w:rsid w:val="00271767"/>
    <w:rsid w:val="00272263"/>
    <w:rsid w:val="00272293"/>
    <w:rsid w:val="002723C8"/>
    <w:rsid w:val="00273633"/>
    <w:rsid w:val="00273C2A"/>
    <w:rsid w:val="00273CBE"/>
    <w:rsid w:val="002746B1"/>
    <w:rsid w:val="00274BAD"/>
    <w:rsid w:val="0027614E"/>
    <w:rsid w:val="002763A3"/>
    <w:rsid w:val="00276EB8"/>
    <w:rsid w:val="00277099"/>
    <w:rsid w:val="002775A6"/>
    <w:rsid w:val="002776FA"/>
    <w:rsid w:val="00277786"/>
    <w:rsid w:val="00277F6B"/>
    <w:rsid w:val="002807B0"/>
    <w:rsid w:val="00281B9B"/>
    <w:rsid w:val="00282446"/>
    <w:rsid w:val="002826C2"/>
    <w:rsid w:val="0028282C"/>
    <w:rsid w:val="00282D56"/>
    <w:rsid w:val="00283374"/>
    <w:rsid w:val="002835B0"/>
    <w:rsid w:val="00283C74"/>
    <w:rsid w:val="0028407E"/>
    <w:rsid w:val="0028410F"/>
    <w:rsid w:val="00284572"/>
    <w:rsid w:val="002850AA"/>
    <w:rsid w:val="00285221"/>
    <w:rsid w:val="002857F2"/>
    <w:rsid w:val="00285AB7"/>
    <w:rsid w:val="00286FB5"/>
    <w:rsid w:val="00287640"/>
    <w:rsid w:val="00287763"/>
    <w:rsid w:val="00290456"/>
    <w:rsid w:val="0029047D"/>
    <w:rsid w:val="00290606"/>
    <w:rsid w:val="002908D0"/>
    <w:rsid w:val="002909B2"/>
    <w:rsid w:val="00291263"/>
    <w:rsid w:val="00291D6D"/>
    <w:rsid w:val="00291E2B"/>
    <w:rsid w:val="00291FF1"/>
    <w:rsid w:val="00292AA2"/>
    <w:rsid w:val="00293361"/>
    <w:rsid w:val="00294F10"/>
    <w:rsid w:val="002952B1"/>
    <w:rsid w:val="002956E5"/>
    <w:rsid w:val="00295D11"/>
    <w:rsid w:val="0029667A"/>
    <w:rsid w:val="00296839"/>
    <w:rsid w:val="00296FB6"/>
    <w:rsid w:val="0029724C"/>
    <w:rsid w:val="00297FC7"/>
    <w:rsid w:val="002A0001"/>
    <w:rsid w:val="002A036C"/>
    <w:rsid w:val="002A09CC"/>
    <w:rsid w:val="002A0BD9"/>
    <w:rsid w:val="002A0BDB"/>
    <w:rsid w:val="002A0C3A"/>
    <w:rsid w:val="002A0DF8"/>
    <w:rsid w:val="002A0E0A"/>
    <w:rsid w:val="002A0F1C"/>
    <w:rsid w:val="002A1130"/>
    <w:rsid w:val="002A1557"/>
    <w:rsid w:val="002A1880"/>
    <w:rsid w:val="002A23B7"/>
    <w:rsid w:val="002A3950"/>
    <w:rsid w:val="002A3A57"/>
    <w:rsid w:val="002A4320"/>
    <w:rsid w:val="002A4B4F"/>
    <w:rsid w:val="002A57A8"/>
    <w:rsid w:val="002A5D75"/>
    <w:rsid w:val="002A6DEF"/>
    <w:rsid w:val="002A739E"/>
    <w:rsid w:val="002A770B"/>
    <w:rsid w:val="002A7893"/>
    <w:rsid w:val="002B013E"/>
    <w:rsid w:val="002B058D"/>
    <w:rsid w:val="002B0C16"/>
    <w:rsid w:val="002B1420"/>
    <w:rsid w:val="002B1E01"/>
    <w:rsid w:val="002B1F54"/>
    <w:rsid w:val="002B2080"/>
    <w:rsid w:val="002B21BF"/>
    <w:rsid w:val="002B2456"/>
    <w:rsid w:val="002B2AC5"/>
    <w:rsid w:val="002B3528"/>
    <w:rsid w:val="002B3539"/>
    <w:rsid w:val="002B3F95"/>
    <w:rsid w:val="002B427F"/>
    <w:rsid w:val="002B4395"/>
    <w:rsid w:val="002B4532"/>
    <w:rsid w:val="002B4C9E"/>
    <w:rsid w:val="002B4DD9"/>
    <w:rsid w:val="002B5042"/>
    <w:rsid w:val="002B57C3"/>
    <w:rsid w:val="002B5832"/>
    <w:rsid w:val="002B612E"/>
    <w:rsid w:val="002B69CC"/>
    <w:rsid w:val="002B6D71"/>
    <w:rsid w:val="002B773F"/>
    <w:rsid w:val="002B7DC4"/>
    <w:rsid w:val="002C0389"/>
    <w:rsid w:val="002C03AE"/>
    <w:rsid w:val="002C0C1C"/>
    <w:rsid w:val="002C10A7"/>
    <w:rsid w:val="002C1190"/>
    <w:rsid w:val="002C2CC9"/>
    <w:rsid w:val="002C34F1"/>
    <w:rsid w:val="002C41BF"/>
    <w:rsid w:val="002C4B7E"/>
    <w:rsid w:val="002C5023"/>
    <w:rsid w:val="002C5424"/>
    <w:rsid w:val="002C54C2"/>
    <w:rsid w:val="002C5D34"/>
    <w:rsid w:val="002C60BB"/>
    <w:rsid w:val="002C661A"/>
    <w:rsid w:val="002D06EE"/>
    <w:rsid w:val="002D073E"/>
    <w:rsid w:val="002D0A40"/>
    <w:rsid w:val="002D0D6F"/>
    <w:rsid w:val="002D1E81"/>
    <w:rsid w:val="002D253D"/>
    <w:rsid w:val="002D25FC"/>
    <w:rsid w:val="002D3E71"/>
    <w:rsid w:val="002D4AC6"/>
    <w:rsid w:val="002D5181"/>
    <w:rsid w:val="002D59BF"/>
    <w:rsid w:val="002D5B5A"/>
    <w:rsid w:val="002D5BF5"/>
    <w:rsid w:val="002D5C5C"/>
    <w:rsid w:val="002D5EE8"/>
    <w:rsid w:val="002D63F6"/>
    <w:rsid w:val="002D7360"/>
    <w:rsid w:val="002D750C"/>
    <w:rsid w:val="002D7648"/>
    <w:rsid w:val="002D7C80"/>
    <w:rsid w:val="002E0FCE"/>
    <w:rsid w:val="002E109C"/>
    <w:rsid w:val="002E1334"/>
    <w:rsid w:val="002E13FA"/>
    <w:rsid w:val="002E193E"/>
    <w:rsid w:val="002E1A94"/>
    <w:rsid w:val="002E1D55"/>
    <w:rsid w:val="002E2407"/>
    <w:rsid w:val="002E25FB"/>
    <w:rsid w:val="002E26C4"/>
    <w:rsid w:val="002E2734"/>
    <w:rsid w:val="002E2AA6"/>
    <w:rsid w:val="002E30A5"/>
    <w:rsid w:val="002E34EA"/>
    <w:rsid w:val="002E3B96"/>
    <w:rsid w:val="002E4114"/>
    <w:rsid w:val="002E47E4"/>
    <w:rsid w:val="002E4BF9"/>
    <w:rsid w:val="002E4D61"/>
    <w:rsid w:val="002E5045"/>
    <w:rsid w:val="002E68A7"/>
    <w:rsid w:val="002E6E6C"/>
    <w:rsid w:val="002F016E"/>
    <w:rsid w:val="002F020D"/>
    <w:rsid w:val="002F03FD"/>
    <w:rsid w:val="002F0522"/>
    <w:rsid w:val="002F16DD"/>
    <w:rsid w:val="002F199D"/>
    <w:rsid w:val="002F213C"/>
    <w:rsid w:val="002F2453"/>
    <w:rsid w:val="002F2607"/>
    <w:rsid w:val="002F33D2"/>
    <w:rsid w:val="002F352D"/>
    <w:rsid w:val="002F381E"/>
    <w:rsid w:val="002F3C58"/>
    <w:rsid w:val="002F4084"/>
    <w:rsid w:val="002F4A08"/>
    <w:rsid w:val="002F4ADB"/>
    <w:rsid w:val="002F531E"/>
    <w:rsid w:val="002F548D"/>
    <w:rsid w:val="002F54FB"/>
    <w:rsid w:val="002F5ACC"/>
    <w:rsid w:val="002F66F9"/>
    <w:rsid w:val="002F6B6C"/>
    <w:rsid w:val="002F704B"/>
    <w:rsid w:val="002F72C3"/>
    <w:rsid w:val="002F768C"/>
    <w:rsid w:val="002F7D1E"/>
    <w:rsid w:val="002F7E89"/>
    <w:rsid w:val="00300201"/>
    <w:rsid w:val="0030025A"/>
    <w:rsid w:val="0030052F"/>
    <w:rsid w:val="00300A58"/>
    <w:rsid w:val="00300BF2"/>
    <w:rsid w:val="00302467"/>
    <w:rsid w:val="00302493"/>
    <w:rsid w:val="00302991"/>
    <w:rsid w:val="00302EFC"/>
    <w:rsid w:val="00303243"/>
    <w:rsid w:val="00303BCC"/>
    <w:rsid w:val="00303BEF"/>
    <w:rsid w:val="00303F2B"/>
    <w:rsid w:val="00303F8D"/>
    <w:rsid w:val="0030572D"/>
    <w:rsid w:val="0030586A"/>
    <w:rsid w:val="00305A5E"/>
    <w:rsid w:val="0030622D"/>
    <w:rsid w:val="00306811"/>
    <w:rsid w:val="00306F32"/>
    <w:rsid w:val="003074C5"/>
    <w:rsid w:val="00307A3C"/>
    <w:rsid w:val="00307FA4"/>
    <w:rsid w:val="00310178"/>
    <w:rsid w:val="00310290"/>
    <w:rsid w:val="003103B1"/>
    <w:rsid w:val="00310948"/>
    <w:rsid w:val="00310CC1"/>
    <w:rsid w:val="003118A8"/>
    <w:rsid w:val="00312504"/>
    <w:rsid w:val="00312B89"/>
    <w:rsid w:val="00313026"/>
    <w:rsid w:val="0031312C"/>
    <w:rsid w:val="00313913"/>
    <w:rsid w:val="00313DAA"/>
    <w:rsid w:val="0031421F"/>
    <w:rsid w:val="0031466A"/>
    <w:rsid w:val="00314B31"/>
    <w:rsid w:val="003151F4"/>
    <w:rsid w:val="00315569"/>
    <w:rsid w:val="00315A65"/>
    <w:rsid w:val="003165D7"/>
    <w:rsid w:val="0031666B"/>
    <w:rsid w:val="00316ABE"/>
    <w:rsid w:val="00317601"/>
    <w:rsid w:val="003179CC"/>
    <w:rsid w:val="00317BA7"/>
    <w:rsid w:val="00317EB1"/>
    <w:rsid w:val="003204AE"/>
    <w:rsid w:val="00320BE2"/>
    <w:rsid w:val="00320CD0"/>
    <w:rsid w:val="00321886"/>
    <w:rsid w:val="00321956"/>
    <w:rsid w:val="00321EDC"/>
    <w:rsid w:val="003226AC"/>
    <w:rsid w:val="00323694"/>
    <w:rsid w:val="00323BE7"/>
    <w:rsid w:val="00324B26"/>
    <w:rsid w:val="00324C3A"/>
    <w:rsid w:val="00324D63"/>
    <w:rsid w:val="0032547C"/>
    <w:rsid w:val="003255AF"/>
    <w:rsid w:val="003256EB"/>
    <w:rsid w:val="003259DB"/>
    <w:rsid w:val="0032795B"/>
    <w:rsid w:val="003303CD"/>
    <w:rsid w:val="003307BE"/>
    <w:rsid w:val="003314D9"/>
    <w:rsid w:val="00331653"/>
    <w:rsid w:val="00331A48"/>
    <w:rsid w:val="00331BCC"/>
    <w:rsid w:val="00332311"/>
    <w:rsid w:val="003330C9"/>
    <w:rsid w:val="0033364C"/>
    <w:rsid w:val="00334415"/>
    <w:rsid w:val="003345DA"/>
    <w:rsid w:val="00334972"/>
    <w:rsid w:val="00335C1B"/>
    <w:rsid w:val="00335EA1"/>
    <w:rsid w:val="0033691E"/>
    <w:rsid w:val="00336A6A"/>
    <w:rsid w:val="00336CCB"/>
    <w:rsid w:val="00340B4B"/>
    <w:rsid w:val="003411D1"/>
    <w:rsid w:val="003416BA"/>
    <w:rsid w:val="00342148"/>
    <w:rsid w:val="00342658"/>
    <w:rsid w:val="003427BE"/>
    <w:rsid w:val="00342F99"/>
    <w:rsid w:val="00343016"/>
    <w:rsid w:val="003432EE"/>
    <w:rsid w:val="00343749"/>
    <w:rsid w:val="00343AEA"/>
    <w:rsid w:val="003444BF"/>
    <w:rsid w:val="00344D99"/>
    <w:rsid w:val="0034575A"/>
    <w:rsid w:val="00345F1D"/>
    <w:rsid w:val="00345F57"/>
    <w:rsid w:val="003461A7"/>
    <w:rsid w:val="00346CC8"/>
    <w:rsid w:val="00350458"/>
    <w:rsid w:val="00350E6C"/>
    <w:rsid w:val="00350F55"/>
    <w:rsid w:val="0035153C"/>
    <w:rsid w:val="003518A6"/>
    <w:rsid w:val="00351E7F"/>
    <w:rsid w:val="00352953"/>
    <w:rsid w:val="00353D83"/>
    <w:rsid w:val="00353D91"/>
    <w:rsid w:val="00354062"/>
    <w:rsid w:val="0035459E"/>
    <w:rsid w:val="00354AE9"/>
    <w:rsid w:val="00355527"/>
    <w:rsid w:val="00355C0D"/>
    <w:rsid w:val="003560A6"/>
    <w:rsid w:val="003566A9"/>
    <w:rsid w:val="00356988"/>
    <w:rsid w:val="003569D3"/>
    <w:rsid w:val="00356CE9"/>
    <w:rsid w:val="003570BB"/>
    <w:rsid w:val="00357128"/>
    <w:rsid w:val="00357377"/>
    <w:rsid w:val="0035755E"/>
    <w:rsid w:val="00357A80"/>
    <w:rsid w:val="00357C97"/>
    <w:rsid w:val="00360116"/>
    <w:rsid w:val="00361441"/>
    <w:rsid w:val="00361B8B"/>
    <w:rsid w:val="00363F39"/>
    <w:rsid w:val="003640FC"/>
    <w:rsid w:val="0036445C"/>
    <w:rsid w:val="00364627"/>
    <w:rsid w:val="00364AB0"/>
    <w:rsid w:val="00364B13"/>
    <w:rsid w:val="00364D71"/>
    <w:rsid w:val="00365D7A"/>
    <w:rsid w:val="003667B0"/>
    <w:rsid w:val="003667DD"/>
    <w:rsid w:val="00366B48"/>
    <w:rsid w:val="00366D71"/>
    <w:rsid w:val="003674FB"/>
    <w:rsid w:val="0036774D"/>
    <w:rsid w:val="00367764"/>
    <w:rsid w:val="003678D7"/>
    <w:rsid w:val="00370316"/>
    <w:rsid w:val="003704EC"/>
    <w:rsid w:val="00370DC7"/>
    <w:rsid w:val="003713D7"/>
    <w:rsid w:val="003714AC"/>
    <w:rsid w:val="00371CBD"/>
    <w:rsid w:val="00371F20"/>
    <w:rsid w:val="003721E3"/>
    <w:rsid w:val="00372B98"/>
    <w:rsid w:val="003732DC"/>
    <w:rsid w:val="003737B7"/>
    <w:rsid w:val="003740CC"/>
    <w:rsid w:val="003745F4"/>
    <w:rsid w:val="0037491A"/>
    <w:rsid w:val="00374E79"/>
    <w:rsid w:val="0037529A"/>
    <w:rsid w:val="00375388"/>
    <w:rsid w:val="00375496"/>
    <w:rsid w:val="00375559"/>
    <w:rsid w:val="00375FB9"/>
    <w:rsid w:val="00376170"/>
    <w:rsid w:val="003762F9"/>
    <w:rsid w:val="003766DE"/>
    <w:rsid w:val="00376851"/>
    <w:rsid w:val="00376FA2"/>
    <w:rsid w:val="00377133"/>
    <w:rsid w:val="00377A3B"/>
    <w:rsid w:val="00377B8B"/>
    <w:rsid w:val="00377E3C"/>
    <w:rsid w:val="00377F89"/>
    <w:rsid w:val="00380874"/>
    <w:rsid w:val="00380878"/>
    <w:rsid w:val="003809D4"/>
    <w:rsid w:val="00380BBE"/>
    <w:rsid w:val="00380EA3"/>
    <w:rsid w:val="00381243"/>
    <w:rsid w:val="00381B1B"/>
    <w:rsid w:val="00381D70"/>
    <w:rsid w:val="00382144"/>
    <w:rsid w:val="0038235E"/>
    <w:rsid w:val="0038260A"/>
    <w:rsid w:val="003826AC"/>
    <w:rsid w:val="003829D0"/>
    <w:rsid w:val="0038326A"/>
    <w:rsid w:val="0038444F"/>
    <w:rsid w:val="00384BB9"/>
    <w:rsid w:val="0038519A"/>
    <w:rsid w:val="003861F0"/>
    <w:rsid w:val="00386A27"/>
    <w:rsid w:val="00386EE5"/>
    <w:rsid w:val="00387051"/>
    <w:rsid w:val="003876F0"/>
    <w:rsid w:val="00387ECF"/>
    <w:rsid w:val="003901EA"/>
    <w:rsid w:val="0039021B"/>
    <w:rsid w:val="00390353"/>
    <w:rsid w:val="00390429"/>
    <w:rsid w:val="003906A0"/>
    <w:rsid w:val="00390D91"/>
    <w:rsid w:val="00390DBB"/>
    <w:rsid w:val="00391413"/>
    <w:rsid w:val="00391A48"/>
    <w:rsid w:val="0039207D"/>
    <w:rsid w:val="003923D5"/>
    <w:rsid w:val="00392AF4"/>
    <w:rsid w:val="00392D1F"/>
    <w:rsid w:val="00392D35"/>
    <w:rsid w:val="003931AF"/>
    <w:rsid w:val="0039338D"/>
    <w:rsid w:val="0039366C"/>
    <w:rsid w:val="00393C4C"/>
    <w:rsid w:val="00393EC8"/>
    <w:rsid w:val="003951CB"/>
    <w:rsid w:val="00395E42"/>
    <w:rsid w:val="00396409"/>
    <w:rsid w:val="00396A2D"/>
    <w:rsid w:val="00396FC3"/>
    <w:rsid w:val="003972F3"/>
    <w:rsid w:val="0039779B"/>
    <w:rsid w:val="003A0291"/>
    <w:rsid w:val="003A0A27"/>
    <w:rsid w:val="003A13E2"/>
    <w:rsid w:val="003A1431"/>
    <w:rsid w:val="003A1A94"/>
    <w:rsid w:val="003A1B38"/>
    <w:rsid w:val="003A1FF5"/>
    <w:rsid w:val="003A204E"/>
    <w:rsid w:val="003A2B19"/>
    <w:rsid w:val="003A2D25"/>
    <w:rsid w:val="003A2DB1"/>
    <w:rsid w:val="003A5101"/>
    <w:rsid w:val="003A5265"/>
    <w:rsid w:val="003A5715"/>
    <w:rsid w:val="003A5728"/>
    <w:rsid w:val="003A60E7"/>
    <w:rsid w:val="003A6AE2"/>
    <w:rsid w:val="003A7092"/>
    <w:rsid w:val="003A72A1"/>
    <w:rsid w:val="003A7302"/>
    <w:rsid w:val="003A7566"/>
    <w:rsid w:val="003A7611"/>
    <w:rsid w:val="003A7A46"/>
    <w:rsid w:val="003A7D1F"/>
    <w:rsid w:val="003B0A4E"/>
    <w:rsid w:val="003B0B6A"/>
    <w:rsid w:val="003B0C41"/>
    <w:rsid w:val="003B129D"/>
    <w:rsid w:val="003B22F7"/>
    <w:rsid w:val="003B2518"/>
    <w:rsid w:val="003B29CF"/>
    <w:rsid w:val="003B2A86"/>
    <w:rsid w:val="003B3A90"/>
    <w:rsid w:val="003B3D01"/>
    <w:rsid w:val="003B4003"/>
    <w:rsid w:val="003B4391"/>
    <w:rsid w:val="003B455A"/>
    <w:rsid w:val="003B534F"/>
    <w:rsid w:val="003B6C60"/>
    <w:rsid w:val="003B7A79"/>
    <w:rsid w:val="003C0FE1"/>
    <w:rsid w:val="003C1016"/>
    <w:rsid w:val="003C151A"/>
    <w:rsid w:val="003C17F0"/>
    <w:rsid w:val="003C1D27"/>
    <w:rsid w:val="003C2A23"/>
    <w:rsid w:val="003C33A0"/>
    <w:rsid w:val="003C350C"/>
    <w:rsid w:val="003C3733"/>
    <w:rsid w:val="003C3903"/>
    <w:rsid w:val="003C3BA0"/>
    <w:rsid w:val="003C3EFA"/>
    <w:rsid w:val="003C4580"/>
    <w:rsid w:val="003C51C0"/>
    <w:rsid w:val="003C553C"/>
    <w:rsid w:val="003C5C5E"/>
    <w:rsid w:val="003C65C0"/>
    <w:rsid w:val="003C65D3"/>
    <w:rsid w:val="003C6692"/>
    <w:rsid w:val="003C6746"/>
    <w:rsid w:val="003C7555"/>
    <w:rsid w:val="003C7898"/>
    <w:rsid w:val="003C7A17"/>
    <w:rsid w:val="003D0FF5"/>
    <w:rsid w:val="003D11A3"/>
    <w:rsid w:val="003D1537"/>
    <w:rsid w:val="003D183C"/>
    <w:rsid w:val="003D2D1B"/>
    <w:rsid w:val="003D2F09"/>
    <w:rsid w:val="003D3558"/>
    <w:rsid w:val="003D36C0"/>
    <w:rsid w:val="003D40E5"/>
    <w:rsid w:val="003D48C7"/>
    <w:rsid w:val="003D4C27"/>
    <w:rsid w:val="003D572F"/>
    <w:rsid w:val="003D594C"/>
    <w:rsid w:val="003D6BEB"/>
    <w:rsid w:val="003D7109"/>
    <w:rsid w:val="003D71D7"/>
    <w:rsid w:val="003D7CE8"/>
    <w:rsid w:val="003E0514"/>
    <w:rsid w:val="003E0BAA"/>
    <w:rsid w:val="003E1032"/>
    <w:rsid w:val="003E1904"/>
    <w:rsid w:val="003E25B5"/>
    <w:rsid w:val="003E285E"/>
    <w:rsid w:val="003E2BD8"/>
    <w:rsid w:val="003E3124"/>
    <w:rsid w:val="003E3300"/>
    <w:rsid w:val="003E371E"/>
    <w:rsid w:val="003E3BC7"/>
    <w:rsid w:val="003E43D3"/>
    <w:rsid w:val="003E48E1"/>
    <w:rsid w:val="003E4F68"/>
    <w:rsid w:val="003E50F4"/>
    <w:rsid w:val="003E5797"/>
    <w:rsid w:val="003E59BB"/>
    <w:rsid w:val="003E6225"/>
    <w:rsid w:val="003E65AC"/>
    <w:rsid w:val="003E66AE"/>
    <w:rsid w:val="003E6CFE"/>
    <w:rsid w:val="003E7160"/>
    <w:rsid w:val="003E72B9"/>
    <w:rsid w:val="003E7612"/>
    <w:rsid w:val="003E7ED4"/>
    <w:rsid w:val="003F0187"/>
    <w:rsid w:val="003F0CAA"/>
    <w:rsid w:val="003F0E52"/>
    <w:rsid w:val="003F0F6B"/>
    <w:rsid w:val="003F1DCD"/>
    <w:rsid w:val="003F1FC6"/>
    <w:rsid w:val="003F1FE3"/>
    <w:rsid w:val="003F2112"/>
    <w:rsid w:val="003F2359"/>
    <w:rsid w:val="003F2457"/>
    <w:rsid w:val="003F2D23"/>
    <w:rsid w:val="003F3232"/>
    <w:rsid w:val="003F3369"/>
    <w:rsid w:val="003F359A"/>
    <w:rsid w:val="003F3865"/>
    <w:rsid w:val="003F38AC"/>
    <w:rsid w:val="003F3D55"/>
    <w:rsid w:val="003F44E2"/>
    <w:rsid w:val="003F4632"/>
    <w:rsid w:val="003F47BA"/>
    <w:rsid w:val="003F49F3"/>
    <w:rsid w:val="003F4FE6"/>
    <w:rsid w:val="003F5638"/>
    <w:rsid w:val="003F5B7B"/>
    <w:rsid w:val="003F6617"/>
    <w:rsid w:val="003F7305"/>
    <w:rsid w:val="003F7F36"/>
    <w:rsid w:val="00400A58"/>
    <w:rsid w:val="00400E70"/>
    <w:rsid w:val="00402332"/>
    <w:rsid w:val="004025C2"/>
    <w:rsid w:val="00402887"/>
    <w:rsid w:val="00402FB7"/>
    <w:rsid w:val="00403195"/>
    <w:rsid w:val="004033A9"/>
    <w:rsid w:val="00403E55"/>
    <w:rsid w:val="0040407C"/>
    <w:rsid w:val="0040416C"/>
    <w:rsid w:val="004041CA"/>
    <w:rsid w:val="004044B4"/>
    <w:rsid w:val="00404681"/>
    <w:rsid w:val="004048F9"/>
    <w:rsid w:val="00404A80"/>
    <w:rsid w:val="00404B32"/>
    <w:rsid w:val="00405445"/>
    <w:rsid w:val="0040579D"/>
    <w:rsid w:val="00405AC1"/>
    <w:rsid w:val="0040675A"/>
    <w:rsid w:val="00406923"/>
    <w:rsid w:val="0040763D"/>
    <w:rsid w:val="0041038E"/>
    <w:rsid w:val="00410D17"/>
    <w:rsid w:val="0041183A"/>
    <w:rsid w:val="00412656"/>
    <w:rsid w:val="00412AA9"/>
    <w:rsid w:val="00413442"/>
    <w:rsid w:val="00413821"/>
    <w:rsid w:val="00413BA5"/>
    <w:rsid w:val="004141A3"/>
    <w:rsid w:val="00414909"/>
    <w:rsid w:val="0041582F"/>
    <w:rsid w:val="00415AC9"/>
    <w:rsid w:val="00415CF3"/>
    <w:rsid w:val="00416112"/>
    <w:rsid w:val="004167AD"/>
    <w:rsid w:val="00416F8E"/>
    <w:rsid w:val="0041716A"/>
    <w:rsid w:val="0041745E"/>
    <w:rsid w:val="00417A18"/>
    <w:rsid w:val="00417AE0"/>
    <w:rsid w:val="00417BAA"/>
    <w:rsid w:val="00417E8E"/>
    <w:rsid w:val="0042042B"/>
    <w:rsid w:val="00420457"/>
    <w:rsid w:val="00420B45"/>
    <w:rsid w:val="00420D7A"/>
    <w:rsid w:val="00421257"/>
    <w:rsid w:val="00421621"/>
    <w:rsid w:val="00422193"/>
    <w:rsid w:val="004223DE"/>
    <w:rsid w:val="00422645"/>
    <w:rsid w:val="00422A10"/>
    <w:rsid w:val="0042496A"/>
    <w:rsid w:val="00424D17"/>
    <w:rsid w:val="004259FC"/>
    <w:rsid w:val="00425DFD"/>
    <w:rsid w:val="00425EA9"/>
    <w:rsid w:val="004263A3"/>
    <w:rsid w:val="0042711B"/>
    <w:rsid w:val="00427713"/>
    <w:rsid w:val="00427C77"/>
    <w:rsid w:val="00427CCC"/>
    <w:rsid w:val="0043013A"/>
    <w:rsid w:val="00430421"/>
    <w:rsid w:val="00430A36"/>
    <w:rsid w:val="00430B4F"/>
    <w:rsid w:val="00430C37"/>
    <w:rsid w:val="00431084"/>
    <w:rsid w:val="004310D7"/>
    <w:rsid w:val="0043180D"/>
    <w:rsid w:val="00431FF2"/>
    <w:rsid w:val="004322D6"/>
    <w:rsid w:val="0043254E"/>
    <w:rsid w:val="00432589"/>
    <w:rsid w:val="00432A94"/>
    <w:rsid w:val="00432C95"/>
    <w:rsid w:val="00433359"/>
    <w:rsid w:val="00433827"/>
    <w:rsid w:val="00433A40"/>
    <w:rsid w:val="00433AEA"/>
    <w:rsid w:val="00434B70"/>
    <w:rsid w:val="004355EF"/>
    <w:rsid w:val="00435809"/>
    <w:rsid w:val="004360C8"/>
    <w:rsid w:val="00436823"/>
    <w:rsid w:val="004371D5"/>
    <w:rsid w:val="0043773F"/>
    <w:rsid w:val="00437FBF"/>
    <w:rsid w:val="0044006B"/>
    <w:rsid w:val="0044033F"/>
    <w:rsid w:val="00440576"/>
    <w:rsid w:val="00440630"/>
    <w:rsid w:val="00440D6B"/>
    <w:rsid w:val="00440E07"/>
    <w:rsid w:val="0044142F"/>
    <w:rsid w:val="00441F0F"/>
    <w:rsid w:val="00442965"/>
    <w:rsid w:val="004432B6"/>
    <w:rsid w:val="00444081"/>
    <w:rsid w:val="00444157"/>
    <w:rsid w:val="0044417C"/>
    <w:rsid w:val="00444DB3"/>
    <w:rsid w:val="00445617"/>
    <w:rsid w:val="00445A2F"/>
    <w:rsid w:val="004463FF"/>
    <w:rsid w:val="0044648F"/>
    <w:rsid w:val="0044680A"/>
    <w:rsid w:val="0044684E"/>
    <w:rsid w:val="00446F22"/>
    <w:rsid w:val="00447C74"/>
    <w:rsid w:val="00447E41"/>
    <w:rsid w:val="0045019F"/>
    <w:rsid w:val="004503A4"/>
    <w:rsid w:val="00450555"/>
    <w:rsid w:val="004506FA"/>
    <w:rsid w:val="004507B6"/>
    <w:rsid w:val="00450BC8"/>
    <w:rsid w:val="00450DC6"/>
    <w:rsid w:val="004516A5"/>
    <w:rsid w:val="00451E9C"/>
    <w:rsid w:val="00452145"/>
    <w:rsid w:val="004522D0"/>
    <w:rsid w:val="0045280F"/>
    <w:rsid w:val="00452E73"/>
    <w:rsid w:val="004533F6"/>
    <w:rsid w:val="004535AE"/>
    <w:rsid w:val="004537F7"/>
    <w:rsid w:val="00453C53"/>
    <w:rsid w:val="0045444D"/>
    <w:rsid w:val="0045463A"/>
    <w:rsid w:val="00454AC9"/>
    <w:rsid w:val="00455050"/>
    <w:rsid w:val="004554A3"/>
    <w:rsid w:val="00455626"/>
    <w:rsid w:val="00455A6E"/>
    <w:rsid w:val="00455AC4"/>
    <w:rsid w:val="00455EAD"/>
    <w:rsid w:val="004578EB"/>
    <w:rsid w:val="00457F74"/>
    <w:rsid w:val="004604D5"/>
    <w:rsid w:val="004605C6"/>
    <w:rsid w:val="00460697"/>
    <w:rsid w:val="0046117B"/>
    <w:rsid w:val="004619A3"/>
    <w:rsid w:val="00461FC2"/>
    <w:rsid w:val="004632B9"/>
    <w:rsid w:val="004644A4"/>
    <w:rsid w:val="00464AB7"/>
    <w:rsid w:val="00465959"/>
    <w:rsid w:val="004659D0"/>
    <w:rsid w:val="00465DE5"/>
    <w:rsid w:val="00466103"/>
    <w:rsid w:val="004676DF"/>
    <w:rsid w:val="00467A83"/>
    <w:rsid w:val="00467EF8"/>
    <w:rsid w:val="00470006"/>
    <w:rsid w:val="00470611"/>
    <w:rsid w:val="00470848"/>
    <w:rsid w:val="00470CAB"/>
    <w:rsid w:val="00471796"/>
    <w:rsid w:val="00471AC3"/>
    <w:rsid w:val="00472429"/>
    <w:rsid w:val="004725E5"/>
    <w:rsid w:val="00472751"/>
    <w:rsid w:val="00473128"/>
    <w:rsid w:val="004748A5"/>
    <w:rsid w:val="00475078"/>
    <w:rsid w:val="00475767"/>
    <w:rsid w:val="00476FC2"/>
    <w:rsid w:val="004779A0"/>
    <w:rsid w:val="00477F17"/>
    <w:rsid w:val="00480362"/>
    <w:rsid w:val="00480363"/>
    <w:rsid w:val="004808E3"/>
    <w:rsid w:val="00480B7E"/>
    <w:rsid w:val="00480CFE"/>
    <w:rsid w:val="00481016"/>
    <w:rsid w:val="0048124C"/>
    <w:rsid w:val="0048204C"/>
    <w:rsid w:val="004821BB"/>
    <w:rsid w:val="0048237A"/>
    <w:rsid w:val="004826FE"/>
    <w:rsid w:val="004827D5"/>
    <w:rsid w:val="00482AF2"/>
    <w:rsid w:val="004830C9"/>
    <w:rsid w:val="00483347"/>
    <w:rsid w:val="00483E2E"/>
    <w:rsid w:val="00484B69"/>
    <w:rsid w:val="0048529F"/>
    <w:rsid w:val="00485406"/>
    <w:rsid w:val="0048590F"/>
    <w:rsid w:val="004864D4"/>
    <w:rsid w:val="00486D60"/>
    <w:rsid w:val="00486DBC"/>
    <w:rsid w:val="00487180"/>
    <w:rsid w:val="00487BA1"/>
    <w:rsid w:val="0049155D"/>
    <w:rsid w:val="00491FA1"/>
    <w:rsid w:val="00492A25"/>
    <w:rsid w:val="004938A3"/>
    <w:rsid w:val="004950A6"/>
    <w:rsid w:val="0049558B"/>
    <w:rsid w:val="00496350"/>
    <w:rsid w:val="00496F9C"/>
    <w:rsid w:val="0049765E"/>
    <w:rsid w:val="00497843"/>
    <w:rsid w:val="0049797C"/>
    <w:rsid w:val="004A1405"/>
    <w:rsid w:val="004A15BD"/>
    <w:rsid w:val="004A1E28"/>
    <w:rsid w:val="004A1FC6"/>
    <w:rsid w:val="004A2E5F"/>
    <w:rsid w:val="004A345A"/>
    <w:rsid w:val="004A38C2"/>
    <w:rsid w:val="004A3968"/>
    <w:rsid w:val="004A3C03"/>
    <w:rsid w:val="004A3DB7"/>
    <w:rsid w:val="004A463B"/>
    <w:rsid w:val="004A5088"/>
    <w:rsid w:val="004A50E5"/>
    <w:rsid w:val="004A5255"/>
    <w:rsid w:val="004A61CA"/>
    <w:rsid w:val="004A6B28"/>
    <w:rsid w:val="004A6CB0"/>
    <w:rsid w:val="004A70FF"/>
    <w:rsid w:val="004A77B5"/>
    <w:rsid w:val="004A7EDE"/>
    <w:rsid w:val="004B0283"/>
    <w:rsid w:val="004B0D93"/>
    <w:rsid w:val="004B19C8"/>
    <w:rsid w:val="004B1FA4"/>
    <w:rsid w:val="004B29AC"/>
    <w:rsid w:val="004B2AD4"/>
    <w:rsid w:val="004B35DF"/>
    <w:rsid w:val="004B3627"/>
    <w:rsid w:val="004B3837"/>
    <w:rsid w:val="004B3EEA"/>
    <w:rsid w:val="004B4922"/>
    <w:rsid w:val="004B52E0"/>
    <w:rsid w:val="004B57DF"/>
    <w:rsid w:val="004B5976"/>
    <w:rsid w:val="004B6E54"/>
    <w:rsid w:val="004B722E"/>
    <w:rsid w:val="004B72E8"/>
    <w:rsid w:val="004B7661"/>
    <w:rsid w:val="004B771A"/>
    <w:rsid w:val="004C01A5"/>
    <w:rsid w:val="004C0412"/>
    <w:rsid w:val="004C0882"/>
    <w:rsid w:val="004C2138"/>
    <w:rsid w:val="004C2B69"/>
    <w:rsid w:val="004C302E"/>
    <w:rsid w:val="004C3940"/>
    <w:rsid w:val="004C51FD"/>
    <w:rsid w:val="004C5ED7"/>
    <w:rsid w:val="004C64A1"/>
    <w:rsid w:val="004C64B8"/>
    <w:rsid w:val="004C65A8"/>
    <w:rsid w:val="004C6689"/>
    <w:rsid w:val="004C6BF3"/>
    <w:rsid w:val="004C7408"/>
    <w:rsid w:val="004C7850"/>
    <w:rsid w:val="004D0479"/>
    <w:rsid w:val="004D139A"/>
    <w:rsid w:val="004D14DC"/>
    <w:rsid w:val="004D17C6"/>
    <w:rsid w:val="004D1FB2"/>
    <w:rsid w:val="004D2858"/>
    <w:rsid w:val="004D2E49"/>
    <w:rsid w:val="004D35BA"/>
    <w:rsid w:val="004D36FC"/>
    <w:rsid w:val="004D38E5"/>
    <w:rsid w:val="004D3A48"/>
    <w:rsid w:val="004D3C5A"/>
    <w:rsid w:val="004D449A"/>
    <w:rsid w:val="004D4701"/>
    <w:rsid w:val="004D47C7"/>
    <w:rsid w:val="004D4B2B"/>
    <w:rsid w:val="004D4F35"/>
    <w:rsid w:val="004D51EE"/>
    <w:rsid w:val="004D5C03"/>
    <w:rsid w:val="004D5D45"/>
    <w:rsid w:val="004D618D"/>
    <w:rsid w:val="004D62A9"/>
    <w:rsid w:val="004D6559"/>
    <w:rsid w:val="004D6FC3"/>
    <w:rsid w:val="004D7476"/>
    <w:rsid w:val="004D7716"/>
    <w:rsid w:val="004E0167"/>
    <w:rsid w:val="004E0306"/>
    <w:rsid w:val="004E0572"/>
    <w:rsid w:val="004E07BD"/>
    <w:rsid w:val="004E086D"/>
    <w:rsid w:val="004E1641"/>
    <w:rsid w:val="004E1818"/>
    <w:rsid w:val="004E1990"/>
    <w:rsid w:val="004E2186"/>
    <w:rsid w:val="004E25A8"/>
    <w:rsid w:val="004E299B"/>
    <w:rsid w:val="004E29E6"/>
    <w:rsid w:val="004E2A77"/>
    <w:rsid w:val="004E2B53"/>
    <w:rsid w:val="004E3672"/>
    <w:rsid w:val="004E3930"/>
    <w:rsid w:val="004E3A23"/>
    <w:rsid w:val="004E3ED9"/>
    <w:rsid w:val="004E4961"/>
    <w:rsid w:val="004E5866"/>
    <w:rsid w:val="004E6097"/>
    <w:rsid w:val="004E61EF"/>
    <w:rsid w:val="004E63C6"/>
    <w:rsid w:val="004E6805"/>
    <w:rsid w:val="004E76A7"/>
    <w:rsid w:val="004E7B03"/>
    <w:rsid w:val="004E7F95"/>
    <w:rsid w:val="004F0064"/>
    <w:rsid w:val="004F06AC"/>
    <w:rsid w:val="004F0E50"/>
    <w:rsid w:val="004F1D2A"/>
    <w:rsid w:val="004F243F"/>
    <w:rsid w:val="004F252C"/>
    <w:rsid w:val="004F3065"/>
    <w:rsid w:val="004F36A3"/>
    <w:rsid w:val="004F3E0C"/>
    <w:rsid w:val="004F4036"/>
    <w:rsid w:val="004F4308"/>
    <w:rsid w:val="004F4892"/>
    <w:rsid w:val="004F4D2C"/>
    <w:rsid w:val="004F5C3B"/>
    <w:rsid w:val="004F5DA0"/>
    <w:rsid w:val="004F7160"/>
    <w:rsid w:val="004F7F77"/>
    <w:rsid w:val="00500258"/>
    <w:rsid w:val="00500B2D"/>
    <w:rsid w:val="00500EC6"/>
    <w:rsid w:val="0050130B"/>
    <w:rsid w:val="00501A99"/>
    <w:rsid w:val="00501F1D"/>
    <w:rsid w:val="005021F2"/>
    <w:rsid w:val="00502219"/>
    <w:rsid w:val="00502456"/>
    <w:rsid w:val="00503180"/>
    <w:rsid w:val="0050336B"/>
    <w:rsid w:val="005038A4"/>
    <w:rsid w:val="00503DC4"/>
    <w:rsid w:val="00504AF6"/>
    <w:rsid w:val="00504C56"/>
    <w:rsid w:val="00504CD4"/>
    <w:rsid w:val="0050524B"/>
    <w:rsid w:val="00505450"/>
    <w:rsid w:val="00505FC6"/>
    <w:rsid w:val="00506DA6"/>
    <w:rsid w:val="00507170"/>
    <w:rsid w:val="005100B7"/>
    <w:rsid w:val="005105DE"/>
    <w:rsid w:val="005113C9"/>
    <w:rsid w:val="00511ACD"/>
    <w:rsid w:val="00512050"/>
    <w:rsid w:val="00512055"/>
    <w:rsid w:val="0051280C"/>
    <w:rsid w:val="00512842"/>
    <w:rsid w:val="005128BE"/>
    <w:rsid w:val="0051356F"/>
    <w:rsid w:val="00513DEC"/>
    <w:rsid w:val="00513E7C"/>
    <w:rsid w:val="005140BB"/>
    <w:rsid w:val="00514FBE"/>
    <w:rsid w:val="00514FD9"/>
    <w:rsid w:val="005154BB"/>
    <w:rsid w:val="0051550A"/>
    <w:rsid w:val="00515E31"/>
    <w:rsid w:val="0051608F"/>
    <w:rsid w:val="00516480"/>
    <w:rsid w:val="005171F4"/>
    <w:rsid w:val="005173D3"/>
    <w:rsid w:val="00517A4E"/>
    <w:rsid w:val="00520EF8"/>
    <w:rsid w:val="005210F7"/>
    <w:rsid w:val="00521753"/>
    <w:rsid w:val="00521C64"/>
    <w:rsid w:val="00522083"/>
    <w:rsid w:val="0052239D"/>
    <w:rsid w:val="005224EE"/>
    <w:rsid w:val="00522879"/>
    <w:rsid w:val="005229AD"/>
    <w:rsid w:val="00522FFE"/>
    <w:rsid w:val="0052363A"/>
    <w:rsid w:val="00523BB1"/>
    <w:rsid w:val="005241A0"/>
    <w:rsid w:val="00524B23"/>
    <w:rsid w:val="0052511C"/>
    <w:rsid w:val="00525235"/>
    <w:rsid w:val="0052570E"/>
    <w:rsid w:val="005260CD"/>
    <w:rsid w:val="00526265"/>
    <w:rsid w:val="00526332"/>
    <w:rsid w:val="0052655D"/>
    <w:rsid w:val="005265E0"/>
    <w:rsid w:val="00526BC3"/>
    <w:rsid w:val="00530064"/>
    <w:rsid w:val="00530440"/>
    <w:rsid w:val="005305D2"/>
    <w:rsid w:val="00530691"/>
    <w:rsid w:val="0053085C"/>
    <w:rsid w:val="00530FF0"/>
    <w:rsid w:val="005311F0"/>
    <w:rsid w:val="005313CA"/>
    <w:rsid w:val="00531761"/>
    <w:rsid w:val="0053248F"/>
    <w:rsid w:val="005327AB"/>
    <w:rsid w:val="00532F9C"/>
    <w:rsid w:val="00533055"/>
    <w:rsid w:val="0053332A"/>
    <w:rsid w:val="0053358A"/>
    <w:rsid w:val="00534465"/>
    <w:rsid w:val="00534668"/>
    <w:rsid w:val="005348CA"/>
    <w:rsid w:val="00534B28"/>
    <w:rsid w:val="00534DDD"/>
    <w:rsid w:val="00535291"/>
    <w:rsid w:val="00535A94"/>
    <w:rsid w:val="00536A40"/>
    <w:rsid w:val="00537874"/>
    <w:rsid w:val="0053795F"/>
    <w:rsid w:val="00537D3D"/>
    <w:rsid w:val="00540511"/>
    <w:rsid w:val="00540578"/>
    <w:rsid w:val="00540808"/>
    <w:rsid w:val="0054080E"/>
    <w:rsid w:val="00540D1A"/>
    <w:rsid w:val="00540DE5"/>
    <w:rsid w:val="00540EA1"/>
    <w:rsid w:val="00541E5A"/>
    <w:rsid w:val="00542769"/>
    <w:rsid w:val="0054277D"/>
    <w:rsid w:val="0054298C"/>
    <w:rsid w:val="00543066"/>
    <w:rsid w:val="0054358E"/>
    <w:rsid w:val="00543AF4"/>
    <w:rsid w:val="00543CD2"/>
    <w:rsid w:val="00543F53"/>
    <w:rsid w:val="00544191"/>
    <w:rsid w:val="0054440C"/>
    <w:rsid w:val="005448EC"/>
    <w:rsid w:val="00544C0A"/>
    <w:rsid w:val="00544F39"/>
    <w:rsid w:val="005452DC"/>
    <w:rsid w:val="005457FB"/>
    <w:rsid w:val="00545C5B"/>
    <w:rsid w:val="00546B96"/>
    <w:rsid w:val="00546F90"/>
    <w:rsid w:val="005477F7"/>
    <w:rsid w:val="00547EFB"/>
    <w:rsid w:val="00550186"/>
    <w:rsid w:val="00550192"/>
    <w:rsid w:val="0055037E"/>
    <w:rsid w:val="00550BD9"/>
    <w:rsid w:val="005522F2"/>
    <w:rsid w:val="005531DF"/>
    <w:rsid w:val="00553874"/>
    <w:rsid w:val="00553DCE"/>
    <w:rsid w:val="00553F4B"/>
    <w:rsid w:val="005541E0"/>
    <w:rsid w:val="005543B3"/>
    <w:rsid w:val="00554577"/>
    <w:rsid w:val="005545A1"/>
    <w:rsid w:val="00554AD8"/>
    <w:rsid w:val="00554F78"/>
    <w:rsid w:val="00555DA1"/>
    <w:rsid w:val="005562FB"/>
    <w:rsid w:val="00556731"/>
    <w:rsid w:val="00556BF7"/>
    <w:rsid w:val="00556C70"/>
    <w:rsid w:val="00556E53"/>
    <w:rsid w:val="00556FF1"/>
    <w:rsid w:val="0055745C"/>
    <w:rsid w:val="00557F60"/>
    <w:rsid w:val="00560D81"/>
    <w:rsid w:val="00561730"/>
    <w:rsid w:val="00561913"/>
    <w:rsid w:val="00561B97"/>
    <w:rsid w:val="00562149"/>
    <w:rsid w:val="00562285"/>
    <w:rsid w:val="0056248C"/>
    <w:rsid w:val="005640EB"/>
    <w:rsid w:val="00565559"/>
    <w:rsid w:val="005666A4"/>
    <w:rsid w:val="00567B5D"/>
    <w:rsid w:val="00570593"/>
    <w:rsid w:val="00570757"/>
    <w:rsid w:val="00570921"/>
    <w:rsid w:val="0057257D"/>
    <w:rsid w:val="00572DBE"/>
    <w:rsid w:val="00573293"/>
    <w:rsid w:val="00573733"/>
    <w:rsid w:val="00573DBC"/>
    <w:rsid w:val="00573E08"/>
    <w:rsid w:val="00573F8B"/>
    <w:rsid w:val="005743E0"/>
    <w:rsid w:val="00574554"/>
    <w:rsid w:val="00574E06"/>
    <w:rsid w:val="005751BB"/>
    <w:rsid w:val="00575713"/>
    <w:rsid w:val="00576089"/>
    <w:rsid w:val="005764B1"/>
    <w:rsid w:val="00576852"/>
    <w:rsid w:val="00576D06"/>
    <w:rsid w:val="005779E4"/>
    <w:rsid w:val="00577E82"/>
    <w:rsid w:val="00580B89"/>
    <w:rsid w:val="00580EC7"/>
    <w:rsid w:val="005813FA"/>
    <w:rsid w:val="00581EA9"/>
    <w:rsid w:val="005826D2"/>
    <w:rsid w:val="0058289C"/>
    <w:rsid w:val="005836C7"/>
    <w:rsid w:val="00583A83"/>
    <w:rsid w:val="0058408E"/>
    <w:rsid w:val="005844C3"/>
    <w:rsid w:val="005847D9"/>
    <w:rsid w:val="00584909"/>
    <w:rsid w:val="00585374"/>
    <w:rsid w:val="005854CA"/>
    <w:rsid w:val="00585FAB"/>
    <w:rsid w:val="0058607D"/>
    <w:rsid w:val="00590B77"/>
    <w:rsid w:val="00590D9A"/>
    <w:rsid w:val="005913A3"/>
    <w:rsid w:val="005919E6"/>
    <w:rsid w:val="00591A5A"/>
    <w:rsid w:val="005929D8"/>
    <w:rsid w:val="00592C40"/>
    <w:rsid w:val="00593B28"/>
    <w:rsid w:val="00593C06"/>
    <w:rsid w:val="005940D4"/>
    <w:rsid w:val="00594A7B"/>
    <w:rsid w:val="0059580E"/>
    <w:rsid w:val="00595D90"/>
    <w:rsid w:val="00596A6F"/>
    <w:rsid w:val="00596D11"/>
    <w:rsid w:val="00596FCE"/>
    <w:rsid w:val="00597A4D"/>
    <w:rsid w:val="005A0300"/>
    <w:rsid w:val="005A11BC"/>
    <w:rsid w:val="005A1525"/>
    <w:rsid w:val="005A16F6"/>
    <w:rsid w:val="005A188D"/>
    <w:rsid w:val="005A1A61"/>
    <w:rsid w:val="005A1E17"/>
    <w:rsid w:val="005A252B"/>
    <w:rsid w:val="005A2A8F"/>
    <w:rsid w:val="005A3008"/>
    <w:rsid w:val="005A3204"/>
    <w:rsid w:val="005A3341"/>
    <w:rsid w:val="005A3C3D"/>
    <w:rsid w:val="005A46EC"/>
    <w:rsid w:val="005A5EAE"/>
    <w:rsid w:val="005A5EB8"/>
    <w:rsid w:val="005A6407"/>
    <w:rsid w:val="005A726C"/>
    <w:rsid w:val="005A79CF"/>
    <w:rsid w:val="005A7DDF"/>
    <w:rsid w:val="005B05D8"/>
    <w:rsid w:val="005B07EC"/>
    <w:rsid w:val="005B21B0"/>
    <w:rsid w:val="005B2899"/>
    <w:rsid w:val="005B2B11"/>
    <w:rsid w:val="005B32A4"/>
    <w:rsid w:val="005B3371"/>
    <w:rsid w:val="005B338D"/>
    <w:rsid w:val="005B33A1"/>
    <w:rsid w:val="005B3852"/>
    <w:rsid w:val="005B3BAF"/>
    <w:rsid w:val="005B43D5"/>
    <w:rsid w:val="005B4470"/>
    <w:rsid w:val="005B479B"/>
    <w:rsid w:val="005B4DA3"/>
    <w:rsid w:val="005B4E69"/>
    <w:rsid w:val="005B536A"/>
    <w:rsid w:val="005B5BEE"/>
    <w:rsid w:val="005B6AA9"/>
    <w:rsid w:val="005B77D2"/>
    <w:rsid w:val="005B7BDA"/>
    <w:rsid w:val="005C0195"/>
    <w:rsid w:val="005C019B"/>
    <w:rsid w:val="005C08D0"/>
    <w:rsid w:val="005C14A0"/>
    <w:rsid w:val="005C15A1"/>
    <w:rsid w:val="005C1AED"/>
    <w:rsid w:val="005C1FCB"/>
    <w:rsid w:val="005C2136"/>
    <w:rsid w:val="005C290E"/>
    <w:rsid w:val="005C30F5"/>
    <w:rsid w:val="005C3571"/>
    <w:rsid w:val="005C3840"/>
    <w:rsid w:val="005C3AD8"/>
    <w:rsid w:val="005C426B"/>
    <w:rsid w:val="005C5084"/>
    <w:rsid w:val="005C519C"/>
    <w:rsid w:val="005C51A5"/>
    <w:rsid w:val="005C557A"/>
    <w:rsid w:val="005C566F"/>
    <w:rsid w:val="005C5B5C"/>
    <w:rsid w:val="005C5BF5"/>
    <w:rsid w:val="005C5C47"/>
    <w:rsid w:val="005C5D2D"/>
    <w:rsid w:val="005C5EFA"/>
    <w:rsid w:val="005C61DD"/>
    <w:rsid w:val="005C6438"/>
    <w:rsid w:val="005C64D2"/>
    <w:rsid w:val="005C6B8B"/>
    <w:rsid w:val="005C6E67"/>
    <w:rsid w:val="005C727F"/>
    <w:rsid w:val="005C7B0E"/>
    <w:rsid w:val="005C7B20"/>
    <w:rsid w:val="005D02E3"/>
    <w:rsid w:val="005D1419"/>
    <w:rsid w:val="005D1F34"/>
    <w:rsid w:val="005D284B"/>
    <w:rsid w:val="005D2C1F"/>
    <w:rsid w:val="005D34B2"/>
    <w:rsid w:val="005D3B54"/>
    <w:rsid w:val="005D3BB3"/>
    <w:rsid w:val="005D3E28"/>
    <w:rsid w:val="005D40CD"/>
    <w:rsid w:val="005D6B59"/>
    <w:rsid w:val="005D71C3"/>
    <w:rsid w:val="005D74D2"/>
    <w:rsid w:val="005D784B"/>
    <w:rsid w:val="005D7B90"/>
    <w:rsid w:val="005D7DE0"/>
    <w:rsid w:val="005E00AF"/>
    <w:rsid w:val="005E03E4"/>
    <w:rsid w:val="005E0454"/>
    <w:rsid w:val="005E05F6"/>
    <w:rsid w:val="005E19CF"/>
    <w:rsid w:val="005E1B9D"/>
    <w:rsid w:val="005E1BDA"/>
    <w:rsid w:val="005E1FCB"/>
    <w:rsid w:val="005E1FE5"/>
    <w:rsid w:val="005E2442"/>
    <w:rsid w:val="005E2768"/>
    <w:rsid w:val="005E3111"/>
    <w:rsid w:val="005E3B1C"/>
    <w:rsid w:val="005E3CA0"/>
    <w:rsid w:val="005E3D11"/>
    <w:rsid w:val="005E3D25"/>
    <w:rsid w:val="005E3F85"/>
    <w:rsid w:val="005E4A5F"/>
    <w:rsid w:val="005E4D86"/>
    <w:rsid w:val="005E4F8C"/>
    <w:rsid w:val="005E516A"/>
    <w:rsid w:val="005E52F5"/>
    <w:rsid w:val="005E57B0"/>
    <w:rsid w:val="005E5A0F"/>
    <w:rsid w:val="005E5B01"/>
    <w:rsid w:val="005E648D"/>
    <w:rsid w:val="005E6D3B"/>
    <w:rsid w:val="005E7EDD"/>
    <w:rsid w:val="005F009E"/>
    <w:rsid w:val="005F06A3"/>
    <w:rsid w:val="005F0BF9"/>
    <w:rsid w:val="005F0DF1"/>
    <w:rsid w:val="005F1516"/>
    <w:rsid w:val="005F1A6F"/>
    <w:rsid w:val="005F229E"/>
    <w:rsid w:val="005F2564"/>
    <w:rsid w:val="005F3822"/>
    <w:rsid w:val="005F4635"/>
    <w:rsid w:val="005F46B7"/>
    <w:rsid w:val="005F4900"/>
    <w:rsid w:val="005F4B6B"/>
    <w:rsid w:val="005F4E52"/>
    <w:rsid w:val="005F4F34"/>
    <w:rsid w:val="005F5466"/>
    <w:rsid w:val="005F6D58"/>
    <w:rsid w:val="005F7060"/>
    <w:rsid w:val="005F7383"/>
    <w:rsid w:val="005F76BD"/>
    <w:rsid w:val="005F7A58"/>
    <w:rsid w:val="0060058E"/>
    <w:rsid w:val="00602A3C"/>
    <w:rsid w:val="00602A54"/>
    <w:rsid w:val="00602A60"/>
    <w:rsid w:val="0060377B"/>
    <w:rsid w:val="00603B89"/>
    <w:rsid w:val="00603EFD"/>
    <w:rsid w:val="0060475B"/>
    <w:rsid w:val="00604BED"/>
    <w:rsid w:val="00604FB6"/>
    <w:rsid w:val="00605387"/>
    <w:rsid w:val="00606302"/>
    <w:rsid w:val="006076FD"/>
    <w:rsid w:val="0061036A"/>
    <w:rsid w:val="00610470"/>
    <w:rsid w:val="006107B1"/>
    <w:rsid w:val="00610811"/>
    <w:rsid w:val="0061143F"/>
    <w:rsid w:val="006114D8"/>
    <w:rsid w:val="00611800"/>
    <w:rsid w:val="00612685"/>
    <w:rsid w:val="00613553"/>
    <w:rsid w:val="00613601"/>
    <w:rsid w:val="00613791"/>
    <w:rsid w:val="006143F9"/>
    <w:rsid w:val="00614CD4"/>
    <w:rsid w:val="006150D6"/>
    <w:rsid w:val="00615245"/>
    <w:rsid w:val="0061525A"/>
    <w:rsid w:val="0061526D"/>
    <w:rsid w:val="00615788"/>
    <w:rsid w:val="0061590D"/>
    <w:rsid w:val="00615C84"/>
    <w:rsid w:val="00617EEE"/>
    <w:rsid w:val="00620A1F"/>
    <w:rsid w:val="0062169D"/>
    <w:rsid w:val="00621737"/>
    <w:rsid w:val="0062181E"/>
    <w:rsid w:val="0062197C"/>
    <w:rsid w:val="0062211B"/>
    <w:rsid w:val="0062227E"/>
    <w:rsid w:val="00622827"/>
    <w:rsid w:val="006228D3"/>
    <w:rsid w:val="00622BB7"/>
    <w:rsid w:val="00622C1E"/>
    <w:rsid w:val="00623389"/>
    <w:rsid w:val="00623DAA"/>
    <w:rsid w:val="00623FAF"/>
    <w:rsid w:val="0062460C"/>
    <w:rsid w:val="00624B3E"/>
    <w:rsid w:val="00624D82"/>
    <w:rsid w:val="00625337"/>
    <w:rsid w:val="0062578C"/>
    <w:rsid w:val="006259B6"/>
    <w:rsid w:val="00625A24"/>
    <w:rsid w:val="006265C4"/>
    <w:rsid w:val="0062678A"/>
    <w:rsid w:val="00626AF1"/>
    <w:rsid w:val="00626FCA"/>
    <w:rsid w:val="006270AF"/>
    <w:rsid w:val="00627237"/>
    <w:rsid w:val="00631184"/>
    <w:rsid w:val="00631864"/>
    <w:rsid w:val="00632F83"/>
    <w:rsid w:val="00634367"/>
    <w:rsid w:val="006355C2"/>
    <w:rsid w:val="006360AD"/>
    <w:rsid w:val="006364D7"/>
    <w:rsid w:val="00636554"/>
    <w:rsid w:val="006367E9"/>
    <w:rsid w:val="00636CE3"/>
    <w:rsid w:val="00640082"/>
    <w:rsid w:val="00640291"/>
    <w:rsid w:val="0064058C"/>
    <w:rsid w:val="00640EFE"/>
    <w:rsid w:val="00641D6D"/>
    <w:rsid w:val="00641E5B"/>
    <w:rsid w:val="00641FAC"/>
    <w:rsid w:val="00643664"/>
    <w:rsid w:val="006437ED"/>
    <w:rsid w:val="00643A99"/>
    <w:rsid w:val="00643CAA"/>
    <w:rsid w:val="00644F16"/>
    <w:rsid w:val="006455EB"/>
    <w:rsid w:val="006456C2"/>
    <w:rsid w:val="00645A65"/>
    <w:rsid w:val="00646959"/>
    <w:rsid w:val="006477F0"/>
    <w:rsid w:val="006478E4"/>
    <w:rsid w:val="00647FD1"/>
    <w:rsid w:val="006509EA"/>
    <w:rsid w:val="0065164D"/>
    <w:rsid w:val="0065171A"/>
    <w:rsid w:val="00652680"/>
    <w:rsid w:val="00653CDE"/>
    <w:rsid w:val="00653EDB"/>
    <w:rsid w:val="00654585"/>
    <w:rsid w:val="006548E4"/>
    <w:rsid w:val="00654AC8"/>
    <w:rsid w:val="0065566E"/>
    <w:rsid w:val="00655999"/>
    <w:rsid w:val="00655AB6"/>
    <w:rsid w:val="00655C67"/>
    <w:rsid w:val="00655E2B"/>
    <w:rsid w:val="00655EFA"/>
    <w:rsid w:val="00656061"/>
    <w:rsid w:val="00656281"/>
    <w:rsid w:val="0065636A"/>
    <w:rsid w:val="00656BFC"/>
    <w:rsid w:val="00657003"/>
    <w:rsid w:val="00657428"/>
    <w:rsid w:val="00657CE2"/>
    <w:rsid w:val="00660238"/>
    <w:rsid w:val="006602EF"/>
    <w:rsid w:val="00661277"/>
    <w:rsid w:val="006619E0"/>
    <w:rsid w:val="00663FEA"/>
    <w:rsid w:val="00664803"/>
    <w:rsid w:val="00664934"/>
    <w:rsid w:val="00664D53"/>
    <w:rsid w:val="00664EB7"/>
    <w:rsid w:val="006657C5"/>
    <w:rsid w:val="00665874"/>
    <w:rsid w:val="00665D75"/>
    <w:rsid w:val="00666186"/>
    <w:rsid w:val="006661A4"/>
    <w:rsid w:val="00666433"/>
    <w:rsid w:val="00666AC0"/>
    <w:rsid w:val="006670E0"/>
    <w:rsid w:val="006671B8"/>
    <w:rsid w:val="00667275"/>
    <w:rsid w:val="00667532"/>
    <w:rsid w:val="0066783E"/>
    <w:rsid w:val="00667E53"/>
    <w:rsid w:val="006704DF"/>
    <w:rsid w:val="00670A64"/>
    <w:rsid w:val="00670D03"/>
    <w:rsid w:val="006711C4"/>
    <w:rsid w:val="006713AB"/>
    <w:rsid w:val="00672680"/>
    <w:rsid w:val="00672A3A"/>
    <w:rsid w:val="00672CA5"/>
    <w:rsid w:val="00673711"/>
    <w:rsid w:val="00673CDA"/>
    <w:rsid w:val="00673F82"/>
    <w:rsid w:val="00674F74"/>
    <w:rsid w:val="0067508F"/>
    <w:rsid w:val="006752B2"/>
    <w:rsid w:val="00676B25"/>
    <w:rsid w:val="00676B3E"/>
    <w:rsid w:val="0067704E"/>
    <w:rsid w:val="00677576"/>
    <w:rsid w:val="0068051E"/>
    <w:rsid w:val="00680B9D"/>
    <w:rsid w:val="00680DF1"/>
    <w:rsid w:val="00681F13"/>
    <w:rsid w:val="0068231C"/>
    <w:rsid w:val="00682344"/>
    <w:rsid w:val="00682C87"/>
    <w:rsid w:val="00682F28"/>
    <w:rsid w:val="006834F9"/>
    <w:rsid w:val="00683515"/>
    <w:rsid w:val="00683AB2"/>
    <w:rsid w:val="00684842"/>
    <w:rsid w:val="006856CA"/>
    <w:rsid w:val="00685789"/>
    <w:rsid w:val="006859AA"/>
    <w:rsid w:val="00685BD6"/>
    <w:rsid w:val="00686A20"/>
    <w:rsid w:val="00687116"/>
    <w:rsid w:val="006872D2"/>
    <w:rsid w:val="006878A6"/>
    <w:rsid w:val="00687D5F"/>
    <w:rsid w:val="00687F2E"/>
    <w:rsid w:val="00690437"/>
    <w:rsid w:val="00690623"/>
    <w:rsid w:val="00690DC3"/>
    <w:rsid w:val="00690E65"/>
    <w:rsid w:val="006911B7"/>
    <w:rsid w:val="00691387"/>
    <w:rsid w:val="006915C2"/>
    <w:rsid w:val="0069188E"/>
    <w:rsid w:val="00691974"/>
    <w:rsid w:val="00692584"/>
    <w:rsid w:val="00692BF6"/>
    <w:rsid w:val="00692C92"/>
    <w:rsid w:val="00692CA6"/>
    <w:rsid w:val="00692CE6"/>
    <w:rsid w:val="00693186"/>
    <w:rsid w:val="00693381"/>
    <w:rsid w:val="006936E4"/>
    <w:rsid w:val="00693B6C"/>
    <w:rsid w:val="006942AE"/>
    <w:rsid w:val="0069464B"/>
    <w:rsid w:val="006947A1"/>
    <w:rsid w:val="00695421"/>
    <w:rsid w:val="00696A9C"/>
    <w:rsid w:val="00697BD3"/>
    <w:rsid w:val="00697DFA"/>
    <w:rsid w:val="006A12BA"/>
    <w:rsid w:val="006A16D5"/>
    <w:rsid w:val="006A1772"/>
    <w:rsid w:val="006A1780"/>
    <w:rsid w:val="006A1851"/>
    <w:rsid w:val="006A21DD"/>
    <w:rsid w:val="006A234F"/>
    <w:rsid w:val="006A26C6"/>
    <w:rsid w:val="006A2DCC"/>
    <w:rsid w:val="006A3302"/>
    <w:rsid w:val="006A34AF"/>
    <w:rsid w:val="006A38DA"/>
    <w:rsid w:val="006A3B28"/>
    <w:rsid w:val="006A47DC"/>
    <w:rsid w:val="006A4A4B"/>
    <w:rsid w:val="006A4FEE"/>
    <w:rsid w:val="006A5522"/>
    <w:rsid w:val="006A5549"/>
    <w:rsid w:val="006A59CC"/>
    <w:rsid w:val="006A6182"/>
    <w:rsid w:val="006A6574"/>
    <w:rsid w:val="006A703E"/>
    <w:rsid w:val="006A7BE3"/>
    <w:rsid w:val="006A7D32"/>
    <w:rsid w:val="006A7E1A"/>
    <w:rsid w:val="006B01D1"/>
    <w:rsid w:val="006B0C04"/>
    <w:rsid w:val="006B0DF4"/>
    <w:rsid w:val="006B1214"/>
    <w:rsid w:val="006B16EA"/>
    <w:rsid w:val="006B1780"/>
    <w:rsid w:val="006B1B60"/>
    <w:rsid w:val="006B1C80"/>
    <w:rsid w:val="006B21DC"/>
    <w:rsid w:val="006B224E"/>
    <w:rsid w:val="006B2349"/>
    <w:rsid w:val="006B25FA"/>
    <w:rsid w:val="006B2943"/>
    <w:rsid w:val="006B2C00"/>
    <w:rsid w:val="006B351F"/>
    <w:rsid w:val="006B376E"/>
    <w:rsid w:val="006B4128"/>
    <w:rsid w:val="006B4589"/>
    <w:rsid w:val="006B4CFA"/>
    <w:rsid w:val="006B5157"/>
    <w:rsid w:val="006B5E49"/>
    <w:rsid w:val="006B610E"/>
    <w:rsid w:val="006B6805"/>
    <w:rsid w:val="006B6C07"/>
    <w:rsid w:val="006B6DE0"/>
    <w:rsid w:val="006B723D"/>
    <w:rsid w:val="006B7DEE"/>
    <w:rsid w:val="006C1337"/>
    <w:rsid w:val="006C16C3"/>
    <w:rsid w:val="006C1FA6"/>
    <w:rsid w:val="006C2187"/>
    <w:rsid w:val="006C2588"/>
    <w:rsid w:val="006C27D9"/>
    <w:rsid w:val="006C32F4"/>
    <w:rsid w:val="006C3C54"/>
    <w:rsid w:val="006C3CA5"/>
    <w:rsid w:val="006C3CAA"/>
    <w:rsid w:val="006C4B6B"/>
    <w:rsid w:val="006C4CE1"/>
    <w:rsid w:val="006C4F9F"/>
    <w:rsid w:val="006C54B1"/>
    <w:rsid w:val="006C71A2"/>
    <w:rsid w:val="006C73EC"/>
    <w:rsid w:val="006D0997"/>
    <w:rsid w:val="006D0C1D"/>
    <w:rsid w:val="006D1BB1"/>
    <w:rsid w:val="006D2519"/>
    <w:rsid w:val="006D28F3"/>
    <w:rsid w:val="006D2E9D"/>
    <w:rsid w:val="006D31F0"/>
    <w:rsid w:val="006D3B48"/>
    <w:rsid w:val="006D4305"/>
    <w:rsid w:val="006D4A4E"/>
    <w:rsid w:val="006D4C42"/>
    <w:rsid w:val="006D4CF3"/>
    <w:rsid w:val="006D5067"/>
    <w:rsid w:val="006D5389"/>
    <w:rsid w:val="006D53A2"/>
    <w:rsid w:val="006D5809"/>
    <w:rsid w:val="006D607E"/>
    <w:rsid w:val="006D6E12"/>
    <w:rsid w:val="006D70CB"/>
    <w:rsid w:val="006D715C"/>
    <w:rsid w:val="006D7363"/>
    <w:rsid w:val="006D774E"/>
    <w:rsid w:val="006D7F08"/>
    <w:rsid w:val="006E0754"/>
    <w:rsid w:val="006E1481"/>
    <w:rsid w:val="006E19A4"/>
    <w:rsid w:val="006E1D1D"/>
    <w:rsid w:val="006E2668"/>
    <w:rsid w:val="006E2C88"/>
    <w:rsid w:val="006E2D39"/>
    <w:rsid w:val="006E2FE9"/>
    <w:rsid w:val="006E30A2"/>
    <w:rsid w:val="006E32B0"/>
    <w:rsid w:val="006E348E"/>
    <w:rsid w:val="006E396A"/>
    <w:rsid w:val="006E3D63"/>
    <w:rsid w:val="006E445C"/>
    <w:rsid w:val="006E4632"/>
    <w:rsid w:val="006E4998"/>
    <w:rsid w:val="006E4B31"/>
    <w:rsid w:val="006E58BF"/>
    <w:rsid w:val="006E5CE6"/>
    <w:rsid w:val="006E5DD8"/>
    <w:rsid w:val="006E5EA1"/>
    <w:rsid w:val="006E6BE5"/>
    <w:rsid w:val="006E6DEE"/>
    <w:rsid w:val="006E6F44"/>
    <w:rsid w:val="006E7D4B"/>
    <w:rsid w:val="006E7F32"/>
    <w:rsid w:val="006F018A"/>
    <w:rsid w:val="006F0760"/>
    <w:rsid w:val="006F0D30"/>
    <w:rsid w:val="006F11E2"/>
    <w:rsid w:val="006F1A50"/>
    <w:rsid w:val="006F1A67"/>
    <w:rsid w:val="006F2574"/>
    <w:rsid w:val="006F292D"/>
    <w:rsid w:val="006F3231"/>
    <w:rsid w:val="006F3DE3"/>
    <w:rsid w:val="006F4787"/>
    <w:rsid w:val="006F4B8F"/>
    <w:rsid w:val="006F57E6"/>
    <w:rsid w:val="006F5E2E"/>
    <w:rsid w:val="006F61D8"/>
    <w:rsid w:val="006F62B7"/>
    <w:rsid w:val="006F63E7"/>
    <w:rsid w:val="006F70BC"/>
    <w:rsid w:val="006F726C"/>
    <w:rsid w:val="006F7A22"/>
    <w:rsid w:val="006F7E7C"/>
    <w:rsid w:val="006F7FEA"/>
    <w:rsid w:val="00700C5B"/>
    <w:rsid w:val="00701329"/>
    <w:rsid w:val="0070174E"/>
    <w:rsid w:val="007018DB"/>
    <w:rsid w:val="00701DE6"/>
    <w:rsid w:val="00702740"/>
    <w:rsid w:val="007028E3"/>
    <w:rsid w:val="00703407"/>
    <w:rsid w:val="0070381B"/>
    <w:rsid w:val="00703F81"/>
    <w:rsid w:val="007041BC"/>
    <w:rsid w:val="00704CC8"/>
    <w:rsid w:val="00706759"/>
    <w:rsid w:val="0070796C"/>
    <w:rsid w:val="007109BB"/>
    <w:rsid w:val="00710B2D"/>
    <w:rsid w:val="00710EBF"/>
    <w:rsid w:val="007110B8"/>
    <w:rsid w:val="00711A7A"/>
    <w:rsid w:val="00711CD1"/>
    <w:rsid w:val="0071209F"/>
    <w:rsid w:val="007123F0"/>
    <w:rsid w:val="007125A2"/>
    <w:rsid w:val="00712A68"/>
    <w:rsid w:val="00713DD9"/>
    <w:rsid w:val="00713F79"/>
    <w:rsid w:val="0071477B"/>
    <w:rsid w:val="007148A8"/>
    <w:rsid w:val="00714A29"/>
    <w:rsid w:val="007153E7"/>
    <w:rsid w:val="00715C70"/>
    <w:rsid w:val="00715E44"/>
    <w:rsid w:val="007164B0"/>
    <w:rsid w:val="00716AC8"/>
    <w:rsid w:val="00716E54"/>
    <w:rsid w:val="00717280"/>
    <w:rsid w:val="007202D2"/>
    <w:rsid w:val="0072033C"/>
    <w:rsid w:val="00720B1B"/>
    <w:rsid w:val="00721062"/>
    <w:rsid w:val="00721366"/>
    <w:rsid w:val="00721454"/>
    <w:rsid w:val="00721D3D"/>
    <w:rsid w:val="00721E5D"/>
    <w:rsid w:val="007229D4"/>
    <w:rsid w:val="00722C42"/>
    <w:rsid w:val="00722E35"/>
    <w:rsid w:val="007230F8"/>
    <w:rsid w:val="007233F4"/>
    <w:rsid w:val="007235E3"/>
    <w:rsid w:val="0072381D"/>
    <w:rsid w:val="00724044"/>
    <w:rsid w:val="007240DB"/>
    <w:rsid w:val="00724120"/>
    <w:rsid w:val="007243F2"/>
    <w:rsid w:val="007248D3"/>
    <w:rsid w:val="00724B75"/>
    <w:rsid w:val="00724DF8"/>
    <w:rsid w:val="00725137"/>
    <w:rsid w:val="00725378"/>
    <w:rsid w:val="00725C31"/>
    <w:rsid w:val="00727795"/>
    <w:rsid w:val="00727A43"/>
    <w:rsid w:val="00727DBF"/>
    <w:rsid w:val="00727FF2"/>
    <w:rsid w:val="00727FFD"/>
    <w:rsid w:val="00730550"/>
    <w:rsid w:val="00730C2A"/>
    <w:rsid w:val="00730DF1"/>
    <w:rsid w:val="00731125"/>
    <w:rsid w:val="00731434"/>
    <w:rsid w:val="0073165D"/>
    <w:rsid w:val="00731E59"/>
    <w:rsid w:val="007323E0"/>
    <w:rsid w:val="00732911"/>
    <w:rsid w:val="00733721"/>
    <w:rsid w:val="00733965"/>
    <w:rsid w:val="00733DE2"/>
    <w:rsid w:val="00734142"/>
    <w:rsid w:val="00734358"/>
    <w:rsid w:val="007352AB"/>
    <w:rsid w:val="007352EA"/>
    <w:rsid w:val="007362CC"/>
    <w:rsid w:val="0073792F"/>
    <w:rsid w:val="00737CB3"/>
    <w:rsid w:val="00740C81"/>
    <w:rsid w:val="00740DA6"/>
    <w:rsid w:val="0074197B"/>
    <w:rsid w:val="00741B4B"/>
    <w:rsid w:val="00741D1E"/>
    <w:rsid w:val="00741DD6"/>
    <w:rsid w:val="00741EE2"/>
    <w:rsid w:val="0074207F"/>
    <w:rsid w:val="00742118"/>
    <w:rsid w:val="00742367"/>
    <w:rsid w:val="00742CBD"/>
    <w:rsid w:val="00742EAA"/>
    <w:rsid w:val="00743360"/>
    <w:rsid w:val="00743818"/>
    <w:rsid w:val="00743857"/>
    <w:rsid w:val="0074411D"/>
    <w:rsid w:val="007441FB"/>
    <w:rsid w:val="007444D7"/>
    <w:rsid w:val="00744517"/>
    <w:rsid w:val="0074522A"/>
    <w:rsid w:val="00745D90"/>
    <w:rsid w:val="007465D3"/>
    <w:rsid w:val="00746AED"/>
    <w:rsid w:val="00747295"/>
    <w:rsid w:val="00747346"/>
    <w:rsid w:val="00747829"/>
    <w:rsid w:val="0074789C"/>
    <w:rsid w:val="00747D46"/>
    <w:rsid w:val="00747DE2"/>
    <w:rsid w:val="00747E6D"/>
    <w:rsid w:val="007502D0"/>
    <w:rsid w:val="007504BF"/>
    <w:rsid w:val="007506CD"/>
    <w:rsid w:val="0075267F"/>
    <w:rsid w:val="007526EC"/>
    <w:rsid w:val="00753B8A"/>
    <w:rsid w:val="00753C48"/>
    <w:rsid w:val="00754250"/>
    <w:rsid w:val="00754FE4"/>
    <w:rsid w:val="00755216"/>
    <w:rsid w:val="00756236"/>
    <w:rsid w:val="00756271"/>
    <w:rsid w:val="00756348"/>
    <w:rsid w:val="00756521"/>
    <w:rsid w:val="00756AB7"/>
    <w:rsid w:val="00757975"/>
    <w:rsid w:val="00760B3A"/>
    <w:rsid w:val="0076106D"/>
    <w:rsid w:val="007610DA"/>
    <w:rsid w:val="007623FB"/>
    <w:rsid w:val="00762517"/>
    <w:rsid w:val="00763191"/>
    <w:rsid w:val="00763240"/>
    <w:rsid w:val="0076376A"/>
    <w:rsid w:val="0076413A"/>
    <w:rsid w:val="007643A1"/>
    <w:rsid w:val="007648AD"/>
    <w:rsid w:val="0076504E"/>
    <w:rsid w:val="00765E8F"/>
    <w:rsid w:val="007660C0"/>
    <w:rsid w:val="0076767E"/>
    <w:rsid w:val="00767BFD"/>
    <w:rsid w:val="00767EA0"/>
    <w:rsid w:val="0077068F"/>
    <w:rsid w:val="00771C16"/>
    <w:rsid w:val="00771CB0"/>
    <w:rsid w:val="00771EDF"/>
    <w:rsid w:val="00772530"/>
    <w:rsid w:val="00772A90"/>
    <w:rsid w:val="00772F8D"/>
    <w:rsid w:val="0077408D"/>
    <w:rsid w:val="00774270"/>
    <w:rsid w:val="007743F6"/>
    <w:rsid w:val="00775679"/>
    <w:rsid w:val="0077574F"/>
    <w:rsid w:val="00775823"/>
    <w:rsid w:val="00775AB0"/>
    <w:rsid w:val="00775B63"/>
    <w:rsid w:val="00776206"/>
    <w:rsid w:val="00777153"/>
    <w:rsid w:val="007777CC"/>
    <w:rsid w:val="00777B32"/>
    <w:rsid w:val="0078010C"/>
    <w:rsid w:val="00780250"/>
    <w:rsid w:val="0078051E"/>
    <w:rsid w:val="00780A3E"/>
    <w:rsid w:val="00781089"/>
    <w:rsid w:val="007814DD"/>
    <w:rsid w:val="00781AC3"/>
    <w:rsid w:val="00781CB6"/>
    <w:rsid w:val="00782715"/>
    <w:rsid w:val="007838F3"/>
    <w:rsid w:val="0078419B"/>
    <w:rsid w:val="007853D6"/>
    <w:rsid w:val="00785612"/>
    <w:rsid w:val="007856FE"/>
    <w:rsid w:val="007857A0"/>
    <w:rsid w:val="00785A15"/>
    <w:rsid w:val="00785F46"/>
    <w:rsid w:val="007865F4"/>
    <w:rsid w:val="00786D5C"/>
    <w:rsid w:val="00786E96"/>
    <w:rsid w:val="00787BB6"/>
    <w:rsid w:val="00787DFF"/>
    <w:rsid w:val="00787F17"/>
    <w:rsid w:val="00787F93"/>
    <w:rsid w:val="00791E6D"/>
    <w:rsid w:val="00791EB5"/>
    <w:rsid w:val="00792377"/>
    <w:rsid w:val="0079343F"/>
    <w:rsid w:val="00793696"/>
    <w:rsid w:val="00793B8C"/>
    <w:rsid w:val="00793F13"/>
    <w:rsid w:val="007955DA"/>
    <w:rsid w:val="0079676B"/>
    <w:rsid w:val="00796A49"/>
    <w:rsid w:val="00796F65"/>
    <w:rsid w:val="00797813"/>
    <w:rsid w:val="007A11C2"/>
    <w:rsid w:val="007A1781"/>
    <w:rsid w:val="007A18BB"/>
    <w:rsid w:val="007A2489"/>
    <w:rsid w:val="007A27DD"/>
    <w:rsid w:val="007A2D2A"/>
    <w:rsid w:val="007A3C3F"/>
    <w:rsid w:val="007A41BF"/>
    <w:rsid w:val="007A490A"/>
    <w:rsid w:val="007A4F24"/>
    <w:rsid w:val="007A549E"/>
    <w:rsid w:val="007A54DC"/>
    <w:rsid w:val="007A5D50"/>
    <w:rsid w:val="007A6811"/>
    <w:rsid w:val="007A7289"/>
    <w:rsid w:val="007A7A78"/>
    <w:rsid w:val="007A7B95"/>
    <w:rsid w:val="007B0297"/>
    <w:rsid w:val="007B02FA"/>
    <w:rsid w:val="007B0F53"/>
    <w:rsid w:val="007B110A"/>
    <w:rsid w:val="007B1A4D"/>
    <w:rsid w:val="007B2027"/>
    <w:rsid w:val="007B21AE"/>
    <w:rsid w:val="007B2570"/>
    <w:rsid w:val="007B3113"/>
    <w:rsid w:val="007B3304"/>
    <w:rsid w:val="007B3BF0"/>
    <w:rsid w:val="007B6927"/>
    <w:rsid w:val="007B6B18"/>
    <w:rsid w:val="007B6D80"/>
    <w:rsid w:val="007B7490"/>
    <w:rsid w:val="007B7C17"/>
    <w:rsid w:val="007B7C61"/>
    <w:rsid w:val="007C00B9"/>
    <w:rsid w:val="007C0525"/>
    <w:rsid w:val="007C06DB"/>
    <w:rsid w:val="007C13F7"/>
    <w:rsid w:val="007C1D77"/>
    <w:rsid w:val="007C218D"/>
    <w:rsid w:val="007C2590"/>
    <w:rsid w:val="007C2C5B"/>
    <w:rsid w:val="007C2D28"/>
    <w:rsid w:val="007C3875"/>
    <w:rsid w:val="007C3E22"/>
    <w:rsid w:val="007C4DAF"/>
    <w:rsid w:val="007C58C1"/>
    <w:rsid w:val="007C5B39"/>
    <w:rsid w:val="007C6218"/>
    <w:rsid w:val="007C6484"/>
    <w:rsid w:val="007C67C6"/>
    <w:rsid w:val="007C7356"/>
    <w:rsid w:val="007C78BE"/>
    <w:rsid w:val="007C7A5D"/>
    <w:rsid w:val="007C7E59"/>
    <w:rsid w:val="007D0363"/>
    <w:rsid w:val="007D0476"/>
    <w:rsid w:val="007D0B91"/>
    <w:rsid w:val="007D0F24"/>
    <w:rsid w:val="007D0FE7"/>
    <w:rsid w:val="007D1197"/>
    <w:rsid w:val="007D1452"/>
    <w:rsid w:val="007D1563"/>
    <w:rsid w:val="007D1FC6"/>
    <w:rsid w:val="007D26DC"/>
    <w:rsid w:val="007D2BFE"/>
    <w:rsid w:val="007D3983"/>
    <w:rsid w:val="007D3DCB"/>
    <w:rsid w:val="007D4601"/>
    <w:rsid w:val="007D460C"/>
    <w:rsid w:val="007D4996"/>
    <w:rsid w:val="007D4AD3"/>
    <w:rsid w:val="007D4E63"/>
    <w:rsid w:val="007D5C58"/>
    <w:rsid w:val="007D5D19"/>
    <w:rsid w:val="007D5FDC"/>
    <w:rsid w:val="007D6176"/>
    <w:rsid w:val="007D641C"/>
    <w:rsid w:val="007D69CD"/>
    <w:rsid w:val="007D6D68"/>
    <w:rsid w:val="007D715E"/>
    <w:rsid w:val="007D7A0D"/>
    <w:rsid w:val="007E03B4"/>
    <w:rsid w:val="007E066C"/>
    <w:rsid w:val="007E194F"/>
    <w:rsid w:val="007E201B"/>
    <w:rsid w:val="007E250B"/>
    <w:rsid w:val="007E2724"/>
    <w:rsid w:val="007E2EE9"/>
    <w:rsid w:val="007E32DA"/>
    <w:rsid w:val="007E3B12"/>
    <w:rsid w:val="007E3B29"/>
    <w:rsid w:val="007E3B6D"/>
    <w:rsid w:val="007E4998"/>
    <w:rsid w:val="007E4A9C"/>
    <w:rsid w:val="007E4B9D"/>
    <w:rsid w:val="007E5248"/>
    <w:rsid w:val="007E5C4F"/>
    <w:rsid w:val="007E6914"/>
    <w:rsid w:val="007E70FD"/>
    <w:rsid w:val="007E7F78"/>
    <w:rsid w:val="007F0179"/>
    <w:rsid w:val="007F0FF8"/>
    <w:rsid w:val="007F148A"/>
    <w:rsid w:val="007F159F"/>
    <w:rsid w:val="007F2640"/>
    <w:rsid w:val="007F2C13"/>
    <w:rsid w:val="007F2CEC"/>
    <w:rsid w:val="007F2ED1"/>
    <w:rsid w:val="007F3435"/>
    <w:rsid w:val="007F4D57"/>
    <w:rsid w:val="007F503A"/>
    <w:rsid w:val="007F505D"/>
    <w:rsid w:val="007F531B"/>
    <w:rsid w:val="007F54CF"/>
    <w:rsid w:val="007F55DE"/>
    <w:rsid w:val="007F5BAC"/>
    <w:rsid w:val="007F6153"/>
    <w:rsid w:val="007F6ACC"/>
    <w:rsid w:val="007F718F"/>
    <w:rsid w:val="007F762D"/>
    <w:rsid w:val="007F78B8"/>
    <w:rsid w:val="007F78F0"/>
    <w:rsid w:val="007F78FF"/>
    <w:rsid w:val="008001C5"/>
    <w:rsid w:val="00800F6C"/>
    <w:rsid w:val="00801065"/>
    <w:rsid w:val="0080148E"/>
    <w:rsid w:val="008015A1"/>
    <w:rsid w:val="008024CA"/>
    <w:rsid w:val="00802C0B"/>
    <w:rsid w:val="00802D83"/>
    <w:rsid w:val="0080319D"/>
    <w:rsid w:val="00803ADF"/>
    <w:rsid w:val="00803DF1"/>
    <w:rsid w:val="00804206"/>
    <w:rsid w:val="0080425E"/>
    <w:rsid w:val="00805040"/>
    <w:rsid w:val="008051FC"/>
    <w:rsid w:val="008055A9"/>
    <w:rsid w:val="008056C4"/>
    <w:rsid w:val="008057FD"/>
    <w:rsid w:val="00805D8B"/>
    <w:rsid w:val="00806C33"/>
    <w:rsid w:val="00806F21"/>
    <w:rsid w:val="00807BF7"/>
    <w:rsid w:val="0081010F"/>
    <w:rsid w:val="008109E0"/>
    <w:rsid w:val="00810BB6"/>
    <w:rsid w:val="00810E8E"/>
    <w:rsid w:val="00812C44"/>
    <w:rsid w:val="008135E1"/>
    <w:rsid w:val="00813779"/>
    <w:rsid w:val="00813792"/>
    <w:rsid w:val="00813AA2"/>
    <w:rsid w:val="00813E26"/>
    <w:rsid w:val="00813EAD"/>
    <w:rsid w:val="00814321"/>
    <w:rsid w:val="0081481D"/>
    <w:rsid w:val="00814B60"/>
    <w:rsid w:val="00814BE8"/>
    <w:rsid w:val="00814D94"/>
    <w:rsid w:val="00814F6E"/>
    <w:rsid w:val="00815B84"/>
    <w:rsid w:val="00816342"/>
    <w:rsid w:val="008166F6"/>
    <w:rsid w:val="00816897"/>
    <w:rsid w:val="00816BE9"/>
    <w:rsid w:val="00817A39"/>
    <w:rsid w:val="00817D10"/>
    <w:rsid w:val="00821191"/>
    <w:rsid w:val="00822518"/>
    <w:rsid w:val="008225D3"/>
    <w:rsid w:val="008226F5"/>
    <w:rsid w:val="00823FAA"/>
    <w:rsid w:val="00823FC6"/>
    <w:rsid w:val="00824306"/>
    <w:rsid w:val="00824B1F"/>
    <w:rsid w:val="00825C74"/>
    <w:rsid w:val="00825CFA"/>
    <w:rsid w:val="00825F10"/>
    <w:rsid w:val="00826AB9"/>
    <w:rsid w:val="00826E0E"/>
    <w:rsid w:val="00826EB7"/>
    <w:rsid w:val="00827D11"/>
    <w:rsid w:val="00827E0F"/>
    <w:rsid w:val="00827F6E"/>
    <w:rsid w:val="0083077E"/>
    <w:rsid w:val="00830E66"/>
    <w:rsid w:val="00831758"/>
    <w:rsid w:val="008317D9"/>
    <w:rsid w:val="00831AEC"/>
    <w:rsid w:val="0083279F"/>
    <w:rsid w:val="00832CE9"/>
    <w:rsid w:val="008334DB"/>
    <w:rsid w:val="00833B7F"/>
    <w:rsid w:val="00833B82"/>
    <w:rsid w:val="00833D2C"/>
    <w:rsid w:val="00833E8E"/>
    <w:rsid w:val="0083407B"/>
    <w:rsid w:val="00834906"/>
    <w:rsid w:val="00835202"/>
    <w:rsid w:val="00836075"/>
    <w:rsid w:val="00836417"/>
    <w:rsid w:val="00836BC6"/>
    <w:rsid w:val="00836D47"/>
    <w:rsid w:val="008373B7"/>
    <w:rsid w:val="00837526"/>
    <w:rsid w:val="00837BB1"/>
    <w:rsid w:val="008407A7"/>
    <w:rsid w:val="00842275"/>
    <w:rsid w:val="0084322B"/>
    <w:rsid w:val="008433A0"/>
    <w:rsid w:val="00843F81"/>
    <w:rsid w:val="00844087"/>
    <w:rsid w:val="008448F1"/>
    <w:rsid w:val="00844A56"/>
    <w:rsid w:val="0084519E"/>
    <w:rsid w:val="00845CAE"/>
    <w:rsid w:val="008462C5"/>
    <w:rsid w:val="008462FA"/>
    <w:rsid w:val="00846370"/>
    <w:rsid w:val="00846873"/>
    <w:rsid w:val="00846D33"/>
    <w:rsid w:val="00847366"/>
    <w:rsid w:val="008474A6"/>
    <w:rsid w:val="00847544"/>
    <w:rsid w:val="008477E7"/>
    <w:rsid w:val="00847C2B"/>
    <w:rsid w:val="00850272"/>
    <w:rsid w:val="008506B9"/>
    <w:rsid w:val="0085086F"/>
    <w:rsid w:val="00850B42"/>
    <w:rsid w:val="00851822"/>
    <w:rsid w:val="00851C16"/>
    <w:rsid w:val="00851E20"/>
    <w:rsid w:val="00852744"/>
    <w:rsid w:val="008532BF"/>
    <w:rsid w:val="008539B2"/>
    <w:rsid w:val="00853BF4"/>
    <w:rsid w:val="00853F94"/>
    <w:rsid w:val="00854294"/>
    <w:rsid w:val="00854295"/>
    <w:rsid w:val="008545CE"/>
    <w:rsid w:val="0085572E"/>
    <w:rsid w:val="008577C8"/>
    <w:rsid w:val="0085788B"/>
    <w:rsid w:val="00857A9E"/>
    <w:rsid w:val="00857D1F"/>
    <w:rsid w:val="00857DE2"/>
    <w:rsid w:val="00857EEE"/>
    <w:rsid w:val="00857F1A"/>
    <w:rsid w:val="0086003D"/>
    <w:rsid w:val="00861D63"/>
    <w:rsid w:val="0086358C"/>
    <w:rsid w:val="00863A8E"/>
    <w:rsid w:val="0086407F"/>
    <w:rsid w:val="008640BE"/>
    <w:rsid w:val="008644DD"/>
    <w:rsid w:val="008645E3"/>
    <w:rsid w:val="0086486A"/>
    <w:rsid w:val="00864E79"/>
    <w:rsid w:val="00864EC0"/>
    <w:rsid w:val="0086542D"/>
    <w:rsid w:val="0086572B"/>
    <w:rsid w:val="008665BF"/>
    <w:rsid w:val="00866615"/>
    <w:rsid w:val="0086661F"/>
    <w:rsid w:val="00866A0D"/>
    <w:rsid w:val="00866DB5"/>
    <w:rsid w:val="0086701D"/>
    <w:rsid w:val="0086702B"/>
    <w:rsid w:val="008672E2"/>
    <w:rsid w:val="0086784E"/>
    <w:rsid w:val="0087110C"/>
    <w:rsid w:val="0087121C"/>
    <w:rsid w:val="00871225"/>
    <w:rsid w:val="00871EB0"/>
    <w:rsid w:val="00871FD2"/>
    <w:rsid w:val="00872084"/>
    <w:rsid w:val="00872827"/>
    <w:rsid w:val="00872A32"/>
    <w:rsid w:val="0087321D"/>
    <w:rsid w:val="00873653"/>
    <w:rsid w:val="00873D25"/>
    <w:rsid w:val="00873E90"/>
    <w:rsid w:val="00874911"/>
    <w:rsid w:val="008754E4"/>
    <w:rsid w:val="00876EAE"/>
    <w:rsid w:val="00877305"/>
    <w:rsid w:val="0087778B"/>
    <w:rsid w:val="00877983"/>
    <w:rsid w:val="00877A02"/>
    <w:rsid w:val="00880106"/>
    <w:rsid w:val="00880F95"/>
    <w:rsid w:val="00881EE2"/>
    <w:rsid w:val="00882910"/>
    <w:rsid w:val="00882B44"/>
    <w:rsid w:val="008838AD"/>
    <w:rsid w:val="008841D3"/>
    <w:rsid w:val="008847DB"/>
    <w:rsid w:val="00884940"/>
    <w:rsid w:val="00885381"/>
    <w:rsid w:val="0088572B"/>
    <w:rsid w:val="00885BC9"/>
    <w:rsid w:val="008864B3"/>
    <w:rsid w:val="008865E5"/>
    <w:rsid w:val="0088682F"/>
    <w:rsid w:val="008871B0"/>
    <w:rsid w:val="00887A0B"/>
    <w:rsid w:val="008905A6"/>
    <w:rsid w:val="00890B57"/>
    <w:rsid w:val="008916BA"/>
    <w:rsid w:val="0089217C"/>
    <w:rsid w:val="00892476"/>
    <w:rsid w:val="00892790"/>
    <w:rsid w:val="00893671"/>
    <w:rsid w:val="0089445B"/>
    <w:rsid w:val="008945B9"/>
    <w:rsid w:val="0089493F"/>
    <w:rsid w:val="00894979"/>
    <w:rsid w:val="00895838"/>
    <w:rsid w:val="00895A1E"/>
    <w:rsid w:val="00895A72"/>
    <w:rsid w:val="00895CDF"/>
    <w:rsid w:val="00895EE3"/>
    <w:rsid w:val="00896046"/>
    <w:rsid w:val="0089615A"/>
    <w:rsid w:val="00896679"/>
    <w:rsid w:val="00896D8C"/>
    <w:rsid w:val="00897184"/>
    <w:rsid w:val="008A0717"/>
    <w:rsid w:val="008A0FAC"/>
    <w:rsid w:val="008A0FC9"/>
    <w:rsid w:val="008A14C8"/>
    <w:rsid w:val="008A1956"/>
    <w:rsid w:val="008A1A7C"/>
    <w:rsid w:val="008A2CE2"/>
    <w:rsid w:val="008A3F0C"/>
    <w:rsid w:val="008A40D3"/>
    <w:rsid w:val="008A413F"/>
    <w:rsid w:val="008A451F"/>
    <w:rsid w:val="008A469C"/>
    <w:rsid w:val="008A50FB"/>
    <w:rsid w:val="008A51D1"/>
    <w:rsid w:val="008A5C90"/>
    <w:rsid w:val="008A5DCE"/>
    <w:rsid w:val="008A75D3"/>
    <w:rsid w:val="008A7F09"/>
    <w:rsid w:val="008B00D6"/>
    <w:rsid w:val="008B05DD"/>
    <w:rsid w:val="008B062C"/>
    <w:rsid w:val="008B07B8"/>
    <w:rsid w:val="008B17E8"/>
    <w:rsid w:val="008B1D32"/>
    <w:rsid w:val="008B2C45"/>
    <w:rsid w:val="008B2E7C"/>
    <w:rsid w:val="008B399A"/>
    <w:rsid w:val="008B3C16"/>
    <w:rsid w:val="008B45F0"/>
    <w:rsid w:val="008B4A70"/>
    <w:rsid w:val="008B502F"/>
    <w:rsid w:val="008B54FD"/>
    <w:rsid w:val="008B5692"/>
    <w:rsid w:val="008B5F31"/>
    <w:rsid w:val="008B6CE5"/>
    <w:rsid w:val="008B6DFC"/>
    <w:rsid w:val="008B7227"/>
    <w:rsid w:val="008C02FB"/>
    <w:rsid w:val="008C04E0"/>
    <w:rsid w:val="008C191C"/>
    <w:rsid w:val="008C1DA4"/>
    <w:rsid w:val="008C2138"/>
    <w:rsid w:val="008C2608"/>
    <w:rsid w:val="008C29B0"/>
    <w:rsid w:val="008C2CD5"/>
    <w:rsid w:val="008C33AE"/>
    <w:rsid w:val="008C3618"/>
    <w:rsid w:val="008C39E7"/>
    <w:rsid w:val="008C43AD"/>
    <w:rsid w:val="008C49A3"/>
    <w:rsid w:val="008C4C1E"/>
    <w:rsid w:val="008C5A63"/>
    <w:rsid w:val="008C602A"/>
    <w:rsid w:val="008C6118"/>
    <w:rsid w:val="008C6341"/>
    <w:rsid w:val="008C653D"/>
    <w:rsid w:val="008C731F"/>
    <w:rsid w:val="008C74D9"/>
    <w:rsid w:val="008C7569"/>
    <w:rsid w:val="008C7726"/>
    <w:rsid w:val="008D06EC"/>
    <w:rsid w:val="008D2050"/>
    <w:rsid w:val="008D21DD"/>
    <w:rsid w:val="008D2D79"/>
    <w:rsid w:val="008D35CA"/>
    <w:rsid w:val="008D3B2D"/>
    <w:rsid w:val="008D5433"/>
    <w:rsid w:val="008D58D9"/>
    <w:rsid w:val="008D5AD4"/>
    <w:rsid w:val="008D5E4E"/>
    <w:rsid w:val="008D5E9D"/>
    <w:rsid w:val="008D5F65"/>
    <w:rsid w:val="008D62B3"/>
    <w:rsid w:val="008D695E"/>
    <w:rsid w:val="008D6DD5"/>
    <w:rsid w:val="008D6E59"/>
    <w:rsid w:val="008D7155"/>
    <w:rsid w:val="008D76E0"/>
    <w:rsid w:val="008E03A3"/>
    <w:rsid w:val="008E079C"/>
    <w:rsid w:val="008E0B29"/>
    <w:rsid w:val="008E141A"/>
    <w:rsid w:val="008E1810"/>
    <w:rsid w:val="008E1A44"/>
    <w:rsid w:val="008E1EED"/>
    <w:rsid w:val="008E26CA"/>
    <w:rsid w:val="008E2859"/>
    <w:rsid w:val="008E28E6"/>
    <w:rsid w:val="008E2C57"/>
    <w:rsid w:val="008E3232"/>
    <w:rsid w:val="008E3674"/>
    <w:rsid w:val="008E3B6C"/>
    <w:rsid w:val="008E3DE7"/>
    <w:rsid w:val="008E5227"/>
    <w:rsid w:val="008E562C"/>
    <w:rsid w:val="008E5FB9"/>
    <w:rsid w:val="008E611D"/>
    <w:rsid w:val="008E6540"/>
    <w:rsid w:val="008E6758"/>
    <w:rsid w:val="008E6A1C"/>
    <w:rsid w:val="008E6FBE"/>
    <w:rsid w:val="008E77D4"/>
    <w:rsid w:val="008E7ADD"/>
    <w:rsid w:val="008F091F"/>
    <w:rsid w:val="008F1548"/>
    <w:rsid w:val="008F17B2"/>
    <w:rsid w:val="008F22B3"/>
    <w:rsid w:val="008F241E"/>
    <w:rsid w:val="008F2F1F"/>
    <w:rsid w:val="008F312B"/>
    <w:rsid w:val="008F357B"/>
    <w:rsid w:val="008F366E"/>
    <w:rsid w:val="008F36DE"/>
    <w:rsid w:val="008F3B56"/>
    <w:rsid w:val="008F44CA"/>
    <w:rsid w:val="008F4547"/>
    <w:rsid w:val="008F4578"/>
    <w:rsid w:val="008F49D3"/>
    <w:rsid w:val="008F51D3"/>
    <w:rsid w:val="008F5B69"/>
    <w:rsid w:val="008F6519"/>
    <w:rsid w:val="008F68C5"/>
    <w:rsid w:val="008F694F"/>
    <w:rsid w:val="008F6AC1"/>
    <w:rsid w:val="008F6B67"/>
    <w:rsid w:val="008F6F4C"/>
    <w:rsid w:val="008F7012"/>
    <w:rsid w:val="008F7576"/>
    <w:rsid w:val="008F7ADA"/>
    <w:rsid w:val="008F7B17"/>
    <w:rsid w:val="00900042"/>
    <w:rsid w:val="0090034B"/>
    <w:rsid w:val="009005D7"/>
    <w:rsid w:val="0090087C"/>
    <w:rsid w:val="00900D2F"/>
    <w:rsid w:val="00901121"/>
    <w:rsid w:val="00901B50"/>
    <w:rsid w:val="00902623"/>
    <w:rsid w:val="009029CF"/>
    <w:rsid w:val="00902A67"/>
    <w:rsid w:val="00902C5E"/>
    <w:rsid w:val="009032F7"/>
    <w:rsid w:val="009035FA"/>
    <w:rsid w:val="00904BE4"/>
    <w:rsid w:val="0090504A"/>
    <w:rsid w:val="009051F5"/>
    <w:rsid w:val="00905221"/>
    <w:rsid w:val="0090530B"/>
    <w:rsid w:val="00905664"/>
    <w:rsid w:val="009058FC"/>
    <w:rsid w:val="00905A7C"/>
    <w:rsid w:val="00905D7E"/>
    <w:rsid w:val="00907037"/>
    <w:rsid w:val="00907259"/>
    <w:rsid w:val="00907929"/>
    <w:rsid w:val="00910577"/>
    <w:rsid w:val="00910C5D"/>
    <w:rsid w:val="0091112C"/>
    <w:rsid w:val="009113F2"/>
    <w:rsid w:val="0091160A"/>
    <w:rsid w:val="00911A41"/>
    <w:rsid w:val="00912A06"/>
    <w:rsid w:val="00912E04"/>
    <w:rsid w:val="00913258"/>
    <w:rsid w:val="00913851"/>
    <w:rsid w:val="00913BB0"/>
    <w:rsid w:val="0091456C"/>
    <w:rsid w:val="009145DE"/>
    <w:rsid w:val="00914C58"/>
    <w:rsid w:val="00914D78"/>
    <w:rsid w:val="009151FC"/>
    <w:rsid w:val="009153D3"/>
    <w:rsid w:val="0091564D"/>
    <w:rsid w:val="009156DA"/>
    <w:rsid w:val="00915774"/>
    <w:rsid w:val="00916BC5"/>
    <w:rsid w:val="0091726A"/>
    <w:rsid w:val="0091733B"/>
    <w:rsid w:val="00917C01"/>
    <w:rsid w:val="00920184"/>
    <w:rsid w:val="00920421"/>
    <w:rsid w:val="00920EA4"/>
    <w:rsid w:val="00921792"/>
    <w:rsid w:val="00921BEA"/>
    <w:rsid w:val="009223AF"/>
    <w:rsid w:val="009227BE"/>
    <w:rsid w:val="00922C83"/>
    <w:rsid w:val="009233CE"/>
    <w:rsid w:val="009238FD"/>
    <w:rsid w:val="00923998"/>
    <w:rsid w:val="00923DB4"/>
    <w:rsid w:val="0092420B"/>
    <w:rsid w:val="0092430E"/>
    <w:rsid w:val="00924451"/>
    <w:rsid w:val="00926112"/>
    <w:rsid w:val="0092625F"/>
    <w:rsid w:val="00926B28"/>
    <w:rsid w:val="00926D9C"/>
    <w:rsid w:val="00927028"/>
    <w:rsid w:val="0092708F"/>
    <w:rsid w:val="0092734A"/>
    <w:rsid w:val="00927763"/>
    <w:rsid w:val="00927A2D"/>
    <w:rsid w:val="00927B37"/>
    <w:rsid w:val="00930CC5"/>
    <w:rsid w:val="009314B1"/>
    <w:rsid w:val="009321B1"/>
    <w:rsid w:val="0093236E"/>
    <w:rsid w:val="009327F0"/>
    <w:rsid w:val="00932A42"/>
    <w:rsid w:val="00932ECE"/>
    <w:rsid w:val="00932ED7"/>
    <w:rsid w:val="00933278"/>
    <w:rsid w:val="00933E30"/>
    <w:rsid w:val="0093422D"/>
    <w:rsid w:val="0093483B"/>
    <w:rsid w:val="00934CF9"/>
    <w:rsid w:val="00934DD7"/>
    <w:rsid w:val="00934F9C"/>
    <w:rsid w:val="00934FEB"/>
    <w:rsid w:val="009357C9"/>
    <w:rsid w:val="00935CB2"/>
    <w:rsid w:val="00936898"/>
    <w:rsid w:val="009369A9"/>
    <w:rsid w:val="00936CF7"/>
    <w:rsid w:val="00937783"/>
    <w:rsid w:val="00937EAD"/>
    <w:rsid w:val="00937F28"/>
    <w:rsid w:val="009401F5"/>
    <w:rsid w:val="00940FE1"/>
    <w:rsid w:val="0094117A"/>
    <w:rsid w:val="00941474"/>
    <w:rsid w:val="00942306"/>
    <w:rsid w:val="009424B8"/>
    <w:rsid w:val="0094286B"/>
    <w:rsid w:val="009432E2"/>
    <w:rsid w:val="009440DD"/>
    <w:rsid w:val="00944668"/>
    <w:rsid w:val="00944DC6"/>
    <w:rsid w:val="00945829"/>
    <w:rsid w:val="009458B0"/>
    <w:rsid w:val="00945B52"/>
    <w:rsid w:val="00945B7A"/>
    <w:rsid w:val="00945F05"/>
    <w:rsid w:val="00945FE0"/>
    <w:rsid w:val="00946348"/>
    <w:rsid w:val="00946B10"/>
    <w:rsid w:val="0094708D"/>
    <w:rsid w:val="009471C2"/>
    <w:rsid w:val="00947224"/>
    <w:rsid w:val="00947797"/>
    <w:rsid w:val="009478A2"/>
    <w:rsid w:val="00947942"/>
    <w:rsid w:val="00950181"/>
    <w:rsid w:val="00950402"/>
    <w:rsid w:val="00950865"/>
    <w:rsid w:val="0095321D"/>
    <w:rsid w:val="009533BD"/>
    <w:rsid w:val="00953557"/>
    <w:rsid w:val="009536FB"/>
    <w:rsid w:val="00953808"/>
    <w:rsid w:val="009539A6"/>
    <w:rsid w:val="00953C3A"/>
    <w:rsid w:val="00954032"/>
    <w:rsid w:val="00954537"/>
    <w:rsid w:val="0095472D"/>
    <w:rsid w:val="00954F0F"/>
    <w:rsid w:val="00955342"/>
    <w:rsid w:val="00955D57"/>
    <w:rsid w:val="00955FBB"/>
    <w:rsid w:val="0095694B"/>
    <w:rsid w:val="00956BD5"/>
    <w:rsid w:val="00956D84"/>
    <w:rsid w:val="00956F1E"/>
    <w:rsid w:val="009577B5"/>
    <w:rsid w:val="00957D66"/>
    <w:rsid w:val="00960491"/>
    <w:rsid w:val="009608E6"/>
    <w:rsid w:val="00960F57"/>
    <w:rsid w:val="00961669"/>
    <w:rsid w:val="009618AF"/>
    <w:rsid w:val="00961C26"/>
    <w:rsid w:val="00961C90"/>
    <w:rsid w:val="00962A26"/>
    <w:rsid w:val="00965186"/>
    <w:rsid w:val="00965443"/>
    <w:rsid w:val="00965954"/>
    <w:rsid w:val="00965A21"/>
    <w:rsid w:val="00965C3A"/>
    <w:rsid w:val="00965E55"/>
    <w:rsid w:val="0096608E"/>
    <w:rsid w:val="00966522"/>
    <w:rsid w:val="00966926"/>
    <w:rsid w:val="00966C33"/>
    <w:rsid w:val="00967288"/>
    <w:rsid w:val="009678D3"/>
    <w:rsid w:val="00970F18"/>
    <w:rsid w:val="00971CF1"/>
    <w:rsid w:val="00971F5D"/>
    <w:rsid w:val="009721E9"/>
    <w:rsid w:val="009722B5"/>
    <w:rsid w:val="00972C2E"/>
    <w:rsid w:val="00973330"/>
    <w:rsid w:val="009733D3"/>
    <w:rsid w:val="00973772"/>
    <w:rsid w:val="00974240"/>
    <w:rsid w:val="00974610"/>
    <w:rsid w:val="00975499"/>
    <w:rsid w:val="0097560A"/>
    <w:rsid w:val="0097598F"/>
    <w:rsid w:val="00975E1E"/>
    <w:rsid w:val="00975E70"/>
    <w:rsid w:val="009761DE"/>
    <w:rsid w:val="009766D4"/>
    <w:rsid w:val="009766FA"/>
    <w:rsid w:val="00976E80"/>
    <w:rsid w:val="00977714"/>
    <w:rsid w:val="00977944"/>
    <w:rsid w:val="00977CD6"/>
    <w:rsid w:val="009803E3"/>
    <w:rsid w:val="0098048B"/>
    <w:rsid w:val="00980908"/>
    <w:rsid w:val="00980DF9"/>
    <w:rsid w:val="00981CD8"/>
    <w:rsid w:val="0098243D"/>
    <w:rsid w:val="009825EF"/>
    <w:rsid w:val="00982C19"/>
    <w:rsid w:val="00982D26"/>
    <w:rsid w:val="00983B6E"/>
    <w:rsid w:val="00983FE5"/>
    <w:rsid w:val="00984544"/>
    <w:rsid w:val="009849E9"/>
    <w:rsid w:val="00984AFF"/>
    <w:rsid w:val="00985048"/>
    <w:rsid w:val="009855AC"/>
    <w:rsid w:val="009859E4"/>
    <w:rsid w:val="00985D7F"/>
    <w:rsid w:val="00987812"/>
    <w:rsid w:val="00987A48"/>
    <w:rsid w:val="00987B39"/>
    <w:rsid w:val="009900FE"/>
    <w:rsid w:val="00990225"/>
    <w:rsid w:val="00990678"/>
    <w:rsid w:val="00991307"/>
    <w:rsid w:val="0099157D"/>
    <w:rsid w:val="00991FAA"/>
    <w:rsid w:val="00991FD2"/>
    <w:rsid w:val="00992A13"/>
    <w:rsid w:val="00993DB1"/>
    <w:rsid w:val="00994AAD"/>
    <w:rsid w:val="00995150"/>
    <w:rsid w:val="009957A6"/>
    <w:rsid w:val="00995D67"/>
    <w:rsid w:val="009968C5"/>
    <w:rsid w:val="00997613"/>
    <w:rsid w:val="009A013B"/>
    <w:rsid w:val="009A02F4"/>
    <w:rsid w:val="009A0617"/>
    <w:rsid w:val="009A06BF"/>
    <w:rsid w:val="009A09C5"/>
    <w:rsid w:val="009A0D17"/>
    <w:rsid w:val="009A2494"/>
    <w:rsid w:val="009A32B1"/>
    <w:rsid w:val="009A33A3"/>
    <w:rsid w:val="009A36F2"/>
    <w:rsid w:val="009A40C3"/>
    <w:rsid w:val="009A40D5"/>
    <w:rsid w:val="009A5268"/>
    <w:rsid w:val="009A57D0"/>
    <w:rsid w:val="009A6559"/>
    <w:rsid w:val="009A68FC"/>
    <w:rsid w:val="009A6AE6"/>
    <w:rsid w:val="009A6CE4"/>
    <w:rsid w:val="009A7514"/>
    <w:rsid w:val="009A7665"/>
    <w:rsid w:val="009A7E7A"/>
    <w:rsid w:val="009B021B"/>
    <w:rsid w:val="009B0925"/>
    <w:rsid w:val="009B1584"/>
    <w:rsid w:val="009B18F0"/>
    <w:rsid w:val="009B194E"/>
    <w:rsid w:val="009B1F4C"/>
    <w:rsid w:val="009B2203"/>
    <w:rsid w:val="009B2471"/>
    <w:rsid w:val="009B314F"/>
    <w:rsid w:val="009B439C"/>
    <w:rsid w:val="009B49A1"/>
    <w:rsid w:val="009B4A6C"/>
    <w:rsid w:val="009B4DA8"/>
    <w:rsid w:val="009B4FA6"/>
    <w:rsid w:val="009B519A"/>
    <w:rsid w:val="009B53E6"/>
    <w:rsid w:val="009B620C"/>
    <w:rsid w:val="009B6454"/>
    <w:rsid w:val="009B64CC"/>
    <w:rsid w:val="009B6753"/>
    <w:rsid w:val="009B676C"/>
    <w:rsid w:val="009B6A26"/>
    <w:rsid w:val="009C079D"/>
    <w:rsid w:val="009C0C12"/>
    <w:rsid w:val="009C0D70"/>
    <w:rsid w:val="009C1282"/>
    <w:rsid w:val="009C13D1"/>
    <w:rsid w:val="009C14A3"/>
    <w:rsid w:val="009C1E9D"/>
    <w:rsid w:val="009C2913"/>
    <w:rsid w:val="009C2BD4"/>
    <w:rsid w:val="009C32F0"/>
    <w:rsid w:val="009C334C"/>
    <w:rsid w:val="009C3EED"/>
    <w:rsid w:val="009C4596"/>
    <w:rsid w:val="009C52FB"/>
    <w:rsid w:val="009C5314"/>
    <w:rsid w:val="009C5AFE"/>
    <w:rsid w:val="009C6606"/>
    <w:rsid w:val="009C6CE5"/>
    <w:rsid w:val="009C6D50"/>
    <w:rsid w:val="009C72B2"/>
    <w:rsid w:val="009C7547"/>
    <w:rsid w:val="009D05EC"/>
    <w:rsid w:val="009D18D4"/>
    <w:rsid w:val="009D1E82"/>
    <w:rsid w:val="009D1FCF"/>
    <w:rsid w:val="009D209F"/>
    <w:rsid w:val="009D2F60"/>
    <w:rsid w:val="009D3862"/>
    <w:rsid w:val="009D3A2E"/>
    <w:rsid w:val="009D3E61"/>
    <w:rsid w:val="009D4C2E"/>
    <w:rsid w:val="009D53C0"/>
    <w:rsid w:val="009D5912"/>
    <w:rsid w:val="009D5ADE"/>
    <w:rsid w:val="009D5BAC"/>
    <w:rsid w:val="009D5C56"/>
    <w:rsid w:val="009D5EBC"/>
    <w:rsid w:val="009D6265"/>
    <w:rsid w:val="009D64BD"/>
    <w:rsid w:val="009D6CB1"/>
    <w:rsid w:val="009D799C"/>
    <w:rsid w:val="009E0286"/>
    <w:rsid w:val="009E0A4B"/>
    <w:rsid w:val="009E153F"/>
    <w:rsid w:val="009E18C5"/>
    <w:rsid w:val="009E2758"/>
    <w:rsid w:val="009E2B98"/>
    <w:rsid w:val="009E322A"/>
    <w:rsid w:val="009E32F4"/>
    <w:rsid w:val="009E3483"/>
    <w:rsid w:val="009E393E"/>
    <w:rsid w:val="009E42FD"/>
    <w:rsid w:val="009E444E"/>
    <w:rsid w:val="009E454D"/>
    <w:rsid w:val="009E4968"/>
    <w:rsid w:val="009E4E01"/>
    <w:rsid w:val="009E5676"/>
    <w:rsid w:val="009E663C"/>
    <w:rsid w:val="009E684A"/>
    <w:rsid w:val="009E6BB1"/>
    <w:rsid w:val="009E6E14"/>
    <w:rsid w:val="009E794A"/>
    <w:rsid w:val="009E7B26"/>
    <w:rsid w:val="009E7C14"/>
    <w:rsid w:val="009F0494"/>
    <w:rsid w:val="009F0CD9"/>
    <w:rsid w:val="009F1A79"/>
    <w:rsid w:val="009F1F57"/>
    <w:rsid w:val="009F246E"/>
    <w:rsid w:val="009F249F"/>
    <w:rsid w:val="009F2DDD"/>
    <w:rsid w:val="009F32B4"/>
    <w:rsid w:val="009F3447"/>
    <w:rsid w:val="009F5847"/>
    <w:rsid w:val="009F65F4"/>
    <w:rsid w:val="009F6763"/>
    <w:rsid w:val="009F676B"/>
    <w:rsid w:val="009F6D2D"/>
    <w:rsid w:val="009F6D54"/>
    <w:rsid w:val="00A004DF"/>
    <w:rsid w:val="00A00A52"/>
    <w:rsid w:val="00A00EE6"/>
    <w:rsid w:val="00A00FD5"/>
    <w:rsid w:val="00A012C0"/>
    <w:rsid w:val="00A019A8"/>
    <w:rsid w:val="00A01B03"/>
    <w:rsid w:val="00A01B89"/>
    <w:rsid w:val="00A02C66"/>
    <w:rsid w:val="00A02C84"/>
    <w:rsid w:val="00A035E1"/>
    <w:rsid w:val="00A03842"/>
    <w:rsid w:val="00A04394"/>
    <w:rsid w:val="00A0464C"/>
    <w:rsid w:val="00A04F3F"/>
    <w:rsid w:val="00A050BB"/>
    <w:rsid w:val="00A05128"/>
    <w:rsid w:val="00A0521B"/>
    <w:rsid w:val="00A05262"/>
    <w:rsid w:val="00A054E0"/>
    <w:rsid w:val="00A05D91"/>
    <w:rsid w:val="00A06972"/>
    <w:rsid w:val="00A0734B"/>
    <w:rsid w:val="00A0740B"/>
    <w:rsid w:val="00A07ED3"/>
    <w:rsid w:val="00A10162"/>
    <w:rsid w:val="00A10CA8"/>
    <w:rsid w:val="00A10D5A"/>
    <w:rsid w:val="00A11042"/>
    <w:rsid w:val="00A12579"/>
    <w:rsid w:val="00A12CDC"/>
    <w:rsid w:val="00A12E1D"/>
    <w:rsid w:val="00A1304B"/>
    <w:rsid w:val="00A133D8"/>
    <w:rsid w:val="00A13464"/>
    <w:rsid w:val="00A13553"/>
    <w:rsid w:val="00A13F58"/>
    <w:rsid w:val="00A14382"/>
    <w:rsid w:val="00A15480"/>
    <w:rsid w:val="00A15655"/>
    <w:rsid w:val="00A160B0"/>
    <w:rsid w:val="00A1740C"/>
    <w:rsid w:val="00A17904"/>
    <w:rsid w:val="00A20069"/>
    <w:rsid w:val="00A2244D"/>
    <w:rsid w:val="00A2253D"/>
    <w:rsid w:val="00A2267F"/>
    <w:rsid w:val="00A22CDB"/>
    <w:rsid w:val="00A22D95"/>
    <w:rsid w:val="00A247B8"/>
    <w:rsid w:val="00A24914"/>
    <w:rsid w:val="00A2495A"/>
    <w:rsid w:val="00A24C7A"/>
    <w:rsid w:val="00A24D8F"/>
    <w:rsid w:val="00A25366"/>
    <w:rsid w:val="00A254D1"/>
    <w:rsid w:val="00A25B8B"/>
    <w:rsid w:val="00A2689F"/>
    <w:rsid w:val="00A26D30"/>
    <w:rsid w:val="00A26ECA"/>
    <w:rsid w:val="00A272C6"/>
    <w:rsid w:val="00A2734E"/>
    <w:rsid w:val="00A27461"/>
    <w:rsid w:val="00A27AE5"/>
    <w:rsid w:val="00A27D67"/>
    <w:rsid w:val="00A27EE9"/>
    <w:rsid w:val="00A27F23"/>
    <w:rsid w:val="00A30ABC"/>
    <w:rsid w:val="00A30D1F"/>
    <w:rsid w:val="00A310FB"/>
    <w:rsid w:val="00A320F4"/>
    <w:rsid w:val="00A3267D"/>
    <w:rsid w:val="00A3354D"/>
    <w:rsid w:val="00A33B74"/>
    <w:rsid w:val="00A3467F"/>
    <w:rsid w:val="00A34B4C"/>
    <w:rsid w:val="00A35030"/>
    <w:rsid w:val="00A3551A"/>
    <w:rsid w:val="00A3588F"/>
    <w:rsid w:val="00A36015"/>
    <w:rsid w:val="00A366A0"/>
    <w:rsid w:val="00A36952"/>
    <w:rsid w:val="00A37196"/>
    <w:rsid w:val="00A37209"/>
    <w:rsid w:val="00A37381"/>
    <w:rsid w:val="00A37584"/>
    <w:rsid w:val="00A376E8"/>
    <w:rsid w:val="00A37F8E"/>
    <w:rsid w:val="00A4103C"/>
    <w:rsid w:val="00A411DA"/>
    <w:rsid w:val="00A41537"/>
    <w:rsid w:val="00A41678"/>
    <w:rsid w:val="00A41737"/>
    <w:rsid w:val="00A42AD4"/>
    <w:rsid w:val="00A42B8F"/>
    <w:rsid w:val="00A42D8E"/>
    <w:rsid w:val="00A43254"/>
    <w:rsid w:val="00A43896"/>
    <w:rsid w:val="00A43951"/>
    <w:rsid w:val="00A43A26"/>
    <w:rsid w:val="00A4429D"/>
    <w:rsid w:val="00A447A0"/>
    <w:rsid w:val="00A4505E"/>
    <w:rsid w:val="00A459F5"/>
    <w:rsid w:val="00A45FC0"/>
    <w:rsid w:val="00A467AF"/>
    <w:rsid w:val="00A468C7"/>
    <w:rsid w:val="00A46B74"/>
    <w:rsid w:val="00A47BF7"/>
    <w:rsid w:val="00A47ECC"/>
    <w:rsid w:val="00A50171"/>
    <w:rsid w:val="00A50418"/>
    <w:rsid w:val="00A504FA"/>
    <w:rsid w:val="00A50E40"/>
    <w:rsid w:val="00A5102E"/>
    <w:rsid w:val="00A5132E"/>
    <w:rsid w:val="00A51375"/>
    <w:rsid w:val="00A51533"/>
    <w:rsid w:val="00A516D4"/>
    <w:rsid w:val="00A51F1A"/>
    <w:rsid w:val="00A52E32"/>
    <w:rsid w:val="00A531D4"/>
    <w:rsid w:val="00A53622"/>
    <w:rsid w:val="00A53736"/>
    <w:rsid w:val="00A53C42"/>
    <w:rsid w:val="00A5429C"/>
    <w:rsid w:val="00A54572"/>
    <w:rsid w:val="00A559D8"/>
    <w:rsid w:val="00A570F2"/>
    <w:rsid w:val="00A575B8"/>
    <w:rsid w:val="00A6020A"/>
    <w:rsid w:val="00A60CE7"/>
    <w:rsid w:val="00A60CF8"/>
    <w:rsid w:val="00A619BB"/>
    <w:rsid w:val="00A61C60"/>
    <w:rsid w:val="00A61ECB"/>
    <w:rsid w:val="00A63D58"/>
    <w:rsid w:val="00A63FE9"/>
    <w:rsid w:val="00A6410C"/>
    <w:rsid w:val="00A647B1"/>
    <w:rsid w:val="00A64DEF"/>
    <w:rsid w:val="00A65311"/>
    <w:rsid w:val="00A654D2"/>
    <w:rsid w:val="00A665DF"/>
    <w:rsid w:val="00A67331"/>
    <w:rsid w:val="00A673F1"/>
    <w:rsid w:val="00A674DB"/>
    <w:rsid w:val="00A67625"/>
    <w:rsid w:val="00A67FCC"/>
    <w:rsid w:val="00A702C3"/>
    <w:rsid w:val="00A70AA5"/>
    <w:rsid w:val="00A70C03"/>
    <w:rsid w:val="00A70C34"/>
    <w:rsid w:val="00A71256"/>
    <w:rsid w:val="00A7147C"/>
    <w:rsid w:val="00A71CB8"/>
    <w:rsid w:val="00A72172"/>
    <w:rsid w:val="00A7217B"/>
    <w:rsid w:val="00A722D7"/>
    <w:rsid w:val="00A723A3"/>
    <w:rsid w:val="00A73861"/>
    <w:rsid w:val="00A738EE"/>
    <w:rsid w:val="00A739A6"/>
    <w:rsid w:val="00A73C97"/>
    <w:rsid w:val="00A740ED"/>
    <w:rsid w:val="00A74229"/>
    <w:rsid w:val="00A746C7"/>
    <w:rsid w:val="00A74C29"/>
    <w:rsid w:val="00A74C62"/>
    <w:rsid w:val="00A75A70"/>
    <w:rsid w:val="00A75EF9"/>
    <w:rsid w:val="00A7642C"/>
    <w:rsid w:val="00A7657C"/>
    <w:rsid w:val="00A76B5E"/>
    <w:rsid w:val="00A76BD8"/>
    <w:rsid w:val="00A76E4E"/>
    <w:rsid w:val="00A7744F"/>
    <w:rsid w:val="00A80018"/>
    <w:rsid w:val="00A80A5D"/>
    <w:rsid w:val="00A81E9C"/>
    <w:rsid w:val="00A81ECA"/>
    <w:rsid w:val="00A821D4"/>
    <w:rsid w:val="00A82764"/>
    <w:rsid w:val="00A8311C"/>
    <w:rsid w:val="00A835D0"/>
    <w:rsid w:val="00A83821"/>
    <w:rsid w:val="00A84150"/>
    <w:rsid w:val="00A84761"/>
    <w:rsid w:val="00A84BA0"/>
    <w:rsid w:val="00A84C5F"/>
    <w:rsid w:val="00A85240"/>
    <w:rsid w:val="00A85930"/>
    <w:rsid w:val="00A86116"/>
    <w:rsid w:val="00A863F7"/>
    <w:rsid w:val="00A86604"/>
    <w:rsid w:val="00A86ACC"/>
    <w:rsid w:val="00A87519"/>
    <w:rsid w:val="00A90213"/>
    <w:rsid w:val="00A90870"/>
    <w:rsid w:val="00A90C73"/>
    <w:rsid w:val="00A914DA"/>
    <w:rsid w:val="00A91E71"/>
    <w:rsid w:val="00A9246D"/>
    <w:rsid w:val="00A92C64"/>
    <w:rsid w:val="00A92CCA"/>
    <w:rsid w:val="00A93456"/>
    <w:rsid w:val="00A93BD0"/>
    <w:rsid w:val="00A93CC2"/>
    <w:rsid w:val="00A9451D"/>
    <w:rsid w:val="00A94D4B"/>
    <w:rsid w:val="00A951EE"/>
    <w:rsid w:val="00A95320"/>
    <w:rsid w:val="00A956AC"/>
    <w:rsid w:val="00A9592C"/>
    <w:rsid w:val="00A95A90"/>
    <w:rsid w:val="00A974CC"/>
    <w:rsid w:val="00A97EE7"/>
    <w:rsid w:val="00A97FC3"/>
    <w:rsid w:val="00AA0A68"/>
    <w:rsid w:val="00AA1F34"/>
    <w:rsid w:val="00AA2001"/>
    <w:rsid w:val="00AA217C"/>
    <w:rsid w:val="00AA2B5C"/>
    <w:rsid w:val="00AA32D2"/>
    <w:rsid w:val="00AA33AA"/>
    <w:rsid w:val="00AA3A5C"/>
    <w:rsid w:val="00AA3AA4"/>
    <w:rsid w:val="00AA3B8B"/>
    <w:rsid w:val="00AA4016"/>
    <w:rsid w:val="00AA416D"/>
    <w:rsid w:val="00AA4976"/>
    <w:rsid w:val="00AA4C1F"/>
    <w:rsid w:val="00AA4F0C"/>
    <w:rsid w:val="00AA5328"/>
    <w:rsid w:val="00AA5393"/>
    <w:rsid w:val="00AA5881"/>
    <w:rsid w:val="00AA63D4"/>
    <w:rsid w:val="00AA7931"/>
    <w:rsid w:val="00AA7BE1"/>
    <w:rsid w:val="00AB03FD"/>
    <w:rsid w:val="00AB09B8"/>
    <w:rsid w:val="00AB1678"/>
    <w:rsid w:val="00AB199F"/>
    <w:rsid w:val="00AB1C40"/>
    <w:rsid w:val="00AB2000"/>
    <w:rsid w:val="00AB21CC"/>
    <w:rsid w:val="00AB2C06"/>
    <w:rsid w:val="00AB38CB"/>
    <w:rsid w:val="00AB3BEC"/>
    <w:rsid w:val="00AB4080"/>
    <w:rsid w:val="00AB44E4"/>
    <w:rsid w:val="00AB4AEB"/>
    <w:rsid w:val="00AB4E5F"/>
    <w:rsid w:val="00AB5352"/>
    <w:rsid w:val="00AB56AE"/>
    <w:rsid w:val="00AB62D5"/>
    <w:rsid w:val="00AB65B5"/>
    <w:rsid w:val="00AB6DCD"/>
    <w:rsid w:val="00AB6EE0"/>
    <w:rsid w:val="00AB7240"/>
    <w:rsid w:val="00AB780C"/>
    <w:rsid w:val="00AB7D43"/>
    <w:rsid w:val="00AB7ECC"/>
    <w:rsid w:val="00AC1325"/>
    <w:rsid w:val="00AC13DA"/>
    <w:rsid w:val="00AC17A2"/>
    <w:rsid w:val="00AC3096"/>
    <w:rsid w:val="00AC33F3"/>
    <w:rsid w:val="00AC40B7"/>
    <w:rsid w:val="00AC49E2"/>
    <w:rsid w:val="00AC4EAC"/>
    <w:rsid w:val="00AC531F"/>
    <w:rsid w:val="00AC5448"/>
    <w:rsid w:val="00AC5459"/>
    <w:rsid w:val="00AC5B36"/>
    <w:rsid w:val="00AC5FFE"/>
    <w:rsid w:val="00AC6377"/>
    <w:rsid w:val="00AC651A"/>
    <w:rsid w:val="00AC66A4"/>
    <w:rsid w:val="00AC6CB1"/>
    <w:rsid w:val="00AC75E9"/>
    <w:rsid w:val="00AC7965"/>
    <w:rsid w:val="00AC7D6D"/>
    <w:rsid w:val="00AC7D76"/>
    <w:rsid w:val="00AD0091"/>
    <w:rsid w:val="00AD046F"/>
    <w:rsid w:val="00AD04C1"/>
    <w:rsid w:val="00AD1119"/>
    <w:rsid w:val="00AD1315"/>
    <w:rsid w:val="00AD21D4"/>
    <w:rsid w:val="00AD23EF"/>
    <w:rsid w:val="00AD2662"/>
    <w:rsid w:val="00AD307B"/>
    <w:rsid w:val="00AD34C4"/>
    <w:rsid w:val="00AD355F"/>
    <w:rsid w:val="00AD36D2"/>
    <w:rsid w:val="00AD3992"/>
    <w:rsid w:val="00AD4014"/>
    <w:rsid w:val="00AD41B3"/>
    <w:rsid w:val="00AD452D"/>
    <w:rsid w:val="00AD5721"/>
    <w:rsid w:val="00AD69F0"/>
    <w:rsid w:val="00AD7127"/>
    <w:rsid w:val="00AD730C"/>
    <w:rsid w:val="00AE04FD"/>
    <w:rsid w:val="00AE0F90"/>
    <w:rsid w:val="00AE123A"/>
    <w:rsid w:val="00AE1539"/>
    <w:rsid w:val="00AE1FB8"/>
    <w:rsid w:val="00AE28A7"/>
    <w:rsid w:val="00AE2A98"/>
    <w:rsid w:val="00AE2CA0"/>
    <w:rsid w:val="00AE2CF2"/>
    <w:rsid w:val="00AE2F19"/>
    <w:rsid w:val="00AE3012"/>
    <w:rsid w:val="00AE3297"/>
    <w:rsid w:val="00AE33A6"/>
    <w:rsid w:val="00AE34EE"/>
    <w:rsid w:val="00AE3513"/>
    <w:rsid w:val="00AE3729"/>
    <w:rsid w:val="00AE3C81"/>
    <w:rsid w:val="00AE4A3E"/>
    <w:rsid w:val="00AE4CCE"/>
    <w:rsid w:val="00AE59DB"/>
    <w:rsid w:val="00AE5C6A"/>
    <w:rsid w:val="00AE6358"/>
    <w:rsid w:val="00AE7058"/>
    <w:rsid w:val="00AE7280"/>
    <w:rsid w:val="00AE7B5F"/>
    <w:rsid w:val="00AF01FA"/>
    <w:rsid w:val="00AF033A"/>
    <w:rsid w:val="00AF0D26"/>
    <w:rsid w:val="00AF118E"/>
    <w:rsid w:val="00AF1658"/>
    <w:rsid w:val="00AF1699"/>
    <w:rsid w:val="00AF18D1"/>
    <w:rsid w:val="00AF1BA4"/>
    <w:rsid w:val="00AF1FD3"/>
    <w:rsid w:val="00AF237E"/>
    <w:rsid w:val="00AF2910"/>
    <w:rsid w:val="00AF34B8"/>
    <w:rsid w:val="00AF3896"/>
    <w:rsid w:val="00AF39C9"/>
    <w:rsid w:val="00AF3F97"/>
    <w:rsid w:val="00AF3FC2"/>
    <w:rsid w:val="00AF4DEC"/>
    <w:rsid w:val="00AF62F0"/>
    <w:rsid w:val="00AF6B57"/>
    <w:rsid w:val="00AF6BB9"/>
    <w:rsid w:val="00B003FF"/>
    <w:rsid w:val="00B0098A"/>
    <w:rsid w:val="00B00A5F"/>
    <w:rsid w:val="00B0116A"/>
    <w:rsid w:val="00B0139C"/>
    <w:rsid w:val="00B029B8"/>
    <w:rsid w:val="00B02F60"/>
    <w:rsid w:val="00B02F94"/>
    <w:rsid w:val="00B032B8"/>
    <w:rsid w:val="00B0396A"/>
    <w:rsid w:val="00B04074"/>
    <w:rsid w:val="00B04721"/>
    <w:rsid w:val="00B04B15"/>
    <w:rsid w:val="00B04B46"/>
    <w:rsid w:val="00B0534D"/>
    <w:rsid w:val="00B05685"/>
    <w:rsid w:val="00B05F9F"/>
    <w:rsid w:val="00B06070"/>
    <w:rsid w:val="00B062BE"/>
    <w:rsid w:val="00B06368"/>
    <w:rsid w:val="00B068DA"/>
    <w:rsid w:val="00B06A00"/>
    <w:rsid w:val="00B06FC6"/>
    <w:rsid w:val="00B0710D"/>
    <w:rsid w:val="00B074C9"/>
    <w:rsid w:val="00B07A70"/>
    <w:rsid w:val="00B07D9D"/>
    <w:rsid w:val="00B11AE5"/>
    <w:rsid w:val="00B12263"/>
    <w:rsid w:val="00B12ECA"/>
    <w:rsid w:val="00B12FE6"/>
    <w:rsid w:val="00B1303F"/>
    <w:rsid w:val="00B1364A"/>
    <w:rsid w:val="00B13859"/>
    <w:rsid w:val="00B13EC9"/>
    <w:rsid w:val="00B14319"/>
    <w:rsid w:val="00B14A06"/>
    <w:rsid w:val="00B14CF8"/>
    <w:rsid w:val="00B158E1"/>
    <w:rsid w:val="00B1599B"/>
    <w:rsid w:val="00B15C0E"/>
    <w:rsid w:val="00B15CCD"/>
    <w:rsid w:val="00B16715"/>
    <w:rsid w:val="00B16FFA"/>
    <w:rsid w:val="00B1768E"/>
    <w:rsid w:val="00B17910"/>
    <w:rsid w:val="00B20D7C"/>
    <w:rsid w:val="00B20F18"/>
    <w:rsid w:val="00B20FB7"/>
    <w:rsid w:val="00B21516"/>
    <w:rsid w:val="00B21723"/>
    <w:rsid w:val="00B219D9"/>
    <w:rsid w:val="00B21A37"/>
    <w:rsid w:val="00B21D23"/>
    <w:rsid w:val="00B21F62"/>
    <w:rsid w:val="00B223A4"/>
    <w:rsid w:val="00B22CE0"/>
    <w:rsid w:val="00B22F2E"/>
    <w:rsid w:val="00B232BF"/>
    <w:rsid w:val="00B23738"/>
    <w:rsid w:val="00B23BEF"/>
    <w:rsid w:val="00B247BB"/>
    <w:rsid w:val="00B2504A"/>
    <w:rsid w:val="00B25EE6"/>
    <w:rsid w:val="00B27365"/>
    <w:rsid w:val="00B3043F"/>
    <w:rsid w:val="00B3115A"/>
    <w:rsid w:val="00B3178B"/>
    <w:rsid w:val="00B31825"/>
    <w:rsid w:val="00B31A5C"/>
    <w:rsid w:val="00B32265"/>
    <w:rsid w:val="00B325CC"/>
    <w:rsid w:val="00B3276D"/>
    <w:rsid w:val="00B33331"/>
    <w:rsid w:val="00B333C8"/>
    <w:rsid w:val="00B33B06"/>
    <w:rsid w:val="00B33C19"/>
    <w:rsid w:val="00B33E0B"/>
    <w:rsid w:val="00B3462E"/>
    <w:rsid w:val="00B353A7"/>
    <w:rsid w:val="00B35A15"/>
    <w:rsid w:val="00B35B45"/>
    <w:rsid w:val="00B36165"/>
    <w:rsid w:val="00B36A99"/>
    <w:rsid w:val="00B37395"/>
    <w:rsid w:val="00B40385"/>
    <w:rsid w:val="00B40C29"/>
    <w:rsid w:val="00B419BB"/>
    <w:rsid w:val="00B42264"/>
    <w:rsid w:val="00B434B2"/>
    <w:rsid w:val="00B43B9E"/>
    <w:rsid w:val="00B43CA0"/>
    <w:rsid w:val="00B43D45"/>
    <w:rsid w:val="00B448C4"/>
    <w:rsid w:val="00B459AF"/>
    <w:rsid w:val="00B468F2"/>
    <w:rsid w:val="00B469DE"/>
    <w:rsid w:val="00B47286"/>
    <w:rsid w:val="00B4772A"/>
    <w:rsid w:val="00B47EB4"/>
    <w:rsid w:val="00B50234"/>
    <w:rsid w:val="00B5052F"/>
    <w:rsid w:val="00B51641"/>
    <w:rsid w:val="00B51BF4"/>
    <w:rsid w:val="00B521A2"/>
    <w:rsid w:val="00B52279"/>
    <w:rsid w:val="00B522D7"/>
    <w:rsid w:val="00B5235E"/>
    <w:rsid w:val="00B527AD"/>
    <w:rsid w:val="00B52C68"/>
    <w:rsid w:val="00B5324B"/>
    <w:rsid w:val="00B5372B"/>
    <w:rsid w:val="00B542FE"/>
    <w:rsid w:val="00B54360"/>
    <w:rsid w:val="00B546D2"/>
    <w:rsid w:val="00B5525E"/>
    <w:rsid w:val="00B55A1B"/>
    <w:rsid w:val="00B561DB"/>
    <w:rsid w:val="00B5645C"/>
    <w:rsid w:val="00B568A1"/>
    <w:rsid w:val="00B56DF9"/>
    <w:rsid w:val="00B56E80"/>
    <w:rsid w:val="00B570EC"/>
    <w:rsid w:val="00B571F1"/>
    <w:rsid w:val="00B5770A"/>
    <w:rsid w:val="00B6001F"/>
    <w:rsid w:val="00B600BD"/>
    <w:rsid w:val="00B60CB4"/>
    <w:rsid w:val="00B60E4E"/>
    <w:rsid w:val="00B61274"/>
    <w:rsid w:val="00B613F6"/>
    <w:rsid w:val="00B6141E"/>
    <w:rsid w:val="00B61DCE"/>
    <w:rsid w:val="00B62188"/>
    <w:rsid w:val="00B621D6"/>
    <w:rsid w:val="00B622E3"/>
    <w:rsid w:val="00B62F79"/>
    <w:rsid w:val="00B62F82"/>
    <w:rsid w:val="00B63028"/>
    <w:rsid w:val="00B6306A"/>
    <w:rsid w:val="00B635E3"/>
    <w:rsid w:val="00B64388"/>
    <w:rsid w:val="00B64B9A"/>
    <w:rsid w:val="00B662FF"/>
    <w:rsid w:val="00B665B8"/>
    <w:rsid w:val="00B665F6"/>
    <w:rsid w:val="00B66679"/>
    <w:rsid w:val="00B66C87"/>
    <w:rsid w:val="00B70139"/>
    <w:rsid w:val="00B70145"/>
    <w:rsid w:val="00B701C9"/>
    <w:rsid w:val="00B7035F"/>
    <w:rsid w:val="00B710AD"/>
    <w:rsid w:val="00B71A92"/>
    <w:rsid w:val="00B721D8"/>
    <w:rsid w:val="00B730CA"/>
    <w:rsid w:val="00B732EA"/>
    <w:rsid w:val="00B73747"/>
    <w:rsid w:val="00B747C5"/>
    <w:rsid w:val="00B74F2F"/>
    <w:rsid w:val="00B753ED"/>
    <w:rsid w:val="00B75C6D"/>
    <w:rsid w:val="00B7665F"/>
    <w:rsid w:val="00B769BC"/>
    <w:rsid w:val="00B770F7"/>
    <w:rsid w:val="00B77349"/>
    <w:rsid w:val="00B7761E"/>
    <w:rsid w:val="00B8020C"/>
    <w:rsid w:val="00B80A3D"/>
    <w:rsid w:val="00B80B04"/>
    <w:rsid w:val="00B821E4"/>
    <w:rsid w:val="00B823E0"/>
    <w:rsid w:val="00B8260D"/>
    <w:rsid w:val="00B82694"/>
    <w:rsid w:val="00B8286F"/>
    <w:rsid w:val="00B82B78"/>
    <w:rsid w:val="00B82FD9"/>
    <w:rsid w:val="00B845A8"/>
    <w:rsid w:val="00B845B4"/>
    <w:rsid w:val="00B84662"/>
    <w:rsid w:val="00B84C74"/>
    <w:rsid w:val="00B84CE9"/>
    <w:rsid w:val="00B84F6E"/>
    <w:rsid w:val="00B85191"/>
    <w:rsid w:val="00B85412"/>
    <w:rsid w:val="00B858A1"/>
    <w:rsid w:val="00B85FEC"/>
    <w:rsid w:val="00B864A3"/>
    <w:rsid w:val="00B867B8"/>
    <w:rsid w:val="00B86C2A"/>
    <w:rsid w:val="00B87575"/>
    <w:rsid w:val="00B902A5"/>
    <w:rsid w:val="00B90420"/>
    <w:rsid w:val="00B90848"/>
    <w:rsid w:val="00B91146"/>
    <w:rsid w:val="00B913E4"/>
    <w:rsid w:val="00B91DB9"/>
    <w:rsid w:val="00B91FF3"/>
    <w:rsid w:val="00B925F8"/>
    <w:rsid w:val="00B9330A"/>
    <w:rsid w:val="00B93EFE"/>
    <w:rsid w:val="00B944B9"/>
    <w:rsid w:val="00B94602"/>
    <w:rsid w:val="00B94956"/>
    <w:rsid w:val="00B94C7F"/>
    <w:rsid w:val="00B94E93"/>
    <w:rsid w:val="00B956B5"/>
    <w:rsid w:val="00B95956"/>
    <w:rsid w:val="00B96DF2"/>
    <w:rsid w:val="00B96E18"/>
    <w:rsid w:val="00B96F5A"/>
    <w:rsid w:val="00B97AF7"/>
    <w:rsid w:val="00BA02CF"/>
    <w:rsid w:val="00BA0A69"/>
    <w:rsid w:val="00BA0B39"/>
    <w:rsid w:val="00BA0CB2"/>
    <w:rsid w:val="00BA0E26"/>
    <w:rsid w:val="00BA138B"/>
    <w:rsid w:val="00BA207E"/>
    <w:rsid w:val="00BA238F"/>
    <w:rsid w:val="00BA2471"/>
    <w:rsid w:val="00BA305B"/>
    <w:rsid w:val="00BA31BF"/>
    <w:rsid w:val="00BA3258"/>
    <w:rsid w:val="00BA3C0F"/>
    <w:rsid w:val="00BA3FC7"/>
    <w:rsid w:val="00BA478B"/>
    <w:rsid w:val="00BA5224"/>
    <w:rsid w:val="00BA575E"/>
    <w:rsid w:val="00BA67B1"/>
    <w:rsid w:val="00BA69D5"/>
    <w:rsid w:val="00BA7524"/>
    <w:rsid w:val="00BA756D"/>
    <w:rsid w:val="00BA76B7"/>
    <w:rsid w:val="00BA7E3B"/>
    <w:rsid w:val="00BB078D"/>
    <w:rsid w:val="00BB079C"/>
    <w:rsid w:val="00BB0D7A"/>
    <w:rsid w:val="00BB10E1"/>
    <w:rsid w:val="00BB23BF"/>
    <w:rsid w:val="00BB2471"/>
    <w:rsid w:val="00BB3035"/>
    <w:rsid w:val="00BB39C1"/>
    <w:rsid w:val="00BB3DF5"/>
    <w:rsid w:val="00BB3EA7"/>
    <w:rsid w:val="00BB45BC"/>
    <w:rsid w:val="00BB4653"/>
    <w:rsid w:val="00BB5D16"/>
    <w:rsid w:val="00BB5E55"/>
    <w:rsid w:val="00BB6180"/>
    <w:rsid w:val="00BB6290"/>
    <w:rsid w:val="00BB69DC"/>
    <w:rsid w:val="00BB69E6"/>
    <w:rsid w:val="00BB7323"/>
    <w:rsid w:val="00BB73CA"/>
    <w:rsid w:val="00BB7BE5"/>
    <w:rsid w:val="00BB7C6D"/>
    <w:rsid w:val="00BC08BD"/>
    <w:rsid w:val="00BC1002"/>
    <w:rsid w:val="00BC11E8"/>
    <w:rsid w:val="00BC1418"/>
    <w:rsid w:val="00BC1B7A"/>
    <w:rsid w:val="00BC2C17"/>
    <w:rsid w:val="00BC3149"/>
    <w:rsid w:val="00BC3ACD"/>
    <w:rsid w:val="00BC3B20"/>
    <w:rsid w:val="00BC3EE4"/>
    <w:rsid w:val="00BC4A6C"/>
    <w:rsid w:val="00BC577D"/>
    <w:rsid w:val="00BC588C"/>
    <w:rsid w:val="00BC6E73"/>
    <w:rsid w:val="00BC74D3"/>
    <w:rsid w:val="00BC7ACA"/>
    <w:rsid w:val="00BC7E6E"/>
    <w:rsid w:val="00BD0014"/>
    <w:rsid w:val="00BD01D8"/>
    <w:rsid w:val="00BD1C96"/>
    <w:rsid w:val="00BD1E3A"/>
    <w:rsid w:val="00BD1F36"/>
    <w:rsid w:val="00BD255F"/>
    <w:rsid w:val="00BD2895"/>
    <w:rsid w:val="00BD4236"/>
    <w:rsid w:val="00BD4400"/>
    <w:rsid w:val="00BD483B"/>
    <w:rsid w:val="00BD4FBA"/>
    <w:rsid w:val="00BD51F9"/>
    <w:rsid w:val="00BD5BD8"/>
    <w:rsid w:val="00BD5CD4"/>
    <w:rsid w:val="00BD65D9"/>
    <w:rsid w:val="00BD6922"/>
    <w:rsid w:val="00BD6DF3"/>
    <w:rsid w:val="00BD6E09"/>
    <w:rsid w:val="00BD6EF9"/>
    <w:rsid w:val="00BE045C"/>
    <w:rsid w:val="00BE0ACB"/>
    <w:rsid w:val="00BE11F3"/>
    <w:rsid w:val="00BE1843"/>
    <w:rsid w:val="00BE2260"/>
    <w:rsid w:val="00BE25DA"/>
    <w:rsid w:val="00BE2826"/>
    <w:rsid w:val="00BE2D95"/>
    <w:rsid w:val="00BE2F75"/>
    <w:rsid w:val="00BE3917"/>
    <w:rsid w:val="00BE3D7E"/>
    <w:rsid w:val="00BE4A76"/>
    <w:rsid w:val="00BE4E87"/>
    <w:rsid w:val="00BE50FD"/>
    <w:rsid w:val="00BE51CA"/>
    <w:rsid w:val="00BE537F"/>
    <w:rsid w:val="00BE5B73"/>
    <w:rsid w:val="00BE5D77"/>
    <w:rsid w:val="00BE630A"/>
    <w:rsid w:val="00BE638C"/>
    <w:rsid w:val="00BE6914"/>
    <w:rsid w:val="00BE6BA1"/>
    <w:rsid w:val="00BE6D47"/>
    <w:rsid w:val="00BE6F9B"/>
    <w:rsid w:val="00BE6FBF"/>
    <w:rsid w:val="00BE7032"/>
    <w:rsid w:val="00BE7330"/>
    <w:rsid w:val="00BE77A7"/>
    <w:rsid w:val="00BF01C5"/>
    <w:rsid w:val="00BF061A"/>
    <w:rsid w:val="00BF066A"/>
    <w:rsid w:val="00BF0771"/>
    <w:rsid w:val="00BF0EDE"/>
    <w:rsid w:val="00BF14CC"/>
    <w:rsid w:val="00BF1821"/>
    <w:rsid w:val="00BF214F"/>
    <w:rsid w:val="00BF22E9"/>
    <w:rsid w:val="00BF3FE4"/>
    <w:rsid w:val="00BF4342"/>
    <w:rsid w:val="00BF4704"/>
    <w:rsid w:val="00BF4FFC"/>
    <w:rsid w:val="00BF5050"/>
    <w:rsid w:val="00BF50D1"/>
    <w:rsid w:val="00BF5422"/>
    <w:rsid w:val="00BF59B1"/>
    <w:rsid w:val="00BF5C4D"/>
    <w:rsid w:val="00BF6625"/>
    <w:rsid w:val="00BF6A78"/>
    <w:rsid w:val="00BF6B3F"/>
    <w:rsid w:val="00BF7118"/>
    <w:rsid w:val="00BF7695"/>
    <w:rsid w:val="00BF775D"/>
    <w:rsid w:val="00BF79B4"/>
    <w:rsid w:val="00BF7C61"/>
    <w:rsid w:val="00C00366"/>
    <w:rsid w:val="00C00686"/>
    <w:rsid w:val="00C013AC"/>
    <w:rsid w:val="00C01427"/>
    <w:rsid w:val="00C014C7"/>
    <w:rsid w:val="00C031CF"/>
    <w:rsid w:val="00C04172"/>
    <w:rsid w:val="00C047AB"/>
    <w:rsid w:val="00C053CF"/>
    <w:rsid w:val="00C058AF"/>
    <w:rsid w:val="00C069E5"/>
    <w:rsid w:val="00C06EAB"/>
    <w:rsid w:val="00C0709D"/>
    <w:rsid w:val="00C07136"/>
    <w:rsid w:val="00C075B6"/>
    <w:rsid w:val="00C10027"/>
    <w:rsid w:val="00C1118B"/>
    <w:rsid w:val="00C124C1"/>
    <w:rsid w:val="00C128AE"/>
    <w:rsid w:val="00C12BA8"/>
    <w:rsid w:val="00C13094"/>
    <w:rsid w:val="00C1359F"/>
    <w:rsid w:val="00C136D6"/>
    <w:rsid w:val="00C13D5B"/>
    <w:rsid w:val="00C141D7"/>
    <w:rsid w:val="00C16074"/>
    <w:rsid w:val="00C16F9E"/>
    <w:rsid w:val="00C1711B"/>
    <w:rsid w:val="00C17526"/>
    <w:rsid w:val="00C17AE2"/>
    <w:rsid w:val="00C20140"/>
    <w:rsid w:val="00C20CD6"/>
    <w:rsid w:val="00C20F27"/>
    <w:rsid w:val="00C215CF"/>
    <w:rsid w:val="00C21A89"/>
    <w:rsid w:val="00C21C6D"/>
    <w:rsid w:val="00C2244B"/>
    <w:rsid w:val="00C22711"/>
    <w:rsid w:val="00C2280A"/>
    <w:rsid w:val="00C22B0D"/>
    <w:rsid w:val="00C22BFF"/>
    <w:rsid w:val="00C23522"/>
    <w:rsid w:val="00C23581"/>
    <w:rsid w:val="00C23E71"/>
    <w:rsid w:val="00C24015"/>
    <w:rsid w:val="00C240C1"/>
    <w:rsid w:val="00C241CD"/>
    <w:rsid w:val="00C244A1"/>
    <w:rsid w:val="00C24AED"/>
    <w:rsid w:val="00C250D0"/>
    <w:rsid w:val="00C252AC"/>
    <w:rsid w:val="00C25C0F"/>
    <w:rsid w:val="00C26567"/>
    <w:rsid w:val="00C26923"/>
    <w:rsid w:val="00C271C9"/>
    <w:rsid w:val="00C27214"/>
    <w:rsid w:val="00C27597"/>
    <w:rsid w:val="00C27E5E"/>
    <w:rsid w:val="00C30382"/>
    <w:rsid w:val="00C30772"/>
    <w:rsid w:val="00C30D6F"/>
    <w:rsid w:val="00C31063"/>
    <w:rsid w:val="00C311E7"/>
    <w:rsid w:val="00C31492"/>
    <w:rsid w:val="00C31B7E"/>
    <w:rsid w:val="00C31CFD"/>
    <w:rsid w:val="00C320D1"/>
    <w:rsid w:val="00C320E8"/>
    <w:rsid w:val="00C322D1"/>
    <w:rsid w:val="00C323E6"/>
    <w:rsid w:val="00C3242A"/>
    <w:rsid w:val="00C33201"/>
    <w:rsid w:val="00C3328B"/>
    <w:rsid w:val="00C33A39"/>
    <w:rsid w:val="00C33F55"/>
    <w:rsid w:val="00C343FF"/>
    <w:rsid w:val="00C34619"/>
    <w:rsid w:val="00C348D9"/>
    <w:rsid w:val="00C35D01"/>
    <w:rsid w:val="00C360B3"/>
    <w:rsid w:val="00C36451"/>
    <w:rsid w:val="00C365EA"/>
    <w:rsid w:val="00C367F0"/>
    <w:rsid w:val="00C37027"/>
    <w:rsid w:val="00C373BF"/>
    <w:rsid w:val="00C37B15"/>
    <w:rsid w:val="00C37B19"/>
    <w:rsid w:val="00C37B38"/>
    <w:rsid w:val="00C40B87"/>
    <w:rsid w:val="00C41318"/>
    <w:rsid w:val="00C41349"/>
    <w:rsid w:val="00C413CB"/>
    <w:rsid w:val="00C41429"/>
    <w:rsid w:val="00C41558"/>
    <w:rsid w:val="00C41F9F"/>
    <w:rsid w:val="00C42752"/>
    <w:rsid w:val="00C42973"/>
    <w:rsid w:val="00C43426"/>
    <w:rsid w:val="00C45267"/>
    <w:rsid w:val="00C4542D"/>
    <w:rsid w:val="00C46A3D"/>
    <w:rsid w:val="00C46B95"/>
    <w:rsid w:val="00C4712A"/>
    <w:rsid w:val="00C476B5"/>
    <w:rsid w:val="00C478F8"/>
    <w:rsid w:val="00C47E99"/>
    <w:rsid w:val="00C5001E"/>
    <w:rsid w:val="00C5034F"/>
    <w:rsid w:val="00C505D2"/>
    <w:rsid w:val="00C50830"/>
    <w:rsid w:val="00C52436"/>
    <w:rsid w:val="00C52479"/>
    <w:rsid w:val="00C5266E"/>
    <w:rsid w:val="00C52C59"/>
    <w:rsid w:val="00C5349E"/>
    <w:rsid w:val="00C539FF"/>
    <w:rsid w:val="00C54215"/>
    <w:rsid w:val="00C544BD"/>
    <w:rsid w:val="00C54D3D"/>
    <w:rsid w:val="00C55A30"/>
    <w:rsid w:val="00C55E1C"/>
    <w:rsid w:val="00C56076"/>
    <w:rsid w:val="00C561FB"/>
    <w:rsid w:val="00C56384"/>
    <w:rsid w:val="00C567E9"/>
    <w:rsid w:val="00C56ED2"/>
    <w:rsid w:val="00C60F8C"/>
    <w:rsid w:val="00C61424"/>
    <w:rsid w:val="00C61794"/>
    <w:rsid w:val="00C617AE"/>
    <w:rsid w:val="00C623E3"/>
    <w:rsid w:val="00C62A48"/>
    <w:rsid w:val="00C62AC4"/>
    <w:rsid w:val="00C62B59"/>
    <w:rsid w:val="00C62F96"/>
    <w:rsid w:val="00C631E1"/>
    <w:rsid w:val="00C638D8"/>
    <w:rsid w:val="00C63A43"/>
    <w:rsid w:val="00C63AE7"/>
    <w:rsid w:val="00C63D26"/>
    <w:rsid w:val="00C64127"/>
    <w:rsid w:val="00C6540A"/>
    <w:rsid w:val="00C65CF7"/>
    <w:rsid w:val="00C668A1"/>
    <w:rsid w:val="00C67223"/>
    <w:rsid w:val="00C67F42"/>
    <w:rsid w:val="00C707B8"/>
    <w:rsid w:val="00C712AC"/>
    <w:rsid w:val="00C7158C"/>
    <w:rsid w:val="00C71C15"/>
    <w:rsid w:val="00C71F3D"/>
    <w:rsid w:val="00C72767"/>
    <w:rsid w:val="00C72AA4"/>
    <w:rsid w:val="00C72F53"/>
    <w:rsid w:val="00C74035"/>
    <w:rsid w:val="00C748EA"/>
    <w:rsid w:val="00C74921"/>
    <w:rsid w:val="00C76FB0"/>
    <w:rsid w:val="00C77818"/>
    <w:rsid w:val="00C8063F"/>
    <w:rsid w:val="00C808BE"/>
    <w:rsid w:val="00C8121A"/>
    <w:rsid w:val="00C81282"/>
    <w:rsid w:val="00C8155F"/>
    <w:rsid w:val="00C8198D"/>
    <w:rsid w:val="00C82167"/>
    <w:rsid w:val="00C827B4"/>
    <w:rsid w:val="00C83214"/>
    <w:rsid w:val="00C8329F"/>
    <w:rsid w:val="00C84E65"/>
    <w:rsid w:val="00C84F8A"/>
    <w:rsid w:val="00C85743"/>
    <w:rsid w:val="00C85846"/>
    <w:rsid w:val="00C85BA4"/>
    <w:rsid w:val="00C8618F"/>
    <w:rsid w:val="00C8625D"/>
    <w:rsid w:val="00C863FA"/>
    <w:rsid w:val="00C865AD"/>
    <w:rsid w:val="00C86612"/>
    <w:rsid w:val="00C87402"/>
    <w:rsid w:val="00C90372"/>
    <w:rsid w:val="00C9041F"/>
    <w:rsid w:val="00C9166B"/>
    <w:rsid w:val="00C91945"/>
    <w:rsid w:val="00C91A45"/>
    <w:rsid w:val="00C91BA5"/>
    <w:rsid w:val="00C91FB4"/>
    <w:rsid w:val="00C92150"/>
    <w:rsid w:val="00C92328"/>
    <w:rsid w:val="00C928D6"/>
    <w:rsid w:val="00C9292F"/>
    <w:rsid w:val="00C92D42"/>
    <w:rsid w:val="00C938C2"/>
    <w:rsid w:val="00C9397B"/>
    <w:rsid w:val="00C93F8A"/>
    <w:rsid w:val="00C942C2"/>
    <w:rsid w:val="00C94EA1"/>
    <w:rsid w:val="00C95745"/>
    <w:rsid w:val="00C95813"/>
    <w:rsid w:val="00C95902"/>
    <w:rsid w:val="00C95999"/>
    <w:rsid w:val="00C95CCD"/>
    <w:rsid w:val="00C962E3"/>
    <w:rsid w:val="00C968C9"/>
    <w:rsid w:val="00C978E2"/>
    <w:rsid w:val="00C97997"/>
    <w:rsid w:val="00CA10A2"/>
    <w:rsid w:val="00CA1D83"/>
    <w:rsid w:val="00CA1FEB"/>
    <w:rsid w:val="00CA25C0"/>
    <w:rsid w:val="00CA2BFB"/>
    <w:rsid w:val="00CA3451"/>
    <w:rsid w:val="00CA35C6"/>
    <w:rsid w:val="00CA475F"/>
    <w:rsid w:val="00CA4948"/>
    <w:rsid w:val="00CA52F9"/>
    <w:rsid w:val="00CA5368"/>
    <w:rsid w:val="00CA547B"/>
    <w:rsid w:val="00CA568B"/>
    <w:rsid w:val="00CA573A"/>
    <w:rsid w:val="00CA58E0"/>
    <w:rsid w:val="00CA5C58"/>
    <w:rsid w:val="00CA68B2"/>
    <w:rsid w:val="00CA73A1"/>
    <w:rsid w:val="00CA7656"/>
    <w:rsid w:val="00CA7FB0"/>
    <w:rsid w:val="00CB0CC1"/>
    <w:rsid w:val="00CB160B"/>
    <w:rsid w:val="00CB17D8"/>
    <w:rsid w:val="00CB19D7"/>
    <w:rsid w:val="00CB19FE"/>
    <w:rsid w:val="00CB1AAE"/>
    <w:rsid w:val="00CB1C3F"/>
    <w:rsid w:val="00CB1FCA"/>
    <w:rsid w:val="00CB2364"/>
    <w:rsid w:val="00CB24C5"/>
    <w:rsid w:val="00CB2FEE"/>
    <w:rsid w:val="00CB304C"/>
    <w:rsid w:val="00CB3933"/>
    <w:rsid w:val="00CB5010"/>
    <w:rsid w:val="00CB53E8"/>
    <w:rsid w:val="00CB594A"/>
    <w:rsid w:val="00CB5CB2"/>
    <w:rsid w:val="00CB6979"/>
    <w:rsid w:val="00CB7A04"/>
    <w:rsid w:val="00CB7DDE"/>
    <w:rsid w:val="00CB7F55"/>
    <w:rsid w:val="00CC01D8"/>
    <w:rsid w:val="00CC043E"/>
    <w:rsid w:val="00CC04F2"/>
    <w:rsid w:val="00CC0A3D"/>
    <w:rsid w:val="00CC22B8"/>
    <w:rsid w:val="00CC2FF0"/>
    <w:rsid w:val="00CC33B8"/>
    <w:rsid w:val="00CC3A84"/>
    <w:rsid w:val="00CC3C53"/>
    <w:rsid w:val="00CC3D24"/>
    <w:rsid w:val="00CC3F91"/>
    <w:rsid w:val="00CC405D"/>
    <w:rsid w:val="00CC47EE"/>
    <w:rsid w:val="00CC4ACD"/>
    <w:rsid w:val="00CC4B0A"/>
    <w:rsid w:val="00CC5387"/>
    <w:rsid w:val="00CC544A"/>
    <w:rsid w:val="00CC57EA"/>
    <w:rsid w:val="00CC5954"/>
    <w:rsid w:val="00CC5CF8"/>
    <w:rsid w:val="00CC5F4B"/>
    <w:rsid w:val="00CC629B"/>
    <w:rsid w:val="00CC66A2"/>
    <w:rsid w:val="00CC6C4E"/>
    <w:rsid w:val="00CC7709"/>
    <w:rsid w:val="00CC770A"/>
    <w:rsid w:val="00CC7B1F"/>
    <w:rsid w:val="00CD009D"/>
    <w:rsid w:val="00CD05A2"/>
    <w:rsid w:val="00CD1049"/>
    <w:rsid w:val="00CD29D4"/>
    <w:rsid w:val="00CD2B5C"/>
    <w:rsid w:val="00CD2FF3"/>
    <w:rsid w:val="00CD3323"/>
    <w:rsid w:val="00CD3324"/>
    <w:rsid w:val="00CD356A"/>
    <w:rsid w:val="00CD37AE"/>
    <w:rsid w:val="00CD38F5"/>
    <w:rsid w:val="00CD3BF2"/>
    <w:rsid w:val="00CD437E"/>
    <w:rsid w:val="00CD4AAF"/>
    <w:rsid w:val="00CD5DAD"/>
    <w:rsid w:val="00CD5FFB"/>
    <w:rsid w:val="00CD72C5"/>
    <w:rsid w:val="00CD74E3"/>
    <w:rsid w:val="00CD79A7"/>
    <w:rsid w:val="00CD7B44"/>
    <w:rsid w:val="00CD7FAD"/>
    <w:rsid w:val="00CE074B"/>
    <w:rsid w:val="00CE0789"/>
    <w:rsid w:val="00CE0E8D"/>
    <w:rsid w:val="00CE1A03"/>
    <w:rsid w:val="00CE233E"/>
    <w:rsid w:val="00CE2346"/>
    <w:rsid w:val="00CE25B2"/>
    <w:rsid w:val="00CE2748"/>
    <w:rsid w:val="00CE312F"/>
    <w:rsid w:val="00CE3529"/>
    <w:rsid w:val="00CE35C8"/>
    <w:rsid w:val="00CE3962"/>
    <w:rsid w:val="00CE43FA"/>
    <w:rsid w:val="00CE4D0A"/>
    <w:rsid w:val="00CE4D1A"/>
    <w:rsid w:val="00CE4E8A"/>
    <w:rsid w:val="00CE5105"/>
    <w:rsid w:val="00CE5525"/>
    <w:rsid w:val="00CE56BD"/>
    <w:rsid w:val="00CE5EC0"/>
    <w:rsid w:val="00CE68AD"/>
    <w:rsid w:val="00CE6BA5"/>
    <w:rsid w:val="00CE6EA4"/>
    <w:rsid w:val="00CE6F15"/>
    <w:rsid w:val="00CE6F9F"/>
    <w:rsid w:val="00CE781A"/>
    <w:rsid w:val="00CE7B08"/>
    <w:rsid w:val="00CE7B7A"/>
    <w:rsid w:val="00CE7D52"/>
    <w:rsid w:val="00CF0AAA"/>
    <w:rsid w:val="00CF0AB7"/>
    <w:rsid w:val="00CF1D74"/>
    <w:rsid w:val="00CF1F8D"/>
    <w:rsid w:val="00CF2BE2"/>
    <w:rsid w:val="00CF371A"/>
    <w:rsid w:val="00CF37C2"/>
    <w:rsid w:val="00CF3DE4"/>
    <w:rsid w:val="00CF3DEB"/>
    <w:rsid w:val="00CF42C9"/>
    <w:rsid w:val="00CF4363"/>
    <w:rsid w:val="00CF4626"/>
    <w:rsid w:val="00CF55F9"/>
    <w:rsid w:val="00CF578D"/>
    <w:rsid w:val="00CF63B2"/>
    <w:rsid w:val="00CF7074"/>
    <w:rsid w:val="00CF7495"/>
    <w:rsid w:val="00CF76D6"/>
    <w:rsid w:val="00D00314"/>
    <w:rsid w:val="00D01CF9"/>
    <w:rsid w:val="00D01F93"/>
    <w:rsid w:val="00D021E8"/>
    <w:rsid w:val="00D02AA3"/>
    <w:rsid w:val="00D0334D"/>
    <w:rsid w:val="00D0374D"/>
    <w:rsid w:val="00D0411B"/>
    <w:rsid w:val="00D05614"/>
    <w:rsid w:val="00D05D5C"/>
    <w:rsid w:val="00D06312"/>
    <w:rsid w:val="00D06B62"/>
    <w:rsid w:val="00D06D7B"/>
    <w:rsid w:val="00D06DA5"/>
    <w:rsid w:val="00D07191"/>
    <w:rsid w:val="00D07319"/>
    <w:rsid w:val="00D07813"/>
    <w:rsid w:val="00D07F1D"/>
    <w:rsid w:val="00D10558"/>
    <w:rsid w:val="00D10AA3"/>
    <w:rsid w:val="00D10EE8"/>
    <w:rsid w:val="00D11140"/>
    <w:rsid w:val="00D11739"/>
    <w:rsid w:val="00D119A6"/>
    <w:rsid w:val="00D11D4D"/>
    <w:rsid w:val="00D11DB1"/>
    <w:rsid w:val="00D126DC"/>
    <w:rsid w:val="00D12B03"/>
    <w:rsid w:val="00D13E70"/>
    <w:rsid w:val="00D13EE7"/>
    <w:rsid w:val="00D147BE"/>
    <w:rsid w:val="00D148A0"/>
    <w:rsid w:val="00D158D5"/>
    <w:rsid w:val="00D15ECD"/>
    <w:rsid w:val="00D15FCD"/>
    <w:rsid w:val="00D16C58"/>
    <w:rsid w:val="00D17019"/>
    <w:rsid w:val="00D1705A"/>
    <w:rsid w:val="00D17ABA"/>
    <w:rsid w:val="00D17D34"/>
    <w:rsid w:val="00D17FC8"/>
    <w:rsid w:val="00D2015B"/>
    <w:rsid w:val="00D202B2"/>
    <w:rsid w:val="00D207E7"/>
    <w:rsid w:val="00D20B44"/>
    <w:rsid w:val="00D21168"/>
    <w:rsid w:val="00D21A90"/>
    <w:rsid w:val="00D21C3A"/>
    <w:rsid w:val="00D2224A"/>
    <w:rsid w:val="00D22700"/>
    <w:rsid w:val="00D230BF"/>
    <w:rsid w:val="00D2385D"/>
    <w:rsid w:val="00D23AAD"/>
    <w:rsid w:val="00D23FB9"/>
    <w:rsid w:val="00D23FF4"/>
    <w:rsid w:val="00D2438C"/>
    <w:rsid w:val="00D247E0"/>
    <w:rsid w:val="00D2585A"/>
    <w:rsid w:val="00D25920"/>
    <w:rsid w:val="00D259B0"/>
    <w:rsid w:val="00D259C2"/>
    <w:rsid w:val="00D26586"/>
    <w:rsid w:val="00D26C3F"/>
    <w:rsid w:val="00D27185"/>
    <w:rsid w:val="00D27338"/>
    <w:rsid w:val="00D3028A"/>
    <w:rsid w:val="00D30E98"/>
    <w:rsid w:val="00D3125C"/>
    <w:rsid w:val="00D3214D"/>
    <w:rsid w:val="00D32A92"/>
    <w:rsid w:val="00D32CF5"/>
    <w:rsid w:val="00D33488"/>
    <w:rsid w:val="00D33AB3"/>
    <w:rsid w:val="00D33F24"/>
    <w:rsid w:val="00D34160"/>
    <w:rsid w:val="00D343BA"/>
    <w:rsid w:val="00D346B8"/>
    <w:rsid w:val="00D34DCA"/>
    <w:rsid w:val="00D35AC8"/>
    <w:rsid w:val="00D36F05"/>
    <w:rsid w:val="00D36F87"/>
    <w:rsid w:val="00D37DF9"/>
    <w:rsid w:val="00D37E4E"/>
    <w:rsid w:val="00D40672"/>
    <w:rsid w:val="00D417D8"/>
    <w:rsid w:val="00D41F78"/>
    <w:rsid w:val="00D42687"/>
    <w:rsid w:val="00D42ABC"/>
    <w:rsid w:val="00D42E6C"/>
    <w:rsid w:val="00D430A5"/>
    <w:rsid w:val="00D4351C"/>
    <w:rsid w:val="00D43B80"/>
    <w:rsid w:val="00D44348"/>
    <w:rsid w:val="00D4485C"/>
    <w:rsid w:val="00D44988"/>
    <w:rsid w:val="00D45828"/>
    <w:rsid w:val="00D45B4C"/>
    <w:rsid w:val="00D45BA4"/>
    <w:rsid w:val="00D45C8D"/>
    <w:rsid w:val="00D471AF"/>
    <w:rsid w:val="00D471E2"/>
    <w:rsid w:val="00D4724F"/>
    <w:rsid w:val="00D47A34"/>
    <w:rsid w:val="00D50252"/>
    <w:rsid w:val="00D50519"/>
    <w:rsid w:val="00D50702"/>
    <w:rsid w:val="00D50779"/>
    <w:rsid w:val="00D50D4C"/>
    <w:rsid w:val="00D51601"/>
    <w:rsid w:val="00D51EC3"/>
    <w:rsid w:val="00D51ECB"/>
    <w:rsid w:val="00D520DE"/>
    <w:rsid w:val="00D5264C"/>
    <w:rsid w:val="00D52BBC"/>
    <w:rsid w:val="00D537FE"/>
    <w:rsid w:val="00D53CC9"/>
    <w:rsid w:val="00D54A6A"/>
    <w:rsid w:val="00D54B8F"/>
    <w:rsid w:val="00D55848"/>
    <w:rsid w:val="00D55951"/>
    <w:rsid w:val="00D559F0"/>
    <w:rsid w:val="00D56455"/>
    <w:rsid w:val="00D5650F"/>
    <w:rsid w:val="00D56594"/>
    <w:rsid w:val="00D576A4"/>
    <w:rsid w:val="00D57EB6"/>
    <w:rsid w:val="00D608C0"/>
    <w:rsid w:val="00D60D6D"/>
    <w:rsid w:val="00D6128C"/>
    <w:rsid w:val="00D63B22"/>
    <w:rsid w:val="00D63DF9"/>
    <w:rsid w:val="00D65E01"/>
    <w:rsid w:val="00D66009"/>
    <w:rsid w:val="00D66A9F"/>
    <w:rsid w:val="00D66D8B"/>
    <w:rsid w:val="00D66F72"/>
    <w:rsid w:val="00D671B2"/>
    <w:rsid w:val="00D674BE"/>
    <w:rsid w:val="00D67863"/>
    <w:rsid w:val="00D70849"/>
    <w:rsid w:val="00D70DFA"/>
    <w:rsid w:val="00D72297"/>
    <w:rsid w:val="00D72A1C"/>
    <w:rsid w:val="00D72CC0"/>
    <w:rsid w:val="00D7308F"/>
    <w:rsid w:val="00D7313E"/>
    <w:rsid w:val="00D73396"/>
    <w:rsid w:val="00D73580"/>
    <w:rsid w:val="00D73802"/>
    <w:rsid w:val="00D73883"/>
    <w:rsid w:val="00D73C2C"/>
    <w:rsid w:val="00D73D52"/>
    <w:rsid w:val="00D73E70"/>
    <w:rsid w:val="00D745E7"/>
    <w:rsid w:val="00D74C25"/>
    <w:rsid w:val="00D75296"/>
    <w:rsid w:val="00D75FDA"/>
    <w:rsid w:val="00D774ED"/>
    <w:rsid w:val="00D776AD"/>
    <w:rsid w:val="00D777C3"/>
    <w:rsid w:val="00D7797C"/>
    <w:rsid w:val="00D77C44"/>
    <w:rsid w:val="00D77F88"/>
    <w:rsid w:val="00D8131B"/>
    <w:rsid w:val="00D81AFA"/>
    <w:rsid w:val="00D81EAA"/>
    <w:rsid w:val="00D81FE2"/>
    <w:rsid w:val="00D8259F"/>
    <w:rsid w:val="00D825F2"/>
    <w:rsid w:val="00D8285C"/>
    <w:rsid w:val="00D828B1"/>
    <w:rsid w:val="00D82A55"/>
    <w:rsid w:val="00D830F8"/>
    <w:rsid w:val="00D83174"/>
    <w:rsid w:val="00D83D49"/>
    <w:rsid w:val="00D84181"/>
    <w:rsid w:val="00D846AD"/>
    <w:rsid w:val="00D84754"/>
    <w:rsid w:val="00D84F27"/>
    <w:rsid w:val="00D853F0"/>
    <w:rsid w:val="00D85862"/>
    <w:rsid w:val="00D85892"/>
    <w:rsid w:val="00D85B03"/>
    <w:rsid w:val="00D86D47"/>
    <w:rsid w:val="00D8710C"/>
    <w:rsid w:val="00D871CE"/>
    <w:rsid w:val="00D873C6"/>
    <w:rsid w:val="00D87819"/>
    <w:rsid w:val="00D878A3"/>
    <w:rsid w:val="00D87FA5"/>
    <w:rsid w:val="00D9074A"/>
    <w:rsid w:val="00D9099E"/>
    <w:rsid w:val="00D9193A"/>
    <w:rsid w:val="00D91D05"/>
    <w:rsid w:val="00D923B2"/>
    <w:rsid w:val="00D92463"/>
    <w:rsid w:val="00D924E7"/>
    <w:rsid w:val="00D927B5"/>
    <w:rsid w:val="00D92981"/>
    <w:rsid w:val="00D92C81"/>
    <w:rsid w:val="00D93037"/>
    <w:rsid w:val="00D93E64"/>
    <w:rsid w:val="00D93F64"/>
    <w:rsid w:val="00D94CA4"/>
    <w:rsid w:val="00D95E99"/>
    <w:rsid w:val="00D965D5"/>
    <w:rsid w:val="00D96F7C"/>
    <w:rsid w:val="00D9714B"/>
    <w:rsid w:val="00D97DA2"/>
    <w:rsid w:val="00DA0485"/>
    <w:rsid w:val="00DA1A3A"/>
    <w:rsid w:val="00DA1FC3"/>
    <w:rsid w:val="00DA2351"/>
    <w:rsid w:val="00DA249E"/>
    <w:rsid w:val="00DA2D3D"/>
    <w:rsid w:val="00DA35D9"/>
    <w:rsid w:val="00DA3855"/>
    <w:rsid w:val="00DA39BA"/>
    <w:rsid w:val="00DA4C30"/>
    <w:rsid w:val="00DA52B3"/>
    <w:rsid w:val="00DA538E"/>
    <w:rsid w:val="00DA5FB3"/>
    <w:rsid w:val="00DA6980"/>
    <w:rsid w:val="00DA6A44"/>
    <w:rsid w:val="00DA7A3C"/>
    <w:rsid w:val="00DB145E"/>
    <w:rsid w:val="00DB1A94"/>
    <w:rsid w:val="00DB1D52"/>
    <w:rsid w:val="00DB1E2B"/>
    <w:rsid w:val="00DB1F62"/>
    <w:rsid w:val="00DB21E7"/>
    <w:rsid w:val="00DB2E03"/>
    <w:rsid w:val="00DB3742"/>
    <w:rsid w:val="00DB38F2"/>
    <w:rsid w:val="00DB3C5A"/>
    <w:rsid w:val="00DB3E9B"/>
    <w:rsid w:val="00DB3F4B"/>
    <w:rsid w:val="00DB495F"/>
    <w:rsid w:val="00DB4A80"/>
    <w:rsid w:val="00DB5375"/>
    <w:rsid w:val="00DB6003"/>
    <w:rsid w:val="00DB6103"/>
    <w:rsid w:val="00DB6769"/>
    <w:rsid w:val="00DB67C1"/>
    <w:rsid w:val="00DB6C0B"/>
    <w:rsid w:val="00DB70F4"/>
    <w:rsid w:val="00DB748A"/>
    <w:rsid w:val="00DB7AC2"/>
    <w:rsid w:val="00DB7CB7"/>
    <w:rsid w:val="00DC1056"/>
    <w:rsid w:val="00DC1442"/>
    <w:rsid w:val="00DC1781"/>
    <w:rsid w:val="00DC21D8"/>
    <w:rsid w:val="00DC282A"/>
    <w:rsid w:val="00DC2DE8"/>
    <w:rsid w:val="00DC3054"/>
    <w:rsid w:val="00DC34DC"/>
    <w:rsid w:val="00DC3780"/>
    <w:rsid w:val="00DC3ADA"/>
    <w:rsid w:val="00DC3CC6"/>
    <w:rsid w:val="00DC3F55"/>
    <w:rsid w:val="00DC4782"/>
    <w:rsid w:val="00DC4B02"/>
    <w:rsid w:val="00DC514A"/>
    <w:rsid w:val="00DC67B1"/>
    <w:rsid w:val="00DC7EAE"/>
    <w:rsid w:val="00DC7FBC"/>
    <w:rsid w:val="00DD0019"/>
    <w:rsid w:val="00DD132B"/>
    <w:rsid w:val="00DD1571"/>
    <w:rsid w:val="00DD1725"/>
    <w:rsid w:val="00DD2159"/>
    <w:rsid w:val="00DD218B"/>
    <w:rsid w:val="00DD28BA"/>
    <w:rsid w:val="00DD2A18"/>
    <w:rsid w:val="00DD3044"/>
    <w:rsid w:val="00DD33D1"/>
    <w:rsid w:val="00DD3985"/>
    <w:rsid w:val="00DD5A55"/>
    <w:rsid w:val="00DD61E8"/>
    <w:rsid w:val="00DD62C0"/>
    <w:rsid w:val="00DD63F8"/>
    <w:rsid w:val="00DD64DE"/>
    <w:rsid w:val="00DD66DE"/>
    <w:rsid w:val="00DD7197"/>
    <w:rsid w:val="00DD76DA"/>
    <w:rsid w:val="00DD7859"/>
    <w:rsid w:val="00DD7B41"/>
    <w:rsid w:val="00DE0784"/>
    <w:rsid w:val="00DE0A1D"/>
    <w:rsid w:val="00DE1584"/>
    <w:rsid w:val="00DE15B2"/>
    <w:rsid w:val="00DE1A9A"/>
    <w:rsid w:val="00DE3D2C"/>
    <w:rsid w:val="00DE57D0"/>
    <w:rsid w:val="00DE5E82"/>
    <w:rsid w:val="00DE5EC5"/>
    <w:rsid w:val="00DE5F7F"/>
    <w:rsid w:val="00DE5FA6"/>
    <w:rsid w:val="00DE5FC9"/>
    <w:rsid w:val="00DE6792"/>
    <w:rsid w:val="00DE6AA1"/>
    <w:rsid w:val="00DE77A3"/>
    <w:rsid w:val="00DE7EF7"/>
    <w:rsid w:val="00DF015B"/>
    <w:rsid w:val="00DF02EC"/>
    <w:rsid w:val="00DF0404"/>
    <w:rsid w:val="00DF10FC"/>
    <w:rsid w:val="00DF1185"/>
    <w:rsid w:val="00DF1299"/>
    <w:rsid w:val="00DF132C"/>
    <w:rsid w:val="00DF155A"/>
    <w:rsid w:val="00DF1620"/>
    <w:rsid w:val="00DF1A70"/>
    <w:rsid w:val="00DF1E5F"/>
    <w:rsid w:val="00DF224B"/>
    <w:rsid w:val="00DF23A8"/>
    <w:rsid w:val="00DF2EE1"/>
    <w:rsid w:val="00DF2F27"/>
    <w:rsid w:val="00DF36B6"/>
    <w:rsid w:val="00DF4296"/>
    <w:rsid w:val="00DF4E8F"/>
    <w:rsid w:val="00DF5267"/>
    <w:rsid w:val="00DF53F0"/>
    <w:rsid w:val="00DF5700"/>
    <w:rsid w:val="00DF5F38"/>
    <w:rsid w:val="00DF604C"/>
    <w:rsid w:val="00DF6075"/>
    <w:rsid w:val="00DF6608"/>
    <w:rsid w:val="00DF6CCC"/>
    <w:rsid w:val="00DF6D0C"/>
    <w:rsid w:val="00DF6F64"/>
    <w:rsid w:val="00DF721E"/>
    <w:rsid w:val="00DF72F3"/>
    <w:rsid w:val="00DF73CD"/>
    <w:rsid w:val="00DF7549"/>
    <w:rsid w:val="00DF78D0"/>
    <w:rsid w:val="00DF7B8A"/>
    <w:rsid w:val="00DF7C87"/>
    <w:rsid w:val="00E009B0"/>
    <w:rsid w:val="00E00A12"/>
    <w:rsid w:val="00E00B39"/>
    <w:rsid w:val="00E00C49"/>
    <w:rsid w:val="00E01C9C"/>
    <w:rsid w:val="00E01D7A"/>
    <w:rsid w:val="00E01FF4"/>
    <w:rsid w:val="00E0219D"/>
    <w:rsid w:val="00E030D1"/>
    <w:rsid w:val="00E032D9"/>
    <w:rsid w:val="00E03D4C"/>
    <w:rsid w:val="00E04482"/>
    <w:rsid w:val="00E04C0F"/>
    <w:rsid w:val="00E05510"/>
    <w:rsid w:val="00E0570B"/>
    <w:rsid w:val="00E05B1D"/>
    <w:rsid w:val="00E069C5"/>
    <w:rsid w:val="00E102E1"/>
    <w:rsid w:val="00E1065D"/>
    <w:rsid w:val="00E10913"/>
    <w:rsid w:val="00E10B87"/>
    <w:rsid w:val="00E121CE"/>
    <w:rsid w:val="00E12209"/>
    <w:rsid w:val="00E12FE9"/>
    <w:rsid w:val="00E1362E"/>
    <w:rsid w:val="00E144C4"/>
    <w:rsid w:val="00E14585"/>
    <w:rsid w:val="00E1478B"/>
    <w:rsid w:val="00E14FAC"/>
    <w:rsid w:val="00E15007"/>
    <w:rsid w:val="00E15102"/>
    <w:rsid w:val="00E15DC6"/>
    <w:rsid w:val="00E16277"/>
    <w:rsid w:val="00E16EC7"/>
    <w:rsid w:val="00E17DCC"/>
    <w:rsid w:val="00E20627"/>
    <w:rsid w:val="00E219CE"/>
    <w:rsid w:val="00E21D93"/>
    <w:rsid w:val="00E22A86"/>
    <w:rsid w:val="00E22D2A"/>
    <w:rsid w:val="00E24071"/>
    <w:rsid w:val="00E24142"/>
    <w:rsid w:val="00E24DCA"/>
    <w:rsid w:val="00E24EBC"/>
    <w:rsid w:val="00E2522C"/>
    <w:rsid w:val="00E2552F"/>
    <w:rsid w:val="00E2599B"/>
    <w:rsid w:val="00E2656E"/>
    <w:rsid w:val="00E26759"/>
    <w:rsid w:val="00E2710C"/>
    <w:rsid w:val="00E272BD"/>
    <w:rsid w:val="00E27428"/>
    <w:rsid w:val="00E305B4"/>
    <w:rsid w:val="00E305DE"/>
    <w:rsid w:val="00E31AFA"/>
    <w:rsid w:val="00E31CB7"/>
    <w:rsid w:val="00E32463"/>
    <w:rsid w:val="00E324EE"/>
    <w:rsid w:val="00E3367B"/>
    <w:rsid w:val="00E34D2F"/>
    <w:rsid w:val="00E34DB1"/>
    <w:rsid w:val="00E35931"/>
    <w:rsid w:val="00E359FF"/>
    <w:rsid w:val="00E36337"/>
    <w:rsid w:val="00E3699A"/>
    <w:rsid w:val="00E371E1"/>
    <w:rsid w:val="00E37BFE"/>
    <w:rsid w:val="00E402C5"/>
    <w:rsid w:val="00E402F4"/>
    <w:rsid w:val="00E405F1"/>
    <w:rsid w:val="00E4076D"/>
    <w:rsid w:val="00E40913"/>
    <w:rsid w:val="00E417DB"/>
    <w:rsid w:val="00E41998"/>
    <w:rsid w:val="00E41BB1"/>
    <w:rsid w:val="00E423C5"/>
    <w:rsid w:val="00E427A0"/>
    <w:rsid w:val="00E43054"/>
    <w:rsid w:val="00E432D1"/>
    <w:rsid w:val="00E433B4"/>
    <w:rsid w:val="00E43655"/>
    <w:rsid w:val="00E44440"/>
    <w:rsid w:val="00E44A8B"/>
    <w:rsid w:val="00E45958"/>
    <w:rsid w:val="00E46013"/>
    <w:rsid w:val="00E4673F"/>
    <w:rsid w:val="00E46839"/>
    <w:rsid w:val="00E46DAD"/>
    <w:rsid w:val="00E47099"/>
    <w:rsid w:val="00E47284"/>
    <w:rsid w:val="00E477C3"/>
    <w:rsid w:val="00E5017E"/>
    <w:rsid w:val="00E50734"/>
    <w:rsid w:val="00E5140B"/>
    <w:rsid w:val="00E51E16"/>
    <w:rsid w:val="00E52990"/>
    <w:rsid w:val="00E52DED"/>
    <w:rsid w:val="00E53593"/>
    <w:rsid w:val="00E53730"/>
    <w:rsid w:val="00E5410A"/>
    <w:rsid w:val="00E5438D"/>
    <w:rsid w:val="00E54511"/>
    <w:rsid w:val="00E54E50"/>
    <w:rsid w:val="00E55288"/>
    <w:rsid w:val="00E56429"/>
    <w:rsid w:val="00E5682A"/>
    <w:rsid w:val="00E57577"/>
    <w:rsid w:val="00E57CDA"/>
    <w:rsid w:val="00E600E5"/>
    <w:rsid w:val="00E60F05"/>
    <w:rsid w:val="00E62043"/>
    <w:rsid w:val="00E626B9"/>
    <w:rsid w:val="00E627C9"/>
    <w:rsid w:val="00E630F3"/>
    <w:rsid w:val="00E6332F"/>
    <w:rsid w:val="00E637A5"/>
    <w:rsid w:val="00E637C9"/>
    <w:rsid w:val="00E6402D"/>
    <w:rsid w:val="00E64322"/>
    <w:rsid w:val="00E64A19"/>
    <w:rsid w:val="00E65AE0"/>
    <w:rsid w:val="00E6680A"/>
    <w:rsid w:val="00E66960"/>
    <w:rsid w:val="00E669E3"/>
    <w:rsid w:val="00E66D44"/>
    <w:rsid w:val="00E66F0D"/>
    <w:rsid w:val="00E679F6"/>
    <w:rsid w:val="00E67BFA"/>
    <w:rsid w:val="00E7004F"/>
    <w:rsid w:val="00E70615"/>
    <w:rsid w:val="00E7159E"/>
    <w:rsid w:val="00E7161E"/>
    <w:rsid w:val="00E71BE3"/>
    <w:rsid w:val="00E72004"/>
    <w:rsid w:val="00E7207B"/>
    <w:rsid w:val="00E722CF"/>
    <w:rsid w:val="00E72880"/>
    <w:rsid w:val="00E7347A"/>
    <w:rsid w:val="00E73798"/>
    <w:rsid w:val="00E7384D"/>
    <w:rsid w:val="00E75383"/>
    <w:rsid w:val="00E75A36"/>
    <w:rsid w:val="00E75A47"/>
    <w:rsid w:val="00E75BB6"/>
    <w:rsid w:val="00E75C2B"/>
    <w:rsid w:val="00E75D8C"/>
    <w:rsid w:val="00E7719C"/>
    <w:rsid w:val="00E7757E"/>
    <w:rsid w:val="00E777F2"/>
    <w:rsid w:val="00E802C9"/>
    <w:rsid w:val="00E80BFB"/>
    <w:rsid w:val="00E80EC2"/>
    <w:rsid w:val="00E80F0A"/>
    <w:rsid w:val="00E81334"/>
    <w:rsid w:val="00E815D4"/>
    <w:rsid w:val="00E818FD"/>
    <w:rsid w:val="00E819BA"/>
    <w:rsid w:val="00E8291B"/>
    <w:rsid w:val="00E82E70"/>
    <w:rsid w:val="00E82F92"/>
    <w:rsid w:val="00E8395F"/>
    <w:rsid w:val="00E83C3D"/>
    <w:rsid w:val="00E83ECB"/>
    <w:rsid w:val="00E8408E"/>
    <w:rsid w:val="00E8410F"/>
    <w:rsid w:val="00E84358"/>
    <w:rsid w:val="00E84650"/>
    <w:rsid w:val="00E849D7"/>
    <w:rsid w:val="00E8559B"/>
    <w:rsid w:val="00E85868"/>
    <w:rsid w:val="00E85E41"/>
    <w:rsid w:val="00E85EA1"/>
    <w:rsid w:val="00E86703"/>
    <w:rsid w:val="00E86C01"/>
    <w:rsid w:val="00E87F57"/>
    <w:rsid w:val="00E900DA"/>
    <w:rsid w:val="00E91044"/>
    <w:rsid w:val="00E910D3"/>
    <w:rsid w:val="00E91CBA"/>
    <w:rsid w:val="00E92097"/>
    <w:rsid w:val="00E92154"/>
    <w:rsid w:val="00E923CF"/>
    <w:rsid w:val="00E93685"/>
    <w:rsid w:val="00E93B65"/>
    <w:rsid w:val="00E93C8C"/>
    <w:rsid w:val="00E93FED"/>
    <w:rsid w:val="00E95111"/>
    <w:rsid w:val="00E95D57"/>
    <w:rsid w:val="00E95FDF"/>
    <w:rsid w:val="00E960AD"/>
    <w:rsid w:val="00E9677F"/>
    <w:rsid w:val="00E96898"/>
    <w:rsid w:val="00E97043"/>
    <w:rsid w:val="00E97A16"/>
    <w:rsid w:val="00EA0185"/>
    <w:rsid w:val="00EA02A8"/>
    <w:rsid w:val="00EA14C8"/>
    <w:rsid w:val="00EA2110"/>
    <w:rsid w:val="00EA24AF"/>
    <w:rsid w:val="00EA283A"/>
    <w:rsid w:val="00EA2C90"/>
    <w:rsid w:val="00EA2E07"/>
    <w:rsid w:val="00EA383B"/>
    <w:rsid w:val="00EA44ED"/>
    <w:rsid w:val="00EA48F3"/>
    <w:rsid w:val="00EA4D46"/>
    <w:rsid w:val="00EA526B"/>
    <w:rsid w:val="00EA60BF"/>
    <w:rsid w:val="00EA6C71"/>
    <w:rsid w:val="00EA71B5"/>
    <w:rsid w:val="00EA7365"/>
    <w:rsid w:val="00EA763F"/>
    <w:rsid w:val="00EA77E9"/>
    <w:rsid w:val="00EA7BBA"/>
    <w:rsid w:val="00EA7E61"/>
    <w:rsid w:val="00EB0548"/>
    <w:rsid w:val="00EB05D0"/>
    <w:rsid w:val="00EB1151"/>
    <w:rsid w:val="00EB1D49"/>
    <w:rsid w:val="00EB23D9"/>
    <w:rsid w:val="00EB39A0"/>
    <w:rsid w:val="00EB430A"/>
    <w:rsid w:val="00EB4CB9"/>
    <w:rsid w:val="00EB4EF7"/>
    <w:rsid w:val="00EB559F"/>
    <w:rsid w:val="00EB566C"/>
    <w:rsid w:val="00EB5A18"/>
    <w:rsid w:val="00EB5D09"/>
    <w:rsid w:val="00EB5F3D"/>
    <w:rsid w:val="00EB6C97"/>
    <w:rsid w:val="00EB7E87"/>
    <w:rsid w:val="00EC0317"/>
    <w:rsid w:val="00EC1CEB"/>
    <w:rsid w:val="00EC1DC0"/>
    <w:rsid w:val="00EC1DC2"/>
    <w:rsid w:val="00EC1E09"/>
    <w:rsid w:val="00EC210E"/>
    <w:rsid w:val="00EC21EC"/>
    <w:rsid w:val="00EC24B8"/>
    <w:rsid w:val="00EC268C"/>
    <w:rsid w:val="00EC3753"/>
    <w:rsid w:val="00EC3FB6"/>
    <w:rsid w:val="00EC471E"/>
    <w:rsid w:val="00EC4E71"/>
    <w:rsid w:val="00EC5409"/>
    <w:rsid w:val="00EC5B29"/>
    <w:rsid w:val="00EC5BC4"/>
    <w:rsid w:val="00EC5F1C"/>
    <w:rsid w:val="00EC7AEB"/>
    <w:rsid w:val="00ED0365"/>
    <w:rsid w:val="00ED0512"/>
    <w:rsid w:val="00ED0865"/>
    <w:rsid w:val="00ED0C1C"/>
    <w:rsid w:val="00ED1353"/>
    <w:rsid w:val="00ED1C60"/>
    <w:rsid w:val="00ED2EB9"/>
    <w:rsid w:val="00ED3722"/>
    <w:rsid w:val="00ED3A31"/>
    <w:rsid w:val="00ED4214"/>
    <w:rsid w:val="00ED4469"/>
    <w:rsid w:val="00ED5424"/>
    <w:rsid w:val="00ED5F23"/>
    <w:rsid w:val="00ED6DC0"/>
    <w:rsid w:val="00ED7A7A"/>
    <w:rsid w:val="00ED7F9C"/>
    <w:rsid w:val="00EE0327"/>
    <w:rsid w:val="00EE038C"/>
    <w:rsid w:val="00EE060A"/>
    <w:rsid w:val="00EE105A"/>
    <w:rsid w:val="00EE187A"/>
    <w:rsid w:val="00EE197F"/>
    <w:rsid w:val="00EE1D00"/>
    <w:rsid w:val="00EE1F23"/>
    <w:rsid w:val="00EE21F9"/>
    <w:rsid w:val="00EE259E"/>
    <w:rsid w:val="00EE25C8"/>
    <w:rsid w:val="00EE28C5"/>
    <w:rsid w:val="00EE2F09"/>
    <w:rsid w:val="00EE3244"/>
    <w:rsid w:val="00EE3FB2"/>
    <w:rsid w:val="00EE47C5"/>
    <w:rsid w:val="00EE490C"/>
    <w:rsid w:val="00EE4E57"/>
    <w:rsid w:val="00EE5738"/>
    <w:rsid w:val="00EE58BD"/>
    <w:rsid w:val="00EE5DDB"/>
    <w:rsid w:val="00EE5E59"/>
    <w:rsid w:val="00EE6108"/>
    <w:rsid w:val="00EE706B"/>
    <w:rsid w:val="00EE73D0"/>
    <w:rsid w:val="00EE7CB0"/>
    <w:rsid w:val="00EE7CD1"/>
    <w:rsid w:val="00EF08A8"/>
    <w:rsid w:val="00EF167B"/>
    <w:rsid w:val="00EF1C90"/>
    <w:rsid w:val="00EF2496"/>
    <w:rsid w:val="00EF2647"/>
    <w:rsid w:val="00EF270A"/>
    <w:rsid w:val="00EF41A8"/>
    <w:rsid w:val="00EF44FB"/>
    <w:rsid w:val="00EF474F"/>
    <w:rsid w:val="00EF5122"/>
    <w:rsid w:val="00EF5554"/>
    <w:rsid w:val="00EF5AD8"/>
    <w:rsid w:val="00EF6B90"/>
    <w:rsid w:val="00EF6DD7"/>
    <w:rsid w:val="00EF70C9"/>
    <w:rsid w:val="00EF741E"/>
    <w:rsid w:val="00EF7807"/>
    <w:rsid w:val="00EF79F7"/>
    <w:rsid w:val="00F006C0"/>
    <w:rsid w:val="00F00EB1"/>
    <w:rsid w:val="00F0125F"/>
    <w:rsid w:val="00F0176A"/>
    <w:rsid w:val="00F019AA"/>
    <w:rsid w:val="00F0267E"/>
    <w:rsid w:val="00F02686"/>
    <w:rsid w:val="00F030C0"/>
    <w:rsid w:val="00F03114"/>
    <w:rsid w:val="00F03291"/>
    <w:rsid w:val="00F03A85"/>
    <w:rsid w:val="00F04052"/>
    <w:rsid w:val="00F04314"/>
    <w:rsid w:val="00F0459B"/>
    <w:rsid w:val="00F04E15"/>
    <w:rsid w:val="00F056EC"/>
    <w:rsid w:val="00F05DF3"/>
    <w:rsid w:val="00F06829"/>
    <w:rsid w:val="00F069EA"/>
    <w:rsid w:val="00F06A4B"/>
    <w:rsid w:val="00F06A69"/>
    <w:rsid w:val="00F070E5"/>
    <w:rsid w:val="00F07D5E"/>
    <w:rsid w:val="00F07DDE"/>
    <w:rsid w:val="00F10396"/>
    <w:rsid w:val="00F10F30"/>
    <w:rsid w:val="00F11675"/>
    <w:rsid w:val="00F123DA"/>
    <w:rsid w:val="00F12557"/>
    <w:rsid w:val="00F1268D"/>
    <w:rsid w:val="00F127C8"/>
    <w:rsid w:val="00F12881"/>
    <w:rsid w:val="00F12C62"/>
    <w:rsid w:val="00F13321"/>
    <w:rsid w:val="00F134BA"/>
    <w:rsid w:val="00F13599"/>
    <w:rsid w:val="00F13A71"/>
    <w:rsid w:val="00F13B28"/>
    <w:rsid w:val="00F14DCD"/>
    <w:rsid w:val="00F151AB"/>
    <w:rsid w:val="00F156A0"/>
    <w:rsid w:val="00F15730"/>
    <w:rsid w:val="00F15AB9"/>
    <w:rsid w:val="00F16B7A"/>
    <w:rsid w:val="00F16CE3"/>
    <w:rsid w:val="00F176A6"/>
    <w:rsid w:val="00F17A24"/>
    <w:rsid w:val="00F202C2"/>
    <w:rsid w:val="00F204B3"/>
    <w:rsid w:val="00F20C3D"/>
    <w:rsid w:val="00F2124C"/>
    <w:rsid w:val="00F212F6"/>
    <w:rsid w:val="00F217F8"/>
    <w:rsid w:val="00F2190F"/>
    <w:rsid w:val="00F22756"/>
    <w:rsid w:val="00F23248"/>
    <w:rsid w:val="00F23700"/>
    <w:rsid w:val="00F23890"/>
    <w:rsid w:val="00F23CD8"/>
    <w:rsid w:val="00F249A1"/>
    <w:rsid w:val="00F24FBA"/>
    <w:rsid w:val="00F2504D"/>
    <w:rsid w:val="00F2595D"/>
    <w:rsid w:val="00F25B26"/>
    <w:rsid w:val="00F2637F"/>
    <w:rsid w:val="00F268F7"/>
    <w:rsid w:val="00F30B83"/>
    <w:rsid w:val="00F30BDB"/>
    <w:rsid w:val="00F30CF8"/>
    <w:rsid w:val="00F31402"/>
    <w:rsid w:val="00F31EDF"/>
    <w:rsid w:val="00F32507"/>
    <w:rsid w:val="00F327D9"/>
    <w:rsid w:val="00F32CDE"/>
    <w:rsid w:val="00F32D4C"/>
    <w:rsid w:val="00F3327E"/>
    <w:rsid w:val="00F33746"/>
    <w:rsid w:val="00F338C3"/>
    <w:rsid w:val="00F3401D"/>
    <w:rsid w:val="00F34B14"/>
    <w:rsid w:val="00F34CF1"/>
    <w:rsid w:val="00F34E35"/>
    <w:rsid w:val="00F34F58"/>
    <w:rsid w:val="00F3572F"/>
    <w:rsid w:val="00F35750"/>
    <w:rsid w:val="00F35DA7"/>
    <w:rsid w:val="00F35E35"/>
    <w:rsid w:val="00F36A6A"/>
    <w:rsid w:val="00F40101"/>
    <w:rsid w:val="00F404F7"/>
    <w:rsid w:val="00F40CCA"/>
    <w:rsid w:val="00F41968"/>
    <w:rsid w:val="00F41E02"/>
    <w:rsid w:val="00F42AA4"/>
    <w:rsid w:val="00F42D97"/>
    <w:rsid w:val="00F42F0E"/>
    <w:rsid w:val="00F42FCF"/>
    <w:rsid w:val="00F436B2"/>
    <w:rsid w:val="00F43813"/>
    <w:rsid w:val="00F43FEE"/>
    <w:rsid w:val="00F440B0"/>
    <w:rsid w:val="00F44114"/>
    <w:rsid w:val="00F4492F"/>
    <w:rsid w:val="00F44D46"/>
    <w:rsid w:val="00F45030"/>
    <w:rsid w:val="00F45A72"/>
    <w:rsid w:val="00F46723"/>
    <w:rsid w:val="00F46A81"/>
    <w:rsid w:val="00F4706D"/>
    <w:rsid w:val="00F47309"/>
    <w:rsid w:val="00F476E1"/>
    <w:rsid w:val="00F47855"/>
    <w:rsid w:val="00F47D1D"/>
    <w:rsid w:val="00F47F29"/>
    <w:rsid w:val="00F50016"/>
    <w:rsid w:val="00F5118A"/>
    <w:rsid w:val="00F515F3"/>
    <w:rsid w:val="00F51A21"/>
    <w:rsid w:val="00F51A35"/>
    <w:rsid w:val="00F523B9"/>
    <w:rsid w:val="00F52614"/>
    <w:rsid w:val="00F5276E"/>
    <w:rsid w:val="00F52E9F"/>
    <w:rsid w:val="00F532B2"/>
    <w:rsid w:val="00F53304"/>
    <w:rsid w:val="00F534C0"/>
    <w:rsid w:val="00F53B81"/>
    <w:rsid w:val="00F53C15"/>
    <w:rsid w:val="00F540FE"/>
    <w:rsid w:val="00F542F3"/>
    <w:rsid w:val="00F5459A"/>
    <w:rsid w:val="00F556FF"/>
    <w:rsid w:val="00F55783"/>
    <w:rsid w:val="00F55D12"/>
    <w:rsid w:val="00F56836"/>
    <w:rsid w:val="00F5687F"/>
    <w:rsid w:val="00F56A02"/>
    <w:rsid w:val="00F56B58"/>
    <w:rsid w:val="00F56D3F"/>
    <w:rsid w:val="00F571AD"/>
    <w:rsid w:val="00F5725B"/>
    <w:rsid w:val="00F575C7"/>
    <w:rsid w:val="00F57CC1"/>
    <w:rsid w:val="00F57DF7"/>
    <w:rsid w:val="00F57FD0"/>
    <w:rsid w:val="00F60305"/>
    <w:rsid w:val="00F61B12"/>
    <w:rsid w:val="00F61C70"/>
    <w:rsid w:val="00F627D8"/>
    <w:rsid w:val="00F62869"/>
    <w:rsid w:val="00F62ED4"/>
    <w:rsid w:val="00F63264"/>
    <w:rsid w:val="00F634E4"/>
    <w:rsid w:val="00F6379E"/>
    <w:rsid w:val="00F64047"/>
    <w:rsid w:val="00F65171"/>
    <w:rsid w:val="00F6533A"/>
    <w:rsid w:val="00F6560D"/>
    <w:rsid w:val="00F6676A"/>
    <w:rsid w:val="00F669BD"/>
    <w:rsid w:val="00F67844"/>
    <w:rsid w:val="00F67B09"/>
    <w:rsid w:val="00F70221"/>
    <w:rsid w:val="00F705F6"/>
    <w:rsid w:val="00F70795"/>
    <w:rsid w:val="00F70799"/>
    <w:rsid w:val="00F70A8B"/>
    <w:rsid w:val="00F70B8D"/>
    <w:rsid w:val="00F70F0F"/>
    <w:rsid w:val="00F71936"/>
    <w:rsid w:val="00F71F81"/>
    <w:rsid w:val="00F724FB"/>
    <w:rsid w:val="00F726B8"/>
    <w:rsid w:val="00F72A26"/>
    <w:rsid w:val="00F733C3"/>
    <w:rsid w:val="00F73E15"/>
    <w:rsid w:val="00F746A1"/>
    <w:rsid w:val="00F74820"/>
    <w:rsid w:val="00F74F08"/>
    <w:rsid w:val="00F7506D"/>
    <w:rsid w:val="00F755DD"/>
    <w:rsid w:val="00F756DD"/>
    <w:rsid w:val="00F77F4E"/>
    <w:rsid w:val="00F80047"/>
    <w:rsid w:val="00F800C7"/>
    <w:rsid w:val="00F8010B"/>
    <w:rsid w:val="00F80361"/>
    <w:rsid w:val="00F8104D"/>
    <w:rsid w:val="00F8153F"/>
    <w:rsid w:val="00F81587"/>
    <w:rsid w:val="00F819C3"/>
    <w:rsid w:val="00F81B2A"/>
    <w:rsid w:val="00F81B4C"/>
    <w:rsid w:val="00F81C12"/>
    <w:rsid w:val="00F81D9A"/>
    <w:rsid w:val="00F81DE7"/>
    <w:rsid w:val="00F8263C"/>
    <w:rsid w:val="00F8288F"/>
    <w:rsid w:val="00F82DD3"/>
    <w:rsid w:val="00F8376E"/>
    <w:rsid w:val="00F83C52"/>
    <w:rsid w:val="00F840EC"/>
    <w:rsid w:val="00F84802"/>
    <w:rsid w:val="00F84948"/>
    <w:rsid w:val="00F84B25"/>
    <w:rsid w:val="00F85B72"/>
    <w:rsid w:val="00F8652A"/>
    <w:rsid w:val="00F86540"/>
    <w:rsid w:val="00F865CE"/>
    <w:rsid w:val="00F8766F"/>
    <w:rsid w:val="00F901B3"/>
    <w:rsid w:val="00F90282"/>
    <w:rsid w:val="00F90BC8"/>
    <w:rsid w:val="00F91082"/>
    <w:rsid w:val="00F9116D"/>
    <w:rsid w:val="00F91171"/>
    <w:rsid w:val="00F91342"/>
    <w:rsid w:val="00F91A9A"/>
    <w:rsid w:val="00F923AF"/>
    <w:rsid w:val="00F92634"/>
    <w:rsid w:val="00F933F3"/>
    <w:rsid w:val="00F93ABA"/>
    <w:rsid w:val="00F93ABB"/>
    <w:rsid w:val="00F94D79"/>
    <w:rsid w:val="00F95AEF"/>
    <w:rsid w:val="00F9658C"/>
    <w:rsid w:val="00F96EEB"/>
    <w:rsid w:val="00F9775D"/>
    <w:rsid w:val="00F97A7F"/>
    <w:rsid w:val="00F97CD0"/>
    <w:rsid w:val="00F97D7A"/>
    <w:rsid w:val="00FA0152"/>
    <w:rsid w:val="00FA0889"/>
    <w:rsid w:val="00FA16E7"/>
    <w:rsid w:val="00FA1D69"/>
    <w:rsid w:val="00FA2897"/>
    <w:rsid w:val="00FA31C7"/>
    <w:rsid w:val="00FA4394"/>
    <w:rsid w:val="00FA472D"/>
    <w:rsid w:val="00FA4A82"/>
    <w:rsid w:val="00FA5A92"/>
    <w:rsid w:val="00FA681F"/>
    <w:rsid w:val="00FA7373"/>
    <w:rsid w:val="00FB0261"/>
    <w:rsid w:val="00FB0CBF"/>
    <w:rsid w:val="00FB18F6"/>
    <w:rsid w:val="00FB2A52"/>
    <w:rsid w:val="00FB3961"/>
    <w:rsid w:val="00FB39E0"/>
    <w:rsid w:val="00FB3F92"/>
    <w:rsid w:val="00FB52C7"/>
    <w:rsid w:val="00FB57DC"/>
    <w:rsid w:val="00FB5915"/>
    <w:rsid w:val="00FB6E19"/>
    <w:rsid w:val="00FB71F6"/>
    <w:rsid w:val="00FB74F1"/>
    <w:rsid w:val="00FC0670"/>
    <w:rsid w:val="00FC07AF"/>
    <w:rsid w:val="00FC0AF8"/>
    <w:rsid w:val="00FC0B69"/>
    <w:rsid w:val="00FC1055"/>
    <w:rsid w:val="00FC1238"/>
    <w:rsid w:val="00FC1483"/>
    <w:rsid w:val="00FC1BEF"/>
    <w:rsid w:val="00FC1C47"/>
    <w:rsid w:val="00FC1EA7"/>
    <w:rsid w:val="00FC26DB"/>
    <w:rsid w:val="00FC2866"/>
    <w:rsid w:val="00FC2869"/>
    <w:rsid w:val="00FC2F9E"/>
    <w:rsid w:val="00FC3102"/>
    <w:rsid w:val="00FC3848"/>
    <w:rsid w:val="00FC39ED"/>
    <w:rsid w:val="00FC3D40"/>
    <w:rsid w:val="00FC4419"/>
    <w:rsid w:val="00FC47E2"/>
    <w:rsid w:val="00FC4AA5"/>
    <w:rsid w:val="00FC4B88"/>
    <w:rsid w:val="00FC4BB8"/>
    <w:rsid w:val="00FC4DD8"/>
    <w:rsid w:val="00FC5148"/>
    <w:rsid w:val="00FC56F0"/>
    <w:rsid w:val="00FC6524"/>
    <w:rsid w:val="00FC6B58"/>
    <w:rsid w:val="00FC6DE3"/>
    <w:rsid w:val="00FC711D"/>
    <w:rsid w:val="00FC75AC"/>
    <w:rsid w:val="00FC7984"/>
    <w:rsid w:val="00FD01BF"/>
    <w:rsid w:val="00FD0525"/>
    <w:rsid w:val="00FD0AB7"/>
    <w:rsid w:val="00FD1000"/>
    <w:rsid w:val="00FD15F8"/>
    <w:rsid w:val="00FD297D"/>
    <w:rsid w:val="00FD29A8"/>
    <w:rsid w:val="00FD2D13"/>
    <w:rsid w:val="00FD374D"/>
    <w:rsid w:val="00FD40F7"/>
    <w:rsid w:val="00FD4D2A"/>
    <w:rsid w:val="00FD5FA5"/>
    <w:rsid w:val="00FD6071"/>
    <w:rsid w:val="00FD633B"/>
    <w:rsid w:val="00FD66ED"/>
    <w:rsid w:val="00FD6ABA"/>
    <w:rsid w:val="00FD7AAD"/>
    <w:rsid w:val="00FE02C5"/>
    <w:rsid w:val="00FE0794"/>
    <w:rsid w:val="00FE1041"/>
    <w:rsid w:val="00FE1614"/>
    <w:rsid w:val="00FE1D32"/>
    <w:rsid w:val="00FE24CB"/>
    <w:rsid w:val="00FE323F"/>
    <w:rsid w:val="00FE3473"/>
    <w:rsid w:val="00FE38E5"/>
    <w:rsid w:val="00FE4049"/>
    <w:rsid w:val="00FE4794"/>
    <w:rsid w:val="00FE480F"/>
    <w:rsid w:val="00FE4998"/>
    <w:rsid w:val="00FE4CA2"/>
    <w:rsid w:val="00FE5382"/>
    <w:rsid w:val="00FE57DE"/>
    <w:rsid w:val="00FE6715"/>
    <w:rsid w:val="00FE719F"/>
    <w:rsid w:val="00FE795F"/>
    <w:rsid w:val="00FE7A68"/>
    <w:rsid w:val="00FF00A3"/>
    <w:rsid w:val="00FF0231"/>
    <w:rsid w:val="00FF056D"/>
    <w:rsid w:val="00FF0F87"/>
    <w:rsid w:val="00FF19D5"/>
    <w:rsid w:val="00FF1C9B"/>
    <w:rsid w:val="00FF1D49"/>
    <w:rsid w:val="00FF203B"/>
    <w:rsid w:val="00FF2562"/>
    <w:rsid w:val="00FF3A41"/>
    <w:rsid w:val="00FF3E5B"/>
    <w:rsid w:val="00FF5183"/>
    <w:rsid w:val="00FF57E4"/>
    <w:rsid w:val="00FF5E26"/>
    <w:rsid w:val="00FF5ECD"/>
    <w:rsid w:val="00FF6D57"/>
    <w:rsid w:val="00FF78E5"/>
    <w:rsid w:val="011E3D92"/>
    <w:rsid w:val="012C5FAF"/>
    <w:rsid w:val="0194674A"/>
    <w:rsid w:val="01AF3D99"/>
    <w:rsid w:val="01DA729B"/>
    <w:rsid w:val="02493090"/>
    <w:rsid w:val="02511F9D"/>
    <w:rsid w:val="037F7D18"/>
    <w:rsid w:val="03800D34"/>
    <w:rsid w:val="03A314B8"/>
    <w:rsid w:val="03D42E2E"/>
    <w:rsid w:val="03D8291E"/>
    <w:rsid w:val="03D82B98"/>
    <w:rsid w:val="03F83E8B"/>
    <w:rsid w:val="0422003D"/>
    <w:rsid w:val="048A2B2E"/>
    <w:rsid w:val="051E5F2B"/>
    <w:rsid w:val="054D7BBF"/>
    <w:rsid w:val="05C56868"/>
    <w:rsid w:val="0620235A"/>
    <w:rsid w:val="07A539BD"/>
    <w:rsid w:val="07B72767"/>
    <w:rsid w:val="08077E72"/>
    <w:rsid w:val="08882DD0"/>
    <w:rsid w:val="09063A89"/>
    <w:rsid w:val="093700E7"/>
    <w:rsid w:val="09816C5A"/>
    <w:rsid w:val="09CC2AAC"/>
    <w:rsid w:val="0A652D3E"/>
    <w:rsid w:val="0AF03373"/>
    <w:rsid w:val="0B326F2A"/>
    <w:rsid w:val="0C1E2888"/>
    <w:rsid w:val="0C3B6140"/>
    <w:rsid w:val="0C65001F"/>
    <w:rsid w:val="0C6E110E"/>
    <w:rsid w:val="0C92213C"/>
    <w:rsid w:val="0CC2027E"/>
    <w:rsid w:val="0CD36378"/>
    <w:rsid w:val="0CDE7F17"/>
    <w:rsid w:val="0D84032B"/>
    <w:rsid w:val="0E2C1E04"/>
    <w:rsid w:val="0ECD6DF7"/>
    <w:rsid w:val="0F1F58A5"/>
    <w:rsid w:val="0F221070"/>
    <w:rsid w:val="0F2A74C4"/>
    <w:rsid w:val="0FEBB0A6"/>
    <w:rsid w:val="10466E61"/>
    <w:rsid w:val="107C13BF"/>
    <w:rsid w:val="10A27F31"/>
    <w:rsid w:val="10AB31FB"/>
    <w:rsid w:val="10BB15FD"/>
    <w:rsid w:val="11927058"/>
    <w:rsid w:val="120E171E"/>
    <w:rsid w:val="12977E48"/>
    <w:rsid w:val="131A4664"/>
    <w:rsid w:val="131E40C5"/>
    <w:rsid w:val="13234007"/>
    <w:rsid w:val="138A175B"/>
    <w:rsid w:val="13AF4F03"/>
    <w:rsid w:val="13EF5C40"/>
    <w:rsid w:val="1467584C"/>
    <w:rsid w:val="14736E66"/>
    <w:rsid w:val="147F458F"/>
    <w:rsid w:val="1534169A"/>
    <w:rsid w:val="159A06F0"/>
    <w:rsid w:val="15C03E03"/>
    <w:rsid w:val="162A25EB"/>
    <w:rsid w:val="16353C00"/>
    <w:rsid w:val="16735895"/>
    <w:rsid w:val="16FD2A55"/>
    <w:rsid w:val="17067C1A"/>
    <w:rsid w:val="17366761"/>
    <w:rsid w:val="177C01F0"/>
    <w:rsid w:val="179E3EFA"/>
    <w:rsid w:val="17CE6630"/>
    <w:rsid w:val="18B04FBB"/>
    <w:rsid w:val="18F27B86"/>
    <w:rsid w:val="194A1770"/>
    <w:rsid w:val="1A7A6085"/>
    <w:rsid w:val="1AEC0E45"/>
    <w:rsid w:val="1AFF0AFE"/>
    <w:rsid w:val="1B4A1EFB"/>
    <w:rsid w:val="1B4F19F8"/>
    <w:rsid w:val="1BAF6501"/>
    <w:rsid w:val="1C014A65"/>
    <w:rsid w:val="1CAB69CA"/>
    <w:rsid w:val="1CBD4448"/>
    <w:rsid w:val="1D4129D2"/>
    <w:rsid w:val="1D521F2E"/>
    <w:rsid w:val="1DCB4E4A"/>
    <w:rsid w:val="1E94348E"/>
    <w:rsid w:val="1ECC44FA"/>
    <w:rsid w:val="1F063325"/>
    <w:rsid w:val="1F4A423B"/>
    <w:rsid w:val="1F5917DC"/>
    <w:rsid w:val="1F86727A"/>
    <w:rsid w:val="1FBC5DF5"/>
    <w:rsid w:val="1FEB4A86"/>
    <w:rsid w:val="1FF90588"/>
    <w:rsid w:val="20AE6A88"/>
    <w:rsid w:val="20C3623F"/>
    <w:rsid w:val="212C0DD2"/>
    <w:rsid w:val="21781212"/>
    <w:rsid w:val="21AB746C"/>
    <w:rsid w:val="21B83F86"/>
    <w:rsid w:val="21BE719F"/>
    <w:rsid w:val="221178A8"/>
    <w:rsid w:val="221213CF"/>
    <w:rsid w:val="22191650"/>
    <w:rsid w:val="22327A92"/>
    <w:rsid w:val="22BD2809"/>
    <w:rsid w:val="22D24DE0"/>
    <w:rsid w:val="231D53A2"/>
    <w:rsid w:val="23244DE0"/>
    <w:rsid w:val="236D5383"/>
    <w:rsid w:val="23B7504C"/>
    <w:rsid w:val="24571307"/>
    <w:rsid w:val="25110A2A"/>
    <w:rsid w:val="25220E45"/>
    <w:rsid w:val="256C0944"/>
    <w:rsid w:val="26446DE3"/>
    <w:rsid w:val="265C2B93"/>
    <w:rsid w:val="26877DFE"/>
    <w:rsid w:val="269669E7"/>
    <w:rsid w:val="26995AE5"/>
    <w:rsid w:val="26A270C1"/>
    <w:rsid w:val="26D7699F"/>
    <w:rsid w:val="27C600FF"/>
    <w:rsid w:val="27EF995E"/>
    <w:rsid w:val="280FE034"/>
    <w:rsid w:val="28B46C06"/>
    <w:rsid w:val="28CE4151"/>
    <w:rsid w:val="28DC43AF"/>
    <w:rsid w:val="28E13773"/>
    <w:rsid w:val="28F74D45"/>
    <w:rsid w:val="29200448"/>
    <w:rsid w:val="293722C0"/>
    <w:rsid w:val="295F273D"/>
    <w:rsid w:val="29A273A6"/>
    <w:rsid w:val="29D75F7F"/>
    <w:rsid w:val="29F11F0D"/>
    <w:rsid w:val="2B160523"/>
    <w:rsid w:val="2B774624"/>
    <w:rsid w:val="2BF34142"/>
    <w:rsid w:val="2C7A72BE"/>
    <w:rsid w:val="2C8258C4"/>
    <w:rsid w:val="2C9A7D75"/>
    <w:rsid w:val="2CC17412"/>
    <w:rsid w:val="2D7C1E99"/>
    <w:rsid w:val="2DB640F0"/>
    <w:rsid w:val="2E0917A2"/>
    <w:rsid w:val="2E2B796A"/>
    <w:rsid w:val="2E690B0F"/>
    <w:rsid w:val="2E9976CE"/>
    <w:rsid w:val="2EF01DEE"/>
    <w:rsid w:val="2F0623C1"/>
    <w:rsid w:val="2F401D3C"/>
    <w:rsid w:val="2F5B24E1"/>
    <w:rsid w:val="2F860BD0"/>
    <w:rsid w:val="2FA95C88"/>
    <w:rsid w:val="2FFF1077"/>
    <w:rsid w:val="3041370F"/>
    <w:rsid w:val="30B87FED"/>
    <w:rsid w:val="312B50A3"/>
    <w:rsid w:val="31894FD2"/>
    <w:rsid w:val="32453A27"/>
    <w:rsid w:val="3263064A"/>
    <w:rsid w:val="32A43132"/>
    <w:rsid w:val="32AC0C06"/>
    <w:rsid w:val="331A1D5C"/>
    <w:rsid w:val="33266C5B"/>
    <w:rsid w:val="3327AD6F"/>
    <w:rsid w:val="33344EF5"/>
    <w:rsid w:val="340E19B7"/>
    <w:rsid w:val="34CA77B1"/>
    <w:rsid w:val="35020CF9"/>
    <w:rsid w:val="3537750C"/>
    <w:rsid w:val="3537798C"/>
    <w:rsid w:val="35C13FC9"/>
    <w:rsid w:val="35FF41CE"/>
    <w:rsid w:val="36372B05"/>
    <w:rsid w:val="364257B6"/>
    <w:rsid w:val="36DF4D4F"/>
    <w:rsid w:val="36EE4EC6"/>
    <w:rsid w:val="37773FA5"/>
    <w:rsid w:val="37EA5922"/>
    <w:rsid w:val="37FFAB31"/>
    <w:rsid w:val="38276B93"/>
    <w:rsid w:val="382E58B8"/>
    <w:rsid w:val="38A65A19"/>
    <w:rsid w:val="38AC3431"/>
    <w:rsid w:val="392F2E16"/>
    <w:rsid w:val="39D60FA5"/>
    <w:rsid w:val="39E00529"/>
    <w:rsid w:val="3A0B64A7"/>
    <w:rsid w:val="3A574DDA"/>
    <w:rsid w:val="3A954BC7"/>
    <w:rsid w:val="3ACD1DA9"/>
    <w:rsid w:val="3AD3075A"/>
    <w:rsid w:val="3AEA64B7"/>
    <w:rsid w:val="3AF74C02"/>
    <w:rsid w:val="3B146A06"/>
    <w:rsid w:val="3B6E25D3"/>
    <w:rsid w:val="3C0059A5"/>
    <w:rsid w:val="3C134E78"/>
    <w:rsid w:val="3C55718D"/>
    <w:rsid w:val="3CB638C1"/>
    <w:rsid w:val="3CC81BC6"/>
    <w:rsid w:val="3D0A1651"/>
    <w:rsid w:val="3D583BAC"/>
    <w:rsid w:val="3DA0781E"/>
    <w:rsid w:val="3DDFBB12"/>
    <w:rsid w:val="3DE7BA5F"/>
    <w:rsid w:val="3DF6345D"/>
    <w:rsid w:val="3E2B5515"/>
    <w:rsid w:val="3E4D4F28"/>
    <w:rsid w:val="3EA11583"/>
    <w:rsid w:val="3EC72E69"/>
    <w:rsid w:val="3ED77E37"/>
    <w:rsid w:val="3ED92EC4"/>
    <w:rsid w:val="3EE13701"/>
    <w:rsid w:val="3F1A4BB3"/>
    <w:rsid w:val="3F3648F8"/>
    <w:rsid w:val="3F75631A"/>
    <w:rsid w:val="3FDE19E5"/>
    <w:rsid w:val="40017748"/>
    <w:rsid w:val="40192BA6"/>
    <w:rsid w:val="40FB1B39"/>
    <w:rsid w:val="40FD0A7D"/>
    <w:rsid w:val="41766EA9"/>
    <w:rsid w:val="41870F04"/>
    <w:rsid w:val="41B92AA8"/>
    <w:rsid w:val="422229DB"/>
    <w:rsid w:val="42550A18"/>
    <w:rsid w:val="427165D8"/>
    <w:rsid w:val="429D496A"/>
    <w:rsid w:val="42BF46CD"/>
    <w:rsid w:val="42F473A1"/>
    <w:rsid w:val="431A683E"/>
    <w:rsid w:val="437217EA"/>
    <w:rsid w:val="43AB7156"/>
    <w:rsid w:val="43FF60DE"/>
    <w:rsid w:val="441E62C0"/>
    <w:rsid w:val="45325D14"/>
    <w:rsid w:val="45575091"/>
    <w:rsid w:val="45811C7C"/>
    <w:rsid w:val="45906116"/>
    <w:rsid w:val="45931B8C"/>
    <w:rsid w:val="45DB42AF"/>
    <w:rsid w:val="45EF2552"/>
    <w:rsid w:val="46510CCF"/>
    <w:rsid w:val="468B3EFB"/>
    <w:rsid w:val="46B8233A"/>
    <w:rsid w:val="46CC5A38"/>
    <w:rsid w:val="470A6193"/>
    <w:rsid w:val="47385210"/>
    <w:rsid w:val="475510F8"/>
    <w:rsid w:val="47BE9CBC"/>
    <w:rsid w:val="47DC4F5C"/>
    <w:rsid w:val="47E30E5E"/>
    <w:rsid w:val="47FE14C2"/>
    <w:rsid w:val="48B40671"/>
    <w:rsid w:val="48CF15AC"/>
    <w:rsid w:val="48EC789E"/>
    <w:rsid w:val="499B5738"/>
    <w:rsid w:val="499F244D"/>
    <w:rsid w:val="4A973F3F"/>
    <w:rsid w:val="4AAE7507"/>
    <w:rsid w:val="4AED3C0C"/>
    <w:rsid w:val="4AF96BC7"/>
    <w:rsid w:val="4B315A3D"/>
    <w:rsid w:val="4B62209A"/>
    <w:rsid w:val="4B862A85"/>
    <w:rsid w:val="4B8D35BB"/>
    <w:rsid w:val="4C45516E"/>
    <w:rsid w:val="4CEF36E2"/>
    <w:rsid w:val="4CEF4DC5"/>
    <w:rsid w:val="4D6FE0C4"/>
    <w:rsid w:val="4E257655"/>
    <w:rsid w:val="4ED2293C"/>
    <w:rsid w:val="4EDE25D7"/>
    <w:rsid w:val="4F076127"/>
    <w:rsid w:val="4F0C5D1C"/>
    <w:rsid w:val="4F372380"/>
    <w:rsid w:val="4F372FFB"/>
    <w:rsid w:val="4FB1539E"/>
    <w:rsid w:val="4FDA66A3"/>
    <w:rsid w:val="5025116D"/>
    <w:rsid w:val="50F47C38"/>
    <w:rsid w:val="51393CE0"/>
    <w:rsid w:val="5169092D"/>
    <w:rsid w:val="51C864C0"/>
    <w:rsid w:val="52395ECD"/>
    <w:rsid w:val="52A31394"/>
    <w:rsid w:val="52C10D75"/>
    <w:rsid w:val="53C27FF8"/>
    <w:rsid w:val="54671603"/>
    <w:rsid w:val="54806794"/>
    <w:rsid w:val="5492579E"/>
    <w:rsid w:val="549E1A80"/>
    <w:rsid w:val="54C658F4"/>
    <w:rsid w:val="550C4BD7"/>
    <w:rsid w:val="550D3265"/>
    <w:rsid w:val="554C1D56"/>
    <w:rsid w:val="55572986"/>
    <w:rsid w:val="556A2DC8"/>
    <w:rsid w:val="562C577E"/>
    <w:rsid w:val="565340FA"/>
    <w:rsid w:val="56683793"/>
    <w:rsid w:val="569C6DA8"/>
    <w:rsid w:val="56AD5F59"/>
    <w:rsid w:val="56C60774"/>
    <w:rsid w:val="56E542AB"/>
    <w:rsid w:val="571B35A3"/>
    <w:rsid w:val="57B12A52"/>
    <w:rsid w:val="57DD1FD4"/>
    <w:rsid w:val="57E9B960"/>
    <w:rsid w:val="580544D9"/>
    <w:rsid w:val="58931AE5"/>
    <w:rsid w:val="58E172F2"/>
    <w:rsid w:val="58FF0F3B"/>
    <w:rsid w:val="59EBBD6C"/>
    <w:rsid w:val="5A2F2CC8"/>
    <w:rsid w:val="5B887FAA"/>
    <w:rsid w:val="5BFC49BB"/>
    <w:rsid w:val="5C10702D"/>
    <w:rsid w:val="5C152601"/>
    <w:rsid w:val="5C591F03"/>
    <w:rsid w:val="5C8A1B2F"/>
    <w:rsid w:val="5CEE1AA9"/>
    <w:rsid w:val="5D2430B6"/>
    <w:rsid w:val="5D399460"/>
    <w:rsid w:val="5E341674"/>
    <w:rsid w:val="5EFE30D7"/>
    <w:rsid w:val="5F561B72"/>
    <w:rsid w:val="5FD923A1"/>
    <w:rsid w:val="606007BB"/>
    <w:rsid w:val="609B08BF"/>
    <w:rsid w:val="60AC7F66"/>
    <w:rsid w:val="60B975FB"/>
    <w:rsid w:val="60E812AF"/>
    <w:rsid w:val="617A5978"/>
    <w:rsid w:val="61BF10D9"/>
    <w:rsid w:val="62110684"/>
    <w:rsid w:val="62261C1B"/>
    <w:rsid w:val="62435670"/>
    <w:rsid w:val="625F5101"/>
    <w:rsid w:val="626C1660"/>
    <w:rsid w:val="62774225"/>
    <w:rsid w:val="628726BA"/>
    <w:rsid w:val="62AC22DC"/>
    <w:rsid w:val="62BF00A6"/>
    <w:rsid w:val="63464323"/>
    <w:rsid w:val="63A22BFD"/>
    <w:rsid w:val="64506DD3"/>
    <w:rsid w:val="64DD1E43"/>
    <w:rsid w:val="64E45EF7"/>
    <w:rsid w:val="65F0098C"/>
    <w:rsid w:val="66613C8A"/>
    <w:rsid w:val="667F3EFA"/>
    <w:rsid w:val="66803B32"/>
    <w:rsid w:val="6691014E"/>
    <w:rsid w:val="66C87CCE"/>
    <w:rsid w:val="6734055C"/>
    <w:rsid w:val="677435B2"/>
    <w:rsid w:val="677F6056"/>
    <w:rsid w:val="67807912"/>
    <w:rsid w:val="67C223E6"/>
    <w:rsid w:val="67EF75F1"/>
    <w:rsid w:val="683E7CBF"/>
    <w:rsid w:val="684F4F11"/>
    <w:rsid w:val="69124F16"/>
    <w:rsid w:val="697F2E4F"/>
    <w:rsid w:val="69CD5C14"/>
    <w:rsid w:val="69CF0D33"/>
    <w:rsid w:val="6A103430"/>
    <w:rsid w:val="6AE05706"/>
    <w:rsid w:val="6B5975BA"/>
    <w:rsid w:val="6B9946B3"/>
    <w:rsid w:val="6BB42357"/>
    <w:rsid w:val="6BE518DA"/>
    <w:rsid w:val="6C276F3A"/>
    <w:rsid w:val="6C6B4DFB"/>
    <w:rsid w:val="6C7007C7"/>
    <w:rsid w:val="6D723F67"/>
    <w:rsid w:val="6DE76850"/>
    <w:rsid w:val="6EF52990"/>
    <w:rsid w:val="6F7A2A44"/>
    <w:rsid w:val="6FA17290"/>
    <w:rsid w:val="6FA85E80"/>
    <w:rsid w:val="6FB20BD4"/>
    <w:rsid w:val="6FBA59BE"/>
    <w:rsid w:val="6FEF699F"/>
    <w:rsid w:val="70296B3E"/>
    <w:rsid w:val="7047792D"/>
    <w:rsid w:val="704946AB"/>
    <w:rsid w:val="70611204"/>
    <w:rsid w:val="7165620F"/>
    <w:rsid w:val="717039F8"/>
    <w:rsid w:val="739534EB"/>
    <w:rsid w:val="739F35DC"/>
    <w:rsid w:val="745F3497"/>
    <w:rsid w:val="74D13AD5"/>
    <w:rsid w:val="74FA2C30"/>
    <w:rsid w:val="754D5C4B"/>
    <w:rsid w:val="758331B5"/>
    <w:rsid w:val="75CB690A"/>
    <w:rsid w:val="767F4934"/>
    <w:rsid w:val="76C240A7"/>
    <w:rsid w:val="76DA416A"/>
    <w:rsid w:val="7725204A"/>
    <w:rsid w:val="775246B7"/>
    <w:rsid w:val="779C67B0"/>
    <w:rsid w:val="77BCA0DB"/>
    <w:rsid w:val="77EEC293"/>
    <w:rsid w:val="781E69D1"/>
    <w:rsid w:val="78AA4484"/>
    <w:rsid w:val="78EA354B"/>
    <w:rsid w:val="7901747F"/>
    <w:rsid w:val="791B4953"/>
    <w:rsid w:val="79C30024"/>
    <w:rsid w:val="79D44735"/>
    <w:rsid w:val="79F522D1"/>
    <w:rsid w:val="79F83FA0"/>
    <w:rsid w:val="7A263B6B"/>
    <w:rsid w:val="7A2A00A3"/>
    <w:rsid w:val="7AF46346"/>
    <w:rsid w:val="7B0F5EBF"/>
    <w:rsid w:val="7B130FB9"/>
    <w:rsid w:val="7B220678"/>
    <w:rsid w:val="7BD71E38"/>
    <w:rsid w:val="7BDE0624"/>
    <w:rsid w:val="7BF64EDE"/>
    <w:rsid w:val="7C400C1E"/>
    <w:rsid w:val="7DD11708"/>
    <w:rsid w:val="7DDD89C6"/>
    <w:rsid w:val="7DEE370D"/>
    <w:rsid w:val="7DEE4A4F"/>
    <w:rsid w:val="7DFFE851"/>
    <w:rsid w:val="7E1D4C4C"/>
    <w:rsid w:val="7E521976"/>
    <w:rsid w:val="7E775D7F"/>
    <w:rsid w:val="7EAE6230"/>
    <w:rsid w:val="7EBD579E"/>
    <w:rsid w:val="7EC167BD"/>
    <w:rsid w:val="7EFD6BE0"/>
    <w:rsid w:val="7F272D9E"/>
    <w:rsid w:val="7F35DAEB"/>
    <w:rsid w:val="7F477001"/>
    <w:rsid w:val="7FD9B7E0"/>
    <w:rsid w:val="7FEAEAC6"/>
    <w:rsid w:val="7FF3110A"/>
    <w:rsid w:val="7FFF7D9D"/>
    <w:rsid w:val="979F7D24"/>
    <w:rsid w:val="9BFF40FC"/>
    <w:rsid w:val="9FECD8CF"/>
    <w:rsid w:val="A58F307C"/>
    <w:rsid w:val="ADEF2B5B"/>
    <w:rsid w:val="AF7B9521"/>
    <w:rsid w:val="B5EB11CA"/>
    <w:rsid w:val="B87D6478"/>
    <w:rsid w:val="BDD6A305"/>
    <w:rsid w:val="BEFF02C4"/>
    <w:rsid w:val="CD3BC483"/>
    <w:rsid w:val="CFFCAA25"/>
    <w:rsid w:val="DFE312D5"/>
    <w:rsid w:val="DFEF9E07"/>
    <w:rsid w:val="EBF70396"/>
    <w:rsid w:val="ED6927E6"/>
    <w:rsid w:val="EDFBDD99"/>
    <w:rsid w:val="EF49DB32"/>
    <w:rsid w:val="EFCFDC32"/>
    <w:rsid w:val="EFDA6B4A"/>
    <w:rsid w:val="EFF78D0A"/>
    <w:rsid w:val="F7FA3049"/>
    <w:rsid w:val="F93FC865"/>
    <w:rsid w:val="F97F5409"/>
    <w:rsid w:val="FB7DED36"/>
    <w:rsid w:val="FB7F697C"/>
    <w:rsid w:val="FB9B2272"/>
    <w:rsid w:val="FBD74358"/>
    <w:rsid w:val="FBFF9932"/>
    <w:rsid w:val="FCDD880F"/>
    <w:rsid w:val="FDDF67DF"/>
    <w:rsid w:val="FE9D3FBF"/>
    <w:rsid w:val="FEBF8138"/>
    <w:rsid w:val="FEE782F3"/>
    <w:rsid w:val="FFFAB3EE"/>
    <w:rsid w:val="FFFD2ED1"/>
    <w:rsid w:val="FFFF300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iPriority="99" w:name="index 1"/>
    <w:lsdException w:uiPriority="99" w:name="index 2"/>
    <w:lsdException w:uiPriority="99" w:name="index 3"/>
    <w:lsdException w:qFormat="1" w:unhideWhenUsed="0"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qFormat="1" w:unhideWhenUsed="0" w:uiPriority="99" w:semiHidden="0"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nhideWhenUsed="0" w:uiPriority="99" w:semiHidden="0" w:name="caption"/>
    <w:lsdException w:uiPriority="99" w:name="table of figures"/>
    <w:lsdException w:uiPriority="99" w:name="envelope address"/>
    <w:lsdException w:uiPriority="99" w:name="envelope return"/>
    <w:lsdException w:qFormat="1" w:uiPriority="0" w:semiHidden="0" w:name="footnote reference"/>
    <w:lsdException w:qFormat="1" w:unhideWhenUsed="0" w:uiPriority="0" w:semiHidden="0" w:name="annotation reference"/>
    <w:lsdException w:uiPriority="99" w:name="line number"/>
    <w:lsdException w:qFormat="1" w:unhideWhenUsed="0" w:uiPriority="99" w:semiHidden="0" w:name="page number"/>
    <w:lsdException w:qFormat="1" w:uiPriority="99" w:semiHidden="0"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qFormat="1" w:unhideWhenUsed="0" w:uiPriority="0" w:semiHidden="0"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qFormat="1" w:uiPriority="99" w:semiHidden="0" w:name="Body Text First Indent 2"/>
    <w:lsdException w:uiPriority="99" w:name="Note Heading"/>
    <w:lsdException w:uiPriority="99" w:name="Body Text 2"/>
    <w:lsdException w:qFormat="1" w:uiPriority="99" w:semiHidden="0"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99" w:semiHidden="0" w:name="Emphasis"/>
    <w:lsdException w:qFormat="1" w:unhideWhenUsed="0" w:uiPriority="99" w:semiHidden="0" w:name="Document Map"/>
    <w:lsdException w:qFormat="1" w:unhideWhenUsed="0" w:uiPriority="99" w:semiHidden="0" w:name="Plain Text"/>
    <w:lsdException w:uiPriority="99" w:name="E-mail Signature"/>
    <w:lsdException w:qFormat="1" w:uiPriority="0" w:semiHidden="0" w:name="Normal (Web)"/>
    <w:lsdException w:qFormat="1" w:uiPriority="99" w:semiHidden="0" w:name="HTML Acronym"/>
    <w:lsdException w:uiPriority="99" w:name="HTML Address"/>
    <w:lsdException w:qFormat="1" w:uiPriority="99" w:semiHidden="0" w:name="HTML Cite"/>
    <w:lsdException w:qFormat="1" w:uiPriority="99" w:semiHidden="0" w:name="HTML Code"/>
    <w:lsdException w:qFormat="1" w:uiPriority="99" w:semiHidden="0" w:name="HTML Definition"/>
    <w:lsdException w:qFormat="1" w:uiPriority="99" w:semiHidden="0" w:name="HTML Keyboard"/>
    <w:lsdException w:qFormat="1" w:uiPriority="99" w:semiHidden="0" w:name="HTML Preformatted"/>
    <w:lsdException w:qFormat="1" w:uiPriority="99" w:semiHidden="0" w:name="HTML Sample"/>
    <w:lsdException w:qFormat="1" w:uiPriority="99" w:semiHidden="0" w:name="HTML Typewriter"/>
    <w:lsdException w:qFormat="1" w:uiPriority="99" w:semiHidden="0"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qFormat="1" w:uiPriority="99" w:semiHidden="0"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5"/>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66"/>
    <w:qFormat/>
    <w:uiPriority w:val="99"/>
    <w:pPr>
      <w:keepNext/>
      <w:keepLines/>
      <w:spacing w:before="260" w:after="260" w:line="416" w:lineRule="auto"/>
      <w:outlineLvl w:val="1"/>
    </w:pPr>
    <w:rPr>
      <w:rFonts w:ascii="Cambria" w:hAnsi="Cambria"/>
      <w:b/>
      <w:bCs/>
      <w:sz w:val="32"/>
      <w:szCs w:val="32"/>
    </w:rPr>
  </w:style>
  <w:style w:type="paragraph" w:styleId="4">
    <w:name w:val="heading 3"/>
    <w:basedOn w:val="1"/>
    <w:next w:val="1"/>
    <w:link w:val="67"/>
    <w:qFormat/>
    <w:uiPriority w:val="99"/>
    <w:pPr>
      <w:keepNext/>
      <w:keepLines/>
      <w:spacing w:before="260" w:after="260" w:line="416" w:lineRule="auto"/>
      <w:outlineLvl w:val="2"/>
    </w:pPr>
    <w:rPr>
      <w:b/>
      <w:bCs/>
      <w:sz w:val="32"/>
      <w:szCs w:val="32"/>
    </w:rPr>
  </w:style>
  <w:style w:type="paragraph" w:styleId="5">
    <w:name w:val="heading 4"/>
    <w:basedOn w:val="1"/>
    <w:next w:val="1"/>
    <w:link w:val="68"/>
    <w:qFormat/>
    <w:uiPriority w:val="99"/>
    <w:pPr>
      <w:keepNext/>
      <w:keepLines/>
      <w:spacing w:line="360" w:lineRule="auto"/>
      <w:outlineLvl w:val="3"/>
    </w:pPr>
    <w:rPr>
      <w:rFonts w:ascii="Arial" w:hAnsi="Arial"/>
      <w:b/>
      <w:bCs/>
      <w:sz w:val="28"/>
      <w:szCs w:val="28"/>
    </w:rPr>
  </w:style>
  <w:style w:type="paragraph" w:styleId="6">
    <w:name w:val="heading 5"/>
    <w:basedOn w:val="1"/>
    <w:next w:val="1"/>
    <w:link w:val="69"/>
    <w:qFormat/>
    <w:uiPriority w:val="99"/>
    <w:pPr>
      <w:keepNext/>
      <w:keepLines/>
      <w:spacing w:before="280" w:after="290" w:line="376" w:lineRule="auto"/>
      <w:outlineLvl w:val="4"/>
    </w:pPr>
    <w:rPr>
      <w:b/>
      <w:bCs/>
      <w:sz w:val="28"/>
      <w:szCs w:val="28"/>
    </w:rPr>
  </w:style>
  <w:style w:type="paragraph" w:styleId="7">
    <w:name w:val="heading 6"/>
    <w:basedOn w:val="1"/>
    <w:next w:val="1"/>
    <w:link w:val="71"/>
    <w:qFormat/>
    <w:uiPriority w:val="9"/>
    <w:pPr>
      <w:keepNext/>
      <w:keepLines/>
      <w:spacing w:before="240" w:after="64" w:line="317" w:lineRule="auto"/>
      <w:outlineLvl w:val="5"/>
    </w:pPr>
    <w:rPr>
      <w:rFonts w:ascii="Cambria" w:hAnsi="Cambria"/>
      <w:b/>
      <w:bCs/>
      <w:kern w:val="0"/>
      <w:sz w:val="24"/>
    </w:rPr>
  </w:style>
  <w:style w:type="paragraph" w:styleId="8">
    <w:name w:val="heading 7"/>
    <w:basedOn w:val="1"/>
    <w:next w:val="1"/>
    <w:link w:val="72"/>
    <w:qFormat/>
    <w:uiPriority w:val="9"/>
    <w:pPr>
      <w:keepNext/>
      <w:keepLines/>
      <w:spacing w:before="240" w:after="64" w:line="317" w:lineRule="auto"/>
      <w:outlineLvl w:val="6"/>
    </w:pPr>
    <w:rPr>
      <w:b/>
      <w:bCs/>
      <w:kern w:val="0"/>
      <w:sz w:val="24"/>
    </w:rPr>
  </w:style>
  <w:style w:type="paragraph" w:styleId="9">
    <w:name w:val="heading 8"/>
    <w:basedOn w:val="1"/>
    <w:next w:val="1"/>
    <w:link w:val="73"/>
    <w:qFormat/>
    <w:uiPriority w:val="9"/>
    <w:pPr>
      <w:keepNext/>
      <w:keepLines/>
      <w:spacing w:before="240" w:after="64" w:line="320" w:lineRule="auto"/>
      <w:outlineLvl w:val="7"/>
    </w:pPr>
    <w:rPr>
      <w:rFonts w:ascii="等线 Light" w:hAnsi="等线 Light" w:eastAsia="等线 Light"/>
      <w:sz w:val="24"/>
    </w:rPr>
  </w:style>
  <w:style w:type="paragraph" w:styleId="10">
    <w:name w:val="heading 9"/>
    <w:basedOn w:val="1"/>
    <w:next w:val="1"/>
    <w:link w:val="74"/>
    <w:qFormat/>
    <w:uiPriority w:val="9"/>
    <w:pPr>
      <w:keepNext/>
      <w:keepLines/>
      <w:spacing w:before="240" w:after="64" w:line="317" w:lineRule="auto"/>
      <w:outlineLvl w:val="8"/>
    </w:pPr>
    <w:rPr>
      <w:rFonts w:ascii="Cambria" w:hAnsi="Cambria"/>
      <w:kern w:val="0"/>
      <w:sz w:val="20"/>
      <w:szCs w:val="21"/>
    </w:rPr>
  </w:style>
  <w:style w:type="character" w:default="1" w:styleId="47">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2520" w:leftChars="1200"/>
    </w:pPr>
    <w:rPr>
      <w:rFonts w:ascii="Calibri" w:hAnsi="Calibri" w:cs="Calibri"/>
      <w:szCs w:val="21"/>
    </w:rPr>
  </w:style>
  <w:style w:type="paragraph" w:styleId="12">
    <w:name w:val="List Number"/>
    <w:basedOn w:val="1"/>
    <w:qFormat/>
    <w:uiPriority w:val="0"/>
    <w:pPr>
      <w:widowControl/>
      <w:tabs>
        <w:tab w:val="left" w:pos="454"/>
        <w:tab w:val="left" w:pos="720"/>
        <w:tab w:val="left" w:pos="840"/>
      </w:tabs>
      <w:spacing w:afterLines="50"/>
      <w:ind w:left="454" w:hanging="284"/>
      <w:jc w:val="left"/>
    </w:pPr>
    <w:rPr>
      <w:kern w:val="0"/>
      <w:sz w:val="24"/>
      <w:szCs w:val="20"/>
    </w:rPr>
  </w:style>
  <w:style w:type="paragraph" w:styleId="13">
    <w:name w:val="Normal Indent"/>
    <w:basedOn w:val="1"/>
    <w:link w:val="70"/>
    <w:qFormat/>
    <w:uiPriority w:val="99"/>
    <w:pPr>
      <w:ind w:firstLine="420"/>
    </w:pPr>
    <w:rPr>
      <w:szCs w:val="20"/>
    </w:rPr>
  </w:style>
  <w:style w:type="paragraph" w:styleId="14">
    <w:name w:val="caption"/>
    <w:basedOn w:val="1"/>
    <w:next w:val="1"/>
    <w:qFormat/>
    <w:uiPriority w:val="99"/>
    <w:rPr>
      <w:rFonts w:ascii="Cambria" w:hAnsi="Cambria" w:eastAsia="黑体" w:cs="Cambria"/>
      <w:sz w:val="20"/>
      <w:szCs w:val="20"/>
    </w:rPr>
  </w:style>
  <w:style w:type="paragraph" w:styleId="15">
    <w:name w:val="Document Map"/>
    <w:basedOn w:val="1"/>
    <w:link w:val="75"/>
    <w:qFormat/>
    <w:uiPriority w:val="99"/>
    <w:pPr>
      <w:shd w:val="clear" w:color="auto" w:fill="000080"/>
    </w:pPr>
    <w:rPr>
      <w:sz w:val="24"/>
      <w:shd w:val="clear" w:color="auto" w:fill="000080"/>
    </w:rPr>
  </w:style>
  <w:style w:type="paragraph" w:styleId="16">
    <w:name w:val="annotation text"/>
    <w:basedOn w:val="1"/>
    <w:link w:val="76"/>
    <w:qFormat/>
    <w:uiPriority w:val="99"/>
    <w:pPr>
      <w:jc w:val="left"/>
    </w:pPr>
  </w:style>
  <w:style w:type="paragraph" w:styleId="17">
    <w:name w:val="Body Text 3"/>
    <w:basedOn w:val="1"/>
    <w:link w:val="77"/>
    <w:unhideWhenUsed/>
    <w:qFormat/>
    <w:uiPriority w:val="99"/>
    <w:pPr>
      <w:spacing w:after="120"/>
    </w:pPr>
    <w:rPr>
      <w:sz w:val="16"/>
      <w:szCs w:val="16"/>
    </w:rPr>
  </w:style>
  <w:style w:type="paragraph" w:styleId="18">
    <w:name w:val="Body Text"/>
    <w:basedOn w:val="1"/>
    <w:link w:val="78"/>
    <w:unhideWhenUsed/>
    <w:qFormat/>
    <w:uiPriority w:val="99"/>
    <w:pPr>
      <w:spacing w:after="120"/>
    </w:pPr>
  </w:style>
  <w:style w:type="paragraph" w:styleId="19">
    <w:name w:val="Body Text Indent"/>
    <w:basedOn w:val="1"/>
    <w:next w:val="1"/>
    <w:link w:val="79"/>
    <w:qFormat/>
    <w:uiPriority w:val="0"/>
    <w:pPr>
      <w:ind w:firstLine="830" w:firstLineChars="352"/>
    </w:pPr>
    <w:rPr>
      <w:rFonts w:ascii="仿宋_GB2312" w:eastAsia="仿宋_GB2312"/>
      <w:kern w:val="0"/>
      <w:sz w:val="32"/>
      <w:szCs w:val="20"/>
    </w:rPr>
  </w:style>
  <w:style w:type="paragraph" w:styleId="20">
    <w:name w:val="List 2"/>
    <w:basedOn w:val="1"/>
    <w:unhideWhenUsed/>
    <w:qFormat/>
    <w:uiPriority w:val="99"/>
    <w:pPr>
      <w:ind w:left="100" w:leftChars="200" w:hanging="200" w:hangingChars="200"/>
      <w:contextualSpacing/>
    </w:pPr>
  </w:style>
  <w:style w:type="paragraph" w:styleId="21">
    <w:name w:val="index 4"/>
    <w:basedOn w:val="1"/>
    <w:next w:val="1"/>
    <w:semiHidden/>
    <w:qFormat/>
    <w:uiPriority w:val="99"/>
    <w:pPr>
      <w:ind w:left="600" w:leftChars="600"/>
    </w:pPr>
    <w:rPr>
      <w:szCs w:val="21"/>
    </w:rPr>
  </w:style>
  <w:style w:type="paragraph" w:styleId="22">
    <w:name w:val="toc 5"/>
    <w:basedOn w:val="1"/>
    <w:next w:val="1"/>
    <w:qFormat/>
    <w:uiPriority w:val="39"/>
    <w:pPr>
      <w:ind w:left="1680" w:leftChars="800"/>
    </w:pPr>
    <w:rPr>
      <w:rFonts w:ascii="Calibri" w:hAnsi="Calibri" w:cs="Calibri"/>
      <w:szCs w:val="21"/>
    </w:rPr>
  </w:style>
  <w:style w:type="paragraph" w:styleId="23">
    <w:name w:val="toc 3"/>
    <w:basedOn w:val="1"/>
    <w:next w:val="1"/>
    <w:qFormat/>
    <w:uiPriority w:val="39"/>
    <w:pPr>
      <w:ind w:left="840" w:leftChars="400"/>
    </w:pPr>
    <w:rPr>
      <w:szCs w:val="21"/>
    </w:rPr>
  </w:style>
  <w:style w:type="paragraph" w:styleId="24">
    <w:name w:val="Plain Text"/>
    <w:basedOn w:val="1"/>
    <w:link w:val="80"/>
    <w:qFormat/>
    <w:uiPriority w:val="99"/>
    <w:rPr>
      <w:rFonts w:ascii="宋体" w:hAnsi="Courier New"/>
      <w:kern w:val="0"/>
      <w:sz w:val="20"/>
      <w:szCs w:val="21"/>
    </w:rPr>
  </w:style>
  <w:style w:type="paragraph" w:styleId="25">
    <w:name w:val="toc 8"/>
    <w:basedOn w:val="1"/>
    <w:next w:val="1"/>
    <w:qFormat/>
    <w:uiPriority w:val="39"/>
    <w:pPr>
      <w:ind w:left="2940" w:leftChars="1400"/>
    </w:pPr>
    <w:rPr>
      <w:rFonts w:ascii="Calibri" w:hAnsi="Calibri" w:cs="Calibri"/>
      <w:szCs w:val="21"/>
    </w:rPr>
  </w:style>
  <w:style w:type="paragraph" w:styleId="26">
    <w:name w:val="Date"/>
    <w:basedOn w:val="1"/>
    <w:next w:val="1"/>
    <w:link w:val="81"/>
    <w:unhideWhenUsed/>
    <w:qFormat/>
    <w:uiPriority w:val="99"/>
    <w:pPr>
      <w:ind w:left="100" w:leftChars="2500"/>
    </w:pPr>
  </w:style>
  <w:style w:type="paragraph" w:styleId="27">
    <w:name w:val="Body Text Indent 2"/>
    <w:basedOn w:val="1"/>
    <w:link w:val="82"/>
    <w:qFormat/>
    <w:uiPriority w:val="99"/>
    <w:pPr>
      <w:spacing w:after="120" w:line="480" w:lineRule="auto"/>
      <w:ind w:left="420" w:leftChars="200"/>
    </w:pPr>
    <w:rPr>
      <w:sz w:val="24"/>
    </w:rPr>
  </w:style>
  <w:style w:type="paragraph" w:styleId="28">
    <w:name w:val="Balloon Text"/>
    <w:basedOn w:val="1"/>
    <w:link w:val="83"/>
    <w:qFormat/>
    <w:uiPriority w:val="99"/>
    <w:rPr>
      <w:sz w:val="18"/>
      <w:szCs w:val="18"/>
    </w:rPr>
  </w:style>
  <w:style w:type="paragraph" w:styleId="29">
    <w:name w:val="footer"/>
    <w:basedOn w:val="1"/>
    <w:link w:val="84"/>
    <w:unhideWhenUsed/>
    <w:qFormat/>
    <w:uiPriority w:val="99"/>
    <w:pPr>
      <w:tabs>
        <w:tab w:val="center" w:pos="4153"/>
        <w:tab w:val="right" w:pos="8306"/>
      </w:tabs>
      <w:snapToGrid w:val="0"/>
      <w:jc w:val="left"/>
    </w:pPr>
    <w:rPr>
      <w:kern w:val="0"/>
      <w:sz w:val="18"/>
      <w:szCs w:val="18"/>
    </w:rPr>
  </w:style>
  <w:style w:type="paragraph" w:styleId="30">
    <w:name w:val="header"/>
    <w:basedOn w:val="1"/>
    <w:link w:val="85"/>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31">
    <w:name w:val="toc 1"/>
    <w:basedOn w:val="1"/>
    <w:next w:val="1"/>
    <w:unhideWhenUsed/>
    <w:qFormat/>
    <w:uiPriority w:val="39"/>
  </w:style>
  <w:style w:type="paragraph" w:styleId="32">
    <w:name w:val="toc 4"/>
    <w:basedOn w:val="1"/>
    <w:next w:val="1"/>
    <w:qFormat/>
    <w:uiPriority w:val="39"/>
    <w:pPr>
      <w:ind w:left="1260" w:leftChars="600"/>
    </w:pPr>
    <w:rPr>
      <w:rFonts w:ascii="Calibri" w:hAnsi="Calibri" w:cs="Calibri"/>
      <w:szCs w:val="21"/>
    </w:rPr>
  </w:style>
  <w:style w:type="paragraph" w:styleId="33">
    <w:name w:val="Subtitle"/>
    <w:basedOn w:val="1"/>
    <w:next w:val="1"/>
    <w:link w:val="86"/>
    <w:qFormat/>
    <w:uiPriority w:val="11"/>
    <w:pPr>
      <w:spacing w:before="240" w:after="60" w:line="312" w:lineRule="auto"/>
      <w:jc w:val="center"/>
      <w:outlineLvl w:val="1"/>
    </w:pPr>
    <w:rPr>
      <w:rFonts w:ascii="Cambria" w:hAnsi="Cambria"/>
      <w:b/>
      <w:bCs/>
      <w:kern w:val="28"/>
      <w:sz w:val="32"/>
      <w:szCs w:val="32"/>
    </w:rPr>
  </w:style>
  <w:style w:type="paragraph" w:styleId="34">
    <w:name w:val="List"/>
    <w:basedOn w:val="1"/>
    <w:qFormat/>
    <w:uiPriority w:val="0"/>
    <w:pPr>
      <w:ind w:left="200" w:hanging="200" w:hangingChars="200"/>
    </w:pPr>
    <w:rPr>
      <w:sz w:val="28"/>
    </w:rPr>
  </w:style>
  <w:style w:type="paragraph" w:styleId="35">
    <w:name w:val="footnote text"/>
    <w:basedOn w:val="1"/>
    <w:link w:val="87"/>
    <w:qFormat/>
    <w:uiPriority w:val="99"/>
    <w:pPr>
      <w:adjustRightInd w:val="0"/>
      <w:spacing w:line="312" w:lineRule="atLeast"/>
      <w:jc w:val="left"/>
      <w:textAlignment w:val="baseline"/>
    </w:pPr>
    <w:rPr>
      <w:kern w:val="0"/>
      <w:sz w:val="18"/>
      <w:szCs w:val="18"/>
    </w:rPr>
  </w:style>
  <w:style w:type="paragraph" w:styleId="36">
    <w:name w:val="toc 6"/>
    <w:basedOn w:val="1"/>
    <w:next w:val="1"/>
    <w:qFormat/>
    <w:uiPriority w:val="39"/>
    <w:pPr>
      <w:ind w:left="2100" w:leftChars="1000"/>
    </w:pPr>
    <w:rPr>
      <w:rFonts w:ascii="Calibri" w:hAnsi="Calibri" w:cs="Calibri"/>
      <w:szCs w:val="21"/>
    </w:rPr>
  </w:style>
  <w:style w:type="paragraph" w:styleId="37">
    <w:name w:val="toc 2"/>
    <w:basedOn w:val="1"/>
    <w:next w:val="1"/>
    <w:unhideWhenUsed/>
    <w:qFormat/>
    <w:uiPriority w:val="39"/>
    <w:pPr>
      <w:tabs>
        <w:tab w:val="right" w:leader="dot" w:pos="8296"/>
      </w:tabs>
      <w:ind w:left="420" w:leftChars="200"/>
    </w:pPr>
  </w:style>
  <w:style w:type="paragraph" w:styleId="38">
    <w:name w:val="toc 9"/>
    <w:basedOn w:val="1"/>
    <w:next w:val="1"/>
    <w:qFormat/>
    <w:uiPriority w:val="39"/>
    <w:pPr>
      <w:ind w:left="3360" w:leftChars="1600"/>
    </w:pPr>
    <w:rPr>
      <w:rFonts w:ascii="Calibri" w:hAnsi="Calibri" w:cs="Calibri"/>
      <w:szCs w:val="21"/>
    </w:rPr>
  </w:style>
  <w:style w:type="paragraph" w:styleId="39">
    <w:name w:val="HTML Preformatted"/>
    <w:basedOn w:val="1"/>
    <w:link w:val="88"/>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0">
    <w:name w:val="Normal (Web)"/>
    <w:basedOn w:val="1"/>
    <w:unhideWhenUsed/>
    <w:qFormat/>
    <w:uiPriority w:val="0"/>
    <w:rPr>
      <w:rFonts w:ascii="Calibri" w:hAnsi="Calibri"/>
      <w:kern w:val="0"/>
      <w:sz w:val="24"/>
    </w:rPr>
  </w:style>
  <w:style w:type="paragraph" w:styleId="41">
    <w:name w:val="Title"/>
    <w:basedOn w:val="1"/>
    <w:next w:val="1"/>
    <w:link w:val="89"/>
    <w:qFormat/>
    <w:uiPriority w:val="99"/>
    <w:pPr>
      <w:spacing w:before="240" w:after="60"/>
      <w:jc w:val="center"/>
      <w:outlineLvl w:val="0"/>
    </w:pPr>
    <w:rPr>
      <w:rFonts w:ascii="Cambria" w:hAnsi="Cambria"/>
      <w:b/>
      <w:bCs/>
      <w:sz w:val="32"/>
      <w:szCs w:val="32"/>
    </w:rPr>
  </w:style>
  <w:style w:type="paragraph" w:styleId="42">
    <w:name w:val="annotation subject"/>
    <w:basedOn w:val="16"/>
    <w:next w:val="16"/>
    <w:link w:val="90"/>
    <w:qFormat/>
    <w:uiPriority w:val="99"/>
    <w:rPr>
      <w:b/>
      <w:bCs/>
    </w:rPr>
  </w:style>
  <w:style w:type="paragraph" w:styleId="43">
    <w:name w:val="Body Text First Indent 2"/>
    <w:basedOn w:val="19"/>
    <w:next w:val="44"/>
    <w:unhideWhenUsed/>
    <w:qFormat/>
    <w:uiPriority w:val="99"/>
    <w:pPr>
      <w:spacing w:after="120"/>
      <w:ind w:left="420" w:leftChars="200" w:firstLine="420" w:firstLineChars="200"/>
    </w:pPr>
    <w:rPr>
      <w:rFonts w:ascii="Times New Roman" w:eastAsia="宋体"/>
      <w:kern w:val="2"/>
      <w:sz w:val="21"/>
      <w:szCs w:val="24"/>
    </w:rPr>
  </w:style>
  <w:style w:type="paragraph" w:styleId="44">
    <w:name w:val="Intense Quote"/>
    <w:basedOn w:val="1"/>
    <w:next w:val="1"/>
    <w:qFormat/>
    <w:uiPriority w:val="30"/>
    <w:pPr>
      <w:pBdr>
        <w:bottom w:val="single" w:color="4F81BD" w:sz="4" w:space="4"/>
      </w:pBdr>
      <w:spacing w:before="200" w:after="280"/>
      <w:ind w:left="936" w:right="936"/>
    </w:pPr>
    <w:rPr>
      <w:rFonts w:ascii="Calibri" w:hAnsi="Calibri"/>
      <w:b/>
      <w:i/>
      <w:color w:val="4F81BD"/>
    </w:rPr>
  </w:style>
  <w:style w:type="table" w:styleId="46">
    <w:name w:val="Table Grid"/>
    <w:basedOn w:val="45"/>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48">
    <w:name w:val="Strong"/>
    <w:qFormat/>
    <w:uiPriority w:val="22"/>
    <w:rPr>
      <w:b/>
      <w:bCs/>
    </w:rPr>
  </w:style>
  <w:style w:type="character" w:styleId="49">
    <w:name w:val="endnote reference"/>
    <w:unhideWhenUsed/>
    <w:qFormat/>
    <w:uiPriority w:val="99"/>
    <w:rPr>
      <w:vertAlign w:val="superscript"/>
    </w:rPr>
  </w:style>
  <w:style w:type="character" w:styleId="50">
    <w:name w:val="page number"/>
    <w:qFormat/>
    <w:uiPriority w:val="99"/>
  </w:style>
  <w:style w:type="character" w:styleId="51">
    <w:name w:val="Emphasis"/>
    <w:qFormat/>
    <w:uiPriority w:val="99"/>
    <w:rPr>
      <w:i/>
      <w:iCs/>
    </w:rPr>
  </w:style>
  <w:style w:type="character" w:styleId="52">
    <w:name w:val="HTML Definition"/>
    <w:basedOn w:val="47"/>
    <w:unhideWhenUsed/>
    <w:qFormat/>
    <w:uiPriority w:val="99"/>
  </w:style>
  <w:style w:type="character" w:styleId="53">
    <w:name w:val="HTML Typewriter"/>
    <w:basedOn w:val="47"/>
    <w:unhideWhenUsed/>
    <w:qFormat/>
    <w:uiPriority w:val="99"/>
    <w:rPr>
      <w:rFonts w:hint="default" w:ascii="monospace" w:hAnsi="monospace" w:eastAsia="monospace" w:cs="monospace"/>
      <w:sz w:val="20"/>
    </w:rPr>
  </w:style>
  <w:style w:type="character" w:styleId="54">
    <w:name w:val="HTML Acronym"/>
    <w:basedOn w:val="47"/>
    <w:unhideWhenUsed/>
    <w:qFormat/>
    <w:uiPriority w:val="99"/>
  </w:style>
  <w:style w:type="character" w:styleId="55">
    <w:name w:val="HTML Variable"/>
    <w:basedOn w:val="47"/>
    <w:unhideWhenUsed/>
    <w:qFormat/>
    <w:uiPriority w:val="99"/>
  </w:style>
  <w:style w:type="character" w:styleId="56">
    <w:name w:val="Hyperlink"/>
    <w:unhideWhenUsed/>
    <w:qFormat/>
    <w:uiPriority w:val="99"/>
    <w:rPr>
      <w:color w:val="0000FF"/>
      <w:u w:val="single"/>
    </w:rPr>
  </w:style>
  <w:style w:type="character" w:styleId="57">
    <w:name w:val="HTML Code"/>
    <w:basedOn w:val="47"/>
    <w:unhideWhenUsed/>
    <w:qFormat/>
    <w:uiPriority w:val="99"/>
    <w:rPr>
      <w:rFonts w:hint="default" w:ascii="monospace" w:hAnsi="monospace" w:eastAsia="monospace" w:cs="monospace"/>
      <w:sz w:val="20"/>
    </w:rPr>
  </w:style>
  <w:style w:type="character" w:styleId="58">
    <w:name w:val="annotation reference"/>
    <w:qFormat/>
    <w:uiPriority w:val="0"/>
    <w:rPr>
      <w:sz w:val="21"/>
      <w:szCs w:val="21"/>
    </w:rPr>
  </w:style>
  <w:style w:type="character" w:styleId="59">
    <w:name w:val="HTML Cite"/>
    <w:basedOn w:val="47"/>
    <w:unhideWhenUsed/>
    <w:qFormat/>
    <w:uiPriority w:val="99"/>
  </w:style>
  <w:style w:type="character" w:styleId="60">
    <w:name w:val="footnote reference"/>
    <w:unhideWhenUsed/>
    <w:qFormat/>
    <w:uiPriority w:val="0"/>
    <w:rPr>
      <w:vertAlign w:val="superscript"/>
    </w:rPr>
  </w:style>
  <w:style w:type="character" w:styleId="61">
    <w:name w:val="HTML Keyboard"/>
    <w:basedOn w:val="47"/>
    <w:unhideWhenUsed/>
    <w:qFormat/>
    <w:uiPriority w:val="99"/>
    <w:rPr>
      <w:rFonts w:hint="default" w:ascii="monospace" w:hAnsi="monospace" w:eastAsia="monospace" w:cs="monospace"/>
      <w:sz w:val="20"/>
    </w:rPr>
  </w:style>
  <w:style w:type="character" w:styleId="62">
    <w:name w:val="HTML Sample"/>
    <w:basedOn w:val="47"/>
    <w:unhideWhenUsed/>
    <w:qFormat/>
    <w:uiPriority w:val="99"/>
    <w:rPr>
      <w:rFonts w:ascii="monospace" w:hAnsi="monospace" w:eastAsia="monospace" w:cs="monospace"/>
    </w:rPr>
  </w:style>
  <w:style w:type="paragraph" w:customStyle="1" w:styleId="63">
    <w:name w:val="Default"/>
    <w:qFormat/>
    <w:uiPriority w:val="99"/>
    <w:pPr>
      <w:widowControl w:val="0"/>
      <w:autoSpaceDE w:val="0"/>
      <w:autoSpaceDN w:val="0"/>
      <w:adjustRightInd w:val="0"/>
    </w:pPr>
    <w:rPr>
      <w:rFonts w:ascii="Times New Roman" w:hAnsi="Times New Roman" w:eastAsia="宋体" w:cs="Times New Roman"/>
      <w:color w:val="000000"/>
      <w:kern w:val="2"/>
      <w:sz w:val="24"/>
      <w:szCs w:val="24"/>
      <w:lang w:val="en-US" w:eastAsia="zh-CN" w:bidi="ar-SA"/>
    </w:rPr>
  </w:style>
  <w:style w:type="paragraph" w:customStyle="1" w:styleId="64">
    <w:name w:val="正文1"/>
    <w:basedOn w:val="1"/>
    <w:qFormat/>
    <w:uiPriority w:val="0"/>
    <w:pPr>
      <w:spacing w:line="360" w:lineRule="auto"/>
      <w:ind w:firstLine="200" w:firstLineChars="200"/>
      <w:jc w:val="left"/>
    </w:pPr>
    <w:rPr>
      <w:rFonts w:ascii="Times New Roman)" w:hAnsi="Times New Roman)" w:eastAsia="宋体正文"/>
      <w:color w:val="000000"/>
      <w:kern w:val="0"/>
      <w:sz w:val="24"/>
      <w:lang w:eastAsia="en-US" w:bidi="en-US"/>
    </w:rPr>
  </w:style>
  <w:style w:type="character" w:customStyle="1" w:styleId="65">
    <w:name w:val="标题 1 Char"/>
    <w:link w:val="2"/>
    <w:qFormat/>
    <w:uiPriority w:val="99"/>
    <w:rPr>
      <w:b/>
      <w:bCs/>
      <w:kern w:val="44"/>
      <w:sz w:val="44"/>
      <w:szCs w:val="44"/>
    </w:rPr>
  </w:style>
  <w:style w:type="character" w:customStyle="1" w:styleId="66">
    <w:name w:val="标题 2 Char1"/>
    <w:link w:val="3"/>
    <w:qFormat/>
    <w:uiPriority w:val="9"/>
    <w:rPr>
      <w:rFonts w:ascii="Cambria" w:hAnsi="Cambria" w:eastAsia="宋体" w:cs="Times New Roman"/>
      <w:b/>
      <w:bCs/>
      <w:kern w:val="2"/>
      <w:sz w:val="32"/>
      <w:szCs w:val="32"/>
    </w:rPr>
  </w:style>
  <w:style w:type="character" w:customStyle="1" w:styleId="67">
    <w:name w:val="标题 3 Char"/>
    <w:link w:val="4"/>
    <w:qFormat/>
    <w:uiPriority w:val="99"/>
    <w:rPr>
      <w:b/>
      <w:bCs/>
      <w:kern w:val="2"/>
      <w:sz w:val="32"/>
      <w:szCs w:val="32"/>
    </w:rPr>
  </w:style>
  <w:style w:type="character" w:customStyle="1" w:styleId="68">
    <w:name w:val="标题 4 Char"/>
    <w:link w:val="5"/>
    <w:qFormat/>
    <w:uiPriority w:val="99"/>
    <w:rPr>
      <w:rFonts w:ascii="Arial" w:hAnsi="Arial"/>
      <w:b/>
      <w:bCs/>
      <w:kern w:val="2"/>
      <w:sz w:val="28"/>
      <w:szCs w:val="28"/>
    </w:rPr>
  </w:style>
  <w:style w:type="character" w:customStyle="1" w:styleId="69">
    <w:name w:val="标题 5 Char"/>
    <w:link w:val="6"/>
    <w:qFormat/>
    <w:uiPriority w:val="99"/>
    <w:rPr>
      <w:rFonts w:ascii="Times New Roman" w:hAnsi="Times New Roman"/>
      <w:b/>
      <w:bCs/>
      <w:kern w:val="2"/>
      <w:sz w:val="28"/>
      <w:szCs w:val="28"/>
    </w:rPr>
  </w:style>
  <w:style w:type="character" w:customStyle="1" w:styleId="70">
    <w:name w:val="正文缩进 Char"/>
    <w:link w:val="13"/>
    <w:qFormat/>
    <w:uiPriority w:val="99"/>
    <w:rPr>
      <w:kern w:val="2"/>
      <w:sz w:val="21"/>
    </w:rPr>
  </w:style>
  <w:style w:type="character" w:customStyle="1" w:styleId="71">
    <w:name w:val="标题 6 Char"/>
    <w:link w:val="7"/>
    <w:qFormat/>
    <w:uiPriority w:val="9"/>
    <w:rPr>
      <w:rFonts w:ascii="Cambria" w:hAnsi="Cambria"/>
      <w:b/>
      <w:bCs/>
      <w:sz w:val="24"/>
      <w:szCs w:val="24"/>
    </w:rPr>
  </w:style>
  <w:style w:type="character" w:customStyle="1" w:styleId="72">
    <w:name w:val="标题 7 Char"/>
    <w:link w:val="8"/>
    <w:qFormat/>
    <w:uiPriority w:val="9"/>
    <w:rPr>
      <w:b/>
      <w:bCs/>
      <w:sz w:val="24"/>
      <w:szCs w:val="24"/>
    </w:rPr>
  </w:style>
  <w:style w:type="character" w:customStyle="1" w:styleId="73">
    <w:name w:val="标题 8 Char1"/>
    <w:link w:val="9"/>
    <w:semiHidden/>
    <w:qFormat/>
    <w:uiPriority w:val="9"/>
    <w:rPr>
      <w:rFonts w:ascii="等线 Light" w:hAnsi="等线 Light" w:eastAsia="等线 Light" w:cs="Times New Roman"/>
      <w:kern w:val="2"/>
      <w:sz w:val="24"/>
      <w:szCs w:val="24"/>
    </w:rPr>
  </w:style>
  <w:style w:type="character" w:customStyle="1" w:styleId="74">
    <w:name w:val="标题 9 Char"/>
    <w:link w:val="10"/>
    <w:qFormat/>
    <w:uiPriority w:val="9"/>
    <w:rPr>
      <w:rFonts w:ascii="Cambria" w:hAnsi="Cambria"/>
      <w:szCs w:val="21"/>
    </w:rPr>
  </w:style>
  <w:style w:type="character" w:customStyle="1" w:styleId="75">
    <w:name w:val="文档结构图 Char"/>
    <w:link w:val="15"/>
    <w:qFormat/>
    <w:uiPriority w:val="99"/>
    <w:rPr>
      <w:kern w:val="2"/>
      <w:sz w:val="24"/>
      <w:szCs w:val="24"/>
      <w:shd w:val="clear" w:color="auto" w:fill="000080"/>
    </w:rPr>
  </w:style>
  <w:style w:type="character" w:customStyle="1" w:styleId="76">
    <w:name w:val="批注文字 Char3"/>
    <w:link w:val="16"/>
    <w:qFormat/>
    <w:uiPriority w:val="99"/>
    <w:rPr>
      <w:rFonts w:ascii="Times New Roman" w:hAnsi="Times New Roman"/>
      <w:kern w:val="2"/>
      <w:sz w:val="21"/>
      <w:szCs w:val="24"/>
    </w:rPr>
  </w:style>
  <w:style w:type="character" w:customStyle="1" w:styleId="77">
    <w:name w:val="正文文本 3 Char"/>
    <w:link w:val="17"/>
    <w:semiHidden/>
    <w:qFormat/>
    <w:uiPriority w:val="99"/>
    <w:rPr>
      <w:kern w:val="2"/>
      <w:sz w:val="16"/>
      <w:szCs w:val="16"/>
    </w:rPr>
  </w:style>
  <w:style w:type="character" w:customStyle="1" w:styleId="78">
    <w:name w:val="正文文本 Char1"/>
    <w:link w:val="18"/>
    <w:qFormat/>
    <w:uiPriority w:val="99"/>
    <w:rPr>
      <w:rFonts w:ascii="Times New Roman" w:hAnsi="Times New Roman"/>
      <w:kern w:val="2"/>
      <w:sz w:val="21"/>
      <w:szCs w:val="24"/>
    </w:rPr>
  </w:style>
  <w:style w:type="character" w:customStyle="1" w:styleId="79">
    <w:name w:val="正文文本缩进 Char"/>
    <w:link w:val="19"/>
    <w:qFormat/>
    <w:uiPriority w:val="0"/>
    <w:rPr>
      <w:rFonts w:ascii="仿宋_GB2312" w:hAnsi="Times New Roman" w:eastAsia="仿宋_GB2312" w:cs="Times New Roman"/>
      <w:sz w:val="32"/>
      <w:szCs w:val="20"/>
    </w:rPr>
  </w:style>
  <w:style w:type="character" w:customStyle="1" w:styleId="80">
    <w:name w:val="纯文本 Char3"/>
    <w:link w:val="24"/>
    <w:qFormat/>
    <w:uiPriority w:val="99"/>
    <w:rPr>
      <w:rFonts w:ascii="宋体" w:hAnsi="Courier New" w:eastAsia="宋体" w:cs="Courier New"/>
      <w:szCs w:val="21"/>
    </w:rPr>
  </w:style>
  <w:style w:type="character" w:customStyle="1" w:styleId="81">
    <w:name w:val="日期 Char"/>
    <w:link w:val="26"/>
    <w:qFormat/>
    <w:uiPriority w:val="99"/>
    <w:rPr>
      <w:rFonts w:ascii="Times New Roman" w:hAnsi="Times New Roman"/>
      <w:kern w:val="2"/>
      <w:sz w:val="21"/>
      <w:szCs w:val="24"/>
    </w:rPr>
  </w:style>
  <w:style w:type="character" w:customStyle="1" w:styleId="82">
    <w:name w:val="正文文本缩进 2 Char"/>
    <w:link w:val="27"/>
    <w:qFormat/>
    <w:uiPriority w:val="99"/>
    <w:rPr>
      <w:kern w:val="2"/>
      <w:sz w:val="24"/>
      <w:szCs w:val="24"/>
    </w:rPr>
  </w:style>
  <w:style w:type="character" w:customStyle="1" w:styleId="83">
    <w:name w:val="批注框文本 Char"/>
    <w:link w:val="28"/>
    <w:qFormat/>
    <w:locked/>
    <w:uiPriority w:val="99"/>
    <w:rPr>
      <w:kern w:val="2"/>
      <w:sz w:val="18"/>
      <w:szCs w:val="18"/>
    </w:rPr>
  </w:style>
  <w:style w:type="character" w:customStyle="1" w:styleId="84">
    <w:name w:val="页脚 Char"/>
    <w:link w:val="29"/>
    <w:qFormat/>
    <w:uiPriority w:val="99"/>
    <w:rPr>
      <w:sz w:val="18"/>
      <w:szCs w:val="18"/>
    </w:rPr>
  </w:style>
  <w:style w:type="character" w:customStyle="1" w:styleId="85">
    <w:name w:val="页眉 Char"/>
    <w:link w:val="30"/>
    <w:qFormat/>
    <w:uiPriority w:val="99"/>
    <w:rPr>
      <w:sz w:val="18"/>
      <w:szCs w:val="18"/>
    </w:rPr>
  </w:style>
  <w:style w:type="character" w:customStyle="1" w:styleId="86">
    <w:name w:val="副标题 Char"/>
    <w:link w:val="33"/>
    <w:qFormat/>
    <w:uiPriority w:val="11"/>
    <w:rPr>
      <w:rFonts w:ascii="Cambria" w:hAnsi="Cambria"/>
      <w:b/>
      <w:bCs/>
      <w:kern w:val="28"/>
      <w:sz w:val="32"/>
      <w:szCs w:val="32"/>
    </w:rPr>
  </w:style>
  <w:style w:type="character" w:customStyle="1" w:styleId="87">
    <w:name w:val="脚注文本 Char"/>
    <w:link w:val="35"/>
    <w:qFormat/>
    <w:uiPriority w:val="99"/>
    <w:rPr>
      <w:sz w:val="18"/>
      <w:szCs w:val="18"/>
    </w:rPr>
  </w:style>
  <w:style w:type="character" w:customStyle="1" w:styleId="88">
    <w:name w:val="HTML 预设格式 Char"/>
    <w:link w:val="39"/>
    <w:qFormat/>
    <w:uiPriority w:val="99"/>
    <w:rPr>
      <w:rFonts w:ascii="宋体" w:hAnsi="宋体"/>
      <w:sz w:val="24"/>
      <w:szCs w:val="24"/>
    </w:rPr>
  </w:style>
  <w:style w:type="character" w:customStyle="1" w:styleId="89">
    <w:name w:val="标题 Char"/>
    <w:link w:val="41"/>
    <w:qFormat/>
    <w:uiPriority w:val="99"/>
    <w:rPr>
      <w:rFonts w:ascii="Cambria" w:hAnsi="Cambria"/>
      <w:b/>
      <w:bCs/>
      <w:kern w:val="2"/>
      <w:sz w:val="32"/>
      <w:szCs w:val="32"/>
    </w:rPr>
  </w:style>
  <w:style w:type="character" w:customStyle="1" w:styleId="90">
    <w:name w:val="批注主题 Char"/>
    <w:link w:val="42"/>
    <w:qFormat/>
    <w:uiPriority w:val="99"/>
    <w:rPr>
      <w:rFonts w:ascii="Times New Roman" w:hAnsi="Times New Roman"/>
      <w:b/>
      <w:bCs/>
      <w:kern w:val="2"/>
      <w:sz w:val="21"/>
      <w:szCs w:val="24"/>
    </w:rPr>
  </w:style>
  <w:style w:type="character" w:customStyle="1" w:styleId="91">
    <w:name w:val="访问过的超链接1"/>
    <w:qFormat/>
    <w:uiPriority w:val="99"/>
    <w:rPr>
      <w:color w:val="800080"/>
      <w:u w:val="single"/>
    </w:rPr>
  </w:style>
  <w:style w:type="character" w:customStyle="1" w:styleId="92">
    <w:name w:val="书籍标题1"/>
    <w:qFormat/>
    <w:uiPriority w:val="99"/>
    <w:rPr>
      <w:b/>
      <w:bCs/>
      <w:smallCaps/>
      <w:spacing w:val="5"/>
    </w:rPr>
  </w:style>
  <w:style w:type="character" w:customStyle="1" w:styleId="93">
    <w:name w:val="Body text|5_"/>
    <w:link w:val="94"/>
    <w:qFormat/>
    <w:uiPriority w:val="0"/>
    <w:rPr>
      <w:rFonts w:ascii="宋体" w:hAnsi="宋体" w:cs="宋体"/>
      <w:sz w:val="52"/>
      <w:szCs w:val="52"/>
      <w:lang w:val="zh-CN" w:bidi="zh-CN"/>
    </w:rPr>
  </w:style>
  <w:style w:type="paragraph" w:customStyle="1" w:styleId="94">
    <w:name w:val="Body text|5"/>
    <w:basedOn w:val="1"/>
    <w:link w:val="93"/>
    <w:qFormat/>
    <w:uiPriority w:val="0"/>
    <w:pPr>
      <w:jc w:val="center"/>
    </w:pPr>
    <w:rPr>
      <w:rFonts w:ascii="宋体" w:hAnsi="宋体" w:cs="宋体"/>
      <w:kern w:val="0"/>
      <w:sz w:val="52"/>
      <w:szCs w:val="52"/>
      <w:lang w:val="zh-CN" w:bidi="zh-CN"/>
    </w:rPr>
  </w:style>
  <w:style w:type="character" w:customStyle="1" w:styleId="95">
    <w:name w:val="Body text|1_"/>
    <w:link w:val="96"/>
    <w:qFormat/>
    <w:uiPriority w:val="0"/>
    <w:rPr>
      <w:rFonts w:ascii="宋体" w:hAnsi="宋体" w:cs="宋体"/>
      <w:kern w:val="2"/>
      <w:sz w:val="21"/>
      <w:lang w:val="zh-CN" w:bidi="zh-CN"/>
    </w:rPr>
  </w:style>
  <w:style w:type="paragraph" w:customStyle="1" w:styleId="96">
    <w:name w:val="Body text|1"/>
    <w:basedOn w:val="1"/>
    <w:link w:val="95"/>
    <w:qFormat/>
    <w:uiPriority w:val="0"/>
    <w:pPr>
      <w:spacing w:line="360" w:lineRule="auto"/>
      <w:ind w:firstLine="400"/>
    </w:pPr>
    <w:rPr>
      <w:rFonts w:ascii="宋体" w:hAnsi="宋体" w:cs="宋体"/>
      <w:szCs w:val="20"/>
      <w:lang w:val="zh-CN" w:bidi="zh-CN"/>
    </w:rPr>
  </w:style>
  <w:style w:type="character" w:customStyle="1" w:styleId="97">
    <w:name w:val="Table caption|1_"/>
    <w:link w:val="98"/>
    <w:qFormat/>
    <w:uiPriority w:val="0"/>
    <w:rPr>
      <w:rFonts w:ascii="宋体" w:hAnsi="宋体" w:cs="宋体"/>
      <w:lang w:val="zh-CN" w:bidi="zh-CN"/>
    </w:rPr>
  </w:style>
  <w:style w:type="paragraph" w:customStyle="1" w:styleId="98">
    <w:name w:val="Table caption|1"/>
    <w:basedOn w:val="1"/>
    <w:link w:val="97"/>
    <w:qFormat/>
    <w:uiPriority w:val="0"/>
    <w:pPr>
      <w:jc w:val="left"/>
    </w:pPr>
    <w:rPr>
      <w:rFonts w:ascii="宋体" w:hAnsi="宋体" w:cs="宋体"/>
      <w:kern w:val="0"/>
      <w:sz w:val="20"/>
      <w:szCs w:val="20"/>
      <w:lang w:val="zh-CN" w:bidi="zh-CN"/>
    </w:rPr>
  </w:style>
  <w:style w:type="character" w:customStyle="1" w:styleId="99">
    <w:name w:val="Heading #4|1_"/>
    <w:link w:val="100"/>
    <w:qFormat/>
    <w:uiPriority w:val="0"/>
    <w:rPr>
      <w:rFonts w:ascii="宋体" w:hAnsi="宋体" w:cs="宋体"/>
      <w:lang w:val="zh-CN" w:bidi="zh-CN"/>
    </w:rPr>
  </w:style>
  <w:style w:type="paragraph" w:customStyle="1" w:styleId="100">
    <w:name w:val="Heading #4|1"/>
    <w:basedOn w:val="1"/>
    <w:link w:val="99"/>
    <w:qFormat/>
    <w:uiPriority w:val="0"/>
    <w:pPr>
      <w:spacing w:after="120"/>
      <w:jc w:val="left"/>
      <w:outlineLvl w:val="3"/>
    </w:pPr>
    <w:rPr>
      <w:rFonts w:ascii="宋体" w:hAnsi="宋体" w:cs="宋体"/>
      <w:kern w:val="0"/>
      <w:sz w:val="20"/>
      <w:szCs w:val="20"/>
      <w:lang w:val="zh-CN" w:bidi="zh-CN"/>
    </w:rPr>
  </w:style>
  <w:style w:type="character" w:customStyle="1" w:styleId="101">
    <w:name w:val="Body text|2_"/>
    <w:link w:val="102"/>
    <w:qFormat/>
    <w:uiPriority w:val="0"/>
    <w:rPr>
      <w:sz w:val="21"/>
    </w:rPr>
  </w:style>
  <w:style w:type="paragraph" w:customStyle="1" w:styleId="102">
    <w:name w:val="Body text|2"/>
    <w:basedOn w:val="1"/>
    <w:link w:val="101"/>
    <w:qFormat/>
    <w:uiPriority w:val="0"/>
    <w:pPr>
      <w:spacing w:after="30"/>
      <w:ind w:firstLine="420"/>
      <w:jc w:val="left"/>
    </w:pPr>
    <w:rPr>
      <w:kern w:val="0"/>
      <w:szCs w:val="20"/>
    </w:rPr>
  </w:style>
  <w:style w:type="character" w:customStyle="1" w:styleId="103">
    <w:name w:val="Heading #1|1_"/>
    <w:link w:val="104"/>
    <w:qFormat/>
    <w:uiPriority w:val="0"/>
    <w:rPr>
      <w:rFonts w:ascii="宋体" w:hAnsi="宋体" w:cs="宋体"/>
      <w:sz w:val="38"/>
      <w:szCs w:val="38"/>
      <w:lang w:val="zh-CN" w:bidi="zh-CN"/>
    </w:rPr>
  </w:style>
  <w:style w:type="paragraph" w:customStyle="1" w:styleId="104">
    <w:name w:val="Heading #1|1"/>
    <w:basedOn w:val="1"/>
    <w:link w:val="103"/>
    <w:qFormat/>
    <w:uiPriority w:val="0"/>
    <w:pPr>
      <w:spacing w:after="440" w:line="564" w:lineRule="exact"/>
      <w:jc w:val="center"/>
      <w:outlineLvl w:val="0"/>
    </w:pPr>
    <w:rPr>
      <w:rFonts w:ascii="宋体" w:hAnsi="宋体" w:cs="宋体"/>
      <w:kern w:val="0"/>
      <w:sz w:val="38"/>
      <w:szCs w:val="38"/>
      <w:lang w:val="zh-CN" w:bidi="zh-CN"/>
    </w:rPr>
  </w:style>
  <w:style w:type="character" w:customStyle="1" w:styleId="105">
    <w:name w:val="Header or footer|2_"/>
    <w:link w:val="106"/>
    <w:qFormat/>
    <w:uiPriority w:val="0"/>
    <w:rPr>
      <w:lang w:val="zh-CN" w:bidi="zh-CN"/>
    </w:rPr>
  </w:style>
  <w:style w:type="paragraph" w:customStyle="1" w:styleId="106">
    <w:name w:val="Header or footer|2"/>
    <w:basedOn w:val="1"/>
    <w:link w:val="105"/>
    <w:qFormat/>
    <w:uiPriority w:val="0"/>
    <w:pPr>
      <w:jc w:val="left"/>
    </w:pPr>
    <w:rPr>
      <w:kern w:val="0"/>
      <w:sz w:val="20"/>
      <w:szCs w:val="20"/>
      <w:lang w:val="zh-CN" w:bidi="zh-CN"/>
    </w:rPr>
  </w:style>
  <w:style w:type="character" w:customStyle="1" w:styleId="107">
    <w:name w:val="Title Char"/>
    <w:qFormat/>
    <w:uiPriority w:val="99"/>
    <w:rPr>
      <w:rFonts w:ascii="Cambria" w:hAnsi="Cambria" w:cs="Cambria"/>
      <w:b/>
      <w:bCs/>
      <w:sz w:val="32"/>
      <w:szCs w:val="32"/>
    </w:rPr>
  </w:style>
  <w:style w:type="character" w:customStyle="1" w:styleId="108">
    <w:name w:val="Body text|3_"/>
    <w:link w:val="109"/>
    <w:qFormat/>
    <w:uiPriority w:val="0"/>
    <w:rPr>
      <w:rFonts w:ascii="宋体" w:hAnsi="宋体" w:cs="宋体"/>
      <w:lang w:val="zh-CN" w:bidi="zh-CN"/>
    </w:rPr>
  </w:style>
  <w:style w:type="paragraph" w:customStyle="1" w:styleId="109">
    <w:name w:val="Body text|3"/>
    <w:basedOn w:val="1"/>
    <w:link w:val="108"/>
    <w:qFormat/>
    <w:uiPriority w:val="0"/>
    <w:pPr>
      <w:spacing w:after="340"/>
      <w:jc w:val="left"/>
    </w:pPr>
    <w:rPr>
      <w:rFonts w:ascii="宋体" w:hAnsi="宋体" w:cs="宋体"/>
      <w:kern w:val="0"/>
      <w:sz w:val="20"/>
      <w:szCs w:val="20"/>
      <w:lang w:val="zh-CN" w:bidi="zh-CN"/>
    </w:rPr>
  </w:style>
  <w:style w:type="character" w:customStyle="1" w:styleId="110">
    <w:name w:val="Table of contents|1_"/>
    <w:link w:val="111"/>
    <w:qFormat/>
    <w:uiPriority w:val="0"/>
    <w:rPr>
      <w:rFonts w:ascii="宋体" w:hAnsi="宋体" w:cs="宋体"/>
      <w:lang w:val="zh-CN" w:bidi="zh-CN"/>
    </w:rPr>
  </w:style>
  <w:style w:type="paragraph" w:customStyle="1" w:styleId="111">
    <w:name w:val="Table of contents|1"/>
    <w:basedOn w:val="1"/>
    <w:link w:val="110"/>
    <w:qFormat/>
    <w:uiPriority w:val="0"/>
    <w:pPr>
      <w:spacing w:after="100"/>
      <w:ind w:firstLine="600"/>
      <w:jc w:val="left"/>
    </w:pPr>
    <w:rPr>
      <w:rFonts w:ascii="宋体" w:hAnsi="宋体" w:cs="宋体"/>
      <w:kern w:val="0"/>
      <w:sz w:val="20"/>
      <w:szCs w:val="20"/>
      <w:lang w:val="zh-CN" w:bidi="zh-CN"/>
    </w:rPr>
  </w:style>
  <w:style w:type="character" w:customStyle="1" w:styleId="112">
    <w:name w:val="Date Char"/>
    <w:qFormat/>
    <w:uiPriority w:val="99"/>
    <w:rPr>
      <w:rFonts w:eastAsia="宋体"/>
      <w:kern w:val="2"/>
      <w:sz w:val="24"/>
      <w:szCs w:val="24"/>
      <w:lang w:val="en-US" w:eastAsia="zh-CN"/>
    </w:rPr>
  </w:style>
  <w:style w:type="character" w:customStyle="1" w:styleId="113">
    <w:name w:val="Char Char9"/>
    <w:qFormat/>
    <w:uiPriority w:val="99"/>
    <w:rPr>
      <w:rFonts w:eastAsia="宋体"/>
      <w:b/>
      <w:bCs/>
      <w:kern w:val="44"/>
      <w:sz w:val="44"/>
      <w:szCs w:val="44"/>
      <w:lang w:val="en-US" w:eastAsia="zh-CN"/>
    </w:rPr>
  </w:style>
  <w:style w:type="character" w:customStyle="1" w:styleId="114">
    <w:name w:val="Document Map Char"/>
    <w:qFormat/>
    <w:uiPriority w:val="99"/>
    <w:rPr>
      <w:rFonts w:eastAsia="宋体"/>
      <w:kern w:val="2"/>
      <w:sz w:val="24"/>
      <w:szCs w:val="24"/>
      <w:lang w:val="en-US" w:eastAsia="zh-CN"/>
    </w:rPr>
  </w:style>
  <w:style w:type="character" w:customStyle="1" w:styleId="115">
    <w:name w:val="Header Char"/>
    <w:qFormat/>
    <w:uiPriority w:val="99"/>
    <w:rPr>
      <w:rFonts w:eastAsia="宋体"/>
      <w:kern w:val="2"/>
      <w:sz w:val="18"/>
      <w:szCs w:val="18"/>
      <w:lang w:val="en-US" w:eastAsia="zh-CN"/>
    </w:rPr>
  </w:style>
  <w:style w:type="character" w:customStyle="1" w:styleId="116">
    <w:name w:val="明显参考1"/>
    <w:qFormat/>
    <w:uiPriority w:val="99"/>
    <w:rPr>
      <w:b/>
      <w:bCs/>
      <w:smallCaps/>
      <w:color w:val="auto"/>
      <w:spacing w:val="5"/>
      <w:u w:val="single"/>
    </w:rPr>
  </w:style>
  <w:style w:type="character" w:customStyle="1" w:styleId="117">
    <w:name w:val="Heading 1 Char"/>
    <w:qFormat/>
    <w:uiPriority w:val="99"/>
    <w:rPr>
      <w:rFonts w:eastAsia="宋体"/>
      <w:b/>
      <w:bCs/>
      <w:kern w:val="44"/>
      <w:sz w:val="44"/>
      <w:szCs w:val="44"/>
      <w:lang w:val="en-US" w:eastAsia="zh-CN"/>
    </w:rPr>
  </w:style>
  <w:style w:type="character" w:customStyle="1" w:styleId="118">
    <w:name w:val="Comment Text Char"/>
    <w:qFormat/>
    <w:uiPriority w:val="99"/>
    <w:rPr>
      <w:sz w:val="24"/>
      <w:szCs w:val="24"/>
    </w:rPr>
  </w:style>
  <w:style w:type="character" w:customStyle="1" w:styleId="119">
    <w:name w:val="Char Char23"/>
    <w:qFormat/>
    <w:uiPriority w:val="99"/>
    <w:rPr>
      <w:rFonts w:eastAsia="宋体"/>
      <w:b/>
      <w:bCs/>
      <w:kern w:val="44"/>
      <w:sz w:val="44"/>
      <w:szCs w:val="44"/>
      <w:lang w:val="en-US" w:eastAsia="zh-CN"/>
    </w:rPr>
  </w:style>
  <w:style w:type="character" w:customStyle="1" w:styleId="120">
    <w:name w:val="Char Char181"/>
    <w:qFormat/>
    <w:uiPriority w:val="99"/>
    <w:rPr>
      <w:b/>
      <w:bCs/>
      <w:kern w:val="44"/>
      <w:sz w:val="44"/>
      <w:szCs w:val="44"/>
    </w:rPr>
  </w:style>
  <w:style w:type="character" w:customStyle="1" w:styleId="121">
    <w:name w:val="Char Char22"/>
    <w:qFormat/>
    <w:uiPriority w:val="99"/>
    <w:rPr>
      <w:rFonts w:ascii="Times New Roman" w:hAnsi="Times New Roman" w:eastAsia="宋体" w:cs="Times New Roman"/>
      <w:b/>
      <w:bCs/>
      <w:kern w:val="44"/>
      <w:sz w:val="44"/>
      <w:szCs w:val="44"/>
    </w:rPr>
  </w:style>
  <w:style w:type="character" w:customStyle="1" w:styleId="122">
    <w:name w:val="引用 Char1"/>
    <w:qFormat/>
    <w:uiPriority w:val="99"/>
    <w:rPr>
      <w:rFonts w:ascii="Times New Roman" w:hAnsi="Times New Roman" w:eastAsia="宋体" w:cs="Times New Roman"/>
      <w:i/>
      <w:iCs/>
      <w:color w:val="000000"/>
      <w:sz w:val="24"/>
      <w:szCs w:val="24"/>
    </w:rPr>
  </w:style>
  <w:style w:type="character" w:customStyle="1" w:styleId="123">
    <w:name w:val="Heading 3 Char1"/>
    <w:qFormat/>
    <w:uiPriority w:val="99"/>
    <w:rPr>
      <w:rFonts w:eastAsia="宋体"/>
      <w:b/>
      <w:bCs/>
      <w:kern w:val="2"/>
      <w:sz w:val="32"/>
      <w:szCs w:val="32"/>
      <w:lang w:val="en-US" w:eastAsia="zh-CN"/>
    </w:rPr>
  </w:style>
  <w:style w:type="character" w:customStyle="1" w:styleId="124">
    <w:name w:val="明显强调1"/>
    <w:qFormat/>
    <w:uiPriority w:val="99"/>
    <w:rPr>
      <w:b/>
      <w:bCs/>
      <w:i/>
      <w:iCs/>
      <w:color w:val="4F81BD"/>
    </w:rPr>
  </w:style>
  <w:style w:type="character" w:customStyle="1" w:styleId="125">
    <w:name w:val="明显引用 Char1"/>
    <w:qFormat/>
    <w:uiPriority w:val="99"/>
    <w:rPr>
      <w:rFonts w:ascii="Times New Roman" w:hAnsi="Times New Roman" w:eastAsia="宋体" w:cs="Times New Roman"/>
      <w:b/>
      <w:bCs/>
      <w:i/>
      <w:iCs/>
      <w:color w:val="4F81BD"/>
      <w:sz w:val="24"/>
      <w:szCs w:val="24"/>
    </w:rPr>
  </w:style>
  <w:style w:type="character" w:customStyle="1" w:styleId="126">
    <w:name w:val="标题 Char2"/>
    <w:qFormat/>
    <w:uiPriority w:val="99"/>
    <w:rPr>
      <w:rFonts w:ascii="Cambria" w:hAnsi="Cambria" w:eastAsia="宋体" w:cs="Cambria"/>
      <w:b/>
      <w:bCs/>
      <w:sz w:val="32"/>
      <w:szCs w:val="32"/>
    </w:rPr>
  </w:style>
  <w:style w:type="character" w:customStyle="1" w:styleId="127">
    <w:name w:val="标题 Char1"/>
    <w:qFormat/>
    <w:uiPriority w:val="99"/>
    <w:rPr>
      <w:rFonts w:ascii="Cambria" w:hAnsi="Cambria" w:eastAsia="宋体" w:cs="Cambria"/>
      <w:b/>
      <w:bCs/>
      <w:sz w:val="32"/>
      <w:szCs w:val="32"/>
    </w:rPr>
  </w:style>
  <w:style w:type="character" w:customStyle="1" w:styleId="128">
    <w:name w:val="Heading 5 Char"/>
    <w:qFormat/>
    <w:uiPriority w:val="99"/>
    <w:rPr>
      <w:rFonts w:eastAsia="宋体"/>
      <w:b/>
      <w:bCs/>
      <w:kern w:val="2"/>
      <w:sz w:val="28"/>
      <w:szCs w:val="28"/>
      <w:lang w:val="en-US" w:eastAsia="zh-CN"/>
    </w:rPr>
  </w:style>
  <w:style w:type="character" w:customStyle="1" w:styleId="129">
    <w:name w:val="标题 1 字符1"/>
    <w:qFormat/>
    <w:uiPriority w:val="0"/>
    <w:rPr>
      <w:b/>
      <w:bCs/>
      <w:kern w:val="44"/>
      <w:sz w:val="44"/>
      <w:szCs w:val="44"/>
    </w:rPr>
  </w:style>
  <w:style w:type="character" w:customStyle="1" w:styleId="130">
    <w:name w:val="明显引用 Char"/>
    <w:link w:val="131"/>
    <w:qFormat/>
    <w:locked/>
    <w:uiPriority w:val="99"/>
    <w:rPr>
      <w:b/>
      <w:bCs/>
      <w:i/>
      <w:iCs/>
      <w:color w:val="4F81BD"/>
    </w:rPr>
  </w:style>
  <w:style w:type="paragraph" w:customStyle="1" w:styleId="131">
    <w:name w:val="明显引用1"/>
    <w:basedOn w:val="1"/>
    <w:next w:val="1"/>
    <w:link w:val="130"/>
    <w:qFormat/>
    <w:uiPriority w:val="99"/>
    <w:pPr>
      <w:pBdr>
        <w:bottom w:val="single" w:color="4F81BD" w:sz="4" w:space="4"/>
      </w:pBdr>
      <w:spacing w:before="200" w:after="280"/>
      <w:ind w:left="936" w:right="936"/>
    </w:pPr>
    <w:rPr>
      <w:b/>
      <w:bCs/>
      <w:i/>
      <w:iCs/>
      <w:color w:val="4F81BD"/>
      <w:kern w:val="0"/>
      <w:sz w:val="20"/>
      <w:szCs w:val="20"/>
    </w:rPr>
  </w:style>
  <w:style w:type="character" w:customStyle="1" w:styleId="132">
    <w:name w:val="textcontents"/>
    <w:qFormat/>
    <w:uiPriority w:val="99"/>
  </w:style>
  <w:style w:type="character" w:customStyle="1" w:styleId="133">
    <w:name w:val="Char Char19"/>
    <w:qFormat/>
    <w:uiPriority w:val="99"/>
    <w:rPr>
      <w:rFonts w:ascii="Arial" w:hAnsi="Arial" w:eastAsia="宋体" w:cs="Arial"/>
      <w:b/>
      <w:bCs/>
      <w:sz w:val="28"/>
      <w:szCs w:val="28"/>
    </w:rPr>
  </w:style>
  <w:style w:type="character" w:customStyle="1" w:styleId="134">
    <w:name w:val="批注文字 Char"/>
    <w:qFormat/>
    <w:uiPriority w:val="99"/>
    <w:rPr>
      <w:rFonts w:ascii="Times New Roman" w:hAnsi="Times New Roman"/>
      <w:kern w:val="2"/>
      <w:sz w:val="21"/>
      <w:szCs w:val="24"/>
    </w:rPr>
  </w:style>
  <w:style w:type="character" w:customStyle="1" w:styleId="135">
    <w:name w:val="标题5 Char Char"/>
    <w:link w:val="136"/>
    <w:qFormat/>
    <w:locked/>
    <w:uiPriority w:val="99"/>
    <w:rPr>
      <w:rFonts w:ascii="Arial" w:hAnsi="Arial" w:cs="Arial"/>
      <w:b/>
      <w:bCs/>
      <w:sz w:val="32"/>
      <w:szCs w:val="32"/>
    </w:rPr>
  </w:style>
  <w:style w:type="paragraph" w:customStyle="1" w:styleId="136">
    <w:name w:val="标题5"/>
    <w:basedOn w:val="4"/>
    <w:link w:val="135"/>
    <w:qFormat/>
    <w:uiPriority w:val="99"/>
    <w:pPr>
      <w:spacing w:line="413" w:lineRule="auto"/>
    </w:pPr>
    <w:rPr>
      <w:rFonts w:ascii="Arial" w:hAnsi="Arial"/>
      <w:kern w:val="0"/>
    </w:rPr>
  </w:style>
  <w:style w:type="character" w:customStyle="1" w:styleId="137">
    <w:name w:val="纯文本 字符"/>
    <w:qFormat/>
    <w:uiPriority w:val="0"/>
    <w:rPr>
      <w:rFonts w:ascii="宋体" w:hAnsi="Courier New" w:eastAsia="宋体" w:cs="Courier New"/>
      <w:szCs w:val="21"/>
    </w:rPr>
  </w:style>
  <w:style w:type="character" w:customStyle="1" w:styleId="138">
    <w:name w:val="引用 Char"/>
    <w:link w:val="139"/>
    <w:qFormat/>
    <w:locked/>
    <w:uiPriority w:val="99"/>
    <w:rPr>
      <w:i/>
      <w:iCs/>
      <w:color w:val="000000"/>
    </w:rPr>
  </w:style>
  <w:style w:type="paragraph" w:customStyle="1" w:styleId="139">
    <w:name w:val="引用1"/>
    <w:basedOn w:val="1"/>
    <w:next w:val="1"/>
    <w:link w:val="138"/>
    <w:qFormat/>
    <w:uiPriority w:val="99"/>
    <w:rPr>
      <w:i/>
      <w:iCs/>
      <w:color w:val="000000"/>
      <w:kern w:val="0"/>
      <w:sz w:val="20"/>
      <w:szCs w:val="20"/>
    </w:rPr>
  </w:style>
  <w:style w:type="character" w:customStyle="1" w:styleId="140">
    <w:name w:val="纯文本 Char"/>
    <w:qFormat/>
    <w:uiPriority w:val="0"/>
    <w:rPr>
      <w:rFonts w:ascii="宋体" w:hAnsi="Courier New" w:eastAsia="宋体" w:cs="Courier New"/>
      <w:szCs w:val="21"/>
    </w:rPr>
  </w:style>
  <w:style w:type="character" w:customStyle="1" w:styleId="141">
    <w:name w:val="日期 Char1"/>
    <w:qFormat/>
    <w:uiPriority w:val="99"/>
    <w:rPr>
      <w:rFonts w:ascii="Times New Roman" w:hAnsi="Times New Roman" w:eastAsia="宋体" w:cs="Times New Roman"/>
      <w:sz w:val="24"/>
      <w:szCs w:val="24"/>
    </w:rPr>
  </w:style>
  <w:style w:type="character" w:customStyle="1" w:styleId="142">
    <w:name w:val="纯文本 字符2"/>
    <w:qFormat/>
    <w:uiPriority w:val="0"/>
    <w:rPr>
      <w:rFonts w:ascii="宋体" w:hAnsi="Courier New" w:eastAsia="宋体" w:cs="Courier New"/>
      <w:szCs w:val="21"/>
    </w:rPr>
  </w:style>
  <w:style w:type="character" w:customStyle="1" w:styleId="143">
    <w:name w:val="Char Char91"/>
    <w:qFormat/>
    <w:uiPriority w:val="99"/>
    <w:rPr>
      <w:rFonts w:eastAsia="宋体"/>
      <w:b/>
      <w:bCs/>
      <w:kern w:val="44"/>
      <w:sz w:val="44"/>
      <w:szCs w:val="44"/>
      <w:lang w:val="en-US" w:eastAsia="zh-CN"/>
    </w:rPr>
  </w:style>
  <w:style w:type="character" w:customStyle="1" w:styleId="144">
    <w:name w:val="批注文字 字符1"/>
    <w:qFormat/>
    <w:uiPriority w:val="0"/>
    <w:rPr>
      <w:rFonts w:ascii="Times New Roman" w:hAnsi="Times New Roman"/>
      <w:kern w:val="2"/>
      <w:sz w:val="21"/>
      <w:szCs w:val="24"/>
    </w:rPr>
  </w:style>
  <w:style w:type="character" w:customStyle="1" w:styleId="145">
    <w:name w:val="Char Char6"/>
    <w:qFormat/>
    <w:uiPriority w:val="99"/>
    <w:rPr>
      <w:rFonts w:eastAsia="宋体"/>
      <w:b/>
      <w:bCs/>
      <w:kern w:val="44"/>
      <w:sz w:val="44"/>
      <w:szCs w:val="44"/>
      <w:lang w:val="en-US" w:eastAsia="zh-CN"/>
    </w:rPr>
  </w:style>
  <w:style w:type="character" w:customStyle="1" w:styleId="146">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147">
    <w:name w:val="Comment Text Char1"/>
    <w:qFormat/>
    <w:uiPriority w:val="99"/>
    <w:rPr>
      <w:sz w:val="24"/>
      <w:szCs w:val="24"/>
    </w:rPr>
  </w:style>
  <w:style w:type="character" w:customStyle="1" w:styleId="148">
    <w:name w:val="纯文本 字符1"/>
    <w:qFormat/>
    <w:uiPriority w:val="0"/>
    <w:rPr>
      <w:rFonts w:ascii="宋体" w:hAnsi="Courier New"/>
    </w:rPr>
  </w:style>
  <w:style w:type="character" w:customStyle="1" w:styleId="149">
    <w:name w:val="Footer Char"/>
    <w:qFormat/>
    <w:uiPriority w:val="99"/>
    <w:rPr>
      <w:rFonts w:eastAsia="宋体"/>
      <w:kern w:val="2"/>
      <w:sz w:val="18"/>
      <w:szCs w:val="18"/>
      <w:lang w:val="en-US" w:eastAsia="zh-CN"/>
    </w:rPr>
  </w:style>
  <w:style w:type="character" w:customStyle="1" w:styleId="150">
    <w:name w:val="正文文本 Char"/>
    <w:qFormat/>
    <w:uiPriority w:val="99"/>
    <w:rPr>
      <w:rFonts w:ascii="Times New Roman" w:hAnsi="Times New Roman"/>
      <w:kern w:val="2"/>
      <w:sz w:val="21"/>
      <w:szCs w:val="24"/>
    </w:rPr>
  </w:style>
  <w:style w:type="character" w:customStyle="1" w:styleId="151">
    <w:name w:val="Body Text Indent 2 Char"/>
    <w:qFormat/>
    <w:uiPriority w:val="99"/>
    <w:rPr>
      <w:rFonts w:eastAsia="宋体"/>
      <w:kern w:val="2"/>
      <w:sz w:val="24"/>
      <w:szCs w:val="24"/>
      <w:lang w:val="en-US" w:eastAsia="zh-CN"/>
    </w:rPr>
  </w:style>
  <w:style w:type="character" w:customStyle="1" w:styleId="152">
    <w:name w:val="批注文字 字符"/>
    <w:qFormat/>
    <w:uiPriority w:val="0"/>
    <w:rPr>
      <w:rFonts w:ascii="Times New Roman" w:hAnsi="Times New Roman"/>
      <w:kern w:val="2"/>
      <w:sz w:val="21"/>
      <w:szCs w:val="24"/>
    </w:rPr>
  </w:style>
  <w:style w:type="character" w:customStyle="1" w:styleId="153">
    <w:name w:val="标题 2 Char"/>
    <w:qFormat/>
    <w:uiPriority w:val="99"/>
    <w:rPr>
      <w:rFonts w:ascii="Cambria" w:hAnsi="Cambria" w:eastAsia="宋体" w:cs="Times New Roman"/>
      <w:b/>
      <w:bCs/>
      <w:kern w:val="2"/>
      <w:sz w:val="32"/>
      <w:szCs w:val="32"/>
    </w:rPr>
  </w:style>
  <w:style w:type="character" w:customStyle="1" w:styleId="154">
    <w:name w:val="标题 8 Char"/>
    <w:qFormat/>
    <w:uiPriority w:val="9"/>
    <w:rPr>
      <w:rFonts w:ascii="Arial" w:hAnsi="Arial" w:eastAsia="黑体"/>
      <w:kern w:val="2"/>
      <w:sz w:val="24"/>
      <w:szCs w:val="24"/>
    </w:rPr>
  </w:style>
  <w:style w:type="character" w:customStyle="1" w:styleId="155">
    <w:name w:val="apple-style-span"/>
    <w:qFormat/>
    <w:uiPriority w:val="0"/>
  </w:style>
  <w:style w:type="character" w:customStyle="1" w:styleId="156">
    <w:name w:val="正文文本 字符"/>
    <w:qFormat/>
    <w:uiPriority w:val="0"/>
    <w:rPr>
      <w:rFonts w:ascii="Times New Roman" w:hAnsi="Times New Roman"/>
      <w:kern w:val="2"/>
      <w:sz w:val="21"/>
      <w:szCs w:val="24"/>
    </w:rPr>
  </w:style>
  <w:style w:type="character" w:customStyle="1" w:styleId="157">
    <w:name w:val="批注文字 Char2"/>
    <w:qFormat/>
    <w:uiPriority w:val="0"/>
    <w:rPr>
      <w:rFonts w:ascii="Times New Roman" w:hAnsi="Times New Roman"/>
      <w:kern w:val="2"/>
      <w:sz w:val="21"/>
      <w:szCs w:val="24"/>
    </w:rPr>
  </w:style>
  <w:style w:type="character" w:customStyle="1" w:styleId="158">
    <w:name w:val="正文2 Char Char"/>
    <w:link w:val="159"/>
    <w:qFormat/>
    <w:uiPriority w:val="0"/>
    <w:rPr>
      <w:kern w:val="2"/>
      <w:sz w:val="24"/>
    </w:rPr>
  </w:style>
  <w:style w:type="paragraph" w:customStyle="1" w:styleId="159">
    <w:name w:val="正文2"/>
    <w:basedOn w:val="1"/>
    <w:link w:val="158"/>
    <w:qFormat/>
    <w:uiPriority w:val="0"/>
    <w:pPr>
      <w:adjustRightInd w:val="0"/>
      <w:spacing w:before="156" w:line="360" w:lineRule="auto"/>
      <w:ind w:firstLine="510" w:firstLineChars="200"/>
    </w:pPr>
    <w:rPr>
      <w:sz w:val="24"/>
      <w:szCs w:val="20"/>
    </w:rPr>
  </w:style>
  <w:style w:type="character" w:customStyle="1" w:styleId="160">
    <w:name w:val="不明显强调1"/>
    <w:qFormat/>
    <w:uiPriority w:val="99"/>
    <w:rPr>
      <w:i/>
      <w:iCs/>
      <w:color w:val="808080"/>
    </w:rPr>
  </w:style>
  <w:style w:type="character" w:customStyle="1" w:styleId="161">
    <w:name w:val="Body text|6_"/>
    <w:link w:val="162"/>
    <w:qFormat/>
    <w:uiPriority w:val="0"/>
    <w:rPr>
      <w:rFonts w:ascii="Arial" w:hAnsi="Arial" w:eastAsia="Arial" w:cs="Arial"/>
      <w:lang w:val="zh-CN"/>
    </w:rPr>
  </w:style>
  <w:style w:type="paragraph" w:customStyle="1" w:styleId="162">
    <w:name w:val="Body text|6"/>
    <w:basedOn w:val="1"/>
    <w:link w:val="161"/>
    <w:qFormat/>
    <w:uiPriority w:val="0"/>
    <w:pPr>
      <w:ind w:hanging="2220"/>
      <w:jc w:val="left"/>
    </w:pPr>
    <w:rPr>
      <w:rFonts w:ascii="Arial" w:hAnsi="Arial" w:eastAsia="Arial"/>
      <w:kern w:val="0"/>
      <w:sz w:val="20"/>
      <w:szCs w:val="20"/>
      <w:lang w:val="zh-CN"/>
    </w:rPr>
  </w:style>
  <w:style w:type="character" w:customStyle="1" w:styleId="163">
    <w:name w:val="批注文字 Char Char"/>
    <w:qFormat/>
    <w:uiPriority w:val="99"/>
    <w:rPr>
      <w:rFonts w:ascii="宋体" w:hAnsi="Times New Roman" w:eastAsia="宋体" w:cs="宋体"/>
      <w:sz w:val="20"/>
      <w:szCs w:val="20"/>
    </w:rPr>
  </w:style>
  <w:style w:type="character" w:customStyle="1" w:styleId="164">
    <w:name w:val="Heading 3 Char"/>
    <w:qFormat/>
    <w:uiPriority w:val="99"/>
    <w:rPr>
      <w:b/>
      <w:bCs/>
      <w:kern w:val="2"/>
      <w:sz w:val="32"/>
      <w:szCs w:val="32"/>
    </w:rPr>
  </w:style>
  <w:style w:type="character" w:customStyle="1" w:styleId="165">
    <w:name w:val="Heading 2 Char"/>
    <w:qFormat/>
    <w:uiPriority w:val="99"/>
    <w:rPr>
      <w:rFonts w:ascii="Arial" w:hAnsi="Arial" w:eastAsia="黑体" w:cs="Arial"/>
      <w:b/>
      <w:bCs/>
      <w:kern w:val="2"/>
      <w:sz w:val="32"/>
      <w:szCs w:val="32"/>
      <w:lang w:val="en-US" w:eastAsia="zh-CN"/>
    </w:rPr>
  </w:style>
  <w:style w:type="character" w:customStyle="1" w:styleId="166">
    <w:name w:val="Balloon Text Char"/>
    <w:qFormat/>
    <w:uiPriority w:val="99"/>
    <w:rPr>
      <w:sz w:val="18"/>
      <w:szCs w:val="18"/>
    </w:rPr>
  </w:style>
  <w:style w:type="character" w:customStyle="1" w:styleId="167">
    <w:name w:val="文档结构图 Char1"/>
    <w:qFormat/>
    <w:uiPriority w:val="99"/>
    <w:rPr>
      <w:rFonts w:ascii="宋体" w:hAnsi="Times New Roman" w:eastAsia="宋体" w:cs="宋体"/>
      <w:sz w:val="18"/>
      <w:szCs w:val="18"/>
    </w:rPr>
  </w:style>
  <w:style w:type="character" w:customStyle="1" w:styleId="168">
    <w:name w:val="Footnote Text Char"/>
    <w:qFormat/>
    <w:uiPriority w:val="99"/>
    <w:rPr>
      <w:rFonts w:eastAsia="宋体"/>
      <w:sz w:val="18"/>
      <w:szCs w:val="18"/>
      <w:lang w:val="en-US" w:eastAsia="zh-CN"/>
    </w:rPr>
  </w:style>
  <w:style w:type="character" w:customStyle="1" w:styleId="169">
    <w:name w:val="Char Char21"/>
    <w:qFormat/>
    <w:uiPriority w:val="99"/>
    <w:rPr>
      <w:rFonts w:ascii="Arial" w:hAnsi="Arial" w:eastAsia="黑体" w:cs="Arial"/>
      <w:b/>
      <w:bCs/>
      <w:sz w:val="32"/>
      <w:szCs w:val="32"/>
    </w:rPr>
  </w:style>
  <w:style w:type="character" w:customStyle="1" w:styleId="170">
    <w:name w:val="Other|1_"/>
    <w:link w:val="171"/>
    <w:qFormat/>
    <w:uiPriority w:val="0"/>
    <w:rPr>
      <w:rFonts w:ascii="宋体" w:hAnsi="宋体" w:cs="宋体"/>
      <w:lang w:val="zh-CN" w:bidi="zh-CN"/>
    </w:rPr>
  </w:style>
  <w:style w:type="paragraph" w:customStyle="1" w:styleId="171">
    <w:name w:val="Other|1"/>
    <w:basedOn w:val="1"/>
    <w:link w:val="170"/>
    <w:qFormat/>
    <w:uiPriority w:val="0"/>
    <w:pPr>
      <w:spacing w:line="360" w:lineRule="auto"/>
      <w:ind w:firstLine="400"/>
      <w:jc w:val="left"/>
    </w:pPr>
    <w:rPr>
      <w:rFonts w:ascii="宋体" w:hAnsi="宋体" w:cs="宋体"/>
      <w:kern w:val="0"/>
      <w:sz w:val="20"/>
      <w:szCs w:val="20"/>
      <w:lang w:val="zh-CN" w:bidi="zh-CN"/>
    </w:rPr>
  </w:style>
  <w:style w:type="character" w:customStyle="1" w:styleId="172">
    <w:name w:val="Body Text Indent Char"/>
    <w:qFormat/>
    <w:uiPriority w:val="99"/>
    <w:rPr>
      <w:rFonts w:ascii="宋体" w:hAnsi="宋体" w:eastAsia="宋体" w:cs="宋体"/>
      <w:kern w:val="2"/>
      <w:sz w:val="21"/>
      <w:szCs w:val="21"/>
      <w:lang w:val="en-US" w:eastAsia="zh-CN"/>
    </w:rPr>
  </w:style>
  <w:style w:type="character" w:customStyle="1" w:styleId="173">
    <w:name w:val="不明显参考1"/>
    <w:qFormat/>
    <w:uiPriority w:val="99"/>
    <w:rPr>
      <w:smallCaps/>
      <w:color w:val="auto"/>
      <w:u w:val="single"/>
    </w:rPr>
  </w:style>
  <w:style w:type="character" w:customStyle="1" w:styleId="174">
    <w:name w:val="Heading 4 Char"/>
    <w:qFormat/>
    <w:uiPriority w:val="99"/>
    <w:rPr>
      <w:rFonts w:ascii="Arial" w:hAnsi="Arial" w:eastAsia="宋体" w:cs="Arial"/>
      <w:b/>
      <w:bCs/>
      <w:kern w:val="2"/>
      <w:sz w:val="28"/>
      <w:szCs w:val="28"/>
      <w:lang w:val="en-US" w:eastAsia="zh-CN"/>
    </w:rPr>
  </w:style>
  <w:style w:type="character" w:customStyle="1" w:styleId="175">
    <w:name w:val="Body text|7_"/>
    <w:link w:val="176"/>
    <w:qFormat/>
    <w:uiPriority w:val="0"/>
    <w:rPr>
      <w:rFonts w:ascii="Courier New" w:hAnsi="Courier New" w:eastAsia="Courier New" w:cs="Courier New"/>
      <w:b/>
      <w:bCs/>
      <w:sz w:val="8"/>
      <w:szCs w:val="8"/>
      <w:lang w:val="zh-CN"/>
    </w:rPr>
  </w:style>
  <w:style w:type="paragraph" w:customStyle="1" w:styleId="176">
    <w:name w:val="Body text|7"/>
    <w:basedOn w:val="1"/>
    <w:link w:val="175"/>
    <w:qFormat/>
    <w:uiPriority w:val="0"/>
    <w:pPr>
      <w:ind w:hanging="1760"/>
      <w:jc w:val="left"/>
    </w:pPr>
    <w:rPr>
      <w:rFonts w:ascii="Courier New" w:hAnsi="Courier New" w:eastAsia="Courier New"/>
      <w:b/>
      <w:bCs/>
      <w:kern w:val="0"/>
      <w:sz w:val="8"/>
      <w:szCs w:val="8"/>
      <w:lang w:val="zh-CN"/>
    </w:rPr>
  </w:style>
  <w:style w:type="character" w:customStyle="1" w:styleId="177">
    <w:name w:val="Char Char20"/>
    <w:qFormat/>
    <w:uiPriority w:val="99"/>
    <w:rPr>
      <w:rFonts w:ascii="Times New Roman" w:hAnsi="Times New Roman" w:eastAsia="宋体" w:cs="Times New Roman"/>
      <w:b/>
      <w:bCs/>
      <w:sz w:val="32"/>
      <w:szCs w:val="32"/>
    </w:rPr>
  </w:style>
  <w:style w:type="character" w:customStyle="1" w:styleId="178">
    <w:name w:val="Body text|4_"/>
    <w:link w:val="179"/>
    <w:qFormat/>
    <w:uiPriority w:val="0"/>
    <w:rPr>
      <w:rFonts w:ascii="宋体" w:hAnsi="宋体" w:cs="宋体"/>
      <w:b/>
      <w:bCs/>
      <w:sz w:val="17"/>
      <w:szCs w:val="17"/>
      <w:lang w:val="zh-CN" w:bidi="zh-CN"/>
    </w:rPr>
  </w:style>
  <w:style w:type="paragraph" w:customStyle="1" w:styleId="179">
    <w:name w:val="Body text|4"/>
    <w:basedOn w:val="1"/>
    <w:link w:val="178"/>
    <w:qFormat/>
    <w:uiPriority w:val="0"/>
    <w:pPr>
      <w:spacing w:line="281" w:lineRule="exact"/>
      <w:jc w:val="center"/>
    </w:pPr>
    <w:rPr>
      <w:rFonts w:ascii="宋体" w:hAnsi="宋体" w:cs="宋体"/>
      <w:b/>
      <w:bCs/>
      <w:kern w:val="0"/>
      <w:sz w:val="17"/>
      <w:szCs w:val="17"/>
      <w:lang w:val="zh-CN" w:bidi="zh-CN"/>
    </w:rPr>
  </w:style>
  <w:style w:type="character" w:customStyle="1" w:styleId="180">
    <w:name w:val="Comment Subject Char"/>
    <w:qFormat/>
    <w:uiPriority w:val="99"/>
    <w:rPr>
      <w:b/>
      <w:bCs/>
      <w:sz w:val="24"/>
      <w:szCs w:val="24"/>
    </w:rPr>
  </w:style>
  <w:style w:type="character" w:customStyle="1" w:styleId="181">
    <w:name w:val="Heading #2|1_"/>
    <w:link w:val="182"/>
    <w:qFormat/>
    <w:uiPriority w:val="0"/>
    <w:rPr>
      <w:rFonts w:ascii="宋体" w:hAnsi="宋体" w:cs="宋体"/>
      <w:sz w:val="34"/>
      <w:szCs w:val="34"/>
      <w:lang w:val="zh-CN" w:bidi="zh-CN"/>
    </w:rPr>
  </w:style>
  <w:style w:type="paragraph" w:customStyle="1" w:styleId="182">
    <w:name w:val="Heading #2|1"/>
    <w:basedOn w:val="1"/>
    <w:link w:val="181"/>
    <w:qFormat/>
    <w:uiPriority w:val="0"/>
    <w:pPr>
      <w:spacing w:after="900"/>
      <w:jc w:val="center"/>
      <w:outlineLvl w:val="1"/>
    </w:pPr>
    <w:rPr>
      <w:rFonts w:ascii="宋体" w:hAnsi="宋体" w:cs="宋体"/>
      <w:kern w:val="0"/>
      <w:sz w:val="34"/>
      <w:szCs w:val="34"/>
      <w:lang w:val="zh-CN" w:bidi="zh-CN"/>
    </w:rPr>
  </w:style>
  <w:style w:type="character" w:customStyle="1" w:styleId="183">
    <w:name w:val="批注框文本 Char1"/>
    <w:qFormat/>
    <w:uiPriority w:val="99"/>
    <w:rPr>
      <w:rFonts w:ascii="Times New Roman" w:hAnsi="Times New Roman" w:eastAsia="宋体" w:cs="Times New Roman"/>
      <w:sz w:val="18"/>
      <w:szCs w:val="18"/>
    </w:rPr>
  </w:style>
  <w:style w:type="character" w:customStyle="1" w:styleId="184">
    <w:name w:val="Char Char18"/>
    <w:qFormat/>
    <w:uiPriority w:val="99"/>
    <w:rPr>
      <w:rFonts w:ascii="Times New Roman" w:hAnsi="Times New Roman" w:eastAsia="宋体" w:cs="Times New Roman"/>
      <w:b/>
      <w:bCs/>
      <w:sz w:val="28"/>
      <w:szCs w:val="28"/>
    </w:rPr>
  </w:style>
  <w:style w:type="character" w:customStyle="1" w:styleId="185">
    <w:name w:val="批注主题 Char1"/>
    <w:qFormat/>
    <w:uiPriority w:val="99"/>
    <w:rPr>
      <w:rFonts w:ascii="Times New Roman" w:hAnsi="Times New Roman" w:eastAsia="宋体" w:cs="Times New Roman"/>
      <w:b/>
      <w:bCs/>
      <w:sz w:val="24"/>
      <w:szCs w:val="24"/>
    </w:rPr>
  </w:style>
  <w:style w:type="character" w:customStyle="1" w:styleId="186">
    <w:name w:val="Char Char24"/>
    <w:qFormat/>
    <w:uiPriority w:val="99"/>
    <w:rPr>
      <w:rFonts w:eastAsia="宋体"/>
      <w:b/>
      <w:bCs/>
      <w:kern w:val="44"/>
      <w:sz w:val="44"/>
      <w:szCs w:val="44"/>
      <w:lang w:val="en-US" w:eastAsia="zh-CN"/>
    </w:rPr>
  </w:style>
  <w:style w:type="character" w:customStyle="1" w:styleId="187">
    <w:name w:val="标题4 Char Char"/>
    <w:link w:val="188"/>
    <w:qFormat/>
    <w:locked/>
    <w:uiPriority w:val="99"/>
    <w:rPr>
      <w:rFonts w:ascii="Arial" w:hAnsi="Arial" w:cs="Arial"/>
      <w:b/>
      <w:bCs/>
      <w:sz w:val="32"/>
      <w:szCs w:val="32"/>
    </w:rPr>
  </w:style>
  <w:style w:type="paragraph" w:customStyle="1" w:styleId="188">
    <w:name w:val="标题4"/>
    <w:basedOn w:val="3"/>
    <w:next w:val="21"/>
    <w:link w:val="187"/>
    <w:qFormat/>
    <w:uiPriority w:val="99"/>
    <w:pPr>
      <w:spacing w:before="60" w:after="60" w:line="413" w:lineRule="auto"/>
    </w:pPr>
    <w:rPr>
      <w:rFonts w:ascii="Arial" w:hAnsi="Arial"/>
      <w:kern w:val="0"/>
    </w:rPr>
  </w:style>
  <w:style w:type="character" w:customStyle="1" w:styleId="189">
    <w:name w:val="Plain Text Char"/>
    <w:qFormat/>
    <w:uiPriority w:val="99"/>
    <w:rPr>
      <w:rFonts w:ascii="宋体" w:hAnsi="Courier New" w:eastAsia="宋体" w:cs="宋体"/>
      <w:sz w:val="24"/>
      <w:szCs w:val="24"/>
    </w:rPr>
  </w:style>
  <w:style w:type="character" w:customStyle="1" w:styleId="190">
    <w:name w:val="Header or footer|1_"/>
    <w:link w:val="191"/>
    <w:qFormat/>
    <w:uiPriority w:val="0"/>
    <w:rPr>
      <w:sz w:val="17"/>
      <w:szCs w:val="17"/>
      <w:lang w:val="zh-CN" w:bidi="zh-CN"/>
    </w:rPr>
  </w:style>
  <w:style w:type="paragraph" w:customStyle="1" w:styleId="191">
    <w:name w:val="Header or footer|1"/>
    <w:basedOn w:val="1"/>
    <w:link w:val="190"/>
    <w:qFormat/>
    <w:uiPriority w:val="0"/>
    <w:pPr>
      <w:jc w:val="center"/>
    </w:pPr>
    <w:rPr>
      <w:kern w:val="0"/>
      <w:sz w:val="17"/>
      <w:szCs w:val="17"/>
      <w:lang w:val="zh-CN" w:bidi="zh-CN"/>
    </w:rPr>
  </w:style>
  <w:style w:type="character" w:customStyle="1" w:styleId="192">
    <w:name w:val="Heading #3|1_"/>
    <w:link w:val="193"/>
    <w:qFormat/>
    <w:uiPriority w:val="0"/>
    <w:rPr>
      <w:rFonts w:ascii="宋体" w:hAnsi="宋体" w:cs="宋体"/>
      <w:sz w:val="28"/>
      <w:szCs w:val="28"/>
      <w:lang w:val="zh-CN" w:bidi="zh-CN"/>
    </w:rPr>
  </w:style>
  <w:style w:type="paragraph" w:customStyle="1" w:styleId="193">
    <w:name w:val="Heading #3|1"/>
    <w:basedOn w:val="1"/>
    <w:link w:val="192"/>
    <w:qFormat/>
    <w:uiPriority w:val="0"/>
    <w:pPr>
      <w:spacing w:after="570"/>
      <w:jc w:val="center"/>
      <w:outlineLvl w:val="2"/>
    </w:pPr>
    <w:rPr>
      <w:rFonts w:ascii="宋体" w:hAnsi="宋体" w:cs="宋体"/>
      <w:kern w:val="0"/>
      <w:sz w:val="28"/>
      <w:szCs w:val="28"/>
      <w:lang w:val="zh-CN" w:bidi="zh-CN"/>
    </w:rPr>
  </w:style>
  <w:style w:type="character" w:styleId="194">
    <w:name w:val="Placeholder Text"/>
    <w:unhideWhenUsed/>
    <w:qFormat/>
    <w:uiPriority w:val="99"/>
    <w:rPr>
      <w:color w:val="808080"/>
    </w:rPr>
  </w:style>
  <w:style w:type="paragraph" w:customStyle="1" w:styleId="195">
    <w:name w:val="flNote"/>
    <w:basedOn w:val="1"/>
    <w:qFormat/>
    <w:uiPriority w:val="99"/>
    <w:pPr>
      <w:adjustRightInd w:val="0"/>
      <w:spacing w:before="320" w:after="160" w:line="360" w:lineRule="atLeast"/>
      <w:jc w:val="center"/>
      <w:textAlignment w:val="baseline"/>
    </w:pPr>
    <w:rPr>
      <w:rFonts w:ascii="Arial" w:eastAsia="黑体" w:cs="Arial"/>
      <w:kern w:val="0"/>
      <w:sz w:val="30"/>
      <w:szCs w:val="30"/>
    </w:rPr>
  </w:style>
  <w:style w:type="paragraph" w:styleId="196">
    <w:name w:val="List Paragraph"/>
    <w:basedOn w:val="1"/>
    <w:qFormat/>
    <w:uiPriority w:val="34"/>
    <w:pPr>
      <w:ind w:firstLine="420" w:firstLineChars="200"/>
    </w:pPr>
  </w:style>
  <w:style w:type="paragraph" w:customStyle="1" w:styleId="197">
    <w:name w:val="样式 标题 2 + Times New Roman 四号 非加粗 段前: 5 磅 段后: 0 磅 行距: 固定值 20..."/>
    <w:basedOn w:val="3"/>
    <w:qFormat/>
    <w:uiPriority w:val="99"/>
    <w:pPr>
      <w:spacing w:before="100" w:after="0" w:line="400" w:lineRule="exact"/>
    </w:pPr>
    <w:rPr>
      <w:rFonts w:ascii="Times New Roman" w:hAnsi="Times New Roman" w:eastAsia="黑体"/>
      <w:b w:val="0"/>
      <w:bCs w:val="0"/>
      <w:kern w:val="0"/>
      <w:sz w:val="28"/>
      <w:szCs w:val="28"/>
      <w:lang w:val="zh-CN"/>
    </w:rPr>
  </w:style>
  <w:style w:type="paragraph" w:customStyle="1" w:styleId="198">
    <w:name w:val="无间隔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199">
    <w:name w:val="Char Char Char Char Char Char Char"/>
    <w:basedOn w:val="1"/>
    <w:qFormat/>
    <w:uiPriority w:val="99"/>
    <w:pPr>
      <w:widowControl/>
      <w:spacing w:after="160" w:line="240" w:lineRule="exact"/>
      <w:jc w:val="left"/>
    </w:pPr>
    <w:rPr>
      <w:szCs w:val="21"/>
    </w:rPr>
  </w:style>
  <w:style w:type="paragraph" w:customStyle="1" w:styleId="200">
    <w:name w:val="Char"/>
    <w:basedOn w:val="1"/>
    <w:qFormat/>
    <w:uiPriority w:val="99"/>
    <w:pPr>
      <w:widowControl/>
      <w:spacing w:after="160" w:line="240" w:lineRule="exact"/>
      <w:jc w:val="left"/>
    </w:pPr>
    <w:rPr>
      <w:szCs w:val="21"/>
    </w:rPr>
  </w:style>
  <w:style w:type="paragraph" w:customStyle="1" w:styleId="201">
    <w:name w:val="默认段落字体 Para Char Char Char Char Char Char Char Char Char1 Char Char Char Char"/>
    <w:basedOn w:val="1"/>
    <w:qFormat/>
    <w:uiPriority w:val="0"/>
    <w:rPr>
      <w:rFonts w:ascii="Tahoma" w:hAnsi="Tahoma"/>
      <w:sz w:val="24"/>
      <w:szCs w:val="20"/>
    </w:rPr>
  </w:style>
  <w:style w:type="paragraph" w:customStyle="1" w:styleId="202">
    <w:name w:val="Table Paragraph"/>
    <w:basedOn w:val="1"/>
    <w:qFormat/>
    <w:uiPriority w:val="1"/>
    <w:pPr>
      <w:jc w:val="left"/>
    </w:pPr>
    <w:rPr>
      <w:rFonts w:ascii="Calibri" w:hAnsi="Calibri"/>
      <w:kern w:val="0"/>
      <w:sz w:val="22"/>
      <w:szCs w:val="22"/>
      <w:lang w:eastAsia="en-US"/>
    </w:rPr>
  </w:style>
  <w:style w:type="paragraph" w:customStyle="1" w:styleId="203">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204">
    <w:name w:val="样式1"/>
    <w:basedOn w:val="1"/>
    <w:next w:val="5"/>
    <w:qFormat/>
    <w:uiPriority w:val="99"/>
    <w:pPr>
      <w:spacing w:line="360" w:lineRule="auto"/>
      <w:ind w:firstLine="420" w:firstLineChars="200"/>
    </w:pPr>
    <w:rPr>
      <w:rFonts w:ascii="宋体" w:hAnsi="宋体" w:cs="宋体"/>
      <w:szCs w:val="21"/>
    </w:rPr>
  </w:style>
  <w:style w:type="paragraph" w:customStyle="1" w:styleId="205">
    <w:name w:val="列出段落1"/>
    <w:basedOn w:val="1"/>
    <w:qFormat/>
    <w:uiPriority w:val="99"/>
    <w:pPr>
      <w:ind w:firstLine="420" w:firstLineChars="200"/>
    </w:pPr>
    <w:rPr>
      <w:rFonts w:ascii="Calibri" w:hAnsi="Calibri" w:cs="Calibri"/>
      <w:szCs w:val="21"/>
    </w:rPr>
  </w:style>
  <w:style w:type="paragraph" w:customStyle="1" w:styleId="206">
    <w:name w:val="正文_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07">
    <w:name w:val="TOC 标题1"/>
    <w:basedOn w:val="2"/>
    <w:next w:val="1"/>
    <w:qFormat/>
    <w:uiPriority w:val="99"/>
    <w:pPr>
      <w:spacing w:line="576" w:lineRule="auto"/>
      <w:outlineLvl w:val="9"/>
    </w:pPr>
    <w:rPr>
      <w:rFonts w:ascii="Calibri" w:hAnsi="Calibri" w:eastAsia="黑体" w:cs="Calibri"/>
      <w:lang w:val="zh-CN"/>
    </w:rPr>
  </w:style>
  <w:style w:type="paragraph" w:customStyle="1" w:styleId="208">
    <w:name w:val="空半行"/>
    <w:basedOn w:val="1"/>
    <w:qFormat/>
    <w:uiPriority w:val="99"/>
    <w:pPr>
      <w:adjustRightInd w:val="0"/>
      <w:spacing w:line="120" w:lineRule="exact"/>
      <w:textAlignment w:val="baseline"/>
    </w:pPr>
    <w:rPr>
      <w:rFonts w:eastAsia="仿宋_GB2312"/>
      <w:color w:val="FFFFFF"/>
      <w:kern w:val="0"/>
      <w:sz w:val="30"/>
      <w:szCs w:val="30"/>
    </w:rPr>
  </w:style>
  <w:style w:type="paragraph" w:customStyle="1" w:styleId="209">
    <w:name w:val="p0"/>
    <w:basedOn w:val="1"/>
    <w:qFormat/>
    <w:uiPriority w:val="99"/>
    <w:pPr>
      <w:widowControl/>
    </w:pPr>
    <w:rPr>
      <w:rFonts w:ascii="Calibri" w:hAnsi="Calibri" w:cs="Calibri"/>
      <w:kern w:val="0"/>
      <w:szCs w:val="21"/>
    </w:rPr>
  </w:style>
  <w:style w:type="paragraph" w:customStyle="1" w:styleId="210">
    <w:name w:val="1"/>
    <w:basedOn w:val="1"/>
    <w:next w:val="1"/>
    <w:qFormat/>
    <w:uiPriority w:val="99"/>
    <w:rPr>
      <w:szCs w:val="21"/>
    </w:rPr>
  </w:style>
  <w:style w:type="paragraph" w:customStyle="1" w:styleId="211">
    <w:name w:val="列出段落2"/>
    <w:basedOn w:val="1"/>
    <w:qFormat/>
    <w:uiPriority w:val="99"/>
    <w:pPr>
      <w:ind w:firstLine="420" w:firstLineChars="200"/>
    </w:pPr>
    <w:rPr>
      <w:rFonts w:ascii="Calibri" w:hAnsi="Calibri" w:cs="Calibri"/>
      <w:szCs w:val="21"/>
    </w:rPr>
  </w:style>
  <w:style w:type="paragraph" w:customStyle="1" w:styleId="212">
    <w:name w:val="修订1"/>
    <w:qFormat/>
    <w:uiPriority w:val="99"/>
    <w:rPr>
      <w:rFonts w:ascii="Times New Roman" w:hAnsi="Times New Roman" w:eastAsia="宋体" w:cs="Times New Roman"/>
      <w:kern w:val="2"/>
      <w:sz w:val="21"/>
      <w:szCs w:val="21"/>
      <w:lang w:val="en-US" w:eastAsia="zh-CN" w:bidi="ar-SA"/>
    </w:rPr>
  </w:style>
  <w:style w:type="paragraph" w:customStyle="1" w:styleId="213">
    <w:name w:val="无间隔1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14">
    <w:name w:val="修订11"/>
    <w:qFormat/>
    <w:uiPriority w:val="99"/>
    <w:rPr>
      <w:rFonts w:ascii="Times New Roman" w:hAnsi="Times New Roman" w:eastAsia="宋体" w:cs="Times New Roman"/>
      <w:kern w:val="2"/>
      <w:sz w:val="21"/>
      <w:szCs w:val="21"/>
      <w:lang w:val="en-US" w:eastAsia="zh-CN" w:bidi="ar-SA"/>
    </w:rPr>
  </w:style>
  <w:style w:type="paragraph" w:customStyle="1" w:styleId="215">
    <w:name w:val="2-2ji"/>
    <w:basedOn w:val="3"/>
    <w:qFormat/>
    <w:uiPriority w:val="99"/>
    <w:pPr>
      <w:spacing w:before="0" w:after="0" w:line="360" w:lineRule="auto"/>
      <w:jc w:val="center"/>
    </w:pPr>
    <w:rPr>
      <w:rFonts w:ascii="宋体" w:hAnsi="宋体" w:cs="宋体"/>
      <w:sz w:val="36"/>
      <w:szCs w:val="36"/>
      <w:lang w:val="zh-CN"/>
    </w:rPr>
  </w:style>
  <w:style w:type="paragraph" w:customStyle="1" w:styleId="216">
    <w:name w:val="reader-word-layer"/>
    <w:basedOn w:val="1"/>
    <w:qFormat/>
    <w:uiPriority w:val="99"/>
    <w:pPr>
      <w:widowControl/>
      <w:spacing w:before="100" w:beforeAutospacing="1" w:after="100" w:afterAutospacing="1"/>
      <w:jc w:val="left"/>
    </w:pPr>
    <w:rPr>
      <w:rFonts w:ascii="宋体" w:hAnsi="宋体" w:cs="宋体"/>
      <w:kern w:val="0"/>
      <w:sz w:val="24"/>
    </w:rPr>
  </w:style>
  <w:style w:type="paragraph" w:customStyle="1" w:styleId="217">
    <w:name w:val="Char Char Char Char"/>
    <w:basedOn w:val="1"/>
    <w:qFormat/>
    <w:uiPriority w:val="99"/>
    <w:pPr>
      <w:widowControl/>
      <w:spacing w:line="500" w:lineRule="exact"/>
      <w:outlineLvl w:val="2"/>
    </w:pPr>
    <w:rPr>
      <w:rFonts w:ascii="黑体" w:hAnsi="Verdana" w:eastAsia="黑体" w:cs="黑体"/>
      <w:kern w:val="0"/>
      <w:sz w:val="28"/>
      <w:szCs w:val="28"/>
      <w:lang w:eastAsia="en-US"/>
    </w:rPr>
  </w:style>
  <w:style w:type="paragraph" w:customStyle="1" w:styleId="218">
    <w:name w:val="Char1"/>
    <w:basedOn w:val="1"/>
    <w:qFormat/>
    <w:uiPriority w:val="99"/>
    <w:pPr>
      <w:widowControl/>
      <w:spacing w:after="160" w:line="240" w:lineRule="exact"/>
      <w:jc w:val="left"/>
    </w:pPr>
    <w:rPr>
      <w:szCs w:val="21"/>
    </w:rPr>
  </w:style>
  <w:style w:type="paragraph" w:customStyle="1" w:styleId="219">
    <w:name w:val="_Style 37"/>
    <w:basedOn w:val="1"/>
    <w:next w:val="1"/>
    <w:qFormat/>
    <w:uiPriority w:val="99"/>
    <w:rPr>
      <w:szCs w:val="21"/>
    </w:rPr>
  </w:style>
  <w:style w:type="paragraph" w:customStyle="1" w:styleId="220">
    <w:name w:val="样式 标题 3 + (中文) 黑体 小四 非加粗 段前: 7.8 磅 段后: 0 磅 行距: 固定值 20 磅"/>
    <w:basedOn w:val="4"/>
    <w:qFormat/>
    <w:uiPriority w:val="99"/>
    <w:pPr>
      <w:spacing w:before="0" w:after="0" w:line="400" w:lineRule="exact"/>
    </w:pPr>
    <w:rPr>
      <w:rFonts w:eastAsia="黑体"/>
      <w:b w:val="0"/>
      <w:bCs w:val="0"/>
      <w:lang w:val="zh-CN"/>
    </w:rPr>
  </w:style>
  <w:style w:type="paragraph" w:styleId="221">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2">
    <w:name w:val="正正正正"/>
    <w:basedOn w:val="18"/>
    <w:qFormat/>
    <w:uiPriority w:val="1"/>
    <w:pPr>
      <w:tabs>
        <w:tab w:val="left" w:pos="2812"/>
        <w:tab w:val="left" w:pos="3986"/>
      </w:tabs>
      <w:spacing w:after="0" w:line="360" w:lineRule="exact"/>
      <w:ind w:firstLine="200" w:firstLineChars="200"/>
    </w:pPr>
    <w:rPr>
      <w:rFonts w:ascii="Calibri" w:hAnsi="Calibri"/>
      <w:sz w:val="20"/>
      <w:szCs w:val="21"/>
      <w:lang w:eastAsia="en-US"/>
    </w:rPr>
  </w:style>
  <w:style w:type="paragraph" w:customStyle="1" w:styleId="223">
    <w:name w:val="_Style 1"/>
    <w:basedOn w:val="1"/>
    <w:qFormat/>
    <w:uiPriority w:val="99"/>
    <w:pPr>
      <w:ind w:firstLine="420" w:firstLineChars="200"/>
      <w:jc w:val="left"/>
    </w:pPr>
    <w:rPr>
      <w:rFonts w:ascii="Times New Roman)" w:hAnsi="Times New Roman)" w:eastAsia="宋体正文"/>
      <w:color w:val="000000"/>
      <w:kern w:val="0"/>
      <w:lang w:eastAsia="en-US" w:bidi="en-US"/>
    </w:rPr>
  </w:style>
  <w:style w:type="character" w:customStyle="1" w:styleId="224">
    <w:name w:val="bookmark-item"/>
    <w:qFormat/>
    <w:uiPriority w:val="0"/>
  </w:style>
  <w:style w:type="character" w:customStyle="1" w:styleId="225">
    <w:name w:val="纯文本 Char2"/>
    <w:qFormat/>
    <w:uiPriority w:val="0"/>
    <w:rPr>
      <w:rFonts w:ascii="宋体" w:hAnsi="Courier New" w:eastAsia="宋体" w:cs="Courier New"/>
      <w:szCs w:val="21"/>
    </w:rPr>
  </w:style>
  <w:style w:type="character" w:customStyle="1" w:styleId="226">
    <w:name w:val="页脚 Char1"/>
    <w:qFormat/>
    <w:uiPriority w:val="99"/>
    <w:rPr>
      <w:rFonts w:ascii="Times New Roman" w:hAnsi="Times New Roman" w:eastAsia="宋体" w:cs="Times New Roman"/>
      <w:sz w:val="18"/>
      <w:szCs w:val="18"/>
    </w:rPr>
  </w:style>
  <w:style w:type="paragraph" w:customStyle="1" w:styleId="227">
    <w:name w:val="正文_3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228">
    <w:name w:val="正文_3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229">
    <w:name w:val="正文_4"/>
    <w:qFormat/>
    <w:uiPriority w:val="0"/>
    <w:pPr>
      <w:widowControl w:val="0"/>
      <w:jc w:val="both"/>
    </w:pPr>
    <w:rPr>
      <w:rFonts w:ascii="Calibri" w:hAnsi="Calibri" w:eastAsia="宋体" w:cs="Times New Roman"/>
      <w:kern w:val="2"/>
      <w:sz w:val="21"/>
      <w:szCs w:val="22"/>
      <w:lang w:val="en-US" w:eastAsia="zh-CN" w:bidi="ar-SA"/>
    </w:rPr>
  </w:style>
  <w:style w:type="paragraph" w:customStyle="1" w:styleId="230">
    <w:name w:val="正文_3"/>
    <w:basedOn w:val="229"/>
    <w:qFormat/>
    <w:uiPriority w:val="0"/>
    <w:pPr>
      <w:widowControl w:val="0"/>
      <w:jc w:val="both"/>
    </w:pPr>
    <w:rPr>
      <w:rFonts w:ascii="Calibri" w:hAnsi="Calibri" w:eastAsia="宋体" w:cs="Times New Roman"/>
      <w:kern w:val="2"/>
      <w:sz w:val="21"/>
      <w:szCs w:val="22"/>
      <w:lang w:val="en-US" w:eastAsia="zh-CN" w:bidi="ar-SA"/>
    </w:rPr>
  </w:style>
  <w:style w:type="paragraph" w:customStyle="1" w:styleId="231">
    <w:name w:val="标题 4_1"/>
    <w:basedOn w:val="230"/>
    <w:next w:val="230"/>
    <w:qFormat/>
    <w:uiPriority w:val="0"/>
    <w:pPr>
      <w:keepNext/>
      <w:keepLines/>
      <w:spacing w:before="280" w:after="290" w:line="372" w:lineRule="auto"/>
      <w:outlineLvl w:val="3"/>
    </w:pPr>
    <w:rPr>
      <w:rFonts w:ascii="Cambria" w:hAnsi="Cambria"/>
      <w:b/>
      <w:bCs/>
      <w:sz w:val="28"/>
      <w:szCs w:val="28"/>
    </w:rPr>
  </w:style>
  <w:style w:type="paragraph" w:customStyle="1" w:styleId="232">
    <w:name w:val="正文_3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233">
    <w:name w:val="first-child"/>
    <w:basedOn w:val="47"/>
    <w:qFormat/>
    <w:uiPriority w:val="0"/>
  </w:style>
  <w:style w:type="character" w:customStyle="1" w:styleId="234">
    <w:name w:val="NormalCharacter"/>
    <w:qFormat/>
    <w:uiPriority w:val="0"/>
  </w:style>
  <w:style w:type="character" w:customStyle="1" w:styleId="235">
    <w:name w:val="layui-layer-tabnow"/>
    <w:basedOn w:val="47"/>
    <w:qFormat/>
    <w:uiPriority w:val="0"/>
    <w:rPr>
      <w:bdr w:val="single" w:color="CCCCCC" w:sz="6" w:space="0"/>
      <w:shd w:val="clear" w:color="auto" w:fill="FFFFFF"/>
    </w:rPr>
  </w:style>
  <w:style w:type="paragraph" w:customStyle="1" w:styleId="236">
    <w:name w:val="Normal_0"/>
    <w:qFormat/>
    <w:uiPriority w:val="0"/>
    <w:rPr>
      <w:rFonts w:ascii="Times New Roman" w:hAnsi="Times New Roman" w:eastAsia="Times New Roman" w:cs="Times New Roman"/>
      <w:sz w:val="24"/>
      <w:szCs w:val="24"/>
      <w:lang w:val="en-US" w:eastAsia="zh-CN" w:bidi="ar-SA"/>
    </w:rPr>
  </w:style>
  <w:style w:type="paragraph" w:customStyle="1" w:styleId="237">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8">
    <w:name w:val="正文3"/>
    <w:qFormat/>
    <w:uiPriority w:val="0"/>
    <w:rPr>
      <w:rFonts w:ascii="Times New Roman" w:hAnsi="Times New Roman" w:eastAsia="Times New Roman" w:cs="Times New Roman"/>
      <w:sz w:val="24"/>
      <w:szCs w:val="24"/>
      <w:lang w:val="en-US" w:eastAsia="zh-CN" w:bidi="ar-SA"/>
    </w:rPr>
  </w:style>
  <w:style w:type="paragraph" w:customStyle="1" w:styleId="239">
    <w:name w:val="正文_6"/>
    <w:qFormat/>
    <w:uiPriority w:val="0"/>
    <w:pPr>
      <w:widowControl w:val="0"/>
      <w:jc w:val="both"/>
    </w:pPr>
    <w:rPr>
      <w:rFonts w:ascii="Calibri" w:hAnsi="Calibri" w:eastAsia="宋体" w:cs="Times New Roman"/>
      <w:kern w:val="2"/>
      <w:sz w:val="21"/>
      <w:szCs w:val="22"/>
      <w:lang w:val="en-US" w:eastAsia="zh-CN" w:bidi="ar-SA"/>
    </w:rPr>
  </w:style>
  <w:style w:type="paragraph" w:customStyle="1" w:styleId="240">
    <w:name w:val="Normal_18"/>
    <w:qFormat/>
    <w:uiPriority w:val="0"/>
    <w:rPr>
      <w:rFonts w:ascii="Times New Roman" w:hAnsi="Times New Roman" w:eastAsia="Times New Roman" w:cs="Times New Roman"/>
      <w:sz w:val="24"/>
      <w:szCs w:val="24"/>
      <w:lang w:val="en-US" w:eastAsia="zh-CN" w:bidi="ar-SA"/>
    </w:rPr>
  </w:style>
  <w:style w:type="character" w:customStyle="1" w:styleId="241">
    <w:name w:val="批注文字 Char1"/>
    <w:qFormat/>
    <w:uiPriority w:val="99"/>
    <w:rPr>
      <w:rFonts w:ascii="Times New Roman" w:hAnsi="Times New Roman"/>
      <w:kern w:val="2"/>
      <w:sz w:val="21"/>
      <w:szCs w:val="24"/>
    </w:rPr>
  </w:style>
  <w:style w:type="character" w:customStyle="1" w:styleId="242">
    <w:name w:val="纯文本 Char1"/>
    <w:qFormat/>
    <w:uiPriority w:val="99"/>
    <w:rPr>
      <w:rFonts w:ascii="宋体" w:hAnsi="Courier New" w:eastAsia="宋体" w:cs="Courier New"/>
      <w:szCs w:val="21"/>
    </w:rPr>
  </w:style>
  <w:style w:type="paragraph" w:customStyle="1" w:styleId="243">
    <w:name w:val="Revision"/>
    <w:hidden/>
    <w:unhideWhenUsed/>
    <w:qFormat/>
    <w:uiPriority w:val="99"/>
    <w:rPr>
      <w:rFonts w:ascii="Times New Roman" w:hAnsi="Times New Roman" w:eastAsia="宋体" w:cs="Times New Roman"/>
      <w:kern w:val="2"/>
      <w:sz w:val="21"/>
      <w:szCs w:val="24"/>
      <w:lang w:val="en-US" w:eastAsia="zh-CN" w:bidi="ar-SA"/>
    </w:rPr>
  </w:style>
  <w:style w:type="paragraph" w:customStyle="1" w:styleId="244">
    <w:name w:val="正文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245">
    <w:name w:val="Body text|1_1"/>
    <w:basedOn w:val="230"/>
    <w:qFormat/>
    <w:uiPriority w:val="0"/>
    <w:pPr>
      <w:spacing w:line="360" w:lineRule="auto"/>
      <w:ind w:firstLine="400"/>
    </w:pPr>
    <w:rPr>
      <w:rFonts w:ascii="宋体" w:hAnsi="宋体" w:eastAsia="宋体" w:cs="宋体"/>
      <w:color w:val="auto"/>
      <w:sz w:val="20"/>
      <w:szCs w:val="20"/>
      <w:lang w:val="zh-CN" w:eastAsia="zh-CN" w:bidi="zh-CN"/>
    </w:rPr>
  </w:style>
  <w:style w:type="character" w:customStyle="1" w:styleId="246">
    <w:name w:val="默认段落字体1"/>
    <w:qFormat/>
    <w:uiPriority w:val="0"/>
  </w:style>
  <w:style w:type="paragraph" w:customStyle="1" w:styleId="247">
    <w:name w:val="标题 2_1"/>
    <w:basedOn w:val="230"/>
    <w:next w:val="230"/>
    <w:qFormat/>
    <w:uiPriority w:val="0"/>
    <w:pPr>
      <w:keepNext/>
      <w:keepLines/>
      <w:spacing w:before="260" w:after="260" w:line="416" w:lineRule="auto"/>
      <w:outlineLvl w:val="1"/>
    </w:pPr>
    <w:rPr>
      <w:rFonts w:ascii="Cambria" w:hAnsi="Cambria"/>
      <w:b/>
      <w:bCs/>
      <w:sz w:val="32"/>
      <w:szCs w:val="32"/>
    </w:rPr>
  </w:style>
  <w:style w:type="paragraph" w:customStyle="1" w:styleId="248">
    <w:name w:val="标题 3_0"/>
    <w:basedOn w:val="230"/>
    <w:next w:val="230"/>
    <w:qFormat/>
    <w:uiPriority w:val="0"/>
    <w:pPr>
      <w:keepNext/>
      <w:keepLines/>
      <w:spacing w:before="260" w:after="260" w:line="416" w:lineRule="auto"/>
      <w:outlineLvl w:val="2"/>
    </w:pPr>
    <w:rPr>
      <w:b/>
      <w:bCs/>
      <w:sz w:val="32"/>
      <w:szCs w:val="32"/>
    </w:rPr>
  </w:style>
  <w:style w:type="paragraph" w:customStyle="1" w:styleId="249">
    <w:name w:val="纯文本_0"/>
    <w:basedOn w:val="230"/>
    <w:qFormat/>
    <w:uiPriority w:val="0"/>
    <w:rPr>
      <w:rFonts w:ascii="宋体" w:hAnsi="Courier New"/>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97</Pages>
  <Words>6547</Words>
  <Characters>7240</Characters>
  <Lines>1</Lines>
  <Paragraphs>1</Paragraphs>
  <TotalTime>21</TotalTime>
  <ScaleCrop>false</ScaleCrop>
  <LinksUpToDate>false</LinksUpToDate>
  <CharactersWithSpaces>7291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2023-12-31T03:12:00Z</dcterms:created>
  <dc:creator>唐冰</dc:creator>
  <cp:lastModifiedBy>代理</cp:lastModifiedBy>
  <cp:lastPrinted>2026-02-25T19:09:00Z</cp:lastPrinted>
  <dcterms:modified xsi:type="dcterms:W3CDTF">2026-09-02T01:59:43Z</dcterms:modified>
  <dc:title>竞争性谈判文件规范</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88441B8F95264180940526B16AB224BE_13</vt:lpwstr>
  </property>
  <property fmtid="{D5CDD505-2E9C-101B-9397-08002B2CF9AE}" pid="4" name="KSOTemplateDocerSaveRecord">
    <vt:lpwstr>eyJoZGlkIjoiMDY4MDVlYTNjYjkwZjVhZGZiNGM0MmE1ZWU4ZTg5OTAiLCJ1c2VySWQiOiI1MTA2MDEwNDcifQ==</vt:lpwstr>
  </property>
</Properties>
</file>