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DA7EE">
      <w:pPr>
        <w:spacing w:line="360" w:lineRule="auto"/>
        <w:ind w:firstLine="964" w:firstLineChars="300"/>
        <w:jc w:val="left"/>
        <w:rPr>
          <w:rFonts w:hint="default" w:ascii="宋体" w:hAnsi="宋体" w:eastAsia="宋体" w:cs="宋体"/>
          <w:b/>
          <w:color w:val="auto"/>
          <w:sz w:val="32"/>
          <w:szCs w:val="32"/>
          <w:highlight w:val="none"/>
          <w:lang w:val="en-US" w:eastAsia="zh-CN"/>
        </w:rPr>
      </w:pPr>
      <w:bookmarkStart w:id="88" w:name="_GoBack"/>
      <w:bookmarkEnd w:id="88"/>
    </w:p>
    <w:p w14:paraId="570444E5">
      <w:pPr>
        <w:spacing w:line="360" w:lineRule="auto"/>
        <w:ind w:firstLine="964" w:firstLineChars="300"/>
        <w:jc w:val="left"/>
        <w:rPr>
          <w:rFonts w:hint="default" w:ascii="宋体" w:hAnsi="宋体" w:eastAsia="宋体" w:cs="宋体"/>
          <w:b/>
          <w:color w:val="auto"/>
          <w:sz w:val="32"/>
          <w:szCs w:val="32"/>
          <w:highlight w:val="none"/>
          <w:lang w:val="en-US" w:eastAsia="zh-CN"/>
        </w:rPr>
      </w:pPr>
    </w:p>
    <w:p w14:paraId="3DDFEDA6">
      <w:pPr>
        <w:snapToGrid/>
        <w:spacing w:before="156" w:beforeLines="50" w:line="360" w:lineRule="auto"/>
        <w:jc w:val="center"/>
        <w:rPr>
          <w:rFonts w:ascii="宋体" w:hAnsi="宋体" w:cs="宋体"/>
          <w:b/>
          <w:bCs/>
          <w:color w:val="auto"/>
          <w:sz w:val="44"/>
          <w:szCs w:val="44"/>
          <w:highlight w:val="none"/>
        </w:rPr>
      </w:pPr>
      <w:r>
        <w:rPr>
          <w:rFonts w:hint="eastAsia" w:ascii="宋体" w:hAnsi="宋体" w:cs="宋体"/>
          <w:b/>
          <w:bCs/>
          <w:color w:val="auto"/>
          <w:sz w:val="72"/>
          <w:szCs w:val="72"/>
          <w:highlight w:val="none"/>
        </w:rPr>
        <w:t>竞争性磋商文件</w:t>
      </w:r>
    </w:p>
    <w:p w14:paraId="2F8BAB57">
      <w:pPr>
        <w:spacing w:line="360" w:lineRule="auto"/>
        <w:ind w:firstLine="964" w:firstLineChars="300"/>
        <w:jc w:val="left"/>
        <w:rPr>
          <w:rFonts w:ascii="宋体" w:hAnsi="宋体" w:cs="宋体"/>
          <w:b/>
          <w:color w:val="auto"/>
          <w:sz w:val="32"/>
          <w:szCs w:val="32"/>
          <w:highlight w:val="none"/>
        </w:rPr>
      </w:pPr>
    </w:p>
    <w:p w14:paraId="3BAD9645">
      <w:pPr>
        <w:spacing w:line="360" w:lineRule="auto"/>
        <w:ind w:firstLine="964" w:firstLineChars="300"/>
        <w:jc w:val="left"/>
        <w:rPr>
          <w:rFonts w:ascii="宋体" w:hAnsi="宋体" w:cs="宋体"/>
          <w:b/>
          <w:color w:val="auto"/>
          <w:sz w:val="32"/>
          <w:szCs w:val="32"/>
          <w:highlight w:val="none"/>
        </w:rPr>
      </w:pPr>
    </w:p>
    <w:p w14:paraId="7DFD8A07">
      <w:pPr>
        <w:spacing w:line="360" w:lineRule="auto"/>
        <w:ind w:firstLine="964" w:firstLineChars="300"/>
        <w:jc w:val="left"/>
        <w:rPr>
          <w:rFonts w:ascii="宋体" w:hAnsi="宋体" w:cs="宋体"/>
          <w:b/>
          <w:color w:val="auto"/>
          <w:sz w:val="32"/>
          <w:szCs w:val="32"/>
          <w:highlight w:val="none"/>
        </w:rPr>
      </w:pPr>
    </w:p>
    <w:p w14:paraId="0AA9BB64">
      <w:pPr>
        <w:spacing w:line="360" w:lineRule="auto"/>
        <w:ind w:firstLine="964" w:firstLineChars="300"/>
        <w:jc w:val="left"/>
        <w:rPr>
          <w:rFonts w:ascii="宋体" w:hAnsi="宋体" w:cs="宋体"/>
          <w:b/>
          <w:color w:val="auto"/>
          <w:sz w:val="32"/>
          <w:szCs w:val="32"/>
          <w:highlight w:val="none"/>
        </w:rPr>
      </w:pPr>
    </w:p>
    <w:p w14:paraId="6DF50EE8">
      <w:pPr>
        <w:spacing w:line="360" w:lineRule="auto"/>
        <w:ind w:firstLine="964" w:firstLineChars="300"/>
        <w:jc w:val="left"/>
        <w:rPr>
          <w:rFonts w:ascii="宋体" w:hAnsi="宋体" w:cs="宋体"/>
          <w:b/>
          <w:color w:val="auto"/>
          <w:sz w:val="32"/>
          <w:szCs w:val="32"/>
          <w:highlight w:val="none"/>
        </w:rPr>
      </w:pPr>
    </w:p>
    <w:p w14:paraId="5C15B311">
      <w:pPr>
        <w:spacing w:line="360" w:lineRule="auto"/>
        <w:ind w:left="2564" w:leftChars="456" w:hanging="1606" w:hangingChars="5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lang w:eastAsia="zh-CN"/>
        </w:rPr>
        <w:t>2026年中马钦州产业园区规划及人防工程技术审查服务项目采购</w:t>
      </w:r>
    </w:p>
    <w:p w14:paraId="5FD0CFC9">
      <w:pPr>
        <w:spacing w:line="360" w:lineRule="auto"/>
        <w:ind w:firstLine="964" w:firstLineChars="300"/>
        <w:rPr>
          <w:rFonts w:hint="eastAsia" w:ascii="宋体" w:hAnsi="宋体" w:cs="宋体"/>
          <w:b/>
          <w:color w:val="auto"/>
          <w:sz w:val="32"/>
          <w:szCs w:val="32"/>
          <w:highlight w:val="none"/>
        </w:rPr>
      </w:pPr>
    </w:p>
    <w:p w14:paraId="3256EC54">
      <w:pPr>
        <w:spacing w:line="360" w:lineRule="auto"/>
        <w:ind w:firstLine="964" w:firstLineChars="300"/>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QZZC2026-C3-980013-GXCJ</w:t>
      </w:r>
    </w:p>
    <w:p w14:paraId="07EA42C6">
      <w:pPr>
        <w:spacing w:line="360" w:lineRule="auto"/>
        <w:ind w:firstLine="964" w:firstLineChars="300"/>
        <w:jc w:val="left"/>
        <w:rPr>
          <w:rFonts w:ascii="宋体" w:hAnsi="宋体" w:cs="宋体"/>
          <w:b/>
          <w:color w:val="auto"/>
          <w:sz w:val="32"/>
          <w:szCs w:val="32"/>
          <w:highlight w:val="none"/>
        </w:rPr>
      </w:pPr>
    </w:p>
    <w:p w14:paraId="77A55E80">
      <w:pPr>
        <w:spacing w:line="360" w:lineRule="auto"/>
        <w:ind w:firstLine="964" w:firstLineChars="300"/>
        <w:jc w:val="left"/>
        <w:rPr>
          <w:rFonts w:ascii="宋体" w:hAnsi="宋体" w:cs="宋体"/>
          <w:b/>
          <w:color w:val="auto"/>
          <w:sz w:val="32"/>
          <w:szCs w:val="32"/>
          <w:highlight w:val="none"/>
        </w:rPr>
      </w:pPr>
    </w:p>
    <w:p w14:paraId="3FA3EBCD">
      <w:pPr>
        <w:spacing w:line="360" w:lineRule="auto"/>
        <w:ind w:left="2519" w:leftChars="450" w:hanging="1574" w:hangingChars="490"/>
        <w:rPr>
          <w:rFonts w:ascii="宋体" w:hAnsi="宋体" w:cs="宋体"/>
          <w:b/>
          <w:color w:val="auto"/>
          <w:sz w:val="32"/>
          <w:szCs w:val="32"/>
          <w:highlight w:val="none"/>
        </w:rPr>
      </w:pPr>
      <w:r>
        <w:rPr>
          <w:rFonts w:hint="eastAsia" w:ascii="宋体" w:hAnsi="宋体" w:cs="宋体"/>
          <w:b/>
          <w:color w:val="auto"/>
          <w:sz w:val="32"/>
          <w:szCs w:val="32"/>
          <w:highlight w:val="none"/>
        </w:rPr>
        <w:t>采 购 人：中国—马来西亚钦州产业园区自然资源局</w:t>
      </w:r>
    </w:p>
    <w:p w14:paraId="646770FB">
      <w:pPr>
        <w:spacing w:line="360" w:lineRule="auto"/>
        <w:ind w:firstLine="964" w:firstLineChars="300"/>
        <w:jc w:val="left"/>
        <w:rPr>
          <w:rFonts w:ascii="宋体" w:hAnsi="宋体" w:cs="宋体"/>
          <w:b/>
          <w:color w:val="auto"/>
          <w:sz w:val="32"/>
          <w:szCs w:val="32"/>
          <w:highlight w:val="none"/>
        </w:rPr>
      </w:pPr>
    </w:p>
    <w:p w14:paraId="2082AAAC">
      <w:pPr>
        <w:spacing w:line="360" w:lineRule="auto"/>
        <w:ind w:firstLine="964" w:firstLineChars="300"/>
        <w:rPr>
          <w:rFonts w:ascii="宋体" w:hAnsi="宋体" w:cs="宋体"/>
          <w:b/>
          <w:color w:val="auto"/>
          <w:sz w:val="32"/>
          <w:szCs w:val="32"/>
          <w:highlight w:val="none"/>
        </w:rPr>
      </w:pPr>
      <w:r>
        <w:rPr>
          <w:rFonts w:hint="eastAsia" w:ascii="宋体" w:hAnsi="宋体" w:cs="宋体"/>
          <w:b/>
          <w:color w:val="auto"/>
          <w:sz w:val="32"/>
          <w:szCs w:val="32"/>
          <w:highlight w:val="none"/>
        </w:rPr>
        <w:t>采购代理机构：广西城建咨询设计有限公司</w:t>
      </w:r>
    </w:p>
    <w:p w14:paraId="356436F9">
      <w:pPr>
        <w:spacing w:line="360" w:lineRule="auto"/>
        <w:jc w:val="center"/>
        <w:rPr>
          <w:rFonts w:ascii="宋体" w:hAnsi="宋体" w:cs="宋体"/>
          <w:b/>
          <w:color w:val="auto"/>
          <w:sz w:val="32"/>
          <w:szCs w:val="32"/>
          <w:highlight w:val="none"/>
        </w:rPr>
      </w:pPr>
    </w:p>
    <w:p w14:paraId="3AB5D54A">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9</w:t>
      </w:r>
      <w:r>
        <w:rPr>
          <w:rFonts w:hint="eastAsia" w:ascii="宋体" w:hAnsi="宋体" w:cs="宋体"/>
          <w:b/>
          <w:color w:val="auto"/>
          <w:sz w:val="32"/>
          <w:szCs w:val="32"/>
          <w:highlight w:val="none"/>
        </w:rPr>
        <w:t>月</w:t>
      </w:r>
      <w:r>
        <w:rPr>
          <w:rFonts w:hint="eastAsia" w:ascii="宋体" w:hAnsi="宋体" w:cs="宋体"/>
          <w:b/>
          <w:color w:val="auto"/>
          <w:sz w:val="32"/>
          <w:szCs w:val="32"/>
          <w:highlight w:val="none"/>
          <w:lang w:val="en-US" w:eastAsia="zh-CN"/>
        </w:rPr>
        <w:t>2</w:t>
      </w:r>
      <w:r>
        <w:rPr>
          <w:rFonts w:hint="eastAsia" w:ascii="宋体" w:hAnsi="宋体" w:cs="宋体"/>
          <w:b/>
          <w:color w:val="auto"/>
          <w:sz w:val="32"/>
          <w:szCs w:val="32"/>
          <w:highlight w:val="none"/>
        </w:rPr>
        <w:t>日</w:t>
      </w:r>
    </w:p>
    <w:p w14:paraId="6580B36B">
      <w:pPr>
        <w:spacing w:line="360" w:lineRule="auto"/>
        <w:jc w:val="center"/>
        <w:rPr>
          <w:rFonts w:hint="eastAsia" w:ascii="宋体" w:hAnsi="宋体" w:cs="宋体"/>
          <w:b/>
          <w:color w:val="auto"/>
          <w:sz w:val="44"/>
          <w:szCs w:val="44"/>
          <w:highlight w:val="none"/>
        </w:rPr>
        <w:sectPr>
          <w:headerReference r:id="rId3" w:type="default"/>
          <w:pgSz w:w="11906" w:h="16838"/>
          <w:pgMar w:top="1440" w:right="1440" w:bottom="1440" w:left="1440" w:header="851" w:footer="992" w:gutter="0"/>
          <w:pgNumType w:start="2"/>
          <w:cols w:space="720" w:num="1"/>
          <w:titlePg/>
          <w:docGrid w:type="lines" w:linePitch="312" w:charSpace="0"/>
        </w:sectPr>
      </w:pPr>
    </w:p>
    <w:p w14:paraId="4E604099">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目  录</w:t>
      </w:r>
    </w:p>
    <w:p w14:paraId="27E2B624">
      <w:pPr>
        <w:spacing w:line="360" w:lineRule="auto"/>
        <w:jc w:val="center"/>
        <w:rPr>
          <w:rFonts w:ascii="宋体" w:hAnsi="宋体" w:cs="宋体"/>
          <w:b/>
          <w:color w:val="auto"/>
          <w:sz w:val="24"/>
          <w:szCs w:val="24"/>
          <w:highlight w:val="none"/>
        </w:rPr>
      </w:pPr>
    </w:p>
    <w:p w14:paraId="6448059B">
      <w:pPr>
        <w:pStyle w:val="25"/>
        <w:tabs>
          <w:tab w:val="right" w:leader="dot" w:pos="8879"/>
        </w:tabs>
        <w:spacing w:line="360" w:lineRule="auto"/>
        <w:rPr>
          <w:color w:val="auto"/>
          <w:sz w:val="28"/>
          <w:szCs w:val="28"/>
          <w:highlight w:val="none"/>
        </w:rPr>
      </w:pPr>
      <w:r>
        <w:rPr>
          <w:rFonts w:hint="eastAsia" w:ascii="宋体" w:hAnsi="宋体" w:cs="宋体"/>
          <w:b/>
          <w:color w:val="auto"/>
          <w:sz w:val="28"/>
          <w:szCs w:val="28"/>
          <w:highlight w:val="none"/>
        </w:rPr>
        <w:fldChar w:fldCharType="begin"/>
      </w:r>
      <w:r>
        <w:rPr>
          <w:rFonts w:hint="eastAsia" w:ascii="宋体" w:hAnsi="宋体" w:cs="宋体"/>
          <w:b/>
          <w:color w:val="auto"/>
          <w:sz w:val="28"/>
          <w:szCs w:val="28"/>
          <w:highlight w:val="none"/>
        </w:rPr>
        <w:instrText xml:space="preserve"> TOC \o "1-3" \h \z \u </w:instrText>
      </w:r>
      <w:r>
        <w:rPr>
          <w:rFonts w:hint="eastAsia" w:ascii="宋体" w:hAnsi="宋体" w:cs="宋体"/>
          <w:b/>
          <w:color w:val="auto"/>
          <w:sz w:val="28"/>
          <w:szCs w:val="28"/>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_Toc25641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第一章 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_Toc25641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568685A">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_Toc5992 </w:instrText>
      </w:r>
      <w:r>
        <w:rPr>
          <w:rFonts w:hint="eastAsia" w:ascii="宋体" w:hAnsi="宋体" w:cs="宋体"/>
          <w:color w:val="auto"/>
          <w:sz w:val="28"/>
          <w:szCs w:val="28"/>
          <w:highlight w:val="none"/>
        </w:rPr>
        <w:fldChar w:fldCharType="separate"/>
      </w:r>
      <w:r>
        <w:rPr>
          <w:rFonts w:hint="eastAsia"/>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_Toc5992 \h </w:instrText>
      </w:r>
      <w:r>
        <w:rPr>
          <w:color w:val="auto"/>
          <w:sz w:val="28"/>
          <w:szCs w:val="28"/>
          <w:highlight w:val="none"/>
        </w:rPr>
        <w:fldChar w:fldCharType="separate"/>
      </w:r>
      <w:r>
        <w:rPr>
          <w:color w:val="auto"/>
          <w:sz w:val="28"/>
          <w:szCs w:val="28"/>
          <w:highlight w:val="none"/>
        </w:rPr>
        <w:t>7</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C76B9A8">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_Toc2063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_Toc2063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10E98072">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_Toc24469 </w:instrText>
      </w:r>
      <w:r>
        <w:rPr>
          <w:rFonts w:hint="eastAsia" w:ascii="宋体" w:hAnsi="宋体" w:cs="宋体"/>
          <w:color w:val="auto"/>
          <w:sz w:val="28"/>
          <w:szCs w:val="28"/>
          <w:highlight w:val="none"/>
        </w:rPr>
        <w:fldChar w:fldCharType="separate"/>
      </w:r>
      <w:r>
        <w:rPr>
          <w:rFonts w:hint="eastAsia"/>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_Toc24469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6C95C4B6">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_Toc26670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_Toc26670 \h </w:instrText>
      </w:r>
      <w:r>
        <w:rPr>
          <w:color w:val="auto"/>
          <w:sz w:val="28"/>
          <w:szCs w:val="28"/>
          <w:highlight w:val="none"/>
        </w:rPr>
        <w:fldChar w:fldCharType="separate"/>
      </w:r>
      <w:r>
        <w:rPr>
          <w:color w:val="auto"/>
          <w:sz w:val="28"/>
          <w:szCs w:val="28"/>
          <w:highlight w:val="none"/>
        </w:rPr>
        <w:t>50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01D1BAD">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_Toc5279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_Toc5279 \h </w:instrText>
      </w:r>
      <w:r>
        <w:rPr>
          <w:color w:val="auto"/>
          <w:sz w:val="28"/>
          <w:szCs w:val="28"/>
          <w:highlight w:val="none"/>
        </w:rPr>
        <w:fldChar w:fldCharType="separate"/>
      </w:r>
      <w:r>
        <w:rPr>
          <w:color w:val="auto"/>
          <w:sz w:val="28"/>
          <w:szCs w:val="28"/>
          <w:highlight w:val="none"/>
        </w:rPr>
        <w:t>74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8ACE61D">
      <w:pPr>
        <w:pStyle w:val="25"/>
        <w:tabs>
          <w:tab w:val="right" w:leader="dot" w:pos="8879"/>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_Toc18691 </w:instrText>
      </w:r>
      <w:r>
        <w:rPr>
          <w:rFonts w:hint="eastAsia" w:ascii="宋体" w:hAnsi="宋体" w:cs="宋体"/>
          <w:color w:val="auto"/>
          <w:sz w:val="28"/>
          <w:szCs w:val="28"/>
          <w:highlight w:val="none"/>
        </w:rPr>
        <w:fldChar w:fldCharType="separate"/>
      </w:r>
      <w:r>
        <w:rPr>
          <w:rFonts w:hint="eastAsia" w:ascii="宋体" w:hAnsi="宋体" w:cs="仿宋_GB2312"/>
          <w:color w:val="auto"/>
          <w:sz w:val="28"/>
          <w:szCs w:val="28"/>
          <w:highlight w:val="none"/>
        </w:rPr>
        <w:t>第七章 质疑、投诉材料格式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_Toc18691 \h </w:instrText>
      </w:r>
      <w:r>
        <w:rPr>
          <w:color w:val="auto"/>
          <w:sz w:val="28"/>
          <w:szCs w:val="28"/>
          <w:highlight w:val="none"/>
        </w:rPr>
        <w:fldChar w:fldCharType="separate"/>
      </w:r>
      <w:r>
        <w:rPr>
          <w:color w:val="auto"/>
          <w:sz w:val="28"/>
          <w:szCs w:val="28"/>
          <w:highlight w:val="none"/>
        </w:rPr>
        <w:t>82</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07C80266">
      <w:pPr>
        <w:pStyle w:val="26"/>
        <w:spacing w:line="360" w:lineRule="auto"/>
        <w:rPr>
          <w:rFonts w:ascii="宋体" w:hAnsi="宋体" w:cs="宋体"/>
          <w:b/>
          <w:color w:val="auto"/>
          <w:sz w:val="32"/>
          <w:szCs w:val="32"/>
          <w:highlight w:val="none"/>
        </w:rPr>
      </w:pPr>
      <w:r>
        <w:rPr>
          <w:rFonts w:hint="eastAsia" w:ascii="宋体" w:hAnsi="宋体" w:cs="宋体"/>
          <w:color w:val="auto"/>
          <w:sz w:val="28"/>
          <w:szCs w:val="28"/>
          <w:highlight w:val="none"/>
        </w:rPr>
        <w:fldChar w:fldCharType="end"/>
      </w:r>
    </w:p>
    <w:p w14:paraId="58CD5BD8">
      <w:pPr>
        <w:spacing w:line="360" w:lineRule="auto"/>
        <w:rPr>
          <w:rFonts w:ascii="宋体" w:hAnsi="宋体" w:cs="宋体"/>
          <w:b/>
          <w:color w:val="auto"/>
          <w:sz w:val="32"/>
          <w:szCs w:val="32"/>
          <w:highlight w:val="none"/>
        </w:rPr>
      </w:pPr>
    </w:p>
    <w:p w14:paraId="688BAB21">
      <w:pPr>
        <w:spacing w:line="360" w:lineRule="auto"/>
        <w:rPr>
          <w:rFonts w:ascii="宋体" w:hAnsi="宋体" w:cs="宋体"/>
          <w:b/>
          <w:color w:val="auto"/>
          <w:sz w:val="32"/>
          <w:szCs w:val="32"/>
          <w:highlight w:val="none"/>
        </w:rPr>
        <w:sectPr>
          <w:footerReference r:id="rId5" w:type="first"/>
          <w:footerReference r:id="rId4" w:type="default"/>
          <w:pgSz w:w="11906" w:h="16838"/>
          <w:pgMar w:top="1440" w:right="1440" w:bottom="1440" w:left="1440" w:header="851" w:footer="992" w:gutter="0"/>
          <w:pgNumType w:fmt="decimal" w:start="2"/>
          <w:cols w:space="720" w:num="1"/>
          <w:titlePg/>
          <w:docGrid w:type="lines" w:linePitch="312" w:charSpace="0"/>
        </w:sectPr>
      </w:pPr>
    </w:p>
    <w:p w14:paraId="1008213E">
      <w:pPr>
        <w:pStyle w:val="2"/>
        <w:spacing w:line="360" w:lineRule="auto"/>
        <w:jc w:val="center"/>
        <w:rPr>
          <w:rFonts w:hint="eastAsia" w:ascii="宋体" w:hAnsi="宋体" w:cs="宋体"/>
          <w:color w:val="auto"/>
          <w:highlight w:val="none"/>
        </w:rPr>
      </w:pPr>
      <w:bookmarkStart w:id="0" w:name="_Toc970"/>
      <w:bookmarkStart w:id="1" w:name="_Toc25641"/>
      <w:r>
        <w:rPr>
          <w:rFonts w:hint="eastAsia" w:ascii="宋体" w:hAnsi="宋体" w:cs="宋体"/>
          <w:color w:val="auto"/>
          <w:highlight w:val="none"/>
        </w:rPr>
        <w:t>第一章 竞争性磋商公告</w:t>
      </w:r>
      <w:bookmarkEnd w:id="0"/>
      <w:bookmarkEnd w:id="1"/>
    </w:p>
    <w:p w14:paraId="50BC1986">
      <w:pPr>
        <w:spacing w:line="360" w:lineRule="auto"/>
        <w:jc w:val="center"/>
        <w:rPr>
          <w:rFonts w:hint="eastAsia" w:ascii="宋体" w:hAnsi="宋体" w:cs="宋体"/>
          <w:b/>
          <w:color w:val="auto"/>
          <w:sz w:val="32"/>
          <w:szCs w:val="32"/>
          <w:highlight w:val="none"/>
          <w:lang w:eastAsia="zh-CN"/>
        </w:rPr>
      </w:pPr>
      <w:r>
        <w:rPr>
          <w:rFonts w:hint="eastAsia" w:ascii="宋体" w:hAnsi="宋体" w:cs="宋体"/>
          <w:b/>
          <w:bCs/>
          <w:color w:val="auto"/>
          <w:sz w:val="32"/>
          <w:szCs w:val="32"/>
          <w:highlight w:val="none"/>
          <w:u w:val="none"/>
          <w:lang w:eastAsia="zh-CN"/>
        </w:rPr>
        <w:t>2026年中马钦州产业园区规划及人防工程技术审查服务项目采购</w:t>
      </w:r>
      <w:r>
        <w:rPr>
          <w:rFonts w:hint="eastAsia" w:ascii="宋体" w:hAnsi="宋体" w:cs="宋体"/>
          <w:b/>
          <w:color w:val="auto"/>
          <w:sz w:val="32"/>
          <w:szCs w:val="32"/>
          <w:highlight w:val="none"/>
          <w:lang w:eastAsia="zh-CN"/>
        </w:rPr>
        <w:t>（项目编号：QZZC2026-C3-980013-GXCJ）</w:t>
      </w:r>
    </w:p>
    <w:p w14:paraId="137313EA">
      <w:pPr>
        <w:spacing w:line="360" w:lineRule="auto"/>
        <w:jc w:val="center"/>
        <w:rPr>
          <w:rFonts w:hint="eastAsia" w:ascii="宋体" w:hAnsi="宋体" w:cs="宋体"/>
          <w:b/>
          <w:bCs/>
          <w:color w:val="auto"/>
          <w:sz w:val="32"/>
          <w:szCs w:val="32"/>
          <w:highlight w:val="none"/>
          <w:u w:val="none"/>
        </w:rPr>
      </w:pPr>
      <w:r>
        <w:rPr>
          <w:rFonts w:hint="eastAsia" w:ascii="宋体" w:hAnsi="宋体" w:cs="宋体"/>
          <w:b/>
          <w:bCs/>
          <w:color w:val="auto"/>
          <w:sz w:val="32"/>
          <w:szCs w:val="32"/>
          <w:highlight w:val="none"/>
          <w:u w:val="none"/>
        </w:rPr>
        <w:t>竞争性磋商公告</w:t>
      </w:r>
    </w:p>
    <w:p w14:paraId="48EBF009">
      <w:pPr>
        <w:spacing w:line="360" w:lineRule="auto"/>
        <w:jc w:val="center"/>
        <w:rPr>
          <w:rFonts w:hint="eastAsia"/>
          <w:color w:val="auto"/>
          <w:sz w:val="24"/>
          <w:szCs w:val="24"/>
          <w:highlight w:val="none"/>
          <w:u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5"/>
      </w:tblGrid>
      <w:tr w14:paraId="431C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5" w:type="dxa"/>
          </w:tcPr>
          <w:p w14:paraId="4DD5F909">
            <w:pPr>
              <w:spacing w:line="360" w:lineRule="auto"/>
              <w:ind w:firstLine="420" w:firstLineChars="200"/>
              <w:rPr>
                <w:rFonts w:ascii="宋体" w:hAnsi="宋体" w:cs="宋体"/>
                <w:color w:val="auto"/>
                <w:szCs w:val="21"/>
                <w:highlight w:val="none"/>
              </w:rPr>
            </w:pPr>
            <w:bookmarkStart w:id="2" w:name="_Toc44229878"/>
            <w:bookmarkStart w:id="3" w:name="_Toc35393629"/>
            <w:bookmarkStart w:id="4" w:name="_Toc35393798"/>
            <w:bookmarkStart w:id="5" w:name="_Toc28359089"/>
            <w:bookmarkStart w:id="6" w:name="_Toc28359012"/>
            <w:bookmarkStart w:id="7" w:name="_Hlk37430271"/>
            <w:r>
              <w:rPr>
                <w:rFonts w:hint="eastAsia" w:ascii="宋体" w:hAnsi="宋体" w:cs="宋体"/>
                <w:color w:val="auto"/>
                <w:szCs w:val="21"/>
                <w:highlight w:val="none"/>
              </w:rPr>
              <w:t>项目概况</w:t>
            </w:r>
          </w:p>
          <w:p w14:paraId="611FB5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eastAsia="zh-CN"/>
              </w:rPr>
              <w:t>2026年中马钦州产业园区规划及人防工程技术审查服务项目采购</w:t>
            </w:r>
            <w:r>
              <w:rPr>
                <w:rFonts w:hint="eastAsia" w:ascii="宋体" w:hAnsi="宋体" w:cs="宋体"/>
                <w:color w:val="auto"/>
                <w:szCs w:val="21"/>
                <w:highlight w:val="none"/>
              </w:rPr>
              <w:t>的潜在供应商应在广西政府采购云平台线上获取采购文件，并于202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15:30</w:t>
            </w:r>
            <w:r>
              <w:rPr>
                <w:rFonts w:hint="eastAsia" w:ascii="宋体" w:hAnsi="宋体" w:cs="宋体"/>
                <w:color w:val="auto"/>
                <w:szCs w:val="21"/>
                <w:highlight w:val="none"/>
              </w:rPr>
              <w:t>（北京时间）前提交响应文件。</w:t>
            </w:r>
          </w:p>
        </w:tc>
      </w:tr>
    </w:tbl>
    <w:p w14:paraId="5A81BFE2">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一、项目基本情况</w:t>
      </w:r>
      <w:bookmarkEnd w:id="2"/>
      <w:bookmarkEnd w:id="3"/>
      <w:bookmarkEnd w:id="4"/>
      <w:bookmarkEnd w:id="5"/>
      <w:bookmarkEnd w:id="6"/>
    </w:p>
    <w:p w14:paraId="3A971453">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项目编号：QZZC2026-C3-980013-GXCJ</w:t>
      </w:r>
    </w:p>
    <w:p w14:paraId="56BB656D">
      <w:pPr>
        <w:spacing w:line="360" w:lineRule="auto"/>
        <w:ind w:firstLine="420" w:firstLineChars="20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2026年中马钦州产业园区规划及人防工程技术审查服务项目采购</w:t>
      </w:r>
    </w:p>
    <w:p w14:paraId="4BB2B2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CF62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630000.00</w:t>
      </w:r>
    </w:p>
    <w:p w14:paraId="2668CA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5"/>
      </w:tblGrid>
      <w:tr w14:paraId="13A0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95" w:type="dxa"/>
          </w:tcPr>
          <w:p w14:paraId="2F169762">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2026年中马钦州产业园区规划及人防工程技术审查服务项目采购</w:t>
            </w:r>
          </w:p>
          <w:p w14:paraId="0DAC70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3735C7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630000.00</w:t>
            </w:r>
          </w:p>
          <w:p w14:paraId="191AEF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val="en-US" w:eastAsia="zh-CN"/>
              </w:rPr>
              <w:t>本</w:t>
            </w:r>
            <w:r>
              <w:rPr>
                <w:rFonts w:hint="eastAsia" w:ascii="宋体" w:hAnsi="宋体" w:cs="宋体"/>
                <w:color w:val="auto"/>
                <w:szCs w:val="21"/>
                <w:highlight w:val="none"/>
              </w:rPr>
              <w:t>次采购主要</w:t>
            </w:r>
            <w:r>
              <w:rPr>
                <w:rFonts w:hint="eastAsia" w:ascii="宋体" w:hAnsi="宋体" w:cs="宋体"/>
                <w:color w:val="auto"/>
                <w:szCs w:val="21"/>
                <w:highlight w:val="none"/>
                <w:lang w:eastAsia="zh-CN"/>
              </w:rPr>
              <w:t>内容</w:t>
            </w:r>
            <w:r>
              <w:rPr>
                <w:rFonts w:hint="eastAsia" w:ascii="宋体" w:hAnsi="宋体" w:cs="宋体"/>
                <w:color w:val="auto"/>
                <w:szCs w:val="21"/>
                <w:highlight w:val="none"/>
              </w:rPr>
              <w:t>包含人防工程防护设计（规划）审查、人防工程防护设计（施工）审查等人防工程防护设计技术咨询服务、建设工程规划设计方案合规性技术审查咨询和项目用地节约集约论证</w:t>
            </w:r>
            <w:r>
              <w:rPr>
                <w:rFonts w:hint="eastAsia" w:ascii="宋体" w:hAnsi="宋体" w:cs="宋体"/>
                <w:color w:val="auto"/>
                <w:szCs w:val="21"/>
                <w:highlight w:val="none"/>
                <w:lang w:eastAsia="zh-CN"/>
              </w:rPr>
              <w:t>咨询</w:t>
            </w:r>
            <w:r>
              <w:rPr>
                <w:rFonts w:hint="eastAsia" w:ascii="宋体" w:hAnsi="宋体" w:cs="宋体"/>
                <w:color w:val="auto"/>
                <w:szCs w:val="21"/>
                <w:highlight w:val="none"/>
              </w:rPr>
              <w:t>等。</w:t>
            </w:r>
            <w:r>
              <w:rPr>
                <w:rFonts w:hint="eastAsia" w:ascii="宋体" w:hAnsi="宋体" w:cs="宋体"/>
                <w:color w:val="auto"/>
                <w:szCs w:val="21"/>
                <w:highlight w:val="none"/>
                <w:lang w:eastAsia="zh-CN"/>
              </w:rPr>
              <w:t>（具体详见采购文件第三章 采购需求）</w:t>
            </w:r>
          </w:p>
          <w:p w14:paraId="622328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630000.00</w:t>
            </w:r>
            <w:r>
              <w:rPr>
                <w:rFonts w:hint="eastAsia" w:ascii="宋体" w:hAnsi="宋体" w:cs="宋体"/>
                <w:color w:val="auto"/>
                <w:szCs w:val="21"/>
                <w:highlight w:val="none"/>
              </w:rPr>
              <w:t>元</w:t>
            </w:r>
          </w:p>
          <w:p w14:paraId="68057C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2026年度</w:t>
            </w:r>
            <w:r>
              <w:rPr>
                <w:rFonts w:hint="eastAsia" w:ascii="宋体" w:hAnsi="宋体" w:cs="宋体"/>
                <w:color w:val="auto"/>
                <w:szCs w:val="21"/>
                <w:highlight w:val="none"/>
              </w:rPr>
              <w:t>。</w:t>
            </w:r>
          </w:p>
          <w:p w14:paraId="726C26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本标项（否）接受联合体投标</w:t>
            </w:r>
          </w:p>
          <w:p w14:paraId="681066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备注：/</w:t>
            </w:r>
          </w:p>
        </w:tc>
      </w:tr>
    </w:tbl>
    <w:p w14:paraId="7D7719ED">
      <w:pPr>
        <w:spacing w:line="360" w:lineRule="auto"/>
        <w:rPr>
          <w:rFonts w:ascii="宋体" w:hAnsi="宋体" w:cs="宋体"/>
          <w:b/>
          <w:color w:val="auto"/>
          <w:sz w:val="24"/>
          <w:highlight w:val="none"/>
        </w:rPr>
      </w:pPr>
      <w:bookmarkStart w:id="8" w:name="_Toc28359013"/>
      <w:bookmarkStart w:id="9" w:name="_Toc35393799"/>
      <w:bookmarkStart w:id="10" w:name="_Toc35393630"/>
      <w:bookmarkStart w:id="11" w:name="_Toc44229879"/>
      <w:bookmarkStart w:id="12" w:name="_Toc28359090"/>
      <w:r>
        <w:rPr>
          <w:rFonts w:hint="eastAsia" w:ascii="宋体" w:hAnsi="宋体" w:cs="宋体"/>
          <w:b/>
          <w:color w:val="auto"/>
          <w:sz w:val="24"/>
          <w:highlight w:val="none"/>
        </w:rPr>
        <w:t>二、</w:t>
      </w:r>
      <w:bookmarkEnd w:id="8"/>
      <w:bookmarkEnd w:id="9"/>
      <w:bookmarkEnd w:id="10"/>
      <w:bookmarkEnd w:id="11"/>
      <w:bookmarkEnd w:id="12"/>
      <w:r>
        <w:rPr>
          <w:rFonts w:hint="eastAsia" w:ascii="宋体" w:hAnsi="宋体" w:cs="宋体"/>
          <w:b/>
          <w:color w:val="auto"/>
          <w:sz w:val="24"/>
          <w:highlight w:val="none"/>
        </w:rPr>
        <w:t>申请人的资格要求：</w:t>
      </w:r>
    </w:p>
    <w:p w14:paraId="4DF040F0">
      <w:pPr>
        <w:spacing w:line="360" w:lineRule="auto"/>
        <w:ind w:firstLine="420" w:firstLineChars="200"/>
        <w:rPr>
          <w:rFonts w:ascii="宋体" w:hAnsi="宋体" w:cs="宋体"/>
          <w:color w:val="auto"/>
          <w:szCs w:val="21"/>
          <w:highlight w:val="none"/>
        </w:rPr>
      </w:pPr>
      <w:bookmarkStart w:id="13" w:name="_Toc28359091"/>
      <w:bookmarkStart w:id="14" w:name="_Toc35393631"/>
      <w:bookmarkStart w:id="15" w:name="_Toc44229880"/>
      <w:bookmarkStart w:id="16" w:name="_Toc35393800"/>
      <w:bookmarkStart w:id="17" w:name="_Toc28359014"/>
      <w:r>
        <w:rPr>
          <w:rFonts w:hint="eastAsia" w:ascii="宋体" w:hAnsi="宋体" w:cs="宋体"/>
          <w:color w:val="auto"/>
          <w:szCs w:val="21"/>
          <w:highlight w:val="none"/>
        </w:rPr>
        <w:t>1.满足《中华人民共和国政府采购法》第二十二条规定；</w:t>
      </w:r>
    </w:p>
    <w:p w14:paraId="32A7C8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2.落实政府采购政策需满足的资格要求：本项目属于专门面向中小企业采购的项目（供应商应为中小微企业、监狱企业、残疾人福利性单位）；</w:t>
      </w:r>
    </w:p>
    <w:p w14:paraId="57551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无</w:t>
      </w:r>
      <w:r>
        <w:rPr>
          <w:rFonts w:hint="eastAsia" w:ascii="宋体" w:hAnsi="宋体" w:cs="宋体"/>
          <w:color w:val="auto"/>
          <w:szCs w:val="21"/>
          <w:highlight w:val="none"/>
        </w:rPr>
        <w:t>。</w:t>
      </w:r>
    </w:p>
    <w:p w14:paraId="60100393">
      <w:pPr>
        <w:spacing w:line="360" w:lineRule="auto"/>
        <w:rPr>
          <w:rFonts w:ascii="宋体" w:hAnsi="宋体" w:cs="宋体"/>
          <w:b/>
          <w:color w:val="auto"/>
          <w:sz w:val="24"/>
          <w:highlight w:val="none"/>
        </w:rPr>
      </w:pPr>
      <w:r>
        <w:rPr>
          <w:rFonts w:hint="eastAsia" w:ascii="宋体" w:hAnsi="宋体" w:cs="宋体"/>
          <w:b/>
          <w:color w:val="auto"/>
          <w:sz w:val="24"/>
          <w:highlight w:val="none"/>
        </w:rPr>
        <w:t>三、</w:t>
      </w:r>
      <w:bookmarkEnd w:id="13"/>
      <w:bookmarkEnd w:id="14"/>
      <w:bookmarkEnd w:id="15"/>
      <w:bookmarkEnd w:id="16"/>
      <w:bookmarkEnd w:id="17"/>
      <w:r>
        <w:rPr>
          <w:rFonts w:hint="eastAsia" w:ascii="宋体" w:hAnsi="宋体" w:cs="宋体"/>
          <w:b/>
          <w:color w:val="auto"/>
          <w:sz w:val="24"/>
          <w:highlight w:val="none"/>
        </w:rPr>
        <w:t>获取采购文件</w:t>
      </w:r>
    </w:p>
    <w:p w14:paraId="292BCAE3">
      <w:pPr>
        <w:spacing w:line="360" w:lineRule="auto"/>
        <w:ind w:firstLine="420" w:firstLineChars="200"/>
        <w:rPr>
          <w:rFonts w:ascii="宋体" w:hAnsi="宋体" w:cs="宋体"/>
          <w:bCs/>
          <w:color w:val="auto"/>
          <w:kern w:val="0"/>
          <w:szCs w:val="21"/>
          <w:highlight w:val="none"/>
        </w:rPr>
      </w:pPr>
      <w:bookmarkStart w:id="18" w:name="_Toc44229881"/>
      <w:bookmarkStart w:id="19" w:name="_Toc35393632"/>
      <w:bookmarkStart w:id="20" w:name="_Toc28359015"/>
      <w:bookmarkStart w:id="21" w:name="_Toc28359092"/>
      <w:bookmarkStart w:id="22" w:name="_Toc35393801"/>
      <w:r>
        <w:rPr>
          <w:rFonts w:hint="eastAsia" w:ascii="宋体" w:hAnsi="宋体" w:cs="宋体"/>
          <w:bCs/>
          <w:color w:val="auto"/>
          <w:kern w:val="0"/>
          <w:szCs w:val="21"/>
          <w:highlight w:val="none"/>
        </w:rPr>
        <w:t>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2日起至2026年9</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日，每天上午00:00至11:59，下午12:00至23:59（北京时间，法定节假日除外）</w:t>
      </w:r>
    </w:p>
    <w:p w14:paraId="5A88F834">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地点（网址）：广西政府采购云平台线上获取</w:t>
      </w:r>
    </w:p>
    <w:p w14:paraId="0ADE8784">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方式：供应商登录广西政府采购云平台https://www.gcy.zfcg.gxzf.gov.cn/在线申请获取采购文件（进入“项目采购”应用，在获取采购文件菜单中选择项目，申请获取采购文件）</w:t>
      </w:r>
    </w:p>
    <w:p w14:paraId="0F006664">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售价（元）：0</w:t>
      </w:r>
    </w:p>
    <w:p w14:paraId="78A4A17A">
      <w:pPr>
        <w:spacing w:line="360" w:lineRule="auto"/>
        <w:rPr>
          <w:rFonts w:ascii="宋体" w:hAnsi="宋体" w:cs="宋体"/>
          <w:b/>
          <w:color w:val="auto"/>
          <w:sz w:val="24"/>
          <w:highlight w:val="none"/>
        </w:rPr>
      </w:pPr>
      <w:r>
        <w:rPr>
          <w:rFonts w:hint="eastAsia" w:ascii="宋体" w:hAnsi="宋体" w:cs="宋体"/>
          <w:b/>
          <w:color w:val="auto"/>
          <w:sz w:val="24"/>
          <w:highlight w:val="none"/>
        </w:rPr>
        <w:t>四、响应文件提交</w:t>
      </w:r>
      <w:bookmarkEnd w:id="18"/>
      <w:bookmarkEnd w:id="19"/>
      <w:bookmarkEnd w:id="20"/>
      <w:bookmarkEnd w:id="21"/>
      <w:bookmarkEnd w:id="22"/>
    </w:p>
    <w:p w14:paraId="7A193504">
      <w:pPr>
        <w:spacing w:line="360" w:lineRule="auto"/>
        <w:ind w:firstLine="420" w:firstLineChars="200"/>
        <w:rPr>
          <w:rFonts w:ascii="宋体" w:hAnsi="宋体" w:cs="宋体"/>
          <w:bCs/>
          <w:color w:val="auto"/>
          <w:szCs w:val="21"/>
          <w:highlight w:val="none"/>
        </w:rPr>
      </w:pPr>
      <w:bookmarkStart w:id="23" w:name="_Toc35393802"/>
      <w:bookmarkStart w:id="24" w:name="_Toc44229882"/>
      <w:bookmarkStart w:id="25" w:name="_Toc28359093"/>
      <w:bookmarkStart w:id="26" w:name="_Toc35393633"/>
      <w:bookmarkStart w:id="27" w:name="_Toc28359016"/>
      <w:r>
        <w:rPr>
          <w:rFonts w:hint="eastAsia" w:ascii="宋体" w:hAnsi="宋体" w:cs="宋体"/>
          <w:bCs/>
          <w:color w:val="auto"/>
          <w:szCs w:val="21"/>
          <w:highlight w:val="none"/>
        </w:rPr>
        <w:t>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w:t>
      </w:r>
      <w:r>
        <w:rPr>
          <w:rFonts w:hint="eastAsia" w:ascii="宋体" w:hAnsi="宋体" w:cs="宋体"/>
          <w:color w:val="auto"/>
          <w:szCs w:val="21"/>
          <w:highlight w:val="none"/>
          <w:lang w:eastAsia="zh-CN"/>
        </w:rPr>
        <w:t>15:30</w:t>
      </w:r>
      <w:r>
        <w:rPr>
          <w:rFonts w:hint="eastAsia" w:ascii="宋体" w:hAnsi="宋体" w:cs="宋体"/>
          <w:bCs/>
          <w:color w:val="auto"/>
          <w:szCs w:val="21"/>
          <w:highlight w:val="none"/>
        </w:rPr>
        <w:t>（北京时间）</w:t>
      </w:r>
    </w:p>
    <w:p w14:paraId="0D1D440F">
      <w:pPr>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地点（网址）：请登录广西政府采购云平台投标客户端投标</w:t>
      </w:r>
    </w:p>
    <w:p w14:paraId="73419D94">
      <w:pPr>
        <w:spacing w:line="360" w:lineRule="auto"/>
        <w:rPr>
          <w:rFonts w:ascii="宋体" w:hAnsi="宋体" w:cs="宋体"/>
          <w:b/>
          <w:color w:val="auto"/>
          <w:sz w:val="24"/>
          <w:highlight w:val="none"/>
        </w:rPr>
      </w:pPr>
      <w:r>
        <w:rPr>
          <w:rFonts w:hint="eastAsia" w:ascii="宋体" w:hAnsi="宋体" w:cs="宋体"/>
          <w:b/>
          <w:color w:val="auto"/>
          <w:sz w:val="24"/>
          <w:highlight w:val="none"/>
        </w:rPr>
        <w:t>五、</w:t>
      </w:r>
      <w:bookmarkEnd w:id="23"/>
      <w:bookmarkEnd w:id="24"/>
      <w:bookmarkEnd w:id="25"/>
      <w:bookmarkEnd w:id="26"/>
      <w:bookmarkEnd w:id="27"/>
      <w:r>
        <w:rPr>
          <w:rFonts w:hint="eastAsia" w:ascii="宋体" w:hAnsi="宋体" w:cs="宋体"/>
          <w:b/>
          <w:color w:val="auto"/>
          <w:sz w:val="24"/>
          <w:highlight w:val="none"/>
        </w:rPr>
        <w:t>响应文件开启</w:t>
      </w:r>
    </w:p>
    <w:p w14:paraId="5BEDB46A">
      <w:pPr>
        <w:spacing w:line="360" w:lineRule="auto"/>
        <w:ind w:firstLine="420" w:firstLineChars="200"/>
        <w:rPr>
          <w:rFonts w:ascii="宋体" w:hAnsi="宋体" w:cs="宋体"/>
          <w:color w:val="auto"/>
          <w:szCs w:val="21"/>
          <w:highlight w:val="none"/>
        </w:rPr>
      </w:pPr>
      <w:bookmarkStart w:id="28" w:name="_Toc35393803"/>
      <w:bookmarkStart w:id="29" w:name="_Toc28359094"/>
      <w:bookmarkStart w:id="30" w:name="_Toc28359017"/>
      <w:bookmarkStart w:id="31" w:name="_Toc35393634"/>
      <w:bookmarkStart w:id="32" w:name="_Toc44229883"/>
      <w:r>
        <w:rPr>
          <w:rFonts w:hint="eastAsia" w:ascii="宋体" w:hAnsi="宋体" w:cs="宋体"/>
          <w:color w:val="auto"/>
          <w:szCs w:val="21"/>
          <w:highlight w:val="none"/>
        </w:rPr>
        <w:t>开启时间：202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w:t>
      </w:r>
      <w:r>
        <w:rPr>
          <w:rFonts w:hint="eastAsia" w:ascii="宋体" w:hAnsi="宋体" w:cs="宋体"/>
          <w:color w:val="auto"/>
          <w:szCs w:val="21"/>
          <w:highlight w:val="none"/>
          <w:lang w:eastAsia="zh-CN"/>
        </w:rPr>
        <w:t>15:30</w:t>
      </w:r>
      <w:r>
        <w:rPr>
          <w:rFonts w:hint="eastAsia" w:ascii="宋体" w:hAnsi="宋体" w:cs="宋体"/>
          <w:color w:val="auto"/>
          <w:szCs w:val="21"/>
          <w:highlight w:val="none"/>
        </w:rPr>
        <w:t>（北京时间）</w:t>
      </w:r>
    </w:p>
    <w:p w14:paraId="6AA64C0C">
      <w:pP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地点：广西政府采购云平台https://www.gcy.zfcg.gxzf.gov.cn/</w:t>
      </w:r>
    </w:p>
    <w:p w14:paraId="74E2B631">
      <w:pPr>
        <w:spacing w:line="360" w:lineRule="auto"/>
        <w:rPr>
          <w:rFonts w:ascii="宋体" w:hAnsi="宋体" w:cs="宋体"/>
          <w:b/>
          <w:color w:val="auto"/>
          <w:sz w:val="24"/>
          <w:highlight w:val="none"/>
        </w:rPr>
      </w:pPr>
      <w:r>
        <w:rPr>
          <w:rFonts w:hint="eastAsia" w:ascii="宋体" w:hAnsi="宋体" w:cs="宋体"/>
          <w:b/>
          <w:color w:val="auto"/>
          <w:sz w:val="24"/>
          <w:highlight w:val="none"/>
        </w:rPr>
        <w:t>六、公告期限</w:t>
      </w:r>
      <w:bookmarkEnd w:id="28"/>
      <w:bookmarkEnd w:id="29"/>
      <w:bookmarkEnd w:id="30"/>
      <w:bookmarkEnd w:id="31"/>
      <w:bookmarkEnd w:id="32"/>
    </w:p>
    <w:p w14:paraId="5ED3AFB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54D18C10">
      <w:pPr>
        <w:spacing w:line="360" w:lineRule="auto"/>
        <w:rPr>
          <w:rFonts w:ascii="宋体" w:hAnsi="宋体" w:cs="宋体"/>
          <w:b/>
          <w:color w:val="auto"/>
          <w:sz w:val="24"/>
          <w:highlight w:val="none"/>
        </w:rPr>
      </w:pPr>
      <w:bookmarkStart w:id="33" w:name="_Toc35393635"/>
      <w:bookmarkStart w:id="34" w:name="_Toc44229884"/>
      <w:bookmarkStart w:id="35" w:name="_Toc35393804"/>
      <w:r>
        <w:rPr>
          <w:rFonts w:hint="eastAsia" w:ascii="宋体" w:hAnsi="宋体" w:cs="宋体"/>
          <w:b/>
          <w:color w:val="auto"/>
          <w:sz w:val="24"/>
          <w:highlight w:val="none"/>
        </w:rPr>
        <w:t>七、其他补充事宜</w:t>
      </w:r>
      <w:bookmarkEnd w:id="33"/>
      <w:bookmarkEnd w:id="34"/>
      <w:bookmarkEnd w:id="35"/>
    </w:p>
    <w:p w14:paraId="17596AF6">
      <w:pPr>
        <w:spacing w:line="360" w:lineRule="auto"/>
        <w:ind w:firstLine="420" w:firstLineChars="200"/>
        <w:rPr>
          <w:rFonts w:ascii="宋体" w:hAnsi="宋体" w:cs="宋体"/>
          <w:color w:val="auto"/>
          <w:kern w:val="0"/>
          <w:szCs w:val="21"/>
          <w:highlight w:val="none"/>
        </w:rPr>
      </w:pPr>
      <w:bookmarkStart w:id="36" w:name="_Toc35393636"/>
      <w:bookmarkStart w:id="37" w:name="_Toc35393805"/>
      <w:bookmarkStart w:id="38" w:name="_Toc28359018"/>
      <w:bookmarkStart w:id="39" w:name="_Toc28359095"/>
      <w:bookmarkStart w:id="40" w:name="_Toc44229885"/>
      <w:r>
        <w:rPr>
          <w:rFonts w:hint="eastAsia" w:ascii="宋体" w:hAnsi="宋体" w:cs="宋体"/>
          <w:color w:val="auto"/>
          <w:kern w:val="0"/>
          <w:szCs w:val="21"/>
          <w:highlight w:val="none"/>
        </w:rPr>
        <w:t>1.磋商保证金：人民币壹仟元整（</w:t>
      </w:r>
      <w:r>
        <w:rPr>
          <w:rFonts w:ascii="Arial" w:hAnsi="Arial" w:cs="Arial"/>
          <w:color w:val="auto"/>
          <w:kern w:val="0"/>
          <w:szCs w:val="21"/>
          <w:highlight w:val="none"/>
        </w:rPr>
        <w:t>¥</w:t>
      </w:r>
      <w:r>
        <w:rPr>
          <w:rFonts w:hint="eastAsia" w:ascii="宋体" w:hAnsi="宋体" w:cs="宋体"/>
          <w:color w:val="auto"/>
          <w:kern w:val="0"/>
          <w:szCs w:val="21"/>
          <w:highlight w:val="none"/>
        </w:rPr>
        <w:t>1000.00）。</w:t>
      </w:r>
    </w:p>
    <w:p w14:paraId="7EF2471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磋商供应商可自主选择以银行转账、电汇、支票、汇票、本票或者金融机构、担保机构出具的保函等非现金形式提交。采用银行转账、电汇形式的，磋商保证金必须从供应商银行账户转出，并于响应文件递交截止时间前到达广西城建咨询设计有限公司指定账户【开户银行：中国建设银行股份有限公司南宁民族大道东支行，收款户名：广西城建咨询设计有限公司，收款账号：4500 1604 6530 5070 3663】；采用支票、汇票、本票、保函形式的，磋商供应商应于响应文件递交截止时间前递交单独密封的支票、汇票、本票、保函原件；否则视为无效磋商保证金。本项目不接受现金形式或从个人账户转出的保证金。</w:t>
      </w:r>
    </w:p>
    <w:p w14:paraId="6A0B2C9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网上查询地址：中国政府采购网（http://www.ccgp.gov.cn/）、广西壮族自治区政府采购网（www.zfcg.gxzf.gov.cn）。</w:t>
      </w:r>
    </w:p>
    <w:p w14:paraId="73F887DC">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3.对在“中国执行信息公开网”（zxgk.court.gov.cn）、“信用中国”（www.creditchina.gov.cn）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F1B3A2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.本项目需要落实的政府采购政策：</w:t>
      </w:r>
    </w:p>
    <w:p w14:paraId="4FB1C6FC">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（1）政府采购促进中小</w:t>
      </w:r>
      <w:r>
        <w:rPr>
          <w:rFonts w:hint="eastAsia" w:ascii="宋体" w:hAnsi="宋体" w:cs="宋体"/>
          <w:color w:val="auto"/>
          <w:szCs w:val="21"/>
          <w:highlight w:val="none"/>
        </w:rPr>
        <w:t>企业发展。</w:t>
      </w:r>
    </w:p>
    <w:p w14:paraId="48401C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6F0897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4728A1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6E7982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1A66BB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.磋商注意事项：</w:t>
      </w:r>
    </w:p>
    <w:p w14:paraId="275C1F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提交方式：本项目为全流程电子化政府采购项目，通过“广西政府采购云平台”（https://www.gcy.zfcg.gxzf.gov.cn/）实行在线电子磋商采购，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供应商在“广西政府采购云平台”平台提交电子版响应文件时，请填写参加远程开标活动经办人联系方式。</w:t>
      </w:r>
    </w:p>
    <w:p w14:paraId="1DCB37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应及时熟悉掌握电子标系统操作指南（见广西政府采购云平台电子卖场首页右上角—服务中心—帮助文档—项目采购）；及时完成CA申领和绑定（见广西壮族自治区政府采购网—办事服务—下载专区-广西政府采购云平台CA证书办理操作指南）。</w:t>
      </w:r>
    </w:p>
    <w:p w14:paraId="351DF5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099267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（4）为确保网上操作合法、有效和安全，请供应商确保在电子竞标过程中能够对相关数据电文进行加密和使用电子签章，妥善保管CA数字证书并使用有效的CA数字证书参与整个采购活动。</w:t>
      </w:r>
    </w:p>
    <w:p w14:paraId="37E158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514BE5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.CA证书在线解密：首次响应文件开启时，</w:t>
      </w:r>
      <w:r>
        <w:rPr>
          <w:rFonts w:hint="eastAsia" w:ascii="宋体" w:hAnsi="宋体" w:cs="宋体"/>
          <w:color w:val="auto"/>
          <w:szCs w:val="21"/>
          <w:highlight w:val="none"/>
          <w:lang w:eastAsia="zh-CN"/>
        </w:rPr>
        <w:t>需要</w:t>
      </w:r>
      <w:r>
        <w:rPr>
          <w:rFonts w:hint="eastAsia" w:ascii="宋体" w:hAnsi="宋体" w:cs="宋体"/>
          <w:color w:val="auto"/>
          <w:szCs w:val="21"/>
          <w:highlight w:val="none"/>
        </w:rPr>
        <w:t>供应商携带制作响应文件时用来加密的有效数字证书（CA认证）登录“广西政府采购云平台”电子开标大厅现场按规定时间对加密的响应文件进行解密，否则后果自负。</w:t>
      </w:r>
    </w:p>
    <w:p w14:paraId="2C2D4E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.供应商需要在</w:t>
      </w:r>
      <w:r>
        <w:rPr>
          <w:rFonts w:hint="eastAsia" w:ascii="宋体" w:hAnsi="宋体" w:cs="宋体"/>
          <w:color w:val="auto"/>
          <w:szCs w:val="21"/>
          <w:highlight w:val="none"/>
          <w:lang w:eastAsia="zh-CN"/>
        </w:rPr>
        <w:t>具备</w:t>
      </w:r>
      <w:r>
        <w:rPr>
          <w:rFonts w:hint="eastAsia" w:ascii="宋体" w:hAnsi="宋体" w:cs="宋体"/>
          <w:color w:val="auto"/>
          <w:szCs w:val="21"/>
          <w:highlight w:val="none"/>
        </w:rPr>
        <w:t>摄像头及语音功能且互联网网络状况良好的电脑登录“广西政府采购云平台”远程开标大厅参与本次磋商，否则后果自负。</w:t>
      </w:r>
    </w:p>
    <w:p w14:paraId="772FB9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.若对项目采购电子交易系统操作有疑问，可登录“广西政府采购云平台”平台，点击右侧咨询小采，获取采小蜜智能服务管家帮助，或拨打广西政府采购云平台服务热线95763获取热线服务帮助。</w:t>
      </w:r>
    </w:p>
    <w:p w14:paraId="5D6C8D0F">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八、</w:t>
      </w:r>
      <w:bookmarkEnd w:id="36"/>
      <w:bookmarkEnd w:id="37"/>
      <w:bookmarkEnd w:id="38"/>
      <w:bookmarkEnd w:id="39"/>
      <w:bookmarkEnd w:id="40"/>
      <w:r>
        <w:rPr>
          <w:rFonts w:hint="eastAsia" w:ascii="宋体" w:hAnsi="宋体" w:cs="宋体"/>
          <w:b/>
          <w:bCs/>
          <w:color w:val="auto"/>
          <w:sz w:val="24"/>
          <w:highlight w:val="none"/>
        </w:rPr>
        <w:t>凡对本次招标提出询问，请按以下方式联系</w:t>
      </w:r>
    </w:p>
    <w:p w14:paraId="2B0565CA">
      <w:pPr>
        <w:spacing w:line="360" w:lineRule="auto"/>
        <w:ind w:firstLine="420" w:firstLineChars="200"/>
        <w:rPr>
          <w:rFonts w:ascii="宋体" w:hAnsi="宋体" w:cs="宋体"/>
          <w:color w:val="auto"/>
          <w:kern w:val="0"/>
          <w:szCs w:val="21"/>
          <w:highlight w:val="none"/>
        </w:rPr>
      </w:pPr>
      <w:bookmarkStart w:id="41" w:name="_Toc28359096"/>
      <w:bookmarkStart w:id="42" w:name="_Toc35393806"/>
      <w:bookmarkStart w:id="43" w:name="_Toc35393637"/>
      <w:bookmarkStart w:id="44" w:name="_Toc28359019"/>
      <w:r>
        <w:rPr>
          <w:rFonts w:hint="eastAsia" w:ascii="宋体" w:hAnsi="宋体" w:cs="宋体"/>
          <w:color w:val="auto"/>
          <w:kern w:val="0"/>
          <w:szCs w:val="21"/>
          <w:highlight w:val="none"/>
        </w:rPr>
        <w:t>1.采购人信息</w:t>
      </w:r>
      <w:bookmarkEnd w:id="41"/>
      <w:bookmarkEnd w:id="42"/>
      <w:bookmarkEnd w:id="43"/>
      <w:bookmarkEnd w:id="44"/>
    </w:p>
    <w:p w14:paraId="0421055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名  称：中国—马来西亚钦州产业园区自然资源局</w:t>
      </w:r>
    </w:p>
    <w:p w14:paraId="1E002D94">
      <w:pPr>
        <w:spacing w:line="360" w:lineRule="auto"/>
        <w:ind w:firstLine="420" w:firstLineChars="200"/>
        <w:rPr>
          <w:rFonts w:hint="eastAsia" w:ascii="宋体" w:hAnsi="宋体" w:eastAsia="宋体" w:cs="宋体"/>
          <w:color w:val="auto"/>
          <w:kern w:val="0"/>
          <w:szCs w:val="21"/>
          <w:highlight w:val="none"/>
          <w:lang w:eastAsia="zh-CN"/>
        </w:rPr>
      </w:pPr>
      <w:bookmarkStart w:id="45" w:name="_Toc28359020"/>
      <w:bookmarkStart w:id="46" w:name="_Toc28359097"/>
      <w:bookmarkStart w:id="47" w:name="_Toc35393638"/>
      <w:bookmarkStart w:id="48" w:name="_Toc35393807"/>
      <w:r>
        <w:rPr>
          <w:rFonts w:hint="eastAsia" w:ascii="宋体" w:hAnsi="宋体" w:cs="宋体"/>
          <w:color w:val="auto"/>
          <w:kern w:val="0"/>
          <w:szCs w:val="21"/>
          <w:highlight w:val="none"/>
        </w:rPr>
        <w:t>地  址：</w:t>
      </w:r>
      <w:r>
        <w:rPr>
          <w:rFonts w:hint="eastAsia" w:ascii="宋体" w:hAnsi="宋体" w:cs="宋体"/>
          <w:color w:val="auto"/>
          <w:kern w:val="0"/>
          <w:szCs w:val="21"/>
          <w:highlight w:val="none"/>
          <w:lang w:eastAsia="zh-CN"/>
        </w:rPr>
        <w:t>广西钦州市钦南区中马产业园区中马北一街1号智慧园3号楼2层</w:t>
      </w:r>
    </w:p>
    <w:p w14:paraId="1F203345">
      <w:pP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eastAsia="zh-CN"/>
        </w:rPr>
        <w:t>邓生青</w:t>
      </w:r>
    </w:p>
    <w:p w14:paraId="7E1883D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项目联系方式：0777-5988180</w:t>
      </w:r>
    </w:p>
    <w:p w14:paraId="0C6A4C4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bookmarkEnd w:id="45"/>
      <w:bookmarkEnd w:id="46"/>
      <w:bookmarkEnd w:id="47"/>
      <w:bookmarkEnd w:id="48"/>
    </w:p>
    <w:p w14:paraId="4C0CF2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highlight w:val="none"/>
        </w:rPr>
        <w:t>广西城建咨询设计有限公司</w:t>
      </w:r>
    </w:p>
    <w:p w14:paraId="4BC944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highlight w:val="none"/>
        </w:rPr>
        <w:t>：钦州市钦南区子材东大街4号阳光曼哈顿3座4楼3A07室广西城建咨询设计有限公司钦州分公司</w:t>
      </w:r>
    </w:p>
    <w:p w14:paraId="5D75023E">
      <w:pPr>
        <w:pStyle w:val="19"/>
        <w:spacing w:line="360" w:lineRule="auto"/>
        <w:ind w:firstLine="420" w:firstLineChars="200"/>
        <w:rPr>
          <w:rFonts w:hAnsi="宋体" w:cs="宋体"/>
          <w:color w:val="auto"/>
          <w:sz w:val="21"/>
          <w:highlight w:val="none"/>
        </w:rPr>
      </w:pPr>
      <w:r>
        <w:rPr>
          <w:rFonts w:hint="eastAsia" w:hAnsi="宋体" w:cs="宋体"/>
          <w:color w:val="auto"/>
          <w:sz w:val="21"/>
          <w:highlight w:val="none"/>
        </w:rPr>
        <w:t>项目联系人：庞东</w:t>
      </w:r>
    </w:p>
    <w:p w14:paraId="73DF4A0C">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cs="宋体"/>
          <w:color w:val="auto"/>
          <w:szCs w:val="21"/>
          <w:highlight w:val="none"/>
        </w:rPr>
        <w:t>项目联系方式：077</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3882166</w:t>
      </w:r>
    </w:p>
    <w:p w14:paraId="010DBAD5">
      <w:pPr>
        <w:spacing w:line="360" w:lineRule="auto"/>
        <w:ind w:firstLine="630" w:firstLineChars="300"/>
        <w:jc w:val="right"/>
        <w:rPr>
          <w:rFonts w:hint="eastAsia" w:ascii="宋体" w:hAnsi="宋体" w:cs="宋体"/>
          <w:color w:val="auto"/>
          <w:szCs w:val="21"/>
          <w:highlight w:val="none"/>
        </w:rPr>
      </w:pPr>
      <w:r>
        <w:rPr>
          <w:rFonts w:hint="eastAsia" w:ascii="宋体" w:hAnsi="宋体" w:cs="宋体"/>
          <w:color w:val="auto"/>
          <w:szCs w:val="21"/>
          <w:highlight w:val="none"/>
        </w:rPr>
        <w:t>广西城建咨询设计有限公司</w:t>
      </w:r>
    </w:p>
    <w:p w14:paraId="08003F27">
      <w:pPr>
        <w:spacing w:line="360" w:lineRule="auto"/>
        <w:ind w:firstLine="630" w:firstLineChars="300"/>
        <w:jc w:val="right"/>
        <w:rPr>
          <w:rFonts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日</w:t>
      </w:r>
      <w:bookmarkEnd w:id="7"/>
    </w:p>
    <w:p w14:paraId="252AD70E">
      <w:pPr>
        <w:pStyle w:val="2"/>
        <w:spacing w:line="360" w:lineRule="auto"/>
        <w:jc w:val="center"/>
        <w:rPr>
          <w:rFonts w:ascii="宋体" w:hAnsi="宋体" w:cs="宋体"/>
          <w:color w:val="auto"/>
          <w:highlight w:val="none"/>
        </w:rPr>
      </w:pPr>
      <w:r>
        <w:rPr>
          <w:rFonts w:hint="eastAsia" w:ascii="宋体" w:hAnsi="宋体" w:cs="宋体"/>
          <w:color w:val="auto"/>
          <w:highlight w:val="none"/>
        </w:rPr>
        <w:br w:type="page"/>
      </w:r>
      <w:bookmarkStart w:id="49" w:name="_Toc18958"/>
      <w:bookmarkStart w:id="50" w:name="_Toc5992"/>
      <w:r>
        <w:rPr>
          <w:rFonts w:hint="eastAsia"/>
          <w:color w:val="auto"/>
          <w:highlight w:val="none"/>
        </w:rPr>
        <w:t>第二章 供应商须知</w:t>
      </w:r>
      <w:bookmarkEnd w:id="49"/>
      <w:bookmarkEnd w:id="50"/>
    </w:p>
    <w:p w14:paraId="7F43FCD2">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3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51EB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6256BE1B">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Pr>
          <w:p w14:paraId="0851332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1A8EE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F64D54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14:paraId="396E5F96">
            <w:pPr>
              <w:spacing w:line="360" w:lineRule="auto"/>
              <w:rPr>
                <w:rFonts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5D1B95CA">
            <w:pPr>
              <w:spacing w:line="360" w:lineRule="auto"/>
              <w:rPr>
                <w:rFonts w:ascii="宋体" w:hAnsi="宋体" w:cs="宋体"/>
                <w:color w:val="auto"/>
                <w:szCs w:val="21"/>
                <w:highlight w:val="none"/>
              </w:rPr>
            </w:pPr>
            <w:r>
              <w:rPr>
                <w:rFonts w:hint="eastAsia" w:ascii="宋体" w:hAnsi="宋体" w:cs="宋体"/>
                <w:color w:val="auto"/>
                <w:szCs w:val="21"/>
                <w:highlight w:val="none"/>
              </w:rPr>
              <w:t>2.供应商出现下列情形之一的，不得参加政府采购活动：</w:t>
            </w:r>
          </w:p>
          <w:p w14:paraId="7810F877">
            <w:pPr>
              <w:spacing w:line="360" w:lineRule="auto"/>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70A910B">
            <w:pPr>
              <w:spacing w:line="360" w:lineRule="auto"/>
              <w:rPr>
                <w:rFonts w:ascii="宋体" w:hAnsi="宋体" w:cs="宋体"/>
                <w:color w:val="auto"/>
                <w:szCs w:val="21"/>
                <w:highlight w:val="none"/>
              </w:rPr>
            </w:pPr>
            <w:r>
              <w:rPr>
                <w:rFonts w:hint="eastAsia" w:ascii="宋体" w:hAnsi="宋体" w:cs="宋体"/>
                <w:color w:val="auto"/>
                <w:szCs w:val="21"/>
                <w:highlight w:val="none"/>
              </w:rPr>
              <w:t>2.2对在</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中国执行信息公开网</w:t>
            </w:r>
            <w:r>
              <w:rPr>
                <w:rFonts w:hint="eastAsia" w:ascii="宋体" w:hAnsi="宋体" w:cs="宋体"/>
                <w:color w:val="auto"/>
                <w:szCs w:val="21"/>
                <w:highlight w:val="none"/>
                <w:lang w:eastAsia="zh-CN"/>
              </w:rPr>
              <w:t>”</w:t>
            </w:r>
            <w:r>
              <w:rPr>
                <w:rFonts w:hint="eastAsia" w:ascii="宋体" w:hAnsi="宋体" w:cs="宋体"/>
                <w:color w:val="auto"/>
                <w:szCs w:val="21"/>
                <w:highlight w:val="none"/>
              </w:rPr>
              <w:t>（zxgk.court.gov.cn）、“信用中国”（www.creditchina.gov.cn）、“中国政府采购网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（www.ccgp.gov.cn）被列入失信被执行人、重大税收违法失信主体、政府采购严重违法失信行为记录名单及其他不符合《中华人民共和国政府采购法》第二十二条规定条件的供应商，不得参与政府采购活动。</w:t>
            </w:r>
          </w:p>
        </w:tc>
      </w:tr>
      <w:tr w14:paraId="6B478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44406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2F7C99A7">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是否接受联合体竞标：否。</w:t>
            </w:r>
          </w:p>
        </w:tc>
      </w:tr>
      <w:tr w14:paraId="54C83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632EB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7912" w:type="dxa"/>
            <w:vAlign w:val="center"/>
          </w:tcPr>
          <w:p w14:paraId="1E719D0B">
            <w:pPr>
              <w:spacing w:line="360" w:lineRule="auto"/>
              <w:rPr>
                <w:rFonts w:ascii="宋体" w:hAnsi="宋体" w:cs="宋体"/>
                <w:color w:val="auto"/>
                <w:szCs w:val="21"/>
                <w:highlight w:val="none"/>
              </w:rPr>
            </w:pPr>
            <w:r>
              <w:rPr>
                <w:rFonts w:hint="eastAsia" w:ascii="宋体" w:hAnsi="宋体" w:cs="宋体"/>
                <w:color w:val="auto"/>
                <w:szCs w:val="21"/>
                <w:highlight w:val="none"/>
              </w:rPr>
              <w:t>如接受联合体竞标，联合体竞标要求如下：无。</w:t>
            </w:r>
          </w:p>
        </w:tc>
      </w:tr>
      <w:tr w14:paraId="2E26D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A8F72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vAlign w:val="center"/>
          </w:tcPr>
          <w:p w14:paraId="6782B220">
            <w:pPr>
              <w:spacing w:line="360" w:lineRule="auto"/>
              <w:rPr>
                <w:rFonts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不允许分包</w:t>
            </w:r>
          </w:p>
          <w:p w14:paraId="605804DC">
            <w:pPr>
              <w:spacing w:line="360" w:lineRule="auto"/>
              <w:rPr>
                <w:rFonts w:ascii="宋体" w:hAns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允许分包</w:t>
            </w:r>
          </w:p>
          <w:p w14:paraId="2B8262BA">
            <w:pPr>
              <w:spacing w:line="360" w:lineRule="auto"/>
              <w:rPr>
                <w:rFonts w:ascii="宋体" w:hAnsi="宋体" w:cs="宋体"/>
                <w:color w:val="auto"/>
                <w:szCs w:val="21"/>
                <w:highlight w:val="non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DE297DD">
            <w:pPr>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180FE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870F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7912" w:type="dxa"/>
            <w:vAlign w:val="center"/>
          </w:tcPr>
          <w:p w14:paraId="3A7EE55F">
            <w:pPr>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资格证明文件</w:t>
            </w:r>
          </w:p>
          <w:p w14:paraId="5881CD70">
            <w:pPr>
              <w:numPr>
                <w:ilvl w:val="0"/>
                <w:numId w:val="1"/>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供应商基本情况表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供应商为法人或者其他组织的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提供其营业执照等证明文件（如营业执照或事业单位法人证书或执业许可证或登记证书等）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7C51051A">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w:t>
            </w:r>
            <w:r>
              <w:rPr>
                <w:rFonts w:hint="eastAsia" w:ascii="宋体" w:hAnsi="宋体" w:cs="宋体"/>
                <w:color w:val="auto"/>
                <w:szCs w:val="21"/>
                <w:highlight w:val="none"/>
                <w:lang w:eastAsia="zh-CN"/>
              </w:rPr>
              <w:t>截止时间止</w:t>
            </w:r>
            <w:r>
              <w:rPr>
                <w:rFonts w:hint="eastAsia" w:ascii="宋体" w:hAnsi="宋体" w:cs="宋体"/>
                <w:color w:val="auto"/>
                <w:szCs w:val="21"/>
                <w:highlight w:val="none"/>
              </w:rPr>
              <w:t>内任意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个月的依法缴纳税收的凭据；依法免税的，必须提供相应文件证明其依法免税。从成立之日起到响应文件提交截止时间止不足要求月数的，只需提供从成立之日起的依法缴纳税收相应证明文件）；</w:t>
            </w:r>
            <w:r>
              <w:rPr>
                <w:rFonts w:hint="eastAsia" w:ascii="宋体" w:hAnsi="宋体" w:cs="宋体"/>
                <w:b/>
                <w:bCs/>
                <w:color w:val="auto"/>
                <w:szCs w:val="21"/>
                <w:highlight w:val="none"/>
              </w:rPr>
              <w:t>（必须提供，否则响应文件按无效响应处理）</w:t>
            </w:r>
          </w:p>
          <w:p w14:paraId="0DDB36A3">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w:t>
            </w:r>
            <w:r>
              <w:rPr>
                <w:rFonts w:hint="eastAsia" w:ascii="宋体" w:hAnsi="宋体" w:cs="宋体"/>
                <w:color w:val="auto"/>
                <w:szCs w:val="21"/>
                <w:highlight w:val="none"/>
                <w:lang w:eastAsia="zh-CN"/>
              </w:rPr>
              <w:t>截止时间止</w:t>
            </w:r>
            <w:r>
              <w:rPr>
                <w:rFonts w:hint="eastAsia" w:ascii="宋体" w:hAnsi="宋体" w:cs="宋体"/>
                <w:color w:val="auto"/>
                <w:szCs w:val="21"/>
                <w:highlight w:val="none"/>
              </w:rPr>
              <w:t>内任意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社会保障资金的缴费凭证（专用收据或社会保险缴纳清单）扫描件；依法不需要缴纳社会保障资金的，必须提供相应文件证明不需要缴纳社会保障资金。从成立之日起到响应文件提交截止时间止不足要求月数的</w:t>
            </w:r>
            <w:r>
              <w:rPr>
                <w:rFonts w:hint="eastAsia" w:ascii="宋体" w:hAnsi="宋体" w:cs="宋体"/>
                <w:color w:val="auto"/>
                <w:szCs w:val="21"/>
                <w:highlight w:val="none"/>
                <w:lang w:eastAsia="zh-CN"/>
              </w:rPr>
              <w:t>，</w:t>
            </w:r>
            <w:r>
              <w:rPr>
                <w:rFonts w:hint="eastAsia" w:ascii="宋体" w:hAnsi="宋体" w:cs="宋体"/>
                <w:color w:val="auto"/>
                <w:szCs w:val="21"/>
                <w:highlight w:val="none"/>
              </w:rPr>
              <w:t>只需提供从成立之日起的依法缴纳社会保障资金的相应证明文件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5AFF3A08">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财务状况报告</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年的年度财务报告，包括资产负债表、现金流量表、利润表</w:t>
            </w:r>
            <w:r>
              <w:rPr>
                <w:rFonts w:hint="eastAsia" w:ascii="宋体" w:hAnsi="宋体" w:cs="宋体"/>
                <w:color w:val="auto"/>
                <w:szCs w:val="21"/>
                <w:highlight w:val="none"/>
                <w:lang w:eastAsia="zh-CN"/>
              </w:rPr>
              <w:t>，</w:t>
            </w:r>
            <w:r>
              <w:rPr>
                <w:rFonts w:hint="eastAsia" w:ascii="宋体" w:hAnsi="宋体" w:cs="宋体"/>
                <w:color w:val="auto"/>
                <w:szCs w:val="21"/>
                <w:highlight w:val="none"/>
              </w:rPr>
              <w:t>如供应商为磋商当年新成立公司，应提供公司成立之后的财务报表）；</w:t>
            </w:r>
            <w:r>
              <w:rPr>
                <w:rFonts w:hint="eastAsia" w:ascii="宋体" w:hAnsi="宋体" w:cs="宋体"/>
                <w:b/>
                <w:bCs/>
                <w:color w:val="auto"/>
                <w:szCs w:val="21"/>
                <w:highlight w:val="none"/>
              </w:rPr>
              <w:t>（必须提供，否则响应文件按无效响应处理）</w:t>
            </w:r>
          </w:p>
          <w:p w14:paraId="2A2421D2">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供应商直接控股、管理关系信息表（格式后附）</w:t>
            </w:r>
            <w:r>
              <w:rPr>
                <w:rFonts w:hint="eastAsia" w:ascii="宋体" w:hAnsi="宋体" w:cs="宋体"/>
                <w:b/>
                <w:bCs/>
                <w:color w:val="auto"/>
                <w:szCs w:val="21"/>
                <w:highlight w:val="none"/>
              </w:rPr>
              <w:t>；（必须提供，否则响应文件按无效响应处理）</w:t>
            </w:r>
          </w:p>
          <w:p w14:paraId="0352F883">
            <w:pPr>
              <w:numPr>
                <w:ilvl w:val="0"/>
                <w:numId w:val="1"/>
              </w:numPr>
              <w:spacing w:line="360" w:lineRule="auto"/>
              <w:contextualSpacing/>
              <w:jc w:val="left"/>
              <w:rPr>
                <w:color w:val="auto"/>
                <w:highlight w:val="none"/>
              </w:rPr>
            </w:pPr>
            <w:r>
              <w:rPr>
                <w:rFonts w:hint="eastAsia"/>
                <w:color w:val="auto"/>
                <w:highlight w:val="none"/>
              </w:rPr>
              <w:t>中小企业声明函或者残疾人福利性单位声明函或者供应商属于监狱企业的证明材料（格式后附）；</w:t>
            </w:r>
            <w:r>
              <w:rPr>
                <w:rFonts w:hint="eastAsia" w:ascii="宋体" w:hAnsi="宋体" w:cs="宋体"/>
                <w:b/>
                <w:bCs/>
                <w:color w:val="auto"/>
                <w:szCs w:val="21"/>
                <w:highlight w:val="none"/>
              </w:rPr>
              <w:t>（必须提供，否则响应文件按无效响应处理）</w:t>
            </w:r>
          </w:p>
          <w:p w14:paraId="4164968B">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竞标声明（格式后附）；</w:t>
            </w:r>
            <w:r>
              <w:rPr>
                <w:rFonts w:hint="eastAsia" w:ascii="宋体" w:hAnsi="宋体" w:cs="宋体"/>
                <w:b/>
                <w:bCs/>
                <w:color w:val="auto"/>
                <w:szCs w:val="21"/>
                <w:highlight w:val="none"/>
              </w:rPr>
              <w:t>（必须提供，否则响应文件按无效响应处理）</w:t>
            </w:r>
          </w:p>
          <w:p w14:paraId="7507AC96">
            <w:pPr>
              <w:numPr>
                <w:ilvl w:val="0"/>
                <w:numId w:val="1"/>
              </w:num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政府采购项目竞标资格承诺函（格式后附）；</w:t>
            </w:r>
            <w:r>
              <w:rPr>
                <w:rFonts w:hint="eastAsia" w:ascii="宋体" w:hAnsi="宋体" w:cs="宋体"/>
                <w:b/>
                <w:bCs/>
                <w:color w:val="auto"/>
                <w:szCs w:val="21"/>
                <w:highlight w:val="none"/>
              </w:rPr>
              <w:t>（必须提供，否则响应文件按无效响应处理）</w:t>
            </w:r>
          </w:p>
          <w:p w14:paraId="4B530201">
            <w:pPr>
              <w:numPr>
                <w:ilvl w:val="0"/>
                <w:numId w:val="1"/>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其他资格证明文件（编制时应与公告的特定资格要求相对应）；</w:t>
            </w:r>
          </w:p>
          <w:p w14:paraId="3A98DB4A">
            <w:pPr>
              <w:numPr>
                <w:ilvl w:val="0"/>
                <w:numId w:val="1"/>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除磋商文件规定必须提供以外，供应商认为需要提供的其他证明材料。</w:t>
            </w:r>
          </w:p>
          <w:p w14:paraId="4CDC477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注：1.以上标明“必须提供”的材料属于复印件或扫描件的，必须加盖供应商电子签章，否则响应文件按无效处理。</w:t>
            </w:r>
          </w:p>
          <w:p w14:paraId="16A6C9A5">
            <w:pPr>
              <w:spacing w:line="360" w:lineRule="auto"/>
              <w:rPr>
                <w:rFonts w:ascii="宋体" w:hAnsi="宋体" w:cs="宋体"/>
                <w:color w:val="auto"/>
                <w:szCs w:val="21"/>
                <w:highlight w:val="none"/>
              </w:rPr>
            </w:pPr>
            <w:r>
              <w:rPr>
                <w:rFonts w:hint="eastAsia" w:ascii="宋体" w:hAnsi="宋体" w:cs="宋体"/>
                <w:b/>
                <w:bCs/>
                <w:color w:val="auto"/>
                <w:szCs w:val="21"/>
                <w:highlight w:val="none"/>
              </w:rPr>
              <w:t>2.联合体竞标时，第1-</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项资格证明文件联合体各方均必须分别提供，并由联合体牵头人加盖电子签章，</w:t>
            </w:r>
            <w:r>
              <w:rPr>
                <w:rFonts w:hint="eastAsia" w:ascii="宋体" w:hAnsi="宋体" w:cs="宋体"/>
                <w:b/>
                <w:bCs/>
                <w:color w:val="auto"/>
                <w:szCs w:val="21"/>
                <w:highlight w:val="none"/>
                <w:lang w:val="en-US" w:eastAsia="zh-CN"/>
              </w:rPr>
              <w:t>在</w:t>
            </w:r>
            <w:r>
              <w:rPr>
                <w:rFonts w:hint="eastAsia" w:ascii="宋体" w:hAnsi="宋体" w:cs="宋体"/>
                <w:b/>
                <w:bCs/>
                <w:color w:val="auto"/>
                <w:szCs w:val="21"/>
                <w:highlight w:val="none"/>
              </w:rPr>
              <w:t>规定签字处签字（或者电子签名），否则响应文件按无效处理。</w:t>
            </w:r>
          </w:p>
        </w:tc>
      </w:tr>
      <w:tr w14:paraId="428CE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362CF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446B412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报价商务技术文件</w:t>
            </w:r>
          </w:p>
          <w:p w14:paraId="3D831857">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竞标报价表（格式后附）；</w:t>
            </w:r>
            <w:r>
              <w:rPr>
                <w:rFonts w:hint="eastAsia" w:ascii="宋体" w:hAnsi="宋体" w:cs="宋体"/>
                <w:b/>
                <w:bCs/>
                <w:color w:val="auto"/>
                <w:szCs w:val="21"/>
                <w:highlight w:val="none"/>
              </w:rPr>
              <w:t>（必须提供，否则响应文件按无效响应处理）</w:t>
            </w:r>
          </w:p>
          <w:p w14:paraId="7211FAFD">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商务条款偏离表（格式后附）；</w:t>
            </w:r>
            <w:r>
              <w:rPr>
                <w:rFonts w:hint="eastAsia" w:ascii="宋体" w:hAnsi="宋体" w:cs="宋体"/>
                <w:b/>
                <w:bCs/>
                <w:color w:val="auto"/>
                <w:szCs w:val="21"/>
                <w:highlight w:val="none"/>
              </w:rPr>
              <w:t>（必须提供，否则响应文件按无效响应处理）</w:t>
            </w:r>
          </w:p>
          <w:p w14:paraId="49A81BDF">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技术需求偏离表（格式后附）；</w:t>
            </w:r>
            <w:r>
              <w:rPr>
                <w:rFonts w:hint="eastAsia" w:ascii="宋体" w:hAnsi="宋体" w:cs="宋体"/>
                <w:b/>
                <w:bCs/>
                <w:color w:val="auto"/>
                <w:szCs w:val="21"/>
                <w:highlight w:val="none"/>
              </w:rPr>
              <w:t>（必须提供，否则响应文件按无效响应处理）</w:t>
            </w:r>
          </w:p>
          <w:p w14:paraId="487341A1">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无串通竞标行为的承诺函（格式后附）；</w:t>
            </w:r>
            <w:r>
              <w:rPr>
                <w:rFonts w:hint="eastAsia" w:ascii="宋体" w:hAnsi="宋体" w:cs="宋体"/>
                <w:b/>
                <w:bCs/>
                <w:color w:val="auto"/>
                <w:szCs w:val="21"/>
                <w:highlight w:val="none"/>
              </w:rPr>
              <w:t>（必须提供，否则响应文件按无效响应处理）</w:t>
            </w:r>
          </w:p>
          <w:p w14:paraId="4AC009F4">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法定代表人身份证明书及法定代表人有效身份证正反面扫描件（格式后附）；</w:t>
            </w:r>
            <w:r>
              <w:rPr>
                <w:rFonts w:hint="eastAsia" w:ascii="宋体" w:hAnsi="宋体" w:cs="宋体"/>
                <w:b/>
                <w:bCs/>
                <w:color w:val="auto"/>
                <w:szCs w:val="21"/>
                <w:highlight w:val="none"/>
              </w:rPr>
              <w:t>（除自然人竞标外必须提供，否则响应文件按无效响应处理）</w:t>
            </w:r>
          </w:p>
          <w:p w14:paraId="64583C06">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授权委托书及委托代理人有效身份证正反面扫描件（格式后附）；</w:t>
            </w:r>
            <w:r>
              <w:rPr>
                <w:rFonts w:hint="eastAsia" w:ascii="宋体" w:hAnsi="宋体" w:cs="宋体"/>
                <w:b/>
                <w:bCs/>
                <w:color w:val="auto"/>
                <w:szCs w:val="21"/>
                <w:highlight w:val="none"/>
              </w:rPr>
              <w:t>（委托时必须提供，否则响应文件按无效响应处理）</w:t>
            </w:r>
          </w:p>
          <w:p w14:paraId="570FA7E8">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磋商</w:t>
            </w:r>
            <w:r>
              <w:rPr>
                <w:rFonts w:hint="eastAsia" w:ascii="宋体" w:hAnsi="宋体" w:cs="宋体"/>
                <w:color w:val="auto"/>
                <w:szCs w:val="21"/>
                <w:highlight w:val="none"/>
              </w:rPr>
              <w:t>保证金缴纳凭证；</w:t>
            </w:r>
            <w:r>
              <w:rPr>
                <w:rFonts w:hint="eastAsia" w:ascii="宋体" w:hAnsi="宋体" w:cs="宋体"/>
                <w:b/>
                <w:bCs/>
                <w:color w:val="auto"/>
                <w:szCs w:val="21"/>
                <w:highlight w:val="none"/>
              </w:rPr>
              <w:t>（必须提供，否则响应文件按无效响应处理）</w:t>
            </w:r>
          </w:p>
          <w:p w14:paraId="5C709407">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拟投入人员情况表（请结合《采购需求》及《评审办法》自行编写），表后附人员的相关证书证明；</w:t>
            </w:r>
            <w:r>
              <w:rPr>
                <w:rFonts w:hint="eastAsia" w:ascii="宋体" w:hAnsi="宋体" w:cs="宋体"/>
                <w:b/>
                <w:bCs/>
                <w:color w:val="auto"/>
                <w:szCs w:val="21"/>
                <w:highlight w:val="none"/>
              </w:rPr>
              <w:t>（必须提供，否则响应文件按无效响应处理）</w:t>
            </w:r>
          </w:p>
          <w:p w14:paraId="6D4C8446">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供应商针对本项目采购需求制定的实施方案等（请结合《采购需求》及《评审办法》自行编写）；</w:t>
            </w:r>
            <w:r>
              <w:rPr>
                <w:rFonts w:hint="eastAsia" w:ascii="宋体" w:hAnsi="宋体" w:cs="宋体"/>
                <w:b/>
                <w:bCs/>
                <w:color w:val="auto"/>
                <w:szCs w:val="21"/>
                <w:highlight w:val="none"/>
              </w:rPr>
              <w:t>（必须提供，否则响应文件按无效响应处理）</w:t>
            </w:r>
          </w:p>
          <w:p w14:paraId="4ECE1445">
            <w:pPr>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供应商综合实力证明材料；</w:t>
            </w:r>
          </w:p>
          <w:p w14:paraId="7A8D475E">
            <w:pPr>
              <w:widowControl/>
              <w:numPr>
                <w:ilvl w:val="0"/>
                <w:numId w:val="2"/>
              </w:numPr>
              <w:spacing w:line="360" w:lineRule="auto"/>
              <w:rPr>
                <w:rFonts w:ascii="宋体" w:hAnsi="宋体" w:cs="宋体"/>
                <w:color w:val="auto"/>
                <w:szCs w:val="21"/>
                <w:highlight w:val="none"/>
              </w:rPr>
            </w:pPr>
            <w:r>
              <w:rPr>
                <w:rFonts w:hint="eastAsia" w:ascii="宋体" w:hAnsi="宋体" w:cs="宋体"/>
                <w:color w:val="auto"/>
                <w:szCs w:val="21"/>
                <w:highlight w:val="none"/>
              </w:rPr>
              <w:t>供应商认为需要提供的其他有关资料。</w:t>
            </w:r>
          </w:p>
          <w:p w14:paraId="356105F5">
            <w:pPr>
              <w:spacing w:line="360" w:lineRule="auto"/>
              <w:rPr>
                <w:rFonts w:ascii="宋体" w:hAnsi="宋体" w:cs="宋体"/>
                <w:color w:val="auto"/>
                <w:szCs w:val="21"/>
                <w:highlight w:val="none"/>
              </w:rPr>
            </w:pPr>
            <w:r>
              <w:rPr>
                <w:rFonts w:hint="eastAsia" w:ascii="宋体" w:hAnsi="宋体" w:cs="宋体"/>
                <w:b/>
                <w:bCs/>
                <w:color w:val="auto"/>
                <w:szCs w:val="21"/>
                <w:highlight w:val="none"/>
              </w:rPr>
              <w:t>注：以上标明“必须提供”的材料属于复印件或</w:t>
            </w:r>
            <w:r>
              <w:rPr>
                <w:rFonts w:hint="eastAsia" w:ascii="宋体" w:hAnsi="宋体" w:cs="宋体"/>
                <w:b/>
                <w:bCs/>
                <w:color w:val="auto"/>
                <w:szCs w:val="21"/>
                <w:highlight w:val="none"/>
                <w:lang w:eastAsia="zh-CN"/>
              </w:rPr>
              <w:t>扫描件</w:t>
            </w:r>
            <w:r>
              <w:rPr>
                <w:rFonts w:hint="eastAsia" w:ascii="宋体" w:hAnsi="宋体" w:cs="宋体"/>
                <w:b/>
                <w:bCs/>
                <w:color w:val="auto"/>
                <w:szCs w:val="21"/>
                <w:highlight w:val="none"/>
              </w:rPr>
              <w:t xml:space="preserve">的，必须加盖供应商电子签章，否则响应文件按无效响应处理。 </w:t>
            </w:r>
          </w:p>
        </w:tc>
      </w:tr>
      <w:tr w14:paraId="2C47F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31DC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3DD7DDF7">
            <w:pPr>
              <w:spacing w:line="360" w:lineRule="auto"/>
              <w:ind w:firstLine="0" w:firstLineChars="0"/>
              <w:jc w:val="left"/>
              <w:rPr>
                <w:rFonts w:ascii="宋体" w:hAnsi="宋体" w:cs="宋体"/>
                <w:color w:val="auto"/>
                <w:szCs w:val="21"/>
                <w:highlight w:val="none"/>
              </w:rPr>
            </w:pPr>
            <w:r>
              <w:rPr>
                <w:rFonts w:hint="eastAsia" w:ascii="宋体" w:hAnsi="宋体" w:cs="宋体"/>
                <w:color w:val="auto"/>
                <w:szCs w:val="21"/>
                <w:highlight w:val="none"/>
              </w:rPr>
              <w:t>竞标报价必须包含但不限于完成本项目所有工作任务所需的一切费用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含完成合同项目过程中所需的劳务、材料、设备、仪器、运输、协调、咨询、管理、保险、税费、利润培训等费用，以及合同中约定的所有责任、义务和一般风险等的一切费用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tc>
      </w:tr>
      <w:tr w14:paraId="28C44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296CB5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7912" w:type="dxa"/>
            <w:vAlign w:val="center"/>
          </w:tcPr>
          <w:p w14:paraId="3B2F8EA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竞标有效期：自首次响应文件提交截止之日起</w:t>
            </w:r>
            <w:r>
              <w:rPr>
                <w:rFonts w:hint="eastAsia" w:ascii="宋体" w:hAnsi="宋体" w:cs="宋体"/>
                <w:color w:val="auto"/>
                <w:szCs w:val="21"/>
                <w:highlight w:val="none"/>
                <w:u w:val="single"/>
              </w:rPr>
              <w:t xml:space="preserve"> 60 </w:t>
            </w:r>
            <w:r>
              <w:rPr>
                <w:rFonts w:hint="eastAsia" w:ascii="宋体" w:hAnsi="宋体" w:cs="宋体"/>
                <w:color w:val="auto"/>
                <w:szCs w:val="21"/>
                <w:highlight w:val="none"/>
              </w:rPr>
              <w:t>日。</w:t>
            </w:r>
          </w:p>
        </w:tc>
      </w:tr>
      <w:tr w14:paraId="111AC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8DCF9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4CEF5722">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磋商保证金：人民币壹仟元整（</w:t>
            </w:r>
            <w:r>
              <w:rPr>
                <w:rFonts w:ascii="Arial" w:hAnsi="Arial" w:cs="Arial"/>
                <w:color w:val="auto"/>
                <w:szCs w:val="21"/>
                <w:highlight w:val="none"/>
              </w:rPr>
              <w:t>¥</w:t>
            </w:r>
            <w:r>
              <w:rPr>
                <w:rFonts w:hint="eastAsia" w:ascii="宋体" w:hAnsi="宋体" w:cs="宋体"/>
                <w:color w:val="auto"/>
                <w:szCs w:val="21"/>
                <w:highlight w:val="none"/>
              </w:rPr>
              <w:t>1000.00）。</w:t>
            </w:r>
          </w:p>
          <w:p w14:paraId="110D1BC8">
            <w:pPr>
              <w:spacing w:line="360" w:lineRule="auto"/>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lang w:eastAsia="zh-CN"/>
              </w:rPr>
              <w:t>可自主选择以银行转账</w:t>
            </w:r>
            <w:r>
              <w:rPr>
                <w:rFonts w:hint="eastAsia" w:ascii="宋体" w:hAnsi="宋体" w:cs="宋体"/>
                <w:color w:val="auto"/>
                <w:kern w:val="0"/>
                <w:szCs w:val="21"/>
                <w:highlight w:val="none"/>
              </w:rPr>
              <w:t>、支票、汇票、本票或者银行、保险机构出具的保函</w:t>
            </w:r>
            <w:r>
              <w:rPr>
                <w:rFonts w:hint="eastAsia" w:ascii="宋体" w:hAnsi="宋体" w:cs="宋体"/>
                <w:color w:val="auto"/>
                <w:highlight w:val="none"/>
              </w:rPr>
              <w:t>（包含电子保函）</w:t>
            </w:r>
            <w:r>
              <w:rPr>
                <w:rFonts w:hint="eastAsia" w:ascii="宋体" w:hAnsi="宋体" w:cs="宋体"/>
                <w:color w:val="auto"/>
                <w:szCs w:val="21"/>
                <w:highlight w:val="none"/>
              </w:rPr>
              <w:t>等非现金形式提交。采用银行转账、电汇形式的，磋商保证金必须从供应商银行账户转出，并于响应文件递交截止时间前到达广西城建咨询设计有限公司指定账户【开户银行：中国建设银行股份有限公司南宁民族大道东支行，收款户名：广西城建咨询设计有限公司，收款账号：4500 1604 6530 5070 3663】；采用支票、汇票、本票、保函形式的，供应商应于响应文件递交截止时间前递交单独密封的支票、汇票、本票、保函原件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否则视为无效磋商保证金。本项目不接受现金形式或从个人账户转出的保证金。</w:t>
            </w:r>
          </w:p>
          <w:p w14:paraId="4CAE1DC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相关要求：</w:t>
            </w:r>
          </w:p>
          <w:p w14:paraId="05C21A81">
            <w:pPr>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采购代理机构指定账户并且到账，供应商应将银行转账底单的扫描件作为磋商保证金提交凭证，放置于报价商务技术文件中，否则响应文件按无效响应处理。</w:t>
            </w:r>
          </w:p>
          <w:p w14:paraId="12637FF7">
            <w:pPr>
              <w:spacing w:line="360" w:lineRule="auto"/>
              <w:rPr>
                <w:rFonts w:ascii="宋体" w:hAnsi="宋体" w:cs="宋体"/>
                <w:color w:val="auto"/>
                <w:szCs w:val="21"/>
                <w:highlight w:val="none"/>
              </w:rPr>
            </w:pPr>
            <w:r>
              <w:rPr>
                <w:rFonts w:hint="eastAsia" w:ascii="宋体" w:hAnsi="宋体" w:cs="宋体"/>
                <w:color w:val="auto"/>
                <w:szCs w:val="21"/>
                <w:highlight w:val="none"/>
              </w:rPr>
              <w:t>2.磋商保证金采用支票、汇票、本票或者银行、保险机构出具的保函交纳方式的，供应商应将支票、汇票、本票或者银行、保险机构出具的保函（包含电子保函）的扫描件作为磋商保证金提交凭证，放置于报价商务技术文件中，否则响应文件按无效处理。供应商必须于递交竞标文件时将支票、汇票、本票或者银行、保险机构出具的保函原件提交给采购人或者采购代理机构。</w:t>
            </w:r>
          </w:p>
          <w:p w14:paraId="57C9EB90">
            <w:pPr>
              <w:spacing w:line="360" w:lineRule="auto"/>
              <w:rPr>
                <w:rFonts w:ascii="宋体" w:hAnsi="宋体" w:cs="宋体"/>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40210871">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备注：</w:t>
            </w:r>
          </w:p>
          <w:p w14:paraId="27B0CC9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1.磋商保证金在响应文件提交截止时间后提交的，或者不按规定交纳方式交纳的，或者未足额交纳的（包含保函额度不足的），视为无效磋商保证金。</w:t>
            </w:r>
          </w:p>
          <w:p w14:paraId="028C23BB">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2.供应商采用现钞方式或者从个人账户（自然人竞标除外）转出的磋商保证金，视为无效磋商保证金。</w:t>
            </w:r>
          </w:p>
          <w:p w14:paraId="3B545A4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3.支票、汇票或者本票出现无效或者背书情形的，视为无效磋商保证金。</w:t>
            </w:r>
          </w:p>
          <w:p w14:paraId="68B0586D">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4.保函有效期少于竞标有效期的，视为无效磋商保证金。</w:t>
            </w:r>
          </w:p>
          <w:p w14:paraId="5103B8DE">
            <w:pPr>
              <w:spacing w:line="360" w:lineRule="auto"/>
              <w:rPr>
                <w:rFonts w:ascii="宋体" w:hAnsi="宋体" w:cs="宋体"/>
                <w:color w:val="auto"/>
                <w:szCs w:val="21"/>
                <w:highlight w:val="none"/>
              </w:rPr>
            </w:pPr>
            <w:r>
              <w:rPr>
                <w:rFonts w:hint="eastAsia" w:ascii="宋体" w:hAnsi="宋体" w:cs="宋体"/>
                <w:b/>
                <w:bCs/>
                <w:color w:val="auto"/>
                <w:szCs w:val="21"/>
                <w:highlight w:val="none"/>
              </w:rPr>
              <w:t>5.采用银行、保险机构出具保函的，必须为无条件保函，否则视为无效磋商保证金。</w:t>
            </w:r>
          </w:p>
        </w:tc>
      </w:tr>
      <w:tr w14:paraId="3FEB1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06D120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18.2</w:t>
            </w:r>
          </w:p>
        </w:tc>
        <w:tc>
          <w:tcPr>
            <w:tcW w:w="7912" w:type="dxa"/>
            <w:vAlign w:val="center"/>
          </w:tcPr>
          <w:p w14:paraId="34DD1DF1">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响应文件份数：电子版一份。</w:t>
            </w:r>
          </w:p>
        </w:tc>
      </w:tr>
      <w:tr w14:paraId="1F49E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71E7F8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19</w:t>
            </w:r>
          </w:p>
        </w:tc>
        <w:tc>
          <w:tcPr>
            <w:tcW w:w="7912" w:type="dxa"/>
          </w:tcPr>
          <w:p w14:paraId="52B5A153">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6146D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49BB8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tcPr>
          <w:p w14:paraId="63DBCED4">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响应文件提交起止时间：详见竞争性磋商公告。</w:t>
            </w:r>
          </w:p>
          <w:p w14:paraId="0111DA24">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响应文件提交截止时间：详见竞争性磋商公告。</w:t>
            </w:r>
          </w:p>
          <w:p w14:paraId="15E9C8C2">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52BE6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57ACC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6B57C78C">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1217A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067771A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7912" w:type="dxa"/>
            <w:vAlign w:val="center"/>
          </w:tcPr>
          <w:p w14:paraId="61AA2035">
            <w:pPr>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3902D324">
            <w:pPr>
              <w:spacing w:line="360" w:lineRule="auto"/>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01A24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BB826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28.1</w:t>
            </w:r>
          </w:p>
        </w:tc>
        <w:tc>
          <w:tcPr>
            <w:tcW w:w="7912" w:type="dxa"/>
            <w:vAlign w:val="center"/>
          </w:tcPr>
          <w:p w14:paraId="06E1BAC4">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sym w:font="Wingdings 2" w:char="0052"/>
            </w:r>
            <w:r>
              <w:rPr>
                <w:rFonts w:hint="eastAsia" w:ascii="宋体" w:hAnsi="宋体" w:cs="宋体"/>
                <w:b/>
                <w:bCs/>
                <w:color w:val="auto"/>
                <w:szCs w:val="21"/>
                <w:highlight w:val="none"/>
              </w:rPr>
              <w:t>本项目不收取履约保证金。</w:t>
            </w:r>
          </w:p>
          <w:p w14:paraId="20D2DD06">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sym w:font="Wingdings 2" w:char="00A3"/>
            </w:r>
            <w:r>
              <w:rPr>
                <w:rFonts w:hint="eastAsia" w:ascii="宋体" w:hAnsi="宋体" w:cs="宋体"/>
                <w:b/>
                <w:bCs/>
                <w:color w:val="auto"/>
                <w:szCs w:val="21"/>
                <w:highlight w:val="none"/>
              </w:rPr>
              <w:t>本项目收取履约保证金：</w:t>
            </w:r>
          </w:p>
          <w:p w14:paraId="75B19067">
            <w:pPr>
              <w:spacing w:line="360" w:lineRule="auto"/>
              <w:rPr>
                <w:rFonts w:ascii="宋体" w:hAnsi="宋体" w:cs="宋体"/>
                <w:color w:val="auto"/>
                <w:szCs w:val="21"/>
                <w:highlight w:val="none"/>
              </w:rPr>
            </w:pPr>
            <w:r>
              <w:rPr>
                <w:rFonts w:hint="eastAsia" w:ascii="宋体" w:hAnsi="宋体" w:cs="宋体"/>
                <w:b/>
                <w:bCs/>
                <w:color w:val="auto"/>
                <w:szCs w:val="21"/>
                <w:highlight w:val="none"/>
              </w:rPr>
              <w:t>履约保证金金额：</w:t>
            </w:r>
            <w:r>
              <w:rPr>
                <w:rFonts w:hint="eastAsia" w:ascii="宋体" w:hAnsi="宋体" w:cs="宋体"/>
                <w:color w:val="auto"/>
                <w:szCs w:val="21"/>
                <w:highlight w:val="none"/>
              </w:rPr>
              <w:t>按中标金额的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%【如为中型企业，按合同总金额的2%收取，如为小微企业，免收履约保证金】。</w:t>
            </w:r>
          </w:p>
          <w:p w14:paraId="537FAD03">
            <w:pPr>
              <w:spacing w:line="360" w:lineRule="auto"/>
              <w:rPr>
                <w:rFonts w:ascii="宋体" w:hAnsi="宋体" w:cs="宋体"/>
                <w:color w:val="auto"/>
                <w:szCs w:val="21"/>
                <w:highlight w:val="none"/>
              </w:rPr>
            </w:pPr>
            <w:r>
              <w:rPr>
                <w:rFonts w:hint="eastAsia" w:ascii="宋体" w:hAnsi="宋体" w:cs="宋体"/>
                <w:b/>
                <w:bCs/>
                <w:color w:val="auto"/>
                <w:szCs w:val="21"/>
                <w:highlight w:val="none"/>
              </w:rPr>
              <w:t>履约保证金提交方式：</w:t>
            </w:r>
            <w:r>
              <w:rPr>
                <w:rFonts w:hint="eastAsia" w:ascii="宋体" w:hAnsi="宋体" w:cs="宋体"/>
                <w:color w:val="auto"/>
                <w:szCs w:val="21"/>
                <w:highlight w:val="none"/>
              </w:rPr>
              <w:t>银行转账、支票、汇票、本票或者金融、担保机构出具的保函等非现金方式（参照磋商保证金）。</w:t>
            </w:r>
          </w:p>
          <w:p w14:paraId="1B2407F4">
            <w:pPr>
              <w:spacing w:line="360" w:lineRule="auto"/>
              <w:rPr>
                <w:rFonts w:ascii="宋体" w:hAnsi="宋体" w:cs="宋体"/>
                <w:color w:val="auto"/>
                <w:szCs w:val="21"/>
                <w:highlight w:val="none"/>
              </w:rPr>
            </w:pPr>
            <w:r>
              <w:rPr>
                <w:rFonts w:hint="eastAsia" w:ascii="宋体" w:hAnsi="宋体" w:cs="宋体"/>
                <w:b/>
                <w:bCs/>
                <w:color w:val="auto"/>
                <w:szCs w:val="21"/>
                <w:highlight w:val="none"/>
              </w:rPr>
              <w:t>履约保证金退付方式、时间及条件：</w:t>
            </w:r>
            <w:r>
              <w:rPr>
                <w:rFonts w:hint="eastAsia" w:ascii="宋体" w:hAnsi="宋体" w:cs="宋体"/>
                <w:color w:val="auto"/>
                <w:szCs w:val="21"/>
                <w:highlight w:val="none"/>
              </w:rPr>
              <w:t>如有，将依照招标文件第五章拟签订的合同文本约定。</w:t>
            </w:r>
          </w:p>
          <w:p w14:paraId="7537A89D">
            <w:pPr>
              <w:spacing w:line="360" w:lineRule="auto"/>
              <w:rPr>
                <w:rFonts w:ascii="宋体" w:hAnsi="宋体" w:cs="宋体"/>
                <w:color w:val="auto"/>
                <w:szCs w:val="21"/>
                <w:highlight w:val="none"/>
              </w:rPr>
            </w:pPr>
            <w:r>
              <w:rPr>
                <w:rFonts w:hint="eastAsia" w:ascii="宋体" w:hAnsi="宋体" w:cs="宋体"/>
                <w:color w:val="auto"/>
                <w:szCs w:val="21"/>
                <w:highlight w:val="none"/>
              </w:rPr>
              <w:t>如：由成交供应商向履约保证金收取单位提供《广西壮族自治区政府采购项目合同验收书》（详见附件1）及《政府采购项目履约保证金退付意见书》（详见附件2），保证金收取单位在收到合格材料后5个工作日内办理退还手续（不计利息）。</w:t>
            </w:r>
          </w:p>
          <w:p w14:paraId="1AFF7605">
            <w:pPr>
              <w:spacing w:line="360" w:lineRule="auto"/>
              <w:rPr>
                <w:rFonts w:ascii="宋体" w:hAnsi="宋体" w:cs="宋体"/>
                <w:color w:val="auto"/>
                <w:szCs w:val="21"/>
                <w:highlight w:val="none"/>
              </w:rPr>
            </w:pPr>
            <w:r>
              <w:rPr>
                <w:rFonts w:hint="eastAsia" w:ascii="宋体" w:hAnsi="宋体" w:cs="宋体"/>
                <w:b/>
                <w:bCs/>
                <w:color w:val="auto"/>
                <w:szCs w:val="21"/>
                <w:highlight w:val="none"/>
              </w:rPr>
              <w:t>履约保证金指定账户：</w:t>
            </w:r>
            <w:r>
              <w:rPr>
                <w:rFonts w:hint="eastAsia" w:ascii="宋体" w:hAnsi="宋体" w:cs="宋体"/>
                <w:color w:val="auto"/>
                <w:szCs w:val="21"/>
                <w:highlight w:val="none"/>
              </w:rPr>
              <w:t>中标后由采购人提供。</w:t>
            </w:r>
          </w:p>
          <w:p w14:paraId="18227B8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备注：</w:t>
            </w:r>
          </w:p>
          <w:p w14:paraId="68C2B4B2">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1.</w:t>
            </w:r>
            <w:bookmarkStart w:id="51" w:name="_Hlk54170335"/>
            <w:r>
              <w:rPr>
                <w:rFonts w:hint="eastAsia" w:ascii="宋体" w:hAnsi="宋体" w:cs="宋体"/>
                <w:b/>
                <w:bCs/>
                <w:color w:val="auto"/>
                <w:szCs w:val="21"/>
                <w:highlight w:val="none"/>
              </w:rPr>
              <w:t>根据《广西壮族自治区财政厅关于进一步发挥政府采购政策功能促进企业发展的通知》（桂财采〔2022〕30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51"/>
          </w:p>
          <w:p w14:paraId="64E2CB9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2.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14:paraId="0D6F880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3.采用金融、担保机构出具保函的，必须为无条件保函，否则视为未按规定提交履约保证金。</w:t>
            </w:r>
          </w:p>
          <w:p w14:paraId="07E54B78">
            <w:pPr>
              <w:spacing w:line="360" w:lineRule="auto"/>
              <w:rPr>
                <w:rFonts w:ascii="宋体" w:hAnsi="宋体" w:cs="宋体"/>
                <w:color w:val="auto"/>
                <w:szCs w:val="21"/>
                <w:highlight w:val="none"/>
              </w:rPr>
            </w:pPr>
            <w:r>
              <w:rPr>
                <w:rFonts w:hint="eastAsia" w:ascii="宋体" w:hAnsi="宋体" w:cs="宋体"/>
                <w:b/>
                <w:bCs/>
                <w:color w:val="auto"/>
                <w:szCs w:val="21"/>
                <w:highlight w:val="none"/>
              </w:rPr>
              <w:t>4.供应商为联合体的，可由联合体任意一方或者联合体各方共同提交履约保证金，视为有效履约保证金。</w:t>
            </w:r>
          </w:p>
        </w:tc>
      </w:tr>
      <w:tr w14:paraId="27A3E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49054C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29.1</w:t>
            </w:r>
          </w:p>
        </w:tc>
        <w:tc>
          <w:tcPr>
            <w:tcW w:w="7912" w:type="dxa"/>
            <w:vAlign w:val="center"/>
          </w:tcPr>
          <w:p w14:paraId="6092A9C4">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签订合同携带的证明材料：</w:t>
            </w:r>
          </w:p>
          <w:p w14:paraId="15C053AD">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12FBB97D">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2E2DE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2BEECF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7912" w:type="dxa"/>
            <w:vAlign w:val="center"/>
          </w:tcPr>
          <w:p w14:paraId="197F321C">
            <w:pPr>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190355A9">
            <w:pPr>
              <w:spacing w:line="360" w:lineRule="auto"/>
              <w:rPr>
                <w:rFonts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kern w:val="0"/>
                <w:szCs w:val="21"/>
                <w:highlight w:val="none"/>
              </w:rPr>
              <w:t>广西城建咨询设计有限公司</w:t>
            </w:r>
          </w:p>
          <w:p w14:paraId="4284CC76">
            <w:pPr>
              <w:spacing w:line="360" w:lineRule="auto"/>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kern w:val="0"/>
                <w:szCs w:val="21"/>
                <w:highlight w:val="none"/>
              </w:rPr>
              <w:t>0777-3882166</w:t>
            </w:r>
          </w:p>
          <w:p w14:paraId="63BA7B9A">
            <w:pPr>
              <w:spacing w:line="360" w:lineRule="auto"/>
              <w:rPr>
                <w:rFonts w:ascii="宋体" w:hAnsi="宋体" w:cs="宋体"/>
                <w:color w:val="auto"/>
                <w:szCs w:val="21"/>
                <w:highlight w:val="none"/>
              </w:rPr>
            </w:pPr>
            <w:r>
              <w:rPr>
                <w:rFonts w:hint="eastAsia" w:ascii="宋体" w:hAnsi="宋体" w:cs="宋体"/>
                <w:color w:val="auto"/>
                <w:szCs w:val="21"/>
                <w:highlight w:val="none"/>
              </w:rPr>
              <w:t>通讯地址：广西城建咨询设计有限公司钦州分公司（钦州市钦南区子材东大街4号阳光曼哈顿3座4楼3A07室</w:t>
            </w:r>
            <w:r>
              <w:rPr>
                <w:rFonts w:hint="eastAsia" w:ascii="宋体" w:hAnsi="宋体" w:cs="宋体"/>
                <w:color w:val="auto"/>
                <w:szCs w:val="21"/>
                <w:highlight w:val="none"/>
                <w:lang w:eastAsia="zh-CN"/>
              </w:rPr>
              <w:t>）</w:t>
            </w:r>
          </w:p>
          <w:p w14:paraId="7DE7B906">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业务时间：上午 09 时 00 分到 12 时 00 分，下午 15 时 00 分到 17 时 30 分，业务时间以外、双休日和法定节假日不办理业务。</w:t>
            </w:r>
          </w:p>
        </w:tc>
      </w:tr>
      <w:tr w14:paraId="2B4EC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26FA7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7912" w:type="dxa"/>
            <w:vAlign w:val="center"/>
          </w:tcPr>
          <w:p w14:paraId="324C679F">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投诉方式：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95465D4">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监督部门及联系方式</w:t>
            </w:r>
            <w:r>
              <w:rPr>
                <w:rFonts w:hint="eastAsia" w:ascii="宋体" w:hAnsi="宋体" w:cs="宋体"/>
                <w:color w:val="auto"/>
                <w:szCs w:val="21"/>
                <w:highlight w:val="none"/>
                <w:lang w:eastAsia="zh-CN"/>
              </w:rPr>
              <w:t>：</w:t>
            </w:r>
          </w:p>
          <w:p w14:paraId="58962372">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名称：中国—马来西亚钦州产业园区财政金融局</w:t>
            </w:r>
          </w:p>
          <w:p w14:paraId="06071069">
            <w:pP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电话：0777-5988166</w:t>
            </w:r>
          </w:p>
        </w:tc>
      </w:tr>
      <w:tr w14:paraId="40B92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EC565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32.1</w:t>
            </w:r>
          </w:p>
        </w:tc>
        <w:tc>
          <w:tcPr>
            <w:tcW w:w="7912" w:type="dxa"/>
            <w:vAlign w:val="center"/>
          </w:tcPr>
          <w:p w14:paraId="4364E114">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1.采购代理费支付方式：</w:t>
            </w:r>
          </w:p>
          <w:p w14:paraId="4E42D230">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u w:val="single"/>
              </w:rPr>
              <w:t>成交供应商</w:t>
            </w:r>
            <w:r>
              <w:rPr>
                <w:rFonts w:hint="eastAsia" w:ascii="宋体" w:hAnsi="宋体" w:cs="宋体"/>
                <w:color w:val="auto"/>
                <w:kern w:val="0"/>
                <w:szCs w:val="21"/>
                <w:highlight w:val="none"/>
              </w:rPr>
              <w:t>领取成交通知书前，一次性向采购代理机构支付。</w:t>
            </w:r>
          </w:p>
          <w:p w14:paraId="2528BC86">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2.采购代理费收取标准：</w:t>
            </w:r>
          </w:p>
          <w:p w14:paraId="12A18333">
            <w:pPr>
              <w:spacing w:line="360" w:lineRule="auto"/>
              <w:rPr>
                <w:rFonts w:ascii="宋体" w:hAnsi="宋体" w:cs="宋体"/>
                <w:color w:val="auto"/>
                <w:kern w:val="0"/>
                <w:szCs w:val="21"/>
                <w:highlight w:val="none"/>
              </w:rPr>
            </w:pPr>
            <w:r>
              <w:rPr>
                <w:rFonts w:hint="eastAsia" w:ascii="宋体" w:hAnsi="宋体" w:cs="宋体"/>
                <w:color w:val="auto"/>
                <w:szCs w:val="21"/>
                <w:highlight w:val="none"/>
                <w:lang w:val="en-US" w:eastAsia="zh-CN"/>
              </w:rPr>
              <w:t>参照</w:t>
            </w:r>
            <w:r>
              <w:rPr>
                <w:rFonts w:hint="eastAsia" w:ascii="宋体" w:hAnsi="宋体" w:cs="宋体"/>
                <w:color w:val="auto"/>
                <w:szCs w:val="21"/>
                <w:highlight w:val="none"/>
              </w:rPr>
              <w:t>《自治区住房城乡建设厅关于颁布2018年〈广西壮族自治区工程建设其他费用定额〉的通知》（桂建标〔2018〕37号）招标代理服务费市场参考费率表“服务招标”计费，其计费方法如下：采用差额定率累进法，以中标（成交）价为计算基数计取。</w:t>
            </w:r>
          </w:p>
          <w:p w14:paraId="72A1CAB7">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3.采购代理费收取银行账户</w:t>
            </w:r>
          </w:p>
          <w:p w14:paraId="7DC70028">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开户名称：广西城建咨询设计有限公司钦州分公司</w:t>
            </w:r>
          </w:p>
          <w:p w14:paraId="37DB5DF5">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开户银行：工行钦州向阳支行</w:t>
            </w:r>
          </w:p>
          <w:p w14:paraId="165EFF14">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银行账号：2115 5900 0930 0013 302</w:t>
            </w:r>
          </w:p>
        </w:tc>
      </w:tr>
      <w:tr w14:paraId="5C8CC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D9730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33.1</w:t>
            </w:r>
          </w:p>
        </w:tc>
        <w:tc>
          <w:tcPr>
            <w:tcW w:w="7912" w:type="dxa"/>
            <w:vAlign w:val="center"/>
          </w:tcPr>
          <w:p w14:paraId="1BCD17C5">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71A1F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604D2B2F">
            <w:pPr>
              <w:spacing w:line="360" w:lineRule="auto"/>
              <w:jc w:val="center"/>
              <w:rPr>
                <w:rFonts w:ascii="宋体" w:hAnsi="宋体" w:cs="宋体"/>
                <w:color w:val="auto"/>
                <w:kern w:val="0"/>
                <w:szCs w:val="21"/>
                <w:highlight w:val="none"/>
              </w:rPr>
            </w:pPr>
            <w:r>
              <w:rPr>
                <w:rFonts w:hint="eastAsia" w:ascii="宋体" w:hAnsi="宋体" w:cs="宋体"/>
                <w:color w:val="auto"/>
                <w:szCs w:val="21"/>
                <w:highlight w:val="none"/>
              </w:rPr>
              <w:t>33.2</w:t>
            </w:r>
          </w:p>
        </w:tc>
        <w:tc>
          <w:tcPr>
            <w:tcW w:w="7912" w:type="dxa"/>
            <w:vAlign w:val="center"/>
          </w:tcPr>
          <w:p w14:paraId="43E466AE">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8EC086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DCFBB01">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171E2A6">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4.自然人竞标的，磋商文件规定盖公章处由自然人摁手指指印。</w:t>
            </w:r>
          </w:p>
          <w:p w14:paraId="618945C3">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w:t>
            </w:r>
          </w:p>
        </w:tc>
      </w:tr>
      <w:tr w14:paraId="3FCD2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F395074">
            <w:pPr>
              <w:spacing w:line="360" w:lineRule="auto"/>
              <w:jc w:val="center"/>
              <w:rPr>
                <w:rFonts w:ascii="宋体" w:hAnsi="宋体" w:cs="宋体"/>
                <w:b/>
                <w:bCs/>
                <w:color w:val="auto"/>
                <w:szCs w:val="21"/>
                <w:highlight w:val="none"/>
              </w:rPr>
            </w:pPr>
          </w:p>
        </w:tc>
        <w:tc>
          <w:tcPr>
            <w:tcW w:w="7912" w:type="dxa"/>
            <w:vAlign w:val="center"/>
          </w:tcPr>
          <w:p w14:paraId="6BF07114">
            <w:pPr>
              <w:spacing w:line="360" w:lineRule="auto"/>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采购人或者采购代理机构在资格审查结束前，对供应商进行信用查询。</w:t>
            </w:r>
          </w:p>
          <w:p w14:paraId="6F7EA25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（1）查询渠道：</w:t>
            </w:r>
            <w:r>
              <w:rPr>
                <w:rFonts w:hint="eastAsia" w:ascii="宋体" w:hAnsi="宋体" w:cs="宋体"/>
                <w:color w:val="auto"/>
                <w:kern w:val="0"/>
                <w:szCs w:val="21"/>
                <w:highlight w:val="none"/>
                <w:lang w:eastAsia="zh-CN"/>
              </w:rPr>
              <w:t>“中国</w:t>
            </w:r>
            <w:r>
              <w:rPr>
                <w:rFonts w:hint="eastAsia" w:ascii="宋体" w:hAnsi="宋体" w:eastAsia="宋体" w:cs="宋体"/>
                <w:color w:val="auto"/>
                <w:kern w:val="0"/>
                <w:sz w:val="21"/>
                <w:szCs w:val="21"/>
                <w:highlight w:val="none"/>
              </w:rPr>
              <w:t>执行信息公开</w:t>
            </w:r>
            <w:r>
              <w:rPr>
                <w:rFonts w:hint="eastAsia" w:ascii="宋体" w:hAnsi="宋体" w:eastAsia="宋体" w:cs="宋体"/>
                <w:color w:val="auto"/>
                <w:kern w:val="0"/>
                <w:sz w:val="21"/>
                <w:szCs w:val="21"/>
                <w:highlight w:val="none"/>
                <w:lang w:val="en-US" w:eastAsia="zh-CN"/>
              </w:rPr>
              <w:t>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zxgk.court.gov.cn</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w:t>
            </w:r>
            <w:r>
              <w:rPr>
                <w:rFonts w:hint="eastAsia" w:ascii="宋体" w:hAnsi="宋体" w:cs="宋体"/>
                <w:color w:val="auto"/>
                <w:kern w:val="0"/>
                <w:szCs w:val="21"/>
                <w:highlight w:val="none"/>
              </w:rPr>
              <w:t>“信用中国”</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www.creditchina.gov.cn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中国政府采购网</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eastAsia="zh-CN"/>
              </w:rPr>
              <w:t>（www</w:t>
            </w:r>
            <w:r>
              <w:rPr>
                <w:rFonts w:hint="eastAsia" w:ascii="宋体" w:hAnsi="宋体" w:cs="宋体"/>
                <w:color w:val="auto"/>
                <w:kern w:val="0"/>
                <w:szCs w:val="21"/>
                <w:highlight w:val="none"/>
              </w:rPr>
              <w:t>.ccgp.gov.cn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链接入口。</w:t>
            </w:r>
          </w:p>
          <w:p w14:paraId="05EA1DF8">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（2）信用查询截止时</w:t>
            </w:r>
            <w:r>
              <w:rPr>
                <w:rFonts w:hint="eastAsia" w:ascii="宋体" w:hAnsi="宋体" w:cs="宋体"/>
                <w:color w:val="auto"/>
                <w:kern w:val="0"/>
                <w:szCs w:val="21"/>
                <w:highlight w:val="none"/>
                <w:lang w:val="en-US" w:eastAsia="zh-CN"/>
              </w:rPr>
              <w:t>间</w:t>
            </w:r>
            <w:r>
              <w:rPr>
                <w:rFonts w:hint="eastAsia" w:ascii="宋体" w:hAnsi="宋体" w:cs="宋体"/>
                <w:color w:val="auto"/>
                <w:kern w:val="0"/>
                <w:szCs w:val="21"/>
                <w:highlight w:val="none"/>
              </w:rPr>
              <w:t>：资格审查结束前。</w:t>
            </w:r>
          </w:p>
          <w:p w14:paraId="54DBA603">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（3）查询记录和证据留存方式：在查询网站中直接查询，截图另存为电子文档并打印查询结果作为评审资料保存。</w:t>
            </w:r>
          </w:p>
          <w:p w14:paraId="2964F9E2">
            <w:pPr>
              <w:spacing w:line="360" w:lineRule="auto"/>
              <w:rPr>
                <w:rFonts w:ascii="宋体" w:hAnsi="宋体" w:cs="宋体"/>
                <w:b/>
                <w:bCs/>
                <w:color w:val="auto"/>
                <w:kern w:val="0"/>
                <w:szCs w:val="21"/>
                <w:highlight w:val="none"/>
              </w:rPr>
            </w:pPr>
            <w:r>
              <w:rPr>
                <w:rFonts w:hint="eastAsia" w:ascii="宋体" w:hAnsi="宋体" w:cs="宋体"/>
                <w:color w:val="auto"/>
                <w:kern w:val="0"/>
                <w:szCs w:val="21"/>
                <w:highlight w:val="none"/>
              </w:rPr>
              <w:t>（4）信用信息使用规则：对在</w:t>
            </w:r>
            <w:r>
              <w:rPr>
                <w:rFonts w:hint="eastAsia" w:ascii="宋体" w:hAnsi="宋体" w:cs="宋体"/>
                <w:color w:val="auto"/>
                <w:kern w:val="0"/>
                <w:szCs w:val="21"/>
                <w:highlight w:val="none"/>
                <w:lang w:eastAsia="zh-CN"/>
              </w:rPr>
              <w:t>“</w:t>
            </w:r>
            <w:r>
              <w:rPr>
                <w:rFonts w:hint="eastAsia" w:ascii="宋体" w:hAnsi="宋体" w:eastAsia="宋体" w:cs="宋体"/>
                <w:color w:val="auto"/>
                <w:kern w:val="0"/>
                <w:sz w:val="21"/>
                <w:szCs w:val="21"/>
                <w:highlight w:val="none"/>
              </w:rPr>
              <w:t>中国执行信息公开</w:t>
            </w:r>
            <w:r>
              <w:rPr>
                <w:rFonts w:hint="eastAsia" w:ascii="宋体" w:hAnsi="宋体" w:eastAsia="宋体" w:cs="宋体"/>
                <w:color w:val="auto"/>
                <w:kern w:val="0"/>
                <w:sz w:val="21"/>
                <w:szCs w:val="21"/>
                <w:highlight w:val="none"/>
                <w:lang w:val="en-US" w:eastAsia="zh-CN"/>
              </w:rPr>
              <w:t>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网站（</w:t>
            </w:r>
            <w:r>
              <w:rPr>
                <w:rFonts w:hint="eastAsia" w:ascii="宋体" w:hAnsi="宋体" w:eastAsia="宋体" w:cs="宋体"/>
                <w:color w:val="auto"/>
                <w:kern w:val="0"/>
                <w:sz w:val="21"/>
                <w:szCs w:val="21"/>
                <w:highlight w:val="none"/>
              </w:rPr>
              <w:t>zxgk.court.gov.cn</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w:t>
            </w:r>
            <w:r>
              <w:rPr>
                <w:rFonts w:hint="eastAsia" w:ascii="宋体" w:hAnsi="宋体" w:cs="宋体"/>
                <w:color w:val="auto"/>
                <w:kern w:val="0"/>
                <w:szCs w:val="21"/>
                <w:highlight w:val="none"/>
              </w:rPr>
              <w:t>“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7224A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30DE9259">
            <w:pPr>
              <w:spacing w:line="360" w:lineRule="auto"/>
              <w:jc w:val="center"/>
              <w:rPr>
                <w:rFonts w:ascii="宋体" w:hAnsi="宋体" w:cs="宋体"/>
                <w:b/>
                <w:bCs/>
                <w:color w:val="auto"/>
                <w:szCs w:val="21"/>
                <w:highlight w:val="none"/>
              </w:rPr>
            </w:pPr>
          </w:p>
        </w:tc>
        <w:tc>
          <w:tcPr>
            <w:tcW w:w="7912" w:type="dxa"/>
            <w:vAlign w:val="center"/>
          </w:tcPr>
          <w:p w14:paraId="545BC784">
            <w:pPr>
              <w:spacing w:line="360" w:lineRule="auto"/>
              <w:rPr>
                <w:rFonts w:ascii="宋体" w:hAnsi="宋体" w:cs="宋体"/>
                <w:color w:val="auto"/>
                <w:szCs w:val="21"/>
                <w:highlight w:val="none"/>
              </w:rPr>
            </w:pPr>
            <w:r>
              <w:rPr>
                <w:rFonts w:hint="eastAsia" w:ascii="宋体" w:hAnsi="宋体" w:cs="宋体"/>
                <w:b/>
                <w:bCs/>
                <w:color w:val="auto"/>
                <w:szCs w:val="21"/>
                <w:highlight w:val="none"/>
              </w:rPr>
              <w:t>网上开标、电子评标：</w:t>
            </w:r>
          </w:p>
          <w:p w14:paraId="57AACF09">
            <w:pPr>
              <w:spacing w:line="360" w:lineRule="auto"/>
              <w:rPr>
                <w:rFonts w:ascii="宋体" w:hAnsi="宋体" w:cs="宋体"/>
                <w:b/>
                <w:bCs/>
                <w:color w:val="auto"/>
                <w:kern w:val="0"/>
                <w:szCs w:val="21"/>
                <w:highlight w:val="none"/>
              </w:rPr>
            </w:pPr>
            <w:r>
              <w:rPr>
                <w:rFonts w:hint="eastAsia" w:ascii="宋体" w:hAnsi="宋体" w:cs="宋体"/>
                <w:color w:val="auto"/>
                <w:kern w:val="0"/>
                <w:szCs w:val="21"/>
                <w:highlight w:val="none"/>
              </w:rPr>
              <w:t>供应商根据竞争性磋商文件要求，登录“广西政府采购云平台”，在指定时间内将电子响应文件通过CA加密后上传完成投标。开标实行网上不见面开标。到达开标时间后，采购代理机构工作人员在“广西政府采购云平台”开始网上开标，供应商在竞争性磋商文件指定解密时间内各自登录“广西政府采购云平台”进行响应文件解密，供应商全部解密完成或解密时间结束后由采购代理机构工作人员开启唱标及评标程序，供应商可在个人电脑上查看唱标信息，并等待专家评委评审，评审结束后系统</w:t>
            </w:r>
            <w:r>
              <w:rPr>
                <w:rFonts w:hint="eastAsia" w:ascii="宋体" w:hAnsi="宋体" w:cs="宋体"/>
                <w:color w:val="auto"/>
                <w:kern w:val="0"/>
                <w:szCs w:val="21"/>
                <w:highlight w:val="none"/>
                <w:lang w:eastAsia="zh-CN"/>
              </w:rPr>
              <w:t>将</w:t>
            </w:r>
            <w:r>
              <w:rPr>
                <w:rFonts w:hint="eastAsia" w:ascii="宋体" w:hAnsi="宋体" w:cs="宋体"/>
                <w:color w:val="auto"/>
                <w:kern w:val="0"/>
                <w:szCs w:val="21"/>
                <w:highlight w:val="none"/>
              </w:rPr>
              <w:t>显示评标结果。</w:t>
            </w:r>
          </w:p>
        </w:tc>
      </w:tr>
      <w:tr w14:paraId="2403A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7246EEE4">
            <w:pPr>
              <w:spacing w:line="360" w:lineRule="auto"/>
              <w:jc w:val="center"/>
              <w:rPr>
                <w:rFonts w:ascii="宋体" w:hAnsi="宋体" w:cs="宋体"/>
                <w:color w:val="auto"/>
                <w:kern w:val="0"/>
                <w:szCs w:val="21"/>
                <w:highlight w:val="none"/>
              </w:rPr>
            </w:pPr>
          </w:p>
        </w:tc>
        <w:tc>
          <w:tcPr>
            <w:tcW w:w="7912" w:type="dxa"/>
            <w:vAlign w:val="center"/>
          </w:tcPr>
          <w:p w14:paraId="0492092C">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1.★本项目采购标的需执行的国家相关标准、行业标准、地方标准或其他强制性标准、规范等要求：无。（列明相应的标准和规范名称及文号或编号，若无则写“无”）</w:t>
            </w:r>
          </w:p>
          <w:p w14:paraId="7B9C1F6C">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2.依据《政府采购促进中小企业发展管理办法》规定享受扶持政策获得政府采购合同的，小微企业不得将合同分包给大中型企业，中型企业不得将合同分包给大型企业。</w:t>
            </w:r>
          </w:p>
        </w:tc>
      </w:tr>
      <w:tr w14:paraId="2F3ED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09B7C6E1">
            <w:pPr>
              <w:spacing w:line="360" w:lineRule="auto"/>
              <w:jc w:val="center"/>
              <w:rPr>
                <w:rFonts w:ascii="宋体" w:hAnsi="宋体" w:cs="宋体"/>
                <w:color w:val="auto"/>
                <w:kern w:val="0"/>
                <w:szCs w:val="21"/>
                <w:highlight w:val="none"/>
              </w:rPr>
            </w:pPr>
          </w:p>
        </w:tc>
        <w:tc>
          <w:tcPr>
            <w:tcW w:w="7912" w:type="dxa"/>
            <w:vAlign w:val="center"/>
          </w:tcPr>
          <w:p w14:paraId="09508C4D">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广西线上“政采贷”政策告知函</w:t>
            </w:r>
          </w:p>
          <w:p w14:paraId="38C77B9F">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各供应商：</w:t>
            </w:r>
          </w:p>
          <w:p w14:paraId="5395586D">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欢迎贵公司参与广西政府采购活动！</w:t>
            </w:r>
          </w:p>
          <w:p w14:paraId="6CD18FEA">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南宁银发〔2021〕258号</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，按照双方自愿的原则提供便捷、优惠的贷款服务。</w:t>
            </w:r>
          </w:p>
          <w:p w14:paraId="008C81D9">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相关金融产品和银行业金融机构联系方式，可在中征应收账款融资服务平台查询</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网址：https://www.crcrfsp.com/，客服电话：400-009-0001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r>
    </w:tbl>
    <w:p w14:paraId="76B267FB">
      <w:pPr>
        <w:autoSpaceDE w:val="0"/>
        <w:spacing w:line="360" w:lineRule="auto"/>
        <w:jc w:val="center"/>
        <w:outlineLvl w:val="1"/>
        <w:rPr>
          <w:rFonts w:ascii="宋体" w:hAnsi="宋体" w:cs="宋体"/>
          <w:b/>
          <w:color w:val="auto"/>
          <w:sz w:val="32"/>
          <w:szCs w:val="32"/>
          <w:highlight w:val="none"/>
        </w:rPr>
      </w:pPr>
      <w:r>
        <w:rPr>
          <w:rFonts w:hint="eastAsia" w:ascii="宋体" w:hAnsi="宋体" w:cs="宋体"/>
          <w:b/>
          <w:color w:val="auto"/>
          <w:sz w:val="32"/>
          <w:szCs w:val="32"/>
          <w:highlight w:val="none"/>
        </w:rPr>
        <w:br w:type="page"/>
      </w:r>
      <w:bookmarkStart w:id="52" w:name="_Toc24687"/>
      <w:bookmarkStart w:id="53" w:name="_Toc17395"/>
      <w:r>
        <w:rPr>
          <w:rFonts w:hint="eastAsia" w:ascii="宋体" w:hAnsi="宋体" w:cs="宋体"/>
          <w:b/>
          <w:color w:val="auto"/>
          <w:sz w:val="28"/>
          <w:szCs w:val="28"/>
          <w:highlight w:val="none"/>
          <w:lang w:bidi="ar"/>
        </w:rPr>
        <w:t>供应商须知正文</w:t>
      </w:r>
      <w:bookmarkEnd w:id="52"/>
      <w:bookmarkEnd w:id="53"/>
    </w:p>
    <w:p w14:paraId="2841C7D3">
      <w:pPr>
        <w:autoSpaceDE w:val="0"/>
        <w:spacing w:line="360" w:lineRule="auto"/>
        <w:jc w:val="center"/>
        <w:outlineLvl w:val="1"/>
        <w:rPr>
          <w:rFonts w:ascii="宋体" w:hAnsi="宋体" w:cs="宋体"/>
          <w:b/>
          <w:color w:val="auto"/>
          <w:sz w:val="28"/>
          <w:szCs w:val="28"/>
          <w:highlight w:val="none"/>
        </w:rPr>
      </w:pPr>
      <w:bookmarkStart w:id="54" w:name="_Toc3248"/>
      <w:bookmarkStart w:id="55" w:name="_Toc14956"/>
      <w:r>
        <w:rPr>
          <w:rFonts w:hint="eastAsia" w:ascii="宋体" w:hAnsi="宋体" w:cs="宋体"/>
          <w:b/>
          <w:color w:val="auto"/>
          <w:sz w:val="28"/>
          <w:szCs w:val="28"/>
          <w:highlight w:val="none"/>
          <w:lang w:bidi="ar"/>
        </w:rPr>
        <w:t>一、总则</w:t>
      </w:r>
      <w:bookmarkEnd w:id="54"/>
      <w:bookmarkEnd w:id="55"/>
    </w:p>
    <w:p w14:paraId="4DDD11DB">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 适用范围</w:t>
      </w:r>
    </w:p>
    <w:p w14:paraId="4E0DC4D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1.1 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8C81FA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1.2 本竞争性磋商文件（以下简称磋商文件）适用于本项目的所有采购程序和环节（</w:t>
      </w:r>
      <w:r>
        <w:rPr>
          <w:rFonts w:hint="eastAsia" w:ascii="宋体" w:hAnsi="宋体" w:cs="宋体"/>
          <w:color w:val="auto"/>
          <w:szCs w:val="21"/>
          <w:highlight w:val="none"/>
          <w:lang w:eastAsia="zh-CN" w:bidi="ar"/>
        </w:rPr>
        <w:t>法律法规</w:t>
      </w:r>
      <w:r>
        <w:rPr>
          <w:rFonts w:hint="eastAsia" w:ascii="宋体" w:hAnsi="宋体" w:cs="宋体"/>
          <w:color w:val="auto"/>
          <w:szCs w:val="21"/>
          <w:highlight w:val="none"/>
          <w:lang w:bidi="ar"/>
        </w:rPr>
        <w:t>另有规定的，从其规定）。</w:t>
      </w:r>
    </w:p>
    <w:p w14:paraId="2354542A">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 定义</w:t>
      </w:r>
    </w:p>
    <w:p w14:paraId="1D6AC19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 “采购人”是指依法进行政府采购的国家机关、事业单位、团体组织。</w:t>
      </w:r>
    </w:p>
    <w:p w14:paraId="498AAF6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2.2 “采购代理机构”是指政府采购集中采购机构和集中采购机构以外的采购代理机构。</w:t>
      </w:r>
    </w:p>
    <w:p w14:paraId="583AC0B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2.3 “供应商”是指向采购人提供货物、工程或者服务的法人、其他组织或者自然人。</w:t>
      </w:r>
    </w:p>
    <w:p w14:paraId="1624721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2.4 “服务”是指除货物和工程以外的其他政府采购对象。</w:t>
      </w:r>
    </w:p>
    <w:p w14:paraId="35044F0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2.5 “竞标”是指供应商按照本项目竞争性磋商公告规定的方式获取磋商文件、提交响应文件并希望获得标的的行为。</w:t>
      </w:r>
    </w:p>
    <w:p w14:paraId="78711CE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 “书面形式”是指合同书、信件和数据电文（包括电报、电传、传真、电子数据交换和电子邮件）等可以有形地表现所载内容的形式。</w:t>
      </w:r>
    </w:p>
    <w:p w14:paraId="5625F87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 “响应文件”是指：供应商根据本磋商文件要求，编制包含资格证明、报价、商务技术等所有内容的文件。</w:t>
      </w:r>
    </w:p>
    <w:p w14:paraId="0C27B61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2.8 “实质性要求”是指磋商文件中已经指明不满足则响应文件按无效响应处理的条款，或者不能负偏离的条款，或者采购需求中带“▲”的条款。</w:t>
      </w:r>
    </w:p>
    <w:p w14:paraId="33BAAFC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 “正偏离”，是指响应文件对磋商文件“采购需求”中有关条款作出的响应优于条款要求并有利于采购人的情形。</w:t>
      </w:r>
    </w:p>
    <w:p w14:paraId="71B42F6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2.10 “负偏离”，是指响应文件对磋商文件“采购需求”中有关条款作出的响应不满足条款要求，导致采购人要求不能得到满足的情形。</w:t>
      </w:r>
    </w:p>
    <w:p w14:paraId="558CB7A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2.11 “允许负偏离的条款”是指采购需求中的不属于“实质性要求”的条款。</w:t>
      </w:r>
    </w:p>
    <w:p w14:paraId="268EBE4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2.12 “首次报价”是指供应商提交的首次响应文件中的报价。</w:t>
      </w:r>
    </w:p>
    <w:p w14:paraId="3EB314B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2.13 “评审价”是指供应商提交的最后报价并经修正（如有）和政策功能价格扣除（如有）后的价格。</w:t>
      </w:r>
    </w:p>
    <w:p w14:paraId="7C3F929F">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 供应商的资格条件</w:t>
      </w:r>
    </w:p>
    <w:p w14:paraId="633DBAE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供应商的资格条件详见“供应商须知前附表”。</w:t>
      </w:r>
    </w:p>
    <w:p w14:paraId="4AF4051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4. 竞标费用</w:t>
      </w:r>
    </w:p>
    <w:p w14:paraId="1C5674C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供应商应承担参与本次采购活动有关的所有费用，包括但不限于获取磋商文件、勘查现场、编制和提交响应文件、参加磋商与应答、签订合同等，不论竞标结果如何，均应自行承担。</w:t>
      </w:r>
    </w:p>
    <w:p w14:paraId="003F83F6">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5. 联合体竞标</w:t>
      </w:r>
    </w:p>
    <w:p w14:paraId="078D273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5.1 本项目是否接受联合体竞标，详见“供应商须知前附表”。</w:t>
      </w:r>
    </w:p>
    <w:p w14:paraId="4B11144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5.2 如接受联合体竞标，联合体竞标要求详见“供应商须知前附表”。</w:t>
      </w:r>
    </w:p>
    <w:p w14:paraId="6121F1F7">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6. 转包与分包</w:t>
      </w:r>
    </w:p>
    <w:p w14:paraId="111B917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6.1 本项目不允许转包。</w:t>
      </w:r>
    </w:p>
    <w:p w14:paraId="46375E2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6.2 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07826C0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6.3 供应商根据磋商文件的规定和采购项目的实际情况，拟在成交后将成交项目的非主体、非关键性工作分包的，应当在响应文件中载明分包承担主体，分包承担主体应当具备相应资质条件且不得再次分包。</w:t>
      </w:r>
    </w:p>
    <w:p w14:paraId="1D72B4A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7. 特别说明</w:t>
      </w:r>
    </w:p>
    <w:p w14:paraId="2B6CF65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7.1 如果本磋商文件要求提供供应商或制造商的资格、信誉、荣誉、业绩与企业认证等材料的，资格、信誉、荣誉、业绩与企业认证等必须为供应商或者制造商所拥有或自身获得。</w:t>
      </w:r>
    </w:p>
    <w:p w14:paraId="47184DF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7.2 供应商应仔细阅读磋商文件的所有内容，按照磋商文件的要求提交响应文件，并对所提供的全部资料的真实性承担法律责任。</w:t>
      </w:r>
    </w:p>
    <w:p w14:paraId="56B7A47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7.3 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E921AD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7.4 在政府采购活动中，采购人员及相关人员与供应商有下列利害关系之一的，应当回避：</w:t>
      </w:r>
    </w:p>
    <w:p w14:paraId="6852915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（1）参加采购活动前 3 年内与供应商存在劳动关系；</w:t>
      </w:r>
    </w:p>
    <w:p w14:paraId="305F4D4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（2）参加采购活动前 3 年内担任供应商的董事、监事；</w:t>
      </w:r>
    </w:p>
    <w:p w14:paraId="1C3DED1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（3）参加采购活动前 3 年内是供应商的控股股东或者实际控制人；</w:t>
      </w:r>
    </w:p>
    <w:p w14:paraId="20AD0CD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（4）与供应商的法定代表人或者负责人有夫妻、直系血亲、三代以内旁系血亲或者近姻亲关系；</w:t>
      </w:r>
    </w:p>
    <w:p w14:paraId="46A9729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（5）与供应商有其他可能影响政府采购活动公平、公正进行的关系。</w:t>
      </w:r>
    </w:p>
    <w:p w14:paraId="010CF46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F84F43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7.5 有下列情形之一的视为供应商相互串通竞标，响应文件将被视为无效：</w:t>
      </w:r>
    </w:p>
    <w:p w14:paraId="1C049CB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（1）不同供应商的响应文件由同一单位或者个人编制；</w:t>
      </w:r>
    </w:p>
    <w:p w14:paraId="309AED2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（2）不同供应商委托同一单位或者个人办理竞标事宜；</w:t>
      </w:r>
    </w:p>
    <w:p w14:paraId="6F56447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（3）不同的供应商的响应文件载明的项目管理员为同一个人；</w:t>
      </w:r>
    </w:p>
    <w:p w14:paraId="6704DF0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（4）不同供应商的响应文件异常一致或者报价呈规律性差异；</w:t>
      </w:r>
    </w:p>
    <w:p w14:paraId="11B93B5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（5）不同供应商的响应文件相互混装；</w:t>
      </w:r>
    </w:p>
    <w:p w14:paraId="74425AB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（6）不同供应商的磋商保证金从同一单位或者个人账户转出。</w:t>
      </w:r>
    </w:p>
    <w:p w14:paraId="46211AB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7.6 供应商有下列情形之一的，属于恶意串通行为，将报同级监督管理部门：</w:t>
      </w:r>
    </w:p>
    <w:p w14:paraId="739EFAA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（1）供应商直接或者间接从采购人或者采购代理机构处获得其他供应商的相关信息并修改其响应文件；</w:t>
      </w:r>
    </w:p>
    <w:p w14:paraId="0F97C35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（2）供应商按照采购人或者采购代理机构的授意撤换、修改响应文件；</w:t>
      </w:r>
    </w:p>
    <w:p w14:paraId="1C003A9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（3）供应商之间协商报价、技术方案等响应文件或者响应文件的实质性内容；</w:t>
      </w:r>
    </w:p>
    <w:p w14:paraId="7AA91A9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（4）属于同一集团、协会、商会等组织成员的供应商按照该组织要求协同参加政府采购活动；</w:t>
      </w:r>
    </w:p>
    <w:p w14:paraId="6D73D21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（5）供应商之间事先约定一致抬高或者压低报价，或者在政府采购活动中事先约定轮流以高价位或者低价位成交，或者事先约定由某一特定供应商成交，然后再参加竞标；</w:t>
      </w:r>
    </w:p>
    <w:p w14:paraId="3461FEF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（6）供应商之间商定部分供应商放弃参加政府采购活动或者放弃成交；</w:t>
      </w:r>
    </w:p>
    <w:p w14:paraId="5E560BC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（7）供应商与采购人或者采购代理机构之间、供应商相互之间，为谋求特定供应商成交或者排斥其他供应商的其他串通行为。</w:t>
      </w:r>
    </w:p>
    <w:p w14:paraId="6AE28B2D">
      <w:pPr>
        <w:autoSpaceDE w:val="0"/>
        <w:spacing w:line="360" w:lineRule="auto"/>
        <w:ind w:firstLine="420" w:firstLineChars="200"/>
        <w:rPr>
          <w:rFonts w:ascii="宋体" w:hAnsi="宋体" w:cs="宋体"/>
          <w:color w:val="auto"/>
          <w:szCs w:val="21"/>
          <w:highlight w:val="none"/>
        </w:rPr>
      </w:pPr>
    </w:p>
    <w:p w14:paraId="6BAB2013">
      <w:pPr>
        <w:autoSpaceDE w:val="0"/>
        <w:spacing w:line="360" w:lineRule="auto"/>
        <w:jc w:val="center"/>
        <w:outlineLvl w:val="1"/>
        <w:rPr>
          <w:rFonts w:ascii="宋体" w:hAnsi="宋体" w:cs="宋体"/>
          <w:b/>
          <w:bCs/>
          <w:color w:val="auto"/>
          <w:sz w:val="32"/>
          <w:szCs w:val="32"/>
          <w:highlight w:val="none"/>
        </w:rPr>
      </w:pPr>
      <w:bookmarkStart w:id="56" w:name="_Toc30955"/>
      <w:bookmarkStart w:id="57" w:name="_Toc13792"/>
      <w:r>
        <w:rPr>
          <w:rFonts w:hint="eastAsia" w:ascii="宋体" w:hAnsi="宋体" w:cs="宋体"/>
          <w:b/>
          <w:bCs/>
          <w:color w:val="auto"/>
          <w:sz w:val="32"/>
          <w:szCs w:val="32"/>
          <w:highlight w:val="none"/>
          <w:lang w:bidi="ar"/>
        </w:rPr>
        <w:t>二、磋商文件</w:t>
      </w:r>
      <w:bookmarkEnd w:id="56"/>
      <w:bookmarkEnd w:id="57"/>
    </w:p>
    <w:p w14:paraId="3121466C">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8. 磋商文件的构成</w:t>
      </w:r>
    </w:p>
    <w:p w14:paraId="0EB62A6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（1）竞争性磋商公告/竞标邀请函；</w:t>
      </w:r>
    </w:p>
    <w:p w14:paraId="735603E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（2）供应商须知；</w:t>
      </w:r>
    </w:p>
    <w:p w14:paraId="7D166B9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（3）采购需求；</w:t>
      </w:r>
    </w:p>
    <w:p w14:paraId="743BC84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（4）评审程序、评审方法和评审标准；</w:t>
      </w:r>
    </w:p>
    <w:p w14:paraId="0982F63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（5）响应文件格式；</w:t>
      </w:r>
    </w:p>
    <w:p w14:paraId="2C3D51DA">
      <w:pPr>
        <w:autoSpaceDE w:val="0"/>
        <w:spacing w:line="360" w:lineRule="auto"/>
        <w:ind w:firstLine="420" w:firstLineChars="200"/>
        <w:rPr>
          <w:rFonts w:hint="eastAsia" w:ascii="宋体" w:hAnsi="宋体" w:cs="宋体"/>
          <w:color w:val="auto"/>
          <w:szCs w:val="21"/>
          <w:highlight w:val="none"/>
          <w:lang w:eastAsia="zh-CN" w:bidi="ar"/>
        </w:rPr>
      </w:pPr>
      <w:r>
        <w:rPr>
          <w:rFonts w:hint="eastAsia" w:ascii="宋体" w:hAnsi="宋体" w:cs="宋体"/>
          <w:color w:val="auto"/>
          <w:szCs w:val="21"/>
          <w:highlight w:val="none"/>
          <w:lang w:bidi="ar"/>
        </w:rPr>
        <w:t>（6）</w:t>
      </w:r>
      <w:r>
        <w:rPr>
          <w:rFonts w:hint="eastAsia" w:ascii="宋体" w:hAnsi="宋体" w:cs="宋体"/>
          <w:color w:val="auto"/>
          <w:szCs w:val="21"/>
          <w:highlight w:val="none"/>
          <w:lang w:eastAsia="zh-CN" w:bidi="ar"/>
        </w:rPr>
        <w:t>合同文本；</w:t>
      </w:r>
    </w:p>
    <w:p w14:paraId="7B076B09">
      <w:pPr>
        <w:autoSpaceDE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eastAsia="zh-CN" w:bidi="ar"/>
        </w:rPr>
        <w:t>）</w:t>
      </w:r>
      <w:r>
        <w:rPr>
          <w:rFonts w:hint="eastAsia" w:ascii="宋体" w:hAnsi="宋体" w:cs="仿宋_GB2312"/>
          <w:b w:val="0"/>
          <w:color w:val="auto"/>
          <w:highlight w:val="none"/>
        </w:rPr>
        <w:t>质疑、投诉材料格式</w:t>
      </w:r>
      <w:r>
        <w:rPr>
          <w:rFonts w:hint="eastAsia" w:ascii="宋体" w:hAnsi="宋体" w:cs="仿宋_GB2312"/>
          <w:b w:val="0"/>
          <w:color w:val="auto"/>
          <w:highlight w:val="none"/>
          <w:lang w:eastAsia="zh-CN"/>
        </w:rPr>
        <w:t>。</w:t>
      </w:r>
    </w:p>
    <w:p w14:paraId="0BA488D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9. 供应商的询问</w:t>
      </w:r>
    </w:p>
    <w:p w14:paraId="218669D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供应商应认真阅读磋商文件的采购需求，如供应商对磋商文件有疑问的，如要求采购人作出澄清或者修改的，</w:t>
      </w:r>
      <w:r>
        <w:rPr>
          <w:rFonts w:hint="eastAsia" w:ascii="宋体" w:hAnsi="宋体" w:cs="宋体"/>
          <w:color w:val="auto"/>
          <w:szCs w:val="21"/>
          <w:highlight w:val="none"/>
          <w:lang w:eastAsia="zh-CN" w:bidi="ar"/>
        </w:rPr>
        <w:t>应</w:t>
      </w:r>
      <w:r>
        <w:rPr>
          <w:rFonts w:hint="eastAsia" w:ascii="宋体" w:hAnsi="宋体" w:cs="宋体"/>
          <w:color w:val="auto"/>
          <w:szCs w:val="21"/>
          <w:highlight w:val="none"/>
          <w:lang w:bidi="ar"/>
        </w:rPr>
        <w:t>尽可能在提交首次响应文件截止之日前，以书面形式向采购人、采购代理机构提出。</w:t>
      </w:r>
    </w:p>
    <w:p w14:paraId="3F971BD1">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10. 磋商文件的澄清和修改</w:t>
      </w:r>
    </w:p>
    <w:p w14:paraId="6DBAE41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 3 个工作日前，以书面形式通知所有获取磋商文件的供应商，不足 3 个工作日的，应当顺延提交首次响应文件截止之日。</w:t>
      </w:r>
    </w:p>
    <w:p w14:paraId="5E0065DC">
      <w:pPr>
        <w:autoSpaceDE w:val="0"/>
        <w:spacing w:line="360" w:lineRule="auto"/>
        <w:ind w:firstLine="420" w:firstLineChars="200"/>
        <w:rPr>
          <w:rFonts w:ascii="宋体" w:hAnsi="宋体" w:cs="宋体"/>
          <w:color w:val="auto"/>
          <w:szCs w:val="21"/>
          <w:highlight w:val="none"/>
        </w:rPr>
      </w:pPr>
    </w:p>
    <w:p w14:paraId="13FD541B">
      <w:pPr>
        <w:autoSpaceDE w:val="0"/>
        <w:spacing w:line="360" w:lineRule="auto"/>
        <w:jc w:val="center"/>
        <w:outlineLvl w:val="1"/>
        <w:rPr>
          <w:rFonts w:ascii="宋体" w:hAnsi="宋体" w:cs="宋体"/>
          <w:b/>
          <w:bCs/>
          <w:color w:val="auto"/>
          <w:szCs w:val="21"/>
          <w:highlight w:val="none"/>
        </w:rPr>
      </w:pPr>
      <w:bookmarkStart w:id="58" w:name="_Toc27992"/>
      <w:bookmarkStart w:id="59" w:name="_Toc25521"/>
      <w:r>
        <w:rPr>
          <w:rFonts w:hint="eastAsia" w:ascii="宋体" w:hAnsi="宋体" w:cs="宋体"/>
          <w:b/>
          <w:bCs/>
          <w:color w:val="auto"/>
          <w:sz w:val="32"/>
          <w:szCs w:val="32"/>
          <w:highlight w:val="none"/>
          <w:lang w:bidi="ar"/>
        </w:rPr>
        <w:t>三、响应文件的编制</w:t>
      </w:r>
      <w:bookmarkEnd w:id="58"/>
      <w:bookmarkEnd w:id="59"/>
    </w:p>
    <w:p w14:paraId="45814726">
      <w:pPr>
        <w:autoSpaceDE w:val="0"/>
        <w:spacing w:line="360" w:lineRule="auto"/>
        <w:ind w:left="420" w:leftChars="200"/>
        <w:rPr>
          <w:rFonts w:ascii="宋体" w:hAnsi="宋体" w:cs="宋体"/>
          <w:color w:val="auto"/>
          <w:szCs w:val="21"/>
          <w:highlight w:val="none"/>
        </w:rPr>
      </w:pPr>
      <w:r>
        <w:rPr>
          <w:rFonts w:hint="eastAsia" w:ascii="宋体" w:hAnsi="宋体" w:cs="宋体"/>
          <w:b/>
          <w:bCs/>
          <w:color w:val="auto"/>
          <w:sz w:val="24"/>
          <w:highlight w:val="none"/>
          <w:lang w:bidi="ar"/>
        </w:rPr>
        <w:t>11. 响应文件的编制原则</w:t>
      </w:r>
    </w:p>
    <w:p w14:paraId="03E5B38E">
      <w:pPr>
        <w:autoSpaceDE w:val="0"/>
        <w:spacing w:line="360" w:lineRule="auto"/>
        <w:ind w:firstLine="420" w:firstLineChars="200"/>
        <w:rPr>
          <w:rFonts w:ascii="宋体" w:hAnsi="宋体" w:cs="宋体"/>
          <w:bCs/>
          <w:color w:val="auto"/>
          <w:szCs w:val="21"/>
          <w:highlight w:val="none"/>
        </w:rPr>
      </w:pPr>
      <w:r>
        <w:rPr>
          <w:rStyle w:val="92"/>
          <w:rFonts w:hint="eastAsia" w:ascii="宋体" w:hAnsi="宋体" w:cs="宋体"/>
          <w:bCs/>
          <w:color w:val="auto"/>
          <w:szCs w:val="21"/>
          <w:highlight w:val="none"/>
          <w:lang w:bidi="ar"/>
        </w:rPr>
        <w:t>供应商必须按照磋商文件的要求编制响应文件，并对其提交的响应文件的真实性、合法性承担法律责任。响应文件必须对磋商文件作出实质性响应。</w:t>
      </w:r>
    </w:p>
    <w:p w14:paraId="4E060C64">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12. 响应文件的组成</w:t>
      </w:r>
    </w:p>
    <w:p w14:paraId="107EFCF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12.1 电子响应文件由资格证明文件、报价商务技术文件两部分组成。</w:t>
      </w:r>
    </w:p>
    <w:p w14:paraId="5A8C1EF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12.1.1 资格证明文件：详见须知前附表</w:t>
      </w:r>
    </w:p>
    <w:p w14:paraId="76AC123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12.1.2 报价商务技术文件：详见须知前附表</w:t>
      </w:r>
    </w:p>
    <w:p w14:paraId="710D0551">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13. 计量单位</w:t>
      </w:r>
    </w:p>
    <w:p w14:paraId="4148188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磋商文件已有明确规定的，使用磋商文件规定的计量单位；磋商文件没有规定的，应采用中华人民共和国法定计量单位，货币种类为人民币，否则视同未响应。</w:t>
      </w:r>
    </w:p>
    <w:p w14:paraId="55501F1F">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14. 竞标的风险</w:t>
      </w:r>
    </w:p>
    <w:p w14:paraId="4309A3F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供应商没有按照磋商文件要求提供全部资料，或者供应商没有对磋商文件在各方面作出实质性响应可能导致其响应无效，是供应商应当考虑的风险。</w:t>
      </w:r>
    </w:p>
    <w:p w14:paraId="670CDC7C">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15. 竞标报价要求和构成</w:t>
      </w:r>
    </w:p>
    <w:p w14:paraId="4ACD453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15.1 竞标报价应按磋商文件中“竞标报价表”格式填写。</w:t>
      </w:r>
    </w:p>
    <w:p w14:paraId="5C0DEBA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15.2 竞标报价的价格构成见“供应商须知前附表”。</w:t>
      </w:r>
    </w:p>
    <w:p w14:paraId="6D3CFB4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15.3 竞标报价要求</w:t>
      </w:r>
    </w:p>
    <w:p w14:paraId="627960C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15.3.1 供应商的竞标报价应符合以下要求，否则响应文件按无效响应处理：</w:t>
      </w:r>
    </w:p>
    <w:p w14:paraId="7DB0452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（1）供应商必须就“采购需求”中所竞标的每个分标的全部内容分别作完整唯一总价报价，不得存在漏项报价；</w:t>
      </w:r>
    </w:p>
    <w:p w14:paraId="74C07D2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（2）供应商必须就所竞标的分标的单项内容作唯一报价。</w:t>
      </w:r>
    </w:p>
    <w:p w14:paraId="3C7E2D2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15.3.2 竞标报价（包含首次报价、最后报价）超过所竞标分标规定的采购预算金额或者最高限价的，其电子响应文件将作无效处理。</w:t>
      </w:r>
    </w:p>
    <w:p w14:paraId="5A53F61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15.3.3 竞标报价（包含首次报价、最后报价）超过分项采购预算金额或者最高限价的，其电子响应文件将作无效处理。</w:t>
      </w:r>
    </w:p>
    <w:p w14:paraId="1A9BE803">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16. 竞标有效期</w:t>
      </w:r>
    </w:p>
    <w:p w14:paraId="5935921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16.1 竞标有效期是指为保证采购人有足够的时间在提交响应文件后完成评审、确定成交供应商、合同签订等工作而要求供应商提交的响应文件在一定时间内保持有效的期限。</w:t>
      </w:r>
    </w:p>
    <w:p w14:paraId="540323C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16.2 竞标有效期应由供应商按“供应商须知前附表”规定的期限作出响应。</w:t>
      </w:r>
    </w:p>
    <w:p w14:paraId="0AF19F3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16.3 供应商的响应文件在竞标有效期内均保持有效。</w:t>
      </w:r>
    </w:p>
    <w:p w14:paraId="73F1AEDB">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17. 磋商保证金</w:t>
      </w:r>
    </w:p>
    <w:p w14:paraId="59CAB10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17.1 供应商须按“供应商须知前附表”的规定提交磋商保证金。</w:t>
      </w:r>
    </w:p>
    <w:p w14:paraId="676527F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17.2 磋商保证金的退还</w:t>
      </w:r>
    </w:p>
    <w:p w14:paraId="62EB5A8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17.2.1 未</w:t>
      </w:r>
      <w:r>
        <w:rPr>
          <w:rFonts w:hint="eastAsia" w:ascii="宋体" w:hAnsi="宋体" w:cs="宋体"/>
          <w:color w:val="auto"/>
          <w:spacing w:val="-6"/>
          <w:szCs w:val="21"/>
          <w:highlight w:val="none"/>
          <w:lang w:bidi="ar"/>
        </w:rPr>
        <w:t>成交供应商的磋商保证金自成交通知书发出之日起5个工作日内退还，退还方式如下：</w:t>
      </w:r>
    </w:p>
    <w:p w14:paraId="21E63799">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（1）采用银行转账方式的，以转账方式退回到供应商银行账户。</w:t>
      </w:r>
    </w:p>
    <w:p w14:paraId="70BDD4AB">
      <w:pPr>
        <w:pStyle w:val="27"/>
        <w:autoSpaceDE w:val="0"/>
        <w:spacing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（2）采用支票、汇票、本票或者金融、担保机构出具的保函方式的，由供应商代表持相关授权证明材料至采购人或者采购代理机构办理支票、汇票、本票或者金融、担保机构出具的保函原件退还手续。</w:t>
      </w:r>
    </w:p>
    <w:p w14:paraId="680675E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17.2.2 成交供应商的磋商保证金自政府采购合同签订之日起5个工作日内退还，退还方式同未成交供应商的磋商保证金的退还方式。</w:t>
      </w:r>
    </w:p>
    <w:p w14:paraId="4BADE52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17.3 磋商保证金不计息。</w:t>
      </w:r>
    </w:p>
    <w:p w14:paraId="6C95829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17.4 供应商有下列情形之一的，磋商保证金将不予退还：</w:t>
      </w:r>
    </w:p>
    <w:p w14:paraId="4371AED5">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（1）供应商在提交响应文件截止时间后撤回响应文件的；</w:t>
      </w:r>
    </w:p>
    <w:p w14:paraId="55771F05">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（2）未按规定提交履约保证金的；</w:t>
      </w:r>
    </w:p>
    <w:p w14:paraId="26CCA319">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（3）供应商在响应文件中提供虚假材料的；</w:t>
      </w:r>
    </w:p>
    <w:p w14:paraId="752A1BFE">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（4）除因不可抗力或者磋商文件认可的情形以外，成交供应商不与采购人签订合同的；</w:t>
      </w:r>
    </w:p>
    <w:p w14:paraId="6164048E">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（5）供应商与采购人、其他供应商或者采购代理机构恶意串通的；</w:t>
      </w:r>
    </w:p>
    <w:p w14:paraId="3C849302">
      <w:pPr>
        <w:widowControl/>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（6）法律法规规定的其他情形。</w:t>
      </w:r>
    </w:p>
    <w:p w14:paraId="5CB07C16">
      <w:pPr>
        <w:widowControl/>
        <w:autoSpaceDE w:val="0"/>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lang w:bidi="ar"/>
        </w:rPr>
        <w:t>18. 电子响应文件编制的要求</w:t>
      </w:r>
    </w:p>
    <w:p w14:paraId="27CD437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18.1 供应商应先安装“广西政府采购云平台电子交易客户端”（请自行前往“广西政府采购云平台”进行下载），并按照本项目磋商文件规定的格式</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顺序和“广西政府采购云平台”的要求编制并加密。响应文件内容不完整、编排混乱导致响应文件被误读、漏读或者查找不到相关内容的，由此引发的后果由供应商承担。</w:t>
      </w:r>
    </w:p>
    <w:p w14:paraId="7CBC660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18.2 为确保网上操作合法、有效和安全，供应商应当在提交响应文件截止时间前完成在“广西政府采购云平台”的身份认证，确保在电子竞标过程中能够对相关数据电文进行加密和使用电子签章。</w:t>
      </w:r>
    </w:p>
    <w:p w14:paraId="76EA0CF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18.3 响应文件须由供应商在规定位置签字、盖章（具体以供应商须知前附表或响应文件格式规定为准），否则按无效响应处理。</w:t>
      </w:r>
    </w:p>
    <w:p w14:paraId="16BB5FE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18.4 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5DB2E97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18.5 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258089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19. 电子备份响应文件</w:t>
      </w:r>
    </w:p>
    <w:p w14:paraId="37CFBD3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电子备份响应文件是指通过“广西政府采购云平台电子投标客户端”在线编制生成的电子备份响应文件，是否接受电子备份响应文件详见在“供应商须知前附表”。</w:t>
      </w:r>
    </w:p>
    <w:p w14:paraId="630D4F0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20. 响应文件的递交</w:t>
      </w:r>
    </w:p>
    <w:p w14:paraId="08F4732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w:t>
      </w:r>
    </w:p>
    <w:p w14:paraId="518A424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20.2 未在规定时间内提交或者未按照磋商文件要求加密的电子响应文件，“广西政府采购云平台”将拒收。</w:t>
      </w:r>
    </w:p>
    <w:p w14:paraId="115529E6">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21. 首次响应文件的补充、修改与撤回</w:t>
      </w:r>
    </w:p>
    <w:p w14:paraId="6D070E8F">
      <w:pPr>
        <w:autoSpaceDE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bidi="ar"/>
        </w:rPr>
        <w:t>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录“广西政府采购云平台”平台，进入“服务中心”中查看“电子投标文件制作与投送教程”）</w:t>
      </w:r>
    </w:p>
    <w:p w14:paraId="07DB8715">
      <w:pPr>
        <w:autoSpaceDE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bidi="ar"/>
        </w:rPr>
        <w:t>21.2 在提交响应文件截止时间前，除供应商补充、修改或者撤回响应文件外，任何单位和个人不得解密或提取响应文件。</w:t>
      </w:r>
    </w:p>
    <w:p w14:paraId="44EA949B">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22. 首次响应文件的退回</w:t>
      </w:r>
    </w:p>
    <w:p w14:paraId="2E288D8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采购人和采购代理机构对所接收的电子响应文件</w:t>
      </w:r>
      <w:r>
        <w:rPr>
          <w:rFonts w:hint="eastAsia" w:ascii="宋体" w:hAnsi="宋体" w:cs="宋体"/>
          <w:color w:val="auto"/>
          <w:szCs w:val="21"/>
          <w:highlight w:val="none"/>
          <w:lang w:eastAsia="zh-CN" w:bidi="ar"/>
        </w:rPr>
        <w:t>，除</w:t>
      </w:r>
      <w:r>
        <w:rPr>
          <w:rFonts w:hint="eastAsia" w:ascii="宋体" w:hAnsi="宋体" w:cs="宋体"/>
          <w:color w:val="auto"/>
          <w:szCs w:val="21"/>
          <w:highlight w:val="none"/>
          <w:lang w:bidi="ar"/>
        </w:rPr>
        <w:t>“第四章 评审程序、评审方法和评审标准”4.3条规定的情形外，在首次电子响应文件提交截止时间止提交电子响应文件的供应商不足3家的，应当退回供应商电子响应文件。</w:t>
      </w:r>
    </w:p>
    <w:p w14:paraId="539449D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23. 截止时间后的撤回</w:t>
      </w:r>
    </w:p>
    <w:p w14:paraId="5AAD260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供应商在首次电子响应文件提交截止时间后向采购人、采购代理机构书面申请撤回电子响应文件的，除此之外</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采购人和采购代理机构对已开启的电子响应文件概不退回。</w:t>
      </w:r>
    </w:p>
    <w:p w14:paraId="53A23C9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 xml:space="preserve"> </w:t>
      </w:r>
    </w:p>
    <w:p w14:paraId="054389CA">
      <w:pPr>
        <w:autoSpaceDE w:val="0"/>
        <w:spacing w:line="360" w:lineRule="auto"/>
        <w:jc w:val="center"/>
        <w:outlineLvl w:val="1"/>
        <w:rPr>
          <w:rFonts w:ascii="宋体" w:hAnsi="宋体" w:cs="宋体"/>
          <w:color w:val="auto"/>
          <w:szCs w:val="21"/>
          <w:highlight w:val="none"/>
        </w:rPr>
      </w:pPr>
      <w:bookmarkStart w:id="60" w:name="_Toc19883"/>
      <w:bookmarkStart w:id="61" w:name="_Toc13861"/>
      <w:r>
        <w:rPr>
          <w:rFonts w:hint="eastAsia" w:ascii="宋体" w:hAnsi="宋体" w:cs="宋体"/>
          <w:b/>
          <w:bCs/>
          <w:color w:val="auto"/>
          <w:sz w:val="32"/>
          <w:szCs w:val="32"/>
          <w:highlight w:val="none"/>
          <w:lang w:bidi="ar"/>
        </w:rPr>
        <w:t>四、评审及磋商</w:t>
      </w:r>
      <w:bookmarkEnd w:id="60"/>
      <w:bookmarkEnd w:id="61"/>
    </w:p>
    <w:p w14:paraId="7AF4C9B2">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24. 磋商小组成立</w:t>
      </w:r>
    </w:p>
    <w:p w14:paraId="2ECBF6C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24.1 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 5 人以上单数组成。</w:t>
      </w:r>
    </w:p>
    <w:p w14:paraId="4C8ED96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24.2 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 1 名法律专家。</w:t>
      </w:r>
    </w:p>
    <w:p w14:paraId="1936145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24.3 采购代理机构应当基于“广西政府采购云平台”抽（选）取评审专家。</w:t>
      </w:r>
    </w:p>
    <w:p w14:paraId="0B4F0B3D">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25. 首次响应文件的开启和解密</w:t>
      </w:r>
    </w:p>
    <w:p w14:paraId="48D706A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采购代理机构将在“供应商须知前附表”规定的时间通过电子交易平台组织响应文件开启，供应商的法定代表人或其委托代理人须携带加密时所用的 CA 锁，按平台提示和磋商文件的规定登录到“广西政府采购云平台</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电子开标大厅签到，采购代理机构依托“广西政府采购云平台</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向各供应商发出电子加密响应文件【开始解密】通知，由供应商</w:t>
      </w:r>
      <w:r>
        <w:rPr>
          <w:rFonts w:hint="eastAsia" w:ascii="宋体" w:hAnsi="宋体" w:cs="宋体"/>
          <w:color w:val="auto"/>
          <w:szCs w:val="21"/>
          <w:highlight w:val="none"/>
          <w:lang w:eastAsia="zh-CN" w:bidi="ar"/>
        </w:rPr>
        <w:t>在</w:t>
      </w:r>
      <w:r>
        <w:rPr>
          <w:rFonts w:hint="eastAsia" w:ascii="宋体" w:hAnsi="宋体" w:cs="宋体"/>
          <w:color w:val="auto"/>
          <w:szCs w:val="21"/>
          <w:highlight w:val="none"/>
          <w:lang w:bidi="ar"/>
        </w:rPr>
        <w:t>“供应商须知前附表”规定的时间内自行进行响应文件解密。</w:t>
      </w:r>
      <w:r>
        <w:rPr>
          <w:rFonts w:hint="eastAsia" w:ascii="宋体" w:hAnsi="宋体" w:cs="宋体"/>
          <w:b/>
          <w:bCs/>
          <w:color w:val="auto"/>
          <w:szCs w:val="21"/>
          <w:highlight w:val="none"/>
          <w:lang w:bidi="ar"/>
        </w:rPr>
        <w:t>供应商未在规定的时间内解密响应文件或者解密失败的，供应商的响应文件作无效处理。</w:t>
      </w:r>
    </w:p>
    <w:p w14:paraId="4DB9941C">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26. 评审程序、评审方法和评审标准</w:t>
      </w:r>
    </w:p>
    <w:p w14:paraId="31FD9D5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26.1 本项目的评审方法为综合评分法。</w:t>
      </w:r>
    </w:p>
    <w:p w14:paraId="5BA9A46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26.2 磋商小组按照“第四章 评审程序、评审方法和评审标准”规定的方法、评审因素、标准和程序对响应文件进行评审。</w:t>
      </w:r>
    </w:p>
    <w:p w14:paraId="3263EFB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26.3 商务/技术要求允许负偏离的条款数详见“供应商须知前附表”。</w:t>
      </w:r>
    </w:p>
    <w:p w14:paraId="45989A4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26.4 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BF07BC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26.5 电子交易活动的中止。采购过程中出现以下情形，导致电子交易平台无法正常运行，或者无法保证电子交易的公平、公正和安全时，采购机构可中止电子交易活动：</w:t>
      </w:r>
    </w:p>
    <w:p w14:paraId="7D9221B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（1）电子交易平台发生故障而无法登录访问的；</w:t>
      </w:r>
    </w:p>
    <w:p w14:paraId="5C3839B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（2）电子交易平台应用或数据库出现错误，不能进行正常操作的；</w:t>
      </w:r>
    </w:p>
    <w:p w14:paraId="65703C4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（3）电子交易平台发现严重安全漏洞，有潜在泄密危险的；</w:t>
      </w:r>
    </w:p>
    <w:p w14:paraId="2E01B27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（4）病毒发作导致不能进行正常操作的；</w:t>
      </w:r>
    </w:p>
    <w:p w14:paraId="22A13DA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（5）其他无法保证电子交易的公平、公正和安全的情况。</w:t>
      </w:r>
    </w:p>
    <w:p w14:paraId="66214DE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26.6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F16DD66">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27. 确定成交供应商及结果公告</w:t>
      </w:r>
    </w:p>
    <w:p w14:paraId="3A46886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27.1 采购代理机构应当在评审结束后 2 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89BAE0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 号）及《广西壮族自治区财政厅关于贯彻落实政府采购支持中小企业发展政策的通知》（桂财采〔2022〕31 号）规定的中小企业扶持政策的，采购人、采购代理机构应当随成交结果公开成交供应商的《中小企业声明函》。</w:t>
      </w:r>
    </w:p>
    <w:p w14:paraId="4D25C94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27.3 出现下列情形之一的，采购人或者采购代理机构应当终止竞争性磋商采购活动，发布项目终止公告并说明原因，重新开展采购活动：</w:t>
      </w:r>
    </w:p>
    <w:p w14:paraId="315DEFC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（1）因情况变化，不再符合规定的竞争性磋商采购方式适用情形的；</w:t>
      </w:r>
    </w:p>
    <w:p w14:paraId="6AE74E7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（2）出现影响采购公正的违法、违规行为的；</w:t>
      </w:r>
    </w:p>
    <w:p w14:paraId="6050562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（3）除“第四章 评审程序、评审方法和评审标准”第 4.3 条规定的情形外，在采购过程中符合要求的供应商或者报价未超过采购预算的供应商不足 3 家的。</w:t>
      </w:r>
    </w:p>
    <w:p w14:paraId="150DD4F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27.4 在采购活动中因重大变故，采购任务取消的，采购人或者采购代理机构应当终止采购活动，通知所有参加采购活动的供应商，并将项目实施情况和采购任务取消原因报送本级财政部门。</w:t>
      </w:r>
    </w:p>
    <w:p w14:paraId="518AF475">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28. 履约保证金（不收取履约保证金的本款不适用）</w:t>
      </w:r>
    </w:p>
    <w:p w14:paraId="78FA0DE9">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28.1 履约保证金的金额、提交方式、退付的时间和条件详见 “供应商须知前附表”。成交供应商未按规定提交履约保证金的，视为拒绝与采购人签订合同，采购人可以按照评审报告推荐的成交候选人名单排序，确定下一候选人为成交供应商，也可以重新开展政府采购活动。</w:t>
      </w:r>
    </w:p>
    <w:p w14:paraId="4D1A632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28.2 签订合同后，如成交供应商不按双方签订的合同规定履约，则没收其全部履约保证金，履约保证金不足以赔偿损失的，按实际损失赔偿。</w:t>
      </w:r>
    </w:p>
    <w:p w14:paraId="5AC2B3B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28.3 在履约保证金退还日期前，若成交供应商的开户名称、开户银行、账号有变动的，请以书面形式通知履约保证金收取单位，否则由此产生的后果由成交供应商自行承担。</w:t>
      </w:r>
    </w:p>
    <w:p w14:paraId="3892025F">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29. 签订合同</w:t>
      </w:r>
    </w:p>
    <w:p w14:paraId="79FCE8B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29.1 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14:paraId="53B678A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线下签订纸质合同：供应商领取成交通知书后，按“供应商须知前附表”规定向采购人出示相关证明材料，经采购人核验合格后方可签订合同。</w:t>
      </w:r>
    </w:p>
    <w:p w14:paraId="065CDDC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29.2 签订合同时间：按成交通知书规定的时间与采购人签订合同。</w:t>
      </w:r>
    </w:p>
    <w:p w14:paraId="209B3E7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29.3 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w:t>
      </w:r>
      <w:r>
        <w:rPr>
          <w:rFonts w:hint="eastAsia" w:ascii="宋体" w:hAnsi="宋体" w:cs="宋体"/>
          <w:color w:val="auto"/>
          <w:szCs w:val="21"/>
          <w:highlight w:val="none"/>
          <w:lang w:eastAsia="zh-CN" w:bidi="ar"/>
        </w:rPr>
        <w:t>人</w:t>
      </w:r>
      <w:r>
        <w:rPr>
          <w:rFonts w:hint="eastAsia" w:ascii="宋体" w:hAnsi="宋体" w:cs="宋体"/>
          <w:color w:val="auto"/>
          <w:szCs w:val="21"/>
          <w:highlight w:val="none"/>
          <w:lang w:bidi="ar"/>
        </w:rPr>
        <w:t>相应的法律责任。</w:t>
      </w:r>
    </w:p>
    <w:p w14:paraId="5DAF82C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29.4 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0D8EAF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29.5 采购人或成交供应商不得单方面向合同另一方提出任何磋商文件没有约定的条件或不合理的要求，作为签订合同的条件；也不得协商另行订立背离磋商文件和合同实质性内容的协议。</w:t>
      </w:r>
    </w:p>
    <w:p w14:paraId="55F1B69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29.6 如签订合同并生效后，供应商无故拒绝或延期，除按照合同条款处理外，将承担相应的法律责任。</w:t>
      </w:r>
    </w:p>
    <w:p w14:paraId="3A2587F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29.7 政府采购合同履行中，采购人需追加与合同标的相同的货物、工程或者服务的，在不改变合同其他条款的前提下，可以与供应商协商签订补充合同，但所有补充合同的采购金额不得超过原合同采购金额的10%。</w:t>
      </w:r>
    </w:p>
    <w:p w14:paraId="4D215A6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30. 政府采购合同公告</w:t>
      </w:r>
    </w:p>
    <w:p w14:paraId="2DC5A059">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根据《中华人民共和国政府采购法实施条例》第五十条规定，采购人应当自政府采购合同签订之日起 2 个工作日内，将政府采购合同在省级以上人民政府财政部门指定的媒体上公告，但政府采购合同中涉及国家秘密、商业秘密的内容除外。</w:t>
      </w:r>
    </w:p>
    <w:p w14:paraId="00FDFAC8">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31. 询问、质疑和投诉</w:t>
      </w:r>
    </w:p>
    <w:p w14:paraId="776E2FA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31.1 供应商对政府采购活动事项有疑问的，可以向采购人、采购代理机构提出询问，采购人或者采购代理机构应当在3个工作日内对供应商依法提出的询问作出答复。</w:t>
      </w:r>
    </w:p>
    <w:p w14:paraId="07A3DF5C">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31.2 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Cs w:val="21"/>
          <w:highlight w:val="none"/>
          <w:shd w:val="clear" w:color="auto" w:fill="FFFFFF"/>
          <w:lang w:bidi="ar"/>
        </w:rPr>
        <w:t>接收质疑函的方式、联系部门、联系电话和通讯地址等信息详见</w:t>
      </w:r>
      <w:r>
        <w:rPr>
          <w:rFonts w:hint="eastAsia" w:ascii="宋体" w:hAnsi="宋体" w:cs="宋体"/>
          <w:color w:val="auto"/>
          <w:szCs w:val="21"/>
          <w:highlight w:val="none"/>
          <w:lang w:bidi="ar"/>
        </w:rPr>
        <w:t>“供应商须知前附表”。具体质疑起算时间如下：</w:t>
      </w:r>
    </w:p>
    <w:p w14:paraId="4CDFBB3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（1）对可以质疑的磋商文件提出质疑的，为收到磋商文件之日或者竞争性磋商公告期限届满之日；</w:t>
      </w:r>
    </w:p>
    <w:p w14:paraId="304D921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（2）对采购过程提出质疑的，为各采购程序环节结束之日；</w:t>
      </w:r>
    </w:p>
    <w:p w14:paraId="5B87A58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（3）对成交结果提出质疑的，为成交结果公告期限届满之日。</w:t>
      </w:r>
    </w:p>
    <w:p w14:paraId="11F2A47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31.3 供应商提出的询问或者质疑超出采购人对采购代理机构委托授权范围的，采购代理机构应当告知供应商向采购人提出。政府采购评审专家应当配合采购人或者采购代理机构答复供应商的询问和质疑。</w:t>
      </w:r>
    </w:p>
    <w:p w14:paraId="35A000A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Cs w:val="21"/>
          <w:highlight w:val="none"/>
          <w:lang w:bidi="ar"/>
        </w:rPr>
        <w:t>（质疑函格式后附）</w:t>
      </w:r>
      <w:r>
        <w:rPr>
          <w:rFonts w:hint="eastAsia" w:ascii="宋体" w:hAnsi="宋体" w:cs="宋体"/>
          <w:color w:val="auto"/>
          <w:szCs w:val="21"/>
          <w:highlight w:val="none"/>
          <w:lang w:bidi="ar"/>
        </w:rPr>
        <w:t>：</w:t>
      </w:r>
    </w:p>
    <w:p w14:paraId="52F59A9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（1）供应商的姓名或者名称、地址、邮编、联系人及联系电话；</w:t>
      </w:r>
    </w:p>
    <w:p w14:paraId="480E2FC4">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（2）质疑项目的名称、编号；</w:t>
      </w:r>
    </w:p>
    <w:p w14:paraId="1BA742E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（3）具体、明确的质疑事项和与质疑事项相关的请求；</w:t>
      </w:r>
    </w:p>
    <w:p w14:paraId="11CAAAE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（4）事实依据；</w:t>
      </w:r>
    </w:p>
    <w:p w14:paraId="487901C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（5）必要的法律依据；</w:t>
      </w:r>
    </w:p>
    <w:p w14:paraId="52423AA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（6）提出质疑的日期。</w:t>
      </w:r>
    </w:p>
    <w:p w14:paraId="2C7E10D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供应商为自然人的，应当由本人签字；供应商为法人或者其他组织的，应当由法定代表人、主要负责人，或者其委托代理人签字或者盖章，并加盖公章。</w:t>
      </w:r>
    </w:p>
    <w:p w14:paraId="7E8F25C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31.5 采购人、采购代理机构认为供应商质疑不成立，或者成立但未对成交结果构成影响的，继续开展采购活动；认为供应商质疑成立且影响或者可能影响成交结果的，按照下列情况处理：</w:t>
      </w:r>
    </w:p>
    <w:p w14:paraId="19361B08">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（一）对采购文件提出的质疑，依法通过澄清或者修改可以继续开展采购活动的，澄清或者修改采购文件后继续开展采购活动；否则应当修改采购文件后重新开展采购活动。</w:t>
      </w:r>
    </w:p>
    <w:p w14:paraId="1EFF534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（二）对采购过程或者成交结果提出的质疑，合格供应商符合法定数量时，可以从合格的成交候选人中另行确定成交供应商的，应当依法另行确定成交供应商；否则应当重新开展采购活动。</w:t>
      </w:r>
    </w:p>
    <w:p w14:paraId="31D2ABFE">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质疑答复导致成交结果改变的，采购人或者采购代理机构应当将有关情况书面报告本级财政部门。</w:t>
      </w:r>
    </w:p>
    <w:p w14:paraId="6273505D">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31.6 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1F20BE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32. 其他内容</w:t>
      </w:r>
    </w:p>
    <w:p w14:paraId="36AA1EB1">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32.1 代理服务收费标准及缴费账户详见“供应商须知前附表”，供应商为联合体的，可以由联合体中的一方或者多方共同缴纳代理服务费。</w:t>
      </w:r>
    </w:p>
    <w:p w14:paraId="0A4D6279">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32.2 代理服务费收费计算标准：</w:t>
      </w:r>
    </w:p>
    <w:tbl>
      <w:tblPr>
        <w:tblStyle w:val="3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1"/>
        <w:gridCol w:w="1866"/>
        <w:gridCol w:w="1723"/>
        <w:gridCol w:w="1740"/>
      </w:tblGrid>
      <w:tr w14:paraId="7A38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op w:val="single" w:color="auto" w:sz="4" w:space="0"/>
              <w:left w:val="single" w:color="auto" w:sz="4" w:space="0"/>
              <w:bottom w:val="single" w:color="auto" w:sz="4" w:space="0"/>
              <w:right w:val="single" w:color="auto" w:sz="4" w:space="0"/>
              <w:tl2br w:val="single" w:color="auto" w:sz="4" w:space="0"/>
            </w:tcBorders>
            <w:shd w:val="clear" w:color="auto" w:fill="auto"/>
          </w:tcPr>
          <w:p w14:paraId="7CF042C2">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bidi="ar"/>
              </w:rPr>
              <w:t xml:space="preserve">                              费率</w:t>
            </w:r>
          </w:p>
          <w:p w14:paraId="398F04B5">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bidi="ar"/>
              </w:rPr>
              <w:t>金额</w:t>
            </w:r>
          </w:p>
        </w:tc>
        <w:tc>
          <w:tcPr>
            <w:tcW w:w="1009" w:type="pct"/>
            <w:tcBorders>
              <w:top w:val="single" w:color="auto" w:sz="4" w:space="0"/>
              <w:left w:val="single" w:color="auto" w:sz="4" w:space="0"/>
              <w:bottom w:val="single" w:color="auto" w:sz="4" w:space="0"/>
              <w:right w:val="single" w:color="auto" w:sz="4" w:space="0"/>
            </w:tcBorders>
            <w:shd w:val="clear" w:color="auto" w:fill="auto"/>
            <w:vAlign w:val="center"/>
          </w:tcPr>
          <w:p w14:paraId="64ECA5C9">
            <w:pPr>
              <w:autoSpaceDE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货物类</w:t>
            </w:r>
          </w:p>
        </w:tc>
        <w:tc>
          <w:tcPr>
            <w:tcW w:w="932" w:type="pct"/>
            <w:tcBorders>
              <w:top w:val="single" w:color="auto" w:sz="4" w:space="0"/>
              <w:left w:val="single" w:color="auto" w:sz="4" w:space="0"/>
              <w:bottom w:val="single" w:color="auto" w:sz="4" w:space="0"/>
              <w:right w:val="single" w:color="auto" w:sz="4" w:space="0"/>
            </w:tcBorders>
            <w:shd w:val="clear" w:color="auto" w:fill="auto"/>
            <w:vAlign w:val="center"/>
          </w:tcPr>
          <w:p w14:paraId="098B98E5">
            <w:pPr>
              <w:autoSpaceDE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服务类</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14:paraId="1C7B99E5">
            <w:pPr>
              <w:autoSpaceDE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bidi="ar"/>
              </w:rPr>
              <w:t>工程类</w:t>
            </w:r>
          </w:p>
        </w:tc>
      </w:tr>
      <w:tr w14:paraId="5E80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op w:val="single" w:color="auto" w:sz="4" w:space="0"/>
              <w:left w:val="single" w:color="auto" w:sz="4" w:space="0"/>
              <w:bottom w:val="single" w:color="auto" w:sz="4" w:space="0"/>
              <w:right w:val="single" w:color="auto" w:sz="4" w:space="0"/>
            </w:tcBorders>
            <w:shd w:val="clear" w:color="auto" w:fill="auto"/>
          </w:tcPr>
          <w:p w14:paraId="1EC3B1DB">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bidi="ar"/>
              </w:rPr>
              <w:t>100万元以下</w:t>
            </w:r>
          </w:p>
        </w:tc>
        <w:tc>
          <w:tcPr>
            <w:tcW w:w="1009" w:type="pct"/>
            <w:tcBorders>
              <w:top w:val="single" w:color="auto" w:sz="4" w:space="0"/>
              <w:left w:val="single" w:color="auto" w:sz="4" w:space="0"/>
              <w:bottom w:val="single" w:color="auto" w:sz="4" w:space="0"/>
              <w:right w:val="single" w:color="auto" w:sz="4" w:space="0"/>
            </w:tcBorders>
            <w:shd w:val="clear" w:color="auto" w:fill="auto"/>
          </w:tcPr>
          <w:p w14:paraId="7DB09AA5">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0.63</w:t>
            </w:r>
            <w:r>
              <w:rPr>
                <w:rFonts w:hint="eastAsia" w:ascii="宋体" w:hAnsi="宋体" w:cs="宋体"/>
                <w:color w:val="auto"/>
                <w:kern w:val="0"/>
                <w:szCs w:val="21"/>
                <w:highlight w:val="none"/>
                <w:lang w:bidi="ar"/>
              </w:rPr>
              <w:t>%</w:t>
            </w:r>
          </w:p>
        </w:tc>
        <w:tc>
          <w:tcPr>
            <w:tcW w:w="932" w:type="pct"/>
            <w:tcBorders>
              <w:top w:val="single" w:color="auto" w:sz="4" w:space="0"/>
              <w:left w:val="single" w:color="auto" w:sz="4" w:space="0"/>
              <w:bottom w:val="single" w:color="auto" w:sz="4" w:space="0"/>
              <w:right w:val="single" w:color="auto" w:sz="4" w:space="0"/>
            </w:tcBorders>
            <w:shd w:val="clear" w:color="auto" w:fill="auto"/>
          </w:tcPr>
          <w:p w14:paraId="385119C5">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0.945</w:t>
            </w:r>
            <w:r>
              <w:rPr>
                <w:rFonts w:hint="eastAsia" w:ascii="宋体" w:hAnsi="宋体" w:cs="宋体"/>
                <w:color w:val="auto"/>
                <w:kern w:val="0"/>
                <w:szCs w:val="21"/>
                <w:highlight w:val="none"/>
                <w:lang w:bidi="ar"/>
              </w:rPr>
              <w:t>%</w:t>
            </w:r>
          </w:p>
        </w:tc>
        <w:tc>
          <w:tcPr>
            <w:tcW w:w="941" w:type="pct"/>
            <w:tcBorders>
              <w:top w:val="single" w:color="auto" w:sz="4" w:space="0"/>
              <w:left w:val="single" w:color="auto" w:sz="4" w:space="0"/>
              <w:bottom w:val="single" w:color="auto" w:sz="4" w:space="0"/>
              <w:right w:val="single" w:color="auto" w:sz="4" w:space="0"/>
            </w:tcBorders>
            <w:shd w:val="clear" w:color="auto" w:fill="auto"/>
          </w:tcPr>
          <w:p w14:paraId="4EAD814B">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0.945</w:t>
            </w:r>
            <w:r>
              <w:rPr>
                <w:rFonts w:hint="eastAsia" w:ascii="宋体" w:hAnsi="宋体" w:cs="宋体"/>
                <w:color w:val="auto"/>
                <w:kern w:val="0"/>
                <w:szCs w:val="21"/>
                <w:highlight w:val="none"/>
                <w:lang w:bidi="ar"/>
              </w:rPr>
              <w:t>%</w:t>
            </w:r>
          </w:p>
        </w:tc>
      </w:tr>
      <w:tr w14:paraId="1E10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op w:val="single" w:color="auto" w:sz="4" w:space="0"/>
              <w:left w:val="single" w:color="auto" w:sz="4" w:space="0"/>
              <w:bottom w:val="single" w:color="auto" w:sz="4" w:space="0"/>
              <w:right w:val="single" w:color="auto" w:sz="4" w:space="0"/>
            </w:tcBorders>
            <w:shd w:val="clear" w:color="auto" w:fill="auto"/>
          </w:tcPr>
          <w:p w14:paraId="48DFE923">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eastAsia="zh-CN" w:bidi="ar"/>
              </w:rPr>
              <w:t>100万</w:t>
            </w:r>
            <w:r>
              <w:rPr>
                <w:rFonts w:hint="eastAsia" w:ascii="宋体" w:hAnsi="宋体" w:cs="宋体"/>
                <w:color w:val="auto"/>
                <w:szCs w:val="21"/>
                <w:highlight w:val="none"/>
                <w:lang w:val="en-US" w:eastAsia="zh-CN" w:bidi="ar"/>
              </w:rPr>
              <w:t>元</w:t>
            </w:r>
            <w:r>
              <w:rPr>
                <w:rFonts w:hint="eastAsia" w:ascii="宋体" w:hAnsi="宋体" w:cs="宋体"/>
                <w:color w:val="auto"/>
                <w:szCs w:val="21"/>
                <w:highlight w:val="none"/>
                <w:lang w:eastAsia="zh-CN" w:bidi="ar"/>
              </w:rPr>
              <w:t>～500万</w:t>
            </w:r>
            <w:r>
              <w:rPr>
                <w:rFonts w:hint="eastAsia" w:ascii="宋体" w:hAnsi="宋体" w:cs="宋体"/>
                <w:color w:val="auto"/>
                <w:szCs w:val="21"/>
                <w:highlight w:val="none"/>
                <w:lang w:bidi="ar"/>
              </w:rPr>
              <w:t>元</w:t>
            </w:r>
          </w:p>
        </w:tc>
        <w:tc>
          <w:tcPr>
            <w:tcW w:w="1009" w:type="pct"/>
            <w:tcBorders>
              <w:top w:val="single" w:color="auto" w:sz="4" w:space="0"/>
              <w:left w:val="single" w:color="auto" w:sz="4" w:space="0"/>
              <w:bottom w:val="single" w:color="auto" w:sz="4" w:space="0"/>
              <w:right w:val="single" w:color="auto" w:sz="4" w:space="0"/>
            </w:tcBorders>
            <w:shd w:val="clear" w:color="auto" w:fill="auto"/>
          </w:tcPr>
          <w:p w14:paraId="60F22A22">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0.441</w:t>
            </w:r>
            <w:r>
              <w:rPr>
                <w:rFonts w:hint="eastAsia" w:ascii="宋体" w:hAnsi="宋体" w:cs="宋体"/>
                <w:color w:val="auto"/>
                <w:kern w:val="0"/>
                <w:szCs w:val="21"/>
                <w:highlight w:val="none"/>
                <w:lang w:bidi="ar"/>
              </w:rPr>
              <w:t>%</w:t>
            </w:r>
          </w:p>
        </w:tc>
        <w:tc>
          <w:tcPr>
            <w:tcW w:w="932" w:type="pct"/>
            <w:tcBorders>
              <w:top w:val="single" w:color="auto" w:sz="4" w:space="0"/>
              <w:left w:val="single" w:color="auto" w:sz="4" w:space="0"/>
              <w:bottom w:val="single" w:color="auto" w:sz="4" w:space="0"/>
              <w:right w:val="single" w:color="auto" w:sz="4" w:space="0"/>
            </w:tcBorders>
            <w:shd w:val="clear" w:color="auto" w:fill="auto"/>
          </w:tcPr>
          <w:p w14:paraId="3C673F5E">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0.693</w:t>
            </w:r>
            <w:r>
              <w:rPr>
                <w:rFonts w:hint="eastAsia" w:ascii="宋体" w:hAnsi="宋体" w:cs="宋体"/>
                <w:color w:val="auto"/>
                <w:kern w:val="0"/>
                <w:szCs w:val="21"/>
                <w:highlight w:val="none"/>
                <w:lang w:bidi="ar"/>
              </w:rPr>
              <w:t>%</w:t>
            </w:r>
          </w:p>
        </w:tc>
        <w:tc>
          <w:tcPr>
            <w:tcW w:w="941" w:type="pct"/>
            <w:tcBorders>
              <w:top w:val="single" w:color="auto" w:sz="4" w:space="0"/>
              <w:left w:val="single" w:color="auto" w:sz="4" w:space="0"/>
              <w:bottom w:val="single" w:color="auto" w:sz="4" w:space="0"/>
              <w:right w:val="single" w:color="auto" w:sz="4" w:space="0"/>
            </w:tcBorders>
            <w:shd w:val="clear" w:color="auto" w:fill="auto"/>
          </w:tcPr>
          <w:p w14:paraId="2711E39B">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0.</w:t>
            </w:r>
            <w:r>
              <w:rPr>
                <w:rFonts w:hint="eastAsia" w:ascii="宋体" w:hAnsi="宋体" w:cs="宋体"/>
                <w:color w:val="auto"/>
                <w:kern w:val="0"/>
                <w:szCs w:val="21"/>
                <w:highlight w:val="none"/>
                <w:lang w:val="en-US" w:eastAsia="zh-CN" w:bidi="ar"/>
              </w:rPr>
              <w:t>504</w:t>
            </w:r>
            <w:r>
              <w:rPr>
                <w:rFonts w:hint="eastAsia" w:ascii="宋体" w:hAnsi="宋体" w:cs="宋体"/>
                <w:color w:val="auto"/>
                <w:kern w:val="0"/>
                <w:szCs w:val="21"/>
                <w:highlight w:val="none"/>
                <w:lang w:bidi="ar"/>
              </w:rPr>
              <w:t>%</w:t>
            </w:r>
          </w:p>
        </w:tc>
      </w:tr>
      <w:tr w14:paraId="5CC1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op w:val="single" w:color="auto" w:sz="4" w:space="0"/>
              <w:left w:val="single" w:color="auto" w:sz="4" w:space="0"/>
              <w:bottom w:val="single" w:color="auto" w:sz="4" w:space="0"/>
              <w:right w:val="single" w:color="auto" w:sz="4" w:space="0"/>
            </w:tcBorders>
            <w:shd w:val="clear" w:color="auto" w:fill="auto"/>
          </w:tcPr>
          <w:p w14:paraId="269BAF82">
            <w:pPr>
              <w:autoSpaceDE w:val="0"/>
              <w:spacing w:line="360" w:lineRule="auto"/>
              <w:rPr>
                <w:rFonts w:ascii="宋体" w:hAnsi="宋体" w:cs="宋体"/>
                <w:color w:val="auto"/>
                <w:szCs w:val="21"/>
                <w:highlight w:val="none"/>
              </w:rPr>
            </w:pPr>
            <w:r>
              <w:rPr>
                <w:rFonts w:hint="eastAsia" w:ascii="宋体" w:hAnsi="宋体" w:cs="宋体"/>
                <w:color w:val="auto"/>
                <w:szCs w:val="21"/>
                <w:highlight w:val="none"/>
                <w:lang w:eastAsia="zh-CN" w:bidi="ar"/>
              </w:rPr>
              <w:t>500万</w:t>
            </w:r>
            <w:r>
              <w:rPr>
                <w:rFonts w:hint="eastAsia" w:ascii="宋体" w:hAnsi="宋体" w:cs="宋体"/>
                <w:color w:val="auto"/>
                <w:szCs w:val="21"/>
                <w:highlight w:val="none"/>
                <w:lang w:val="en-US" w:eastAsia="zh-CN" w:bidi="ar"/>
              </w:rPr>
              <w:t>元</w:t>
            </w:r>
            <w:r>
              <w:rPr>
                <w:rFonts w:hint="eastAsia" w:ascii="宋体" w:hAnsi="宋体" w:cs="宋体"/>
                <w:color w:val="auto"/>
                <w:szCs w:val="21"/>
                <w:highlight w:val="none"/>
                <w:lang w:eastAsia="zh-CN" w:bidi="ar"/>
              </w:rPr>
              <w:t>～1000万</w:t>
            </w:r>
            <w:r>
              <w:rPr>
                <w:rFonts w:hint="eastAsia" w:ascii="宋体" w:hAnsi="宋体" w:cs="宋体"/>
                <w:color w:val="auto"/>
                <w:szCs w:val="21"/>
                <w:highlight w:val="none"/>
                <w:lang w:bidi="ar"/>
              </w:rPr>
              <w:t>元</w:t>
            </w:r>
          </w:p>
        </w:tc>
        <w:tc>
          <w:tcPr>
            <w:tcW w:w="1009" w:type="pct"/>
            <w:tcBorders>
              <w:top w:val="single" w:color="auto" w:sz="4" w:space="0"/>
              <w:left w:val="single" w:color="auto" w:sz="4" w:space="0"/>
              <w:bottom w:val="single" w:color="auto" w:sz="4" w:space="0"/>
              <w:right w:val="single" w:color="auto" w:sz="4" w:space="0"/>
            </w:tcBorders>
            <w:shd w:val="clear" w:color="auto" w:fill="auto"/>
          </w:tcPr>
          <w:p w14:paraId="0D69AE61">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0.3465</w:t>
            </w:r>
            <w:r>
              <w:rPr>
                <w:rFonts w:hint="eastAsia" w:ascii="宋体" w:hAnsi="宋体" w:cs="宋体"/>
                <w:color w:val="auto"/>
                <w:kern w:val="0"/>
                <w:szCs w:val="21"/>
                <w:highlight w:val="none"/>
                <w:lang w:bidi="ar"/>
              </w:rPr>
              <w:t>%</w:t>
            </w:r>
          </w:p>
        </w:tc>
        <w:tc>
          <w:tcPr>
            <w:tcW w:w="932" w:type="pct"/>
            <w:tcBorders>
              <w:top w:val="single" w:color="auto" w:sz="4" w:space="0"/>
              <w:left w:val="single" w:color="auto" w:sz="4" w:space="0"/>
              <w:bottom w:val="single" w:color="auto" w:sz="4" w:space="0"/>
              <w:right w:val="single" w:color="auto" w:sz="4" w:space="0"/>
            </w:tcBorders>
            <w:shd w:val="clear" w:color="auto" w:fill="auto"/>
          </w:tcPr>
          <w:p w14:paraId="2A45CF19">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0.</w:t>
            </w:r>
            <w:r>
              <w:rPr>
                <w:rFonts w:hint="eastAsia" w:ascii="宋体" w:hAnsi="宋体" w:cs="宋体"/>
                <w:color w:val="auto"/>
                <w:kern w:val="0"/>
                <w:szCs w:val="21"/>
                <w:highlight w:val="none"/>
                <w:lang w:val="en-US" w:eastAsia="zh-CN" w:bidi="ar"/>
              </w:rPr>
              <w:t>504</w:t>
            </w:r>
            <w:r>
              <w:rPr>
                <w:rFonts w:hint="eastAsia" w:ascii="宋体" w:hAnsi="宋体" w:cs="宋体"/>
                <w:color w:val="auto"/>
                <w:kern w:val="0"/>
                <w:szCs w:val="21"/>
                <w:highlight w:val="none"/>
                <w:lang w:bidi="ar"/>
              </w:rPr>
              <w:t>%</w:t>
            </w:r>
          </w:p>
        </w:tc>
        <w:tc>
          <w:tcPr>
            <w:tcW w:w="941" w:type="pct"/>
            <w:tcBorders>
              <w:top w:val="single" w:color="auto" w:sz="4" w:space="0"/>
              <w:left w:val="single" w:color="auto" w:sz="4" w:space="0"/>
              <w:bottom w:val="single" w:color="auto" w:sz="4" w:space="0"/>
              <w:right w:val="single" w:color="auto" w:sz="4" w:space="0"/>
            </w:tcBorders>
            <w:shd w:val="clear" w:color="auto" w:fill="auto"/>
          </w:tcPr>
          <w:p w14:paraId="30D7D33B">
            <w:pPr>
              <w:autoSpaceDE w:val="0"/>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0.</w:t>
            </w:r>
            <w:r>
              <w:rPr>
                <w:rFonts w:hint="eastAsia" w:ascii="宋体" w:hAnsi="宋体" w:cs="宋体"/>
                <w:color w:val="auto"/>
                <w:kern w:val="0"/>
                <w:szCs w:val="21"/>
                <w:highlight w:val="none"/>
                <w:lang w:val="en-US" w:eastAsia="zh-CN" w:bidi="ar"/>
              </w:rPr>
              <w:t>2835</w:t>
            </w:r>
            <w:r>
              <w:rPr>
                <w:rFonts w:hint="eastAsia" w:ascii="宋体" w:hAnsi="宋体" w:cs="宋体"/>
                <w:color w:val="auto"/>
                <w:kern w:val="0"/>
                <w:szCs w:val="21"/>
                <w:highlight w:val="none"/>
                <w:lang w:bidi="ar"/>
              </w:rPr>
              <w:t>%</w:t>
            </w:r>
          </w:p>
        </w:tc>
      </w:tr>
    </w:tbl>
    <w:p w14:paraId="708DFE1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注：</w:t>
      </w:r>
    </w:p>
    <w:p w14:paraId="7C66B53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（1）按本表费率计算的收费为采购代理的收费基准价格；</w:t>
      </w:r>
    </w:p>
    <w:p w14:paraId="6E50345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（2）采购代理收费按差额定率累进法计算。</w:t>
      </w:r>
    </w:p>
    <w:p w14:paraId="43CE39CB">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例如：某服务采购代理业务成交金额或者暂定价为150万元，计算采购代理收费额如下：</w:t>
      </w:r>
    </w:p>
    <w:p w14:paraId="68D6C0CF">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100万元×</w:t>
      </w:r>
      <w:r>
        <w:rPr>
          <w:rFonts w:hint="eastAsia" w:ascii="宋体" w:hAnsi="宋体" w:cs="宋体"/>
          <w:color w:val="auto"/>
          <w:kern w:val="0"/>
          <w:szCs w:val="21"/>
          <w:highlight w:val="none"/>
          <w:lang w:val="en-US" w:eastAsia="zh-CN" w:bidi="ar"/>
        </w:rPr>
        <w:t>0.945%</w:t>
      </w:r>
      <w:r>
        <w:rPr>
          <w:rFonts w:hint="eastAsia" w:ascii="宋体" w:hAnsi="宋体" w:cs="宋体"/>
          <w:color w:val="auto"/>
          <w:szCs w:val="21"/>
          <w:highlight w:val="none"/>
          <w:lang w:bidi="ar"/>
        </w:rPr>
        <w:t>＝</w:t>
      </w:r>
      <w:r>
        <w:rPr>
          <w:rFonts w:hint="eastAsia" w:ascii="宋体" w:hAnsi="宋体" w:cs="宋体"/>
          <w:color w:val="auto"/>
          <w:szCs w:val="21"/>
          <w:highlight w:val="none"/>
          <w:lang w:val="en-US" w:eastAsia="zh-CN" w:bidi="ar"/>
        </w:rPr>
        <w:t>0.945</w:t>
      </w:r>
      <w:r>
        <w:rPr>
          <w:rFonts w:hint="eastAsia" w:ascii="宋体" w:hAnsi="宋体" w:cs="宋体"/>
          <w:color w:val="auto"/>
          <w:szCs w:val="21"/>
          <w:highlight w:val="none"/>
          <w:lang w:bidi="ar"/>
        </w:rPr>
        <w:t>万元</w:t>
      </w:r>
    </w:p>
    <w:p w14:paraId="21562F6A">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（150－100）万元×</w:t>
      </w:r>
      <w:r>
        <w:rPr>
          <w:rFonts w:hint="eastAsia" w:ascii="宋体" w:hAnsi="宋体" w:cs="宋体"/>
          <w:color w:val="auto"/>
          <w:kern w:val="0"/>
          <w:szCs w:val="21"/>
          <w:highlight w:val="none"/>
          <w:lang w:val="en-US" w:eastAsia="zh-CN" w:bidi="ar"/>
        </w:rPr>
        <w:t>0.693%</w:t>
      </w:r>
      <w:r>
        <w:rPr>
          <w:rFonts w:hint="eastAsia" w:ascii="宋体" w:hAnsi="宋体" w:cs="宋体"/>
          <w:color w:val="auto"/>
          <w:szCs w:val="21"/>
          <w:highlight w:val="none"/>
          <w:lang w:bidi="ar"/>
        </w:rPr>
        <w:t>＝0.3465万元</w:t>
      </w:r>
    </w:p>
    <w:p w14:paraId="1EFAAF7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合计收费＝</w:t>
      </w:r>
      <w:r>
        <w:rPr>
          <w:rFonts w:hint="eastAsia" w:ascii="宋体" w:hAnsi="宋体" w:cs="宋体"/>
          <w:color w:val="auto"/>
          <w:szCs w:val="21"/>
          <w:highlight w:val="none"/>
          <w:lang w:val="en-US" w:eastAsia="zh-CN" w:bidi="ar"/>
        </w:rPr>
        <w:t>0.945</w:t>
      </w:r>
      <w:r>
        <w:rPr>
          <w:rFonts w:hint="eastAsia" w:ascii="宋体" w:hAnsi="宋体" w:cs="宋体"/>
          <w:color w:val="auto"/>
          <w:szCs w:val="21"/>
          <w:highlight w:val="none"/>
          <w:lang w:bidi="ar"/>
        </w:rPr>
        <w:t>＋0.3465＝1.2915万元</w:t>
      </w:r>
    </w:p>
    <w:p w14:paraId="63ACF51E">
      <w:pPr>
        <w:autoSpaceDE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bidi="ar"/>
        </w:rPr>
        <w:t>33. 需要补充的其他内容</w:t>
      </w:r>
    </w:p>
    <w:p w14:paraId="385E55D0">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33.1 本磋商文件解释规则详见“供应商须知前附表”。</w:t>
      </w:r>
    </w:p>
    <w:p w14:paraId="7D598CE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33.2 其他事项详见“供应商须知前附表”。</w:t>
      </w:r>
    </w:p>
    <w:p w14:paraId="7E389C75">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33.3 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A7C0742">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（1）在货物采购项目中，货物由中小企业制造，即货物由中小企业生产且使用该中小企业商号或者注册商标，不对其中涉及的工程承建商和服务的承接商作出要求；</w:t>
      </w:r>
    </w:p>
    <w:p w14:paraId="08B92426">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（2）在工程采购项目中，工程由中小企业承建，即工程施工单位为中小企业，不对其中涉及的货物的制造商和服务的承接商作出要求；</w:t>
      </w:r>
    </w:p>
    <w:p w14:paraId="6FAF0923">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（3）在服务采购项目中，服务由中小企业承接，即提供服务的人员为中小企业依照《中华人民共和国劳动合同法》订立劳动合同的从业人员，不对其中涉及的货物的制造商和工程承建商作出要求。</w:t>
      </w:r>
    </w:p>
    <w:p w14:paraId="7C4A6E67">
      <w:pPr>
        <w:autoSpaceDE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CBC5653">
      <w:pPr>
        <w:autoSpaceDE w:val="0"/>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lang w:bidi="ar"/>
        </w:rPr>
        <w:t>依据本磋商文件规定享受扶持政策获得政府采购合同的，小微企业不得将合同分包给大中型企业，中型企业不得将合同分包给大型企业。</w:t>
      </w:r>
    </w:p>
    <w:p w14:paraId="49EE8CD0">
      <w:pPr>
        <w:pStyle w:val="2"/>
        <w:spacing w:line="360" w:lineRule="auto"/>
        <w:jc w:val="center"/>
        <w:rPr>
          <w:rFonts w:ascii="宋体" w:hAnsi="宋体" w:cs="宋体"/>
          <w:color w:val="auto"/>
          <w:highlight w:val="none"/>
        </w:rPr>
      </w:pPr>
      <w:r>
        <w:rPr>
          <w:rFonts w:hint="eastAsia" w:ascii="宋体" w:hAnsi="宋体" w:cs="宋体"/>
          <w:b w:val="0"/>
          <w:color w:val="auto"/>
          <w:highlight w:val="none"/>
        </w:rPr>
        <w:br w:type="page"/>
      </w:r>
      <w:bookmarkStart w:id="62" w:name="_Toc2063"/>
      <w:bookmarkStart w:id="63" w:name="_Toc9928"/>
      <w:r>
        <w:rPr>
          <w:rFonts w:hint="eastAsia" w:ascii="宋体" w:hAnsi="宋体" w:cs="宋体"/>
          <w:color w:val="auto"/>
          <w:highlight w:val="none"/>
        </w:rPr>
        <w:t>第三章 采购需求</w:t>
      </w:r>
      <w:bookmarkEnd w:id="62"/>
      <w:bookmarkEnd w:id="63"/>
    </w:p>
    <w:p w14:paraId="51F8661A">
      <w:pPr>
        <w:spacing w:line="360" w:lineRule="auto"/>
        <w:rPr>
          <w:rFonts w:ascii="宋体" w:hAnsi="宋体" w:cs="宋体"/>
          <w:bCs/>
          <w:color w:val="auto"/>
          <w:szCs w:val="21"/>
          <w:highlight w:val="none"/>
        </w:rPr>
      </w:pPr>
      <w:r>
        <w:rPr>
          <w:rFonts w:hint="eastAsia" w:ascii="宋体" w:hAnsi="宋体" w:cs="宋体"/>
          <w:bCs/>
          <w:color w:val="auto"/>
          <w:szCs w:val="21"/>
          <w:highlight w:val="none"/>
        </w:rPr>
        <w:t>说明：</w:t>
      </w:r>
    </w:p>
    <w:p w14:paraId="2FDE333E">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1.为落实政府采购政策需满足的要求：</w:t>
      </w:r>
    </w:p>
    <w:p w14:paraId="01F12635">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（1）本采购文件所称中小企业必须符合《政府采购促进中小企业发展管理办法》（财库〔2020〕46 号）的规定。</w:t>
      </w:r>
    </w:p>
    <w:p w14:paraId="575287D1">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2.“实质性要求”是指采购需求中带“▲”的条款或不能负偏离的条款或已经指明不满足按响应文件按无效处理的条款。</w:t>
      </w:r>
    </w:p>
    <w:p w14:paraId="2130D67E">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179A8CA8">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4.对于重要技术条款或技术参数应当在响应文件中提供技术支持资料，技术支持资料以磋商文件中规定的形式为准，否则将视为无效技术支持资料。</w:t>
      </w:r>
    </w:p>
    <w:p w14:paraId="053E18AF">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5.供应商必须自行为其竞标产品侵犯他人的知识产权或者专利成果的行为承担相应法律责任。</w:t>
      </w:r>
    </w:p>
    <w:p w14:paraId="27E35705">
      <w:pPr>
        <w:tabs>
          <w:tab w:val="left" w:pos="540"/>
        </w:tabs>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6.本服务需求一览表中内容如与第五章“合同条款及格式”相关条款不一致的，以本表为准。</w:t>
      </w:r>
    </w:p>
    <w:p w14:paraId="26BA9E2D">
      <w:pPr>
        <w:spacing w:line="360" w:lineRule="auto"/>
        <w:ind w:firstLine="420" w:firstLineChars="200"/>
        <w:contextualSpacing/>
        <w:jc w:val="left"/>
        <w:rPr>
          <w:rFonts w:ascii="宋体" w:hAnsi="宋体" w:cs="宋体"/>
          <w:bCs/>
          <w:color w:val="auto"/>
          <w:szCs w:val="21"/>
          <w:highlight w:val="none"/>
        </w:rPr>
      </w:pPr>
      <w:r>
        <w:rPr>
          <w:rFonts w:hint="eastAsia" w:ascii="宋体" w:hAnsi="宋体" w:cs="宋体"/>
          <w:bCs/>
          <w:color w:val="auto"/>
          <w:szCs w:val="21"/>
          <w:highlight w:val="none"/>
        </w:rPr>
        <w:t>7.供应商应承诺响应文件中提供的证明材料和资质文件真实，如出现虚假应标情况，供应商除了应接受有关部门的处罚外，还应依据《中华人民共和国民法典》的相关条款来确定赔偿金额。</w:t>
      </w:r>
    </w:p>
    <w:p w14:paraId="424F7FA1">
      <w:pPr>
        <w:spacing w:line="360" w:lineRule="auto"/>
        <w:ind w:firstLine="422" w:firstLineChars="200"/>
        <w:contextualSpacing/>
        <w:jc w:val="left"/>
        <w:rPr>
          <w:rFonts w:ascii="宋体" w:hAnsi="宋体" w:cs="宋体"/>
          <w:b/>
          <w:color w:val="auto"/>
          <w:szCs w:val="21"/>
          <w:highlight w:val="none"/>
        </w:rPr>
      </w:pPr>
      <w:r>
        <w:rPr>
          <w:rFonts w:hint="eastAsia" w:ascii="宋体" w:hAnsi="宋体" w:cs="宋体"/>
          <w:b/>
          <w:color w:val="auto"/>
          <w:szCs w:val="21"/>
          <w:highlight w:val="none"/>
        </w:rPr>
        <w:t>8.本项目所属行业为：其他未列明行业。</w:t>
      </w:r>
    </w:p>
    <w:p w14:paraId="7F99EA62">
      <w:pPr>
        <w:spacing w:line="360" w:lineRule="auto"/>
        <w:ind w:firstLine="422" w:firstLineChars="200"/>
        <w:contextualSpacing/>
        <w:jc w:val="left"/>
        <w:rPr>
          <w:rFonts w:ascii="宋体" w:hAnsi="宋体" w:cs="宋体"/>
          <w:bCs/>
          <w:color w:val="auto"/>
          <w:szCs w:val="21"/>
          <w:highlight w:val="none"/>
        </w:rPr>
      </w:pPr>
      <w:r>
        <w:rPr>
          <w:rFonts w:hint="eastAsia" w:ascii="宋体" w:hAnsi="宋体" w:cs="宋体"/>
          <w:b/>
          <w:color w:val="auto"/>
          <w:szCs w:val="21"/>
          <w:highlight w:val="none"/>
        </w:rPr>
        <w:t>9.本项目核心产品为：本项目为服务类项目，无核心产品。</w:t>
      </w:r>
    </w:p>
    <w:p w14:paraId="378AFBB3">
      <w:pPr>
        <w:pStyle w:val="13"/>
        <w:spacing w:line="360" w:lineRule="auto"/>
        <w:rPr>
          <w:rFonts w:ascii="宋体" w:hAnsi="宋体" w:cs="宋体"/>
          <w:color w:val="auto"/>
          <w:highlight w:val="none"/>
        </w:rPr>
      </w:pPr>
      <w:r>
        <w:rPr>
          <w:rFonts w:hint="eastAsia" w:ascii="宋体" w:hAnsi="宋体" w:cs="宋体"/>
          <w:bCs/>
          <w:color w:val="auto"/>
          <w:szCs w:val="21"/>
          <w:highlight w:val="none"/>
        </w:rPr>
        <w:br w:type="page"/>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2"/>
        <w:gridCol w:w="1136"/>
        <w:gridCol w:w="1367"/>
        <w:gridCol w:w="702"/>
        <w:gridCol w:w="5289"/>
      </w:tblGrid>
      <w:tr w14:paraId="1EC3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gridSpan w:val="5"/>
            <w:vAlign w:val="center"/>
          </w:tcPr>
          <w:p w14:paraId="2F122061">
            <w:pPr>
              <w:spacing w:line="360" w:lineRule="auto"/>
              <w:jc w:val="left"/>
              <w:rPr>
                <w:rFonts w:ascii="宋体" w:hAnsi="宋体" w:cs="宋体"/>
                <w:b/>
                <w:color w:val="auto"/>
                <w:szCs w:val="21"/>
                <w:highlight w:val="none"/>
              </w:rPr>
            </w:pPr>
            <w:r>
              <w:rPr>
                <w:rFonts w:hint="eastAsia" w:ascii="宋体" w:hAnsi="宋体" w:cs="宋体"/>
                <w:b/>
                <w:bCs/>
                <w:color w:val="auto"/>
                <w:kern w:val="0"/>
                <w:szCs w:val="21"/>
                <w:highlight w:val="none"/>
              </w:rPr>
              <w:t>▲</w:t>
            </w:r>
            <w:r>
              <w:rPr>
                <w:rFonts w:hint="eastAsia" w:ascii="宋体" w:hAnsi="宋体" w:cs="宋体"/>
                <w:b/>
                <w:color w:val="auto"/>
                <w:szCs w:val="21"/>
                <w:highlight w:val="none"/>
              </w:rPr>
              <w:br w:type="page"/>
            </w:r>
            <w:r>
              <w:rPr>
                <w:rFonts w:hint="eastAsia" w:ascii="宋体" w:hAnsi="宋体" w:cs="宋体"/>
                <w:b/>
                <w:color w:val="auto"/>
                <w:szCs w:val="21"/>
                <w:highlight w:val="none"/>
              </w:rPr>
              <w:t>一、技术需求</w:t>
            </w:r>
          </w:p>
        </w:tc>
      </w:tr>
      <w:tr w14:paraId="5AA1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6" w:type="pct"/>
            <w:vAlign w:val="center"/>
          </w:tcPr>
          <w:p w14:paraId="1CB4062E">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标项</w:t>
            </w:r>
          </w:p>
        </w:tc>
        <w:tc>
          <w:tcPr>
            <w:tcW w:w="625" w:type="pct"/>
            <w:vAlign w:val="center"/>
          </w:tcPr>
          <w:p w14:paraId="191BD941">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服务名称</w:t>
            </w:r>
          </w:p>
        </w:tc>
        <w:tc>
          <w:tcPr>
            <w:tcW w:w="752" w:type="pct"/>
            <w:vAlign w:val="center"/>
          </w:tcPr>
          <w:p w14:paraId="6439E835">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单价</w:t>
            </w:r>
          </w:p>
        </w:tc>
        <w:tc>
          <w:tcPr>
            <w:tcW w:w="386" w:type="pct"/>
            <w:vAlign w:val="center"/>
          </w:tcPr>
          <w:p w14:paraId="713191D5">
            <w:pPr>
              <w:tabs>
                <w:tab w:val="left" w:pos="180"/>
                <w:tab w:val="left" w:pos="1620"/>
              </w:tabs>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数量</w:t>
            </w:r>
          </w:p>
        </w:tc>
        <w:tc>
          <w:tcPr>
            <w:tcW w:w="2908" w:type="pct"/>
            <w:vAlign w:val="center"/>
          </w:tcPr>
          <w:p w14:paraId="0A0CBBB8">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服务需求</w:t>
            </w:r>
          </w:p>
        </w:tc>
      </w:tr>
      <w:tr w14:paraId="3C54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26" w:type="pct"/>
            <w:vAlign w:val="center"/>
          </w:tcPr>
          <w:p w14:paraId="316D88A3">
            <w:pPr>
              <w:spacing w:line="360" w:lineRule="auto"/>
              <w:jc w:val="center"/>
              <w:rPr>
                <w:rFonts w:ascii="宋体" w:hAnsi="宋体" w:cs="宋体"/>
                <w:b/>
                <w:color w:val="auto"/>
                <w:szCs w:val="21"/>
                <w:highlight w:val="none"/>
              </w:rPr>
            </w:pPr>
            <w:r>
              <w:rPr>
                <w:rFonts w:hint="eastAsia" w:ascii="宋体" w:hAnsi="宋体" w:cs="宋体"/>
                <w:bCs/>
                <w:color w:val="auto"/>
                <w:szCs w:val="21"/>
                <w:highlight w:val="none"/>
              </w:rPr>
              <w:t>1</w:t>
            </w:r>
          </w:p>
        </w:tc>
        <w:tc>
          <w:tcPr>
            <w:tcW w:w="625" w:type="pct"/>
            <w:vAlign w:val="center"/>
          </w:tcPr>
          <w:p w14:paraId="4C91D03E">
            <w:pPr>
              <w:widowControl/>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2026年中马钦州产业园区规划及人防工程技术审查服务项目采购</w:t>
            </w:r>
          </w:p>
        </w:tc>
        <w:tc>
          <w:tcPr>
            <w:tcW w:w="752" w:type="pct"/>
            <w:vAlign w:val="center"/>
          </w:tcPr>
          <w:p w14:paraId="7982995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630000.00</w:t>
            </w:r>
            <w:r>
              <w:rPr>
                <w:rFonts w:hint="eastAsia" w:ascii="宋体" w:hAnsi="宋体" w:cs="宋体"/>
                <w:color w:val="auto"/>
                <w:kern w:val="0"/>
                <w:szCs w:val="21"/>
                <w:highlight w:val="none"/>
              </w:rPr>
              <w:t>元</w:t>
            </w:r>
          </w:p>
        </w:tc>
        <w:tc>
          <w:tcPr>
            <w:tcW w:w="386" w:type="pct"/>
            <w:vAlign w:val="center"/>
          </w:tcPr>
          <w:p w14:paraId="3B46445E">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2908" w:type="pct"/>
            <w:vAlign w:val="center"/>
          </w:tcPr>
          <w:p w14:paraId="37DBE0D2">
            <w:pPr>
              <w:widowControl/>
              <w:numPr>
                <w:ilvl w:val="255"/>
                <w:numId w:val="0"/>
              </w:numPr>
              <w:spacing w:line="360" w:lineRule="auto"/>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一、采购内容</w:t>
            </w:r>
          </w:p>
          <w:p w14:paraId="4B6AC346">
            <w:pPr>
              <w:widowControl/>
              <w:numPr>
                <w:ilvl w:val="255"/>
                <w:numId w:val="0"/>
              </w:numPr>
              <w:spacing w:line="360" w:lineRule="auto"/>
              <w:rPr>
                <w:rFonts w:hint="eastAsia" w:ascii="宋体" w:hAnsi="宋体" w:cs="宋体"/>
                <w:color w:val="auto"/>
                <w:highlight w:val="none"/>
              </w:rPr>
            </w:pPr>
            <w:r>
              <w:rPr>
                <w:rFonts w:hint="eastAsia" w:ascii="宋体" w:hAnsi="宋体" w:cs="宋体"/>
                <w:color w:val="auto"/>
                <w:highlight w:val="none"/>
              </w:rPr>
              <w:t>本次采购主要</w:t>
            </w:r>
            <w:r>
              <w:rPr>
                <w:rFonts w:hint="eastAsia" w:ascii="宋体" w:hAnsi="宋体" w:cs="宋体"/>
                <w:color w:val="auto"/>
                <w:highlight w:val="none"/>
                <w:lang w:eastAsia="zh-CN"/>
              </w:rPr>
              <w:t>内容</w:t>
            </w:r>
            <w:r>
              <w:rPr>
                <w:rFonts w:hint="eastAsia" w:ascii="宋体" w:hAnsi="宋体" w:cs="宋体"/>
                <w:color w:val="auto"/>
                <w:highlight w:val="none"/>
              </w:rPr>
              <w:t>包含</w:t>
            </w:r>
            <w:r>
              <w:rPr>
                <w:rFonts w:hint="eastAsia" w:ascii="宋体" w:hAnsi="宋体" w:cs="宋体"/>
                <w:color w:val="auto"/>
                <w:kern w:val="0"/>
                <w:szCs w:val="21"/>
                <w:highlight w:val="none"/>
              </w:rPr>
              <w:t>2026年中马钦州产业园区人防工程防护设计（规划）审查、人防工程防护设计（施工）审查等人防工程防护设计技术咨询服务、建设工程规划设计</w:t>
            </w:r>
            <w:r>
              <w:rPr>
                <w:rFonts w:hint="eastAsia" w:ascii="宋体" w:hAnsi="宋体" w:cs="宋体"/>
                <w:color w:val="auto"/>
                <w:kern w:val="2"/>
                <w:szCs w:val="24"/>
                <w:highlight w:val="none"/>
              </w:rPr>
              <w:t>方案合规性技术审查咨询和项目用地节约集约论证</w:t>
            </w:r>
            <w:r>
              <w:rPr>
                <w:rFonts w:hint="eastAsia" w:ascii="宋体" w:hAnsi="宋体" w:cs="宋体"/>
                <w:color w:val="auto"/>
                <w:kern w:val="2"/>
                <w:szCs w:val="24"/>
                <w:highlight w:val="none"/>
                <w:lang w:eastAsia="zh-CN"/>
              </w:rPr>
              <w:t>咨询</w:t>
            </w:r>
            <w:r>
              <w:rPr>
                <w:rFonts w:hint="eastAsia" w:ascii="宋体" w:hAnsi="宋体" w:cs="宋体"/>
                <w:color w:val="auto"/>
                <w:kern w:val="2"/>
                <w:szCs w:val="24"/>
                <w:highlight w:val="none"/>
              </w:rPr>
              <w:t>等</w:t>
            </w:r>
            <w:r>
              <w:rPr>
                <w:rFonts w:hint="eastAsia" w:ascii="宋体" w:hAnsi="宋体" w:cs="宋体"/>
                <w:color w:val="auto"/>
                <w:highlight w:val="none"/>
              </w:rPr>
              <w:t>。</w:t>
            </w:r>
          </w:p>
          <w:p w14:paraId="252D6AA5">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（一）人防工程防护设计技术咨询服务</w:t>
            </w:r>
          </w:p>
          <w:p w14:paraId="6A345799">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承担园区所需人防工程设计技术专业咨询服务和项目质量监管中所需技术措施评估服务，协助对建设单位的人防 工程方案设计申报文件进行审查；对自建类项目应建人防工程的面积、战时功能、防护等级等要素审查。负责对园区人防主管部门工作人员以及相关企业和人员进行人防工程方案设计及规划技术专业指导和培训（组织不少于2次培训），并派专业技术人员24小时提供技术咨询服务，出现技术服务现场需求时必须在1个小时内到达现场，同时协助负责协审意见及其他工作。具体工作内容如下：</w:t>
            </w:r>
          </w:p>
          <w:p w14:paraId="60E020B3">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1.方案设计文件技术审查。对建设单位的方案设计申报文件进行审查，就项目人防工程建设方式（自建、免建及易建）出具审查意见；对自建类项目应建人防工程的面积、战时功能、防护等级等要素出具审查意见；依据人防工程设计规范及相关标准进行人防工程施工图设计文件检查等。</w:t>
            </w:r>
          </w:p>
          <w:p w14:paraId="7EE51E64">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2.施工图审查咨询服务。主要内容如下：</w:t>
            </w:r>
          </w:p>
          <w:p w14:paraId="6377A794">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（1）是否符合工程建设强制性标准；</w:t>
            </w:r>
          </w:p>
          <w:p w14:paraId="6A5EF57C">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（2）工程结构和防护安全性、可靠性（包括主体结构、 防护能力、防护功能平战转换等）；</w:t>
            </w:r>
          </w:p>
          <w:p w14:paraId="7A3EA0FB">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（3）消防、防水、抗浮、隔震、节能、环保、防护功 能平战转换等是否符合有关规范、标准的规定；</w:t>
            </w:r>
          </w:p>
          <w:p w14:paraId="19A6F5DA">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（4）是否根据批准的初步设计文件进行施工图设计， 对初步设计审查意见进行的调整和修改是否合理；</w:t>
            </w:r>
          </w:p>
          <w:p w14:paraId="15F832A8">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（5）是否达到施工图设计文件规定的深度要求；</w:t>
            </w:r>
          </w:p>
          <w:p w14:paraId="48AE2BB1">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（6）设计单位和执业注册人员以及相关人员是否按照 规定在施工图上加盖相应的图章和签字；</w:t>
            </w:r>
          </w:p>
          <w:p w14:paraId="28BBA669">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（7）其他</w:t>
            </w:r>
            <w:r>
              <w:rPr>
                <w:rFonts w:hint="eastAsia" w:ascii="宋体" w:hAnsi="宋体" w:cs="宋体"/>
                <w:b w:val="0"/>
                <w:bCs w:val="0"/>
                <w:color w:val="auto"/>
                <w:highlight w:val="none"/>
                <w:lang w:eastAsia="zh-CN"/>
              </w:rPr>
              <w:t>法律法规</w:t>
            </w:r>
            <w:r>
              <w:rPr>
                <w:rFonts w:hint="eastAsia" w:ascii="宋体" w:hAnsi="宋体" w:cs="宋体"/>
                <w:b w:val="0"/>
                <w:bCs w:val="0"/>
                <w:color w:val="auto"/>
                <w:highlight w:val="none"/>
              </w:rPr>
              <w:t>、规定要求必须审查的内容。人防施工图审核报告应满足人防相关行政主管部门的要求，资料齐全，确保成果资料完整、真实准确、清晰有据，并通过人防相关行政主管部门审查。</w:t>
            </w:r>
          </w:p>
          <w:p w14:paraId="367CF019">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3.开展人防工程检查。主要内容如下：</w:t>
            </w:r>
          </w:p>
          <w:p w14:paraId="049891D6">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1）人防工程主体及通道：人防工程土建结构有无被破坏；是否擅自改变人防工程主体结构或使用功能，擅自打孔将管网、线缆穿越人防工程，现状是否存在安全隐患；通往人防工程口部的道路是否有任何形式的被阻塞；主要出入口是否排水通畅，地面无积水、无倒灌；主要出入口装配式防倒塌棚架是否完好无损、存放妥当。</w:t>
            </w:r>
          </w:p>
          <w:p w14:paraId="5D5CA4F5">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（2）防护设备：防护密闭门是否能正常开启；活门槛 式人防门的活门槛等配件是否完好无损、妥当存放；防护单 元之间的封堵构件是否保存完好、预埋件安装到位；穿防护 密闭墙管线孔洞封堵是否完好无损。</w:t>
            </w:r>
          </w:p>
          <w:p w14:paraId="324ACE0F">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（3）通风系统：战时风机房电动风机、进风排风管是 否正常运行，骨干工程油网滤尘器、过滤吸收器电动脚踏两 用风机是否性能完好。</w:t>
            </w:r>
          </w:p>
          <w:p w14:paraId="414455FC">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（4）给排水系统：排水管道是否通畅、无渗漏，防爆 波地漏是否锈蚀、堵塞，洗消集水井是否干燥清洁，穿墙套 管封堵是否完好无损，战时装配式水箱是否存放妥当。</w:t>
            </w:r>
          </w:p>
          <w:p w14:paraId="52048242">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（5）电气系统：总配电箱及战时进风机、排风机控制 箱是否完好无损，防爆灯是否符合安装要求。</w:t>
            </w:r>
          </w:p>
          <w:p w14:paraId="039ABB58">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（6）标识标牌：是否按市人防办统一要求设置指示牌 和标识牌，指示标识是否完好齐全等。</w:t>
            </w:r>
          </w:p>
          <w:p w14:paraId="1842C200">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（7）其他部分：防火、防爆、防毒害气体、防坍塌、 防雨水倒灌等措施是否可行；是否存在违法行为，如违规在 人防工程内生产、储存、经营易燃、易爆和有毒有害危险品， 向人防工程内部及其孔口附近排泄废水、废气，倾倒废弃物等。</w:t>
            </w:r>
          </w:p>
          <w:p w14:paraId="6B5CC7B4">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4.平战转换核查或竣工验收。按照国家人防办发布的《人民防空工程质量验收与评价标准》（RFJ01-2015）要求，对人防工程建设中的防护、防化设备产品生产安装质量、工程标识设置、实体质量控制及平战转换内容的实施等方面协助甲方进行核查。</w:t>
            </w:r>
          </w:p>
          <w:p w14:paraId="044A9969">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5.</w:t>
            </w:r>
            <w:r>
              <w:rPr>
                <w:rFonts w:hint="eastAsia" w:ascii="宋体" w:hAnsi="宋体" w:cs="宋体"/>
                <w:b w:val="0"/>
                <w:bCs w:val="0"/>
                <w:color w:val="auto"/>
                <w:highlight w:val="none"/>
                <w:lang w:eastAsia="zh-CN"/>
              </w:rPr>
              <w:t>对于</w:t>
            </w:r>
            <w:r>
              <w:rPr>
                <w:rFonts w:hint="eastAsia" w:ascii="宋体" w:hAnsi="宋体" w:cs="宋体"/>
                <w:b w:val="0"/>
                <w:bCs w:val="0"/>
                <w:color w:val="auto"/>
                <w:highlight w:val="none"/>
              </w:rPr>
              <w:t>特殊项目或项目存在特殊情况，须安排相关资质人员到现场给予技术指导或组织专家评审会。</w:t>
            </w:r>
          </w:p>
          <w:p w14:paraId="622B3075">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（二）建设工程规划设计方案合规性技术审查咨询服务</w:t>
            </w:r>
          </w:p>
          <w:p w14:paraId="45069021">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协助对拟审批的规划项目进行规划符合性、合理性审查， 重大项目选址论证工作等。一是方案评审前技术复核，主要对容积率、绿地率、建筑退让、日照分析、停车位和建筑高度等经济指标进行复核，满足规划设计条件及相关规范要求的提交规划评审；二是方案批复前技术复核，对业主提交的报批成果进行规划技术复核，为规划方案批复做好技术支撑。三</w:t>
            </w:r>
            <w:r>
              <w:rPr>
                <w:rFonts w:hint="eastAsia" w:ascii="宋体" w:hAnsi="宋体" w:cs="宋体"/>
                <w:b w:val="0"/>
                <w:bCs w:val="0"/>
                <w:color w:val="auto"/>
                <w:highlight w:val="none"/>
                <w:lang w:eastAsia="zh-CN"/>
              </w:rPr>
              <w:t>是对</w:t>
            </w:r>
            <w:r>
              <w:rPr>
                <w:rFonts w:hint="eastAsia" w:ascii="宋体" w:hAnsi="宋体" w:cs="宋体"/>
                <w:b w:val="0"/>
                <w:bCs w:val="0"/>
                <w:color w:val="auto"/>
                <w:highlight w:val="none"/>
              </w:rPr>
              <w:t>重大项目进行合理性选址论证。</w:t>
            </w:r>
          </w:p>
          <w:p w14:paraId="7255DA6E">
            <w:pPr>
              <w:widowControl/>
              <w:numPr>
                <w:ilvl w:val="255"/>
                <w:numId w:val="0"/>
              </w:numPr>
              <w:spacing w:line="360" w:lineRule="auto"/>
              <w:rPr>
                <w:rFonts w:hint="eastAsia" w:ascii="宋体" w:hAnsi="宋体" w:cs="宋体"/>
                <w:b w:val="0"/>
                <w:bCs w:val="0"/>
                <w:color w:val="auto"/>
                <w:highlight w:val="none"/>
              </w:rPr>
            </w:pPr>
            <w:r>
              <w:rPr>
                <w:rFonts w:hint="eastAsia" w:ascii="宋体" w:hAnsi="宋体" w:cs="宋体"/>
                <w:b w:val="0"/>
                <w:bCs w:val="0"/>
                <w:color w:val="auto"/>
                <w:highlight w:val="none"/>
              </w:rPr>
              <w:t>（三）项目用地节约集约论证咨询服务</w:t>
            </w:r>
          </w:p>
          <w:p w14:paraId="69DF8091">
            <w:pPr>
              <w:widowControl/>
              <w:numPr>
                <w:ilvl w:val="255"/>
                <w:numId w:val="0"/>
              </w:numPr>
              <w:spacing w:line="360" w:lineRule="auto"/>
              <w:rPr>
                <w:rFonts w:ascii="宋体" w:hAnsi="宋体" w:cs="宋体"/>
                <w:b/>
                <w:bCs/>
                <w:color w:val="auto"/>
                <w:highlight w:val="none"/>
              </w:rPr>
            </w:pPr>
            <w:r>
              <w:rPr>
                <w:rFonts w:hint="eastAsia" w:ascii="宋体" w:hAnsi="宋体" w:cs="宋体"/>
                <w:b w:val="0"/>
                <w:bCs w:val="0"/>
                <w:color w:val="auto"/>
                <w:highlight w:val="none"/>
              </w:rPr>
              <w:t>为确保入园项目用地规模的合理性、可行性，根据《中 华人民共和国土地管理法》和《国务院关于促进节约集约</w:t>
            </w:r>
            <w:r>
              <w:rPr>
                <w:rFonts w:hint="eastAsia" w:ascii="宋体" w:hAnsi="宋体" w:cs="宋体"/>
                <w:b w:val="0"/>
                <w:bCs w:val="0"/>
                <w:color w:val="auto"/>
                <w:highlight w:val="none"/>
                <w:lang w:eastAsia="zh-CN"/>
              </w:rPr>
              <w:t>用地</w:t>
            </w:r>
            <w:r>
              <w:rPr>
                <w:rFonts w:hint="eastAsia" w:ascii="宋体" w:hAnsi="宋体" w:cs="宋体"/>
                <w:b w:val="0"/>
                <w:bCs w:val="0"/>
                <w:color w:val="auto"/>
                <w:highlight w:val="none"/>
              </w:rPr>
              <w:t>的通知》，进一步对项目用地集约节约进行评估，对项目的总建筑面积、建筑占地面积、容积率、建筑密度、绿地率等主要指标进行复核审查，使项目各项指标符合《工业项目建设用地控制指标</w:t>
            </w:r>
            <w:r>
              <w:rPr>
                <w:rFonts w:hint="eastAsia" w:ascii="宋体" w:hAnsi="宋体" w:cs="宋体"/>
                <w:b w:val="0"/>
                <w:bCs w:val="0"/>
                <w:color w:val="auto"/>
                <w:highlight w:val="none"/>
                <w:lang w:eastAsia="zh-CN"/>
              </w:rPr>
              <w:t>》《</w:t>
            </w:r>
            <w:r>
              <w:rPr>
                <w:rFonts w:hint="eastAsia" w:ascii="宋体" w:hAnsi="宋体" w:cs="宋体"/>
                <w:b w:val="0"/>
                <w:bCs w:val="0"/>
                <w:color w:val="auto"/>
                <w:highlight w:val="none"/>
              </w:rPr>
              <w:t>广西壮族自治区建设用地控制指标（2021年修订）》，具体由主管部门聘请专家组对项目</w:t>
            </w:r>
            <w:r>
              <w:rPr>
                <w:rFonts w:hint="eastAsia" w:ascii="宋体" w:hAnsi="宋体" w:cs="宋体"/>
                <w:b w:val="0"/>
                <w:bCs w:val="0"/>
                <w:color w:val="auto"/>
                <w:highlight w:val="none"/>
                <w:lang w:eastAsia="zh-CN"/>
              </w:rPr>
              <w:t>用地</w:t>
            </w:r>
            <w:r>
              <w:rPr>
                <w:rFonts w:hint="eastAsia" w:ascii="宋体" w:hAnsi="宋体" w:cs="宋体"/>
                <w:b w:val="0"/>
                <w:bCs w:val="0"/>
                <w:color w:val="auto"/>
                <w:highlight w:val="none"/>
              </w:rPr>
              <w:t>节约集约召开专家评审。</w:t>
            </w:r>
          </w:p>
        </w:tc>
      </w:tr>
      <w:tr w14:paraId="254D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01F2C520">
            <w:pPr>
              <w:spacing w:line="360" w:lineRule="auto"/>
              <w:rPr>
                <w:rFonts w:ascii="宋体" w:hAnsi="宋体" w:cs="宋体"/>
                <w:b/>
                <w:color w:val="auto"/>
                <w:szCs w:val="21"/>
                <w:highlight w:val="none"/>
              </w:rPr>
            </w:pPr>
            <w:r>
              <w:rPr>
                <w:rFonts w:hint="eastAsia" w:ascii="宋体" w:hAnsi="宋体" w:cs="宋体"/>
                <w:b/>
                <w:color w:val="auto"/>
                <w:szCs w:val="21"/>
                <w:highlight w:val="none"/>
              </w:rPr>
              <w:t>二、商务条款</w:t>
            </w:r>
          </w:p>
        </w:tc>
      </w:tr>
      <w:tr w14:paraId="145A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769B11C9">
            <w:pPr>
              <w:widowControl/>
              <w:spacing w:line="360" w:lineRule="auto"/>
              <w:ind w:firstLine="422" w:firstLineChars="200"/>
              <w:jc w:val="left"/>
              <w:rPr>
                <w:rFonts w:ascii="宋体" w:hAnsi="宋体" w:cs="宋体"/>
                <w:color w:val="auto"/>
                <w:kern w:val="0"/>
                <w:szCs w:val="21"/>
                <w:highlight w:val="none"/>
              </w:rPr>
            </w:pPr>
            <w:r>
              <w:rPr>
                <w:rFonts w:hint="eastAsia" w:ascii="宋体" w:hAnsi="宋体" w:cs="宋体"/>
                <w:b/>
                <w:bCs/>
                <w:color w:val="auto"/>
                <w:kern w:val="0"/>
                <w:szCs w:val="21"/>
                <w:highlight w:val="none"/>
              </w:rPr>
              <w:t>▲</w:t>
            </w:r>
            <w:r>
              <w:rPr>
                <w:rFonts w:hint="eastAsia" w:ascii="宋体" w:hAnsi="宋体" w:cs="宋体"/>
                <w:b/>
                <w:bCs/>
                <w:color w:val="auto"/>
                <w:kern w:val="0"/>
                <w:szCs w:val="21"/>
                <w:highlight w:val="none"/>
                <w:lang w:eastAsia="zh-CN"/>
              </w:rPr>
              <w:t>（一）</w:t>
            </w:r>
            <w:r>
              <w:rPr>
                <w:rFonts w:hint="eastAsia" w:ascii="宋体" w:hAnsi="宋体" w:cs="宋体"/>
                <w:b/>
                <w:bCs/>
                <w:color w:val="auto"/>
                <w:kern w:val="0"/>
                <w:szCs w:val="21"/>
                <w:highlight w:val="none"/>
              </w:rPr>
              <w:t>合同签订期：</w:t>
            </w:r>
            <w:r>
              <w:rPr>
                <w:rFonts w:hint="eastAsia" w:ascii="宋体" w:hAnsi="宋体" w:cs="宋体"/>
                <w:color w:val="auto"/>
                <w:kern w:val="0"/>
                <w:szCs w:val="21"/>
                <w:highlight w:val="none"/>
              </w:rPr>
              <w:t>自成交通知书发出之日起25日内签订完毕。</w:t>
            </w:r>
          </w:p>
          <w:p w14:paraId="563D491E">
            <w:pPr>
              <w:widowControl/>
              <w:spacing w:line="360" w:lineRule="auto"/>
              <w:ind w:firstLine="422" w:firstLineChars="200"/>
              <w:jc w:val="left"/>
              <w:rPr>
                <w:rFonts w:hint="eastAsia" w:ascii="宋体" w:hAnsi="宋体" w:cs="宋体"/>
                <w:color w:val="auto"/>
                <w:szCs w:val="21"/>
                <w:highlight w:val="none"/>
              </w:rPr>
            </w:pPr>
            <w:r>
              <w:rPr>
                <w:rFonts w:hint="eastAsia" w:ascii="宋体" w:hAnsi="宋体" w:cs="宋体"/>
                <w:b/>
                <w:bCs/>
                <w:color w:val="auto"/>
                <w:kern w:val="0"/>
                <w:szCs w:val="21"/>
                <w:highlight w:val="none"/>
                <w:lang w:eastAsia="zh-CN"/>
              </w:rPr>
              <w:t>▲（二）</w:t>
            </w:r>
            <w:r>
              <w:rPr>
                <w:rFonts w:hint="eastAsia" w:ascii="宋体" w:hAnsi="宋体" w:cs="宋体"/>
                <w:b/>
                <w:bCs/>
                <w:color w:val="auto"/>
                <w:kern w:val="0"/>
                <w:szCs w:val="21"/>
                <w:highlight w:val="none"/>
              </w:rPr>
              <w:t>合同履约期限：</w:t>
            </w:r>
            <w:r>
              <w:rPr>
                <w:rFonts w:hint="eastAsia" w:ascii="宋体" w:hAnsi="宋体" w:cs="宋体"/>
                <w:color w:val="auto"/>
                <w:szCs w:val="21"/>
                <w:highlight w:val="none"/>
                <w:lang w:val="en-US" w:eastAsia="zh-CN"/>
              </w:rPr>
              <w:t>2026年度</w:t>
            </w:r>
            <w:r>
              <w:rPr>
                <w:rFonts w:hint="eastAsia" w:ascii="宋体" w:hAnsi="宋体" w:cs="宋体"/>
                <w:color w:val="auto"/>
                <w:szCs w:val="21"/>
                <w:highlight w:val="none"/>
              </w:rPr>
              <w:t>。</w:t>
            </w:r>
          </w:p>
          <w:p w14:paraId="6697C5DC">
            <w:pPr>
              <w:widowControl/>
              <w:spacing w:line="360" w:lineRule="auto"/>
              <w:ind w:firstLine="422" w:firstLineChars="200"/>
              <w:jc w:val="left"/>
              <w:rPr>
                <w:rFonts w:ascii="宋体" w:hAnsi="宋体" w:cs="宋体"/>
                <w:color w:val="auto"/>
                <w:kern w:val="0"/>
                <w:szCs w:val="21"/>
                <w:highlight w:val="none"/>
              </w:rPr>
            </w:pPr>
            <w:r>
              <w:rPr>
                <w:rFonts w:hint="eastAsia" w:ascii="宋体" w:hAnsi="宋体" w:cs="宋体"/>
                <w:b/>
                <w:bCs/>
                <w:color w:val="auto"/>
                <w:kern w:val="0"/>
                <w:szCs w:val="21"/>
                <w:highlight w:val="none"/>
                <w:lang w:eastAsia="zh-CN"/>
              </w:rPr>
              <w:t>▲（三）</w:t>
            </w:r>
            <w:r>
              <w:rPr>
                <w:rFonts w:hint="eastAsia" w:ascii="宋体" w:hAnsi="宋体" w:cs="宋体"/>
                <w:b/>
                <w:bCs/>
                <w:color w:val="auto"/>
                <w:kern w:val="0"/>
                <w:szCs w:val="21"/>
                <w:highlight w:val="none"/>
              </w:rPr>
              <w:t>服务地点：</w:t>
            </w:r>
            <w:r>
              <w:rPr>
                <w:rFonts w:hint="eastAsia" w:ascii="宋体" w:hAnsi="宋体" w:cs="宋体"/>
                <w:color w:val="auto"/>
                <w:szCs w:val="21"/>
                <w:highlight w:val="none"/>
              </w:rPr>
              <w:t>采购人指定地点。</w:t>
            </w:r>
          </w:p>
          <w:p w14:paraId="7A410099">
            <w:pPr>
              <w:widowControl/>
              <w:spacing w:line="360" w:lineRule="auto"/>
              <w:ind w:firstLine="422" w:firstLine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lang w:eastAsia="zh-CN"/>
              </w:rPr>
              <w:t>▲（四）</w:t>
            </w:r>
            <w:r>
              <w:rPr>
                <w:rFonts w:hint="eastAsia" w:ascii="宋体" w:hAnsi="宋体" w:cs="宋体"/>
                <w:b/>
                <w:bCs/>
                <w:color w:val="auto"/>
                <w:kern w:val="0"/>
                <w:szCs w:val="21"/>
                <w:highlight w:val="none"/>
              </w:rPr>
              <w:t>服务要求：</w:t>
            </w:r>
          </w:p>
          <w:p w14:paraId="524E43DD">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1.人员要求：指派含建筑、结构、电气、给排水、暖通等5人以上专业团队提供技术服务，并派专业技术人员24小时提供技术咨询服务，出现技术服务现场需求时必须在1个小时内到达现场。</w:t>
            </w:r>
          </w:p>
          <w:p w14:paraId="42D513E3">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2.成交供应商不得擅自将协作项目转包给第三方。</w:t>
            </w:r>
          </w:p>
          <w:p w14:paraId="13466FD2">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3.对成交供应商的主要考核及管理办法。</w:t>
            </w:r>
          </w:p>
          <w:p w14:paraId="4A43F3C3">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.成交供应商应严格遵守国家的</w:t>
            </w:r>
            <w:r>
              <w:rPr>
                <w:rFonts w:hint="eastAsia" w:ascii="宋体" w:hAnsi="宋体" w:cs="宋体"/>
                <w:color w:val="auto"/>
                <w:kern w:val="0"/>
                <w:szCs w:val="21"/>
                <w:highlight w:val="none"/>
                <w:lang w:eastAsia="zh-CN"/>
              </w:rPr>
              <w:t>法律法规</w:t>
            </w:r>
            <w:r>
              <w:rPr>
                <w:rFonts w:hint="eastAsia" w:ascii="宋体" w:hAnsi="宋体" w:cs="宋体"/>
                <w:color w:val="auto"/>
                <w:kern w:val="0"/>
                <w:szCs w:val="21"/>
                <w:highlight w:val="none"/>
              </w:rPr>
              <w:t>、政策及国家和相关行业的规程规范、技术标准。</w:t>
            </w:r>
          </w:p>
          <w:p w14:paraId="0ABDDB11">
            <w:pPr>
              <w:widowControl/>
              <w:spacing w:line="360" w:lineRule="auto"/>
              <w:ind w:firstLine="422" w:firstLine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lang w:eastAsia="zh-CN"/>
              </w:rPr>
              <w:t>▲（五）</w:t>
            </w:r>
            <w:r>
              <w:rPr>
                <w:rFonts w:hint="eastAsia" w:ascii="宋体" w:hAnsi="宋体" w:cs="宋体"/>
                <w:b/>
                <w:bCs/>
                <w:color w:val="auto"/>
                <w:kern w:val="0"/>
                <w:szCs w:val="21"/>
                <w:highlight w:val="none"/>
              </w:rPr>
              <w:t>报价要求：</w:t>
            </w:r>
          </w:p>
          <w:p w14:paraId="06CAE4F8">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1.竞标报价必须</w:t>
            </w:r>
            <w:r>
              <w:rPr>
                <w:rFonts w:hint="eastAsia" w:ascii="宋体" w:hAnsi="宋体" w:cs="宋体"/>
                <w:color w:val="auto"/>
                <w:szCs w:val="21"/>
                <w:highlight w:val="none"/>
              </w:rPr>
              <w:t>包含但不限于完成本项目所有工作任务所需的一切费用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含完成合同项目过程中所需的劳务、材料、设备、仪器、运输、协调、咨询、管理、保险、税费、利润</w:t>
            </w:r>
            <w:r>
              <w:rPr>
                <w:rFonts w:hint="eastAsia" w:ascii="宋体" w:hAnsi="宋体" w:cs="宋体"/>
                <w:color w:val="auto"/>
                <w:szCs w:val="21"/>
                <w:highlight w:val="none"/>
                <w:lang w:eastAsia="zh-CN"/>
              </w:rPr>
              <w:t>、</w:t>
            </w:r>
            <w:r>
              <w:rPr>
                <w:rFonts w:hint="eastAsia" w:ascii="宋体" w:hAnsi="宋体" w:cs="宋体"/>
                <w:color w:val="auto"/>
                <w:szCs w:val="21"/>
                <w:highlight w:val="none"/>
              </w:rPr>
              <w:t>培训等费用，以及合同中约定的所有责任、义务和一般风险等的一切费用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54D3653A">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2.竞标报价（包含首次报价、最后报价）超过所竞标分标规定的采购预算金额或者最高限价的，其电子响应文件将作无效处理。</w:t>
            </w:r>
          </w:p>
          <w:p w14:paraId="1B71E9BD">
            <w:pPr>
              <w:widowControl/>
              <w:spacing w:line="360" w:lineRule="auto"/>
              <w:ind w:firstLine="422" w:firstLineChars="200"/>
              <w:jc w:val="left"/>
              <w:rPr>
                <w:rFonts w:ascii="宋体" w:hAnsi="宋体" w:cs="宋体"/>
                <w:b/>
                <w:bCs/>
                <w:color w:val="auto"/>
                <w:kern w:val="0"/>
                <w:szCs w:val="21"/>
                <w:highlight w:val="none"/>
              </w:rPr>
            </w:pPr>
            <w:r>
              <w:rPr>
                <w:rFonts w:hint="eastAsia" w:ascii="宋体" w:hAnsi="宋体" w:cs="宋体"/>
                <w:b/>
                <w:bCs/>
                <w:color w:val="auto"/>
                <w:kern w:val="0"/>
                <w:szCs w:val="21"/>
                <w:highlight w:val="none"/>
                <w:lang w:eastAsia="zh-CN"/>
              </w:rPr>
              <w:t>▲（六）</w:t>
            </w:r>
            <w:r>
              <w:rPr>
                <w:rFonts w:hint="eastAsia" w:ascii="宋体" w:hAnsi="宋体" w:cs="宋体"/>
                <w:b/>
                <w:bCs/>
                <w:color w:val="auto"/>
                <w:kern w:val="0"/>
                <w:szCs w:val="21"/>
                <w:highlight w:val="none"/>
              </w:rPr>
              <w:t>付款方式：</w:t>
            </w:r>
          </w:p>
          <w:p w14:paraId="1A226F21">
            <w:pPr>
              <w:widowControl/>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合同签订后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人在自收到发票后10个工作日内支付合同金额</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0%作为预付款；202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月底前，成交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提交第一阶段咨询服务报告成果及请款报告，采购人自收到发票后10个工作日内支付第一阶段进度款（即合同金额30%）；202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月底前，成交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提交第二阶段咨询服务报告成果及请款报告，采购人自收到发票后10个工作日内支付第二阶段进度款（即合同金额</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0%）；剩余款项</w:t>
            </w:r>
            <w:r>
              <w:rPr>
                <w:rFonts w:hint="eastAsia" w:ascii="宋体" w:hAnsi="宋体" w:cs="宋体"/>
                <w:color w:val="auto"/>
                <w:szCs w:val="21"/>
                <w:highlight w:val="none"/>
                <w:lang w:eastAsia="zh-CN"/>
              </w:rPr>
              <w:t>，</w:t>
            </w:r>
            <w:r>
              <w:rPr>
                <w:rFonts w:hint="eastAsia" w:ascii="宋体" w:hAnsi="宋体" w:cs="宋体"/>
                <w:color w:val="auto"/>
                <w:szCs w:val="21"/>
                <w:highlight w:val="none"/>
              </w:rPr>
              <w:t>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于202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月底提交政府采购履约验收资料及请款报告，采购人自收到发票后10个工作日内支付尾款（即合同金额10%）。</w:t>
            </w:r>
          </w:p>
        </w:tc>
      </w:tr>
    </w:tbl>
    <w:p w14:paraId="3E3A4E82">
      <w:pPr>
        <w:snapToGrid/>
        <w:spacing w:line="360" w:lineRule="auto"/>
        <w:ind w:firstLine="420" w:firstLineChars="200"/>
        <w:rPr>
          <w:rFonts w:ascii="宋体" w:hAnsi="宋体" w:cs="宋体"/>
          <w:color w:val="auto"/>
          <w:szCs w:val="21"/>
          <w:highlight w:val="none"/>
        </w:rPr>
      </w:pPr>
    </w:p>
    <w:p w14:paraId="7105907D">
      <w:pPr>
        <w:pStyle w:val="23"/>
        <w:snapToGrid/>
        <w:spacing w:line="360" w:lineRule="auto"/>
        <w:rPr>
          <w:rFonts w:ascii="宋体" w:hAnsi="宋体" w:cs="宋体"/>
          <w:color w:val="auto"/>
          <w:sz w:val="32"/>
          <w:szCs w:val="32"/>
          <w:highlight w:val="none"/>
        </w:rPr>
      </w:pPr>
      <w:r>
        <w:rPr>
          <w:rFonts w:hint="eastAsia" w:ascii="宋体" w:hAnsi="宋体" w:cs="宋体"/>
          <w:color w:val="auto"/>
          <w:szCs w:val="21"/>
          <w:highlight w:val="none"/>
        </w:rPr>
        <w:br w:type="page"/>
      </w:r>
      <w:r>
        <w:rPr>
          <w:rFonts w:hint="eastAsia" w:ascii="宋体" w:hAnsi="宋体" w:cs="宋体"/>
          <w:color w:val="auto"/>
          <w:sz w:val="32"/>
          <w:szCs w:val="32"/>
          <w:highlight w:val="none"/>
        </w:rPr>
        <w:t>附件1：</w:t>
      </w:r>
    </w:p>
    <w:p w14:paraId="39A8843C">
      <w:pPr>
        <w:widowControl/>
        <w:spacing w:line="360" w:lineRule="auto"/>
        <w:jc w:val="center"/>
        <w:rPr>
          <w:rFonts w:ascii="宋体" w:hAnsi="宋体" w:cs="宋体"/>
          <w:b/>
          <w:bCs/>
          <w:color w:val="auto"/>
          <w:kern w:val="0"/>
          <w:sz w:val="36"/>
          <w:szCs w:val="32"/>
          <w:highlight w:val="none"/>
        </w:rPr>
      </w:pPr>
      <w:r>
        <w:rPr>
          <w:rFonts w:hint="eastAsia" w:ascii="宋体" w:hAnsi="宋体" w:cs="宋体"/>
          <w:b/>
          <w:bCs/>
          <w:color w:val="auto"/>
          <w:kern w:val="0"/>
          <w:sz w:val="36"/>
          <w:szCs w:val="32"/>
          <w:highlight w:val="none"/>
        </w:rPr>
        <w:t>统计上大中小微型企业划分标准</w:t>
      </w:r>
    </w:p>
    <w:tbl>
      <w:tblPr>
        <w:tblStyle w:val="30"/>
        <w:tblW w:w="47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341"/>
        <w:gridCol w:w="693"/>
        <w:gridCol w:w="1103"/>
        <w:gridCol w:w="1667"/>
        <w:gridCol w:w="1396"/>
        <w:gridCol w:w="970"/>
      </w:tblGrid>
      <w:tr w14:paraId="2D80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939" w:type="pct"/>
            <w:vAlign w:val="center"/>
          </w:tcPr>
          <w:p w14:paraId="5EA1E5AA">
            <w:pPr>
              <w:widowControl/>
              <w:spacing w:line="360" w:lineRule="auto"/>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759" w:type="pct"/>
            <w:vAlign w:val="center"/>
          </w:tcPr>
          <w:p w14:paraId="64EF07F8">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392" w:type="pct"/>
            <w:vAlign w:val="center"/>
          </w:tcPr>
          <w:p w14:paraId="6631D395">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r>
              <w:rPr>
                <w:rFonts w:hint="eastAsia" w:ascii="宋体" w:hAnsi="宋体" w:cs="宋体"/>
                <w:b/>
                <w:bCs/>
                <w:color w:val="auto"/>
                <w:kern w:val="0"/>
                <w:sz w:val="18"/>
                <w:szCs w:val="18"/>
                <w:highlight w:val="none"/>
              </w:rPr>
              <w:br w:type="textWrapping"/>
            </w:r>
            <w:r>
              <w:rPr>
                <w:rFonts w:hint="eastAsia" w:ascii="宋体" w:hAnsi="宋体" w:cs="宋体"/>
                <w:b/>
                <w:bCs/>
                <w:color w:val="auto"/>
                <w:kern w:val="0"/>
                <w:sz w:val="18"/>
                <w:szCs w:val="18"/>
                <w:highlight w:val="none"/>
              </w:rPr>
              <w:t>单位</w:t>
            </w:r>
          </w:p>
        </w:tc>
        <w:tc>
          <w:tcPr>
            <w:tcW w:w="624" w:type="pct"/>
            <w:vAlign w:val="center"/>
          </w:tcPr>
          <w:p w14:paraId="4FB4F05B">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943" w:type="pct"/>
            <w:vAlign w:val="center"/>
          </w:tcPr>
          <w:p w14:paraId="4AC744BC">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790" w:type="pct"/>
            <w:vAlign w:val="center"/>
          </w:tcPr>
          <w:p w14:paraId="5CD128F3">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549" w:type="pct"/>
            <w:vAlign w:val="center"/>
          </w:tcPr>
          <w:p w14:paraId="6E2770C2">
            <w:pPr>
              <w:widowControl/>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1A8A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Align w:val="center"/>
          </w:tcPr>
          <w:p w14:paraId="07B973E2">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759" w:type="pct"/>
            <w:vAlign w:val="center"/>
          </w:tcPr>
          <w:p w14:paraId="73DD542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5A2039F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41EB4E1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943" w:type="pct"/>
            <w:vAlign w:val="center"/>
          </w:tcPr>
          <w:p w14:paraId="4B77BD0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790" w:type="pct"/>
            <w:vAlign w:val="center"/>
          </w:tcPr>
          <w:p w14:paraId="7C11273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50≤Y＜500</w:t>
            </w:r>
          </w:p>
        </w:tc>
        <w:tc>
          <w:tcPr>
            <w:tcW w:w="549" w:type="pct"/>
            <w:vAlign w:val="center"/>
          </w:tcPr>
          <w:p w14:paraId="45D609D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31F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4D97F076">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759" w:type="pct"/>
            <w:vAlign w:val="center"/>
          </w:tcPr>
          <w:p w14:paraId="111716E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320CAAA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039616D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943" w:type="pct"/>
            <w:vAlign w:val="center"/>
          </w:tcPr>
          <w:p w14:paraId="37CA0DC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790" w:type="pct"/>
            <w:vAlign w:val="center"/>
          </w:tcPr>
          <w:p w14:paraId="1E72C4D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549" w:type="pct"/>
            <w:vAlign w:val="center"/>
          </w:tcPr>
          <w:p w14:paraId="70836F3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94A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086D632B">
            <w:pPr>
              <w:widowControl/>
              <w:spacing w:line="360" w:lineRule="auto"/>
              <w:jc w:val="left"/>
              <w:rPr>
                <w:rFonts w:ascii="宋体" w:hAnsi="宋体" w:cs="宋体"/>
                <w:color w:val="auto"/>
                <w:kern w:val="0"/>
                <w:sz w:val="18"/>
                <w:szCs w:val="18"/>
                <w:highlight w:val="none"/>
              </w:rPr>
            </w:pPr>
          </w:p>
        </w:tc>
        <w:tc>
          <w:tcPr>
            <w:tcW w:w="759" w:type="pct"/>
            <w:vAlign w:val="center"/>
          </w:tcPr>
          <w:p w14:paraId="7DA5A13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5F5D329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63D4D4B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943" w:type="pct"/>
            <w:vAlign w:val="center"/>
          </w:tcPr>
          <w:p w14:paraId="3D2B9F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790" w:type="pct"/>
            <w:vAlign w:val="center"/>
          </w:tcPr>
          <w:p w14:paraId="4212455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300≤Y＜2000</w:t>
            </w:r>
          </w:p>
        </w:tc>
        <w:tc>
          <w:tcPr>
            <w:tcW w:w="549" w:type="pct"/>
            <w:vAlign w:val="center"/>
          </w:tcPr>
          <w:p w14:paraId="1DCF6A5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90F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32B1C7ED">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759" w:type="pct"/>
            <w:vAlign w:val="center"/>
          </w:tcPr>
          <w:p w14:paraId="114F0A5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73AD4E2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38ADDA5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943" w:type="pct"/>
            <w:vAlign w:val="center"/>
          </w:tcPr>
          <w:p w14:paraId="478AF25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790" w:type="pct"/>
            <w:vAlign w:val="center"/>
          </w:tcPr>
          <w:p w14:paraId="46210A6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300≤Y＜6000</w:t>
            </w:r>
          </w:p>
        </w:tc>
        <w:tc>
          <w:tcPr>
            <w:tcW w:w="549" w:type="pct"/>
            <w:vAlign w:val="center"/>
          </w:tcPr>
          <w:p w14:paraId="059AE60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3DD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100FD447">
            <w:pPr>
              <w:widowControl/>
              <w:spacing w:line="360" w:lineRule="auto"/>
              <w:jc w:val="left"/>
              <w:rPr>
                <w:rFonts w:ascii="宋体" w:hAnsi="宋体" w:cs="宋体"/>
                <w:color w:val="auto"/>
                <w:kern w:val="0"/>
                <w:sz w:val="18"/>
                <w:szCs w:val="18"/>
                <w:highlight w:val="none"/>
              </w:rPr>
            </w:pPr>
          </w:p>
        </w:tc>
        <w:tc>
          <w:tcPr>
            <w:tcW w:w="759" w:type="pct"/>
            <w:vAlign w:val="center"/>
          </w:tcPr>
          <w:p w14:paraId="1CF6F36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Z</w:t>
            </w:r>
            <w:r>
              <w:rPr>
                <w:rFonts w:hint="eastAsia" w:ascii="宋体" w:hAnsi="宋体" w:cs="宋体"/>
                <w:color w:val="auto"/>
                <w:kern w:val="0"/>
                <w:sz w:val="18"/>
                <w:szCs w:val="18"/>
                <w:highlight w:val="none"/>
                <w:lang w:eastAsia="zh-CN"/>
              </w:rPr>
              <w:t>）</w:t>
            </w:r>
          </w:p>
        </w:tc>
        <w:tc>
          <w:tcPr>
            <w:tcW w:w="392" w:type="pct"/>
            <w:vAlign w:val="center"/>
          </w:tcPr>
          <w:p w14:paraId="6F5126A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162027C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943" w:type="pct"/>
            <w:vAlign w:val="center"/>
          </w:tcPr>
          <w:p w14:paraId="0A746CB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790" w:type="pct"/>
            <w:vAlign w:val="center"/>
          </w:tcPr>
          <w:p w14:paraId="5D92AC5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300≤Z＜5000</w:t>
            </w:r>
          </w:p>
        </w:tc>
        <w:tc>
          <w:tcPr>
            <w:tcW w:w="549" w:type="pct"/>
            <w:vAlign w:val="center"/>
          </w:tcPr>
          <w:p w14:paraId="5A17C3C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6566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0412F867">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759" w:type="pct"/>
            <w:vAlign w:val="center"/>
          </w:tcPr>
          <w:p w14:paraId="266CC28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224C989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6989F82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943" w:type="pct"/>
            <w:vAlign w:val="center"/>
          </w:tcPr>
          <w:p w14:paraId="0EDE778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790" w:type="pct"/>
            <w:vAlign w:val="center"/>
          </w:tcPr>
          <w:p w14:paraId="3A93397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5≤X＜20</w:t>
            </w:r>
          </w:p>
        </w:tc>
        <w:tc>
          <w:tcPr>
            <w:tcW w:w="549" w:type="pct"/>
            <w:vAlign w:val="center"/>
          </w:tcPr>
          <w:p w14:paraId="470396E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08BC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767ED85D">
            <w:pPr>
              <w:widowControl/>
              <w:spacing w:line="360" w:lineRule="auto"/>
              <w:jc w:val="left"/>
              <w:rPr>
                <w:rFonts w:ascii="宋体" w:hAnsi="宋体" w:cs="宋体"/>
                <w:color w:val="auto"/>
                <w:kern w:val="0"/>
                <w:sz w:val="18"/>
                <w:szCs w:val="18"/>
                <w:highlight w:val="none"/>
              </w:rPr>
            </w:pPr>
          </w:p>
        </w:tc>
        <w:tc>
          <w:tcPr>
            <w:tcW w:w="759" w:type="pct"/>
            <w:vAlign w:val="center"/>
          </w:tcPr>
          <w:p w14:paraId="637DA63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76BDE12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00603C3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943" w:type="pct"/>
            <w:vAlign w:val="center"/>
          </w:tcPr>
          <w:p w14:paraId="7DAE489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790" w:type="pct"/>
            <w:vAlign w:val="center"/>
          </w:tcPr>
          <w:p w14:paraId="63056FAE">
            <w:pPr>
              <w:widowControl/>
              <w:spacing w:line="360" w:lineRule="auto"/>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549" w:type="pct"/>
            <w:vAlign w:val="center"/>
          </w:tcPr>
          <w:p w14:paraId="32D7199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5A5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4D2397ED">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759" w:type="pct"/>
            <w:vAlign w:val="center"/>
          </w:tcPr>
          <w:p w14:paraId="570B6F5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16C7D53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2BA54BA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259FDC6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790" w:type="pct"/>
            <w:vAlign w:val="center"/>
          </w:tcPr>
          <w:p w14:paraId="5AC48A0B">
            <w:pPr>
              <w:widowControl/>
              <w:spacing w:line="360" w:lineRule="auto"/>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549" w:type="pct"/>
            <w:vAlign w:val="center"/>
          </w:tcPr>
          <w:p w14:paraId="6B1205C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07E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72660B42">
            <w:pPr>
              <w:widowControl/>
              <w:spacing w:line="360" w:lineRule="auto"/>
              <w:jc w:val="left"/>
              <w:rPr>
                <w:rFonts w:ascii="宋体" w:hAnsi="宋体" w:cs="宋体"/>
                <w:color w:val="auto"/>
                <w:kern w:val="0"/>
                <w:sz w:val="18"/>
                <w:szCs w:val="18"/>
                <w:highlight w:val="none"/>
              </w:rPr>
            </w:pPr>
          </w:p>
        </w:tc>
        <w:tc>
          <w:tcPr>
            <w:tcW w:w="759" w:type="pct"/>
            <w:vAlign w:val="center"/>
          </w:tcPr>
          <w:p w14:paraId="7CBFC18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0D61756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3E31441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943" w:type="pct"/>
            <w:vAlign w:val="center"/>
          </w:tcPr>
          <w:p w14:paraId="4FD4542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790" w:type="pct"/>
            <w:vAlign w:val="center"/>
          </w:tcPr>
          <w:p w14:paraId="571C56F7">
            <w:pPr>
              <w:widowControl/>
              <w:spacing w:line="360" w:lineRule="auto"/>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100≤Y＜500 </w:t>
            </w:r>
          </w:p>
        </w:tc>
        <w:tc>
          <w:tcPr>
            <w:tcW w:w="549" w:type="pct"/>
            <w:vAlign w:val="center"/>
          </w:tcPr>
          <w:p w14:paraId="0D299C4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C4E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5253467A">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759" w:type="pct"/>
            <w:vAlign w:val="center"/>
          </w:tcPr>
          <w:p w14:paraId="308CBE9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3947199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4970404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943" w:type="pct"/>
            <w:vAlign w:val="center"/>
          </w:tcPr>
          <w:p w14:paraId="2A87B05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790" w:type="pct"/>
            <w:vAlign w:val="center"/>
          </w:tcPr>
          <w:p w14:paraId="4B1C613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549" w:type="pct"/>
            <w:vAlign w:val="center"/>
          </w:tcPr>
          <w:p w14:paraId="3DEE242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73C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02D0B590">
            <w:pPr>
              <w:widowControl/>
              <w:spacing w:line="360" w:lineRule="auto"/>
              <w:jc w:val="left"/>
              <w:rPr>
                <w:rFonts w:ascii="宋体" w:hAnsi="宋体" w:cs="宋体"/>
                <w:color w:val="auto"/>
                <w:kern w:val="0"/>
                <w:sz w:val="18"/>
                <w:szCs w:val="18"/>
                <w:highlight w:val="none"/>
              </w:rPr>
            </w:pPr>
          </w:p>
        </w:tc>
        <w:tc>
          <w:tcPr>
            <w:tcW w:w="759" w:type="pct"/>
            <w:vAlign w:val="center"/>
          </w:tcPr>
          <w:p w14:paraId="7274F83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0E94806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0744B33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943" w:type="pct"/>
            <w:vAlign w:val="center"/>
          </w:tcPr>
          <w:p w14:paraId="18DB914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790" w:type="pct"/>
            <w:vAlign w:val="center"/>
          </w:tcPr>
          <w:p w14:paraId="429191E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200≤Y＜3000</w:t>
            </w:r>
          </w:p>
        </w:tc>
        <w:tc>
          <w:tcPr>
            <w:tcW w:w="549" w:type="pct"/>
            <w:vAlign w:val="center"/>
          </w:tcPr>
          <w:p w14:paraId="298716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116F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243DF22F">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759" w:type="pct"/>
            <w:vAlign w:val="center"/>
          </w:tcPr>
          <w:p w14:paraId="6010723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0D93566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14F8FA6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943" w:type="pct"/>
            <w:vAlign w:val="center"/>
          </w:tcPr>
          <w:p w14:paraId="40CDD183">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790" w:type="pct"/>
            <w:vAlign w:val="center"/>
          </w:tcPr>
          <w:p w14:paraId="18C0F10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20≤X＜100</w:t>
            </w:r>
          </w:p>
        </w:tc>
        <w:tc>
          <w:tcPr>
            <w:tcW w:w="549" w:type="pct"/>
            <w:vAlign w:val="center"/>
          </w:tcPr>
          <w:p w14:paraId="0E49CAC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289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5E1313D7">
            <w:pPr>
              <w:widowControl/>
              <w:spacing w:line="360" w:lineRule="auto"/>
              <w:jc w:val="left"/>
              <w:rPr>
                <w:rFonts w:ascii="宋体" w:hAnsi="宋体" w:cs="宋体"/>
                <w:color w:val="auto"/>
                <w:kern w:val="0"/>
                <w:sz w:val="18"/>
                <w:szCs w:val="18"/>
                <w:highlight w:val="none"/>
              </w:rPr>
            </w:pPr>
          </w:p>
        </w:tc>
        <w:tc>
          <w:tcPr>
            <w:tcW w:w="759" w:type="pct"/>
            <w:vAlign w:val="center"/>
          </w:tcPr>
          <w:p w14:paraId="26FBCF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2CAC0F7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5C49C53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943" w:type="pct"/>
            <w:vAlign w:val="center"/>
          </w:tcPr>
          <w:p w14:paraId="128BDAB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790" w:type="pct"/>
            <w:vAlign w:val="center"/>
          </w:tcPr>
          <w:p w14:paraId="72E7161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549" w:type="pct"/>
            <w:vAlign w:val="center"/>
          </w:tcPr>
          <w:p w14:paraId="73AF6B0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D6D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4F8BB9D5">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759" w:type="pct"/>
            <w:vAlign w:val="center"/>
          </w:tcPr>
          <w:p w14:paraId="5E4C21B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1611CE3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2461166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943" w:type="pct"/>
            <w:vAlign w:val="center"/>
          </w:tcPr>
          <w:p w14:paraId="4CA1BD6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790" w:type="pct"/>
            <w:vAlign w:val="center"/>
          </w:tcPr>
          <w:p w14:paraId="12506C8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549" w:type="pct"/>
            <w:vAlign w:val="center"/>
          </w:tcPr>
          <w:p w14:paraId="222214C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8BC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6CFAF664">
            <w:pPr>
              <w:widowControl/>
              <w:spacing w:line="360" w:lineRule="auto"/>
              <w:jc w:val="left"/>
              <w:rPr>
                <w:rFonts w:ascii="宋体" w:hAnsi="宋体" w:cs="宋体"/>
                <w:color w:val="auto"/>
                <w:kern w:val="0"/>
                <w:sz w:val="18"/>
                <w:szCs w:val="18"/>
                <w:highlight w:val="none"/>
              </w:rPr>
            </w:pPr>
          </w:p>
        </w:tc>
        <w:tc>
          <w:tcPr>
            <w:tcW w:w="759" w:type="pct"/>
            <w:vAlign w:val="center"/>
          </w:tcPr>
          <w:p w14:paraId="448AE74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39E8ECF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5246127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943" w:type="pct"/>
            <w:vAlign w:val="center"/>
          </w:tcPr>
          <w:p w14:paraId="749F3A7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790" w:type="pct"/>
            <w:vAlign w:val="center"/>
          </w:tcPr>
          <w:p w14:paraId="30450BE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549" w:type="pct"/>
            <w:vAlign w:val="center"/>
          </w:tcPr>
          <w:p w14:paraId="61CA084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C99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14D29345">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759" w:type="pct"/>
            <w:vAlign w:val="center"/>
          </w:tcPr>
          <w:p w14:paraId="14E245C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125C39D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19C4A7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576B079C">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2513D87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0F624E8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8C4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35648C25">
            <w:pPr>
              <w:widowControl/>
              <w:spacing w:line="360" w:lineRule="auto"/>
              <w:jc w:val="left"/>
              <w:rPr>
                <w:rFonts w:ascii="宋体" w:hAnsi="宋体" w:cs="宋体"/>
                <w:color w:val="auto"/>
                <w:kern w:val="0"/>
                <w:sz w:val="18"/>
                <w:szCs w:val="18"/>
                <w:highlight w:val="none"/>
              </w:rPr>
            </w:pPr>
          </w:p>
        </w:tc>
        <w:tc>
          <w:tcPr>
            <w:tcW w:w="759" w:type="pct"/>
            <w:vAlign w:val="center"/>
          </w:tcPr>
          <w:p w14:paraId="2CA72A1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4508B27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50CDCD1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943" w:type="pct"/>
            <w:vAlign w:val="center"/>
          </w:tcPr>
          <w:p w14:paraId="6ECDED1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790" w:type="pct"/>
            <w:vAlign w:val="center"/>
          </w:tcPr>
          <w:p w14:paraId="1F0B7F2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549" w:type="pct"/>
            <w:vAlign w:val="center"/>
          </w:tcPr>
          <w:p w14:paraId="78E24D40">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EBD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06224CDB">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759" w:type="pct"/>
            <w:vAlign w:val="center"/>
          </w:tcPr>
          <w:p w14:paraId="7B0819F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2F13A82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6609092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4B9B292D">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11870CA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143449D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E06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08A4955E">
            <w:pPr>
              <w:widowControl/>
              <w:spacing w:line="360" w:lineRule="auto"/>
              <w:jc w:val="left"/>
              <w:rPr>
                <w:rFonts w:ascii="宋体" w:hAnsi="宋体" w:cs="宋体"/>
                <w:color w:val="auto"/>
                <w:kern w:val="0"/>
                <w:sz w:val="18"/>
                <w:szCs w:val="18"/>
                <w:highlight w:val="none"/>
              </w:rPr>
            </w:pPr>
          </w:p>
        </w:tc>
        <w:tc>
          <w:tcPr>
            <w:tcW w:w="759" w:type="pct"/>
            <w:vAlign w:val="center"/>
          </w:tcPr>
          <w:p w14:paraId="573CBDC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6654807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121E19C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943" w:type="pct"/>
            <w:vAlign w:val="center"/>
          </w:tcPr>
          <w:p w14:paraId="003B6F6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790" w:type="pct"/>
            <w:vAlign w:val="center"/>
          </w:tcPr>
          <w:p w14:paraId="037F701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549" w:type="pct"/>
            <w:vAlign w:val="center"/>
          </w:tcPr>
          <w:p w14:paraId="00964E4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6D2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restart"/>
            <w:vAlign w:val="center"/>
          </w:tcPr>
          <w:p w14:paraId="735D12B3">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759" w:type="pct"/>
            <w:vAlign w:val="center"/>
          </w:tcPr>
          <w:p w14:paraId="796A6F4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0EBF211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5406757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943" w:type="pct"/>
            <w:vAlign w:val="center"/>
          </w:tcPr>
          <w:p w14:paraId="2DB223E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790" w:type="pct"/>
            <w:vAlign w:val="center"/>
          </w:tcPr>
          <w:p w14:paraId="024AC02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38B9A69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5F0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Merge w:val="continue"/>
            <w:vAlign w:val="center"/>
          </w:tcPr>
          <w:p w14:paraId="588169A2">
            <w:pPr>
              <w:widowControl/>
              <w:spacing w:line="360" w:lineRule="auto"/>
              <w:jc w:val="left"/>
              <w:rPr>
                <w:rFonts w:ascii="宋体" w:hAnsi="宋体" w:cs="宋体"/>
                <w:color w:val="auto"/>
                <w:kern w:val="0"/>
                <w:sz w:val="18"/>
                <w:szCs w:val="18"/>
                <w:highlight w:val="none"/>
              </w:rPr>
            </w:pPr>
          </w:p>
        </w:tc>
        <w:tc>
          <w:tcPr>
            <w:tcW w:w="759" w:type="pct"/>
            <w:vAlign w:val="center"/>
          </w:tcPr>
          <w:p w14:paraId="1299055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53E4C5E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6170462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943" w:type="pct"/>
            <w:vAlign w:val="center"/>
          </w:tcPr>
          <w:p w14:paraId="1AB507E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1000≤Y＜100000</w:t>
            </w:r>
          </w:p>
        </w:tc>
        <w:tc>
          <w:tcPr>
            <w:tcW w:w="790" w:type="pct"/>
            <w:vAlign w:val="center"/>
          </w:tcPr>
          <w:p w14:paraId="5AB87D8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549" w:type="pct"/>
            <w:vAlign w:val="center"/>
          </w:tcPr>
          <w:p w14:paraId="7A85691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4C8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restart"/>
            <w:vAlign w:val="center"/>
          </w:tcPr>
          <w:p w14:paraId="1F8CF5FF">
            <w:pPr>
              <w:widowControl/>
              <w:spacing w:line="360" w:lineRule="auto"/>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759" w:type="pct"/>
            <w:vAlign w:val="center"/>
          </w:tcPr>
          <w:p w14:paraId="50AA8C3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11A09AF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6A42601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1AD8DEAE">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54BFF42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60B139D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8E9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continue"/>
            <w:vAlign w:val="center"/>
          </w:tcPr>
          <w:p w14:paraId="68356BE0">
            <w:pPr>
              <w:widowControl/>
              <w:spacing w:line="360" w:lineRule="auto"/>
              <w:jc w:val="left"/>
              <w:rPr>
                <w:rFonts w:ascii="宋体" w:hAnsi="宋体" w:cs="宋体"/>
                <w:color w:val="auto"/>
                <w:spacing w:val="-12"/>
                <w:kern w:val="0"/>
                <w:sz w:val="18"/>
                <w:szCs w:val="18"/>
                <w:highlight w:val="none"/>
              </w:rPr>
            </w:pPr>
          </w:p>
        </w:tc>
        <w:tc>
          <w:tcPr>
            <w:tcW w:w="759" w:type="pct"/>
            <w:vAlign w:val="center"/>
          </w:tcPr>
          <w:p w14:paraId="201A6D0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63F556C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0A5CD85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943" w:type="pct"/>
            <w:vAlign w:val="center"/>
          </w:tcPr>
          <w:p w14:paraId="5F72860A">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790" w:type="pct"/>
            <w:vAlign w:val="center"/>
          </w:tcPr>
          <w:p w14:paraId="76E24C1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50≤Y＜1000</w:t>
            </w:r>
          </w:p>
        </w:tc>
        <w:tc>
          <w:tcPr>
            <w:tcW w:w="549" w:type="pct"/>
            <w:vAlign w:val="center"/>
          </w:tcPr>
          <w:p w14:paraId="7DABFB9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55BB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restart"/>
            <w:vAlign w:val="center"/>
          </w:tcPr>
          <w:p w14:paraId="2B731B77">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759" w:type="pct"/>
            <w:vAlign w:val="center"/>
          </w:tcPr>
          <w:p w14:paraId="1B28190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248439F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14B4049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943" w:type="pct"/>
            <w:vAlign w:val="center"/>
          </w:tcPr>
          <w:p w14:paraId="75902EE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1000≤Y＜200000</w:t>
            </w:r>
          </w:p>
        </w:tc>
        <w:tc>
          <w:tcPr>
            <w:tcW w:w="790" w:type="pct"/>
            <w:vAlign w:val="center"/>
          </w:tcPr>
          <w:p w14:paraId="23D936B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549" w:type="pct"/>
            <w:vAlign w:val="center"/>
          </w:tcPr>
          <w:p w14:paraId="1153E5C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752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continue"/>
            <w:vAlign w:val="center"/>
          </w:tcPr>
          <w:p w14:paraId="356586A0">
            <w:pPr>
              <w:widowControl/>
              <w:spacing w:line="360" w:lineRule="auto"/>
              <w:jc w:val="left"/>
              <w:rPr>
                <w:rFonts w:ascii="宋体" w:hAnsi="宋体" w:cs="宋体"/>
                <w:color w:val="auto"/>
                <w:kern w:val="0"/>
                <w:sz w:val="18"/>
                <w:szCs w:val="18"/>
                <w:highlight w:val="none"/>
              </w:rPr>
            </w:pPr>
          </w:p>
        </w:tc>
        <w:tc>
          <w:tcPr>
            <w:tcW w:w="759" w:type="pct"/>
            <w:vAlign w:val="center"/>
          </w:tcPr>
          <w:p w14:paraId="23E8428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Z</w:t>
            </w:r>
            <w:r>
              <w:rPr>
                <w:rFonts w:hint="eastAsia" w:ascii="宋体" w:hAnsi="宋体" w:cs="宋体"/>
                <w:color w:val="auto"/>
                <w:kern w:val="0"/>
                <w:sz w:val="18"/>
                <w:szCs w:val="18"/>
                <w:highlight w:val="none"/>
                <w:lang w:eastAsia="zh-CN"/>
              </w:rPr>
              <w:t>）</w:t>
            </w:r>
          </w:p>
        </w:tc>
        <w:tc>
          <w:tcPr>
            <w:tcW w:w="392" w:type="pct"/>
            <w:vAlign w:val="center"/>
          </w:tcPr>
          <w:p w14:paraId="4679709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3B4FE0B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943" w:type="pct"/>
            <w:vAlign w:val="center"/>
          </w:tcPr>
          <w:p w14:paraId="6B33D4E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790" w:type="pct"/>
            <w:vAlign w:val="center"/>
          </w:tcPr>
          <w:p w14:paraId="4AC4966D">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2000≤Z＜5000   </w:t>
            </w:r>
          </w:p>
        </w:tc>
        <w:tc>
          <w:tcPr>
            <w:tcW w:w="549" w:type="pct"/>
            <w:vAlign w:val="center"/>
          </w:tcPr>
          <w:p w14:paraId="736E210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739D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restart"/>
            <w:vAlign w:val="center"/>
          </w:tcPr>
          <w:p w14:paraId="0CE06247">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759" w:type="pct"/>
            <w:vAlign w:val="center"/>
          </w:tcPr>
          <w:p w14:paraId="7E1BB7B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692A9C6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0E49A8F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943" w:type="pct"/>
            <w:vAlign w:val="center"/>
          </w:tcPr>
          <w:p w14:paraId="765E12C6">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790" w:type="pct"/>
            <w:vAlign w:val="center"/>
          </w:tcPr>
          <w:p w14:paraId="4657A96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549" w:type="pct"/>
            <w:vAlign w:val="center"/>
          </w:tcPr>
          <w:p w14:paraId="07C9473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7C8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continue"/>
            <w:vAlign w:val="center"/>
          </w:tcPr>
          <w:p w14:paraId="48609D73">
            <w:pPr>
              <w:widowControl/>
              <w:spacing w:line="360" w:lineRule="auto"/>
              <w:jc w:val="left"/>
              <w:rPr>
                <w:rFonts w:ascii="宋体" w:hAnsi="宋体" w:cs="宋体"/>
                <w:color w:val="auto"/>
                <w:kern w:val="0"/>
                <w:sz w:val="18"/>
                <w:szCs w:val="18"/>
                <w:highlight w:val="none"/>
              </w:rPr>
            </w:pPr>
          </w:p>
        </w:tc>
        <w:tc>
          <w:tcPr>
            <w:tcW w:w="759" w:type="pct"/>
            <w:vAlign w:val="center"/>
          </w:tcPr>
          <w:p w14:paraId="5C7685B4">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Y</w:t>
            </w:r>
            <w:r>
              <w:rPr>
                <w:rFonts w:hint="eastAsia" w:ascii="宋体" w:hAnsi="宋体" w:cs="宋体"/>
                <w:color w:val="auto"/>
                <w:kern w:val="0"/>
                <w:sz w:val="18"/>
                <w:szCs w:val="18"/>
                <w:highlight w:val="none"/>
                <w:lang w:eastAsia="zh-CN"/>
              </w:rPr>
              <w:t>）</w:t>
            </w:r>
          </w:p>
        </w:tc>
        <w:tc>
          <w:tcPr>
            <w:tcW w:w="392" w:type="pct"/>
            <w:vAlign w:val="center"/>
          </w:tcPr>
          <w:p w14:paraId="5455546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7FDE29D3">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943" w:type="pct"/>
            <w:vAlign w:val="center"/>
          </w:tcPr>
          <w:p w14:paraId="3D16BA01">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1000≤Y＜5000 </w:t>
            </w:r>
          </w:p>
        </w:tc>
        <w:tc>
          <w:tcPr>
            <w:tcW w:w="790" w:type="pct"/>
            <w:vAlign w:val="center"/>
          </w:tcPr>
          <w:p w14:paraId="7D97022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500≤Y＜1000</w:t>
            </w:r>
          </w:p>
        </w:tc>
        <w:tc>
          <w:tcPr>
            <w:tcW w:w="549" w:type="pct"/>
            <w:vAlign w:val="center"/>
          </w:tcPr>
          <w:p w14:paraId="10C4896F">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6C9C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restart"/>
            <w:vAlign w:val="center"/>
          </w:tcPr>
          <w:p w14:paraId="3D560A89">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759" w:type="pct"/>
            <w:vAlign w:val="center"/>
          </w:tcPr>
          <w:p w14:paraId="4F3AB49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29416E12">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36BF03A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032163A7">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59346DA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08F9D6BC">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F91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9" w:type="pct"/>
            <w:vMerge w:val="continue"/>
            <w:vAlign w:val="center"/>
          </w:tcPr>
          <w:p w14:paraId="44EBC3A0">
            <w:pPr>
              <w:widowControl/>
              <w:spacing w:line="360" w:lineRule="auto"/>
              <w:jc w:val="left"/>
              <w:rPr>
                <w:rFonts w:ascii="宋体" w:hAnsi="宋体" w:cs="宋体"/>
                <w:color w:val="auto"/>
                <w:kern w:val="0"/>
                <w:sz w:val="18"/>
                <w:szCs w:val="18"/>
                <w:highlight w:val="none"/>
              </w:rPr>
            </w:pPr>
          </w:p>
        </w:tc>
        <w:tc>
          <w:tcPr>
            <w:tcW w:w="759" w:type="pct"/>
            <w:vAlign w:val="center"/>
          </w:tcPr>
          <w:p w14:paraId="28F2682E">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Z</w:t>
            </w:r>
            <w:r>
              <w:rPr>
                <w:rFonts w:hint="eastAsia" w:ascii="宋体" w:hAnsi="宋体" w:cs="宋体"/>
                <w:color w:val="auto"/>
                <w:kern w:val="0"/>
                <w:sz w:val="18"/>
                <w:szCs w:val="18"/>
                <w:highlight w:val="none"/>
                <w:lang w:eastAsia="zh-CN"/>
              </w:rPr>
              <w:t>）</w:t>
            </w:r>
          </w:p>
        </w:tc>
        <w:tc>
          <w:tcPr>
            <w:tcW w:w="392" w:type="pct"/>
            <w:vAlign w:val="center"/>
          </w:tcPr>
          <w:p w14:paraId="5D8B6DFB">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624" w:type="pct"/>
            <w:vAlign w:val="center"/>
          </w:tcPr>
          <w:p w14:paraId="17A1DB3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943" w:type="pct"/>
            <w:vAlign w:val="center"/>
          </w:tcPr>
          <w:p w14:paraId="63B59DE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8000≤Z＜120000</w:t>
            </w:r>
          </w:p>
        </w:tc>
        <w:tc>
          <w:tcPr>
            <w:tcW w:w="790" w:type="pct"/>
            <w:vAlign w:val="center"/>
          </w:tcPr>
          <w:p w14:paraId="33CBD658">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100≤Z＜8000</w:t>
            </w:r>
          </w:p>
        </w:tc>
        <w:tc>
          <w:tcPr>
            <w:tcW w:w="549" w:type="pct"/>
            <w:vAlign w:val="center"/>
          </w:tcPr>
          <w:p w14:paraId="5A6C8669">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2062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9" w:type="pct"/>
            <w:vAlign w:val="center"/>
          </w:tcPr>
          <w:p w14:paraId="5AA2368B">
            <w:pPr>
              <w:widowControl/>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759" w:type="pct"/>
            <w:vAlign w:val="center"/>
          </w:tcPr>
          <w:p w14:paraId="71757D7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X</w:t>
            </w:r>
            <w:r>
              <w:rPr>
                <w:rFonts w:hint="eastAsia" w:ascii="宋体" w:hAnsi="宋体" w:cs="宋体"/>
                <w:color w:val="auto"/>
                <w:kern w:val="0"/>
                <w:sz w:val="18"/>
                <w:szCs w:val="18"/>
                <w:highlight w:val="none"/>
                <w:lang w:eastAsia="zh-CN"/>
              </w:rPr>
              <w:t>）</w:t>
            </w:r>
          </w:p>
        </w:tc>
        <w:tc>
          <w:tcPr>
            <w:tcW w:w="392" w:type="pct"/>
            <w:vAlign w:val="center"/>
          </w:tcPr>
          <w:p w14:paraId="02938525">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624" w:type="pct"/>
            <w:vAlign w:val="center"/>
          </w:tcPr>
          <w:p w14:paraId="198FA5C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943" w:type="pct"/>
            <w:vAlign w:val="center"/>
          </w:tcPr>
          <w:p w14:paraId="32516D4A">
            <w:pPr>
              <w:widowControl/>
              <w:spacing w:line="360" w:lineRule="auto"/>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790" w:type="pct"/>
            <w:vAlign w:val="center"/>
          </w:tcPr>
          <w:p w14:paraId="3F754937">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549" w:type="pct"/>
            <w:vAlign w:val="center"/>
          </w:tcPr>
          <w:p w14:paraId="0910F371">
            <w:pPr>
              <w:widowControl/>
              <w:spacing w:line="36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5B2963F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43C736BC">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1.大型、中型和小型企业须同时满足所列指标的下限，否则下划一档；微型企业只</w:t>
      </w:r>
      <w:r>
        <w:rPr>
          <w:rFonts w:hint="eastAsia" w:ascii="宋体" w:hAnsi="宋体" w:cs="宋体"/>
          <w:color w:val="auto"/>
          <w:szCs w:val="21"/>
          <w:highlight w:val="none"/>
          <w:lang w:val="en-US" w:eastAsia="zh-CN"/>
        </w:rPr>
        <w:t>需</w:t>
      </w:r>
      <w:r>
        <w:rPr>
          <w:rFonts w:hint="eastAsia" w:ascii="宋体" w:hAnsi="宋体" w:cs="宋体"/>
          <w:color w:val="auto"/>
          <w:szCs w:val="21"/>
          <w:highlight w:val="none"/>
        </w:rPr>
        <w:t>满足所列指标中的一项即可。</w:t>
      </w:r>
    </w:p>
    <w:p w14:paraId="039871C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color w:val="auto"/>
          <w:szCs w:val="21"/>
          <w:highlight w:val="none"/>
          <w:lang w:eastAsia="zh-CN"/>
        </w:rPr>
        <w:t>；</w:t>
      </w:r>
      <w:r>
        <w:rPr>
          <w:rFonts w:hint="eastAsia" w:ascii="宋体" w:hAnsi="宋体" w:cs="宋体"/>
          <w:color w:val="auto"/>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66F766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1FE6333">
      <w:pPr>
        <w:spacing w:line="360" w:lineRule="auto"/>
        <w:ind w:firstLine="525" w:firstLineChars="250"/>
        <w:jc w:val="left"/>
        <w:rPr>
          <w:rFonts w:ascii="宋体" w:hAnsi="宋体" w:cs="宋体"/>
          <w:color w:val="auto"/>
          <w:szCs w:val="21"/>
          <w:highlight w:val="none"/>
        </w:rPr>
      </w:pPr>
    </w:p>
    <w:p w14:paraId="1D029305">
      <w:pPr>
        <w:keepNext/>
        <w:keepLines/>
        <w:snapToGrid/>
        <w:spacing w:before="340" w:after="330" w:line="360" w:lineRule="auto"/>
        <w:ind w:firstLine="420" w:firstLineChars="200"/>
        <w:rPr>
          <w:rStyle w:val="49"/>
          <w:color w:val="auto"/>
          <w:highlight w:val="none"/>
        </w:rPr>
      </w:pPr>
      <w:r>
        <w:rPr>
          <w:rFonts w:hint="eastAsia" w:ascii="宋体" w:hAnsi="宋体" w:cs="宋体"/>
          <w:color w:val="auto"/>
          <w:highlight w:val="none"/>
        </w:rPr>
        <w:br w:type="page"/>
      </w:r>
      <w:bookmarkStart w:id="64" w:name="_Toc24469"/>
      <w:bookmarkStart w:id="65" w:name="_Toc21637"/>
      <w:r>
        <w:rPr>
          <w:rStyle w:val="49"/>
          <w:rFonts w:hint="eastAsia"/>
          <w:color w:val="auto"/>
          <w:highlight w:val="none"/>
        </w:rPr>
        <w:t>第四章 评审程序、评审方法和评审标准</w:t>
      </w:r>
    </w:p>
    <w:bookmarkEnd w:id="64"/>
    <w:bookmarkEnd w:id="65"/>
    <w:p w14:paraId="4139EDDC">
      <w:pPr>
        <w:spacing w:line="360" w:lineRule="auto"/>
        <w:jc w:val="center"/>
        <w:outlineLvl w:val="1"/>
        <w:rPr>
          <w:rFonts w:ascii="宋体" w:hAnsi="宋体" w:cs="宋体"/>
          <w:b/>
          <w:color w:val="auto"/>
          <w:sz w:val="32"/>
          <w:szCs w:val="32"/>
          <w:highlight w:val="none"/>
        </w:rPr>
      </w:pPr>
      <w:bookmarkStart w:id="66" w:name="_Toc7330"/>
      <w:bookmarkStart w:id="67" w:name="_Toc18475"/>
      <w:bookmarkStart w:id="68" w:name="_Toc1316"/>
      <w:bookmarkStart w:id="69" w:name="_Toc15016"/>
      <w:bookmarkStart w:id="70" w:name="_Toc25990"/>
      <w:r>
        <w:rPr>
          <w:rFonts w:hint="eastAsia" w:ascii="宋体" w:hAnsi="宋体" w:cs="宋体"/>
          <w:b/>
          <w:color w:val="auto"/>
          <w:sz w:val="32"/>
          <w:szCs w:val="32"/>
          <w:highlight w:val="none"/>
        </w:rPr>
        <w:t>一、评审程序和评审方法</w:t>
      </w:r>
      <w:bookmarkEnd w:id="66"/>
      <w:bookmarkEnd w:id="67"/>
      <w:bookmarkEnd w:id="68"/>
      <w:bookmarkEnd w:id="69"/>
      <w:bookmarkEnd w:id="70"/>
    </w:p>
    <w:p w14:paraId="2384808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 资格审查</w:t>
      </w:r>
    </w:p>
    <w:p w14:paraId="20C821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 响应文件开启后，磋商小组依法对供应商的资格证明文件进行审查。</w:t>
      </w:r>
    </w:p>
    <w:p w14:paraId="6715D2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注：磋商小组在资格审查结束前，对供应商进行信用查询。</w:t>
      </w:r>
    </w:p>
    <w:p w14:paraId="07D801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 w:val="21"/>
          <w:szCs w:val="21"/>
          <w:highlight w:val="none"/>
        </w:rPr>
        <w:t>中国执行信息公开</w:t>
      </w:r>
      <w:r>
        <w:rPr>
          <w:rFonts w:hint="eastAsia" w:ascii="宋体" w:hAnsi="宋体" w:eastAsia="宋体" w:cs="宋体"/>
          <w:color w:val="auto"/>
          <w:kern w:val="0"/>
          <w:sz w:val="21"/>
          <w:szCs w:val="21"/>
          <w:highlight w:val="none"/>
          <w:lang w:val="en-US" w:eastAsia="zh-CN"/>
        </w:rPr>
        <w:t>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zxgk.court.gov.cn</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w:t>
      </w:r>
      <w:r>
        <w:rPr>
          <w:rFonts w:hint="eastAsia" w:ascii="宋体" w:hAnsi="宋体" w:cs="宋体"/>
          <w:color w:val="auto"/>
          <w:szCs w:val="21"/>
          <w:highlight w:val="none"/>
        </w:rPr>
        <w:t>“信用中国”</w:t>
      </w:r>
      <w:r>
        <w:rPr>
          <w:rFonts w:hint="eastAsia" w:ascii="宋体" w:hAnsi="宋体" w:cs="宋体"/>
          <w:color w:val="auto"/>
          <w:szCs w:val="21"/>
          <w:highlight w:val="none"/>
          <w:lang w:eastAsia="zh-CN"/>
        </w:rPr>
        <w:t>（</w:t>
      </w:r>
      <w:r>
        <w:rPr>
          <w:rFonts w:hint="eastAsia" w:ascii="宋体" w:hAnsi="宋体" w:cs="宋体"/>
          <w:color w:val="auto"/>
          <w:szCs w:val="21"/>
          <w:highlight w:val="none"/>
        </w:rPr>
        <w:t>https://www.creditchina.gov.cn/)、“中国政府采购网”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http://www.ccgp.gov.cn/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517003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5FB22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296F43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 w:val="21"/>
          <w:szCs w:val="21"/>
          <w:highlight w:val="none"/>
        </w:rPr>
        <w:t>中国执行信息公开</w:t>
      </w:r>
      <w:r>
        <w:rPr>
          <w:rFonts w:hint="eastAsia" w:ascii="宋体" w:hAnsi="宋体" w:eastAsia="宋体" w:cs="宋体"/>
          <w:color w:val="auto"/>
          <w:kern w:val="0"/>
          <w:sz w:val="21"/>
          <w:szCs w:val="21"/>
          <w:highlight w:val="none"/>
          <w:lang w:val="en-US" w:eastAsia="zh-CN"/>
        </w:rPr>
        <w:t>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zxgk.court.gov.cn</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w:t>
      </w:r>
      <w:r>
        <w:rPr>
          <w:rFonts w:hint="eastAsia" w:ascii="宋体" w:hAnsi="宋体" w:cs="宋体"/>
          <w:color w:val="auto"/>
          <w:szCs w:val="21"/>
          <w:highlight w:val="none"/>
        </w:rPr>
        <w:t>“信用中国”网站（https://www.creditchina.gov.cn/）、</w:t>
      </w:r>
      <w:r>
        <w:rPr>
          <w:rFonts w:hint="eastAsia" w:ascii="宋体" w:hAnsi="宋体" w:eastAsia="宋体" w:cs="宋体"/>
          <w:color w:val="auto"/>
          <w:kern w:val="0"/>
          <w:szCs w:val="21"/>
          <w:highlight w:val="none"/>
          <w:lang w:eastAsia="zh-CN"/>
        </w:rPr>
        <w:t>“</w:t>
      </w:r>
      <w:r>
        <w:rPr>
          <w:rFonts w:hint="eastAsia" w:ascii="宋体" w:hAnsi="宋体" w:cs="宋体"/>
          <w:color w:val="auto"/>
          <w:szCs w:val="21"/>
          <w:highlight w:val="none"/>
        </w:rPr>
        <w:t>中国政府采购网</w:t>
      </w:r>
      <w:r>
        <w:rPr>
          <w:rFonts w:hint="eastAsia" w:ascii="宋体" w:hAnsi="宋体" w:eastAsia="宋体" w:cs="宋体"/>
          <w:color w:val="auto"/>
          <w:kern w:val="0"/>
          <w:sz w:val="21"/>
          <w:szCs w:val="21"/>
          <w:highlight w:val="none"/>
          <w:lang w:eastAsia="zh-CN"/>
        </w:rPr>
        <w:t>”</w:t>
      </w:r>
      <w:r>
        <w:rPr>
          <w:rFonts w:hint="eastAsia" w:ascii="宋体" w:hAnsi="宋体" w:cs="宋体"/>
          <w:color w:val="auto"/>
          <w:szCs w:val="21"/>
          <w:highlight w:val="none"/>
        </w:rPr>
        <w:t>（http://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6F188A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 资格审查标准为本磋商文件中载明对供应商资格要求的条件。资格审查采用合格制，凡符合磋商文件规定的供应商资格要求的响应文件均通过资格审查。</w:t>
      </w:r>
    </w:p>
    <w:p w14:paraId="7B36DB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 供应商有下列情形之一的，资格审查不通过，其响应文件按无效响应处理：</w:t>
      </w:r>
    </w:p>
    <w:p w14:paraId="33ABB0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73EC43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5139AB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6E2207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2EB988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7D3453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 通过资格审查的合格供应商不足 3 家的，不得进入符合性审查环节，采购人或者采购代理机构应当重新开展采购活动。</w:t>
      </w:r>
    </w:p>
    <w:p w14:paraId="0EC68CC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 符合性审查</w:t>
      </w:r>
    </w:p>
    <w:p w14:paraId="31CAE794">
      <w:pPr>
        <w:spacing w:line="360" w:lineRule="auto"/>
        <w:ind w:firstLine="420" w:firstLineChars="200"/>
        <w:rPr>
          <w:rFonts w:ascii="宋体" w:hAnsi="宋体" w:cs="宋体"/>
          <w:color w:val="auto"/>
          <w:szCs w:val="21"/>
          <w:highlight w:val="none"/>
        </w:rPr>
      </w:pPr>
      <w:bookmarkStart w:id="71" w:name="_Hlk42528882"/>
      <w:r>
        <w:rPr>
          <w:rFonts w:hint="eastAsia" w:ascii="宋体" w:hAnsi="宋体" w:cs="宋体"/>
          <w:color w:val="auto"/>
          <w:szCs w:val="21"/>
          <w:highlight w:val="none"/>
        </w:rPr>
        <w:t>2.1 由磋商小组对通过资格审查的合格供应商的响应文件的竞标报价、商务、技术等实质性要求进行符合性审查，以确定其是否满足磋商文件的实质性要求。</w:t>
      </w:r>
    </w:p>
    <w:bookmarkEnd w:id="71"/>
    <w:p w14:paraId="0841CF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017E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 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将按照有利于采购人的原则由磋商小组进行判定。供应商的澄清、说明或者更正必须加盖电子签章。</w:t>
      </w:r>
    </w:p>
    <w:p w14:paraId="73DE8B11">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D635161">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 xml:space="preserve">2.4 </w:t>
      </w:r>
      <w:r>
        <w:rPr>
          <w:rFonts w:hint="eastAsia" w:ascii="宋体" w:hAnsi="宋体" w:cs="宋体"/>
          <w:color w:val="auto"/>
          <w:szCs w:val="21"/>
          <w:highlight w:val="none"/>
        </w:rPr>
        <w:t>首次响应文件报价出现前后不一致的，按照下列规定修正：</w:t>
      </w:r>
    </w:p>
    <w:p w14:paraId="08FA10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DB772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2041B9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9EC33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BEC0E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7D4E4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 商务技术报价评审</w:t>
      </w:r>
    </w:p>
    <w:p w14:paraId="2FF73F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w:t>
      </w:r>
      <w:r>
        <w:rPr>
          <w:rFonts w:hint="eastAsia" w:ascii="宋体" w:hAnsi="宋体" w:cs="宋体"/>
          <w:color w:val="auto"/>
          <w:szCs w:val="21"/>
          <w:highlight w:val="none"/>
          <w:lang w:eastAsia="zh-CN"/>
        </w:rPr>
        <w:t>将</w:t>
      </w:r>
      <w:r>
        <w:rPr>
          <w:rFonts w:hint="eastAsia" w:ascii="宋体" w:hAnsi="宋体" w:cs="宋体"/>
          <w:color w:val="auto"/>
          <w:szCs w:val="21"/>
          <w:highlight w:val="none"/>
        </w:rPr>
        <w:t>视为响应文件</w:t>
      </w:r>
      <w:r>
        <w:rPr>
          <w:rFonts w:hint="eastAsia" w:ascii="宋体" w:hAnsi="宋体" w:cs="宋体"/>
          <w:color w:val="auto"/>
          <w:szCs w:val="21"/>
          <w:highlight w:val="none"/>
          <w:lang w:eastAsia="zh-CN"/>
        </w:rPr>
        <w:t>无效</w:t>
      </w:r>
      <w:r>
        <w:rPr>
          <w:rFonts w:hint="eastAsia" w:ascii="宋体" w:hAnsi="宋体" w:cs="宋体"/>
          <w:color w:val="auto"/>
          <w:szCs w:val="21"/>
          <w:highlight w:val="none"/>
        </w:rPr>
        <w:t>：</w:t>
      </w:r>
    </w:p>
    <w:p w14:paraId="228FDA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33828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4D2F10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2）委托代理人未能出具有效身份证或者出具的身份证与授权委托书中的信息不符的；</w:t>
      </w:r>
    </w:p>
    <w:p w14:paraId="3A036F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6BA23A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708224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0EF635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2B4B90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30922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4C0721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7E5373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10）属于“供应商须知正文”第 7.5 条情形；</w:t>
      </w:r>
    </w:p>
    <w:p w14:paraId="57F349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11）技术要求允许负偏离的条款数超过“供应商须知前附表”规定项数；</w:t>
      </w:r>
    </w:p>
    <w:p w14:paraId="0360E5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44AB40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13）磋商文件未载明允许提供备选（替代）竞标方案或明确不允许提供备选（替代）竞标方案时，供应商提供了备选（替代）竞标方案的；</w:t>
      </w:r>
    </w:p>
    <w:p w14:paraId="04CA7D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16F823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15）竞争性磋商文件明确不允许分包，响应文件拟分包的；</w:t>
      </w:r>
    </w:p>
    <w:p w14:paraId="67A7A8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16）未响应磋商文件实质性要求；</w:t>
      </w:r>
    </w:p>
    <w:p w14:paraId="4A8A2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和磋商文件规定的其他无效情形。</w:t>
      </w:r>
    </w:p>
    <w:p w14:paraId="11DCC6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 xml:space="preserve"> 报价</w:t>
      </w:r>
      <w:r>
        <w:rPr>
          <w:rFonts w:hint="eastAsia" w:ascii="宋体" w:hAnsi="宋体" w:cs="宋体"/>
          <w:color w:val="auto"/>
          <w:szCs w:val="21"/>
          <w:highlight w:val="none"/>
        </w:rPr>
        <w:t>评审</w:t>
      </w:r>
    </w:p>
    <w:p w14:paraId="73982B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报价文件中规定的“竞标报价表”；</w:t>
      </w:r>
    </w:p>
    <w:p w14:paraId="7F613F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B7063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87848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竞标报价（包含首次报价、最后报价）超过磋商文件分项采购预算金额或者最高限价的（如本项目公布了最高限价）；</w:t>
      </w:r>
    </w:p>
    <w:p w14:paraId="527805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6D4D58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07D4C3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 磋商小组对响应文件进行评审，未实质性响应磋商文件的响应文件按无效处理，磋商小组应当将资格和符合性不通过的情况告知有关供应商。磋商小组从符合磋商文件规定的相应资格条件的供应商名单中确定不少于 3 家的供应商参加磋商。</w:t>
      </w:r>
    </w:p>
    <w:p w14:paraId="7FCE1B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 通过符合性审查的合格供应商不足 3 家的，不得进入磋商环节，采购人或者采购代理机构应当重新开展采购活动。</w:t>
      </w:r>
    </w:p>
    <w:p w14:paraId="7A3C516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 磋商</w:t>
      </w:r>
    </w:p>
    <w:p w14:paraId="2B6C799E">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3.1 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FEFE37">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 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D017768">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3.3 对磋商文件作出的实质性变动是磋商文件的有效组成部分，由磋商小组及时以电子澄清函形式同时通知所有参加磋商的供应商。</w:t>
      </w:r>
    </w:p>
    <w:p w14:paraId="10273915">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3.4 供应商必须按照磋商文件的变动情况和磋商小组的要求以回函的形式重新提交响应文件，并加盖电子签章。参加磋商的供应商未在规定时间内重新提交响应文件的，视同退出磋商，其响应文件按无效处理。</w:t>
      </w:r>
    </w:p>
    <w:p w14:paraId="5C6B3206">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3.5 磋商中，磋商的任何一方不得透露与磋商有关的其他供应商的技术资料、价格和其他信息。</w:t>
      </w:r>
    </w:p>
    <w:p w14:paraId="49AD5265">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3.6 采购代理机构对磋商过程和重要磋商内容进行记录。</w:t>
      </w:r>
    </w:p>
    <w:p w14:paraId="161D1C03">
      <w:pPr>
        <w:tabs>
          <w:tab w:val="left" w:pos="2835"/>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3.7 根据《财政部关于政府采购竞争性磋商采购方式管理暂行办法有关问题的补充通知》（财库〔2015〕124 号）的规定，采用竞争性磋商采购方式采购的政府购买服务项目（含政府和社会资本合作项目），在采购过程中符合要求的供应商（社会资本）只有 2 家的，竞争性磋商采购活动可以继续进行。采购过程中符合要求的供应商（社会资本）只有 1 家的，采购人（项目实施机构）或者采购代理机构应当终止竞争性磋商采购活动，发布项目终止公告并说明原因，重新开展采购活动。</w:t>
      </w:r>
    </w:p>
    <w:p w14:paraId="0EB16094">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3.8 除本章第 3.7 条情形外，对磋商过程提交的响应文件进行有效性、完整性和响应程度审查，通过审查的合格供应商不足 3 家的，采购人或者采购代理机构应当重新开展采购活动。</w:t>
      </w:r>
    </w:p>
    <w:p w14:paraId="3DD58AE9">
      <w:pPr>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rPr>
        <w:t>4. 最后报价</w:t>
      </w:r>
    </w:p>
    <w:p w14:paraId="2A3CBD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 磋商文件能够详细列明采购标的的技术、服务要求的，磋商结束后，磋商小组应当要求所有继续参加磋商的供应商在规定时间内在“广西政府采购云平台”平台开标大厅提交最后报价，除本章第 4.3条外，提交最后报价的供应商不得少于 3 家，否则必须重新采购。</w:t>
      </w:r>
    </w:p>
    <w:p w14:paraId="5D1CB0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 磋商文件不能详细列明采购标的的技术、服务要求，需经磋商由供应商提供最后设计方案或者解决方案的，磋商结束后，由磋商小组按照少数服从多数的原则投票推荐 3 家以上供应商的设计方案或者解决方案，并要求其在规定时间内在“广西政府采购云平台”平台开标大厅提交最后报价。</w:t>
      </w:r>
    </w:p>
    <w:p w14:paraId="35014D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 号）第三条第四项“市场竞争不充分的科研项目，以及需要扶持的科技成果转化项目”和本章第 3.7 条情形的，提交最后报价的供应商可以为 2 家。</w:t>
      </w:r>
    </w:p>
    <w:p w14:paraId="095FA5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 已经提交响应文件的供应商，在提交最后报价之前，可以根据磋商情况退出磋商，退出磋商的供应商的响应文件按无效响应处理。采购人、采购代理机构将退还退出磋商的供应商的保证金。</w:t>
      </w:r>
    </w:p>
    <w:p w14:paraId="2C782C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 供应商未在规定时间内提交最后报价的，视同退出磋商，其响应文件按无效处理。</w:t>
      </w:r>
    </w:p>
    <w:p w14:paraId="038635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4.6 最后报价统一开启后，磋商小组对最后报价进行有效性、完整性和响应程度的审查。</w:t>
      </w:r>
    </w:p>
    <w:p w14:paraId="2AD03C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4.7 最后报价出现前后不一致的，按照本章第 2.4 条的规定修正。</w:t>
      </w:r>
    </w:p>
    <w:p w14:paraId="516340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 修正后的报价出现下列情形的，按无效响应处理：</w:t>
      </w:r>
    </w:p>
    <w:p w14:paraId="6AD1CD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536441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521D3F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4FB829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4.9 经供应商确认修正后的最后报价作为评审及签订合同的依据。</w:t>
      </w:r>
    </w:p>
    <w:p w14:paraId="00D55C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 最后报价结束后，磋商小组不得再与供应商进行任何形式的商谈。</w:t>
      </w:r>
    </w:p>
    <w:p w14:paraId="2489B27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 比较与评价</w:t>
      </w:r>
    </w:p>
    <w:p w14:paraId="2B0AC1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 评审方法：综合评分法。</w:t>
      </w:r>
    </w:p>
    <w:p w14:paraId="7634DA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 经磋商确定最终采购需求和提交最后报价的供应商后，由磋商小组采用综合评分法对提交最后报价的供应商的响应文件和最后报价进行综合评分。</w:t>
      </w:r>
    </w:p>
    <w:p w14:paraId="473E53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评审时，磋商小组各成员应当独立对每个有效响应的文件进行评价、打分，然后汇总每个供应商每项评分因素的得分。</w:t>
      </w:r>
    </w:p>
    <w:p w14:paraId="77F0BD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1E921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3E1521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 评审价为供应商的最后报价进行政策性扣除后的价格，评审价只是作为评审时使用。最终成交供应商的成交金额等于最后报价（如有修正，以确认修正后的最后报价为准）。</w:t>
      </w:r>
    </w:p>
    <w:p w14:paraId="6690BBC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5.5 由磋商小组根据综合评分情况，按照评审得分由高到低顺序推荐 3 名以上成交候选供应商，并编写评</w:t>
      </w:r>
      <w:r>
        <w:rPr>
          <w:rFonts w:hint="eastAsia" w:ascii="宋体" w:hAnsi="宋体" w:cs="宋体"/>
          <w:color w:val="auto"/>
          <w:kern w:val="0"/>
          <w:szCs w:val="21"/>
          <w:highlight w:val="none"/>
        </w:rPr>
        <w:t>审报告。符合本章第 4.3 条情形的，可以推荐 2 家成交候选供应商。评审得分相同的，按照最后报价由低到高的顺序推荐。评审得分且最后报价相同的，按照技术指标优劣顺序推荐。</w:t>
      </w:r>
    </w:p>
    <w:p w14:paraId="0ED5836D">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5.6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77BB464">
      <w:pPr>
        <w:spacing w:line="360" w:lineRule="auto"/>
        <w:ind w:firstLine="482" w:firstLineChars="200"/>
        <w:rPr>
          <w:rFonts w:hint="eastAsia" w:ascii="宋体" w:hAnsi="宋体" w:cs="宋体"/>
          <w:color w:val="auto"/>
          <w:kern w:val="0"/>
          <w:szCs w:val="21"/>
          <w:highlight w:val="none"/>
        </w:rPr>
      </w:pPr>
      <w:r>
        <w:rPr>
          <w:rFonts w:hint="eastAsia" w:ascii="宋体" w:hAnsi="宋体" w:cs="宋体"/>
          <w:b/>
          <w:bCs/>
          <w:color w:val="auto"/>
          <w:sz w:val="24"/>
          <w:highlight w:val="none"/>
        </w:rPr>
        <w:t>6.异常低价说明</w:t>
      </w:r>
    </w:p>
    <w:p w14:paraId="76B49B7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依据财政部《关于推动解决政府采购异常低价问题的通知》（财库〔2026〕2 号）规定，政府采购项目评审中，出现下列情形之一的，</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应当启动异常低价</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审查程序：</w:t>
      </w:r>
    </w:p>
    <w:p w14:paraId="15FB88A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6.1</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报价低于全部通过符合性审查供应商</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报价平均值 50%的，即</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报价＜全部通过符合性审查供应商</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报价平均值×50%；</w:t>
      </w:r>
    </w:p>
    <w:p w14:paraId="0D02296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6.2</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报价低于通过符合性审查的次低报价供应商</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 50%的，即</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报价＜通过符合性审查的次低报价供应商</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报价×50%；</w:t>
      </w:r>
    </w:p>
    <w:p w14:paraId="7E833E6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6.3</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报价低于采购项目最高限价 45%的，即</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报价＜采购项目最高限价×45%；</w:t>
      </w:r>
    </w:p>
    <w:p w14:paraId="4307FBB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6.4</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基于专业判断，认为供应商报价过低，有可能影响产品质量或者不能诚信履约的其他情形。</w:t>
      </w:r>
    </w:p>
    <w:p w14:paraId="6A601DD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6.5审查程序启动后，</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将要求供应商在评审现场 30 分钟内，对报价作出解释，并提交项目具体成本测算（含原材料成本、人工成本、制造费用等）及其他与报价合理性相关的书面说明、必要证明材料。</w:t>
      </w:r>
    </w:p>
    <w:p w14:paraId="4C05AD1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6.6若属于上述第（3）项情形，且供应商已随</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文件一并提交相关书面说明及证明材料的，评审现场无需重复提交。</w:t>
      </w:r>
    </w:p>
    <w:p w14:paraId="7A595FC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6.7</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应结合专业经验，参考同类项目中标（成交）价格、类似产品市场价格水平、行业人工费用标准、国家有关部门指导行业协会发布的行业平均成本等情况，综合判断供应商报价是否合理。</w:t>
      </w:r>
    </w:p>
    <w:p w14:paraId="5D636FB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6.8若供应商不能提供相关书面说明、证明材料，或提供的材料无法证明其报价合理性的，</w:t>
      </w:r>
      <w:r>
        <w:rPr>
          <w:rFonts w:hint="eastAsia" w:ascii="宋体" w:hAnsi="宋体" w:cs="宋体"/>
          <w:color w:val="auto"/>
          <w:kern w:val="0"/>
          <w:szCs w:val="21"/>
          <w:highlight w:val="none"/>
          <w:lang w:eastAsia="zh-CN"/>
        </w:rPr>
        <w:t>磋商小组</w:t>
      </w:r>
      <w:r>
        <w:rPr>
          <w:rFonts w:hint="eastAsia" w:ascii="宋体" w:hAnsi="宋体" w:cs="宋体"/>
          <w:color w:val="auto"/>
          <w:kern w:val="0"/>
          <w:szCs w:val="21"/>
          <w:highlight w:val="none"/>
        </w:rPr>
        <w:t>将其作为无效</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处理。</w:t>
      </w:r>
    </w:p>
    <w:p w14:paraId="4EC9766B">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二、评审标准</w:t>
      </w:r>
    </w:p>
    <w:p w14:paraId="4E659BB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6.评审依据：</w:t>
      </w:r>
    </w:p>
    <w:p w14:paraId="63EE1CE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6.1资格审查和符合性审查</w:t>
      </w:r>
    </w:p>
    <w:p w14:paraId="49FB775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（1）对响应文件进行资格审查和符合性审查：</w:t>
      </w:r>
    </w:p>
    <w:p w14:paraId="5D17E5A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（2）只有通过了资格审查和符合性审查，被判定为合格的竞标人可进入综合评审。</w:t>
      </w:r>
    </w:p>
    <w:tbl>
      <w:tblPr>
        <w:tblStyle w:val="30"/>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847"/>
        <w:gridCol w:w="2686"/>
        <w:gridCol w:w="5122"/>
      </w:tblGrid>
      <w:tr w14:paraId="6028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tcMar>
              <w:top w:w="0" w:type="dxa"/>
              <w:left w:w="0" w:type="dxa"/>
              <w:bottom w:w="0" w:type="dxa"/>
              <w:right w:w="0" w:type="dxa"/>
            </w:tcMar>
            <w:vAlign w:val="center"/>
          </w:tcPr>
          <w:p w14:paraId="7F7794B9">
            <w:pPr>
              <w:widowControl/>
              <w:spacing w:line="360" w:lineRule="auto"/>
              <w:jc w:val="center"/>
              <w:textAlignment w:val="center"/>
              <w:rPr>
                <w:rFonts w:ascii="宋体" w:hAnsi="宋体" w:cs="宋体"/>
                <w:bCs/>
                <w:color w:val="auto"/>
                <w:szCs w:val="21"/>
                <w:highlight w:val="none"/>
              </w:rPr>
            </w:pPr>
            <w:r>
              <w:rPr>
                <w:rFonts w:hint="eastAsia" w:ascii="宋体" w:hAnsi="宋体" w:cs="宋体"/>
                <w:bCs/>
                <w:color w:val="auto"/>
                <w:szCs w:val="21"/>
                <w:highlight w:val="none"/>
              </w:rPr>
              <w:t>序号</w:t>
            </w:r>
          </w:p>
        </w:tc>
        <w:tc>
          <w:tcPr>
            <w:tcW w:w="3533" w:type="dxa"/>
            <w:gridSpan w:val="2"/>
            <w:vAlign w:val="center"/>
          </w:tcPr>
          <w:p w14:paraId="01AD950E">
            <w:pPr>
              <w:widowControl/>
              <w:spacing w:line="360" w:lineRule="auto"/>
              <w:jc w:val="center"/>
              <w:textAlignment w:val="center"/>
              <w:rPr>
                <w:rFonts w:ascii="宋体" w:hAnsi="宋体" w:cs="宋体"/>
                <w:bCs/>
                <w:color w:val="auto"/>
                <w:szCs w:val="21"/>
                <w:highlight w:val="none"/>
              </w:rPr>
            </w:pPr>
            <w:r>
              <w:rPr>
                <w:rFonts w:hint="eastAsia" w:ascii="宋体" w:hAnsi="宋体" w:cs="宋体"/>
                <w:bCs/>
                <w:color w:val="auto"/>
                <w:szCs w:val="21"/>
                <w:highlight w:val="none"/>
              </w:rPr>
              <w:t>评审因素</w:t>
            </w:r>
          </w:p>
        </w:tc>
        <w:tc>
          <w:tcPr>
            <w:tcW w:w="5122" w:type="dxa"/>
            <w:vAlign w:val="center"/>
          </w:tcPr>
          <w:p w14:paraId="71F6D493">
            <w:pPr>
              <w:widowControl/>
              <w:spacing w:line="360" w:lineRule="auto"/>
              <w:jc w:val="center"/>
              <w:textAlignment w:val="center"/>
              <w:rPr>
                <w:rFonts w:ascii="宋体" w:hAnsi="宋体" w:cs="宋体"/>
                <w:bCs/>
                <w:color w:val="auto"/>
                <w:szCs w:val="21"/>
                <w:highlight w:val="none"/>
              </w:rPr>
            </w:pPr>
            <w:r>
              <w:rPr>
                <w:rFonts w:hint="eastAsia" w:ascii="宋体" w:hAnsi="宋体" w:cs="宋体"/>
                <w:bCs/>
                <w:color w:val="auto"/>
                <w:szCs w:val="21"/>
                <w:highlight w:val="none"/>
              </w:rPr>
              <w:t>评审标准</w:t>
            </w:r>
          </w:p>
        </w:tc>
      </w:tr>
      <w:tr w14:paraId="3272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vAlign w:val="center"/>
          </w:tcPr>
          <w:p w14:paraId="65ADC6FB">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847" w:type="dxa"/>
            <w:vMerge w:val="restart"/>
            <w:vAlign w:val="center"/>
          </w:tcPr>
          <w:p w14:paraId="5B5BF860">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资格</w:t>
            </w:r>
          </w:p>
          <w:p w14:paraId="6F6FC5F1">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审查</w:t>
            </w:r>
          </w:p>
        </w:tc>
        <w:tc>
          <w:tcPr>
            <w:tcW w:w="2686" w:type="dxa"/>
            <w:vAlign w:val="center"/>
          </w:tcPr>
          <w:p w14:paraId="2229087D">
            <w:pPr>
              <w:widowControl/>
              <w:spacing w:line="360" w:lineRule="auto"/>
              <w:jc w:val="left"/>
              <w:textAlignment w:val="center"/>
              <w:rPr>
                <w:rFonts w:ascii="宋体" w:hAnsi="宋体" w:cs="宋体"/>
                <w:bCs/>
                <w:color w:val="auto"/>
                <w:szCs w:val="21"/>
                <w:highlight w:val="none"/>
              </w:rPr>
            </w:pPr>
            <w:r>
              <w:rPr>
                <w:rFonts w:hint="eastAsia" w:ascii="宋体" w:hAnsi="宋体" w:cs="宋体"/>
                <w:color w:val="auto"/>
                <w:szCs w:val="21"/>
                <w:highlight w:val="none"/>
              </w:rPr>
              <w:t>供应商基本情况表</w:t>
            </w:r>
          </w:p>
        </w:tc>
        <w:tc>
          <w:tcPr>
            <w:tcW w:w="5122" w:type="dxa"/>
            <w:vAlign w:val="center"/>
          </w:tcPr>
          <w:p w14:paraId="2E36BDBA">
            <w:pPr>
              <w:widowControl/>
              <w:spacing w:line="360" w:lineRule="auto"/>
              <w:jc w:val="left"/>
              <w:textAlignment w:val="center"/>
              <w:rPr>
                <w:rFonts w:ascii="宋体" w:hAnsi="宋体" w:cs="宋体"/>
                <w:bCs/>
                <w:color w:val="auto"/>
                <w:szCs w:val="21"/>
                <w:highlight w:val="none"/>
              </w:rPr>
            </w:pP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供应商为法人或者其他组织的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提供其营业执照等证明文件（如营业执照或事业单位法人证书或执业许可证或登记证书等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val="0"/>
                <w:bCs w:val="0"/>
                <w:color w:val="auto"/>
                <w:szCs w:val="21"/>
                <w:highlight w:val="none"/>
              </w:rPr>
              <w:t>（必须提供，否则响应文件按无效响应处理）</w:t>
            </w:r>
          </w:p>
        </w:tc>
      </w:tr>
      <w:tr w14:paraId="0CB5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C9B2E9E">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4C6D01A5">
            <w:pPr>
              <w:widowControl/>
              <w:spacing w:line="360" w:lineRule="auto"/>
              <w:jc w:val="left"/>
              <w:textAlignment w:val="center"/>
              <w:rPr>
                <w:rFonts w:ascii="宋体" w:hAnsi="宋体" w:cs="宋体"/>
                <w:bCs/>
                <w:color w:val="auto"/>
                <w:szCs w:val="21"/>
                <w:highlight w:val="none"/>
              </w:rPr>
            </w:pPr>
          </w:p>
        </w:tc>
        <w:tc>
          <w:tcPr>
            <w:tcW w:w="2686" w:type="dxa"/>
            <w:vAlign w:val="center"/>
          </w:tcPr>
          <w:p w14:paraId="58B62C1A">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供应商依法缴纳税收的相关材料</w:t>
            </w:r>
          </w:p>
        </w:tc>
        <w:tc>
          <w:tcPr>
            <w:tcW w:w="5122" w:type="dxa"/>
            <w:vAlign w:val="center"/>
          </w:tcPr>
          <w:p w14:paraId="4A7D26DE">
            <w:pPr>
              <w:widowControl/>
              <w:numPr>
                <w:ilvl w:val="0"/>
                <w:numId w:val="0"/>
              </w:numPr>
              <w:spacing w:line="360" w:lineRule="auto"/>
              <w:contextualSpacing/>
              <w:jc w:val="left"/>
              <w:textAlignment w:val="auto"/>
              <w:rPr>
                <w:rFonts w:ascii="宋体" w:hAnsi="宋体" w:cs="宋体"/>
                <w:bCs/>
                <w:color w:val="auto"/>
                <w:szCs w:val="21"/>
                <w:highlight w:val="none"/>
              </w:rPr>
            </w:pP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w:t>
            </w:r>
            <w:r>
              <w:rPr>
                <w:rFonts w:hint="eastAsia" w:ascii="宋体" w:hAnsi="宋体" w:cs="宋体"/>
                <w:color w:val="auto"/>
                <w:szCs w:val="21"/>
                <w:highlight w:val="none"/>
                <w:lang w:eastAsia="zh-CN"/>
              </w:rPr>
              <w:t>截止时间止</w:t>
            </w:r>
            <w:r>
              <w:rPr>
                <w:rFonts w:hint="eastAsia" w:ascii="宋体" w:hAnsi="宋体" w:cs="宋体"/>
                <w:color w:val="auto"/>
                <w:szCs w:val="21"/>
                <w:highlight w:val="none"/>
              </w:rPr>
              <w:t>内任意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个月的依法缴纳税收的凭据；依法免税的，必须提供相应文件证明其依法免税。从成立之日起到响应文件提交截止时间止不足要求月数的，只需提供从成立之日起的依法缴纳税收相应证明文件；</w:t>
            </w:r>
            <w:r>
              <w:rPr>
                <w:rFonts w:hint="eastAsia" w:ascii="宋体" w:hAnsi="宋体" w:cs="宋体"/>
                <w:b w:val="0"/>
                <w:bCs w:val="0"/>
                <w:color w:val="auto"/>
                <w:szCs w:val="21"/>
                <w:highlight w:val="none"/>
              </w:rPr>
              <w:t>（必须提供，否则响应文件按无效响应处理）</w:t>
            </w:r>
          </w:p>
        </w:tc>
      </w:tr>
      <w:tr w14:paraId="5B58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21076BA9">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19CA69F8">
            <w:pPr>
              <w:widowControl/>
              <w:spacing w:line="360" w:lineRule="auto"/>
              <w:jc w:val="left"/>
              <w:textAlignment w:val="center"/>
              <w:rPr>
                <w:rFonts w:ascii="宋体" w:hAnsi="宋体" w:cs="宋体"/>
                <w:bCs/>
                <w:color w:val="auto"/>
                <w:szCs w:val="21"/>
                <w:highlight w:val="none"/>
              </w:rPr>
            </w:pPr>
          </w:p>
        </w:tc>
        <w:tc>
          <w:tcPr>
            <w:tcW w:w="2686" w:type="dxa"/>
            <w:vAlign w:val="center"/>
          </w:tcPr>
          <w:p w14:paraId="69285FDF">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供应商依法缴纳社会保障资金的相关材料</w:t>
            </w:r>
          </w:p>
        </w:tc>
        <w:tc>
          <w:tcPr>
            <w:tcW w:w="5122" w:type="dxa"/>
            <w:vAlign w:val="center"/>
          </w:tcPr>
          <w:p w14:paraId="49118964">
            <w:pPr>
              <w:widowControl/>
              <w:numPr>
                <w:ilvl w:val="-1"/>
                <w:numId w:val="0"/>
              </w:numPr>
              <w:spacing w:line="360" w:lineRule="auto"/>
              <w:contextualSpacing/>
              <w:jc w:val="left"/>
              <w:textAlignment w:val="auto"/>
              <w:rPr>
                <w:rFonts w:ascii="宋体" w:hAnsi="宋体" w:cs="宋体"/>
                <w:bCs/>
                <w:color w:val="auto"/>
                <w:szCs w:val="21"/>
                <w:highlight w:val="none"/>
              </w:rPr>
            </w:pP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月至响应文件提交</w:t>
            </w:r>
            <w:r>
              <w:rPr>
                <w:rFonts w:hint="eastAsia" w:ascii="宋体" w:hAnsi="宋体" w:cs="宋体"/>
                <w:color w:val="auto"/>
                <w:szCs w:val="21"/>
                <w:highlight w:val="none"/>
                <w:lang w:eastAsia="zh-CN"/>
              </w:rPr>
              <w:t>截止时间止</w:t>
            </w:r>
            <w:r>
              <w:rPr>
                <w:rFonts w:hint="eastAsia" w:ascii="宋体" w:hAnsi="宋体" w:cs="宋体"/>
                <w:color w:val="auto"/>
                <w:szCs w:val="21"/>
                <w:highlight w:val="none"/>
              </w:rPr>
              <w:t>内任意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社会保障资金的缴费凭证（专用收据或社会保险缴纳清单）扫描件；依法不需要缴纳社会保障资金的，必须提供相应文件证明不需要缴纳社会保障资金。从成立之日起到响应文件提交截止时间止不足要求月数的</w:t>
            </w:r>
            <w:r>
              <w:rPr>
                <w:rFonts w:hint="eastAsia" w:ascii="宋体" w:hAnsi="宋体" w:cs="宋体"/>
                <w:color w:val="auto"/>
                <w:szCs w:val="21"/>
                <w:highlight w:val="none"/>
                <w:lang w:eastAsia="zh-CN"/>
              </w:rPr>
              <w:t>，</w:t>
            </w:r>
            <w:r>
              <w:rPr>
                <w:rFonts w:hint="eastAsia" w:ascii="宋体" w:hAnsi="宋体" w:cs="宋体"/>
                <w:color w:val="auto"/>
                <w:szCs w:val="21"/>
                <w:highlight w:val="none"/>
              </w:rPr>
              <w:t>只需提供从成立之日起的依法缴纳社会保障资金的相应证明文件；</w:t>
            </w:r>
            <w:r>
              <w:rPr>
                <w:rFonts w:hint="eastAsia" w:ascii="宋体" w:hAnsi="宋体" w:cs="宋体"/>
                <w:b w:val="0"/>
                <w:bCs w:val="0"/>
                <w:color w:val="auto"/>
                <w:szCs w:val="21"/>
                <w:highlight w:val="none"/>
              </w:rPr>
              <w:t>（必须提供，否则响应文件按无效响应处理）</w:t>
            </w:r>
          </w:p>
        </w:tc>
      </w:tr>
      <w:tr w14:paraId="1C68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0B189273">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4A925BF0">
            <w:pPr>
              <w:widowControl/>
              <w:spacing w:line="360" w:lineRule="auto"/>
              <w:jc w:val="left"/>
              <w:textAlignment w:val="center"/>
              <w:rPr>
                <w:rFonts w:ascii="宋体" w:hAnsi="宋体" w:cs="宋体"/>
                <w:bCs/>
                <w:color w:val="auto"/>
                <w:szCs w:val="21"/>
                <w:highlight w:val="none"/>
              </w:rPr>
            </w:pPr>
          </w:p>
        </w:tc>
        <w:tc>
          <w:tcPr>
            <w:tcW w:w="2686" w:type="dxa"/>
            <w:vAlign w:val="center"/>
          </w:tcPr>
          <w:p w14:paraId="6C68CADC">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供应商财务状况报告</w:t>
            </w:r>
          </w:p>
        </w:tc>
        <w:tc>
          <w:tcPr>
            <w:tcW w:w="5122" w:type="dxa"/>
            <w:vAlign w:val="center"/>
          </w:tcPr>
          <w:p w14:paraId="1082AED7">
            <w:pPr>
              <w:widowControl/>
              <w:spacing w:line="360" w:lineRule="auto"/>
              <w:jc w:val="left"/>
              <w:textAlignment w:val="center"/>
              <w:rPr>
                <w:rFonts w:ascii="宋体" w:hAnsi="宋体" w:cs="宋体"/>
                <w:bCs/>
                <w:color w:val="auto"/>
                <w:szCs w:val="21"/>
                <w:highlight w:val="none"/>
              </w:rPr>
            </w:pPr>
            <w:r>
              <w:rPr>
                <w:rFonts w:hint="eastAsia" w:ascii="宋体" w:hAnsi="宋体" w:cs="宋体"/>
                <w:color w:val="auto"/>
                <w:szCs w:val="21"/>
                <w:highlight w:val="none"/>
              </w:rPr>
              <w:t>提供2025年的年度财务报告，包括资产负债表、现金流量表、利润表，如供应商为磋商当年新成立公司，应提供公司成立之后的财务报表；（必须提供，否则响应文件按无效响应处理）</w:t>
            </w:r>
          </w:p>
        </w:tc>
      </w:tr>
      <w:tr w14:paraId="73E8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2DD301A">
            <w:pPr>
              <w:spacing w:line="360" w:lineRule="auto"/>
              <w:rPr>
                <w:color w:val="auto"/>
                <w:highlight w:val="none"/>
              </w:rPr>
            </w:pPr>
          </w:p>
        </w:tc>
        <w:tc>
          <w:tcPr>
            <w:tcW w:w="847" w:type="dxa"/>
            <w:vMerge w:val="continue"/>
            <w:vAlign w:val="center"/>
          </w:tcPr>
          <w:p w14:paraId="067F4C28">
            <w:pPr>
              <w:spacing w:line="360" w:lineRule="auto"/>
              <w:rPr>
                <w:color w:val="auto"/>
                <w:highlight w:val="none"/>
              </w:rPr>
            </w:pPr>
          </w:p>
        </w:tc>
        <w:tc>
          <w:tcPr>
            <w:tcW w:w="2686" w:type="dxa"/>
            <w:shd w:val="clear" w:color="auto" w:fill="auto"/>
            <w:vAlign w:val="center"/>
          </w:tcPr>
          <w:p w14:paraId="39F9A43F">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供应商企业股东及出资情况</w:t>
            </w:r>
          </w:p>
        </w:tc>
        <w:tc>
          <w:tcPr>
            <w:tcW w:w="5122" w:type="dxa"/>
            <w:shd w:val="clear" w:color="auto" w:fill="auto"/>
            <w:vAlign w:val="center"/>
          </w:tcPr>
          <w:p w14:paraId="35D919C9">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供应商不存在单位负责人为同一人或者存在直接控股、管理关系</w:t>
            </w:r>
            <w:r>
              <w:rPr>
                <w:rFonts w:hint="eastAsia" w:ascii="宋体" w:hAnsi="宋体" w:cs="宋体"/>
                <w:bCs/>
                <w:color w:val="auto"/>
                <w:szCs w:val="21"/>
                <w:highlight w:val="none"/>
                <w:lang w:eastAsia="zh-CN"/>
              </w:rPr>
              <w:t>。</w:t>
            </w:r>
          </w:p>
        </w:tc>
      </w:tr>
      <w:tr w14:paraId="45CE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C090E62">
            <w:pPr>
              <w:spacing w:line="360" w:lineRule="auto"/>
              <w:rPr>
                <w:color w:val="auto"/>
                <w:highlight w:val="none"/>
              </w:rPr>
            </w:pPr>
          </w:p>
        </w:tc>
        <w:tc>
          <w:tcPr>
            <w:tcW w:w="847" w:type="dxa"/>
            <w:vMerge w:val="continue"/>
            <w:vAlign w:val="center"/>
          </w:tcPr>
          <w:p w14:paraId="0CD9A915">
            <w:pPr>
              <w:spacing w:line="360" w:lineRule="auto"/>
              <w:rPr>
                <w:color w:val="auto"/>
                <w:highlight w:val="none"/>
              </w:rPr>
            </w:pPr>
          </w:p>
        </w:tc>
        <w:tc>
          <w:tcPr>
            <w:tcW w:w="2686" w:type="dxa"/>
            <w:shd w:val="clear" w:color="auto" w:fill="auto"/>
            <w:vAlign w:val="center"/>
          </w:tcPr>
          <w:p w14:paraId="797DF6B3">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中小企业声明函</w:t>
            </w:r>
          </w:p>
        </w:tc>
        <w:tc>
          <w:tcPr>
            <w:tcW w:w="5122" w:type="dxa"/>
            <w:shd w:val="clear" w:color="auto" w:fill="auto"/>
            <w:vAlign w:val="center"/>
          </w:tcPr>
          <w:p w14:paraId="0467C78F">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rPr>
              <w:t>本项目属于专门面向中小企业采购的项目（供应商应为中小微企业、监狱企业、残疾人福利性单位）</w:t>
            </w:r>
            <w:r>
              <w:rPr>
                <w:rFonts w:hint="eastAsia" w:ascii="宋体" w:hAnsi="宋体" w:cs="宋体"/>
                <w:color w:val="auto"/>
                <w:szCs w:val="21"/>
                <w:highlight w:val="none"/>
                <w:lang w:eastAsia="zh-CN"/>
              </w:rPr>
              <w:t>。中小企业声明函符合《采购文件》要求。</w:t>
            </w:r>
          </w:p>
        </w:tc>
      </w:tr>
      <w:tr w14:paraId="6C98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609E3A4E">
            <w:pPr>
              <w:spacing w:line="360" w:lineRule="auto"/>
              <w:rPr>
                <w:color w:val="auto"/>
                <w:highlight w:val="none"/>
              </w:rPr>
            </w:pPr>
          </w:p>
        </w:tc>
        <w:tc>
          <w:tcPr>
            <w:tcW w:w="847" w:type="dxa"/>
            <w:vMerge w:val="continue"/>
            <w:vAlign w:val="center"/>
          </w:tcPr>
          <w:p w14:paraId="3E85324A">
            <w:pPr>
              <w:spacing w:line="360" w:lineRule="auto"/>
              <w:rPr>
                <w:color w:val="auto"/>
                <w:highlight w:val="none"/>
              </w:rPr>
            </w:pPr>
          </w:p>
        </w:tc>
        <w:tc>
          <w:tcPr>
            <w:tcW w:w="2686" w:type="dxa"/>
            <w:shd w:val="clear" w:color="auto" w:fill="auto"/>
            <w:vAlign w:val="center"/>
          </w:tcPr>
          <w:p w14:paraId="6EEC60F0">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“信用中国”网页查询</w:t>
            </w:r>
          </w:p>
        </w:tc>
        <w:tc>
          <w:tcPr>
            <w:tcW w:w="5122" w:type="dxa"/>
            <w:shd w:val="clear" w:color="auto" w:fill="auto"/>
            <w:vAlign w:val="center"/>
          </w:tcPr>
          <w:p w14:paraId="7CC21C44">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不存在在“中国执行信息公开网”（zxgk.court.gov.cn）、“信用中国”（www.creditchina.gov.cn）、“中国政府采购网”（www.ccgp.gov.cn）被列入失信被执行人、重大税收违法失信主体、政府采购严重违法失信行为记录名单及其他不符合《中华人民共和国政府采购法》第二十二条规定条件的供应商的情形。</w:t>
            </w:r>
          </w:p>
        </w:tc>
      </w:tr>
      <w:tr w14:paraId="5978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06965E53">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35F05B62">
            <w:pPr>
              <w:widowControl/>
              <w:spacing w:line="360" w:lineRule="auto"/>
              <w:jc w:val="left"/>
              <w:textAlignment w:val="center"/>
              <w:rPr>
                <w:rFonts w:ascii="宋体" w:hAnsi="宋体" w:cs="宋体"/>
                <w:bCs/>
                <w:color w:val="auto"/>
                <w:szCs w:val="21"/>
                <w:highlight w:val="none"/>
              </w:rPr>
            </w:pPr>
          </w:p>
        </w:tc>
        <w:tc>
          <w:tcPr>
            <w:tcW w:w="2686" w:type="dxa"/>
            <w:vAlign w:val="center"/>
          </w:tcPr>
          <w:p w14:paraId="2CC6DF0B">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其他</w:t>
            </w:r>
          </w:p>
        </w:tc>
        <w:tc>
          <w:tcPr>
            <w:tcW w:w="5122" w:type="dxa"/>
            <w:vAlign w:val="center"/>
          </w:tcPr>
          <w:p w14:paraId="736B2C77">
            <w:pPr>
              <w:widowControl/>
              <w:spacing w:after="0" w:line="360" w:lineRule="auto"/>
              <w:jc w:val="left"/>
              <w:textAlignment w:val="center"/>
              <w:rPr>
                <w:rFonts w:hint="eastAsia" w:ascii="宋体" w:hAnsi="宋体" w:cs="宋体"/>
                <w:color w:val="auto"/>
                <w:szCs w:val="21"/>
                <w:highlight w:val="none"/>
              </w:rPr>
            </w:pPr>
            <w:r>
              <w:rPr>
                <w:rFonts w:hint="eastAsia" w:ascii="宋体" w:hAnsi="宋体" w:cs="宋体"/>
                <w:bCs w:val="0"/>
                <w:color w:val="auto"/>
                <w:szCs w:val="21"/>
                <w:highlight w:val="none"/>
              </w:rPr>
              <w:t>符合第二章供应商须知正文前附表第</w:t>
            </w:r>
            <w:r>
              <w:rPr>
                <w:rFonts w:hint="eastAsia" w:ascii="宋体" w:hAnsi="宋体" w:cs="宋体"/>
                <w:color w:val="auto"/>
                <w:szCs w:val="21"/>
                <w:highlight w:val="none"/>
              </w:rPr>
              <w:t>12.1.1项</w:t>
            </w:r>
            <w:r>
              <w:rPr>
                <w:rFonts w:hint="eastAsia" w:ascii="宋体" w:hAnsi="宋体" w:cs="宋体"/>
                <w:bCs w:val="0"/>
                <w:color w:val="auto"/>
                <w:szCs w:val="21"/>
                <w:highlight w:val="none"/>
              </w:rPr>
              <w:t>，资格证明文件中必须提供的内容。</w:t>
            </w:r>
          </w:p>
        </w:tc>
      </w:tr>
      <w:tr w14:paraId="45CC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vAlign w:val="center"/>
          </w:tcPr>
          <w:p w14:paraId="790C3114">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847" w:type="dxa"/>
            <w:vMerge w:val="restart"/>
            <w:vAlign w:val="center"/>
          </w:tcPr>
          <w:p w14:paraId="2E2506E9">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符合性审查</w:t>
            </w:r>
          </w:p>
        </w:tc>
        <w:tc>
          <w:tcPr>
            <w:tcW w:w="2686" w:type="dxa"/>
            <w:vAlign w:val="center"/>
          </w:tcPr>
          <w:p w14:paraId="23083A6F">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供应商名称</w:t>
            </w:r>
          </w:p>
        </w:tc>
        <w:tc>
          <w:tcPr>
            <w:tcW w:w="5122" w:type="dxa"/>
            <w:vAlign w:val="center"/>
          </w:tcPr>
          <w:p w14:paraId="5E7D821C">
            <w:pPr>
              <w:widowControl/>
              <w:spacing w:line="360" w:lineRule="auto"/>
              <w:jc w:val="left"/>
              <w:textAlignment w:val="center"/>
              <w:rPr>
                <w:rFonts w:hint="eastAsia" w:ascii="宋体" w:hAnsi="宋体" w:cs="宋体"/>
                <w:bCs w:val="0"/>
                <w:color w:val="auto"/>
                <w:szCs w:val="21"/>
                <w:highlight w:val="none"/>
              </w:rPr>
            </w:pPr>
            <w:r>
              <w:rPr>
                <w:rFonts w:hint="eastAsia" w:ascii="宋体" w:hAnsi="宋体" w:cs="宋体"/>
                <w:bCs w:val="0"/>
                <w:color w:val="auto"/>
                <w:szCs w:val="21"/>
                <w:highlight w:val="none"/>
              </w:rPr>
              <w:t>响应文件描述的供应商名称与营业执照或事业单位法人证书等证明文件名称一致。</w:t>
            </w:r>
          </w:p>
        </w:tc>
      </w:tr>
      <w:tr w14:paraId="2411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6A50386">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4449E6FB">
            <w:pPr>
              <w:widowControl/>
              <w:spacing w:line="360" w:lineRule="auto"/>
              <w:jc w:val="left"/>
              <w:textAlignment w:val="center"/>
              <w:rPr>
                <w:rFonts w:ascii="宋体" w:hAnsi="宋体" w:cs="宋体"/>
                <w:bCs/>
                <w:color w:val="auto"/>
                <w:szCs w:val="21"/>
                <w:highlight w:val="none"/>
              </w:rPr>
            </w:pPr>
          </w:p>
        </w:tc>
        <w:tc>
          <w:tcPr>
            <w:tcW w:w="2686" w:type="dxa"/>
            <w:vAlign w:val="center"/>
          </w:tcPr>
          <w:p w14:paraId="713DC8FE">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响应文件签署</w:t>
            </w:r>
          </w:p>
        </w:tc>
        <w:tc>
          <w:tcPr>
            <w:tcW w:w="5122" w:type="dxa"/>
            <w:vAlign w:val="center"/>
          </w:tcPr>
          <w:p w14:paraId="463216BE">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有效的法定代表人身份证明（附身份证扫描件）或法定代表人授权委托书（附身份证</w:t>
            </w:r>
            <w:r>
              <w:rPr>
                <w:rFonts w:hint="eastAsia" w:ascii="宋体" w:hAnsi="宋体" w:cs="宋体"/>
                <w:color w:val="auto"/>
                <w:szCs w:val="21"/>
                <w:highlight w:val="none"/>
              </w:rPr>
              <w:t>扫描</w:t>
            </w:r>
            <w:r>
              <w:rPr>
                <w:rFonts w:hint="eastAsia" w:ascii="宋体" w:hAnsi="宋体" w:cs="宋体"/>
                <w:bCs/>
                <w:color w:val="auto"/>
                <w:szCs w:val="21"/>
                <w:highlight w:val="none"/>
              </w:rPr>
              <w:t>件，授权代理时提供）</w:t>
            </w:r>
          </w:p>
        </w:tc>
      </w:tr>
      <w:tr w14:paraId="16F0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46234B59">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317A7522">
            <w:pPr>
              <w:widowControl/>
              <w:spacing w:line="360" w:lineRule="auto"/>
              <w:jc w:val="left"/>
              <w:textAlignment w:val="center"/>
              <w:rPr>
                <w:rFonts w:ascii="宋体" w:hAnsi="宋体" w:cs="宋体"/>
                <w:bCs/>
                <w:color w:val="auto"/>
                <w:szCs w:val="21"/>
                <w:highlight w:val="none"/>
              </w:rPr>
            </w:pPr>
          </w:p>
        </w:tc>
        <w:tc>
          <w:tcPr>
            <w:tcW w:w="2686" w:type="dxa"/>
            <w:vAlign w:val="center"/>
          </w:tcPr>
          <w:p w14:paraId="7EC919F9">
            <w:pPr>
              <w:widowControl/>
              <w:spacing w:line="360" w:lineRule="auto"/>
              <w:jc w:val="left"/>
              <w:rPr>
                <w:rFonts w:ascii="宋体" w:hAnsi="宋体" w:cs="宋体"/>
                <w:bCs/>
                <w:color w:val="auto"/>
                <w:szCs w:val="21"/>
                <w:highlight w:val="none"/>
              </w:rPr>
            </w:pPr>
            <w:r>
              <w:rPr>
                <w:rFonts w:hint="eastAsia" w:ascii="宋体" w:hAnsi="宋体" w:cs="宋体"/>
                <w:color w:val="auto"/>
                <w:kern w:val="0"/>
                <w:szCs w:val="21"/>
                <w:highlight w:val="none"/>
              </w:rPr>
              <w:t>人员要求</w:t>
            </w:r>
          </w:p>
        </w:tc>
        <w:tc>
          <w:tcPr>
            <w:tcW w:w="5122" w:type="dxa"/>
            <w:vAlign w:val="center"/>
          </w:tcPr>
          <w:p w14:paraId="0AA9B23E">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指派含建筑、结构、电气、给排水、暖通等5人以上专业团队提供技术服务，并派专业技术人员24小时提供技术咨询服务，出现技术服务现场需求时必须在l个小时内到达现场。</w:t>
            </w:r>
          </w:p>
        </w:tc>
      </w:tr>
      <w:tr w14:paraId="68C1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3999AA6C">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69393D6F">
            <w:pPr>
              <w:widowControl/>
              <w:spacing w:line="360" w:lineRule="auto"/>
              <w:jc w:val="left"/>
              <w:textAlignment w:val="center"/>
              <w:rPr>
                <w:rFonts w:ascii="宋体" w:hAnsi="宋体" w:cs="宋体"/>
                <w:bCs/>
                <w:color w:val="auto"/>
                <w:szCs w:val="21"/>
                <w:highlight w:val="none"/>
              </w:rPr>
            </w:pPr>
          </w:p>
        </w:tc>
        <w:tc>
          <w:tcPr>
            <w:tcW w:w="2686" w:type="dxa"/>
            <w:vAlign w:val="center"/>
          </w:tcPr>
          <w:p w14:paraId="4D6FBFF8">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响应文件签字或盖章</w:t>
            </w:r>
          </w:p>
        </w:tc>
        <w:tc>
          <w:tcPr>
            <w:tcW w:w="5122" w:type="dxa"/>
            <w:vAlign w:val="center"/>
          </w:tcPr>
          <w:p w14:paraId="6EB13DAB">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按照采购文件规定要求签字或盖章的</w:t>
            </w:r>
            <w:r>
              <w:rPr>
                <w:rFonts w:hint="eastAsia" w:ascii="宋体" w:hAnsi="宋体" w:cs="宋体"/>
                <w:bCs/>
                <w:color w:val="auto"/>
                <w:szCs w:val="21"/>
                <w:highlight w:val="none"/>
                <w:lang w:eastAsia="zh-CN"/>
              </w:rPr>
              <w:t>。</w:t>
            </w:r>
          </w:p>
        </w:tc>
      </w:tr>
      <w:tr w14:paraId="2D90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24" w:type="dxa"/>
            <w:vMerge w:val="continue"/>
            <w:vAlign w:val="center"/>
          </w:tcPr>
          <w:p w14:paraId="1FEB395D">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123454F7">
            <w:pPr>
              <w:widowControl/>
              <w:spacing w:line="360" w:lineRule="auto"/>
              <w:jc w:val="left"/>
              <w:textAlignment w:val="center"/>
              <w:rPr>
                <w:rFonts w:ascii="宋体" w:hAnsi="宋体" w:cs="宋体"/>
                <w:bCs/>
                <w:color w:val="auto"/>
                <w:szCs w:val="21"/>
                <w:highlight w:val="none"/>
              </w:rPr>
            </w:pPr>
          </w:p>
        </w:tc>
        <w:tc>
          <w:tcPr>
            <w:tcW w:w="2686" w:type="dxa"/>
            <w:vAlign w:val="center"/>
          </w:tcPr>
          <w:p w14:paraId="15254335">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磋商保证金</w:t>
            </w:r>
          </w:p>
        </w:tc>
        <w:tc>
          <w:tcPr>
            <w:tcW w:w="5122" w:type="dxa"/>
            <w:vAlign w:val="center"/>
          </w:tcPr>
          <w:p w14:paraId="7ECFCB05">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符合《采购文件》要求</w:t>
            </w:r>
            <w:r>
              <w:rPr>
                <w:rFonts w:hint="eastAsia" w:ascii="宋体" w:hAnsi="宋体" w:cs="宋体"/>
                <w:bCs/>
                <w:color w:val="auto"/>
                <w:szCs w:val="21"/>
                <w:highlight w:val="none"/>
                <w:lang w:eastAsia="zh-CN"/>
              </w:rPr>
              <w:t>。</w:t>
            </w:r>
          </w:p>
        </w:tc>
      </w:tr>
      <w:tr w14:paraId="50C6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357F3E62">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7A311C2D">
            <w:pPr>
              <w:widowControl/>
              <w:spacing w:line="360" w:lineRule="auto"/>
              <w:jc w:val="left"/>
              <w:textAlignment w:val="center"/>
              <w:rPr>
                <w:rFonts w:ascii="宋体" w:hAnsi="宋体" w:cs="宋体"/>
                <w:bCs/>
                <w:color w:val="auto"/>
                <w:szCs w:val="21"/>
                <w:highlight w:val="none"/>
              </w:rPr>
            </w:pPr>
          </w:p>
        </w:tc>
        <w:tc>
          <w:tcPr>
            <w:tcW w:w="2686" w:type="dxa"/>
            <w:vAlign w:val="center"/>
          </w:tcPr>
          <w:p w14:paraId="5FAE16C7">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竞标有效期</w:t>
            </w:r>
          </w:p>
        </w:tc>
        <w:tc>
          <w:tcPr>
            <w:tcW w:w="5122" w:type="dxa"/>
            <w:vAlign w:val="center"/>
          </w:tcPr>
          <w:p w14:paraId="60552225">
            <w:pPr>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符合《采购文件》要求</w:t>
            </w:r>
            <w:r>
              <w:rPr>
                <w:rFonts w:hint="eastAsia" w:ascii="宋体" w:hAnsi="宋体" w:cs="宋体"/>
                <w:bCs/>
                <w:color w:val="auto"/>
                <w:szCs w:val="21"/>
                <w:highlight w:val="none"/>
                <w:lang w:eastAsia="zh-CN"/>
              </w:rPr>
              <w:t>。</w:t>
            </w:r>
          </w:p>
        </w:tc>
      </w:tr>
      <w:tr w14:paraId="047F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E1B65C7">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1B0A497A">
            <w:pPr>
              <w:widowControl/>
              <w:spacing w:line="360" w:lineRule="auto"/>
              <w:jc w:val="left"/>
              <w:textAlignment w:val="center"/>
              <w:rPr>
                <w:rFonts w:ascii="宋体" w:hAnsi="宋体" w:cs="宋体"/>
                <w:bCs/>
                <w:color w:val="auto"/>
                <w:szCs w:val="21"/>
                <w:highlight w:val="none"/>
              </w:rPr>
            </w:pPr>
          </w:p>
        </w:tc>
        <w:tc>
          <w:tcPr>
            <w:tcW w:w="2686" w:type="dxa"/>
            <w:vAlign w:val="center"/>
          </w:tcPr>
          <w:p w14:paraId="7914B315">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竞标报价</w:t>
            </w:r>
          </w:p>
        </w:tc>
        <w:tc>
          <w:tcPr>
            <w:tcW w:w="5122" w:type="dxa"/>
            <w:vAlign w:val="center"/>
          </w:tcPr>
          <w:p w14:paraId="601190F1">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竞标报价满足</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采购文件</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要求</w:t>
            </w:r>
            <w:r>
              <w:rPr>
                <w:rFonts w:hint="eastAsia" w:ascii="宋体" w:hAnsi="宋体" w:cs="宋体"/>
                <w:bCs/>
                <w:color w:val="auto"/>
                <w:szCs w:val="21"/>
                <w:highlight w:val="none"/>
                <w:lang w:eastAsia="zh-CN"/>
              </w:rPr>
              <w:t>。</w:t>
            </w:r>
          </w:p>
        </w:tc>
      </w:tr>
      <w:tr w14:paraId="5BC5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7AAFF7CE">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55CC6204">
            <w:pPr>
              <w:widowControl/>
              <w:spacing w:line="360" w:lineRule="auto"/>
              <w:jc w:val="left"/>
              <w:textAlignment w:val="center"/>
              <w:rPr>
                <w:rFonts w:ascii="宋体" w:hAnsi="宋体" w:cs="宋体"/>
                <w:bCs/>
                <w:color w:val="auto"/>
                <w:szCs w:val="21"/>
                <w:highlight w:val="none"/>
              </w:rPr>
            </w:pPr>
          </w:p>
        </w:tc>
        <w:tc>
          <w:tcPr>
            <w:tcW w:w="2686" w:type="dxa"/>
            <w:vAlign w:val="center"/>
          </w:tcPr>
          <w:p w14:paraId="14AFF308">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其他实质性要求响应</w:t>
            </w:r>
          </w:p>
        </w:tc>
        <w:tc>
          <w:tcPr>
            <w:tcW w:w="5122" w:type="dxa"/>
            <w:vAlign w:val="center"/>
          </w:tcPr>
          <w:p w14:paraId="543B9283">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竞标文件中无采购人不能接受的条件，且符合采购文件第三章采购需求所涉及的实质性要求。</w:t>
            </w:r>
          </w:p>
        </w:tc>
      </w:tr>
      <w:tr w14:paraId="28B7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5160ABAF">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7BB04578">
            <w:pPr>
              <w:widowControl/>
              <w:spacing w:line="360" w:lineRule="auto"/>
              <w:jc w:val="left"/>
              <w:textAlignment w:val="center"/>
              <w:rPr>
                <w:rFonts w:ascii="宋体" w:hAnsi="宋体" w:cs="宋体"/>
                <w:bCs/>
                <w:color w:val="auto"/>
                <w:szCs w:val="21"/>
                <w:highlight w:val="none"/>
              </w:rPr>
            </w:pPr>
          </w:p>
        </w:tc>
        <w:tc>
          <w:tcPr>
            <w:tcW w:w="2686" w:type="dxa"/>
            <w:vAlign w:val="center"/>
          </w:tcPr>
          <w:p w14:paraId="5D137A46">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响应文件格式</w:t>
            </w:r>
          </w:p>
        </w:tc>
        <w:tc>
          <w:tcPr>
            <w:tcW w:w="5122" w:type="dxa"/>
            <w:vAlign w:val="center"/>
          </w:tcPr>
          <w:p w14:paraId="42079A37">
            <w:pPr>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符合第二章供应商须知正文前附表第12.1.2项，报价商务技术文件中必须提供的内容。</w:t>
            </w:r>
          </w:p>
        </w:tc>
      </w:tr>
      <w:tr w14:paraId="1811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14:paraId="305218EA">
            <w:pPr>
              <w:widowControl/>
              <w:spacing w:line="360" w:lineRule="auto"/>
              <w:jc w:val="left"/>
              <w:textAlignment w:val="center"/>
              <w:rPr>
                <w:rFonts w:ascii="宋体" w:hAnsi="宋体" w:cs="宋体"/>
                <w:bCs/>
                <w:color w:val="auto"/>
                <w:szCs w:val="21"/>
                <w:highlight w:val="none"/>
              </w:rPr>
            </w:pPr>
          </w:p>
        </w:tc>
        <w:tc>
          <w:tcPr>
            <w:tcW w:w="847" w:type="dxa"/>
            <w:vMerge w:val="continue"/>
            <w:vAlign w:val="center"/>
          </w:tcPr>
          <w:p w14:paraId="538D3702">
            <w:pPr>
              <w:widowControl/>
              <w:spacing w:line="360" w:lineRule="auto"/>
              <w:jc w:val="left"/>
              <w:textAlignment w:val="center"/>
              <w:rPr>
                <w:rFonts w:ascii="宋体" w:hAnsi="宋体" w:cs="宋体"/>
                <w:bCs/>
                <w:color w:val="auto"/>
                <w:szCs w:val="21"/>
                <w:highlight w:val="none"/>
              </w:rPr>
            </w:pPr>
          </w:p>
        </w:tc>
        <w:tc>
          <w:tcPr>
            <w:tcW w:w="2686" w:type="dxa"/>
            <w:vAlign w:val="center"/>
          </w:tcPr>
          <w:p w14:paraId="2F33B4A2">
            <w:pPr>
              <w:widowControl/>
              <w:spacing w:line="360" w:lineRule="auto"/>
              <w:jc w:val="left"/>
              <w:textAlignment w:val="center"/>
              <w:rPr>
                <w:rFonts w:ascii="宋体" w:hAnsi="宋体" w:cs="宋体"/>
                <w:bCs/>
                <w:color w:val="auto"/>
                <w:szCs w:val="21"/>
                <w:highlight w:val="none"/>
              </w:rPr>
            </w:pPr>
            <w:r>
              <w:rPr>
                <w:rFonts w:hint="eastAsia" w:ascii="宋体" w:hAnsi="宋体" w:cs="宋体"/>
                <w:bCs/>
                <w:color w:val="auto"/>
                <w:szCs w:val="21"/>
                <w:highlight w:val="none"/>
              </w:rPr>
              <w:t>其他</w:t>
            </w:r>
          </w:p>
        </w:tc>
        <w:tc>
          <w:tcPr>
            <w:tcW w:w="5122" w:type="dxa"/>
            <w:vAlign w:val="center"/>
          </w:tcPr>
          <w:p w14:paraId="659D16DE">
            <w:pPr>
              <w:widowControl/>
              <w:spacing w:line="360" w:lineRule="auto"/>
              <w:jc w:val="left"/>
              <w:textAlignment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不存在采购文件规定的竞标无效的情形</w:t>
            </w:r>
            <w:r>
              <w:rPr>
                <w:rFonts w:hint="eastAsia" w:ascii="宋体" w:hAnsi="宋体" w:cs="宋体"/>
                <w:bCs/>
                <w:color w:val="auto"/>
                <w:szCs w:val="21"/>
                <w:highlight w:val="none"/>
                <w:lang w:eastAsia="zh-CN"/>
              </w:rPr>
              <w:t>。</w:t>
            </w:r>
          </w:p>
        </w:tc>
      </w:tr>
    </w:tbl>
    <w:p w14:paraId="240F472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6.2综合评审</w:t>
      </w:r>
    </w:p>
    <w:p w14:paraId="3E823A1B">
      <w:pPr>
        <w:spacing w:line="360" w:lineRule="auto"/>
        <w:ind w:firstLine="420" w:firstLineChars="200"/>
        <w:rPr>
          <w:rFonts w:ascii="宋体" w:hAnsi="宋体" w:cs="宋体"/>
          <w:b/>
          <w:color w:val="auto"/>
          <w:szCs w:val="21"/>
          <w:highlight w:val="none"/>
        </w:rPr>
      </w:pPr>
      <w:r>
        <w:rPr>
          <w:rFonts w:hint="eastAsia" w:ascii="宋体" w:hAnsi="宋体" w:cs="宋体"/>
          <w:bCs/>
          <w:color w:val="auto"/>
          <w:szCs w:val="21"/>
          <w:highlight w:val="none"/>
        </w:rPr>
        <w:t>磋商小组将以磋商响应文件为评审依据，对供应商的报价、技术、商务等方面内容按百分制打分。（计分方法按四舍五入取至百分位）</w:t>
      </w:r>
    </w:p>
    <w:tbl>
      <w:tblPr>
        <w:tblStyle w:val="3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129"/>
        <w:gridCol w:w="776"/>
        <w:gridCol w:w="1475"/>
        <w:gridCol w:w="5192"/>
      </w:tblGrid>
      <w:tr w14:paraId="3DC8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14:paraId="308B4DCF">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611" w:type="pct"/>
            <w:vAlign w:val="center"/>
          </w:tcPr>
          <w:p w14:paraId="4092A03E">
            <w:pPr>
              <w:adjustRightInd/>
              <w:spacing w:line="360" w:lineRule="auto"/>
              <w:jc w:val="center"/>
              <w:textAlignment w:val="baseline"/>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评审因素</w:t>
            </w:r>
          </w:p>
        </w:tc>
        <w:tc>
          <w:tcPr>
            <w:tcW w:w="420" w:type="pct"/>
            <w:vAlign w:val="center"/>
          </w:tcPr>
          <w:p w14:paraId="559BE2F9">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tc>
        <w:tc>
          <w:tcPr>
            <w:tcW w:w="3606" w:type="pct"/>
            <w:gridSpan w:val="2"/>
            <w:vAlign w:val="center"/>
          </w:tcPr>
          <w:p w14:paraId="3452E775">
            <w:pPr>
              <w:adjustRightInd/>
              <w:spacing w:line="360" w:lineRule="auto"/>
              <w:jc w:val="center"/>
              <w:textAlignment w:val="baseline"/>
              <w:rPr>
                <w:rFonts w:hint="eastAsia" w:ascii="宋体" w:hAnsi="宋体" w:eastAsia="宋体" w:cs="宋体"/>
                <w:b w:val="0"/>
                <w:color w:val="auto"/>
                <w:szCs w:val="21"/>
                <w:highlight w:val="none"/>
              </w:rPr>
            </w:pPr>
            <w:r>
              <w:rPr>
                <w:rFonts w:hint="eastAsia" w:ascii="宋体" w:hAnsi="宋体" w:eastAsia="宋体" w:cs="宋体"/>
                <w:b/>
                <w:color w:val="auto"/>
                <w:szCs w:val="21"/>
                <w:highlight w:val="none"/>
              </w:rPr>
              <w:t>评标标准</w:t>
            </w:r>
          </w:p>
        </w:tc>
      </w:tr>
      <w:tr w14:paraId="7C4B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14:paraId="40789442">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611" w:type="pct"/>
            <w:vAlign w:val="center"/>
          </w:tcPr>
          <w:p w14:paraId="6B3B68C5">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报价部分</w:t>
            </w:r>
          </w:p>
        </w:tc>
        <w:tc>
          <w:tcPr>
            <w:tcW w:w="420" w:type="pct"/>
            <w:vAlign w:val="center"/>
          </w:tcPr>
          <w:p w14:paraId="654F06BB">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20</w:t>
            </w:r>
            <w:r>
              <w:rPr>
                <w:rFonts w:hint="eastAsia" w:ascii="宋体" w:hAnsi="宋体" w:eastAsia="宋体" w:cs="宋体"/>
                <w:b/>
                <w:color w:val="auto"/>
                <w:szCs w:val="21"/>
                <w:highlight w:val="none"/>
              </w:rPr>
              <w:t>分</w:t>
            </w:r>
          </w:p>
        </w:tc>
        <w:tc>
          <w:tcPr>
            <w:tcW w:w="3606" w:type="pct"/>
            <w:gridSpan w:val="2"/>
            <w:vAlign w:val="center"/>
          </w:tcPr>
          <w:p w14:paraId="0547127B">
            <w:pPr>
              <w:spacing w:line="360" w:lineRule="auto"/>
              <w:ind w:firstLine="420"/>
              <w:rPr>
                <w:rFonts w:hint="eastAsia" w:ascii="宋体" w:hAnsi="宋体" w:eastAsia="宋体" w:cs="宋体"/>
                <w:i w:val="0"/>
                <w:iCs w:val="0"/>
                <w:color w:val="auto"/>
                <w:szCs w:val="21"/>
                <w:highlight w:val="none"/>
              </w:rPr>
            </w:pPr>
            <w:r>
              <w:rPr>
                <w:rFonts w:hint="eastAsia" w:ascii="宋体" w:hAnsi="宋体" w:eastAsia="宋体" w:cs="宋体"/>
                <w:bCs w:val="0"/>
                <w:i w:val="0"/>
                <w:iCs w:val="0"/>
                <w:color w:val="auto"/>
                <w:szCs w:val="21"/>
                <w:highlight w:val="none"/>
              </w:rPr>
              <w:t>1.</w:t>
            </w:r>
            <w:r>
              <w:rPr>
                <w:rFonts w:hint="eastAsia" w:ascii="宋体" w:hAnsi="宋体" w:eastAsia="宋体" w:cs="宋体"/>
                <w:i w:val="0"/>
                <w:iCs w:val="0"/>
                <w:color w:val="auto"/>
                <w:szCs w:val="21"/>
                <w:highlight w:val="none"/>
              </w:rPr>
              <w:t>评审价为供应商的最后报价。</w:t>
            </w:r>
          </w:p>
          <w:p w14:paraId="53F3D0D4">
            <w:pPr>
              <w:spacing w:line="360" w:lineRule="auto"/>
              <w:ind w:firstLine="420"/>
              <w:rPr>
                <w:rFonts w:hint="eastAsia" w:ascii="宋体" w:hAnsi="宋体" w:eastAsia="宋体" w:cs="宋体"/>
                <w:b w:val="0"/>
                <w:bCs w:val="0"/>
                <w:i w:val="0"/>
                <w:iCs w:val="0"/>
                <w:color w:val="auto"/>
                <w:szCs w:val="21"/>
                <w:highlight w:val="none"/>
              </w:rPr>
            </w:pPr>
            <w:r>
              <w:rPr>
                <w:rFonts w:hint="eastAsia" w:ascii="宋体" w:hAnsi="宋体" w:eastAsia="宋体" w:cs="宋体"/>
                <w:b w:val="0"/>
                <w:bCs w:val="0"/>
                <w:i w:val="0"/>
                <w:iCs w:val="0"/>
                <w:color w:val="auto"/>
                <w:szCs w:val="21"/>
                <w:highlight w:val="none"/>
              </w:rPr>
              <w:t>2.本项目属于专门面向中小企业采购的项目（供应商应为中小微企业、监狱企业、残疾人福利性单位</w:t>
            </w:r>
            <w:r>
              <w:rPr>
                <w:rFonts w:hint="eastAsia" w:ascii="宋体" w:hAnsi="宋体" w:eastAsia="宋体" w:cs="宋体"/>
                <w:b w:val="0"/>
                <w:bCs w:val="0"/>
                <w:i w:val="0"/>
                <w:iCs w:val="0"/>
                <w:color w:val="auto"/>
                <w:szCs w:val="21"/>
                <w:highlight w:val="none"/>
                <w:lang w:eastAsia="zh-CN"/>
              </w:rPr>
              <w:t>）</w:t>
            </w:r>
            <w:r>
              <w:rPr>
                <w:rFonts w:hint="eastAsia" w:ascii="宋体" w:hAnsi="宋体" w:eastAsia="宋体" w:cs="宋体"/>
                <w:b w:val="0"/>
                <w:bCs w:val="0"/>
                <w:i w:val="0"/>
                <w:iCs w:val="0"/>
                <w:color w:val="auto"/>
                <w:szCs w:val="21"/>
                <w:highlight w:val="none"/>
              </w:rPr>
              <w:t>，不再进行政府采购政策性扣除计算。</w:t>
            </w:r>
          </w:p>
          <w:p w14:paraId="212B517F">
            <w:pPr>
              <w:spacing w:line="360" w:lineRule="auto"/>
              <w:ind w:firstLine="420"/>
              <w:rPr>
                <w:rFonts w:hint="eastAsia" w:ascii="宋体" w:hAnsi="宋体" w:eastAsia="宋体" w:cs="宋体"/>
                <w:bCs w:val="0"/>
                <w:i w:val="0"/>
                <w:iCs w:val="0"/>
                <w:color w:val="auto"/>
                <w:kern w:val="2"/>
                <w:sz w:val="21"/>
                <w:szCs w:val="21"/>
                <w:highlight w:val="none"/>
              </w:rPr>
            </w:pPr>
            <w:r>
              <w:rPr>
                <w:rFonts w:hint="eastAsia" w:ascii="宋体" w:hAnsi="宋体" w:eastAsia="宋体" w:cs="宋体"/>
                <w:bCs w:val="0"/>
                <w:i w:val="0"/>
                <w:iCs w:val="0"/>
                <w:color w:val="auto"/>
                <w:kern w:val="2"/>
                <w:sz w:val="21"/>
                <w:szCs w:val="21"/>
                <w:highlight w:val="none"/>
              </w:rPr>
              <w:t>3.以进入比较与评价环节的最低的评审价为基准价，基准价得分为</w:t>
            </w:r>
            <w:r>
              <w:rPr>
                <w:rFonts w:hint="eastAsia" w:ascii="宋体" w:hAnsi="宋体" w:eastAsia="宋体" w:cs="宋体"/>
                <w:bCs w:val="0"/>
                <w:i w:val="0"/>
                <w:iCs w:val="0"/>
                <w:color w:val="auto"/>
                <w:kern w:val="2"/>
                <w:sz w:val="21"/>
                <w:szCs w:val="21"/>
                <w:highlight w:val="none"/>
                <w:u w:val="none"/>
                <w:lang w:val="en-US" w:eastAsia="zh-CN"/>
              </w:rPr>
              <w:t>2</w:t>
            </w:r>
            <w:r>
              <w:rPr>
                <w:rFonts w:hint="eastAsia" w:ascii="宋体" w:hAnsi="宋体" w:eastAsia="宋体" w:cs="宋体"/>
                <w:bCs w:val="0"/>
                <w:i w:val="0"/>
                <w:iCs w:val="0"/>
                <w:color w:val="auto"/>
                <w:kern w:val="2"/>
                <w:sz w:val="21"/>
                <w:szCs w:val="21"/>
                <w:highlight w:val="none"/>
                <w:u w:val="none"/>
              </w:rPr>
              <w:t>0分</w:t>
            </w:r>
            <w:r>
              <w:rPr>
                <w:rFonts w:hint="eastAsia" w:ascii="宋体" w:hAnsi="宋体" w:eastAsia="宋体" w:cs="宋体"/>
                <w:bCs w:val="0"/>
                <w:i w:val="0"/>
                <w:iCs w:val="0"/>
                <w:color w:val="auto"/>
                <w:kern w:val="2"/>
                <w:sz w:val="21"/>
                <w:szCs w:val="21"/>
                <w:highlight w:val="none"/>
              </w:rPr>
              <w:t>。</w:t>
            </w:r>
          </w:p>
          <w:p w14:paraId="3C26523A">
            <w:pPr>
              <w:spacing w:line="360" w:lineRule="auto"/>
              <w:ind w:firstLine="420" w:firstLineChars="0"/>
              <w:rPr>
                <w:rFonts w:hint="eastAsia" w:ascii="宋体" w:hAnsi="宋体" w:eastAsia="宋体" w:cs="宋体"/>
                <w:bCs w:val="0"/>
                <w:color w:val="auto"/>
                <w:szCs w:val="21"/>
                <w:highlight w:val="none"/>
              </w:rPr>
            </w:pPr>
            <w:r>
              <w:rPr>
                <w:rFonts w:hint="eastAsia" w:ascii="宋体" w:hAnsi="宋体" w:eastAsia="宋体" w:cs="宋体"/>
                <w:bCs w:val="0"/>
                <w:i w:val="0"/>
                <w:iCs w:val="0"/>
                <w:color w:val="auto"/>
                <w:kern w:val="2"/>
                <w:sz w:val="21"/>
                <w:szCs w:val="21"/>
                <w:highlight w:val="none"/>
              </w:rPr>
              <w:t>4.价格分计算公式：报价得分=（基准价/评审价）×</w:t>
            </w:r>
            <w:r>
              <w:rPr>
                <w:rFonts w:hint="eastAsia" w:ascii="宋体" w:hAnsi="宋体" w:eastAsia="宋体" w:cs="宋体"/>
                <w:bCs w:val="0"/>
                <w:i w:val="0"/>
                <w:iCs w:val="0"/>
                <w:color w:val="auto"/>
                <w:kern w:val="2"/>
                <w:sz w:val="21"/>
                <w:szCs w:val="21"/>
                <w:highlight w:val="none"/>
                <w:u w:val="none"/>
                <w:lang w:val="en-US" w:eastAsia="zh-CN"/>
              </w:rPr>
              <w:t>2</w:t>
            </w:r>
            <w:r>
              <w:rPr>
                <w:rFonts w:hint="eastAsia" w:ascii="宋体" w:hAnsi="宋体" w:eastAsia="宋体" w:cs="宋体"/>
                <w:bCs w:val="0"/>
                <w:i w:val="0"/>
                <w:iCs w:val="0"/>
                <w:color w:val="auto"/>
                <w:kern w:val="2"/>
                <w:sz w:val="21"/>
                <w:szCs w:val="21"/>
                <w:highlight w:val="none"/>
                <w:u w:val="none"/>
              </w:rPr>
              <w:t>0分</w:t>
            </w:r>
          </w:p>
        </w:tc>
      </w:tr>
      <w:tr w14:paraId="7C34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restart"/>
            <w:vAlign w:val="center"/>
          </w:tcPr>
          <w:p w14:paraId="4E302533">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tc>
        <w:tc>
          <w:tcPr>
            <w:tcW w:w="611" w:type="pct"/>
            <w:vMerge w:val="restart"/>
            <w:vAlign w:val="center"/>
          </w:tcPr>
          <w:p w14:paraId="52455E8D">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技术部分</w:t>
            </w:r>
          </w:p>
        </w:tc>
        <w:tc>
          <w:tcPr>
            <w:tcW w:w="420" w:type="pct"/>
            <w:vMerge w:val="restart"/>
            <w:vAlign w:val="center"/>
          </w:tcPr>
          <w:p w14:paraId="4BD4F8A2">
            <w:pPr>
              <w:spacing w:line="360" w:lineRule="auto"/>
              <w:jc w:val="center"/>
              <w:textAlignment w:val="baseline"/>
              <w:rPr>
                <w:rFonts w:hint="eastAsia" w:ascii="宋体" w:hAnsi="宋体" w:eastAsia="宋体" w:cs="宋体"/>
                <w:color w:val="auto"/>
                <w:highlight w:val="none"/>
              </w:rPr>
            </w:pPr>
            <w:r>
              <w:rPr>
                <w:rFonts w:hint="eastAsia" w:ascii="宋体" w:hAnsi="宋体" w:eastAsia="宋体" w:cs="宋体"/>
                <w:b/>
                <w:bCs/>
                <w:color w:val="auto"/>
                <w:highlight w:val="none"/>
                <w:lang w:val="en-US" w:eastAsia="zh-CN"/>
              </w:rPr>
              <w:t>74</w:t>
            </w:r>
            <w:r>
              <w:rPr>
                <w:rFonts w:hint="eastAsia" w:ascii="宋体" w:hAnsi="宋体" w:eastAsia="宋体" w:cs="宋体"/>
                <w:b/>
                <w:bCs/>
                <w:color w:val="auto"/>
                <w:highlight w:val="none"/>
              </w:rPr>
              <w:t>分</w:t>
            </w:r>
          </w:p>
        </w:tc>
        <w:tc>
          <w:tcPr>
            <w:tcW w:w="798" w:type="pct"/>
            <w:vAlign w:val="center"/>
          </w:tcPr>
          <w:p w14:paraId="3C74EF9D">
            <w:pPr>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项目服务实施方案（满分</w:t>
            </w:r>
            <w:r>
              <w:rPr>
                <w:rFonts w:hint="eastAsia" w:ascii="宋体" w:hAnsi="宋体" w:eastAsia="宋体" w:cs="宋体"/>
                <w:b/>
                <w:color w:val="auto"/>
                <w:szCs w:val="21"/>
                <w:highlight w:val="none"/>
                <w:lang w:val="en-US" w:eastAsia="zh-CN"/>
              </w:rPr>
              <w:t>30</w:t>
            </w:r>
            <w:r>
              <w:rPr>
                <w:rFonts w:hint="eastAsia" w:ascii="宋体" w:hAnsi="宋体" w:eastAsia="宋体" w:cs="宋体"/>
                <w:b/>
                <w:color w:val="auto"/>
                <w:szCs w:val="21"/>
                <w:highlight w:val="none"/>
              </w:rPr>
              <w:t>分）</w:t>
            </w:r>
          </w:p>
        </w:tc>
        <w:tc>
          <w:tcPr>
            <w:tcW w:w="2808" w:type="pct"/>
            <w:vAlign w:val="center"/>
          </w:tcPr>
          <w:p w14:paraId="12AE46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分）：提供的项目服务实施方案内容简单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服务实施方案有工作流程、人员配备、工作措施、工作方法、工作手段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工作进度安排</w:t>
            </w:r>
            <w:r>
              <w:rPr>
                <w:rFonts w:hint="eastAsia" w:ascii="宋体" w:hAnsi="宋体" w:eastAsia="宋体" w:cs="宋体"/>
                <w:color w:val="auto"/>
                <w:szCs w:val="21"/>
                <w:highlight w:val="none"/>
              </w:rPr>
              <w:t>等。</w:t>
            </w:r>
          </w:p>
          <w:p w14:paraId="6067B3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w:t>
            </w: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分）：在一档的基础上，服务实施方案有对应的工作流程、人员配备、工作措施、工作方法、工作手段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审查工作要点</w:t>
            </w:r>
            <w:r>
              <w:rPr>
                <w:rFonts w:hint="eastAsia" w:ascii="宋体" w:hAnsi="宋体" w:eastAsia="宋体" w:cs="宋体"/>
                <w:color w:val="auto"/>
                <w:szCs w:val="21"/>
                <w:highlight w:val="none"/>
              </w:rPr>
              <w:t>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有人员安排及技术路线</w:t>
            </w:r>
            <w:r>
              <w:rPr>
                <w:rFonts w:hint="eastAsia" w:ascii="宋体" w:hAnsi="宋体" w:eastAsia="宋体" w:cs="宋体"/>
                <w:color w:val="auto"/>
                <w:szCs w:val="21"/>
                <w:highlight w:val="none"/>
                <w:lang w:eastAsia="zh-CN"/>
              </w:rPr>
              <w:t>，</w:t>
            </w:r>
            <w:r>
              <w:rPr>
                <w:rFonts w:hint="eastAsia" w:ascii="宋体" w:hAnsi="宋体" w:eastAsia="宋体" w:cs="宋体"/>
                <w:bCs/>
                <w:color w:val="auto"/>
                <w:kern w:val="0"/>
                <w:szCs w:val="21"/>
                <w:highlight w:val="none"/>
              </w:rPr>
              <w:t>项目审查有进度和时间节点安排</w:t>
            </w:r>
            <w:r>
              <w:rPr>
                <w:rFonts w:hint="eastAsia" w:ascii="宋体" w:hAnsi="宋体" w:eastAsia="宋体" w:cs="宋体"/>
                <w:color w:val="auto"/>
                <w:szCs w:val="21"/>
                <w:highlight w:val="none"/>
              </w:rPr>
              <w:t>。</w:t>
            </w:r>
          </w:p>
          <w:p w14:paraId="106560BE">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三档（</w:t>
            </w: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分）：在二档的基础上，对实施过程中可能存在的问题及产生问题的原因分析全面，有提出针对本项目的解决方案，有人员安排及技术路线</w:t>
            </w:r>
            <w:r>
              <w:rPr>
                <w:rFonts w:hint="eastAsia" w:ascii="宋体" w:hAnsi="宋体" w:eastAsia="宋体" w:cs="宋体"/>
                <w:color w:val="auto"/>
                <w:szCs w:val="21"/>
                <w:highlight w:val="none"/>
                <w:lang w:val="en-US" w:eastAsia="zh-CN"/>
              </w:rPr>
              <w:t>并明确职责分工，</w:t>
            </w:r>
            <w:r>
              <w:rPr>
                <w:rFonts w:hint="eastAsia" w:ascii="宋体" w:hAnsi="宋体" w:eastAsia="宋体" w:cs="宋体"/>
                <w:bCs/>
                <w:color w:val="auto"/>
                <w:kern w:val="0"/>
                <w:szCs w:val="21"/>
                <w:highlight w:val="none"/>
              </w:rPr>
              <w:t>工作节点内容清晰，项目审查有进程有全部时间节点安排</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有</w:t>
            </w:r>
            <w:r>
              <w:rPr>
                <w:rFonts w:hint="eastAsia" w:ascii="宋体" w:hAnsi="宋体" w:eastAsia="宋体" w:cs="宋体"/>
                <w:color w:val="auto"/>
                <w:sz w:val="21"/>
                <w:szCs w:val="21"/>
                <w:highlight w:val="none"/>
              </w:rPr>
              <w:t>进度控制的目标、方法、措施</w:t>
            </w:r>
            <w:r>
              <w:rPr>
                <w:rFonts w:hint="eastAsia" w:ascii="宋体" w:hAnsi="宋体" w:eastAsia="宋体" w:cs="宋体"/>
                <w:color w:val="auto"/>
                <w:szCs w:val="21"/>
                <w:highlight w:val="none"/>
                <w:lang w:eastAsia="zh-CN"/>
              </w:rPr>
              <w:t>。</w:t>
            </w:r>
          </w:p>
          <w:p w14:paraId="1A6864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分）：在三档的基础上，</w:t>
            </w:r>
            <w:r>
              <w:rPr>
                <w:rFonts w:hint="eastAsia" w:ascii="宋体" w:hAnsi="宋体" w:eastAsia="宋体" w:cs="宋体"/>
                <w:color w:val="auto"/>
                <w:szCs w:val="21"/>
                <w:highlight w:val="none"/>
                <w:lang w:val="en-US" w:eastAsia="zh-CN"/>
              </w:rPr>
              <w:t>针对</w:t>
            </w:r>
            <w:r>
              <w:rPr>
                <w:rFonts w:hint="eastAsia" w:ascii="宋体" w:hAnsi="宋体" w:eastAsia="宋体" w:cs="宋体"/>
                <w:bCs/>
                <w:color w:val="auto"/>
                <w:kern w:val="0"/>
                <w:szCs w:val="21"/>
                <w:highlight w:val="none"/>
              </w:rPr>
              <w:t>不同类型的</w:t>
            </w:r>
            <w:r>
              <w:rPr>
                <w:rFonts w:hint="eastAsia" w:ascii="宋体" w:hAnsi="宋体" w:eastAsia="宋体" w:cs="宋体"/>
                <w:bCs/>
                <w:color w:val="auto"/>
                <w:kern w:val="0"/>
                <w:szCs w:val="21"/>
                <w:highlight w:val="none"/>
                <w:lang w:val="en-US" w:eastAsia="zh-CN"/>
              </w:rPr>
              <w:t>审查</w:t>
            </w:r>
            <w:r>
              <w:rPr>
                <w:rFonts w:hint="eastAsia" w:ascii="宋体" w:hAnsi="宋体" w:eastAsia="宋体" w:cs="宋体"/>
                <w:bCs/>
                <w:color w:val="auto"/>
                <w:kern w:val="0"/>
                <w:szCs w:val="21"/>
                <w:highlight w:val="none"/>
              </w:rPr>
              <w:t>项目进行分析及重难点进行分析</w:t>
            </w:r>
            <w:r>
              <w:rPr>
                <w:rFonts w:hint="eastAsia" w:ascii="宋体" w:hAnsi="宋体" w:eastAsia="宋体" w:cs="宋体"/>
                <w:bCs/>
                <w:color w:val="auto"/>
                <w:kern w:val="0"/>
                <w:szCs w:val="21"/>
                <w:highlight w:val="none"/>
                <w:lang w:eastAsia="zh-CN"/>
              </w:rPr>
              <w:t>，</w:t>
            </w:r>
            <w:r>
              <w:rPr>
                <w:rFonts w:hint="eastAsia" w:ascii="宋体" w:hAnsi="宋体" w:eastAsia="宋体" w:cs="宋体"/>
                <w:color w:val="auto"/>
                <w:szCs w:val="21"/>
                <w:highlight w:val="none"/>
              </w:rPr>
              <w:t>提出的解决方案内容全面且有针对性，人员安排及技术路线科学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按审查类型设置专项工作组并明确职责分工</w:t>
            </w:r>
            <w:r>
              <w:rPr>
                <w:rFonts w:hint="eastAsia" w:ascii="宋体" w:hAnsi="宋体" w:eastAsia="宋体" w:cs="宋体"/>
                <w:color w:val="auto"/>
                <w:szCs w:val="21"/>
                <w:highlight w:val="none"/>
              </w:rPr>
              <w:t>，</w:t>
            </w:r>
            <w:bookmarkStart w:id="72" w:name="OLE_LINK62"/>
            <w:r>
              <w:rPr>
                <w:rFonts w:hint="eastAsia" w:ascii="宋体" w:hAnsi="宋体" w:eastAsia="宋体" w:cs="宋体"/>
                <w:bCs/>
                <w:color w:val="auto"/>
                <w:kern w:val="0"/>
                <w:szCs w:val="21"/>
                <w:highlight w:val="none"/>
              </w:rPr>
              <w:t>工作节点内容清晰</w:t>
            </w:r>
            <w:bookmarkEnd w:id="72"/>
            <w:r>
              <w:rPr>
                <w:rFonts w:hint="eastAsia" w:ascii="宋体" w:hAnsi="宋体" w:eastAsia="宋体" w:cs="宋体"/>
                <w:bCs/>
                <w:color w:val="auto"/>
                <w:kern w:val="0"/>
                <w:szCs w:val="21"/>
                <w:highlight w:val="none"/>
              </w:rPr>
              <w:t>，项目审查有进程有全部时间节点安排，</w:t>
            </w:r>
            <w:r>
              <w:rPr>
                <w:rFonts w:hint="eastAsia" w:ascii="宋体" w:hAnsi="宋体" w:eastAsia="宋体" w:cs="宋体"/>
                <w:color w:val="auto"/>
                <w:sz w:val="21"/>
                <w:szCs w:val="21"/>
                <w:highlight w:val="none"/>
              </w:rPr>
              <w:t>进度控制的目标、方法、措施</w:t>
            </w:r>
            <w:r>
              <w:rPr>
                <w:rFonts w:hint="eastAsia" w:ascii="宋体" w:hAnsi="宋体" w:eastAsia="宋体" w:cs="宋体"/>
                <w:color w:val="auto"/>
                <w:sz w:val="21"/>
                <w:szCs w:val="21"/>
                <w:highlight w:val="none"/>
                <w:lang w:val="en-US" w:eastAsia="zh-CN"/>
              </w:rPr>
              <w:t>有针对性，</w:t>
            </w:r>
            <w:r>
              <w:rPr>
                <w:rFonts w:hint="eastAsia" w:ascii="宋体" w:hAnsi="宋体" w:eastAsia="宋体" w:cs="宋体"/>
                <w:color w:val="auto"/>
                <w:szCs w:val="21"/>
                <w:highlight w:val="none"/>
              </w:rPr>
              <w:t>有保障时间进度安排的</w:t>
            </w:r>
            <w:r>
              <w:rPr>
                <w:rFonts w:hint="eastAsia" w:ascii="宋体" w:hAnsi="宋体" w:eastAsia="宋体" w:cs="宋体"/>
                <w:color w:val="auto"/>
                <w:szCs w:val="21"/>
                <w:highlight w:val="none"/>
                <w:lang w:val="en-US" w:eastAsia="zh-CN"/>
              </w:rPr>
              <w:t>措施及承诺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有具体的措施并针对本项目提出了合理化建议，项目成果符合规范要求，并达到质量要求及采购人要求。</w:t>
            </w:r>
          </w:p>
          <w:p w14:paraId="08FD03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备注：未提项目服务实施方案</w:t>
            </w:r>
            <w:r>
              <w:rPr>
                <w:rFonts w:hint="eastAsia" w:ascii="宋体" w:hAnsi="宋体" w:eastAsia="宋体" w:cs="宋体"/>
                <w:color w:val="auto"/>
                <w:szCs w:val="21"/>
                <w:highlight w:val="none"/>
                <w:lang w:val="en-US" w:eastAsia="zh-CN"/>
              </w:rPr>
              <w:t>或未达到一档</w:t>
            </w:r>
            <w:r>
              <w:rPr>
                <w:rFonts w:hint="eastAsia" w:ascii="宋体" w:hAnsi="宋体" w:eastAsia="宋体" w:cs="宋体"/>
                <w:color w:val="auto"/>
                <w:szCs w:val="21"/>
                <w:highlight w:val="none"/>
              </w:rPr>
              <w:t>的不得分。</w:t>
            </w:r>
          </w:p>
        </w:tc>
      </w:tr>
      <w:tr w14:paraId="7DE2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vAlign w:val="center"/>
          </w:tcPr>
          <w:p w14:paraId="2628993B">
            <w:pPr>
              <w:adjustRightInd/>
              <w:spacing w:line="360" w:lineRule="auto"/>
              <w:jc w:val="center"/>
              <w:textAlignment w:val="baseline"/>
              <w:rPr>
                <w:rFonts w:hint="eastAsia" w:ascii="宋体" w:hAnsi="宋体" w:eastAsia="宋体" w:cs="宋体"/>
                <w:b/>
                <w:color w:val="auto"/>
                <w:szCs w:val="21"/>
                <w:highlight w:val="none"/>
              </w:rPr>
            </w:pPr>
          </w:p>
        </w:tc>
        <w:tc>
          <w:tcPr>
            <w:tcW w:w="611" w:type="pct"/>
            <w:vMerge w:val="continue"/>
            <w:vAlign w:val="center"/>
          </w:tcPr>
          <w:p w14:paraId="30C1F13E">
            <w:pPr>
              <w:adjustRightInd/>
              <w:spacing w:line="360" w:lineRule="auto"/>
              <w:jc w:val="center"/>
              <w:textAlignment w:val="baseline"/>
              <w:rPr>
                <w:rFonts w:hint="eastAsia" w:ascii="宋体" w:hAnsi="宋体" w:eastAsia="宋体" w:cs="宋体"/>
                <w:b/>
                <w:color w:val="auto"/>
                <w:szCs w:val="21"/>
                <w:highlight w:val="none"/>
              </w:rPr>
            </w:pPr>
          </w:p>
        </w:tc>
        <w:tc>
          <w:tcPr>
            <w:tcW w:w="420" w:type="pct"/>
            <w:vMerge w:val="continue"/>
            <w:vAlign w:val="center"/>
          </w:tcPr>
          <w:p w14:paraId="22D56BDB">
            <w:pPr>
              <w:spacing w:line="360" w:lineRule="auto"/>
              <w:jc w:val="center"/>
              <w:textAlignment w:val="baseline"/>
              <w:rPr>
                <w:rFonts w:hint="eastAsia" w:ascii="宋体" w:hAnsi="宋体" w:eastAsia="宋体" w:cs="宋体"/>
                <w:b/>
                <w:color w:val="auto"/>
                <w:szCs w:val="21"/>
                <w:highlight w:val="none"/>
              </w:rPr>
            </w:pPr>
          </w:p>
        </w:tc>
        <w:tc>
          <w:tcPr>
            <w:tcW w:w="798" w:type="pct"/>
            <w:shd w:val="clear" w:color="auto" w:fill="auto"/>
            <w:vAlign w:val="center"/>
          </w:tcPr>
          <w:p w14:paraId="61D6651B">
            <w:pPr>
              <w:spacing w:line="360" w:lineRule="auto"/>
              <w:jc w:val="center"/>
              <w:textAlignment w:val="baseline"/>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质量保证措施（满分</w:t>
            </w:r>
            <w:r>
              <w:rPr>
                <w:rFonts w:hint="eastAsia" w:ascii="宋体" w:hAnsi="宋体" w:eastAsia="宋体" w:cs="宋体"/>
                <w:b/>
                <w:color w:val="auto"/>
                <w:szCs w:val="21"/>
                <w:highlight w:val="none"/>
                <w:lang w:val="en-US" w:eastAsia="zh-CN"/>
              </w:rPr>
              <w:t>24</w:t>
            </w:r>
            <w:r>
              <w:rPr>
                <w:rFonts w:hint="eastAsia" w:ascii="宋体" w:hAnsi="宋体" w:eastAsia="宋体" w:cs="宋体"/>
                <w:b/>
                <w:color w:val="auto"/>
                <w:szCs w:val="21"/>
                <w:highlight w:val="none"/>
              </w:rPr>
              <w:t>分）</w:t>
            </w:r>
          </w:p>
        </w:tc>
        <w:tc>
          <w:tcPr>
            <w:tcW w:w="2808" w:type="pct"/>
            <w:shd w:val="clear" w:color="auto" w:fill="auto"/>
            <w:vAlign w:val="center"/>
          </w:tcPr>
          <w:p w14:paraId="72CE7F69">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分）：质量保证措施内容基本满足采购文件需求：包含质量目标，质量控制措施</w:t>
            </w:r>
            <w:r>
              <w:rPr>
                <w:rFonts w:hint="eastAsia" w:ascii="宋体" w:hAnsi="宋体" w:eastAsia="宋体" w:cs="宋体"/>
                <w:color w:val="auto"/>
                <w:szCs w:val="21"/>
                <w:highlight w:val="none"/>
                <w:lang w:eastAsia="zh-CN"/>
              </w:rPr>
              <w:t>。</w:t>
            </w:r>
          </w:p>
          <w:p w14:paraId="01086796">
            <w:pPr>
              <w:pStyle w:val="27"/>
              <w:spacing w:beforeAutospacing="0" w:line="360" w:lineRule="auto"/>
              <w:ind w:firstLine="420" w:firstLineChars="20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二档（</w:t>
            </w:r>
            <w:r>
              <w:rPr>
                <w:rFonts w:hint="eastAsia" w:ascii="宋体" w:hAnsi="宋体" w:eastAsia="宋体" w:cs="宋体"/>
                <w:color w:val="auto"/>
                <w:kern w:val="2"/>
                <w:sz w:val="21"/>
                <w:szCs w:val="21"/>
                <w:highlight w:val="none"/>
                <w:lang w:val="en-US" w:eastAsia="zh-CN"/>
              </w:rPr>
              <w:t>1</w:t>
            </w: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分）：在一档的基础上，质量保证措施内容满足采购文件需求，内容全面：包含质量方针、目标，质量管理工作流程、质量控制措施</w:t>
            </w:r>
            <w:r>
              <w:rPr>
                <w:rFonts w:hint="eastAsia" w:ascii="宋体" w:hAnsi="宋体" w:eastAsia="宋体" w:cs="宋体"/>
                <w:color w:val="auto"/>
                <w:kern w:val="2"/>
                <w:sz w:val="21"/>
                <w:szCs w:val="21"/>
                <w:highlight w:val="none"/>
                <w:lang w:eastAsia="zh-CN"/>
              </w:rPr>
              <w:t>。</w:t>
            </w:r>
          </w:p>
          <w:p w14:paraId="348FEBE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三档（</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分）：在二档的基础上，质量保证措施内容满足采购文件需求，内容全面：包含质量方针、目标、质量控制措施、质量管理工作流程、质量监控布置、管理体系</w:t>
            </w:r>
            <w:r>
              <w:rPr>
                <w:rFonts w:hint="eastAsia" w:ascii="宋体" w:hAnsi="宋体" w:eastAsia="宋体" w:cs="宋体"/>
                <w:color w:val="auto"/>
                <w:szCs w:val="21"/>
                <w:highlight w:val="none"/>
                <w:lang w:eastAsia="zh-CN"/>
              </w:rPr>
              <w:t>。</w:t>
            </w:r>
          </w:p>
          <w:p w14:paraId="2F960B5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w:t>
            </w: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分）：在三档的基础上，质量保证措施内容满足采购文件需求，内容全面、详细可行，包含：质量方针、目标，质量管理工作流程、</w:t>
            </w:r>
            <w:r>
              <w:rPr>
                <w:rFonts w:hint="eastAsia" w:ascii="宋体" w:hAnsi="宋体" w:eastAsia="宋体" w:cs="宋体"/>
                <w:color w:val="auto"/>
                <w:szCs w:val="21"/>
                <w:highlight w:val="none"/>
                <w:lang w:val="en-US" w:eastAsia="zh-CN"/>
              </w:rPr>
              <w:t>过程控制、</w:t>
            </w:r>
            <w:r>
              <w:rPr>
                <w:rFonts w:hint="eastAsia" w:ascii="宋体" w:hAnsi="宋体" w:eastAsia="宋体" w:cs="宋体"/>
                <w:color w:val="auto"/>
                <w:szCs w:val="21"/>
                <w:highlight w:val="none"/>
              </w:rPr>
              <w:t>质量监控布置、质量事故处理方案、管理体系、质量保证承诺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建立三级复核制度，明确各节点质量控制要求</w:t>
            </w:r>
            <w:r>
              <w:rPr>
                <w:rFonts w:hint="eastAsia" w:ascii="宋体" w:hAnsi="宋体" w:eastAsia="宋体" w:cs="宋体"/>
                <w:color w:val="auto"/>
                <w:szCs w:val="21"/>
                <w:highlight w:val="none"/>
              </w:rPr>
              <w:t>。</w:t>
            </w:r>
          </w:p>
          <w:p w14:paraId="4F0615FB">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备注：未提供质量保证措施</w:t>
            </w:r>
            <w:r>
              <w:rPr>
                <w:rFonts w:hint="eastAsia" w:ascii="宋体" w:hAnsi="宋体" w:eastAsia="宋体" w:cs="宋体"/>
                <w:color w:val="auto"/>
                <w:szCs w:val="21"/>
                <w:highlight w:val="none"/>
                <w:lang w:val="en-US" w:eastAsia="zh-CN"/>
              </w:rPr>
              <w:t>或未达到一档</w:t>
            </w:r>
            <w:r>
              <w:rPr>
                <w:rFonts w:hint="eastAsia" w:ascii="宋体" w:hAnsi="宋体" w:eastAsia="宋体" w:cs="宋体"/>
                <w:color w:val="auto"/>
                <w:szCs w:val="21"/>
                <w:highlight w:val="none"/>
              </w:rPr>
              <w:t>的不得分</w:t>
            </w:r>
          </w:p>
        </w:tc>
      </w:tr>
      <w:tr w14:paraId="0A76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361" w:type="pct"/>
            <w:vMerge w:val="continue"/>
            <w:vAlign w:val="center"/>
          </w:tcPr>
          <w:p w14:paraId="6694FFE3">
            <w:pPr>
              <w:adjustRightInd/>
              <w:spacing w:line="360" w:lineRule="auto"/>
              <w:jc w:val="center"/>
              <w:textAlignment w:val="baseline"/>
              <w:rPr>
                <w:rFonts w:hint="eastAsia" w:ascii="宋体" w:hAnsi="宋体" w:eastAsia="宋体" w:cs="宋体"/>
                <w:b/>
                <w:color w:val="auto"/>
                <w:szCs w:val="21"/>
                <w:highlight w:val="none"/>
              </w:rPr>
            </w:pPr>
          </w:p>
        </w:tc>
        <w:tc>
          <w:tcPr>
            <w:tcW w:w="611" w:type="pct"/>
            <w:vMerge w:val="continue"/>
            <w:vAlign w:val="center"/>
          </w:tcPr>
          <w:p w14:paraId="3E5DE50F">
            <w:pPr>
              <w:adjustRightInd/>
              <w:spacing w:line="360" w:lineRule="auto"/>
              <w:jc w:val="center"/>
              <w:textAlignment w:val="baseline"/>
              <w:rPr>
                <w:rFonts w:hint="eastAsia" w:ascii="宋体" w:hAnsi="宋体" w:eastAsia="宋体" w:cs="宋体"/>
                <w:b/>
                <w:color w:val="auto"/>
                <w:szCs w:val="21"/>
                <w:highlight w:val="none"/>
              </w:rPr>
            </w:pPr>
          </w:p>
        </w:tc>
        <w:tc>
          <w:tcPr>
            <w:tcW w:w="420" w:type="pct"/>
            <w:vMerge w:val="continue"/>
            <w:vAlign w:val="center"/>
          </w:tcPr>
          <w:p w14:paraId="44147283">
            <w:pPr>
              <w:spacing w:line="360" w:lineRule="auto"/>
              <w:jc w:val="center"/>
              <w:textAlignment w:val="baseline"/>
              <w:rPr>
                <w:rFonts w:hint="eastAsia" w:ascii="宋体" w:hAnsi="宋体" w:eastAsia="宋体" w:cs="宋体"/>
                <w:b/>
                <w:color w:val="auto"/>
                <w:szCs w:val="21"/>
                <w:highlight w:val="none"/>
              </w:rPr>
            </w:pPr>
          </w:p>
        </w:tc>
        <w:tc>
          <w:tcPr>
            <w:tcW w:w="798" w:type="pct"/>
            <w:shd w:val="clear" w:color="auto" w:fill="auto"/>
            <w:vAlign w:val="center"/>
          </w:tcPr>
          <w:p w14:paraId="0A50AFE1">
            <w:pPr>
              <w:spacing w:line="360" w:lineRule="auto"/>
              <w:jc w:val="center"/>
              <w:textAlignment w:val="baseline"/>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服务承诺（满分20分）</w:t>
            </w:r>
          </w:p>
        </w:tc>
        <w:tc>
          <w:tcPr>
            <w:tcW w:w="2808" w:type="pct"/>
            <w:shd w:val="clear" w:color="auto" w:fill="auto"/>
            <w:vAlign w:val="center"/>
          </w:tcPr>
          <w:p w14:paraId="1881C743">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val="en-US" w:eastAsia="zh-CN"/>
              </w:rPr>
              <w:t>服务承诺方案简单，有服务承诺、后续服务方案、成果维护方案、项目保障措施及保证处理问题方案</w:t>
            </w:r>
            <w:r>
              <w:rPr>
                <w:rFonts w:hint="eastAsia" w:ascii="宋体" w:hAnsi="宋体" w:eastAsia="宋体" w:cs="宋体"/>
                <w:color w:val="auto"/>
                <w:szCs w:val="21"/>
                <w:highlight w:val="none"/>
                <w:lang w:eastAsia="zh-CN"/>
              </w:rPr>
              <w:t>。</w:t>
            </w:r>
          </w:p>
          <w:p w14:paraId="1EC132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分）：在一档的基础上，</w:t>
            </w:r>
            <w:r>
              <w:rPr>
                <w:rFonts w:hint="eastAsia" w:ascii="宋体" w:hAnsi="宋体" w:eastAsia="宋体" w:cs="宋体"/>
                <w:color w:val="auto"/>
                <w:szCs w:val="21"/>
                <w:highlight w:val="none"/>
                <w:lang w:val="en-US" w:eastAsia="zh-CN"/>
              </w:rPr>
              <w:t>包含服务承诺、后续服务方案、成果维护方案、项目保障措施及保证处理问题方案满足项目需求，包括服务的范围、流程、时间等。</w:t>
            </w:r>
          </w:p>
          <w:p w14:paraId="488DD64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三档（1</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分）：在二档的基础上，</w:t>
            </w:r>
            <w:r>
              <w:rPr>
                <w:rFonts w:hint="eastAsia" w:ascii="宋体" w:hAnsi="宋体" w:eastAsia="宋体" w:cs="宋体"/>
                <w:color w:val="auto"/>
                <w:szCs w:val="21"/>
                <w:highlight w:val="none"/>
                <w:lang w:val="en-US" w:eastAsia="zh-CN"/>
              </w:rPr>
              <w:t>后续服务方案、项目保障措施、成果维护方案及保证处理问题方案科学全面，完全满足项目需求，包括服务的范围、流程、时间等，并根据需求进行个性化分析，提供对应的解决方案</w:t>
            </w:r>
            <w:r>
              <w:rPr>
                <w:rFonts w:hint="eastAsia" w:ascii="宋体" w:hAnsi="宋体" w:eastAsia="宋体" w:cs="宋体"/>
                <w:color w:val="auto"/>
                <w:szCs w:val="21"/>
                <w:highlight w:val="none"/>
                <w:lang w:eastAsia="zh-CN"/>
              </w:rPr>
              <w:t>。</w:t>
            </w:r>
          </w:p>
          <w:p w14:paraId="58F875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四档（20分）：在三档基础上，服务承诺方案</w:t>
            </w:r>
            <w:r>
              <w:rPr>
                <w:rFonts w:hint="eastAsia" w:ascii="宋体" w:hAnsi="宋体" w:eastAsia="宋体" w:cs="宋体"/>
                <w:color w:val="auto"/>
                <w:szCs w:val="21"/>
                <w:highlight w:val="none"/>
                <w:lang w:eastAsia="zh-CN"/>
              </w:rPr>
              <w:t>与</w:t>
            </w:r>
            <w:r>
              <w:rPr>
                <w:rFonts w:hint="eastAsia" w:ascii="宋体" w:hAnsi="宋体" w:eastAsia="宋体" w:cs="宋体"/>
                <w:color w:val="auto"/>
                <w:szCs w:val="21"/>
                <w:highlight w:val="none"/>
              </w:rPr>
              <w:t>服务承诺管理流程结合实际，</w:t>
            </w:r>
            <w:r>
              <w:rPr>
                <w:rFonts w:hint="eastAsia" w:ascii="宋体" w:hAnsi="宋体" w:eastAsia="宋体" w:cs="宋体"/>
                <w:color w:val="auto"/>
                <w:szCs w:val="21"/>
                <w:highlight w:val="none"/>
                <w:lang w:val="en-US" w:eastAsia="zh-CN"/>
              </w:rPr>
              <w:t>后续服务方案、项目保障措施、成果维护方案及保证处理问题方案科学全面，包括服务的范围、流程、时间等，并根据需求进行个性化分析，提供对应的解决方案。</w:t>
            </w:r>
            <w:r>
              <w:rPr>
                <w:rFonts w:hint="eastAsia" w:ascii="宋体" w:hAnsi="宋体" w:eastAsia="宋体" w:cs="宋体"/>
                <w:color w:val="auto"/>
                <w:szCs w:val="21"/>
                <w:highlight w:val="none"/>
              </w:rPr>
              <w:t>服务承诺另包含有合理可行并且具有针对性的应急保障方案、保密承诺等，且描述了项目服务维护和应急保障方案的方法、服务响应时间以及实现方式，服务机构及联系人、技术人员名单等资料</w:t>
            </w:r>
            <w:r>
              <w:rPr>
                <w:rFonts w:hint="eastAsia" w:ascii="宋体" w:hAnsi="宋体" w:eastAsia="宋体" w:cs="宋体"/>
                <w:bCs/>
                <w:color w:val="auto"/>
                <w:szCs w:val="21"/>
                <w:highlight w:val="none"/>
              </w:rPr>
              <w:t>等</w:t>
            </w:r>
            <w:r>
              <w:rPr>
                <w:rFonts w:hint="eastAsia" w:ascii="宋体" w:hAnsi="宋体" w:eastAsia="宋体" w:cs="宋体"/>
                <w:color w:val="auto"/>
                <w:szCs w:val="21"/>
                <w:highlight w:val="none"/>
              </w:rPr>
              <w:t>。</w:t>
            </w:r>
          </w:p>
          <w:p w14:paraId="3AF5EE60">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备注：未提供服务承诺</w:t>
            </w:r>
            <w:r>
              <w:rPr>
                <w:rFonts w:hint="eastAsia" w:ascii="宋体" w:hAnsi="宋体" w:eastAsia="宋体" w:cs="宋体"/>
                <w:color w:val="auto"/>
                <w:szCs w:val="21"/>
                <w:highlight w:val="none"/>
                <w:lang w:val="en-US" w:eastAsia="zh-CN"/>
              </w:rPr>
              <w:t>或未达到一档</w:t>
            </w:r>
            <w:r>
              <w:rPr>
                <w:rFonts w:hint="eastAsia" w:ascii="宋体" w:hAnsi="宋体" w:eastAsia="宋体" w:cs="宋体"/>
                <w:color w:val="auto"/>
                <w:szCs w:val="21"/>
                <w:highlight w:val="none"/>
              </w:rPr>
              <w:t>的不得分。</w:t>
            </w:r>
          </w:p>
        </w:tc>
      </w:tr>
      <w:tr w14:paraId="5B07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14:paraId="057CC9AE">
            <w:pPr>
              <w:adjustRightInd/>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611" w:type="pct"/>
            <w:vAlign w:val="center"/>
          </w:tcPr>
          <w:p w14:paraId="59EA3997">
            <w:pPr>
              <w:adjustRightInd/>
              <w:spacing w:line="360" w:lineRule="auto"/>
              <w:jc w:val="center"/>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商务部分</w:t>
            </w:r>
          </w:p>
        </w:tc>
        <w:tc>
          <w:tcPr>
            <w:tcW w:w="420" w:type="pct"/>
            <w:vAlign w:val="center"/>
          </w:tcPr>
          <w:p w14:paraId="6767AB9F">
            <w:pPr>
              <w:spacing w:line="360" w:lineRule="auto"/>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6</w:t>
            </w:r>
            <w:r>
              <w:rPr>
                <w:rFonts w:hint="eastAsia" w:ascii="宋体" w:hAnsi="宋体" w:eastAsia="宋体" w:cs="宋体"/>
                <w:b/>
                <w:color w:val="auto"/>
                <w:szCs w:val="21"/>
                <w:highlight w:val="none"/>
              </w:rPr>
              <w:t>分</w:t>
            </w:r>
          </w:p>
        </w:tc>
        <w:tc>
          <w:tcPr>
            <w:tcW w:w="798" w:type="pct"/>
            <w:shd w:val="clear" w:color="auto" w:fill="auto"/>
            <w:vAlign w:val="center"/>
          </w:tcPr>
          <w:p w14:paraId="3799441D">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szCs w:val="21"/>
                <w:highlight w:val="none"/>
              </w:rPr>
              <w:t>业绩实力（满分6分）</w:t>
            </w:r>
          </w:p>
        </w:tc>
        <w:tc>
          <w:tcPr>
            <w:tcW w:w="2808" w:type="pct"/>
            <w:shd w:val="clear" w:color="auto" w:fill="auto"/>
            <w:vAlign w:val="center"/>
          </w:tcPr>
          <w:p w14:paraId="00255056">
            <w:pPr>
              <w:pStyle w:val="13"/>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年1月1日以来至响应文件递交截止日期止，供应商具有同类业绩，每项得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分，满分</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分。[以合同或者中标（成交）通知书复印件为准，并加盖供应商公章]。</w:t>
            </w:r>
          </w:p>
        </w:tc>
      </w:tr>
      <w:tr w14:paraId="4D21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2BD82F70">
            <w:pPr>
              <w:pStyle w:val="19"/>
              <w:spacing w:line="360" w:lineRule="auto"/>
              <w:rPr>
                <w:rFonts w:hint="eastAsia" w:ascii="宋体" w:hAnsi="宋体" w:eastAsia="宋体" w:cs="宋体"/>
                <w:bCs/>
                <w:color w:val="auto"/>
                <w:kern w:val="2"/>
                <w:sz w:val="21"/>
                <w:highlight w:val="none"/>
              </w:rPr>
            </w:pPr>
            <w:r>
              <w:rPr>
                <w:rFonts w:hint="eastAsia" w:ascii="宋体" w:hAnsi="宋体" w:eastAsia="宋体" w:cs="宋体"/>
                <w:b/>
                <w:bCs/>
                <w:color w:val="auto"/>
                <w:kern w:val="2"/>
                <w:sz w:val="21"/>
                <w:highlight w:val="none"/>
              </w:rPr>
              <w:t>总得分 = 1 + 2 + 3</w:t>
            </w:r>
          </w:p>
        </w:tc>
      </w:tr>
    </w:tbl>
    <w:p w14:paraId="64B9681F">
      <w:pPr>
        <w:spacing w:line="360" w:lineRule="auto"/>
        <w:ind w:firstLine="422" w:firstLineChars="200"/>
        <w:rPr>
          <w:rFonts w:ascii="宋体" w:hAnsi="宋体" w:cs="宋体"/>
          <w:b/>
          <w:color w:val="auto"/>
          <w:sz w:val="24"/>
          <w:highlight w:val="none"/>
        </w:rPr>
      </w:pPr>
      <w:r>
        <w:rPr>
          <w:rFonts w:hint="eastAsia" w:ascii="宋体" w:hAnsi="宋体" w:cs="宋体"/>
          <w:b/>
          <w:color w:val="auto"/>
          <w:szCs w:val="21"/>
          <w:highlight w:val="none"/>
        </w:rPr>
        <w:br w:type="page"/>
      </w:r>
      <w:r>
        <w:rPr>
          <w:rFonts w:hint="eastAsia" w:ascii="宋体" w:hAnsi="宋体" w:cs="宋体"/>
          <w:b/>
          <w:color w:val="auto"/>
          <w:sz w:val="24"/>
          <w:highlight w:val="none"/>
        </w:rPr>
        <w:t>7. 成交候选供应商推荐原则</w:t>
      </w:r>
    </w:p>
    <w:p w14:paraId="442133E2">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7.1由磋商小组根据综合评分情况，按照评审得分由高到低顺序推荐 3 名以上成交候选供应商，并编写评审报告，评审报告通过电子交易平台向采购人、采购代理机构提交。符合本章第 4.3 条情形的，可以推荐 2 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14C8221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7.2成交供应商拒绝签订政府采购合同的，采购人可以按照上款规定的原则确定其他候选供应商作为成交供应商并签订政府采购合同，也可以重新开展采购活动。拒绝签订政府采购合同的成交供应商不得参加对该项目重新开展的采购活动。</w:t>
      </w:r>
    </w:p>
    <w:p w14:paraId="104BB032">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7.3磋商小组认为，某供应商的响应报价或者某些分项报价明显不合理，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1F04D08F">
      <w:pPr>
        <w:spacing w:line="360" w:lineRule="auto"/>
        <w:ind w:firstLine="420" w:firstLineChars="200"/>
        <w:rPr>
          <w:rFonts w:ascii="宋体" w:hAnsi="宋体" w:cs="宋体"/>
          <w:color w:val="auto"/>
          <w:highlight w:val="none"/>
        </w:rPr>
      </w:pPr>
    </w:p>
    <w:p w14:paraId="1D2A147E">
      <w:pPr>
        <w:spacing w:line="360" w:lineRule="auto"/>
        <w:jc w:val="center"/>
        <w:rPr>
          <w:rFonts w:ascii="宋体" w:hAnsi="宋体" w:cs="宋体"/>
          <w:color w:val="auto"/>
          <w:highlight w:val="none"/>
        </w:rPr>
      </w:pPr>
      <w:r>
        <w:rPr>
          <w:rFonts w:hint="eastAsia" w:ascii="宋体" w:hAnsi="宋体" w:cs="宋体"/>
          <w:color w:val="auto"/>
          <w:highlight w:val="none"/>
        </w:rPr>
        <w:br w:type="page"/>
      </w:r>
    </w:p>
    <w:p w14:paraId="7AAE086B">
      <w:pPr>
        <w:spacing w:line="360" w:lineRule="auto"/>
        <w:jc w:val="center"/>
        <w:rPr>
          <w:rFonts w:ascii="宋体" w:hAnsi="宋体" w:cs="宋体"/>
          <w:color w:val="auto"/>
          <w:highlight w:val="none"/>
        </w:rPr>
      </w:pPr>
    </w:p>
    <w:p w14:paraId="439B455B">
      <w:pPr>
        <w:spacing w:line="360" w:lineRule="auto"/>
        <w:jc w:val="center"/>
        <w:rPr>
          <w:rFonts w:ascii="宋体" w:hAnsi="宋体" w:cs="宋体"/>
          <w:color w:val="auto"/>
          <w:highlight w:val="none"/>
        </w:rPr>
      </w:pPr>
    </w:p>
    <w:p w14:paraId="1741221E">
      <w:pPr>
        <w:spacing w:line="360" w:lineRule="auto"/>
        <w:jc w:val="center"/>
        <w:rPr>
          <w:rFonts w:ascii="宋体" w:hAnsi="宋体" w:cs="宋体"/>
          <w:color w:val="auto"/>
          <w:highlight w:val="none"/>
        </w:rPr>
      </w:pPr>
    </w:p>
    <w:p w14:paraId="07CB4FBE">
      <w:pPr>
        <w:spacing w:line="360" w:lineRule="auto"/>
        <w:jc w:val="center"/>
        <w:rPr>
          <w:rFonts w:ascii="宋体" w:hAnsi="宋体" w:cs="宋体"/>
          <w:color w:val="auto"/>
          <w:highlight w:val="none"/>
        </w:rPr>
      </w:pPr>
    </w:p>
    <w:p w14:paraId="1A6B5ABA">
      <w:pPr>
        <w:spacing w:line="360" w:lineRule="auto"/>
        <w:jc w:val="center"/>
        <w:rPr>
          <w:rFonts w:ascii="宋体" w:hAnsi="宋体" w:cs="宋体"/>
          <w:color w:val="auto"/>
          <w:highlight w:val="none"/>
        </w:rPr>
      </w:pPr>
    </w:p>
    <w:p w14:paraId="6AAC91DB">
      <w:pPr>
        <w:spacing w:line="360" w:lineRule="auto"/>
        <w:jc w:val="center"/>
        <w:rPr>
          <w:rFonts w:ascii="宋体" w:hAnsi="宋体" w:cs="宋体"/>
          <w:color w:val="auto"/>
          <w:highlight w:val="none"/>
        </w:rPr>
      </w:pPr>
    </w:p>
    <w:p w14:paraId="7910FE1D">
      <w:pPr>
        <w:spacing w:line="360" w:lineRule="auto"/>
        <w:jc w:val="center"/>
        <w:rPr>
          <w:rFonts w:ascii="宋体" w:hAnsi="宋体" w:cs="宋体"/>
          <w:color w:val="auto"/>
          <w:highlight w:val="none"/>
        </w:rPr>
      </w:pPr>
    </w:p>
    <w:p w14:paraId="25592CE1">
      <w:pPr>
        <w:spacing w:line="360" w:lineRule="auto"/>
        <w:jc w:val="center"/>
        <w:rPr>
          <w:rFonts w:ascii="宋体" w:hAnsi="宋体" w:cs="宋体"/>
          <w:color w:val="auto"/>
          <w:highlight w:val="none"/>
        </w:rPr>
      </w:pPr>
    </w:p>
    <w:p w14:paraId="23D0076F">
      <w:pPr>
        <w:pStyle w:val="2"/>
        <w:spacing w:line="360" w:lineRule="auto"/>
        <w:jc w:val="center"/>
        <w:rPr>
          <w:rFonts w:ascii="宋体" w:hAnsi="宋体" w:cs="宋体"/>
          <w:color w:val="auto"/>
          <w:highlight w:val="none"/>
        </w:rPr>
      </w:pPr>
      <w:bookmarkStart w:id="73" w:name="_Toc21386"/>
      <w:bookmarkStart w:id="74" w:name="_Toc26670"/>
      <w:r>
        <w:rPr>
          <w:rFonts w:hint="eastAsia" w:ascii="宋体" w:hAnsi="宋体" w:cs="宋体"/>
          <w:color w:val="auto"/>
          <w:highlight w:val="none"/>
        </w:rPr>
        <w:t>第五章 响应文件格式</w:t>
      </w:r>
      <w:bookmarkEnd w:id="73"/>
      <w:bookmarkEnd w:id="74"/>
    </w:p>
    <w:p w14:paraId="760A996C">
      <w:pPr>
        <w:spacing w:line="360" w:lineRule="auto"/>
        <w:jc w:val="center"/>
        <w:rPr>
          <w:rFonts w:ascii="宋体" w:hAnsi="宋体" w:cs="宋体"/>
          <w:bCs/>
          <w:color w:val="auto"/>
          <w:sz w:val="32"/>
          <w:szCs w:val="32"/>
          <w:highlight w:val="none"/>
        </w:rPr>
      </w:pPr>
      <w:r>
        <w:rPr>
          <w:rFonts w:hint="eastAsia" w:ascii="宋体" w:hAnsi="宋体" w:cs="宋体"/>
          <w:bCs/>
          <w:color w:val="auto"/>
          <w:sz w:val="24"/>
          <w:highlight w:val="none"/>
        </w:rPr>
        <w:br w:type="page"/>
      </w:r>
      <w:r>
        <w:rPr>
          <w:rFonts w:hint="eastAsia" w:ascii="宋体" w:hAnsi="宋体" w:cs="宋体"/>
          <w:b/>
          <w:bCs/>
          <w:color w:val="auto"/>
          <w:sz w:val="32"/>
          <w:szCs w:val="32"/>
          <w:highlight w:val="none"/>
          <w:lang w:bidi="ar"/>
        </w:rPr>
        <w:t>（响应文件封面格式）</w:t>
      </w:r>
    </w:p>
    <w:p w14:paraId="19B30814">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08C40978">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2F334C2D">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00DC09B2">
      <w:pPr>
        <w:spacing w:line="360" w:lineRule="auto"/>
        <w:jc w:val="center"/>
        <w:rPr>
          <w:rFonts w:ascii="宋体" w:hAnsi="宋体" w:cs="宋体"/>
          <w:b/>
          <w:color w:val="auto"/>
          <w:sz w:val="32"/>
          <w:szCs w:val="32"/>
          <w:highlight w:val="none"/>
        </w:rPr>
      </w:pPr>
      <w:r>
        <w:rPr>
          <w:rFonts w:hint="eastAsia" w:ascii="宋体" w:hAnsi="宋体" w:cs="宋体"/>
          <w:bCs/>
          <w:color w:val="auto"/>
          <w:sz w:val="44"/>
          <w:szCs w:val="44"/>
          <w:highlight w:val="none"/>
          <w:lang w:bidi="ar"/>
        </w:rPr>
        <w:t>响  应  文  件</w:t>
      </w:r>
      <w:r>
        <w:rPr>
          <w:rFonts w:hint="eastAsia" w:ascii="宋体" w:hAnsi="宋体" w:cs="宋体"/>
          <w:b/>
          <w:color w:val="auto"/>
          <w:sz w:val="32"/>
          <w:szCs w:val="32"/>
          <w:highlight w:val="none"/>
          <w:lang w:bidi="ar"/>
        </w:rPr>
        <w:t xml:space="preserve"> （封面）</w:t>
      </w:r>
    </w:p>
    <w:p w14:paraId="2FB29446">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1A8CC1B0">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B8F020B">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DBF855D">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153BDF20">
      <w:pPr>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lang w:bidi="ar"/>
        </w:rPr>
        <w:t>项目编号：</w:t>
      </w:r>
    </w:p>
    <w:p w14:paraId="7D409441">
      <w:pPr>
        <w:spacing w:line="360" w:lineRule="auto"/>
        <w:ind w:firstLine="640" w:firstLineChars="200"/>
        <w:jc w:val="left"/>
        <w:rPr>
          <w:rFonts w:ascii="宋体" w:hAnsi="宋体" w:cs="宋体"/>
          <w:color w:val="auto"/>
          <w:sz w:val="32"/>
          <w:szCs w:val="32"/>
          <w:highlight w:val="none"/>
          <w:u w:val="single"/>
        </w:rPr>
      </w:pPr>
    </w:p>
    <w:p w14:paraId="32027B1E">
      <w:pPr>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lang w:bidi="ar"/>
        </w:rPr>
        <w:t>项目名称：</w:t>
      </w:r>
    </w:p>
    <w:p w14:paraId="5F7EFE06">
      <w:pPr>
        <w:spacing w:line="360" w:lineRule="auto"/>
        <w:ind w:firstLine="640" w:firstLineChars="200"/>
        <w:jc w:val="left"/>
        <w:rPr>
          <w:rFonts w:ascii="宋体" w:hAnsi="宋体" w:cs="宋体"/>
          <w:color w:val="auto"/>
          <w:sz w:val="32"/>
          <w:szCs w:val="32"/>
          <w:highlight w:val="none"/>
          <w:u w:val="single"/>
        </w:rPr>
      </w:pPr>
    </w:p>
    <w:p w14:paraId="5A1CBE07">
      <w:pPr>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lang w:bidi="ar"/>
        </w:rPr>
        <w:t>所竞分标</w:t>
      </w:r>
      <w:r>
        <w:rPr>
          <w:rFonts w:hint="eastAsia" w:ascii="宋体" w:hAnsi="宋体" w:cs="宋体"/>
          <w:bCs/>
          <w:color w:val="auto"/>
          <w:sz w:val="32"/>
          <w:szCs w:val="32"/>
          <w:highlight w:val="none"/>
          <w:lang w:bidi="ar"/>
        </w:rPr>
        <w:t>（如有则填写，无分标时填写“无”或者留空）</w:t>
      </w:r>
      <w:r>
        <w:rPr>
          <w:rFonts w:hint="eastAsia" w:ascii="宋体" w:hAnsi="宋体" w:cs="宋体"/>
          <w:color w:val="auto"/>
          <w:sz w:val="32"/>
          <w:szCs w:val="32"/>
          <w:highlight w:val="none"/>
          <w:lang w:bidi="ar"/>
        </w:rPr>
        <w:t>：</w:t>
      </w:r>
    </w:p>
    <w:p w14:paraId="6C01B144">
      <w:pPr>
        <w:spacing w:line="360" w:lineRule="auto"/>
        <w:ind w:firstLine="640" w:firstLineChars="200"/>
        <w:jc w:val="left"/>
        <w:rPr>
          <w:rFonts w:ascii="宋体" w:hAnsi="宋体" w:cs="宋体"/>
          <w:color w:val="auto"/>
          <w:sz w:val="32"/>
          <w:szCs w:val="32"/>
          <w:highlight w:val="none"/>
          <w:u w:val="single"/>
        </w:rPr>
      </w:pPr>
    </w:p>
    <w:p w14:paraId="1D4E37B5">
      <w:pPr>
        <w:spacing w:line="360" w:lineRule="auto"/>
        <w:ind w:firstLine="640" w:firstLineChars="200"/>
        <w:jc w:val="left"/>
        <w:rPr>
          <w:rFonts w:ascii="宋体" w:hAnsi="宋体" w:cs="宋体"/>
          <w:color w:val="auto"/>
          <w:sz w:val="32"/>
          <w:szCs w:val="32"/>
          <w:highlight w:val="none"/>
          <w:u w:val="single"/>
        </w:rPr>
      </w:pPr>
      <w:r>
        <w:rPr>
          <w:rFonts w:hint="eastAsia" w:ascii="宋体" w:hAnsi="宋体" w:cs="宋体"/>
          <w:color w:val="auto"/>
          <w:sz w:val="32"/>
          <w:szCs w:val="32"/>
          <w:highlight w:val="none"/>
          <w:lang w:bidi="ar"/>
        </w:rPr>
        <w:t>供应商名称：</w:t>
      </w:r>
    </w:p>
    <w:p w14:paraId="4F7BEF33">
      <w:pPr>
        <w:spacing w:line="360" w:lineRule="auto"/>
        <w:ind w:firstLine="640" w:firstLineChars="200"/>
        <w:jc w:val="left"/>
        <w:rPr>
          <w:rFonts w:ascii="宋体" w:hAnsi="宋体" w:cs="宋体"/>
          <w:color w:val="auto"/>
          <w:sz w:val="32"/>
          <w:szCs w:val="32"/>
          <w:highlight w:val="none"/>
          <w:u w:val="single"/>
        </w:rPr>
      </w:pPr>
    </w:p>
    <w:p w14:paraId="2F5C11EE">
      <w:pPr>
        <w:spacing w:line="360" w:lineRule="auto"/>
        <w:ind w:firstLine="640" w:firstLineChars="200"/>
        <w:jc w:val="left"/>
        <w:rPr>
          <w:rFonts w:ascii="宋体" w:hAnsi="宋体" w:cs="宋体"/>
          <w:color w:val="auto"/>
          <w:sz w:val="32"/>
          <w:szCs w:val="32"/>
          <w:highlight w:val="none"/>
          <w:u w:val="single"/>
        </w:rPr>
      </w:pPr>
    </w:p>
    <w:p w14:paraId="3518B16E">
      <w:pPr>
        <w:snapToGrid/>
        <w:spacing w:before="156"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lang w:bidi="ar"/>
        </w:rPr>
        <w:t>年    月    日</w:t>
      </w:r>
    </w:p>
    <w:p w14:paraId="359CD0BF">
      <w:pPr>
        <w:snapToGrid/>
        <w:spacing w:before="156" w:beforeLines="50" w:after="50" w:line="360" w:lineRule="auto"/>
        <w:rPr>
          <w:rFonts w:ascii="宋体" w:hAnsi="宋体" w:cs="宋体"/>
          <w:b/>
          <w:bCs/>
          <w:color w:val="auto"/>
          <w:sz w:val="32"/>
          <w:szCs w:val="32"/>
          <w:highlight w:val="none"/>
        </w:rPr>
      </w:pPr>
      <w:r>
        <w:rPr>
          <w:rFonts w:hint="eastAsia" w:ascii="宋体" w:hAnsi="宋体" w:cs="宋体"/>
          <w:color w:val="auto"/>
          <w:sz w:val="32"/>
          <w:szCs w:val="32"/>
          <w:highlight w:val="none"/>
          <w:lang w:bidi="ar"/>
        </w:rPr>
        <w:br w:type="page"/>
      </w:r>
      <w:r>
        <w:rPr>
          <w:rFonts w:hint="eastAsia" w:ascii="宋体" w:hAnsi="宋体" w:cs="宋体"/>
          <w:b/>
          <w:bCs/>
          <w:color w:val="auto"/>
          <w:sz w:val="32"/>
          <w:szCs w:val="32"/>
          <w:highlight w:val="none"/>
          <w:lang w:bidi="ar"/>
        </w:rPr>
        <w:t>一、资格证明文件格式</w:t>
      </w:r>
    </w:p>
    <w:p w14:paraId="1AB39647">
      <w:pPr>
        <w:snapToGrid/>
        <w:spacing w:before="156" w:beforeLines="50"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lang w:bidi="ar"/>
        </w:rPr>
        <w:t>1.资格证明文件封面格式：</w:t>
      </w:r>
    </w:p>
    <w:p w14:paraId="64F97DE2">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C1ACE0A">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62A0C79B">
      <w:pPr>
        <w:autoSpaceDE w:val="0"/>
        <w:snapToGrid/>
        <w:spacing w:before="156"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lang w:bidi="ar"/>
        </w:rPr>
        <w:t>资  格  证  明  文  件</w:t>
      </w:r>
    </w:p>
    <w:p w14:paraId="41B9F69A">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0F584AD5">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338CDF2">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2A579A86">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30638EA3">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项目名称：</w:t>
      </w:r>
    </w:p>
    <w:p w14:paraId="578CCABD">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58BC266B">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项目编号：</w:t>
      </w:r>
    </w:p>
    <w:p w14:paraId="1504FE66">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095E0139">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所竞分标（如有则填写，无分标时填写“无”或者留空）：</w:t>
      </w:r>
    </w:p>
    <w:p w14:paraId="06DEBF12">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3D5FBA3A">
      <w:pPr>
        <w:pStyle w:val="27"/>
        <w:autoSpaceDE w:val="0"/>
        <w:spacing w:line="360" w:lineRule="auto"/>
        <w:ind w:firstLine="640" w:firstLineChars="200"/>
        <w:rPr>
          <w:rFonts w:ascii="宋体" w:hAnsi="宋体" w:cs="宋体"/>
          <w:bCs/>
          <w:color w:val="auto"/>
          <w:kern w:val="2"/>
          <w:sz w:val="32"/>
          <w:szCs w:val="32"/>
          <w:highlight w:val="none"/>
        </w:rPr>
      </w:pPr>
      <w:r>
        <w:rPr>
          <w:rFonts w:hint="eastAsia" w:ascii="宋体" w:hAnsi="宋体" w:cs="宋体"/>
          <w:bCs/>
          <w:color w:val="auto"/>
          <w:kern w:val="2"/>
          <w:sz w:val="32"/>
          <w:szCs w:val="32"/>
          <w:highlight w:val="none"/>
          <w:lang w:bidi="ar"/>
        </w:rPr>
        <w:t>供应商名称：</w:t>
      </w:r>
    </w:p>
    <w:p w14:paraId="71368A8D">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075A0EC5">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092A4ADB">
      <w:pPr>
        <w:snapToGrid/>
        <w:spacing w:before="156"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lang w:bidi="ar"/>
        </w:rPr>
        <w:t>年    月    日</w:t>
      </w:r>
    </w:p>
    <w:p w14:paraId="4E67E58A">
      <w:pPr>
        <w:snapToGrid/>
        <w:spacing w:before="156" w:beforeLines="50"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lang w:bidi="ar"/>
        </w:rPr>
        <w:br w:type="page"/>
      </w:r>
      <w:r>
        <w:rPr>
          <w:rFonts w:hint="eastAsia" w:ascii="宋体" w:hAnsi="宋体" w:cs="宋体"/>
          <w:b/>
          <w:bCs/>
          <w:color w:val="auto"/>
          <w:sz w:val="32"/>
          <w:szCs w:val="32"/>
          <w:highlight w:val="none"/>
          <w:lang w:bidi="ar"/>
        </w:rPr>
        <w:t>2.资格证明文件目录</w:t>
      </w:r>
    </w:p>
    <w:p w14:paraId="64C79179">
      <w:pPr>
        <w:snapToGrid/>
        <w:spacing w:before="156" w:beforeLines="50" w:after="50" w:line="360" w:lineRule="auto"/>
        <w:ind w:firstLine="645"/>
        <w:rPr>
          <w:rFonts w:ascii="宋体" w:hAnsi="宋体" w:cs="宋体"/>
          <w:color w:val="auto"/>
          <w:sz w:val="32"/>
          <w:szCs w:val="32"/>
          <w:highlight w:val="none"/>
        </w:rPr>
      </w:pPr>
      <w:r>
        <w:rPr>
          <w:rFonts w:hint="eastAsia" w:ascii="宋体" w:hAnsi="宋体" w:cs="宋体"/>
          <w:color w:val="auto"/>
          <w:sz w:val="32"/>
          <w:szCs w:val="32"/>
          <w:highlight w:val="none"/>
          <w:lang w:bidi="ar"/>
        </w:rPr>
        <w:t>根据磋商文件供应商须知前附表12.1.1要求提供的材料自行编写目录（部分格式后附）。</w:t>
      </w:r>
    </w:p>
    <w:p w14:paraId="7553F79B">
      <w:pPr>
        <w:pStyle w:val="27"/>
        <w:spacing w:line="360" w:lineRule="auto"/>
        <w:ind w:firstLine="640" w:firstLineChars="200"/>
        <w:jc w:val="center"/>
        <w:rPr>
          <w:rFonts w:ascii="宋体" w:hAnsi="宋体" w:cs="宋体"/>
          <w:color w:val="auto"/>
          <w:kern w:val="2"/>
          <w:sz w:val="32"/>
          <w:szCs w:val="32"/>
          <w:highlight w:val="none"/>
        </w:rPr>
      </w:pPr>
      <w:r>
        <w:rPr>
          <w:rFonts w:hint="eastAsia" w:ascii="宋体" w:hAnsi="宋体" w:cs="宋体"/>
          <w:color w:val="auto"/>
          <w:kern w:val="2"/>
          <w:sz w:val="32"/>
          <w:szCs w:val="32"/>
          <w:highlight w:val="none"/>
          <w:lang w:bidi="ar"/>
        </w:rPr>
        <w:t xml:space="preserve"> </w:t>
      </w:r>
    </w:p>
    <w:p w14:paraId="7676FDD7">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b/>
          <w:color w:val="auto"/>
          <w:sz w:val="44"/>
          <w:szCs w:val="44"/>
          <w:highlight w:val="none"/>
          <w:lang w:bidi="ar"/>
        </w:rPr>
        <w:br w:type="page"/>
      </w:r>
      <w:r>
        <w:rPr>
          <w:rFonts w:hint="eastAsia" w:ascii="宋体" w:hAnsi="宋体" w:cs="宋体"/>
          <w:b/>
          <w:bCs/>
          <w:color w:val="auto"/>
          <w:sz w:val="44"/>
          <w:szCs w:val="44"/>
          <w:highlight w:val="none"/>
          <w:lang w:bidi="ar"/>
        </w:rPr>
        <w:t>供应商基本情况表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993"/>
        <w:gridCol w:w="2126"/>
        <w:gridCol w:w="1436"/>
        <w:gridCol w:w="2341"/>
      </w:tblGrid>
      <w:tr w14:paraId="572E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4FC2FCD0">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供应商名称（盖章）</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B862648">
            <w:pPr>
              <w:autoSpaceDE w:val="0"/>
              <w:autoSpaceDN w:val="0"/>
              <w:spacing w:line="360" w:lineRule="auto"/>
              <w:jc w:val="center"/>
              <w:rPr>
                <w:rFonts w:ascii="宋体" w:hAnsi="宋体" w:cs="宋体"/>
                <w:color w:val="auto"/>
                <w:kern w:val="0"/>
                <w:sz w:val="24"/>
                <w:highlight w:val="none"/>
              </w:rPr>
            </w:pPr>
          </w:p>
        </w:tc>
      </w:tr>
      <w:tr w14:paraId="612C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07912BD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注册地址</w:t>
            </w:r>
          </w:p>
        </w:tc>
        <w:tc>
          <w:tcPr>
            <w:tcW w:w="31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C1CDD0">
            <w:pPr>
              <w:autoSpaceDE w:val="0"/>
              <w:autoSpaceDN w:val="0"/>
              <w:spacing w:line="360" w:lineRule="auto"/>
              <w:jc w:val="center"/>
              <w:rPr>
                <w:rFonts w:ascii="宋体" w:hAnsi="宋体" w:cs="宋体"/>
                <w:color w:val="auto"/>
                <w:kern w:val="0"/>
                <w:sz w:val="24"/>
                <w:highlight w:val="none"/>
              </w:rPr>
            </w:pPr>
          </w:p>
        </w:tc>
        <w:tc>
          <w:tcPr>
            <w:tcW w:w="1436" w:type="dxa"/>
            <w:tcBorders>
              <w:top w:val="single" w:color="auto" w:sz="4" w:space="0"/>
              <w:left w:val="single" w:color="auto" w:sz="4" w:space="0"/>
              <w:bottom w:val="single" w:color="auto" w:sz="4" w:space="0"/>
              <w:right w:val="single" w:color="auto" w:sz="4" w:space="0"/>
            </w:tcBorders>
            <w:shd w:val="clear" w:color="auto" w:fill="auto"/>
            <w:vAlign w:val="center"/>
          </w:tcPr>
          <w:p w14:paraId="3C794D9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邮政编码</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7FDE9574">
            <w:pPr>
              <w:autoSpaceDE w:val="0"/>
              <w:autoSpaceDN w:val="0"/>
              <w:spacing w:line="360" w:lineRule="auto"/>
              <w:jc w:val="center"/>
              <w:rPr>
                <w:rFonts w:ascii="宋体" w:hAnsi="宋体" w:cs="宋体"/>
                <w:color w:val="auto"/>
                <w:kern w:val="0"/>
                <w:sz w:val="24"/>
                <w:highlight w:val="none"/>
              </w:rPr>
            </w:pPr>
          </w:p>
        </w:tc>
      </w:tr>
      <w:tr w14:paraId="5709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vMerge w:val="restart"/>
            <w:tcBorders>
              <w:top w:val="nil"/>
              <w:left w:val="single" w:color="auto" w:sz="4" w:space="0"/>
              <w:bottom w:val="single" w:color="auto" w:sz="4" w:space="0"/>
              <w:right w:val="single" w:color="auto" w:sz="4" w:space="0"/>
            </w:tcBorders>
            <w:shd w:val="clear" w:color="auto" w:fill="auto"/>
            <w:vAlign w:val="center"/>
          </w:tcPr>
          <w:p w14:paraId="51C91F70">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联系方式</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002674A">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联系人</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C2BB525">
            <w:pPr>
              <w:autoSpaceDE w:val="0"/>
              <w:autoSpaceDN w:val="0"/>
              <w:spacing w:line="360" w:lineRule="auto"/>
              <w:jc w:val="center"/>
              <w:rPr>
                <w:rFonts w:ascii="宋体" w:hAnsi="宋体" w:cs="宋体"/>
                <w:color w:val="auto"/>
                <w:kern w:val="0"/>
                <w:sz w:val="24"/>
                <w:highlight w:val="none"/>
              </w:rPr>
            </w:pPr>
          </w:p>
        </w:tc>
        <w:tc>
          <w:tcPr>
            <w:tcW w:w="1436" w:type="dxa"/>
            <w:tcBorders>
              <w:top w:val="single" w:color="auto" w:sz="4" w:space="0"/>
              <w:left w:val="single" w:color="auto" w:sz="4" w:space="0"/>
              <w:bottom w:val="single" w:color="auto" w:sz="4" w:space="0"/>
              <w:right w:val="single" w:color="auto" w:sz="4" w:space="0"/>
            </w:tcBorders>
            <w:shd w:val="clear" w:color="auto" w:fill="auto"/>
            <w:vAlign w:val="center"/>
          </w:tcPr>
          <w:p w14:paraId="215501DD">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电 话</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716C73CC">
            <w:pPr>
              <w:autoSpaceDE w:val="0"/>
              <w:autoSpaceDN w:val="0"/>
              <w:spacing w:line="360" w:lineRule="auto"/>
              <w:jc w:val="center"/>
              <w:rPr>
                <w:rFonts w:ascii="宋体" w:hAnsi="宋体" w:cs="宋体"/>
                <w:color w:val="auto"/>
                <w:kern w:val="0"/>
                <w:sz w:val="24"/>
                <w:highlight w:val="none"/>
              </w:rPr>
            </w:pPr>
          </w:p>
        </w:tc>
      </w:tr>
      <w:tr w14:paraId="6C51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vMerge w:val="continue"/>
            <w:tcBorders>
              <w:top w:val="nil"/>
              <w:left w:val="single" w:color="auto" w:sz="4" w:space="0"/>
              <w:bottom w:val="single" w:color="auto" w:sz="4" w:space="0"/>
              <w:right w:val="single" w:color="auto" w:sz="4" w:space="0"/>
            </w:tcBorders>
            <w:shd w:val="clear" w:color="auto" w:fill="auto"/>
            <w:vAlign w:val="center"/>
          </w:tcPr>
          <w:p w14:paraId="455E1469">
            <w:pPr>
              <w:spacing w:line="360" w:lineRule="auto"/>
              <w:rPr>
                <w:color w:val="auto"/>
                <w:sz w:val="20"/>
                <w:szCs w:val="20"/>
                <w:highlight w:val="none"/>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FA7F504">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传 真</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583FF47">
            <w:pPr>
              <w:autoSpaceDE w:val="0"/>
              <w:autoSpaceDN w:val="0"/>
              <w:spacing w:line="360" w:lineRule="auto"/>
              <w:jc w:val="center"/>
              <w:rPr>
                <w:rFonts w:ascii="宋体" w:hAnsi="宋体" w:cs="宋体"/>
                <w:color w:val="auto"/>
                <w:kern w:val="0"/>
                <w:sz w:val="24"/>
                <w:highlight w:val="none"/>
              </w:rPr>
            </w:pPr>
          </w:p>
        </w:tc>
        <w:tc>
          <w:tcPr>
            <w:tcW w:w="1436" w:type="dxa"/>
            <w:tcBorders>
              <w:top w:val="single" w:color="auto" w:sz="4" w:space="0"/>
              <w:left w:val="single" w:color="auto" w:sz="4" w:space="0"/>
              <w:bottom w:val="single" w:color="auto" w:sz="4" w:space="0"/>
              <w:right w:val="single" w:color="auto" w:sz="4" w:space="0"/>
            </w:tcBorders>
            <w:shd w:val="clear" w:color="auto" w:fill="auto"/>
            <w:vAlign w:val="center"/>
          </w:tcPr>
          <w:p w14:paraId="5FFF9B6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网 址</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69407BA">
            <w:pPr>
              <w:autoSpaceDE w:val="0"/>
              <w:autoSpaceDN w:val="0"/>
              <w:spacing w:line="360" w:lineRule="auto"/>
              <w:jc w:val="center"/>
              <w:rPr>
                <w:rFonts w:ascii="宋体" w:hAnsi="宋体" w:cs="宋体"/>
                <w:color w:val="auto"/>
                <w:kern w:val="0"/>
                <w:sz w:val="24"/>
                <w:highlight w:val="none"/>
              </w:rPr>
            </w:pPr>
          </w:p>
        </w:tc>
      </w:tr>
      <w:tr w14:paraId="6D72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7ADC0CB9">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组织结构</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5FE6494">
            <w:pPr>
              <w:autoSpaceDE w:val="0"/>
              <w:autoSpaceDN w:val="0"/>
              <w:spacing w:line="360" w:lineRule="auto"/>
              <w:jc w:val="center"/>
              <w:rPr>
                <w:rFonts w:ascii="宋体" w:hAnsi="宋体" w:cs="宋体"/>
                <w:color w:val="auto"/>
                <w:kern w:val="0"/>
                <w:sz w:val="24"/>
                <w:highlight w:val="none"/>
              </w:rPr>
            </w:pPr>
          </w:p>
        </w:tc>
      </w:tr>
      <w:tr w14:paraId="5FE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2FDAFD83">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法定代表人</w:t>
            </w:r>
          </w:p>
        </w:tc>
        <w:tc>
          <w:tcPr>
            <w:tcW w:w="31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40FACB">
            <w:pPr>
              <w:autoSpaceDE w:val="0"/>
              <w:autoSpaceDN w:val="0"/>
              <w:spacing w:line="360" w:lineRule="auto"/>
              <w:jc w:val="center"/>
              <w:rPr>
                <w:rFonts w:ascii="宋体" w:hAnsi="宋体" w:cs="宋体"/>
                <w:color w:val="auto"/>
                <w:kern w:val="0"/>
                <w:sz w:val="24"/>
                <w:highlight w:val="none"/>
              </w:rPr>
            </w:pPr>
          </w:p>
        </w:tc>
        <w:tc>
          <w:tcPr>
            <w:tcW w:w="1436" w:type="dxa"/>
            <w:tcBorders>
              <w:top w:val="single" w:color="auto" w:sz="4" w:space="0"/>
              <w:left w:val="single" w:color="auto" w:sz="4" w:space="0"/>
              <w:bottom w:val="single" w:color="auto" w:sz="4" w:space="0"/>
              <w:right w:val="single" w:color="auto" w:sz="4" w:space="0"/>
            </w:tcBorders>
            <w:shd w:val="clear" w:color="auto" w:fill="auto"/>
            <w:vAlign w:val="center"/>
          </w:tcPr>
          <w:p w14:paraId="2DC961A9">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电话</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4BB73035">
            <w:pPr>
              <w:autoSpaceDE w:val="0"/>
              <w:autoSpaceDN w:val="0"/>
              <w:spacing w:line="360" w:lineRule="auto"/>
              <w:jc w:val="center"/>
              <w:rPr>
                <w:rFonts w:ascii="宋体" w:hAnsi="宋体" w:cs="宋体"/>
                <w:color w:val="auto"/>
                <w:kern w:val="0"/>
                <w:sz w:val="24"/>
                <w:highlight w:val="none"/>
              </w:rPr>
            </w:pPr>
          </w:p>
        </w:tc>
      </w:tr>
      <w:tr w14:paraId="26E2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34061A53">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成立时间</w:t>
            </w:r>
          </w:p>
        </w:tc>
        <w:tc>
          <w:tcPr>
            <w:tcW w:w="31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72284">
            <w:pPr>
              <w:autoSpaceDE w:val="0"/>
              <w:autoSpaceDN w:val="0"/>
              <w:spacing w:line="360" w:lineRule="auto"/>
              <w:jc w:val="center"/>
              <w:rPr>
                <w:rFonts w:ascii="宋体" w:hAnsi="宋体" w:cs="宋体"/>
                <w:color w:val="auto"/>
                <w:kern w:val="0"/>
                <w:sz w:val="24"/>
                <w:highlight w:val="none"/>
              </w:rPr>
            </w:pPr>
          </w:p>
        </w:tc>
        <w:tc>
          <w:tcPr>
            <w:tcW w:w="37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F94758">
            <w:pPr>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员工总人数：</w:t>
            </w:r>
          </w:p>
        </w:tc>
      </w:tr>
      <w:tr w14:paraId="7AA3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68887799">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营业执照号</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9CCA29F">
            <w:pPr>
              <w:autoSpaceDE w:val="0"/>
              <w:autoSpaceDN w:val="0"/>
              <w:spacing w:line="360" w:lineRule="auto"/>
              <w:jc w:val="center"/>
              <w:rPr>
                <w:rFonts w:ascii="宋体" w:hAnsi="宋体" w:cs="宋体"/>
                <w:color w:val="auto"/>
                <w:kern w:val="0"/>
                <w:sz w:val="24"/>
                <w:highlight w:val="none"/>
              </w:rPr>
            </w:pPr>
          </w:p>
        </w:tc>
      </w:tr>
      <w:tr w14:paraId="4DA1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34C6734A">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注册资金</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BAEC706">
            <w:pPr>
              <w:autoSpaceDE w:val="0"/>
              <w:autoSpaceDN w:val="0"/>
              <w:spacing w:line="360" w:lineRule="auto"/>
              <w:jc w:val="center"/>
              <w:rPr>
                <w:rFonts w:ascii="宋体" w:hAnsi="宋体" w:cs="宋体"/>
                <w:color w:val="auto"/>
                <w:kern w:val="0"/>
                <w:sz w:val="24"/>
                <w:highlight w:val="none"/>
              </w:rPr>
            </w:pPr>
          </w:p>
        </w:tc>
      </w:tr>
      <w:tr w14:paraId="03DB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631D98B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开户银行</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86C944A">
            <w:pPr>
              <w:autoSpaceDE w:val="0"/>
              <w:autoSpaceDN w:val="0"/>
              <w:spacing w:line="360" w:lineRule="auto"/>
              <w:jc w:val="center"/>
              <w:rPr>
                <w:rFonts w:ascii="宋体" w:hAnsi="宋体" w:cs="宋体"/>
                <w:color w:val="auto"/>
                <w:kern w:val="0"/>
                <w:sz w:val="24"/>
                <w:highlight w:val="none"/>
              </w:rPr>
            </w:pPr>
          </w:p>
        </w:tc>
      </w:tr>
      <w:tr w14:paraId="3708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0BA255C0">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账号</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C04ADCA">
            <w:pPr>
              <w:autoSpaceDE w:val="0"/>
              <w:autoSpaceDN w:val="0"/>
              <w:spacing w:line="360" w:lineRule="auto"/>
              <w:jc w:val="center"/>
              <w:rPr>
                <w:rFonts w:ascii="宋体" w:hAnsi="宋体" w:cs="宋体"/>
                <w:color w:val="auto"/>
                <w:kern w:val="0"/>
                <w:sz w:val="24"/>
                <w:highlight w:val="none"/>
              </w:rPr>
            </w:pPr>
          </w:p>
        </w:tc>
      </w:tr>
      <w:tr w14:paraId="2123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79F69A65">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经营范围</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475073C">
            <w:pPr>
              <w:autoSpaceDE w:val="0"/>
              <w:autoSpaceDN w:val="0"/>
              <w:spacing w:line="360" w:lineRule="auto"/>
              <w:rPr>
                <w:rFonts w:ascii="宋体" w:hAnsi="宋体" w:cs="宋体"/>
                <w:color w:val="auto"/>
                <w:kern w:val="0"/>
                <w:sz w:val="24"/>
                <w:highlight w:val="none"/>
              </w:rPr>
            </w:pPr>
          </w:p>
        </w:tc>
      </w:tr>
      <w:tr w14:paraId="0430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14:paraId="52569E6A">
            <w:pPr>
              <w:autoSpaceDE w:val="0"/>
              <w:autoSpaceDN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备注</w:t>
            </w:r>
          </w:p>
        </w:tc>
        <w:tc>
          <w:tcPr>
            <w:tcW w:w="68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C501E7">
            <w:pPr>
              <w:autoSpaceDE w:val="0"/>
              <w:autoSpaceDN w:val="0"/>
              <w:spacing w:line="360" w:lineRule="auto"/>
              <w:jc w:val="center"/>
              <w:rPr>
                <w:rFonts w:ascii="宋体" w:hAnsi="宋体" w:cs="宋体"/>
                <w:color w:val="auto"/>
                <w:kern w:val="0"/>
                <w:sz w:val="24"/>
                <w:highlight w:val="none"/>
              </w:rPr>
            </w:pPr>
          </w:p>
        </w:tc>
      </w:tr>
    </w:tbl>
    <w:p w14:paraId="33A712FE">
      <w:pPr>
        <w:autoSpaceDE w:val="0"/>
        <w:autoSpaceDN w:val="0"/>
        <w:adjustRightInd/>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lang w:bidi="ar"/>
        </w:rPr>
        <w:t>注：附供应商营业执照或者事业单位法人证书或者执业许可证或者登记证书等。</w:t>
      </w:r>
    </w:p>
    <w:p w14:paraId="77FE51C9">
      <w:pPr>
        <w:autoSpaceDE w:val="0"/>
        <w:autoSpaceDN w:val="0"/>
        <w:spacing w:before="340" w:after="330" w:line="360" w:lineRule="auto"/>
        <w:jc w:val="center"/>
        <w:rPr>
          <w:rFonts w:ascii="宋体" w:hAnsi="宋体" w:cs="宋体"/>
          <w:b/>
          <w:bCs/>
          <w:color w:val="auto"/>
          <w:sz w:val="44"/>
          <w:szCs w:val="44"/>
          <w:highlight w:val="none"/>
        </w:rPr>
      </w:pPr>
      <w:r>
        <w:rPr>
          <w:rFonts w:hint="eastAsia" w:ascii="宋体" w:hAnsi="宋体" w:cs="宋体"/>
          <w:b/>
          <w:color w:val="auto"/>
          <w:kern w:val="0"/>
          <w:szCs w:val="21"/>
          <w:highlight w:val="none"/>
          <w:lang w:bidi="ar"/>
        </w:rPr>
        <w:br w:type="page"/>
      </w:r>
      <w:r>
        <w:rPr>
          <w:rFonts w:hint="eastAsia" w:ascii="宋体" w:hAnsi="宋体" w:cs="宋体"/>
          <w:b/>
          <w:bCs/>
          <w:color w:val="auto"/>
          <w:sz w:val="44"/>
          <w:szCs w:val="44"/>
          <w:highlight w:val="none"/>
          <w:lang w:bidi="ar"/>
        </w:rPr>
        <w:t>供应商直接控股、管理关系信息表</w:t>
      </w:r>
    </w:p>
    <w:tbl>
      <w:tblPr>
        <w:tblStyle w:val="30"/>
        <w:tblW w:w="9476" w:type="dxa"/>
        <w:jc w:val="center"/>
        <w:tblLayout w:type="fixed"/>
        <w:tblCellMar>
          <w:top w:w="0" w:type="dxa"/>
          <w:left w:w="0" w:type="dxa"/>
          <w:bottom w:w="0" w:type="dxa"/>
          <w:right w:w="0" w:type="dxa"/>
        </w:tblCellMar>
      </w:tblPr>
      <w:tblGrid>
        <w:gridCol w:w="813"/>
        <w:gridCol w:w="3075"/>
        <w:gridCol w:w="1545"/>
        <w:gridCol w:w="3000"/>
        <w:gridCol w:w="1043"/>
      </w:tblGrid>
      <w:tr w14:paraId="61A73812">
        <w:tblPrEx>
          <w:tblCellMar>
            <w:top w:w="0" w:type="dxa"/>
            <w:left w:w="0" w:type="dxa"/>
            <w:bottom w:w="0" w:type="dxa"/>
            <w:right w:w="0" w:type="dxa"/>
          </w:tblCellMar>
        </w:tblPrEx>
        <w:trPr>
          <w:trHeight w:val="404" w:hRule="atLeast"/>
          <w:jc w:val="center"/>
        </w:trPr>
        <w:tc>
          <w:tcPr>
            <w:tcW w:w="9476" w:type="dxa"/>
            <w:gridSpan w:val="5"/>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A990CC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8"/>
                <w:szCs w:val="28"/>
                <w:highlight w:val="none"/>
                <w:lang w:bidi="ar"/>
              </w:rPr>
              <w:t>供应商直接控股股东信息表</w:t>
            </w:r>
          </w:p>
        </w:tc>
      </w:tr>
      <w:tr w14:paraId="4CEDEFEE">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9852E7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序号</w:t>
            </w:r>
          </w:p>
        </w:tc>
        <w:tc>
          <w:tcPr>
            <w:tcW w:w="3075"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106895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直接控股股东名称</w:t>
            </w:r>
          </w:p>
        </w:tc>
        <w:tc>
          <w:tcPr>
            <w:tcW w:w="1545"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85C1B2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出资比例</w:t>
            </w:r>
          </w:p>
        </w:tc>
        <w:tc>
          <w:tcPr>
            <w:tcW w:w="3000"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865FB1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身份证号码或者统一社会信用代码</w:t>
            </w:r>
          </w:p>
        </w:tc>
        <w:tc>
          <w:tcPr>
            <w:tcW w:w="1043"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DA2328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备注</w:t>
            </w:r>
          </w:p>
        </w:tc>
      </w:tr>
      <w:tr w14:paraId="402A9645">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CE8FB6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1</w:t>
            </w:r>
          </w:p>
        </w:tc>
        <w:tc>
          <w:tcPr>
            <w:tcW w:w="307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BDBA1C3">
            <w:pPr>
              <w:spacing w:line="360" w:lineRule="auto"/>
              <w:jc w:val="center"/>
              <w:rPr>
                <w:rFonts w:ascii="宋体" w:hAnsi="宋体" w:cs="宋体"/>
                <w:color w:val="auto"/>
                <w:kern w:val="0"/>
                <w:sz w:val="24"/>
                <w:highlight w:val="none"/>
              </w:rPr>
            </w:pPr>
          </w:p>
        </w:tc>
        <w:tc>
          <w:tcPr>
            <w:tcW w:w="154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D67FBE7">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7CE8B02">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DC29770">
            <w:pPr>
              <w:spacing w:line="360" w:lineRule="auto"/>
              <w:jc w:val="center"/>
              <w:rPr>
                <w:rFonts w:ascii="宋体" w:hAnsi="宋体" w:cs="宋体"/>
                <w:color w:val="auto"/>
                <w:kern w:val="0"/>
                <w:sz w:val="24"/>
                <w:highlight w:val="none"/>
              </w:rPr>
            </w:pPr>
          </w:p>
        </w:tc>
      </w:tr>
      <w:tr w14:paraId="6FC01C59">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FD71CB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2</w:t>
            </w:r>
          </w:p>
        </w:tc>
        <w:tc>
          <w:tcPr>
            <w:tcW w:w="307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18F89A4">
            <w:pPr>
              <w:spacing w:line="360" w:lineRule="auto"/>
              <w:jc w:val="center"/>
              <w:rPr>
                <w:rFonts w:ascii="宋体" w:hAnsi="宋体" w:cs="宋体"/>
                <w:color w:val="auto"/>
                <w:kern w:val="0"/>
                <w:sz w:val="24"/>
                <w:highlight w:val="none"/>
              </w:rPr>
            </w:pPr>
          </w:p>
        </w:tc>
        <w:tc>
          <w:tcPr>
            <w:tcW w:w="154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82C99A2">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205F3B6">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07FB433">
            <w:pPr>
              <w:spacing w:line="360" w:lineRule="auto"/>
              <w:jc w:val="center"/>
              <w:rPr>
                <w:rFonts w:ascii="宋体" w:hAnsi="宋体" w:cs="宋体"/>
                <w:color w:val="auto"/>
                <w:kern w:val="0"/>
                <w:sz w:val="24"/>
                <w:highlight w:val="none"/>
              </w:rPr>
            </w:pPr>
          </w:p>
        </w:tc>
      </w:tr>
      <w:tr w14:paraId="529D5ED2">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E2ACF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w:t>
            </w:r>
          </w:p>
        </w:tc>
        <w:tc>
          <w:tcPr>
            <w:tcW w:w="307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E57B10C">
            <w:pPr>
              <w:spacing w:line="360" w:lineRule="auto"/>
              <w:jc w:val="center"/>
              <w:rPr>
                <w:rFonts w:ascii="宋体" w:hAnsi="宋体" w:cs="宋体"/>
                <w:color w:val="auto"/>
                <w:kern w:val="0"/>
                <w:sz w:val="24"/>
                <w:highlight w:val="none"/>
              </w:rPr>
            </w:pPr>
          </w:p>
        </w:tc>
        <w:tc>
          <w:tcPr>
            <w:tcW w:w="1545"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87D64FC">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3913EE6">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F34FE03">
            <w:pPr>
              <w:spacing w:line="360" w:lineRule="auto"/>
              <w:jc w:val="center"/>
              <w:rPr>
                <w:rFonts w:ascii="宋体" w:hAnsi="宋体" w:cs="宋体"/>
                <w:color w:val="auto"/>
                <w:kern w:val="0"/>
                <w:sz w:val="24"/>
                <w:highlight w:val="none"/>
              </w:rPr>
            </w:pPr>
          </w:p>
        </w:tc>
      </w:tr>
      <w:tr w14:paraId="789E2755">
        <w:tblPrEx>
          <w:tblCellMar>
            <w:top w:w="0" w:type="dxa"/>
            <w:left w:w="0" w:type="dxa"/>
            <w:bottom w:w="0" w:type="dxa"/>
            <w:right w:w="0" w:type="dxa"/>
          </w:tblCellMar>
        </w:tblPrEx>
        <w:trPr>
          <w:jc w:val="center"/>
        </w:trPr>
        <w:tc>
          <w:tcPr>
            <w:tcW w:w="9476" w:type="dxa"/>
            <w:gridSpan w:val="5"/>
            <w:tcBorders>
              <w:top w:val="single" w:color="auto" w:sz="4" w:space="0"/>
              <w:left w:val="single" w:color="auto" w:sz="4" w:space="0"/>
              <w:bottom w:val="single" w:color="auto" w:sz="4" w:space="0"/>
              <w:right w:val="single" w:color="auto" w:sz="4" w:space="0"/>
            </w:tcBorders>
            <w:shd w:val="clear" w:color="auto" w:fill="FFFFFF"/>
            <w:noWrap/>
            <w:tcMar>
              <w:top w:w="120" w:type="dxa"/>
              <w:left w:w="120" w:type="dxa"/>
              <w:bottom w:w="120" w:type="dxa"/>
              <w:right w:w="120" w:type="dxa"/>
            </w:tcMar>
            <w:vAlign w:val="center"/>
          </w:tcPr>
          <w:p w14:paraId="451BF46D">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说明：</w:t>
            </w:r>
          </w:p>
          <w:p w14:paraId="7103F1CF">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63CBD9">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2.本表所指的控股关系仅限于直接控股关系，不包括间接的控股关系。公司实际控制人与公司之间的关系不属于本表所指的直接控股关系。</w:t>
            </w:r>
          </w:p>
          <w:p w14:paraId="242187BE">
            <w:pPr>
              <w:spacing w:line="360" w:lineRule="auto"/>
              <w:rPr>
                <w:rFonts w:ascii="宋体" w:hAnsi="宋体" w:cs="宋体"/>
                <w:b/>
                <w:bCs/>
                <w:color w:val="auto"/>
                <w:kern w:val="0"/>
                <w:sz w:val="24"/>
                <w:highlight w:val="none"/>
              </w:rPr>
            </w:pPr>
            <w:r>
              <w:rPr>
                <w:rFonts w:hint="eastAsia" w:ascii="宋体" w:hAnsi="宋体" w:cs="宋体"/>
                <w:color w:val="auto"/>
                <w:kern w:val="0"/>
                <w:sz w:val="24"/>
                <w:highlight w:val="none"/>
                <w:lang w:bidi="ar"/>
              </w:rPr>
              <w:t>3.供应商不存在直接控股股东的，则填“无”。</w:t>
            </w:r>
          </w:p>
        </w:tc>
      </w:tr>
      <w:tr w14:paraId="7F6509D7">
        <w:tblPrEx>
          <w:tblCellMar>
            <w:top w:w="0" w:type="dxa"/>
            <w:left w:w="0" w:type="dxa"/>
            <w:bottom w:w="0" w:type="dxa"/>
            <w:right w:w="0" w:type="dxa"/>
          </w:tblCellMar>
        </w:tblPrEx>
        <w:trPr>
          <w:jc w:val="center"/>
        </w:trPr>
        <w:tc>
          <w:tcPr>
            <w:tcW w:w="9476" w:type="dxa"/>
            <w:gridSpan w:val="5"/>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43F2E01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8"/>
                <w:szCs w:val="28"/>
                <w:highlight w:val="none"/>
                <w:lang w:bidi="ar"/>
              </w:rPr>
              <w:t>供应商直接管理关系信息表</w:t>
            </w:r>
          </w:p>
        </w:tc>
      </w:tr>
      <w:tr w14:paraId="0429EE6C">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E49E30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序号</w:t>
            </w:r>
          </w:p>
        </w:tc>
        <w:tc>
          <w:tcPr>
            <w:tcW w:w="4620" w:type="dxa"/>
            <w:gridSpan w:val="2"/>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AC216C0">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直接管理关系单位名称</w:t>
            </w:r>
          </w:p>
        </w:tc>
        <w:tc>
          <w:tcPr>
            <w:tcW w:w="3000"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667FCAC">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统一社会信用代码</w:t>
            </w:r>
          </w:p>
        </w:tc>
        <w:tc>
          <w:tcPr>
            <w:tcW w:w="1043" w:type="dxa"/>
            <w:tcBorders>
              <w:top w:val="single" w:color="auto" w:sz="4" w:space="0"/>
              <w:left w:val="nil"/>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75E7FE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lang w:bidi="ar"/>
              </w:rPr>
              <w:t>备注</w:t>
            </w:r>
          </w:p>
        </w:tc>
      </w:tr>
      <w:tr w14:paraId="29944F05">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C7B731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1</w:t>
            </w:r>
          </w:p>
        </w:tc>
        <w:tc>
          <w:tcPr>
            <w:tcW w:w="4620" w:type="dxa"/>
            <w:gridSpan w:val="2"/>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6373FB7">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3E0819E">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B58F2C0">
            <w:pPr>
              <w:spacing w:line="360" w:lineRule="auto"/>
              <w:jc w:val="center"/>
              <w:rPr>
                <w:rFonts w:ascii="宋体" w:hAnsi="宋体" w:cs="宋体"/>
                <w:color w:val="auto"/>
                <w:kern w:val="0"/>
                <w:sz w:val="24"/>
                <w:highlight w:val="none"/>
              </w:rPr>
            </w:pPr>
          </w:p>
        </w:tc>
      </w:tr>
      <w:tr w14:paraId="0D9BB235">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3FD7AE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2</w:t>
            </w:r>
          </w:p>
        </w:tc>
        <w:tc>
          <w:tcPr>
            <w:tcW w:w="4620" w:type="dxa"/>
            <w:gridSpan w:val="2"/>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9E0366A">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AC748BF">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EA2A1ED">
            <w:pPr>
              <w:spacing w:line="360" w:lineRule="auto"/>
              <w:jc w:val="center"/>
              <w:rPr>
                <w:rFonts w:ascii="宋体" w:hAnsi="宋体" w:cs="宋体"/>
                <w:color w:val="auto"/>
                <w:kern w:val="0"/>
                <w:sz w:val="24"/>
                <w:highlight w:val="none"/>
              </w:rPr>
            </w:pPr>
          </w:p>
        </w:tc>
      </w:tr>
      <w:tr w14:paraId="31AC3B96">
        <w:tblPrEx>
          <w:tblCellMar>
            <w:top w:w="0" w:type="dxa"/>
            <w:left w:w="0" w:type="dxa"/>
            <w:bottom w:w="0" w:type="dxa"/>
            <w:right w:w="0" w:type="dxa"/>
          </w:tblCellMar>
        </w:tblPrEx>
        <w:trPr>
          <w:jc w:val="center"/>
        </w:trPr>
        <w:tc>
          <w:tcPr>
            <w:tcW w:w="813"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2903E6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bidi="ar"/>
              </w:rPr>
              <w:t>…</w:t>
            </w:r>
          </w:p>
        </w:tc>
        <w:tc>
          <w:tcPr>
            <w:tcW w:w="4620" w:type="dxa"/>
            <w:gridSpan w:val="2"/>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4C49666">
            <w:pPr>
              <w:spacing w:line="360" w:lineRule="auto"/>
              <w:jc w:val="center"/>
              <w:rPr>
                <w:rFonts w:ascii="宋体" w:hAnsi="宋体" w:cs="宋体"/>
                <w:color w:val="auto"/>
                <w:kern w:val="0"/>
                <w:sz w:val="24"/>
                <w:highlight w:val="none"/>
              </w:rPr>
            </w:pPr>
          </w:p>
        </w:tc>
        <w:tc>
          <w:tcPr>
            <w:tcW w:w="3000"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F7CE1F3">
            <w:pPr>
              <w:spacing w:line="360" w:lineRule="auto"/>
              <w:jc w:val="center"/>
              <w:rPr>
                <w:rFonts w:ascii="宋体" w:hAnsi="宋体" w:cs="宋体"/>
                <w:color w:val="auto"/>
                <w:kern w:val="0"/>
                <w:sz w:val="24"/>
                <w:highlight w:val="none"/>
              </w:rPr>
            </w:pPr>
          </w:p>
        </w:tc>
        <w:tc>
          <w:tcPr>
            <w:tcW w:w="1043" w:type="dxa"/>
            <w:tcBorders>
              <w:top w:val="single" w:color="auto" w:sz="4" w:space="0"/>
              <w:left w:val="nil"/>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1EAF97C">
            <w:pPr>
              <w:spacing w:line="360" w:lineRule="auto"/>
              <w:jc w:val="center"/>
              <w:rPr>
                <w:rFonts w:ascii="宋体" w:hAnsi="宋体" w:cs="宋体"/>
                <w:color w:val="auto"/>
                <w:kern w:val="0"/>
                <w:sz w:val="24"/>
                <w:highlight w:val="none"/>
              </w:rPr>
            </w:pPr>
          </w:p>
        </w:tc>
      </w:tr>
      <w:tr w14:paraId="5F5977FE">
        <w:tblPrEx>
          <w:tblCellMar>
            <w:top w:w="0" w:type="dxa"/>
            <w:left w:w="0" w:type="dxa"/>
            <w:bottom w:w="0" w:type="dxa"/>
            <w:right w:w="0" w:type="dxa"/>
          </w:tblCellMar>
        </w:tblPrEx>
        <w:trPr>
          <w:jc w:val="center"/>
        </w:trPr>
        <w:tc>
          <w:tcPr>
            <w:tcW w:w="9476" w:type="dxa"/>
            <w:gridSpan w:val="5"/>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C202836">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说明：</w:t>
            </w:r>
          </w:p>
          <w:p w14:paraId="207B2427">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1.管理关系：是指不具有出资持股关系的其他单位之间存在的管理与被管理关系，如一些上下级关系的事业单位和团体组织。</w:t>
            </w:r>
          </w:p>
          <w:p w14:paraId="3D66B02D">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2.本表所指的管理关系仅限于直接管理关系，不包括间接的管理关系。</w:t>
            </w:r>
          </w:p>
          <w:p w14:paraId="53EEA82B">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bidi="ar"/>
              </w:rPr>
              <w:t>3.供应商不存在直接管理关系的，则填“无”</w:t>
            </w:r>
          </w:p>
        </w:tc>
      </w:tr>
    </w:tbl>
    <w:p w14:paraId="28CE6F7E">
      <w:pPr>
        <w:autoSpaceDE w:val="0"/>
        <w:snapToGrid/>
        <w:spacing w:line="360" w:lineRule="auto"/>
        <w:ind w:firstLine="4800" w:firstLineChars="2000"/>
        <w:rPr>
          <w:rFonts w:ascii="宋体" w:hAnsi="宋体" w:cs="宋体"/>
          <w:color w:val="auto"/>
          <w:kern w:val="0"/>
          <w:sz w:val="24"/>
          <w:highlight w:val="none"/>
        </w:rPr>
      </w:pPr>
      <w:r>
        <w:rPr>
          <w:rFonts w:hint="eastAsia" w:ascii="宋体" w:hAnsi="宋体" w:cs="宋体"/>
          <w:color w:val="auto"/>
          <w:kern w:val="0"/>
          <w:sz w:val="24"/>
          <w:highlight w:val="none"/>
          <w:lang w:bidi="ar"/>
        </w:rPr>
        <w:t xml:space="preserve"> </w:t>
      </w:r>
    </w:p>
    <w:p w14:paraId="32080F2F">
      <w:pPr>
        <w:autoSpaceDE w:val="0"/>
        <w:snapToGrid/>
        <w:spacing w:line="360" w:lineRule="auto"/>
        <w:ind w:firstLine="4800" w:firstLineChars="2000"/>
        <w:rPr>
          <w:rFonts w:ascii="宋体" w:hAnsi="宋体" w:cs="宋体"/>
          <w:color w:val="auto"/>
          <w:kern w:val="0"/>
          <w:sz w:val="24"/>
          <w:highlight w:val="none"/>
        </w:rPr>
      </w:pPr>
      <w:r>
        <w:rPr>
          <w:rFonts w:hint="eastAsia" w:ascii="宋体" w:hAnsi="宋体" w:cs="宋体"/>
          <w:color w:val="auto"/>
          <w:kern w:val="0"/>
          <w:sz w:val="24"/>
          <w:highlight w:val="none"/>
          <w:lang w:bidi="ar"/>
        </w:rPr>
        <w:t>供应商</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电子签章</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w:t>
      </w:r>
    </w:p>
    <w:p w14:paraId="40320E65">
      <w:pPr>
        <w:autoSpaceDE w:val="0"/>
        <w:snapToGrid/>
        <w:spacing w:line="360" w:lineRule="auto"/>
        <w:ind w:firstLine="4800" w:firstLineChars="2000"/>
        <w:rPr>
          <w:rFonts w:ascii="宋体" w:hAnsi="宋体" w:cs="宋体"/>
          <w:b/>
          <w:color w:val="auto"/>
          <w:kern w:val="0"/>
          <w:sz w:val="24"/>
          <w:highlight w:val="none"/>
        </w:rPr>
      </w:pPr>
      <w:r>
        <w:rPr>
          <w:rFonts w:hint="eastAsia" w:ascii="宋体" w:hAnsi="宋体" w:cs="宋体"/>
          <w:color w:val="auto"/>
          <w:kern w:val="0"/>
          <w:sz w:val="24"/>
          <w:highlight w:val="none"/>
          <w:lang w:bidi="ar"/>
        </w:rPr>
        <w:t>日期：     年   月   日</w:t>
      </w:r>
    </w:p>
    <w:p w14:paraId="28C864A2">
      <w:pPr>
        <w:spacing w:after="156" w:afterLines="50" w:line="360" w:lineRule="auto"/>
        <w:jc w:val="center"/>
        <w:rPr>
          <w:rFonts w:ascii="宋体" w:hAnsi="宋体" w:cs="宋体"/>
          <w:b/>
          <w:color w:val="auto"/>
          <w:sz w:val="32"/>
          <w:szCs w:val="32"/>
          <w:highlight w:val="none"/>
        </w:rPr>
      </w:pPr>
      <w:r>
        <w:rPr>
          <w:rFonts w:hint="eastAsia" w:ascii="宋体" w:hAnsi="宋体" w:cs="宋体"/>
          <w:color w:val="auto"/>
          <w:szCs w:val="21"/>
          <w:highlight w:val="none"/>
          <w:lang w:bidi="ar"/>
        </w:rPr>
        <w:br w:type="page"/>
      </w:r>
      <w:r>
        <w:rPr>
          <w:rFonts w:hint="eastAsia" w:ascii="宋体" w:hAnsi="宋体" w:cs="宋体"/>
          <w:b/>
          <w:color w:val="auto"/>
          <w:sz w:val="32"/>
          <w:szCs w:val="32"/>
          <w:highlight w:val="none"/>
          <w:lang w:bidi="ar"/>
        </w:rPr>
        <w:t>中小企业声明函（服务）</w:t>
      </w:r>
    </w:p>
    <w:p w14:paraId="4887830B">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本公司（联合体）郑重声明，根据《政府采购促进中小企业发展管理办法》（财库﹝2020﹞46 号）的规定，本公司（联合体）参加</w:t>
      </w:r>
      <w:r>
        <w:rPr>
          <w:rFonts w:hint="eastAsia" w:ascii="宋体" w:hAnsi="宋体" w:cs="宋体"/>
          <w:color w:val="auto"/>
          <w:sz w:val="24"/>
          <w:highlight w:val="none"/>
          <w:u w:val="single"/>
          <w:shd w:val="clear" w:color="auto" w:fill="FFFFFF"/>
          <w:lang w:bidi="ar"/>
        </w:rPr>
        <w:t>（单位名称）</w:t>
      </w:r>
      <w:r>
        <w:rPr>
          <w:rFonts w:hint="eastAsia" w:ascii="宋体" w:hAnsi="宋体" w:cs="宋体"/>
          <w:color w:val="auto"/>
          <w:sz w:val="24"/>
          <w:highlight w:val="none"/>
          <w:shd w:val="clear" w:color="auto" w:fill="FFFFFF"/>
          <w:lang w:bidi="ar"/>
        </w:rPr>
        <w:t>的</w:t>
      </w:r>
      <w:r>
        <w:rPr>
          <w:rFonts w:hint="eastAsia" w:ascii="宋体" w:hAnsi="宋体" w:cs="宋体"/>
          <w:color w:val="auto"/>
          <w:sz w:val="24"/>
          <w:highlight w:val="none"/>
          <w:u w:val="single"/>
          <w:shd w:val="clear" w:color="auto" w:fill="FFFFFF"/>
          <w:lang w:bidi="ar"/>
        </w:rPr>
        <w:t>（项目名称）</w:t>
      </w:r>
      <w:r>
        <w:rPr>
          <w:rFonts w:hint="eastAsia" w:ascii="宋体" w:hAnsi="宋体" w:cs="宋体"/>
          <w:color w:val="auto"/>
          <w:sz w:val="24"/>
          <w:highlight w:val="none"/>
          <w:shd w:val="clear" w:color="auto" w:fill="FFFFFF"/>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35FD661C">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1.</w:t>
      </w:r>
      <w:r>
        <w:rPr>
          <w:rFonts w:hint="eastAsia" w:ascii="宋体" w:hAnsi="宋体" w:cs="宋体"/>
          <w:color w:val="auto"/>
          <w:sz w:val="24"/>
          <w:highlight w:val="none"/>
          <w:u w:val="single"/>
          <w:shd w:val="clear" w:color="auto" w:fill="FFFFFF"/>
          <w:lang w:bidi="ar"/>
        </w:rPr>
        <w:t>（标的名称）</w:t>
      </w:r>
      <w:r>
        <w:rPr>
          <w:rFonts w:hint="eastAsia" w:ascii="宋体" w:hAnsi="宋体" w:cs="宋体"/>
          <w:color w:val="auto"/>
          <w:sz w:val="24"/>
          <w:highlight w:val="none"/>
          <w:shd w:val="clear" w:color="auto" w:fill="FFFFFF"/>
          <w:lang w:bidi="ar"/>
        </w:rPr>
        <w:t>，属于</w:t>
      </w:r>
      <w:r>
        <w:rPr>
          <w:rFonts w:hint="eastAsia" w:ascii="宋体" w:hAnsi="宋体" w:cs="宋体"/>
          <w:color w:val="auto"/>
          <w:sz w:val="24"/>
          <w:highlight w:val="none"/>
          <w:u w:val="single"/>
          <w:shd w:val="clear" w:color="auto" w:fill="FFFFFF"/>
          <w:lang w:bidi="ar"/>
        </w:rPr>
        <w:t>其他未列明行业</w:t>
      </w:r>
      <w:r>
        <w:rPr>
          <w:rFonts w:hint="eastAsia" w:ascii="宋体" w:hAnsi="宋体" w:cs="宋体"/>
          <w:color w:val="auto"/>
          <w:sz w:val="24"/>
          <w:highlight w:val="none"/>
          <w:shd w:val="clear" w:color="auto" w:fill="FFFFFF"/>
          <w:lang w:bidi="ar"/>
        </w:rPr>
        <w:t>；承建（承接）企业为</w:t>
      </w:r>
      <w:r>
        <w:rPr>
          <w:rFonts w:hint="eastAsia" w:ascii="宋体" w:hAnsi="宋体" w:cs="宋体"/>
          <w:color w:val="auto"/>
          <w:sz w:val="24"/>
          <w:highlight w:val="none"/>
          <w:u w:val="single"/>
          <w:shd w:val="clear" w:color="auto" w:fill="FFFFFF"/>
          <w:lang w:bidi="ar"/>
        </w:rPr>
        <w:t>（企业名称）</w:t>
      </w:r>
      <w:r>
        <w:rPr>
          <w:rFonts w:hint="eastAsia" w:ascii="宋体" w:hAnsi="宋体" w:cs="宋体"/>
          <w:color w:val="auto"/>
          <w:sz w:val="24"/>
          <w:highlight w:val="none"/>
          <w:shd w:val="clear" w:color="auto" w:fill="FFFFFF"/>
          <w:lang w:bidi="ar"/>
        </w:rPr>
        <w:t>，从业人员_____人，营业收入为_____万元，资产总额为_____万元，属于</w:t>
      </w:r>
      <w:r>
        <w:rPr>
          <w:rFonts w:hint="eastAsia" w:ascii="宋体" w:hAnsi="宋体" w:cs="宋体"/>
          <w:color w:val="auto"/>
          <w:sz w:val="24"/>
          <w:highlight w:val="none"/>
          <w:u w:val="single"/>
          <w:shd w:val="clear" w:color="auto" w:fill="FFFFFF"/>
          <w:lang w:bidi="ar"/>
        </w:rPr>
        <w:t>（中型企业、小型企业、微型企业）</w:t>
      </w:r>
      <w:r>
        <w:rPr>
          <w:rFonts w:hint="eastAsia" w:ascii="宋体" w:hAnsi="宋体" w:cs="宋体"/>
          <w:color w:val="auto"/>
          <w:sz w:val="24"/>
          <w:highlight w:val="none"/>
          <w:shd w:val="clear" w:color="auto" w:fill="FFFFFF"/>
          <w:lang w:bidi="ar"/>
        </w:rPr>
        <w:t>；</w:t>
      </w:r>
    </w:p>
    <w:p w14:paraId="48B6ED2D">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2.</w:t>
      </w:r>
      <w:r>
        <w:rPr>
          <w:rFonts w:hint="eastAsia" w:ascii="宋体" w:hAnsi="宋体" w:cs="宋体"/>
          <w:color w:val="auto"/>
          <w:sz w:val="24"/>
          <w:highlight w:val="none"/>
          <w:u w:val="single"/>
          <w:shd w:val="clear" w:color="auto" w:fill="FFFFFF"/>
          <w:lang w:bidi="ar"/>
        </w:rPr>
        <w:t>（标的名称）</w:t>
      </w:r>
      <w:r>
        <w:rPr>
          <w:rFonts w:hint="eastAsia" w:ascii="宋体" w:hAnsi="宋体" w:cs="宋体"/>
          <w:color w:val="auto"/>
          <w:sz w:val="24"/>
          <w:highlight w:val="none"/>
          <w:shd w:val="clear" w:color="auto" w:fill="FFFFFF"/>
          <w:lang w:bidi="ar"/>
        </w:rPr>
        <w:t>，属于</w:t>
      </w:r>
      <w:r>
        <w:rPr>
          <w:rFonts w:hint="eastAsia" w:ascii="宋体" w:hAnsi="宋体" w:cs="宋体"/>
          <w:color w:val="auto"/>
          <w:sz w:val="24"/>
          <w:highlight w:val="none"/>
          <w:u w:val="single"/>
          <w:shd w:val="clear" w:color="auto" w:fill="FFFFFF"/>
          <w:lang w:bidi="ar"/>
        </w:rPr>
        <w:t>其他未列明行业</w:t>
      </w:r>
      <w:r>
        <w:rPr>
          <w:rFonts w:hint="eastAsia" w:ascii="宋体" w:hAnsi="宋体" w:cs="宋体"/>
          <w:color w:val="auto"/>
          <w:sz w:val="24"/>
          <w:highlight w:val="none"/>
          <w:shd w:val="clear" w:color="auto" w:fill="FFFFFF"/>
          <w:lang w:bidi="ar"/>
        </w:rPr>
        <w:t>；承建（承接）企业为</w:t>
      </w:r>
      <w:r>
        <w:rPr>
          <w:rFonts w:hint="eastAsia" w:ascii="宋体" w:hAnsi="宋体" w:cs="宋体"/>
          <w:color w:val="auto"/>
          <w:sz w:val="24"/>
          <w:highlight w:val="none"/>
          <w:u w:val="single"/>
          <w:shd w:val="clear" w:color="auto" w:fill="FFFFFF"/>
          <w:lang w:bidi="ar"/>
        </w:rPr>
        <w:t>（企业名称）</w:t>
      </w:r>
      <w:r>
        <w:rPr>
          <w:rFonts w:hint="eastAsia" w:ascii="宋体" w:hAnsi="宋体" w:cs="宋体"/>
          <w:color w:val="auto"/>
          <w:sz w:val="24"/>
          <w:highlight w:val="none"/>
          <w:shd w:val="clear" w:color="auto" w:fill="FFFFFF"/>
          <w:lang w:bidi="ar"/>
        </w:rPr>
        <w:t>，从业人员_____人，营业收入为_____万元，资产总额为_____万元，属于（中型企业、小型企业、微型企业）；</w:t>
      </w:r>
    </w:p>
    <w:p w14:paraId="7EC3568B">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w:t>
      </w:r>
    </w:p>
    <w:p w14:paraId="64E7E275">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以上企业，不属于大企业的分支机构，不存在控股股东为大企业的情形，也不存在与大企业的负责人为同一人的情形。</w:t>
      </w:r>
    </w:p>
    <w:p w14:paraId="786D6F58">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本企业对上述声明内容的真实性负责。如有虚假，将依法承担相应责任。</w:t>
      </w:r>
    </w:p>
    <w:p w14:paraId="08D99AEE">
      <w:pP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 xml:space="preserve"> </w:t>
      </w:r>
    </w:p>
    <w:p w14:paraId="5BC9ACBE">
      <w:pPr>
        <w:spacing w:line="360" w:lineRule="auto"/>
        <w:ind w:firstLine="4800" w:firstLineChars="200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企业名称（电子签章）：</w:t>
      </w:r>
    </w:p>
    <w:p w14:paraId="759AF25A">
      <w:pPr>
        <w:spacing w:line="360" w:lineRule="auto"/>
        <w:ind w:firstLine="4800" w:firstLineChars="200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bidi="ar"/>
        </w:rPr>
        <w:t>日期：     年   月   日</w:t>
      </w:r>
    </w:p>
    <w:p w14:paraId="05FB0ED6">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0F1C0376">
      <w:pPr>
        <w:spacing w:line="360" w:lineRule="auto"/>
        <w:jc w:val="left"/>
        <w:rPr>
          <w:rFonts w:ascii="宋体" w:hAnsi="宋体" w:cs="宋体"/>
          <w:color w:val="auto"/>
          <w:sz w:val="24"/>
          <w:highlight w:val="none"/>
        </w:rPr>
      </w:pPr>
      <w:r>
        <w:rPr>
          <w:rFonts w:hint="eastAsia" w:ascii="宋体" w:hAnsi="宋体" w:cs="宋体"/>
          <w:color w:val="auto"/>
          <w:sz w:val="24"/>
          <w:highlight w:val="none"/>
          <w:lang w:bidi="ar"/>
        </w:rPr>
        <w:t>备注：</w:t>
      </w:r>
    </w:p>
    <w:p w14:paraId="475D1048">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1.供应商须在响应文件中提供《中小企业声明函》，否则不予价格扣除；供应商提供的《中小企业声明函》与事实不符的，依照《中华人民共和国政府采购法》第七十七条第一款的规定追究法律责任。</w:t>
      </w:r>
    </w:p>
    <w:p w14:paraId="7808281E">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2.从业人员、营业收入、资产总额填报上一年度数据，无上一年度数据的新成立企业可不填报。</w:t>
      </w:r>
    </w:p>
    <w:p w14:paraId="299D565D">
      <w:pPr>
        <w:autoSpaceDE w:val="0"/>
        <w:spacing w:before="340" w:after="330" w:line="360" w:lineRule="auto"/>
        <w:jc w:val="center"/>
        <w:rPr>
          <w:rFonts w:ascii="宋体" w:hAnsi="宋体" w:cs="宋体"/>
          <w:b/>
          <w:bCs/>
          <w:color w:val="auto"/>
          <w:sz w:val="32"/>
          <w:szCs w:val="32"/>
          <w:highlight w:val="none"/>
        </w:rPr>
      </w:pPr>
      <w:r>
        <w:rPr>
          <w:rFonts w:hint="eastAsia" w:ascii="宋体" w:hAnsi="宋体" w:cs="宋体"/>
          <w:color w:val="auto"/>
          <w:szCs w:val="21"/>
          <w:highlight w:val="none"/>
          <w:lang w:bidi="ar"/>
        </w:rPr>
        <w:br w:type="page"/>
      </w:r>
      <w:r>
        <w:rPr>
          <w:rFonts w:hint="eastAsia" w:ascii="宋体" w:hAnsi="宋体" w:cs="宋体"/>
          <w:b/>
          <w:color w:val="auto"/>
          <w:sz w:val="32"/>
          <w:szCs w:val="32"/>
          <w:highlight w:val="none"/>
          <w:lang w:bidi="ar"/>
        </w:rPr>
        <w:t>残疾人福利性单位声明函</w:t>
      </w:r>
    </w:p>
    <w:p w14:paraId="42C0E9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单位的</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项目采购活动提供本单位制造的货物（由本单位承担工程/提供服务），或者提供其他残疾人福利性单位制造的货物（不包括使用非残疾人福利性单位注册商标的货物）。</w:t>
      </w:r>
    </w:p>
    <w:p w14:paraId="6FB4FC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本单位对上述声明的真实性负责。如有虚假，将依法承担相应责任。</w:t>
      </w:r>
    </w:p>
    <w:p w14:paraId="160E6BDC">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45502D82">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单位名称（电子签章）：</w:t>
      </w:r>
    </w:p>
    <w:p w14:paraId="481321D7">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  期：     年   月   日</w:t>
      </w:r>
    </w:p>
    <w:p w14:paraId="0CFF4F8E">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06202C3B">
      <w:pPr>
        <w:spacing w:line="360" w:lineRule="auto"/>
        <w:rPr>
          <w:rFonts w:ascii="宋体" w:hAnsi="宋体" w:cs="宋体"/>
          <w:color w:val="auto"/>
          <w:sz w:val="24"/>
          <w:highlight w:val="none"/>
        </w:rPr>
      </w:pPr>
      <w:r>
        <w:rPr>
          <w:rFonts w:hint="eastAsia" w:ascii="宋体" w:hAnsi="宋体" w:cs="宋体"/>
          <w:color w:val="auto"/>
          <w:sz w:val="24"/>
          <w:highlight w:val="none"/>
          <w:lang w:bidi="ar"/>
        </w:rPr>
        <w:t>注：请根据自己的真实情况出具《残疾人福利性单位声明函》。依法享受中小企业优惠政策的，采购人或者采购代理机构在公告中标结果时，同时公告其《残疾人福利性单位声明函》，接受社会监督。</w:t>
      </w:r>
    </w:p>
    <w:p w14:paraId="7C10BF28">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Cs w:val="21"/>
          <w:highlight w:val="none"/>
          <w:lang w:bidi="ar"/>
        </w:rPr>
        <w:br w:type="page"/>
      </w:r>
      <w:r>
        <w:rPr>
          <w:rFonts w:hint="eastAsia" w:ascii="宋体" w:hAnsi="宋体" w:cs="宋体"/>
          <w:b/>
          <w:bCs/>
          <w:color w:val="auto"/>
          <w:sz w:val="44"/>
          <w:szCs w:val="44"/>
          <w:highlight w:val="none"/>
          <w:lang w:bidi="ar"/>
        </w:rPr>
        <w:t>竞标声明</w:t>
      </w:r>
    </w:p>
    <w:p w14:paraId="39F8BE2F">
      <w:pPr>
        <w:spacing w:before="156" w:beforeLines="50" w:after="50" w:line="360" w:lineRule="auto"/>
        <w:contextualSpacing/>
        <w:rPr>
          <w:rFonts w:ascii="宋体" w:hAnsi="宋体" w:cs="宋体"/>
          <w:color w:val="auto"/>
          <w:sz w:val="24"/>
          <w:highlight w:val="none"/>
        </w:rPr>
      </w:pPr>
      <w:r>
        <w:rPr>
          <w:rFonts w:hint="eastAsia" w:ascii="宋体" w:hAnsi="宋体" w:cs="宋体"/>
          <w:color w:val="auto"/>
          <w:sz w:val="24"/>
          <w:highlight w:val="none"/>
          <w:lang w:bidi="ar"/>
        </w:rPr>
        <w:t>致：</w:t>
      </w:r>
      <w:r>
        <w:rPr>
          <w:rFonts w:hint="eastAsia" w:ascii="宋体" w:hAnsi="宋体" w:cs="宋体"/>
          <w:color w:val="auto"/>
          <w:sz w:val="24"/>
          <w:highlight w:val="none"/>
          <w:u w:val="single"/>
          <w:lang w:bidi="ar"/>
        </w:rPr>
        <w:t>（采购代理机构名称）</w:t>
      </w:r>
      <w:r>
        <w:rPr>
          <w:rFonts w:hint="eastAsia" w:ascii="宋体" w:hAnsi="宋体" w:cs="宋体"/>
          <w:color w:val="auto"/>
          <w:sz w:val="24"/>
          <w:highlight w:val="none"/>
          <w:lang w:bidi="ar"/>
        </w:rPr>
        <w:t>：</w:t>
      </w:r>
    </w:p>
    <w:p w14:paraId="33C8383F">
      <w:pPr>
        <w:autoSpaceDE w:val="0"/>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u w:val="single"/>
          <w:lang w:bidi="ar"/>
        </w:rPr>
        <w:t>（供应商名称）</w:t>
      </w:r>
      <w:r>
        <w:rPr>
          <w:rFonts w:hint="eastAsia" w:ascii="宋体" w:hAnsi="宋体" w:cs="宋体"/>
          <w:color w:val="auto"/>
          <w:sz w:val="24"/>
          <w:highlight w:val="none"/>
          <w:lang w:bidi="ar"/>
        </w:rPr>
        <w:t>系中华人民共和国合法供应商，经营地址</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w:t>
      </w:r>
    </w:p>
    <w:p w14:paraId="51B32759">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我方愿意参加贵方组织的</w:t>
      </w:r>
      <w:r>
        <w:rPr>
          <w:rFonts w:hint="eastAsia" w:ascii="宋体" w:hAnsi="宋体" w:cs="宋体"/>
          <w:color w:val="auto"/>
          <w:sz w:val="24"/>
          <w:highlight w:val="none"/>
          <w:u w:val="single"/>
          <w:lang w:bidi="ar"/>
        </w:rPr>
        <w:t>（项目名称）</w:t>
      </w:r>
      <w:r>
        <w:rPr>
          <w:rFonts w:hint="eastAsia" w:ascii="宋体" w:hAnsi="宋体" w:cs="宋体"/>
          <w:color w:val="auto"/>
          <w:sz w:val="24"/>
          <w:highlight w:val="none"/>
          <w:lang w:bidi="ar"/>
        </w:rPr>
        <w:t>项目的竞标，为便于贵方公正、择优地确定成交供应商及其竞标产品和服务，我方就本次竞标有关事项郑重声明如下：</w:t>
      </w:r>
    </w:p>
    <w:p w14:paraId="76D5FCB3">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1.我方向贵方提交的所有响应文件、资料都是准确的和真实的。</w:t>
      </w:r>
    </w:p>
    <w:p w14:paraId="5DA2E6CE">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08048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3.在此，我方宣布同意如下：</w:t>
      </w:r>
    </w:p>
    <w:p w14:paraId="6C4C7D5D">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（1）将按磋商文件的约定履行合同责任和义务；</w:t>
      </w:r>
    </w:p>
    <w:p w14:paraId="1DCE02F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（2）已详细审查全部磋商文件，包括澄清或者更正公告（如有）；</w:t>
      </w:r>
    </w:p>
    <w:p w14:paraId="4AD5CBE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（3）同意提供按照贵方可能要求的与磋商有关的一切数据或者资料；</w:t>
      </w:r>
    </w:p>
    <w:p w14:paraId="0BC59B4D">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（4）响应磋商文件规定的竞标有效期。</w:t>
      </w:r>
    </w:p>
    <w:p w14:paraId="11E34A4B">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4.我方承诺符合《中华人民共和国政府采购法》第二十二条规定：</w:t>
      </w:r>
    </w:p>
    <w:p w14:paraId="33A452F9">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（1）具有独立承担民事责任的能力；</w:t>
      </w:r>
    </w:p>
    <w:p w14:paraId="2618BD48">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（2）具有良好的商业信誉和健全的财务会计制度；</w:t>
      </w:r>
    </w:p>
    <w:p w14:paraId="0D0D09BD">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（3）具有履行合同所必需的设备和专业技术能力；</w:t>
      </w:r>
    </w:p>
    <w:p w14:paraId="7494C0FA">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（4）有依法缴纳税收和社会保障资金的良好记录；</w:t>
      </w:r>
    </w:p>
    <w:p w14:paraId="4F9D4C3D">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（5）参加政府采购活动前三年内，在经营活动中没有重大违法记录；</w:t>
      </w:r>
    </w:p>
    <w:p w14:paraId="259E1279">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（6）法律、行政法规规定的其他条件。</w:t>
      </w:r>
    </w:p>
    <w:p w14:paraId="2D7E4915">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C59AB9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6EA5828">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□我方本次响应文件</w:t>
      </w:r>
      <w:r>
        <w:rPr>
          <w:rFonts w:hint="eastAsia" w:ascii="宋体" w:hAnsi="宋体" w:cs="宋体"/>
          <w:color w:val="auto"/>
          <w:kern w:val="0"/>
          <w:sz w:val="24"/>
          <w:highlight w:val="none"/>
          <w:lang w:bidi="ar"/>
        </w:rPr>
        <w:t>内容中</w:t>
      </w:r>
      <w:r>
        <w:rPr>
          <w:rFonts w:hint="eastAsia" w:ascii="宋体" w:hAnsi="宋体" w:cs="宋体"/>
          <w:color w:val="auto"/>
          <w:sz w:val="24"/>
          <w:highlight w:val="none"/>
          <w:lang w:bidi="ar"/>
        </w:rPr>
        <w:t>未</w:t>
      </w:r>
      <w:r>
        <w:rPr>
          <w:rFonts w:hint="eastAsia" w:ascii="宋体" w:hAnsi="宋体" w:cs="宋体"/>
          <w:color w:val="auto"/>
          <w:kern w:val="0"/>
          <w:sz w:val="24"/>
          <w:highlight w:val="none"/>
          <w:lang w:bidi="ar"/>
        </w:rPr>
        <w:t>涉及商业秘密；</w:t>
      </w:r>
    </w:p>
    <w:p w14:paraId="0AB4CA06">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□我方本次响应文件</w:t>
      </w:r>
      <w:r>
        <w:rPr>
          <w:rFonts w:hint="eastAsia" w:ascii="宋体" w:hAnsi="宋体" w:cs="宋体"/>
          <w:color w:val="auto"/>
          <w:kern w:val="0"/>
          <w:sz w:val="24"/>
          <w:highlight w:val="none"/>
          <w:lang w:bidi="ar"/>
        </w:rPr>
        <w:t>涉及商业秘密的内容有：</w:t>
      </w:r>
      <w:r>
        <w:rPr>
          <w:rFonts w:hint="eastAsia" w:ascii="宋体" w:hAnsi="宋体" w:cs="宋体"/>
          <w:color w:val="auto"/>
          <w:kern w:val="0"/>
          <w:sz w:val="24"/>
          <w:highlight w:val="none"/>
          <w:u w:val="single"/>
          <w:lang w:bidi="ar"/>
        </w:rPr>
        <w:t xml:space="preserve">                            </w:t>
      </w:r>
      <w:r>
        <w:rPr>
          <w:rFonts w:hint="eastAsia" w:ascii="宋体" w:hAnsi="宋体" w:cs="宋体"/>
          <w:color w:val="auto"/>
          <w:kern w:val="0"/>
          <w:sz w:val="24"/>
          <w:highlight w:val="none"/>
          <w:lang w:bidi="ar"/>
        </w:rPr>
        <w:t>；</w:t>
      </w:r>
    </w:p>
    <w:p w14:paraId="6DBE8E29">
      <w:pPr>
        <w:pStyle w:val="27"/>
        <w:autoSpaceDE w:val="0"/>
        <w:spacing w:line="360" w:lineRule="auto"/>
        <w:ind w:firstLine="480" w:firstLineChars="200"/>
        <w:contextualSpacing/>
        <w:rPr>
          <w:rFonts w:ascii="宋体" w:hAnsi="宋体" w:cs="宋体"/>
          <w:color w:val="auto"/>
          <w:highlight w:val="none"/>
          <w:u w:val="single"/>
        </w:rPr>
      </w:pPr>
      <w:r>
        <w:rPr>
          <w:rFonts w:hint="eastAsia" w:ascii="宋体" w:hAnsi="宋体" w:cs="宋体"/>
          <w:color w:val="auto"/>
          <w:highlight w:val="none"/>
          <w:lang w:bidi="ar"/>
        </w:rPr>
        <w:t>7.与本磋商有关的一切正式往来信函请寄：</w:t>
      </w:r>
      <w:r>
        <w:rPr>
          <w:rFonts w:hint="eastAsia" w:ascii="宋体" w:hAnsi="宋体" w:cs="宋体"/>
          <w:color w:val="auto"/>
          <w:highlight w:val="none"/>
          <w:u w:val="single"/>
          <w:lang w:bidi="ar"/>
        </w:rPr>
        <w:t xml:space="preserve">                </w:t>
      </w:r>
      <w:r>
        <w:rPr>
          <w:rFonts w:hint="eastAsia" w:ascii="宋体" w:hAnsi="宋体" w:cs="宋体"/>
          <w:color w:val="auto"/>
          <w:highlight w:val="none"/>
          <w:lang w:bidi="ar"/>
        </w:rPr>
        <w:t>邮政编号：</w:t>
      </w:r>
      <w:r>
        <w:rPr>
          <w:rFonts w:hint="eastAsia" w:ascii="宋体" w:hAnsi="宋体" w:cs="宋体"/>
          <w:color w:val="auto"/>
          <w:highlight w:val="none"/>
          <w:u w:val="single"/>
          <w:lang w:bidi="ar"/>
        </w:rPr>
        <w:t xml:space="preserve">      </w:t>
      </w:r>
    </w:p>
    <w:p w14:paraId="0C983832">
      <w:pPr>
        <w:pStyle w:val="27"/>
        <w:autoSpaceDE w:val="0"/>
        <w:spacing w:line="360" w:lineRule="auto"/>
        <w:ind w:firstLine="480" w:firstLineChars="200"/>
        <w:contextualSpacing/>
        <w:rPr>
          <w:rFonts w:ascii="宋体" w:hAnsi="宋体" w:cs="宋体"/>
          <w:color w:val="auto"/>
          <w:highlight w:val="none"/>
        </w:rPr>
      </w:pPr>
      <w:r>
        <w:rPr>
          <w:rFonts w:hint="eastAsia" w:ascii="宋体" w:hAnsi="宋体" w:cs="宋体"/>
          <w:color w:val="auto"/>
          <w:highlight w:val="none"/>
          <w:lang w:bidi="ar"/>
        </w:rPr>
        <w:t>电话/传真：</w:t>
      </w:r>
      <w:r>
        <w:rPr>
          <w:rFonts w:hint="eastAsia" w:ascii="宋体" w:hAnsi="宋体" w:cs="宋体"/>
          <w:color w:val="auto"/>
          <w:highlight w:val="none"/>
          <w:u w:val="single"/>
          <w:lang w:bidi="ar"/>
        </w:rPr>
        <w:t xml:space="preserve">                        </w:t>
      </w:r>
      <w:r>
        <w:rPr>
          <w:rFonts w:hint="eastAsia" w:ascii="宋体" w:hAnsi="宋体" w:cs="宋体"/>
          <w:color w:val="auto"/>
          <w:highlight w:val="none"/>
          <w:lang w:bidi="ar"/>
        </w:rPr>
        <w:t xml:space="preserve"> 电子函件：</w:t>
      </w:r>
      <w:r>
        <w:rPr>
          <w:rFonts w:hint="eastAsia" w:ascii="宋体" w:hAnsi="宋体" w:cs="宋体"/>
          <w:color w:val="auto"/>
          <w:highlight w:val="none"/>
          <w:u w:val="single"/>
          <w:lang w:bidi="ar"/>
        </w:rPr>
        <w:t xml:space="preserve">                        </w:t>
      </w:r>
    </w:p>
    <w:p w14:paraId="2B2739AD">
      <w:pPr>
        <w:pStyle w:val="27"/>
        <w:autoSpaceDE w:val="0"/>
        <w:spacing w:beforeAutospacing="1" w:afterAutospacing="1" w:line="360" w:lineRule="auto"/>
        <w:ind w:firstLine="480" w:firstLineChars="200"/>
        <w:contextualSpacing/>
        <w:rPr>
          <w:rFonts w:ascii="宋体" w:hAnsi="宋体" w:cs="宋体"/>
          <w:color w:val="auto"/>
          <w:kern w:val="2"/>
          <w:highlight w:val="none"/>
        </w:rPr>
      </w:pPr>
      <w:r>
        <w:rPr>
          <w:rFonts w:hint="eastAsia" w:ascii="宋体" w:hAnsi="宋体" w:cs="宋体"/>
          <w:color w:val="auto"/>
          <w:kern w:val="2"/>
          <w:highlight w:val="none"/>
          <w:lang w:bidi="ar"/>
        </w:rPr>
        <w:t>开户银行：</w:t>
      </w:r>
      <w:r>
        <w:rPr>
          <w:rFonts w:hint="eastAsia" w:ascii="宋体" w:hAnsi="宋体" w:cs="宋体"/>
          <w:color w:val="auto"/>
          <w:kern w:val="2"/>
          <w:highlight w:val="none"/>
          <w:u w:val="single"/>
          <w:lang w:bidi="ar"/>
        </w:rPr>
        <w:t xml:space="preserve">                         </w:t>
      </w:r>
      <w:r>
        <w:rPr>
          <w:rFonts w:hint="eastAsia" w:ascii="宋体" w:hAnsi="宋体" w:cs="宋体"/>
          <w:color w:val="auto"/>
          <w:kern w:val="2"/>
          <w:highlight w:val="none"/>
          <w:lang w:bidi="ar"/>
        </w:rPr>
        <w:t xml:space="preserve">  账号：</w:t>
      </w:r>
      <w:r>
        <w:rPr>
          <w:rFonts w:hint="eastAsia" w:ascii="宋体" w:hAnsi="宋体" w:cs="宋体"/>
          <w:color w:val="auto"/>
          <w:kern w:val="2"/>
          <w:highlight w:val="none"/>
          <w:u w:val="single"/>
          <w:lang w:bidi="ar"/>
        </w:rPr>
        <w:t xml:space="preserve">                           </w:t>
      </w:r>
    </w:p>
    <w:p w14:paraId="20C1453C">
      <w:pPr>
        <w:pStyle w:val="27"/>
        <w:autoSpaceDE w:val="0"/>
        <w:spacing w:beforeAutospacing="1" w:afterAutospacing="1" w:line="360" w:lineRule="auto"/>
        <w:ind w:firstLine="480" w:firstLineChars="200"/>
        <w:contextualSpacing/>
        <w:rPr>
          <w:rFonts w:ascii="宋体" w:hAnsi="宋体" w:cs="宋体"/>
          <w:color w:val="auto"/>
          <w:kern w:val="2"/>
          <w:highlight w:val="none"/>
        </w:rPr>
      </w:pPr>
      <w:r>
        <w:rPr>
          <w:rFonts w:hint="eastAsia" w:ascii="宋体" w:hAnsi="宋体" w:cs="宋体"/>
          <w:color w:val="auto"/>
          <w:kern w:val="2"/>
          <w:highlight w:val="none"/>
          <w:lang w:bidi="ar"/>
        </w:rPr>
        <w:t>8.以上事项如有虚假或者隐瞒，我方愿意承担一切后果，并不再寻求任何旨在减轻或者免除法律责任的辩解。</w:t>
      </w:r>
    </w:p>
    <w:p w14:paraId="1D3FFBD4">
      <w:pPr>
        <w:pStyle w:val="27"/>
        <w:autoSpaceDE w:val="0"/>
        <w:spacing w:beforeAutospacing="1" w:afterAutospacing="1" w:line="360" w:lineRule="auto"/>
        <w:ind w:firstLine="480" w:firstLineChars="200"/>
        <w:contextualSpacing/>
        <w:rPr>
          <w:rFonts w:ascii="宋体" w:hAnsi="宋体" w:cs="宋体"/>
          <w:color w:val="auto"/>
          <w:kern w:val="2"/>
          <w:highlight w:val="none"/>
        </w:rPr>
      </w:pPr>
      <w:r>
        <w:rPr>
          <w:rFonts w:hint="eastAsia" w:ascii="宋体" w:hAnsi="宋体" w:cs="宋体"/>
          <w:color w:val="auto"/>
          <w:kern w:val="2"/>
          <w:highlight w:val="none"/>
          <w:lang w:bidi="ar"/>
        </w:rPr>
        <w:t>特此承诺。</w:t>
      </w:r>
    </w:p>
    <w:p w14:paraId="7033B469">
      <w:pPr>
        <w:pStyle w:val="27"/>
        <w:autoSpaceDE w:val="0"/>
        <w:spacing w:beforeAutospacing="1" w:afterAutospacing="1" w:line="360" w:lineRule="auto"/>
        <w:ind w:firstLine="480" w:firstLineChars="200"/>
        <w:contextualSpacing/>
        <w:rPr>
          <w:rFonts w:ascii="宋体" w:hAnsi="宋体" w:cs="宋体"/>
          <w:color w:val="auto"/>
          <w:kern w:val="2"/>
          <w:highlight w:val="none"/>
        </w:rPr>
      </w:pPr>
      <w:r>
        <w:rPr>
          <w:rFonts w:hint="eastAsia" w:ascii="宋体" w:hAnsi="宋体" w:cs="宋体"/>
          <w:color w:val="auto"/>
          <w:kern w:val="2"/>
          <w:highlight w:val="none"/>
          <w:lang w:bidi="ar"/>
        </w:rPr>
        <w:t>注：如为联合体竞标，盖章处须加盖联合体各方公章并由联合体各方法定代表人签署，否则其响应文件按无效响应处理。</w:t>
      </w:r>
    </w:p>
    <w:p w14:paraId="673E0C59">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47B3ACF">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法定代表人（签字或签章）：</w:t>
      </w:r>
      <w:r>
        <w:rPr>
          <w:rFonts w:hint="eastAsia" w:ascii="宋体" w:hAnsi="宋体" w:cs="宋体"/>
          <w:color w:val="auto"/>
          <w:sz w:val="24"/>
          <w:highlight w:val="none"/>
          <w:u w:val="single"/>
          <w:lang w:bidi="ar"/>
        </w:rPr>
        <w:t xml:space="preserve">            </w:t>
      </w:r>
    </w:p>
    <w:p w14:paraId="34CCC16D">
      <w:pPr>
        <w:spacing w:line="360" w:lineRule="auto"/>
        <w:ind w:firstLine="4320" w:firstLineChars="1800"/>
        <w:rPr>
          <w:rFonts w:ascii="宋体" w:hAnsi="宋体" w:cs="宋体"/>
          <w:color w:val="auto"/>
          <w:sz w:val="24"/>
          <w:highlight w:val="none"/>
          <w:u w:val="single"/>
        </w:rPr>
      </w:pPr>
      <w:r>
        <w:rPr>
          <w:rFonts w:hint="eastAsia" w:ascii="宋体" w:hAnsi="宋体" w:cs="宋体"/>
          <w:color w:val="auto"/>
          <w:sz w:val="24"/>
          <w:highlight w:val="none"/>
          <w:lang w:bidi="ar"/>
        </w:rPr>
        <w:t>供应商（电子签章）：</w:t>
      </w:r>
      <w:r>
        <w:rPr>
          <w:rFonts w:hint="eastAsia" w:ascii="宋体" w:hAnsi="宋体" w:cs="宋体"/>
          <w:color w:val="auto"/>
          <w:sz w:val="24"/>
          <w:highlight w:val="none"/>
          <w:u w:val="single"/>
          <w:lang w:bidi="ar"/>
        </w:rPr>
        <w:t xml:space="preserve">                  </w:t>
      </w:r>
    </w:p>
    <w:p w14:paraId="6CDA558C">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1EAE52F7">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政府采购项目竞标资格承诺函</w:t>
      </w:r>
    </w:p>
    <w:p w14:paraId="1B99AA9C">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本公司郑重承诺，根据《中华人民共和国政府采购法》第二十二条的规定，本公司为参加政府采购活动的合格供应商。即本公司同时满足以下条件：</w:t>
      </w:r>
    </w:p>
    <w:p w14:paraId="7563F4E3">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1.具有独立承担民事责任的能力。</w:t>
      </w:r>
    </w:p>
    <w:p w14:paraId="5A8A14A2">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2.具有良好的商业信誉和健全的财务会计制度。</w:t>
      </w:r>
    </w:p>
    <w:p w14:paraId="501DF78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3.具有履行合同所必需的设备和专业技术能力。</w:t>
      </w:r>
    </w:p>
    <w:p w14:paraId="60D161A6">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4.有依法缴纳税收和社会保障资金的良好记录。</w:t>
      </w:r>
    </w:p>
    <w:p w14:paraId="028227AB">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5. 提交投标文件截止日期前三年内，在经营活动中没有重大违法记录。</w:t>
      </w:r>
    </w:p>
    <w:p w14:paraId="5E739AE4">
      <w:pPr>
        <w:autoSpaceDE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lang w:bidi="ar"/>
        </w:rPr>
        <w:t>本公司对上述承诺的真实性负责，并接受政府采购、税务、社会保障等监督管理部门、采购文件规定的资格审查机构、社会公众的监督和检查。如有虚假，将依法承担相应责任。</w:t>
      </w:r>
    </w:p>
    <w:p w14:paraId="57C08846">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473A9394">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法定代表人（签字或签章）：</w:t>
      </w:r>
      <w:r>
        <w:rPr>
          <w:rFonts w:hint="eastAsia" w:ascii="宋体" w:hAnsi="宋体" w:cs="宋体"/>
          <w:color w:val="auto"/>
          <w:sz w:val="24"/>
          <w:highlight w:val="none"/>
          <w:u w:val="single"/>
          <w:lang w:bidi="ar"/>
        </w:rPr>
        <w:t xml:space="preserve">            </w:t>
      </w:r>
    </w:p>
    <w:p w14:paraId="12666BA6">
      <w:pPr>
        <w:spacing w:line="360" w:lineRule="auto"/>
        <w:ind w:firstLine="4320" w:firstLineChars="1800"/>
        <w:rPr>
          <w:rFonts w:ascii="宋体" w:hAnsi="宋体" w:cs="宋体"/>
          <w:color w:val="auto"/>
          <w:sz w:val="24"/>
          <w:highlight w:val="none"/>
          <w:u w:val="single"/>
        </w:rPr>
      </w:pPr>
      <w:r>
        <w:rPr>
          <w:rFonts w:hint="eastAsia" w:ascii="宋体" w:hAnsi="宋体" w:cs="宋体"/>
          <w:color w:val="auto"/>
          <w:sz w:val="24"/>
          <w:highlight w:val="none"/>
          <w:lang w:bidi="ar"/>
        </w:rPr>
        <w:t>供应商（电子签章）：</w:t>
      </w:r>
      <w:r>
        <w:rPr>
          <w:rFonts w:hint="eastAsia" w:ascii="宋体" w:hAnsi="宋体" w:cs="宋体"/>
          <w:color w:val="auto"/>
          <w:sz w:val="24"/>
          <w:highlight w:val="none"/>
          <w:u w:val="single"/>
          <w:lang w:bidi="ar"/>
        </w:rPr>
        <w:t xml:space="preserve">                  </w:t>
      </w:r>
    </w:p>
    <w:p w14:paraId="1168A152">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115C07B1">
      <w:pPr>
        <w:spacing w:line="360" w:lineRule="auto"/>
        <w:rPr>
          <w:rFonts w:ascii="宋体" w:hAnsi="宋体" w:cs="宋体"/>
          <w:b/>
          <w:color w:val="auto"/>
          <w:sz w:val="32"/>
          <w:szCs w:val="32"/>
          <w:highlight w:val="none"/>
        </w:rPr>
      </w:pPr>
      <w:r>
        <w:rPr>
          <w:rFonts w:hint="eastAsia" w:ascii="宋体" w:hAnsi="宋体" w:cs="宋体"/>
          <w:color w:val="auto"/>
          <w:sz w:val="24"/>
          <w:highlight w:val="none"/>
          <w:lang w:bidi="ar"/>
        </w:rPr>
        <w:br w:type="page"/>
      </w:r>
      <w:r>
        <w:rPr>
          <w:rFonts w:hint="eastAsia" w:ascii="宋体" w:hAnsi="宋体" w:cs="宋体"/>
          <w:b/>
          <w:bCs/>
          <w:color w:val="auto"/>
          <w:sz w:val="32"/>
          <w:szCs w:val="32"/>
          <w:highlight w:val="none"/>
          <w:lang w:bidi="ar"/>
        </w:rPr>
        <w:t>二、</w:t>
      </w:r>
      <w:r>
        <w:rPr>
          <w:rFonts w:hint="eastAsia" w:ascii="宋体" w:hAnsi="宋体" w:cs="宋体"/>
          <w:b/>
          <w:color w:val="auto"/>
          <w:sz w:val="32"/>
          <w:szCs w:val="32"/>
          <w:highlight w:val="none"/>
          <w:lang w:bidi="ar"/>
        </w:rPr>
        <w:t xml:space="preserve">报价商务技术文件格式 </w:t>
      </w:r>
    </w:p>
    <w:p w14:paraId="276D9E4D">
      <w:pPr>
        <w:snapToGrid/>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lang w:bidi="ar"/>
        </w:rPr>
        <w:t>1.报价商务技术文件封面格式</w:t>
      </w:r>
    </w:p>
    <w:p w14:paraId="2F2A5982">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60D8BF1C">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4CB54A73">
      <w:pPr>
        <w:snapToGrid/>
        <w:spacing w:before="156"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lang w:bidi="ar"/>
        </w:rPr>
        <w:t>报  价  商  务  技  术  文  件</w:t>
      </w:r>
    </w:p>
    <w:p w14:paraId="60C868E0">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475317E9">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481DDC58">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54EE3BAF">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0AE54005">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项目名称：</w:t>
      </w:r>
    </w:p>
    <w:p w14:paraId="0DDAFB8F">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1325BBF9">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项目编号：</w:t>
      </w:r>
    </w:p>
    <w:p w14:paraId="0C13A9F2">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2D813F7A">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所竞分标（如有则填写，无分标时填写“无”或者留空）：</w:t>
      </w:r>
    </w:p>
    <w:p w14:paraId="630C140A">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08A7481F">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供应商名称：</w:t>
      </w:r>
    </w:p>
    <w:p w14:paraId="288E3FA6">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57DF5AED">
      <w:pPr>
        <w:autoSpaceDE w:val="0"/>
        <w:spacing w:line="36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lang w:bidi="ar"/>
        </w:rPr>
        <w:t xml:space="preserve"> </w:t>
      </w:r>
    </w:p>
    <w:p w14:paraId="2BA92A3B">
      <w:pPr>
        <w:snapToGrid/>
        <w:spacing w:before="156"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lang w:bidi="ar"/>
        </w:rPr>
        <w:t>年    月    日</w:t>
      </w:r>
    </w:p>
    <w:p w14:paraId="4C43F983">
      <w:pPr>
        <w:snapToGrid/>
        <w:spacing w:before="156"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lang w:bidi="ar"/>
        </w:rPr>
        <w:br w:type="page"/>
      </w:r>
      <w:r>
        <w:rPr>
          <w:rFonts w:hint="eastAsia" w:ascii="宋体" w:hAnsi="宋体" w:cs="宋体"/>
          <w:b/>
          <w:bCs/>
          <w:color w:val="auto"/>
          <w:sz w:val="32"/>
          <w:szCs w:val="32"/>
          <w:highlight w:val="none"/>
          <w:lang w:bidi="ar"/>
        </w:rPr>
        <w:t>2.报价商务技术文件目录</w:t>
      </w:r>
    </w:p>
    <w:p w14:paraId="385C6446">
      <w:pPr>
        <w:snapToGrid/>
        <w:spacing w:before="156" w:beforeLines="50" w:after="50" w:line="360"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lang w:bidi="ar"/>
        </w:rPr>
        <w:t>根据磋商文件规定及供应商提供的材料自行编写目录（部分格式后附）。</w:t>
      </w:r>
    </w:p>
    <w:p w14:paraId="6E0DA587">
      <w:pPr>
        <w:spacing w:line="360" w:lineRule="auto"/>
        <w:rPr>
          <w:rFonts w:ascii="宋体" w:hAnsi="宋体" w:cs="宋体"/>
          <w:color w:val="auto"/>
          <w:sz w:val="32"/>
          <w:szCs w:val="32"/>
          <w:highlight w:val="none"/>
        </w:rPr>
      </w:pPr>
      <w:r>
        <w:rPr>
          <w:rFonts w:hint="eastAsia" w:ascii="宋体" w:hAnsi="宋体" w:cs="宋体"/>
          <w:color w:val="auto"/>
          <w:sz w:val="32"/>
          <w:szCs w:val="32"/>
          <w:highlight w:val="none"/>
          <w:lang w:bidi="ar"/>
        </w:rPr>
        <w:t xml:space="preserve"> </w:t>
      </w:r>
    </w:p>
    <w:p w14:paraId="4C6415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Cs/>
          <w:color w:val="auto"/>
          <w:sz w:val="44"/>
          <w:szCs w:val="44"/>
          <w:highlight w:val="none"/>
        </w:rPr>
      </w:pPr>
      <w:r>
        <w:rPr>
          <w:rFonts w:hint="eastAsia" w:ascii="宋体" w:hAnsi="宋体" w:cs="宋体"/>
          <w:color w:val="auto"/>
          <w:sz w:val="44"/>
          <w:szCs w:val="44"/>
          <w:highlight w:val="none"/>
          <w:lang w:bidi="ar"/>
        </w:rPr>
        <w:br w:type="page"/>
      </w:r>
      <w:r>
        <w:rPr>
          <w:rFonts w:hint="eastAsia" w:ascii="方正小标宋简体" w:hAnsi="方正小标宋简体" w:eastAsia="方正小标宋简体" w:cs="方正小标宋简体"/>
          <w:bCs/>
          <w:color w:val="auto"/>
          <w:sz w:val="32"/>
          <w:szCs w:val="32"/>
          <w:highlight w:val="none"/>
          <w:lang w:val="en-US" w:eastAsia="zh-CN"/>
        </w:rPr>
        <w:t>一、</w:t>
      </w:r>
      <w:r>
        <w:rPr>
          <w:rFonts w:hint="eastAsia" w:ascii="方正小标宋简体" w:hAnsi="方正小标宋简体" w:eastAsia="方正小标宋简体" w:cs="方正小标宋简体"/>
          <w:bCs/>
          <w:color w:val="auto"/>
          <w:sz w:val="32"/>
          <w:szCs w:val="32"/>
          <w:highlight w:val="none"/>
        </w:rPr>
        <w:t>响应函</w:t>
      </w:r>
    </w:p>
    <w:p w14:paraId="33B65B83">
      <w:pPr>
        <w:widowControl w:val="0"/>
        <w:spacing w:line="360" w:lineRule="auto"/>
        <w:jc w:val="both"/>
        <w:rPr>
          <w:rFonts w:ascii="Times New Roman" w:hAnsi="Times New Roman" w:eastAsia="宋体" w:cs="Times New Roman"/>
          <w:color w:val="auto"/>
          <w:kern w:val="0"/>
          <w:sz w:val="32"/>
          <w:szCs w:val="21"/>
          <w:highlight w:val="none"/>
          <w:lang w:val="en-US" w:eastAsia="zh-CN" w:bidi="ar-SA"/>
        </w:rPr>
      </w:pPr>
    </w:p>
    <w:p w14:paraId="0E26AA64">
      <w:pPr>
        <w:widowControl w:val="0"/>
        <w:spacing w:line="360" w:lineRule="auto"/>
        <w:jc w:val="both"/>
        <w:rPr>
          <w:rFonts w:hint="eastAsia"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致：</w:t>
      </w:r>
      <w:r>
        <w:rPr>
          <w:rFonts w:hint="eastAsia" w:ascii="Times New Roman" w:hAnsi="Times New Roman" w:eastAsia="宋体" w:cs="Times New Roman"/>
          <w:color w:val="auto"/>
          <w:kern w:val="0"/>
          <w:sz w:val="24"/>
          <w:szCs w:val="24"/>
          <w:highlight w:val="none"/>
          <w:u w:val="single"/>
          <w:lang w:val="en-US" w:eastAsia="zh-CN" w:bidi="ar-SA"/>
        </w:rPr>
        <w:t xml:space="preserve">广西城建咨询设计有限公司  </w:t>
      </w:r>
    </w:p>
    <w:p w14:paraId="54C7ED38">
      <w:pPr>
        <w:widowControl w:val="0"/>
        <w:spacing w:line="360" w:lineRule="auto"/>
        <w:ind w:firstLine="480" w:firstLineChars="200"/>
        <w:jc w:val="both"/>
        <w:rPr>
          <w:rFonts w:ascii="Times New Roman" w:hAnsi="Times New Roman"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我方已仔细阅读了贵方组织的</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项目（项目编号：</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 xml:space="preserve">）的竞争性磋商采购文件的全部内容，现正式递交下述文件参加贵方组织的本次政府采购活动： </w:t>
      </w:r>
    </w:p>
    <w:p w14:paraId="7EF1683A">
      <w:pPr>
        <w:widowControl w:val="0"/>
        <w:spacing w:line="360" w:lineRule="auto"/>
        <w:ind w:firstLine="480" w:firstLineChars="200"/>
        <w:jc w:val="both"/>
        <w:rPr>
          <w:rFonts w:ascii="Times New Roman" w:hAnsi="Times New Roman"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一、资格证明文件电子版</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份（包含按“第二章 供应商须知”提交的全部文件）；</w:t>
      </w:r>
    </w:p>
    <w:p w14:paraId="66BE3CC6">
      <w:pPr>
        <w:widowControl w:val="0"/>
        <w:spacing w:line="360" w:lineRule="auto"/>
        <w:ind w:firstLine="480" w:firstLineChars="200"/>
        <w:jc w:val="both"/>
        <w:rPr>
          <w:rFonts w:hint="eastAsia"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二、</w:t>
      </w:r>
      <w:r>
        <w:rPr>
          <w:rFonts w:hint="eastAsia" w:ascii="宋体" w:hAnsi="宋体" w:eastAsia="宋体" w:cs="Times New Roman"/>
          <w:color w:val="auto"/>
          <w:sz w:val="24"/>
          <w:szCs w:val="24"/>
          <w:highlight w:val="none"/>
          <w:lang w:val="en-US" w:eastAsia="zh-CN" w:bidi="ar-SA"/>
        </w:rPr>
        <w:t>报价商务技术文件</w:t>
      </w:r>
      <w:r>
        <w:rPr>
          <w:rFonts w:hint="eastAsia" w:ascii="宋体" w:hAnsi="Courier New" w:eastAsia="宋体" w:cs="Times New Roman"/>
          <w:color w:val="auto"/>
          <w:kern w:val="0"/>
          <w:sz w:val="24"/>
          <w:szCs w:val="24"/>
          <w:highlight w:val="none"/>
          <w:lang w:val="en-US" w:eastAsia="zh-CN" w:bidi="ar-SA"/>
        </w:rPr>
        <w:t>电子版</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份（包含按“第二章 供应商须知”提交的全部文件）。</w:t>
      </w:r>
    </w:p>
    <w:p w14:paraId="6B5C3135">
      <w:pPr>
        <w:widowControl w:val="0"/>
        <w:spacing w:line="360" w:lineRule="auto"/>
        <w:ind w:firstLine="480" w:firstLineChars="200"/>
        <w:jc w:val="both"/>
        <w:rPr>
          <w:rFonts w:ascii="Times New Roman" w:hAnsi="Times New Roman"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据此函，签字人兹宣布：</w:t>
      </w:r>
    </w:p>
    <w:p w14:paraId="56415D76">
      <w:pPr>
        <w:widowControl w:val="0"/>
        <w:spacing w:line="360" w:lineRule="auto"/>
        <w:ind w:firstLine="482"/>
        <w:jc w:val="both"/>
        <w:rPr>
          <w:rFonts w:ascii="Times New Roman" w:hAnsi="Times New Roman"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1.我方愿意以（大写）人民币</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元）的竞标总报价，服务期限：</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，提供本项目竞争性磋商采购文件第三章“采购需求”中相应的采购内容。</w:t>
      </w:r>
    </w:p>
    <w:p w14:paraId="35FD955F">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2.我方同意自本项目竞争性磋商采购文件采购公告规定的递交响应文件截止时间起遵循</w:t>
      </w:r>
      <w:r>
        <w:rPr>
          <w:rFonts w:hint="eastAsia" w:ascii="宋体" w:hAnsi="宋体" w:eastAsia="宋体" w:cs="Times New Roman"/>
          <w:color w:val="auto"/>
          <w:kern w:val="0"/>
          <w:sz w:val="24"/>
          <w:szCs w:val="24"/>
          <w:highlight w:val="none"/>
          <w:lang w:val="en-US" w:eastAsia="zh-CN" w:bidi="ar-SA"/>
        </w:rPr>
        <w:t>本响应函</w:t>
      </w:r>
      <w:r>
        <w:rPr>
          <w:rFonts w:hint="eastAsia" w:ascii="宋体" w:hAnsi="Courier New" w:eastAsia="宋体" w:cs="Times New Roman"/>
          <w:color w:val="auto"/>
          <w:kern w:val="0"/>
          <w:sz w:val="24"/>
          <w:szCs w:val="24"/>
          <w:highlight w:val="none"/>
          <w:lang w:val="en-US" w:eastAsia="zh-CN" w:bidi="ar-SA"/>
        </w:rPr>
        <w:t>，并承诺在“第二章 供应商须知”规定的响应有效期内不修改、撤销响应文件。</w:t>
      </w:r>
    </w:p>
    <w:p w14:paraId="6F2A2050">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3.我方在此声明，所递交的响应文件及有关资料内容完整、真实和准确。</w:t>
      </w:r>
    </w:p>
    <w:p w14:paraId="1BF95065">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4.如本项目采购内容涉及须符合国家强制规定的，我方承诺我方本次竞标均符合国家有关强制规定。</w:t>
      </w:r>
    </w:p>
    <w:p w14:paraId="2CDD5947">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5.我方承诺未被列入失信被执行人、重大税收违法失信主体、政府采购严重违法失信行为记录名单，并已经具备《中华人民共和国政府采购法》中规定的参加政府采购活动的供应商应当具备的条件：</w:t>
      </w:r>
    </w:p>
    <w:p w14:paraId="6F58DD6F">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具有独立承担民事责任的能力；</w:t>
      </w:r>
    </w:p>
    <w:p w14:paraId="42B1C186">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具有良好的商业信誉和健全的财务会计制度；</w:t>
      </w:r>
    </w:p>
    <w:p w14:paraId="2DD35510">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具有履行合同所必需的设备和专业技术能力；</w:t>
      </w:r>
    </w:p>
    <w:p w14:paraId="77270182">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有依法缴纳税收和社会保障资金的良好记录；</w:t>
      </w:r>
    </w:p>
    <w:p w14:paraId="07C0262C">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参加政府采购活动前三年内，在经营活动中没有重大违法记录；</w:t>
      </w:r>
    </w:p>
    <w:p w14:paraId="6D264A32">
      <w:pPr>
        <w:widowControl w:val="0"/>
        <w:numPr>
          <w:ilvl w:val="0"/>
          <w:numId w:val="3"/>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法律、行政法规规定的其他条件。</w:t>
      </w:r>
    </w:p>
    <w:p w14:paraId="100BAA37">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6.如我方成交，我方承诺在收到成交通知书后，在成交通知书规定的期限内，</w:t>
      </w:r>
      <w:r>
        <w:rPr>
          <w:rFonts w:hint="eastAsia" w:ascii="宋体" w:hAnsi="宋体" w:eastAsia="宋体" w:cs="Times New Roman"/>
          <w:color w:val="auto"/>
          <w:kern w:val="0"/>
          <w:sz w:val="24"/>
          <w:szCs w:val="24"/>
          <w:highlight w:val="none"/>
          <w:lang w:val="en-US" w:eastAsia="zh-CN" w:bidi="ar-SA"/>
        </w:rPr>
        <w:t>根据竞争性磋商采购文件、我方的响应文件及有关澄清承诺书的要求按第六章“合同文本”与采购人订立书面合同，并按照合同约定</w:t>
      </w:r>
      <w:r>
        <w:rPr>
          <w:rFonts w:hint="eastAsia" w:ascii="宋体" w:hAnsi="Courier New" w:eastAsia="宋体" w:cs="Times New Roman"/>
          <w:color w:val="auto"/>
          <w:kern w:val="0"/>
          <w:sz w:val="24"/>
          <w:szCs w:val="24"/>
          <w:highlight w:val="none"/>
          <w:lang w:val="en-US" w:eastAsia="zh-CN" w:bidi="ar-SA"/>
        </w:rPr>
        <w:t>承担完成合同的责任和义务。</w:t>
      </w:r>
    </w:p>
    <w:p w14:paraId="245F8552">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7.我方已详细审核竞争性磋商采购文件，我方知道必须放弃提出含糊不清或误解问题的权利。</w:t>
      </w:r>
    </w:p>
    <w:p w14:paraId="2AC5F838">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8.我方承诺满足竞争性磋商采购文件</w:t>
      </w:r>
      <w:r>
        <w:rPr>
          <w:rFonts w:hint="eastAsia" w:ascii="宋体" w:hAnsi="宋体" w:eastAsia="宋体" w:cs="Times New Roman"/>
          <w:color w:val="auto"/>
          <w:kern w:val="0"/>
          <w:sz w:val="24"/>
          <w:szCs w:val="24"/>
          <w:highlight w:val="none"/>
          <w:lang w:val="en-US" w:eastAsia="zh-CN" w:bidi="ar-SA"/>
        </w:rPr>
        <w:t>第六章“合同文本”</w:t>
      </w:r>
      <w:r>
        <w:rPr>
          <w:rFonts w:hint="eastAsia" w:ascii="宋体" w:hAnsi="Courier New" w:eastAsia="宋体" w:cs="Times New Roman"/>
          <w:color w:val="auto"/>
          <w:kern w:val="0"/>
          <w:sz w:val="24"/>
          <w:szCs w:val="24"/>
          <w:highlight w:val="none"/>
          <w:lang w:val="en-US" w:eastAsia="zh-CN" w:bidi="ar-SA"/>
        </w:rPr>
        <w:t>的条款，承担完成合同的责任和义务。</w:t>
      </w:r>
    </w:p>
    <w:p w14:paraId="60907F69">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9.我方同意应贵方要求提供与本次竞标有关的任何数据或资料。若贵方需要，我方愿意提供我方作出的一切承诺的证明材料。</w:t>
      </w:r>
    </w:p>
    <w:p w14:paraId="6A648424">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10.我方完全理解贵方不一定接受响应报价最低的竞标人为成交供应商的行为。</w:t>
      </w:r>
    </w:p>
    <w:p w14:paraId="1F27902D">
      <w:pPr>
        <w:widowControl w:val="0"/>
        <w:spacing w:line="360" w:lineRule="auto"/>
        <w:ind w:firstLine="482"/>
        <w:jc w:val="both"/>
        <w:rPr>
          <w:rFonts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11.我方将严格遵守《中华人民共和国政府采购法》第七十七条的规定，即供应商有下列情形之一的，处以采购金额千分之五以上千分之十</w:t>
      </w:r>
      <w:r>
        <w:rPr>
          <w:rFonts w:hint="eastAsia" w:ascii="宋体" w:hAnsi="宋体" w:eastAsia="宋体" w:cs="Times New Roman"/>
          <w:color w:val="auto"/>
          <w:kern w:val="0"/>
          <w:sz w:val="24"/>
          <w:szCs w:val="24"/>
          <w:highlight w:val="none"/>
          <w:lang w:val="en-US" w:eastAsia="zh-CN" w:bidi="ar-SA"/>
        </w:rPr>
        <w:t>以下的罚款，列入不良行为记录名单，在一至三年内禁止参加政府采购活动，有违法所得的，并处没收违法所得，情节严重的，由工商行政管理机关吊销营业执照；构成犯罪的，依法追究刑事责任：</w:t>
      </w:r>
    </w:p>
    <w:p w14:paraId="03D823A8">
      <w:pPr>
        <w:widowControl w:val="0"/>
        <w:numPr>
          <w:ilvl w:val="0"/>
          <w:numId w:val="4"/>
        </w:numPr>
        <w:tabs>
          <w:tab w:val="left" w:pos="945"/>
        </w:tabs>
        <w:spacing w:line="360" w:lineRule="auto"/>
        <w:ind w:left="1140" w:hanging="720"/>
        <w:jc w:val="both"/>
        <w:rPr>
          <w:rFonts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提供虚假材料谋取中标、成交的；</w:t>
      </w:r>
    </w:p>
    <w:p w14:paraId="274FA727">
      <w:pPr>
        <w:widowControl w:val="0"/>
        <w:numPr>
          <w:ilvl w:val="0"/>
          <w:numId w:val="4"/>
        </w:numPr>
        <w:tabs>
          <w:tab w:val="left" w:pos="945"/>
        </w:tabs>
        <w:spacing w:line="360" w:lineRule="auto"/>
        <w:ind w:left="1140" w:hanging="720"/>
        <w:jc w:val="both"/>
        <w:rPr>
          <w:rFonts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采取不正当手段诋毁、排挤其他供应商的；</w:t>
      </w:r>
    </w:p>
    <w:p w14:paraId="15C77697">
      <w:pPr>
        <w:widowControl w:val="0"/>
        <w:numPr>
          <w:ilvl w:val="0"/>
          <w:numId w:val="4"/>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与采购人、其他供应商或者采购代理机构恶意串通的；</w:t>
      </w:r>
    </w:p>
    <w:p w14:paraId="4965EEEC">
      <w:pPr>
        <w:widowControl w:val="0"/>
        <w:numPr>
          <w:ilvl w:val="0"/>
          <w:numId w:val="4"/>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向采购人、采购代理机构行贿或者提供其他不正当利益的；</w:t>
      </w:r>
    </w:p>
    <w:p w14:paraId="5B7C55B6">
      <w:pPr>
        <w:widowControl w:val="0"/>
        <w:numPr>
          <w:ilvl w:val="0"/>
          <w:numId w:val="4"/>
        </w:numPr>
        <w:tabs>
          <w:tab w:val="left" w:pos="945"/>
        </w:tabs>
        <w:spacing w:line="360" w:lineRule="auto"/>
        <w:ind w:left="1140" w:hanging="720"/>
        <w:jc w:val="both"/>
        <w:rPr>
          <w:rFonts w:ascii="宋体" w:hAnsi="Courier New"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在采购过程中与采购人进行协商谈判的；</w:t>
      </w:r>
    </w:p>
    <w:p w14:paraId="0F97E3A8">
      <w:pPr>
        <w:widowControl w:val="0"/>
        <w:numPr>
          <w:ilvl w:val="0"/>
          <w:numId w:val="4"/>
        </w:numPr>
        <w:tabs>
          <w:tab w:val="left" w:pos="945"/>
        </w:tabs>
        <w:spacing w:line="360" w:lineRule="auto"/>
        <w:ind w:left="1140" w:hanging="720"/>
        <w:jc w:val="both"/>
        <w:rPr>
          <w:rFonts w:hint="eastAsia" w:ascii="宋体" w:hAnsi="Courier New"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拒绝有关部门监督检查或提供虚假情况的。</w:t>
      </w:r>
    </w:p>
    <w:p w14:paraId="5704721F">
      <w:pPr>
        <w:widowControl w:val="0"/>
        <w:spacing w:line="360" w:lineRule="auto"/>
        <w:ind w:firstLine="420"/>
        <w:jc w:val="both"/>
        <w:rPr>
          <w:rFonts w:hint="eastAsia" w:ascii="宋体" w:hAnsi="Courier New"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12.与本磋商有关的一切正式往来信函请寄</w:t>
      </w:r>
      <w:r>
        <w:rPr>
          <w:rFonts w:hint="eastAsia" w:ascii="宋体" w:hAnsi="Courier New" w:eastAsia="宋体" w:cs="Times New Roman"/>
          <w:color w:val="auto"/>
          <w:kern w:val="0"/>
          <w:sz w:val="24"/>
          <w:szCs w:val="24"/>
          <w:highlight w:val="none"/>
          <w:lang w:val="en-US" w:eastAsia="zh-CN" w:bidi="ar-SA"/>
        </w:rPr>
        <w:t>：</w:t>
      </w:r>
    </w:p>
    <w:p w14:paraId="113F363A">
      <w:pPr>
        <w:widowControl w:val="0"/>
        <w:spacing w:line="360" w:lineRule="auto"/>
        <w:ind w:firstLine="420"/>
        <w:jc w:val="both"/>
        <w:rPr>
          <w:rFonts w:hint="eastAsia"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地址：</w:t>
      </w:r>
      <w:r>
        <w:rPr>
          <w:rFonts w:hint="eastAsia" w:ascii="宋体" w:hAnsi="Courier New" w:eastAsia="宋体" w:cs="Times New Roman"/>
          <w:color w:val="auto"/>
          <w:kern w:val="0"/>
          <w:sz w:val="24"/>
          <w:szCs w:val="24"/>
          <w:highlight w:val="none"/>
          <w:u w:val="single"/>
          <w:lang w:val="en-US" w:eastAsia="zh-CN" w:bidi="ar-SA"/>
        </w:rPr>
        <w:t xml:space="preserve">                                                        </w:t>
      </w:r>
      <w:r>
        <w:rPr>
          <w:rFonts w:hint="eastAsia" w:ascii="宋体" w:hAnsi="Courier New" w:eastAsia="宋体" w:cs="Times New Roman"/>
          <w:color w:val="auto"/>
          <w:kern w:val="0"/>
          <w:sz w:val="24"/>
          <w:szCs w:val="24"/>
          <w:highlight w:val="none"/>
          <w:lang w:val="en-US" w:eastAsia="zh-CN" w:bidi="ar-SA"/>
        </w:rPr>
        <w:t xml:space="preserve"> </w:t>
      </w:r>
    </w:p>
    <w:p w14:paraId="364C068E">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电话：</w:t>
      </w:r>
      <w:r>
        <w:rPr>
          <w:rFonts w:hint="eastAsia" w:ascii="宋体" w:hAnsi="Courier New" w:eastAsia="宋体" w:cs="Times New Roman"/>
          <w:color w:val="auto"/>
          <w:kern w:val="0"/>
          <w:sz w:val="24"/>
          <w:szCs w:val="24"/>
          <w:highlight w:val="none"/>
          <w:u w:val="single"/>
          <w:lang w:val="en-US" w:eastAsia="zh-CN" w:bidi="ar-SA"/>
        </w:rPr>
        <w:t xml:space="preserve">                                      　　　　　　　　　</w:t>
      </w:r>
    </w:p>
    <w:p w14:paraId="7C8D2C6C">
      <w:pPr>
        <w:widowControl w:val="0"/>
        <w:spacing w:line="360" w:lineRule="auto"/>
        <w:ind w:firstLine="420"/>
        <w:jc w:val="both"/>
        <w:rPr>
          <w:rFonts w:hint="eastAsia" w:ascii="宋体" w:hAnsi="Courier New" w:eastAsia="宋体" w:cs="Times New Roman"/>
          <w:color w:val="auto"/>
          <w:kern w:val="0"/>
          <w:sz w:val="24"/>
          <w:szCs w:val="24"/>
          <w:highlight w:val="none"/>
          <w:lang w:val="en-US" w:eastAsia="zh-CN" w:bidi="ar-SA"/>
        </w:rPr>
      </w:pPr>
      <w:r>
        <w:rPr>
          <w:rFonts w:hint="eastAsia" w:ascii="宋体" w:hAnsi="Courier New" w:eastAsia="宋体" w:cs="Times New Roman"/>
          <w:color w:val="auto"/>
          <w:kern w:val="0"/>
          <w:sz w:val="24"/>
          <w:szCs w:val="24"/>
          <w:highlight w:val="none"/>
          <w:lang w:val="en-US" w:eastAsia="zh-CN" w:bidi="ar-SA"/>
        </w:rPr>
        <w:t>传真：</w:t>
      </w:r>
      <w:r>
        <w:rPr>
          <w:rFonts w:hint="eastAsia" w:ascii="宋体" w:hAnsi="Courier New" w:eastAsia="宋体" w:cs="Times New Roman"/>
          <w:color w:val="auto"/>
          <w:kern w:val="0"/>
          <w:sz w:val="24"/>
          <w:szCs w:val="24"/>
          <w:highlight w:val="none"/>
          <w:u w:val="single"/>
          <w:lang w:val="en-US" w:eastAsia="zh-CN" w:bidi="ar-SA"/>
        </w:rPr>
        <w:t>　　　　　　　　　　　　　　　　　　　　　　　　　　　　</w:t>
      </w:r>
    </w:p>
    <w:p w14:paraId="333AE8C4">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邮政编码：</w:t>
      </w:r>
      <w:r>
        <w:rPr>
          <w:rFonts w:hint="eastAsia" w:ascii="宋体" w:hAnsi="Courier New" w:eastAsia="宋体" w:cs="Times New Roman"/>
          <w:color w:val="auto"/>
          <w:kern w:val="0"/>
          <w:sz w:val="24"/>
          <w:szCs w:val="24"/>
          <w:highlight w:val="none"/>
          <w:u w:val="single"/>
          <w:lang w:val="en-US" w:eastAsia="zh-CN" w:bidi="ar-SA"/>
        </w:rPr>
        <w:t xml:space="preserve">                                                    </w:t>
      </w:r>
    </w:p>
    <w:p w14:paraId="2960EADD">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开户名称：</w:t>
      </w:r>
      <w:r>
        <w:rPr>
          <w:rFonts w:hint="eastAsia" w:ascii="宋体" w:hAnsi="Courier New" w:eastAsia="宋体" w:cs="Times New Roman"/>
          <w:color w:val="auto"/>
          <w:kern w:val="0"/>
          <w:sz w:val="24"/>
          <w:szCs w:val="24"/>
          <w:highlight w:val="none"/>
          <w:u w:val="single"/>
          <w:lang w:val="en-US" w:eastAsia="zh-CN" w:bidi="ar-SA"/>
        </w:rPr>
        <w:t xml:space="preserve">                                                    </w:t>
      </w:r>
    </w:p>
    <w:p w14:paraId="6CDA1FD4">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开户银行：</w:t>
      </w:r>
      <w:r>
        <w:rPr>
          <w:rFonts w:hint="eastAsia" w:ascii="宋体" w:hAnsi="Courier New" w:eastAsia="宋体" w:cs="Times New Roman"/>
          <w:color w:val="auto"/>
          <w:kern w:val="0"/>
          <w:sz w:val="24"/>
          <w:szCs w:val="24"/>
          <w:highlight w:val="none"/>
          <w:u w:val="single"/>
          <w:lang w:val="en-US" w:eastAsia="zh-CN" w:bidi="ar-SA"/>
        </w:rPr>
        <w:t xml:space="preserve">                                                    </w:t>
      </w:r>
    </w:p>
    <w:p w14:paraId="0C558DB0">
      <w:pPr>
        <w:widowControl w:val="0"/>
        <w:spacing w:line="360" w:lineRule="auto"/>
        <w:ind w:firstLine="420"/>
        <w:jc w:val="both"/>
        <w:rPr>
          <w:rFonts w:hint="eastAsia" w:ascii="宋体" w:hAnsi="Courier New" w:eastAsia="宋体" w:cs="Times New Roman"/>
          <w:color w:val="auto"/>
          <w:kern w:val="0"/>
          <w:sz w:val="24"/>
          <w:szCs w:val="24"/>
          <w:highlight w:val="none"/>
          <w:u w:val="single"/>
          <w:lang w:val="en-US" w:eastAsia="zh-CN" w:bidi="ar-SA"/>
        </w:rPr>
      </w:pPr>
      <w:r>
        <w:rPr>
          <w:rFonts w:hint="eastAsia" w:ascii="宋体" w:hAnsi="Courier New" w:eastAsia="宋体" w:cs="Times New Roman"/>
          <w:color w:val="auto"/>
          <w:kern w:val="0"/>
          <w:sz w:val="24"/>
          <w:szCs w:val="24"/>
          <w:highlight w:val="none"/>
          <w:lang w:val="en-US" w:eastAsia="zh-CN" w:bidi="ar-SA"/>
        </w:rPr>
        <w:t>银行账号：</w:t>
      </w:r>
      <w:r>
        <w:rPr>
          <w:rFonts w:hint="eastAsia" w:ascii="宋体" w:hAnsi="Courier New" w:eastAsia="宋体" w:cs="Times New Roman"/>
          <w:color w:val="auto"/>
          <w:kern w:val="0"/>
          <w:sz w:val="24"/>
          <w:szCs w:val="24"/>
          <w:highlight w:val="none"/>
          <w:u w:val="single"/>
          <w:lang w:val="en-US" w:eastAsia="zh-CN" w:bidi="ar-SA"/>
        </w:rPr>
        <w:t xml:space="preserve">                                                    </w:t>
      </w:r>
    </w:p>
    <w:p w14:paraId="30D7D879">
      <w:pPr>
        <w:widowControl w:val="0"/>
        <w:tabs>
          <w:tab w:val="left" w:pos="939"/>
        </w:tabs>
        <w:spacing w:line="360" w:lineRule="auto"/>
        <w:ind w:left="141" w:leftChars="67" w:firstLine="360" w:firstLineChars="150"/>
        <w:contextualSpacing/>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特此承诺。</w:t>
      </w:r>
    </w:p>
    <w:p w14:paraId="18C4AE91">
      <w:pPr>
        <w:spacing w:line="360" w:lineRule="auto"/>
        <w:contextualSpacing/>
        <w:jc w:val="left"/>
        <w:rPr>
          <w:rFonts w:hint="eastAsia" w:ascii="宋体" w:hAnsi="宋体" w:eastAsia="宋体" w:cs="宋体"/>
          <w:color w:val="auto"/>
          <w:szCs w:val="21"/>
          <w:highlight w:val="none"/>
        </w:rPr>
      </w:pPr>
    </w:p>
    <w:p w14:paraId="390FE15A">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法定代表人或者委托代理人（签字或签章）：</w:t>
      </w:r>
    </w:p>
    <w:p w14:paraId="6891DF55">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22FBB78A">
      <w:pPr>
        <w:autoSpaceDE/>
        <w:spacing w:before="0" w:after="0" w:line="360" w:lineRule="auto"/>
        <w:ind w:firstLine="4320" w:firstLineChars="1800"/>
        <w:jc w:val="left"/>
        <w:rPr>
          <w:rFonts w:hint="eastAsia" w:ascii="宋体" w:hAnsi="宋体" w:cs="宋体"/>
          <w:b/>
          <w:bCs/>
          <w:color w:val="auto"/>
          <w:sz w:val="44"/>
          <w:szCs w:val="44"/>
          <w:highlight w:val="none"/>
          <w:lang w:bidi="ar"/>
        </w:rPr>
      </w:pPr>
      <w:r>
        <w:rPr>
          <w:rFonts w:hint="eastAsia" w:ascii="宋体" w:hAnsi="宋体" w:cs="宋体"/>
          <w:color w:val="auto"/>
          <w:sz w:val="24"/>
          <w:highlight w:val="none"/>
          <w:lang w:bidi="ar"/>
        </w:rPr>
        <w:t>日期：   年   月   日</w:t>
      </w:r>
      <w:r>
        <w:rPr>
          <w:rFonts w:hint="eastAsia" w:ascii="宋体" w:hAnsi="宋体" w:cs="宋体"/>
          <w:color w:val="auto"/>
          <w:sz w:val="24"/>
          <w:highlight w:val="none"/>
          <w:lang w:val="en-US" w:eastAsia="zh-CN" w:bidi="ar"/>
        </w:rPr>
        <w:t xml:space="preserve">   </w:t>
      </w:r>
      <w:r>
        <w:rPr>
          <w:rFonts w:hint="eastAsia" w:ascii="宋体" w:hAnsi="宋体" w:cs="宋体"/>
          <w:b/>
          <w:bCs/>
          <w:color w:val="auto"/>
          <w:sz w:val="44"/>
          <w:szCs w:val="44"/>
          <w:highlight w:val="none"/>
          <w:lang w:bidi="ar"/>
        </w:rPr>
        <w:br w:type="page"/>
      </w:r>
    </w:p>
    <w:p w14:paraId="72A47E31">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lang w:bidi="ar"/>
        </w:rPr>
        <w:t>竞标报价表</w:t>
      </w:r>
    </w:p>
    <w:p w14:paraId="6BAF33B2">
      <w:pPr>
        <w:snapToGrid/>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项目名称：</w:t>
      </w:r>
      <w:r>
        <w:rPr>
          <w:rFonts w:hint="eastAsia" w:ascii="宋体" w:hAnsi="宋体" w:cs="宋体"/>
          <w:color w:val="auto"/>
          <w:sz w:val="24"/>
          <w:highlight w:val="none"/>
          <w:u w:val="single"/>
          <w:lang w:bidi="ar"/>
        </w:rPr>
        <w:t xml:space="preserve">                           </w:t>
      </w:r>
    </w:p>
    <w:p w14:paraId="1D949A20">
      <w:pPr>
        <w:snapToGrid/>
        <w:spacing w:line="360" w:lineRule="auto"/>
        <w:rPr>
          <w:rFonts w:ascii="宋体" w:hAnsi="宋体" w:cs="宋体"/>
          <w:color w:val="auto"/>
          <w:sz w:val="24"/>
          <w:highlight w:val="none"/>
        </w:rPr>
      </w:pPr>
      <w:r>
        <w:rPr>
          <w:rFonts w:hint="eastAsia" w:ascii="宋体" w:hAnsi="宋体" w:cs="宋体"/>
          <w:color w:val="auto"/>
          <w:sz w:val="24"/>
          <w:highlight w:val="none"/>
          <w:lang w:bidi="ar"/>
        </w:rPr>
        <w:t>项目编号：</w:t>
      </w:r>
      <w:r>
        <w:rPr>
          <w:rFonts w:hint="eastAsia" w:ascii="宋体" w:hAnsi="宋体" w:cs="宋体"/>
          <w:color w:val="auto"/>
          <w:sz w:val="24"/>
          <w:highlight w:val="none"/>
          <w:u w:val="single"/>
          <w:lang w:bidi="ar"/>
        </w:rPr>
        <w:t xml:space="preserve">                           </w:t>
      </w:r>
    </w:p>
    <w:p w14:paraId="6976099F">
      <w:pPr>
        <w:snapToGrid/>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分标（如有）：</w:t>
      </w:r>
      <w:r>
        <w:rPr>
          <w:rFonts w:hint="eastAsia" w:ascii="宋体" w:hAnsi="宋体" w:cs="宋体"/>
          <w:color w:val="auto"/>
          <w:sz w:val="24"/>
          <w:highlight w:val="none"/>
          <w:u w:val="single"/>
          <w:lang w:bidi="ar"/>
        </w:rPr>
        <w:t xml:space="preserve">                       </w:t>
      </w:r>
    </w:p>
    <w:p w14:paraId="72FB024F">
      <w:pPr>
        <w:snapToGrid/>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供应商名称：</w:t>
      </w:r>
      <w:r>
        <w:rPr>
          <w:rFonts w:hint="eastAsia" w:ascii="宋体" w:hAnsi="宋体" w:cs="宋体"/>
          <w:color w:val="auto"/>
          <w:sz w:val="24"/>
          <w:highlight w:val="none"/>
          <w:u w:val="single"/>
          <w:lang w:bidi="ar"/>
        </w:rPr>
        <w:t xml:space="preserve">                         </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494"/>
        <w:gridCol w:w="1898"/>
        <w:gridCol w:w="1816"/>
        <w:gridCol w:w="1419"/>
        <w:gridCol w:w="881"/>
      </w:tblGrid>
      <w:tr w14:paraId="6109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725565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2494" w:type="dxa"/>
            <w:tcBorders>
              <w:top w:val="single" w:color="auto" w:sz="4" w:space="0"/>
              <w:left w:val="single" w:color="auto" w:sz="4" w:space="0"/>
              <w:bottom w:val="single" w:color="auto" w:sz="4" w:space="0"/>
              <w:right w:val="single" w:color="auto" w:sz="4" w:space="0"/>
            </w:tcBorders>
            <w:vAlign w:val="center"/>
          </w:tcPr>
          <w:p w14:paraId="605820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分项服务名称</w:t>
            </w:r>
          </w:p>
        </w:tc>
        <w:tc>
          <w:tcPr>
            <w:tcW w:w="1898" w:type="dxa"/>
            <w:tcBorders>
              <w:top w:val="single" w:color="auto" w:sz="4" w:space="0"/>
              <w:left w:val="single" w:color="auto" w:sz="4" w:space="0"/>
              <w:bottom w:val="single" w:color="auto" w:sz="4" w:space="0"/>
              <w:right w:val="single" w:color="auto" w:sz="4" w:space="0"/>
            </w:tcBorders>
            <w:vAlign w:val="center"/>
          </w:tcPr>
          <w:p w14:paraId="1243095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数量（项）</w:t>
            </w:r>
          </w:p>
        </w:tc>
        <w:tc>
          <w:tcPr>
            <w:tcW w:w="1816" w:type="dxa"/>
            <w:tcBorders>
              <w:top w:val="single" w:color="auto" w:sz="4" w:space="0"/>
              <w:left w:val="single" w:color="auto" w:sz="4" w:space="0"/>
              <w:bottom w:val="single" w:color="auto" w:sz="4" w:space="0"/>
              <w:right w:val="single" w:color="auto" w:sz="4" w:space="0"/>
            </w:tcBorders>
            <w:vAlign w:val="center"/>
          </w:tcPr>
          <w:p w14:paraId="35FE44C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单价（元/项）</w:t>
            </w:r>
          </w:p>
        </w:tc>
        <w:tc>
          <w:tcPr>
            <w:tcW w:w="1419" w:type="dxa"/>
            <w:tcBorders>
              <w:top w:val="single" w:color="auto" w:sz="4" w:space="0"/>
              <w:left w:val="single" w:color="auto" w:sz="4" w:space="0"/>
              <w:bottom w:val="single" w:color="auto" w:sz="4" w:space="0"/>
              <w:right w:val="single" w:color="auto" w:sz="4" w:space="0"/>
            </w:tcBorders>
            <w:vAlign w:val="center"/>
          </w:tcPr>
          <w:p w14:paraId="59FBEA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总价（元）</w:t>
            </w:r>
          </w:p>
        </w:tc>
        <w:tc>
          <w:tcPr>
            <w:tcW w:w="881" w:type="dxa"/>
            <w:tcBorders>
              <w:top w:val="single" w:color="auto" w:sz="4" w:space="0"/>
              <w:left w:val="single" w:color="auto" w:sz="4" w:space="0"/>
              <w:bottom w:val="single" w:color="auto" w:sz="4" w:space="0"/>
              <w:right w:val="single" w:color="auto" w:sz="4" w:space="0"/>
            </w:tcBorders>
            <w:vAlign w:val="center"/>
          </w:tcPr>
          <w:p w14:paraId="704DA05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6E6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A0A548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494" w:type="dxa"/>
            <w:tcBorders>
              <w:top w:val="single" w:color="auto" w:sz="4" w:space="0"/>
              <w:left w:val="single" w:color="auto" w:sz="4" w:space="0"/>
              <w:bottom w:val="single" w:color="auto" w:sz="4" w:space="0"/>
              <w:right w:val="single" w:color="auto" w:sz="4" w:space="0"/>
            </w:tcBorders>
            <w:vAlign w:val="center"/>
          </w:tcPr>
          <w:p w14:paraId="1061182A">
            <w:pPr>
              <w:spacing w:line="360" w:lineRule="auto"/>
              <w:jc w:val="center"/>
              <w:rPr>
                <w:rFonts w:ascii="宋体" w:hAnsi="宋体" w:cs="宋体"/>
                <w:color w:val="auto"/>
                <w:sz w:val="24"/>
                <w:highlight w:val="none"/>
              </w:rPr>
            </w:pPr>
          </w:p>
        </w:tc>
        <w:tc>
          <w:tcPr>
            <w:tcW w:w="1898" w:type="dxa"/>
            <w:tcBorders>
              <w:top w:val="single" w:color="auto" w:sz="4" w:space="0"/>
              <w:left w:val="single" w:color="auto" w:sz="4" w:space="0"/>
              <w:bottom w:val="single" w:color="auto" w:sz="4" w:space="0"/>
              <w:right w:val="single" w:color="auto" w:sz="4" w:space="0"/>
            </w:tcBorders>
            <w:vAlign w:val="center"/>
          </w:tcPr>
          <w:p w14:paraId="05EEFB77">
            <w:pPr>
              <w:spacing w:line="360" w:lineRule="auto"/>
              <w:jc w:val="center"/>
              <w:rPr>
                <w:rFonts w:ascii="宋体" w:hAnsi="宋体" w:cs="宋体"/>
                <w:color w:val="auto"/>
                <w:sz w:val="24"/>
                <w:highlight w:val="none"/>
              </w:rPr>
            </w:pPr>
          </w:p>
        </w:tc>
        <w:tc>
          <w:tcPr>
            <w:tcW w:w="1816" w:type="dxa"/>
            <w:tcBorders>
              <w:top w:val="single" w:color="auto" w:sz="4" w:space="0"/>
              <w:left w:val="single" w:color="auto" w:sz="4" w:space="0"/>
              <w:bottom w:val="single" w:color="auto" w:sz="4" w:space="0"/>
              <w:right w:val="single" w:color="auto" w:sz="4" w:space="0"/>
            </w:tcBorders>
          </w:tcPr>
          <w:p w14:paraId="57388DB4">
            <w:pPr>
              <w:spacing w:line="360" w:lineRule="auto"/>
              <w:rPr>
                <w:rFonts w:ascii="宋体" w:hAnsi="宋体" w:cs="宋体"/>
                <w:color w:val="auto"/>
                <w:sz w:val="24"/>
                <w:highlight w:val="none"/>
              </w:rPr>
            </w:pPr>
          </w:p>
        </w:tc>
        <w:tc>
          <w:tcPr>
            <w:tcW w:w="1419" w:type="dxa"/>
            <w:tcBorders>
              <w:top w:val="single" w:color="auto" w:sz="4" w:space="0"/>
              <w:left w:val="single" w:color="auto" w:sz="4" w:space="0"/>
              <w:bottom w:val="single" w:color="auto" w:sz="4" w:space="0"/>
              <w:right w:val="single" w:color="auto" w:sz="4" w:space="0"/>
            </w:tcBorders>
          </w:tcPr>
          <w:p w14:paraId="7B0F4349">
            <w:pPr>
              <w:spacing w:line="360" w:lineRule="auto"/>
              <w:rPr>
                <w:rFonts w:ascii="宋体" w:hAnsi="宋体" w:cs="宋体"/>
                <w:color w:val="auto"/>
                <w:sz w:val="24"/>
                <w:highlight w:val="none"/>
              </w:rPr>
            </w:pPr>
          </w:p>
        </w:tc>
        <w:tc>
          <w:tcPr>
            <w:tcW w:w="881" w:type="dxa"/>
            <w:tcBorders>
              <w:top w:val="single" w:color="auto" w:sz="4" w:space="0"/>
              <w:left w:val="single" w:color="auto" w:sz="4" w:space="0"/>
              <w:bottom w:val="single" w:color="auto" w:sz="4" w:space="0"/>
              <w:right w:val="single" w:color="auto" w:sz="4" w:space="0"/>
            </w:tcBorders>
            <w:vAlign w:val="center"/>
          </w:tcPr>
          <w:p w14:paraId="089D6C4C">
            <w:pPr>
              <w:spacing w:line="360" w:lineRule="auto"/>
              <w:rPr>
                <w:rFonts w:ascii="宋体" w:hAnsi="宋体" w:cs="宋体"/>
                <w:color w:val="auto"/>
                <w:sz w:val="24"/>
                <w:highlight w:val="none"/>
              </w:rPr>
            </w:pPr>
          </w:p>
        </w:tc>
      </w:tr>
      <w:tr w14:paraId="1C71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16415FD0">
            <w:pPr>
              <w:spacing w:line="360" w:lineRule="auto"/>
              <w:jc w:val="center"/>
              <w:rPr>
                <w:rFonts w:ascii="宋体" w:hAnsi="宋体" w:cs="宋体"/>
                <w:color w:val="auto"/>
                <w:sz w:val="24"/>
                <w:highlight w:val="none"/>
              </w:rPr>
            </w:pPr>
          </w:p>
        </w:tc>
        <w:tc>
          <w:tcPr>
            <w:tcW w:w="2494" w:type="dxa"/>
            <w:tcBorders>
              <w:top w:val="single" w:color="auto" w:sz="4" w:space="0"/>
              <w:left w:val="single" w:color="auto" w:sz="4" w:space="0"/>
              <w:bottom w:val="single" w:color="auto" w:sz="4" w:space="0"/>
              <w:right w:val="single" w:color="auto" w:sz="4" w:space="0"/>
            </w:tcBorders>
            <w:vAlign w:val="center"/>
          </w:tcPr>
          <w:p w14:paraId="77F7B90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898" w:type="dxa"/>
            <w:tcBorders>
              <w:top w:val="single" w:color="auto" w:sz="4" w:space="0"/>
              <w:left w:val="single" w:color="auto" w:sz="4" w:space="0"/>
              <w:bottom w:val="single" w:color="auto" w:sz="4" w:space="0"/>
              <w:right w:val="single" w:color="auto" w:sz="4" w:space="0"/>
            </w:tcBorders>
            <w:vAlign w:val="center"/>
          </w:tcPr>
          <w:p w14:paraId="252D600D">
            <w:pPr>
              <w:spacing w:line="360" w:lineRule="auto"/>
              <w:rPr>
                <w:rFonts w:ascii="宋体" w:hAnsi="宋体" w:cs="宋体"/>
                <w:color w:val="auto"/>
                <w:sz w:val="24"/>
                <w:highlight w:val="none"/>
              </w:rPr>
            </w:pPr>
          </w:p>
        </w:tc>
        <w:tc>
          <w:tcPr>
            <w:tcW w:w="1816" w:type="dxa"/>
            <w:tcBorders>
              <w:top w:val="single" w:color="auto" w:sz="4" w:space="0"/>
              <w:left w:val="single" w:color="auto" w:sz="4" w:space="0"/>
              <w:bottom w:val="single" w:color="auto" w:sz="4" w:space="0"/>
              <w:right w:val="single" w:color="auto" w:sz="4" w:space="0"/>
            </w:tcBorders>
          </w:tcPr>
          <w:p w14:paraId="14FE86EA">
            <w:pPr>
              <w:spacing w:line="360" w:lineRule="auto"/>
              <w:rPr>
                <w:rFonts w:ascii="宋体" w:hAnsi="宋体" w:cs="宋体"/>
                <w:color w:val="auto"/>
                <w:sz w:val="24"/>
                <w:highlight w:val="none"/>
              </w:rPr>
            </w:pPr>
          </w:p>
        </w:tc>
        <w:tc>
          <w:tcPr>
            <w:tcW w:w="1419" w:type="dxa"/>
            <w:tcBorders>
              <w:top w:val="single" w:color="auto" w:sz="4" w:space="0"/>
              <w:left w:val="single" w:color="auto" w:sz="4" w:space="0"/>
              <w:bottom w:val="single" w:color="auto" w:sz="4" w:space="0"/>
              <w:right w:val="single" w:color="auto" w:sz="4" w:space="0"/>
            </w:tcBorders>
          </w:tcPr>
          <w:p w14:paraId="699D62B3">
            <w:pPr>
              <w:spacing w:line="360" w:lineRule="auto"/>
              <w:rPr>
                <w:rFonts w:ascii="宋体" w:hAnsi="宋体" w:cs="宋体"/>
                <w:color w:val="auto"/>
                <w:sz w:val="24"/>
                <w:highlight w:val="none"/>
              </w:rPr>
            </w:pPr>
          </w:p>
        </w:tc>
        <w:tc>
          <w:tcPr>
            <w:tcW w:w="881" w:type="dxa"/>
            <w:tcBorders>
              <w:top w:val="single" w:color="auto" w:sz="4" w:space="0"/>
              <w:left w:val="single" w:color="auto" w:sz="4" w:space="0"/>
              <w:bottom w:val="single" w:color="auto" w:sz="4" w:space="0"/>
              <w:right w:val="single" w:color="auto" w:sz="4" w:space="0"/>
            </w:tcBorders>
            <w:vAlign w:val="center"/>
          </w:tcPr>
          <w:p w14:paraId="7A70521F">
            <w:pPr>
              <w:spacing w:line="360" w:lineRule="auto"/>
              <w:rPr>
                <w:rFonts w:ascii="宋体" w:hAnsi="宋体" w:cs="宋体"/>
                <w:color w:val="auto"/>
                <w:sz w:val="24"/>
                <w:highlight w:val="none"/>
              </w:rPr>
            </w:pPr>
          </w:p>
        </w:tc>
      </w:tr>
      <w:tr w14:paraId="71E9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right"/>
        </w:trPr>
        <w:tc>
          <w:tcPr>
            <w:tcW w:w="6795" w:type="dxa"/>
            <w:gridSpan w:val="4"/>
            <w:tcBorders>
              <w:top w:val="single" w:color="auto" w:sz="4" w:space="0"/>
              <w:left w:val="single" w:color="auto" w:sz="4" w:space="0"/>
              <w:bottom w:val="single" w:color="auto" w:sz="4" w:space="0"/>
              <w:right w:val="single" w:color="auto" w:sz="4" w:space="0"/>
            </w:tcBorders>
            <w:vAlign w:val="center"/>
          </w:tcPr>
          <w:p w14:paraId="613A4491">
            <w:pPr>
              <w:spacing w:line="360" w:lineRule="auto"/>
              <w:rPr>
                <w:rFonts w:ascii="宋体" w:hAnsi="宋体" w:cs="宋体"/>
                <w:color w:val="auto"/>
                <w:sz w:val="24"/>
                <w:highlight w:val="none"/>
              </w:rPr>
            </w:pPr>
            <w:r>
              <w:rPr>
                <w:rFonts w:hint="eastAsia" w:ascii="宋体" w:hAnsi="宋体" w:cs="宋体"/>
                <w:color w:val="auto"/>
                <w:sz w:val="24"/>
                <w:highlight w:val="none"/>
              </w:rPr>
              <w:t>合计（元）</w:t>
            </w:r>
          </w:p>
        </w:tc>
        <w:tc>
          <w:tcPr>
            <w:tcW w:w="1419" w:type="dxa"/>
            <w:tcBorders>
              <w:top w:val="single" w:color="auto" w:sz="4" w:space="0"/>
              <w:left w:val="single" w:color="auto" w:sz="4" w:space="0"/>
              <w:bottom w:val="single" w:color="auto" w:sz="4" w:space="0"/>
              <w:right w:val="single" w:color="auto" w:sz="4" w:space="0"/>
            </w:tcBorders>
          </w:tcPr>
          <w:p w14:paraId="6BA1135B">
            <w:pPr>
              <w:spacing w:line="360" w:lineRule="auto"/>
              <w:rPr>
                <w:rFonts w:ascii="宋体" w:hAnsi="宋体" w:cs="宋体"/>
                <w:color w:val="auto"/>
                <w:sz w:val="24"/>
                <w:highlight w:val="none"/>
              </w:rPr>
            </w:pPr>
          </w:p>
        </w:tc>
        <w:tc>
          <w:tcPr>
            <w:tcW w:w="881" w:type="dxa"/>
            <w:tcBorders>
              <w:top w:val="single" w:color="auto" w:sz="4" w:space="0"/>
              <w:left w:val="single" w:color="auto" w:sz="4" w:space="0"/>
              <w:bottom w:val="single" w:color="auto" w:sz="4" w:space="0"/>
              <w:right w:val="single" w:color="auto" w:sz="4" w:space="0"/>
            </w:tcBorders>
            <w:vAlign w:val="center"/>
          </w:tcPr>
          <w:p w14:paraId="4A3B7D0D">
            <w:pPr>
              <w:spacing w:line="360" w:lineRule="auto"/>
              <w:rPr>
                <w:rFonts w:ascii="宋体" w:hAnsi="宋体" w:cs="宋体"/>
                <w:color w:val="auto"/>
                <w:sz w:val="24"/>
                <w:highlight w:val="none"/>
              </w:rPr>
            </w:pPr>
          </w:p>
        </w:tc>
      </w:tr>
      <w:tr w14:paraId="7ACA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right"/>
        </w:trPr>
        <w:tc>
          <w:tcPr>
            <w:tcW w:w="9095" w:type="dxa"/>
            <w:gridSpan w:val="6"/>
            <w:tcBorders>
              <w:top w:val="single" w:color="auto" w:sz="4" w:space="0"/>
              <w:left w:val="single" w:color="auto" w:sz="4" w:space="0"/>
              <w:bottom w:val="single" w:color="auto" w:sz="4" w:space="0"/>
              <w:right w:val="single" w:color="auto" w:sz="4" w:space="0"/>
            </w:tcBorders>
            <w:vAlign w:val="center"/>
          </w:tcPr>
          <w:p w14:paraId="208873F9">
            <w:pPr>
              <w:spacing w:line="360" w:lineRule="auto"/>
              <w:rPr>
                <w:rFonts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ascii="Arial" w:hAnsi="Arial" w:cs="Arial"/>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0B9D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right"/>
        </w:trPr>
        <w:tc>
          <w:tcPr>
            <w:tcW w:w="9095" w:type="dxa"/>
            <w:gridSpan w:val="6"/>
            <w:tcBorders>
              <w:top w:val="single" w:color="auto" w:sz="4" w:space="0"/>
              <w:left w:val="single" w:color="auto" w:sz="4" w:space="0"/>
              <w:bottom w:val="single" w:color="auto" w:sz="4" w:space="0"/>
              <w:right w:val="single" w:color="auto" w:sz="4" w:space="0"/>
            </w:tcBorders>
            <w:vAlign w:val="center"/>
          </w:tcPr>
          <w:p w14:paraId="7A857A5A">
            <w:pPr>
              <w:spacing w:line="360" w:lineRule="auto"/>
              <w:rPr>
                <w:rFonts w:ascii="宋体" w:hAnsi="宋体" w:cs="宋体"/>
                <w:color w:val="auto"/>
                <w:sz w:val="24"/>
                <w:highlight w:val="none"/>
              </w:rPr>
            </w:pPr>
            <w:r>
              <w:rPr>
                <w:rFonts w:hint="eastAsia" w:ascii="宋体" w:hAnsi="宋体" w:cs="宋体"/>
                <w:color w:val="auto"/>
                <w:sz w:val="24"/>
                <w:highlight w:val="none"/>
              </w:rPr>
              <w:t>合同履约期限：</w:t>
            </w:r>
          </w:p>
        </w:tc>
      </w:tr>
    </w:tbl>
    <w:p w14:paraId="7689EA54">
      <w:pPr>
        <w:autoSpaceDE w:val="0"/>
        <w:spacing w:line="360" w:lineRule="auto"/>
        <w:jc w:val="left"/>
        <w:rPr>
          <w:rFonts w:ascii="宋体" w:hAnsi="宋体" w:cs="宋体"/>
          <w:color w:val="auto"/>
          <w:szCs w:val="21"/>
          <w:highlight w:val="none"/>
        </w:rPr>
      </w:pPr>
      <w:r>
        <w:rPr>
          <w:rFonts w:hint="eastAsia" w:ascii="宋体" w:hAnsi="宋体" w:cs="宋体"/>
          <w:color w:val="auto"/>
          <w:sz w:val="24"/>
          <w:highlight w:val="none"/>
          <w:lang w:bidi="ar"/>
        </w:rPr>
        <w:t>注：</w:t>
      </w:r>
    </w:p>
    <w:p w14:paraId="279C98EB">
      <w:pPr>
        <w:snapToGrid/>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1.供应商的报价表必须加盖供应商公章并由法定代表人或者委托代理人签字或者盖章，</w:t>
      </w:r>
      <w:r>
        <w:rPr>
          <w:rFonts w:hint="eastAsia" w:ascii="宋体" w:hAnsi="宋体" w:cs="宋体"/>
          <w:b/>
          <w:color w:val="auto"/>
          <w:sz w:val="24"/>
          <w:highlight w:val="none"/>
        </w:rPr>
        <w:t>否则其响应文件按无效响应处理</w:t>
      </w:r>
      <w:r>
        <w:rPr>
          <w:rFonts w:hint="eastAsia" w:ascii="宋体" w:hAnsi="宋体" w:cs="宋体"/>
          <w:color w:val="auto"/>
          <w:sz w:val="24"/>
          <w:highlight w:val="none"/>
        </w:rPr>
        <w:t>。</w:t>
      </w:r>
    </w:p>
    <w:p w14:paraId="20C26924">
      <w:pPr>
        <w:snapToGrid/>
        <w:spacing w:line="360" w:lineRule="auto"/>
        <w:ind w:firstLine="480" w:firstLineChars="200"/>
        <w:jc w:val="left"/>
        <w:rPr>
          <w:rFonts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报价一经涂改，应在涂改处加盖供应商公章或者由法定代表人或者委托代理人签字或者盖章</w:t>
      </w:r>
      <w:r>
        <w:rPr>
          <w:rFonts w:hint="eastAsia" w:ascii="宋体" w:hAnsi="宋体" w:cs="宋体"/>
          <w:b/>
          <w:color w:val="auto"/>
          <w:sz w:val="24"/>
          <w:highlight w:val="none"/>
        </w:rPr>
        <w:t>，否则其响应文件按无效响应处理。</w:t>
      </w:r>
    </w:p>
    <w:p w14:paraId="25C98774">
      <w:pPr>
        <w:snapToGrid/>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w:t>
      </w:r>
      <w:r>
        <w:rPr>
          <w:rFonts w:hint="eastAsia" w:ascii="宋体" w:hAnsi="宋体" w:cs="宋体"/>
          <w:b/>
          <w:color w:val="auto"/>
          <w:sz w:val="24"/>
          <w:highlight w:val="none"/>
        </w:rPr>
        <w:t>否则其响应文件按无效响应处理。</w:t>
      </w:r>
    </w:p>
    <w:p w14:paraId="1CC39F97">
      <w:pPr>
        <w:snapToGrid/>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4.如为联合体竞标，盖章处须加盖联合体各方公章，</w:t>
      </w:r>
      <w:r>
        <w:rPr>
          <w:rFonts w:hint="eastAsia" w:ascii="宋体" w:hAnsi="宋体" w:cs="宋体"/>
          <w:b/>
          <w:color w:val="auto"/>
          <w:sz w:val="24"/>
          <w:highlight w:val="none"/>
        </w:rPr>
        <w:t>否则其响应文件按无效响应处理。</w:t>
      </w:r>
    </w:p>
    <w:p w14:paraId="3B893116">
      <w:pPr>
        <w:autoSpaceDE w:val="0"/>
        <w:spacing w:line="360" w:lineRule="auto"/>
        <w:ind w:firstLine="480" w:firstLineChars="200"/>
        <w:rPr>
          <w:rFonts w:ascii="宋体" w:hAnsi="宋体" w:cs="宋体"/>
          <w:b/>
          <w:color w:val="auto"/>
          <w:spacing w:val="-6"/>
          <w:sz w:val="24"/>
          <w:highlight w:val="none"/>
        </w:rPr>
      </w:pPr>
      <w:r>
        <w:rPr>
          <w:rFonts w:hint="eastAsia" w:ascii="宋体" w:hAnsi="宋体" w:cs="宋体"/>
          <w:color w:val="auto"/>
          <w:sz w:val="24"/>
          <w:highlight w:val="none"/>
        </w:rPr>
        <w:t>5.</w:t>
      </w:r>
      <w:r>
        <w:rPr>
          <w:rFonts w:hint="eastAsia" w:ascii="宋体" w:hAnsi="宋体" w:cs="宋体"/>
          <w:color w:val="auto"/>
          <w:spacing w:val="-6"/>
          <w:sz w:val="24"/>
          <w:highlight w:val="none"/>
        </w:rPr>
        <w:t>如有多分标，分别列明各分标的报价表，</w:t>
      </w:r>
      <w:r>
        <w:rPr>
          <w:rFonts w:hint="eastAsia" w:ascii="宋体" w:hAnsi="宋体" w:cs="宋体"/>
          <w:b/>
          <w:color w:val="auto"/>
          <w:spacing w:val="-6"/>
          <w:sz w:val="24"/>
          <w:highlight w:val="none"/>
        </w:rPr>
        <w:t>否则其响应文件按无效响应处理。</w:t>
      </w:r>
    </w:p>
    <w:p w14:paraId="2C1D592C">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5BA4FB07">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法定代表人或者委托代理人（签字或签章）：</w:t>
      </w:r>
    </w:p>
    <w:p w14:paraId="25513A85">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0D375BC2">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700E9760">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商务条款偏离表格式</w:t>
      </w:r>
    </w:p>
    <w:p w14:paraId="25192EDF">
      <w:pPr>
        <w:spacing w:line="360" w:lineRule="auto"/>
        <w:jc w:val="center"/>
        <w:outlineLvl w:val="1"/>
        <w:rPr>
          <w:rFonts w:ascii="宋体" w:hAnsi="宋体" w:cs="宋体"/>
          <w:b/>
          <w:color w:val="auto"/>
          <w:sz w:val="32"/>
          <w:szCs w:val="32"/>
          <w:highlight w:val="none"/>
        </w:rPr>
      </w:pPr>
      <w:bookmarkStart w:id="75" w:name="_Toc5976"/>
      <w:bookmarkStart w:id="76" w:name="_Toc14410"/>
      <w:r>
        <w:rPr>
          <w:rFonts w:hint="eastAsia" w:ascii="宋体" w:hAnsi="宋体" w:cs="宋体"/>
          <w:bCs/>
          <w:color w:val="auto"/>
          <w:sz w:val="32"/>
          <w:szCs w:val="32"/>
          <w:highlight w:val="none"/>
          <w:lang w:bidi="ar"/>
        </w:rPr>
        <w:t>（注：按采购需求具体条款修改）</w:t>
      </w:r>
      <w:bookmarkEnd w:id="75"/>
      <w:bookmarkEnd w:id="76"/>
    </w:p>
    <w:p w14:paraId="52F6AC66">
      <w:pPr>
        <w:snapToGrid/>
        <w:spacing w:before="50" w:line="360" w:lineRule="auto"/>
        <w:jc w:val="left"/>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7E4EB25F">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项目名称：</w:t>
      </w:r>
      <w:r>
        <w:rPr>
          <w:rFonts w:hint="eastAsia" w:ascii="宋体" w:hAnsi="宋体" w:cs="宋体"/>
          <w:color w:val="auto"/>
          <w:sz w:val="24"/>
          <w:highlight w:val="none"/>
          <w:u w:val="single"/>
          <w:lang w:bidi="ar"/>
        </w:rPr>
        <w:t xml:space="preserve">                 </w:t>
      </w:r>
    </w:p>
    <w:p w14:paraId="02D095E0">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项目编号：</w:t>
      </w:r>
      <w:r>
        <w:rPr>
          <w:rFonts w:hint="eastAsia" w:ascii="宋体" w:hAnsi="宋体" w:cs="宋体"/>
          <w:color w:val="auto"/>
          <w:sz w:val="24"/>
          <w:highlight w:val="none"/>
          <w:u w:val="single"/>
          <w:lang w:bidi="ar"/>
        </w:rPr>
        <w:t xml:space="preserve">                 </w:t>
      </w:r>
    </w:p>
    <w:p w14:paraId="2D12F715">
      <w:pPr>
        <w:pStyle w:val="27"/>
        <w:spacing w:line="360" w:lineRule="auto"/>
        <w:rPr>
          <w:rFonts w:ascii="宋体" w:hAnsi="宋体" w:cs="宋体"/>
          <w:color w:val="auto"/>
          <w:highlight w:val="none"/>
        </w:rPr>
      </w:pPr>
      <w:r>
        <w:rPr>
          <w:rFonts w:hint="eastAsia" w:ascii="宋体" w:hAnsi="宋体" w:cs="宋体"/>
          <w:color w:val="auto"/>
          <w:highlight w:val="none"/>
          <w:lang w:bidi="ar"/>
        </w:rPr>
        <w:t>分标号：</w:t>
      </w:r>
      <w:r>
        <w:rPr>
          <w:rFonts w:hint="eastAsia" w:ascii="宋体" w:hAnsi="宋体" w:cs="宋体"/>
          <w:color w:val="auto"/>
          <w:highlight w:val="none"/>
          <w:u w:val="single"/>
          <w:lang w:bidi="ar"/>
        </w:rPr>
        <w:t xml:space="preserve">                 </w:t>
      </w:r>
    </w:p>
    <w:tbl>
      <w:tblPr>
        <w:tblStyle w:val="30"/>
        <w:tblW w:w="4997"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952"/>
        <w:gridCol w:w="3383"/>
        <w:gridCol w:w="3320"/>
        <w:gridCol w:w="1585"/>
      </w:tblGrid>
      <w:tr w14:paraId="18390A2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39F1312A">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序号</w:t>
            </w:r>
          </w:p>
        </w:tc>
        <w:tc>
          <w:tcPr>
            <w:tcW w:w="1830" w:type="pct"/>
            <w:tcBorders>
              <w:top w:val="single" w:color="auto" w:sz="4" w:space="0"/>
              <w:left w:val="nil"/>
              <w:bottom w:val="single" w:color="auto" w:sz="4" w:space="0"/>
              <w:right w:val="single" w:color="auto" w:sz="4" w:space="0"/>
            </w:tcBorders>
            <w:shd w:val="clear" w:color="auto" w:fill="auto"/>
            <w:vAlign w:val="center"/>
          </w:tcPr>
          <w:p w14:paraId="1871DF09">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采购文件商务条款要求</w:t>
            </w:r>
          </w:p>
        </w:tc>
        <w:tc>
          <w:tcPr>
            <w:tcW w:w="1796" w:type="pct"/>
            <w:tcBorders>
              <w:top w:val="single" w:color="auto" w:sz="4" w:space="0"/>
              <w:left w:val="nil"/>
              <w:bottom w:val="single" w:color="auto" w:sz="4" w:space="0"/>
              <w:right w:val="single" w:color="auto" w:sz="4" w:space="0"/>
            </w:tcBorders>
            <w:shd w:val="clear" w:color="auto" w:fill="auto"/>
            <w:vAlign w:val="center"/>
          </w:tcPr>
          <w:p w14:paraId="43E2A98E">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供应商的承诺</w:t>
            </w:r>
          </w:p>
        </w:tc>
        <w:tc>
          <w:tcPr>
            <w:tcW w:w="857" w:type="pct"/>
            <w:tcBorders>
              <w:top w:val="single" w:color="auto" w:sz="4" w:space="0"/>
              <w:left w:val="nil"/>
              <w:bottom w:val="single" w:color="auto" w:sz="4" w:space="0"/>
              <w:right w:val="single" w:color="auto" w:sz="4" w:space="0"/>
            </w:tcBorders>
            <w:shd w:val="clear" w:color="auto" w:fill="auto"/>
            <w:vAlign w:val="center"/>
          </w:tcPr>
          <w:p w14:paraId="6A85FFBC">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偏离说明</w:t>
            </w:r>
          </w:p>
        </w:tc>
      </w:tr>
      <w:tr w14:paraId="1D678C8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2C4318A3">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1</w:t>
            </w:r>
          </w:p>
        </w:tc>
        <w:tc>
          <w:tcPr>
            <w:tcW w:w="1830" w:type="pct"/>
            <w:tcBorders>
              <w:top w:val="single" w:color="auto" w:sz="4" w:space="0"/>
              <w:left w:val="nil"/>
              <w:bottom w:val="single" w:color="auto" w:sz="4" w:space="0"/>
              <w:right w:val="single" w:color="auto" w:sz="4" w:space="0"/>
            </w:tcBorders>
            <w:shd w:val="clear" w:color="auto" w:fill="auto"/>
            <w:vAlign w:val="center"/>
          </w:tcPr>
          <w:p w14:paraId="308B4F62">
            <w:pPr>
              <w:autoSpaceDE w:val="0"/>
              <w:spacing w:line="360" w:lineRule="auto"/>
              <w:jc w:val="center"/>
              <w:rPr>
                <w:rFonts w:ascii="宋体" w:hAnsi="宋体" w:cs="宋体"/>
                <w:color w:val="auto"/>
                <w:sz w:val="24"/>
                <w:highlight w:val="none"/>
              </w:rPr>
            </w:pPr>
          </w:p>
        </w:tc>
        <w:tc>
          <w:tcPr>
            <w:tcW w:w="1796" w:type="pct"/>
            <w:tcBorders>
              <w:top w:val="single" w:color="auto" w:sz="4" w:space="0"/>
              <w:left w:val="nil"/>
              <w:bottom w:val="single" w:color="auto" w:sz="4" w:space="0"/>
              <w:right w:val="single" w:color="auto" w:sz="4" w:space="0"/>
            </w:tcBorders>
            <w:shd w:val="clear" w:color="auto" w:fill="auto"/>
            <w:vAlign w:val="center"/>
          </w:tcPr>
          <w:p w14:paraId="1E5515A8">
            <w:pPr>
              <w:autoSpaceDE w:val="0"/>
              <w:spacing w:line="360" w:lineRule="auto"/>
              <w:jc w:val="center"/>
              <w:rPr>
                <w:rFonts w:ascii="宋体" w:hAnsi="宋体" w:cs="宋体"/>
                <w:color w:val="auto"/>
                <w:sz w:val="24"/>
                <w:highlight w:val="none"/>
              </w:rPr>
            </w:pPr>
          </w:p>
        </w:tc>
        <w:tc>
          <w:tcPr>
            <w:tcW w:w="857" w:type="pct"/>
            <w:tcBorders>
              <w:top w:val="single" w:color="auto" w:sz="4" w:space="0"/>
              <w:left w:val="nil"/>
              <w:bottom w:val="single" w:color="auto" w:sz="4" w:space="0"/>
              <w:right w:val="single" w:color="auto" w:sz="4" w:space="0"/>
            </w:tcBorders>
            <w:shd w:val="clear" w:color="auto" w:fill="auto"/>
            <w:vAlign w:val="center"/>
          </w:tcPr>
          <w:p w14:paraId="4F1C9905">
            <w:pPr>
              <w:autoSpaceDE w:val="0"/>
              <w:spacing w:line="360" w:lineRule="auto"/>
              <w:jc w:val="center"/>
              <w:rPr>
                <w:rFonts w:ascii="宋体" w:hAnsi="宋体" w:cs="宋体"/>
                <w:color w:val="auto"/>
                <w:sz w:val="24"/>
                <w:highlight w:val="none"/>
              </w:rPr>
            </w:pPr>
          </w:p>
        </w:tc>
      </w:tr>
      <w:tr w14:paraId="7C9403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633CE102">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2</w:t>
            </w:r>
          </w:p>
        </w:tc>
        <w:tc>
          <w:tcPr>
            <w:tcW w:w="1830" w:type="pct"/>
            <w:tcBorders>
              <w:top w:val="single" w:color="auto" w:sz="4" w:space="0"/>
              <w:left w:val="nil"/>
              <w:bottom w:val="single" w:color="auto" w:sz="4" w:space="0"/>
              <w:right w:val="single" w:color="auto" w:sz="4" w:space="0"/>
            </w:tcBorders>
            <w:shd w:val="clear" w:color="auto" w:fill="auto"/>
            <w:vAlign w:val="center"/>
          </w:tcPr>
          <w:p w14:paraId="052F928E">
            <w:pPr>
              <w:autoSpaceDE w:val="0"/>
              <w:spacing w:line="360" w:lineRule="auto"/>
              <w:jc w:val="center"/>
              <w:rPr>
                <w:rFonts w:ascii="宋体" w:hAnsi="宋体" w:cs="宋体"/>
                <w:color w:val="auto"/>
                <w:sz w:val="24"/>
                <w:highlight w:val="none"/>
              </w:rPr>
            </w:pPr>
          </w:p>
        </w:tc>
        <w:tc>
          <w:tcPr>
            <w:tcW w:w="1796" w:type="pct"/>
            <w:tcBorders>
              <w:top w:val="single" w:color="auto" w:sz="4" w:space="0"/>
              <w:left w:val="nil"/>
              <w:bottom w:val="single" w:color="auto" w:sz="4" w:space="0"/>
              <w:right w:val="single" w:color="auto" w:sz="4" w:space="0"/>
            </w:tcBorders>
            <w:shd w:val="clear" w:color="auto" w:fill="auto"/>
            <w:vAlign w:val="center"/>
          </w:tcPr>
          <w:p w14:paraId="79D22704">
            <w:pPr>
              <w:autoSpaceDE w:val="0"/>
              <w:spacing w:line="360" w:lineRule="auto"/>
              <w:jc w:val="center"/>
              <w:rPr>
                <w:rFonts w:ascii="宋体" w:hAnsi="宋体" w:cs="宋体"/>
                <w:color w:val="auto"/>
                <w:sz w:val="24"/>
                <w:highlight w:val="none"/>
              </w:rPr>
            </w:pPr>
          </w:p>
        </w:tc>
        <w:tc>
          <w:tcPr>
            <w:tcW w:w="857" w:type="pct"/>
            <w:tcBorders>
              <w:top w:val="single" w:color="auto" w:sz="4" w:space="0"/>
              <w:left w:val="nil"/>
              <w:bottom w:val="single" w:color="auto" w:sz="4" w:space="0"/>
              <w:right w:val="single" w:color="auto" w:sz="4" w:space="0"/>
            </w:tcBorders>
            <w:shd w:val="clear" w:color="auto" w:fill="auto"/>
            <w:vAlign w:val="center"/>
          </w:tcPr>
          <w:p w14:paraId="63E2C390">
            <w:pPr>
              <w:autoSpaceDE w:val="0"/>
              <w:spacing w:line="360" w:lineRule="auto"/>
              <w:jc w:val="center"/>
              <w:rPr>
                <w:rFonts w:ascii="宋体" w:hAnsi="宋体" w:cs="宋体"/>
                <w:color w:val="auto"/>
                <w:sz w:val="24"/>
                <w:highlight w:val="none"/>
              </w:rPr>
            </w:pPr>
          </w:p>
        </w:tc>
      </w:tr>
      <w:tr w14:paraId="3AC41F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1E1DCFAF">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3</w:t>
            </w:r>
          </w:p>
        </w:tc>
        <w:tc>
          <w:tcPr>
            <w:tcW w:w="1830" w:type="pct"/>
            <w:tcBorders>
              <w:top w:val="single" w:color="auto" w:sz="4" w:space="0"/>
              <w:left w:val="nil"/>
              <w:bottom w:val="single" w:color="auto" w:sz="4" w:space="0"/>
              <w:right w:val="single" w:color="auto" w:sz="4" w:space="0"/>
            </w:tcBorders>
            <w:shd w:val="clear" w:color="auto" w:fill="auto"/>
            <w:vAlign w:val="center"/>
          </w:tcPr>
          <w:p w14:paraId="1EE5CCD8">
            <w:pPr>
              <w:autoSpaceDE w:val="0"/>
              <w:spacing w:line="360" w:lineRule="auto"/>
              <w:jc w:val="center"/>
              <w:rPr>
                <w:rFonts w:ascii="宋体" w:hAnsi="宋体" w:cs="宋体"/>
                <w:color w:val="auto"/>
                <w:sz w:val="24"/>
                <w:highlight w:val="none"/>
              </w:rPr>
            </w:pPr>
          </w:p>
        </w:tc>
        <w:tc>
          <w:tcPr>
            <w:tcW w:w="1796" w:type="pct"/>
            <w:tcBorders>
              <w:top w:val="single" w:color="auto" w:sz="4" w:space="0"/>
              <w:left w:val="nil"/>
              <w:bottom w:val="single" w:color="auto" w:sz="4" w:space="0"/>
              <w:right w:val="single" w:color="auto" w:sz="4" w:space="0"/>
            </w:tcBorders>
            <w:shd w:val="clear" w:color="auto" w:fill="auto"/>
            <w:vAlign w:val="center"/>
          </w:tcPr>
          <w:p w14:paraId="3291D507">
            <w:pPr>
              <w:autoSpaceDE w:val="0"/>
              <w:spacing w:line="360" w:lineRule="auto"/>
              <w:jc w:val="center"/>
              <w:rPr>
                <w:rFonts w:ascii="宋体" w:hAnsi="宋体" w:cs="宋体"/>
                <w:color w:val="auto"/>
                <w:sz w:val="24"/>
                <w:highlight w:val="none"/>
              </w:rPr>
            </w:pPr>
          </w:p>
        </w:tc>
        <w:tc>
          <w:tcPr>
            <w:tcW w:w="857" w:type="pct"/>
            <w:tcBorders>
              <w:top w:val="single" w:color="auto" w:sz="4" w:space="0"/>
              <w:left w:val="nil"/>
              <w:bottom w:val="single" w:color="auto" w:sz="4" w:space="0"/>
              <w:right w:val="single" w:color="auto" w:sz="4" w:space="0"/>
            </w:tcBorders>
            <w:shd w:val="clear" w:color="auto" w:fill="auto"/>
            <w:vAlign w:val="center"/>
          </w:tcPr>
          <w:p w14:paraId="42E511CE">
            <w:pPr>
              <w:autoSpaceDE w:val="0"/>
              <w:spacing w:line="360" w:lineRule="auto"/>
              <w:jc w:val="center"/>
              <w:rPr>
                <w:rFonts w:ascii="宋体" w:hAnsi="宋体" w:cs="宋体"/>
                <w:color w:val="auto"/>
                <w:sz w:val="24"/>
                <w:highlight w:val="none"/>
              </w:rPr>
            </w:pPr>
          </w:p>
        </w:tc>
      </w:tr>
      <w:tr w14:paraId="1268F68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515" w:type="pct"/>
            <w:tcBorders>
              <w:top w:val="single" w:color="auto" w:sz="4" w:space="0"/>
              <w:left w:val="single" w:color="auto" w:sz="4" w:space="0"/>
              <w:bottom w:val="single" w:color="auto" w:sz="4" w:space="0"/>
              <w:right w:val="single" w:color="auto" w:sz="4" w:space="0"/>
            </w:tcBorders>
            <w:shd w:val="clear" w:color="auto" w:fill="auto"/>
            <w:vAlign w:val="center"/>
          </w:tcPr>
          <w:p w14:paraId="0E5FEC76">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w:t>
            </w:r>
          </w:p>
        </w:tc>
        <w:tc>
          <w:tcPr>
            <w:tcW w:w="1830" w:type="pct"/>
            <w:tcBorders>
              <w:top w:val="single" w:color="auto" w:sz="4" w:space="0"/>
              <w:left w:val="nil"/>
              <w:bottom w:val="single" w:color="auto" w:sz="4" w:space="0"/>
              <w:right w:val="single" w:color="auto" w:sz="4" w:space="0"/>
            </w:tcBorders>
            <w:shd w:val="clear" w:color="auto" w:fill="auto"/>
            <w:vAlign w:val="center"/>
          </w:tcPr>
          <w:p w14:paraId="3AD7EBE1">
            <w:pPr>
              <w:autoSpaceDE w:val="0"/>
              <w:spacing w:line="360" w:lineRule="auto"/>
              <w:jc w:val="center"/>
              <w:rPr>
                <w:rFonts w:ascii="宋体" w:hAnsi="宋体" w:cs="宋体"/>
                <w:color w:val="auto"/>
                <w:sz w:val="24"/>
                <w:highlight w:val="none"/>
              </w:rPr>
            </w:pPr>
          </w:p>
        </w:tc>
        <w:tc>
          <w:tcPr>
            <w:tcW w:w="1796" w:type="pct"/>
            <w:tcBorders>
              <w:top w:val="single" w:color="auto" w:sz="4" w:space="0"/>
              <w:left w:val="nil"/>
              <w:bottom w:val="single" w:color="auto" w:sz="4" w:space="0"/>
              <w:right w:val="single" w:color="auto" w:sz="4" w:space="0"/>
            </w:tcBorders>
            <w:shd w:val="clear" w:color="auto" w:fill="auto"/>
            <w:vAlign w:val="center"/>
          </w:tcPr>
          <w:p w14:paraId="30A4F346">
            <w:pPr>
              <w:autoSpaceDE w:val="0"/>
              <w:spacing w:line="360" w:lineRule="auto"/>
              <w:jc w:val="center"/>
              <w:rPr>
                <w:rFonts w:ascii="宋体" w:hAnsi="宋体" w:cs="宋体"/>
                <w:color w:val="auto"/>
                <w:sz w:val="24"/>
                <w:highlight w:val="none"/>
              </w:rPr>
            </w:pPr>
          </w:p>
        </w:tc>
        <w:tc>
          <w:tcPr>
            <w:tcW w:w="857" w:type="pct"/>
            <w:tcBorders>
              <w:top w:val="single" w:color="auto" w:sz="4" w:space="0"/>
              <w:left w:val="nil"/>
              <w:bottom w:val="single" w:color="auto" w:sz="4" w:space="0"/>
              <w:right w:val="single" w:color="auto" w:sz="4" w:space="0"/>
            </w:tcBorders>
            <w:shd w:val="clear" w:color="auto" w:fill="auto"/>
            <w:vAlign w:val="center"/>
          </w:tcPr>
          <w:p w14:paraId="53993B14">
            <w:pPr>
              <w:autoSpaceDE w:val="0"/>
              <w:spacing w:line="360" w:lineRule="auto"/>
              <w:jc w:val="center"/>
              <w:rPr>
                <w:rFonts w:ascii="宋体" w:hAnsi="宋体" w:cs="宋体"/>
                <w:color w:val="auto"/>
                <w:sz w:val="24"/>
                <w:highlight w:val="none"/>
              </w:rPr>
            </w:pPr>
          </w:p>
        </w:tc>
      </w:tr>
    </w:tbl>
    <w:p w14:paraId="21E9371D">
      <w:pPr>
        <w:autoSpaceDE w:val="0"/>
        <w:spacing w:line="360" w:lineRule="auto"/>
        <w:jc w:val="left"/>
        <w:rPr>
          <w:rFonts w:ascii="宋体" w:hAnsi="宋体" w:cs="宋体"/>
          <w:color w:val="auto"/>
          <w:sz w:val="24"/>
          <w:highlight w:val="none"/>
        </w:rPr>
      </w:pPr>
      <w:r>
        <w:rPr>
          <w:rFonts w:hint="eastAsia" w:ascii="宋体" w:hAnsi="宋体" w:cs="宋体"/>
          <w:color w:val="auto"/>
          <w:sz w:val="24"/>
          <w:highlight w:val="none"/>
          <w:lang w:bidi="ar"/>
        </w:rPr>
        <w:t>注：</w:t>
      </w:r>
    </w:p>
    <w:p w14:paraId="39E3658D">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1. 说明：应对照磋商文件“第三章 采购需求”中的商务条款逐条实质性响应，并作出偏离说明。</w:t>
      </w:r>
    </w:p>
    <w:p w14:paraId="4A09BC89">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2.供应商应根据自身的承诺，对照磋商文件要求，在“偏离说明”中注明“正偏离</w:t>
      </w:r>
      <w:r>
        <w:rPr>
          <w:rFonts w:hint="eastAsia" w:ascii="宋体" w:hAnsi="宋体" w:cs="宋体"/>
          <w:color w:val="auto"/>
          <w:sz w:val="24"/>
          <w:highlight w:val="none"/>
          <w:lang w:eastAsia="zh-CN" w:bidi="ar"/>
        </w:rPr>
        <w:t>”“</w:t>
      </w:r>
      <w:r>
        <w:rPr>
          <w:rFonts w:hint="eastAsia" w:ascii="宋体" w:hAnsi="宋体" w:cs="宋体"/>
          <w:color w:val="auto"/>
          <w:sz w:val="24"/>
          <w:highlight w:val="none"/>
          <w:lang w:bidi="ar"/>
        </w:rPr>
        <w:t>负偏离”或者“无偏离”。既不属于“正偏离”也不属于“负偏离”即为“无偏离”。</w:t>
      </w:r>
    </w:p>
    <w:p w14:paraId="6E28D21B">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3F1A5D74">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法定代表人或者委托代理人（签字或签章）：</w:t>
      </w:r>
    </w:p>
    <w:p w14:paraId="084D16F6">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624578E0">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23FCF03F">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技术需求偏离表格式</w:t>
      </w:r>
    </w:p>
    <w:p w14:paraId="14B43B67">
      <w:pPr>
        <w:spacing w:line="360" w:lineRule="auto"/>
        <w:jc w:val="center"/>
        <w:outlineLvl w:val="1"/>
        <w:rPr>
          <w:rFonts w:ascii="宋体" w:hAnsi="宋体" w:cs="宋体"/>
          <w:bCs/>
          <w:color w:val="auto"/>
          <w:sz w:val="32"/>
          <w:szCs w:val="32"/>
          <w:highlight w:val="none"/>
        </w:rPr>
      </w:pPr>
      <w:bookmarkStart w:id="77" w:name="_Toc16156"/>
      <w:bookmarkStart w:id="78" w:name="_Toc3984"/>
      <w:r>
        <w:rPr>
          <w:rFonts w:hint="eastAsia" w:ascii="宋体" w:hAnsi="宋体" w:cs="宋体"/>
          <w:bCs/>
          <w:color w:val="auto"/>
          <w:sz w:val="32"/>
          <w:szCs w:val="32"/>
          <w:highlight w:val="none"/>
          <w:lang w:bidi="ar"/>
        </w:rPr>
        <w:t>（注：按采购需求具体条款修改）</w:t>
      </w:r>
      <w:bookmarkEnd w:id="77"/>
      <w:bookmarkEnd w:id="78"/>
    </w:p>
    <w:p w14:paraId="099BCFE3">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ADDB8E7">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项目名称：</w:t>
      </w:r>
      <w:r>
        <w:rPr>
          <w:rFonts w:hint="eastAsia" w:ascii="宋体" w:hAnsi="宋体" w:cs="宋体"/>
          <w:color w:val="auto"/>
          <w:sz w:val="24"/>
          <w:highlight w:val="none"/>
          <w:u w:val="single"/>
          <w:lang w:bidi="ar"/>
        </w:rPr>
        <w:t xml:space="preserve">                 </w:t>
      </w:r>
    </w:p>
    <w:p w14:paraId="44F47A7E">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项目编号：</w:t>
      </w:r>
      <w:r>
        <w:rPr>
          <w:rFonts w:hint="eastAsia" w:ascii="宋体" w:hAnsi="宋体" w:cs="宋体"/>
          <w:color w:val="auto"/>
          <w:sz w:val="24"/>
          <w:highlight w:val="none"/>
          <w:u w:val="single"/>
          <w:lang w:bidi="ar"/>
        </w:rPr>
        <w:t xml:space="preserve">                 </w:t>
      </w:r>
    </w:p>
    <w:p w14:paraId="6779A2EB">
      <w:pPr>
        <w:spacing w:line="360" w:lineRule="auto"/>
        <w:rPr>
          <w:rFonts w:ascii="宋体" w:hAnsi="宋体" w:cs="宋体"/>
          <w:color w:val="auto"/>
          <w:sz w:val="24"/>
          <w:highlight w:val="none"/>
          <w:u w:val="single"/>
        </w:rPr>
      </w:pPr>
      <w:r>
        <w:rPr>
          <w:rFonts w:hint="eastAsia" w:ascii="宋体" w:hAnsi="宋体" w:cs="宋体"/>
          <w:color w:val="auto"/>
          <w:sz w:val="24"/>
          <w:highlight w:val="none"/>
          <w:lang w:bidi="ar"/>
        </w:rPr>
        <w:t>分标号：</w:t>
      </w:r>
      <w:r>
        <w:rPr>
          <w:rFonts w:hint="eastAsia" w:ascii="宋体" w:hAnsi="宋体" w:cs="宋体"/>
          <w:color w:val="auto"/>
          <w:sz w:val="24"/>
          <w:highlight w:val="none"/>
          <w:u w:val="single"/>
          <w:lang w:bidi="ar"/>
        </w:rPr>
        <w:t xml:space="preserve">                 </w:t>
      </w:r>
    </w:p>
    <w:tbl>
      <w:tblPr>
        <w:tblStyle w:val="30"/>
        <w:tblW w:w="4997"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85"/>
        <w:gridCol w:w="1627"/>
        <w:gridCol w:w="2837"/>
        <w:gridCol w:w="2685"/>
        <w:gridCol w:w="1306"/>
      </w:tblGrid>
      <w:tr w14:paraId="017F31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6567FDC6">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序号</w:t>
            </w:r>
          </w:p>
        </w:tc>
        <w:tc>
          <w:tcPr>
            <w:tcW w:w="880" w:type="pct"/>
            <w:tcBorders>
              <w:top w:val="single" w:color="auto" w:sz="4" w:space="0"/>
              <w:left w:val="nil"/>
              <w:bottom w:val="single" w:color="auto" w:sz="4" w:space="0"/>
              <w:right w:val="single" w:color="auto" w:sz="4" w:space="0"/>
            </w:tcBorders>
            <w:shd w:val="clear" w:color="auto" w:fill="auto"/>
            <w:vAlign w:val="center"/>
          </w:tcPr>
          <w:p w14:paraId="7D10DA0E">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名称</w:t>
            </w:r>
          </w:p>
        </w:tc>
        <w:tc>
          <w:tcPr>
            <w:tcW w:w="1534" w:type="pct"/>
            <w:tcBorders>
              <w:top w:val="single" w:color="auto" w:sz="4" w:space="0"/>
              <w:left w:val="nil"/>
              <w:bottom w:val="single" w:color="auto" w:sz="4" w:space="0"/>
              <w:right w:val="single" w:color="auto" w:sz="4" w:space="0"/>
            </w:tcBorders>
            <w:shd w:val="clear" w:color="auto" w:fill="auto"/>
            <w:vAlign w:val="center"/>
          </w:tcPr>
          <w:p w14:paraId="22C4F071">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采购文件技术需求要求</w:t>
            </w:r>
          </w:p>
        </w:tc>
        <w:tc>
          <w:tcPr>
            <w:tcW w:w="1452" w:type="pct"/>
            <w:tcBorders>
              <w:top w:val="single" w:color="auto" w:sz="4" w:space="0"/>
              <w:left w:val="nil"/>
              <w:bottom w:val="single" w:color="auto" w:sz="4" w:space="0"/>
              <w:right w:val="single" w:color="auto" w:sz="4" w:space="0"/>
            </w:tcBorders>
            <w:shd w:val="clear" w:color="auto" w:fill="auto"/>
            <w:vAlign w:val="center"/>
          </w:tcPr>
          <w:p w14:paraId="23FB9E7B">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供应商的承诺</w:t>
            </w:r>
          </w:p>
        </w:tc>
        <w:tc>
          <w:tcPr>
            <w:tcW w:w="706" w:type="pct"/>
            <w:tcBorders>
              <w:top w:val="single" w:color="auto" w:sz="4" w:space="0"/>
              <w:left w:val="nil"/>
              <w:bottom w:val="single" w:color="auto" w:sz="4" w:space="0"/>
              <w:right w:val="single" w:color="auto" w:sz="4" w:space="0"/>
            </w:tcBorders>
            <w:shd w:val="clear" w:color="auto" w:fill="auto"/>
            <w:vAlign w:val="center"/>
          </w:tcPr>
          <w:p w14:paraId="60D1BF65">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偏离说明</w:t>
            </w:r>
          </w:p>
        </w:tc>
      </w:tr>
      <w:tr w14:paraId="2C3863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3AB9B6A8">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1</w:t>
            </w:r>
          </w:p>
        </w:tc>
        <w:tc>
          <w:tcPr>
            <w:tcW w:w="880" w:type="pct"/>
            <w:tcBorders>
              <w:top w:val="single" w:color="auto" w:sz="4" w:space="0"/>
              <w:left w:val="nil"/>
              <w:bottom w:val="single" w:color="auto" w:sz="4" w:space="0"/>
              <w:right w:val="single" w:color="auto" w:sz="4" w:space="0"/>
            </w:tcBorders>
            <w:shd w:val="clear" w:color="auto" w:fill="auto"/>
            <w:vAlign w:val="center"/>
          </w:tcPr>
          <w:p w14:paraId="2E639B58">
            <w:pPr>
              <w:autoSpaceDE w:val="0"/>
              <w:spacing w:line="360" w:lineRule="auto"/>
              <w:jc w:val="center"/>
              <w:rPr>
                <w:rFonts w:ascii="宋体" w:hAnsi="宋体" w:cs="宋体"/>
                <w:color w:val="auto"/>
                <w:sz w:val="24"/>
                <w:highlight w:val="none"/>
              </w:rPr>
            </w:pPr>
          </w:p>
        </w:tc>
        <w:tc>
          <w:tcPr>
            <w:tcW w:w="1534" w:type="pct"/>
            <w:tcBorders>
              <w:top w:val="single" w:color="auto" w:sz="4" w:space="0"/>
              <w:left w:val="nil"/>
              <w:bottom w:val="single" w:color="auto" w:sz="4" w:space="0"/>
              <w:right w:val="single" w:color="auto" w:sz="4" w:space="0"/>
            </w:tcBorders>
            <w:shd w:val="clear" w:color="auto" w:fill="auto"/>
            <w:vAlign w:val="center"/>
          </w:tcPr>
          <w:p w14:paraId="78CB0308">
            <w:pPr>
              <w:autoSpaceDE w:val="0"/>
              <w:spacing w:line="360" w:lineRule="auto"/>
              <w:jc w:val="center"/>
              <w:rPr>
                <w:rFonts w:ascii="宋体" w:hAnsi="宋体" w:cs="宋体"/>
                <w:color w:val="auto"/>
                <w:sz w:val="24"/>
                <w:highlight w:val="none"/>
              </w:rPr>
            </w:pPr>
          </w:p>
        </w:tc>
        <w:tc>
          <w:tcPr>
            <w:tcW w:w="1452" w:type="pct"/>
            <w:tcBorders>
              <w:top w:val="single" w:color="auto" w:sz="4" w:space="0"/>
              <w:left w:val="nil"/>
              <w:bottom w:val="single" w:color="auto" w:sz="4" w:space="0"/>
              <w:right w:val="single" w:color="auto" w:sz="4" w:space="0"/>
            </w:tcBorders>
            <w:shd w:val="clear" w:color="auto" w:fill="auto"/>
            <w:vAlign w:val="center"/>
          </w:tcPr>
          <w:p w14:paraId="29DA0BAB">
            <w:pPr>
              <w:autoSpaceDE w:val="0"/>
              <w:spacing w:line="360" w:lineRule="auto"/>
              <w:jc w:val="center"/>
              <w:rPr>
                <w:rFonts w:ascii="宋体" w:hAnsi="宋体" w:cs="宋体"/>
                <w:color w:val="auto"/>
                <w:sz w:val="24"/>
                <w:highlight w:val="none"/>
              </w:rPr>
            </w:pPr>
          </w:p>
        </w:tc>
        <w:tc>
          <w:tcPr>
            <w:tcW w:w="706" w:type="pct"/>
            <w:tcBorders>
              <w:top w:val="single" w:color="auto" w:sz="4" w:space="0"/>
              <w:left w:val="nil"/>
              <w:bottom w:val="single" w:color="auto" w:sz="4" w:space="0"/>
              <w:right w:val="single" w:color="auto" w:sz="4" w:space="0"/>
            </w:tcBorders>
            <w:shd w:val="clear" w:color="auto" w:fill="auto"/>
            <w:vAlign w:val="center"/>
          </w:tcPr>
          <w:p w14:paraId="6DD9910C">
            <w:pPr>
              <w:autoSpaceDE w:val="0"/>
              <w:spacing w:line="360" w:lineRule="auto"/>
              <w:jc w:val="center"/>
              <w:rPr>
                <w:rFonts w:ascii="宋体" w:hAnsi="宋体" w:cs="宋体"/>
                <w:color w:val="auto"/>
                <w:sz w:val="24"/>
                <w:highlight w:val="none"/>
              </w:rPr>
            </w:pPr>
          </w:p>
        </w:tc>
      </w:tr>
      <w:tr w14:paraId="432861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5D4D580E">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2</w:t>
            </w:r>
          </w:p>
        </w:tc>
        <w:tc>
          <w:tcPr>
            <w:tcW w:w="880" w:type="pct"/>
            <w:tcBorders>
              <w:top w:val="single" w:color="auto" w:sz="4" w:space="0"/>
              <w:left w:val="nil"/>
              <w:bottom w:val="single" w:color="auto" w:sz="4" w:space="0"/>
              <w:right w:val="single" w:color="auto" w:sz="4" w:space="0"/>
            </w:tcBorders>
            <w:shd w:val="clear" w:color="auto" w:fill="auto"/>
            <w:vAlign w:val="center"/>
          </w:tcPr>
          <w:p w14:paraId="5266858B">
            <w:pPr>
              <w:autoSpaceDE w:val="0"/>
              <w:spacing w:line="360" w:lineRule="auto"/>
              <w:jc w:val="center"/>
              <w:rPr>
                <w:rFonts w:ascii="宋体" w:hAnsi="宋体" w:cs="宋体"/>
                <w:color w:val="auto"/>
                <w:sz w:val="24"/>
                <w:highlight w:val="none"/>
              </w:rPr>
            </w:pPr>
          </w:p>
        </w:tc>
        <w:tc>
          <w:tcPr>
            <w:tcW w:w="1534" w:type="pct"/>
            <w:tcBorders>
              <w:top w:val="single" w:color="auto" w:sz="4" w:space="0"/>
              <w:left w:val="nil"/>
              <w:bottom w:val="single" w:color="auto" w:sz="4" w:space="0"/>
              <w:right w:val="single" w:color="auto" w:sz="4" w:space="0"/>
            </w:tcBorders>
            <w:shd w:val="clear" w:color="auto" w:fill="auto"/>
            <w:vAlign w:val="center"/>
          </w:tcPr>
          <w:p w14:paraId="4544AF6F">
            <w:pPr>
              <w:autoSpaceDE w:val="0"/>
              <w:spacing w:line="360" w:lineRule="auto"/>
              <w:jc w:val="center"/>
              <w:rPr>
                <w:rFonts w:ascii="宋体" w:hAnsi="宋体" w:cs="宋体"/>
                <w:color w:val="auto"/>
                <w:sz w:val="24"/>
                <w:highlight w:val="none"/>
              </w:rPr>
            </w:pPr>
          </w:p>
        </w:tc>
        <w:tc>
          <w:tcPr>
            <w:tcW w:w="1452" w:type="pct"/>
            <w:tcBorders>
              <w:top w:val="single" w:color="auto" w:sz="4" w:space="0"/>
              <w:left w:val="nil"/>
              <w:bottom w:val="single" w:color="auto" w:sz="4" w:space="0"/>
              <w:right w:val="single" w:color="auto" w:sz="4" w:space="0"/>
            </w:tcBorders>
            <w:shd w:val="clear" w:color="auto" w:fill="auto"/>
            <w:vAlign w:val="center"/>
          </w:tcPr>
          <w:p w14:paraId="7303E4AC">
            <w:pPr>
              <w:autoSpaceDE w:val="0"/>
              <w:spacing w:line="360" w:lineRule="auto"/>
              <w:jc w:val="center"/>
              <w:rPr>
                <w:rFonts w:ascii="宋体" w:hAnsi="宋体" w:cs="宋体"/>
                <w:color w:val="auto"/>
                <w:sz w:val="24"/>
                <w:highlight w:val="none"/>
              </w:rPr>
            </w:pPr>
          </w:p>
        </w:tc>
        <w:tc>
          <w:tcPr>
            <w:tcW w:w="706" w:type="pct"/>
            <w:tcBorders>
              <w:top w:val="single" w:color="auto" w:sz="4" w:space="0"/>
              <w:left w:val="nil"/>
              <w:bottom w:val="single" w:color="auto" w:sz="4" w:space="0"/>
              <w:right w:val="single" w:color="auto" w:sz="4" w:space="0"/>
            </w:tcBorders>
            <w:shd w:val="clear" w:color="auto" w:fill="auto"/>
            <w:vAlign w:val="center"/>
          </w:tcPr>
          <w:p w14:paraId="2847CE61">
            <w:pPr>
              <w:autoSpaceDE w:val="0"/>
              <w:spacing w:line="360" w:lineRule="auto"/>
              <w:jc w:val="center"/>
              <w:rPr>
                <w:rFonts w:ascii="宋体" w:hAnsi="宋体" w:cs="宋体"/>
                <w:color w:val="auto"/>
                <w:sz w:val="24"/>
                <w:highlight w:val="none"/>
              </w:rPr>
            </w:pPr>
          </w:p>
        </w:tc>
      </w:tr>
      <w:tr w14:paraId="15C3054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28378B0A">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3</w:t>
            </w:r>
          </w:p>
        </w:tc>
        <w:tc>
          <w:tcPr>
            <w:tcW w:w="880" w:type="pct"/>
            <w:tcBorders>
              <w:top w:val="single" w:color="auto" w:sz="4" w:space="0"/>
              <w:left w:val="nil"/>
              <w:bottom w:val="single" w:color="auto" w:sz="4" w:space="0"/>
              <w:right w:val="single" w:color="auto" w:sz="4" w:space="0"/>
            </w:tcBorders>
            <w:shd w:val="clear" w:color="auto" w:fill="auto"/>
            <w:vAlign w:val="center"/>
          </w:tcPr>
          <w:p w14:paraId="61B4FB47">
            <w:pPr>
              <w:autoSpaceDE w:val="0"/>
              <w:spacing w:line="360" w:lineRule="auto"/>
              <w:jc w:val="center"/>
              <w:rPr>
                <w:rFonts w:ascii="宋体" w:hAnsi="宋体" w:cs="宋体"/>
                <w:color w:val="auto"/>
                <w:sz w:val="24"/>
                <w:highlight w:val="none"/>
              </w:rPr>
            </w:pPr>
          </w:p>
        </w:tc>
        <w:tc>
          <w:tcPr>
            <w:tcW w:w="1534" w:type="pct"/>
            <w:tcBorders>
              <w:top w:val="single" w:color="auto" w:sz="4" w:space="0"/>
              <w:left w:val="nil"/>
              <w:bottom w:val="single" w:color="auto" w:sz="4" w:space="0"/>
              <w:right w:val="single" w:color="auto" w:sz="4" w:space="0"/>
            </w:tcBorders>
            <w:shd w:val="clear" w:color="auto" w:fill="auto"/>
            <w:vAlign w:val="center"/>
          </w:tcPr>
          <w:p w14:paraId="29CD638A">
            <w:pPr>
              <w:autoSpaceDE w:val="0"/>
              <w:spacing w:line="360" w:lineRule="auto"/>
              <w:jc w:val="center"/>
              <w:rPr>
                <w:rFonts w:ascii="宋体" w:hAnsi="宋体" w:cs="宋体"/>
                <w:color w:val="auto"/>
                <w:sz w:val="24"/>
                <w:highlight w:val="none"/>
              </w:rPr>
            </w:pPr>
          </w:p>
        </w:tc>
        <w:tc>
          <w:tcPr>
            <w:tcW w:w="1452" w:type="pct"/>
            <w:tcBorders>
              <w:top w:val="single" w:color="auto" w:sz="4" w:space="0"/>
              <w:left w:val="nil"/>
              <w:bottom w:val="single" w:color="auto" w:sz="4" w:space="0"/>
              <w:right w:val="single" w:color="auto" w:sz="4" w:space="0"/>
            </w:tcBorders>
            <w:shd w:val="clear" w:color="auto" w:fill="auto"/>
            <w:vAlign w:val="center"/>
          </w:tcPr>
          <w:p w14:paraId="787A6F65">
            <w:pPr>
              <w:autoSpaceDE w:val="0"/>
              <w:spacing w:line="360" w:lineRule="auto"/>
              <w:jc w:val="center"/>
              <w:rPr>
                <w:rFonts w:ascii="宋体" w:hAnsi="宋体" w:cs="宋体"/>
                <w:color w:val="auto"/>
                <w:sz w:val="24"/>
                <w:highlight w:val="none"/>
              </w:rPr>
            </w:pPr>
          </w:p>
        </w:tc>
        <w:tc>
          <w:tcPr>
            <w:tcW w:w="706" w:type="pct"/>
            <w:tcBorders>
              <w:top w:val="single" w:color="auto" w:sz="4" w:space="0"/>
              <w:left w:val="nil"/>
              <w:bottom w:val="single" w:color="auto" w:sz="4" w:space="0"/>
              <w:right w:val="single" w:color="auto" w:sz="4" w:space="0"/>
            </w:tcBorders>
            <w:shd w:val="clear" w:color="auto" w:fill="auto"/>
            <w:vAlign w:val="center"/>
          </w:tcPr>
          <w:p w14:paraId="11D21BE8">
            <w:pPr>
              <w:autoSpaceDE w:val="0"/>
              <w:spacing w:line="360" w:lineRule="auto"/>
              <w:jc w:val="center"/>
              <w:rPr>
                <w:rFonts w:ascii="宋体" w:hAnsi="宋体" w:cs="宋体"/>
                <w:color w:val="auto"/>
                <w:sz w:val="24"/>
                <w:highlight w:val="none"/>
              </w:rPr>
            </w:pPr>
          </w:p>
        </w:tc>
      </w:tr>
      <w:tr w14:paraId="514681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3A87E443">
            <w:pPr>
              <w:autoSpaceDE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w:t>
            </w:r>
          </w:p>
        </w:tc>
        <w:tc>
          <w:tcPr>
            <w:tcW w:w="880" w:type="pct"/>
            <w:tcBorders>
              <w:top w:val="single" w:color="auto" w:sz="4" w:space="0"/>
              <w:left w:val="nil"/>
              <w:bottom w:val="single" w:color="auto" w:sz="4" w:space="0"/>
              <w:right w:val="single" w:color="auto" w:sz="4" w:space="0"/>
            </w:tcBorders>
            <w:shd w:val="clear" w:color="auto" w:fill="auto"/>
            <w:vAlign w:val="center"/>
          </w:tcPr>
          <w:p w14:paraId="155A02A8">
            <w:pPr>
              <w:autoSpaceDE w:val="0"/>
              <w:spacing w:line="360" w:lineRule="auto"/>
              <w:jc w:val="center"/>
              <w:rPr>
                <w:rFonts w:ascii="宋体" w:hAnsi="宋体" w:cs="宋体"/>
                <w:color w:val="auto"/>
                <w:sz w:val="24"/>
                <w:highlight w:val="none"/>
              </w:rPr>
            </w:pPr>
          </w:p>
        </w:tc>
        <w:tc>
          <w:tcPr>
            <w:tcW w:w="1534" w:type="pct"/>
            <w:tcBorders>
              <w:top w:val="single" w:color="auto" w:sz="4" w:space="0"/>
              <w:left w:val="nil"/>
              <w:bottom w:val="single" w:color="auto" w:sz="4" w:space="0"/>
              <w:right w:val="single" w:color="auto" w:sz="4" w:space="0"/>
            </w:tcBorders>
            <w:shd w:val="clear" w:color="auto" w:fill="auto"/>
            <w:vAlign w:val="center"/>
          </w:tcPr>
          <w:p w14:paraId="060D09D1">
            <w:pPr>
              <w:autoSpaceDE w:val="0"/>
              <w:spacing w:line="360" w:lineRule="auto"/>
              <w:jc w:val="center"/>
              <w:rPr>
                <w:rFonts w:ascii="宋体" w:hAnsi="宋体" w:cs="宋体"/>
                <w:color w:val="auto"/>
                <w:sz w:val="24"/>
                <w:highlight w:val="none"/>
              </w:rPr>
            </w:pPr>
          </w:p>
        </w:tc>
        <w:tc>
          <w:tcPr>
            <w:tcW w:w="1452" w:type="pct"/>
            <w:tcBorders>
              <w:top w:val="single" w:color="auto" w:sz="4" w:space="0"/>
              <w:left w:val="nil"/>
              <w:bottom w:val="single" w:color="auto" w:sz="4" w:space="0"/>
              <w:right w:val="single" w:color="auto" w:sz="4" w:space="0"/>
            </w:tcBorders>
            <w:shd w:val="clear" w:color="auto" w:fill="auto"/>
            <w:vAlign w:val="center"/>
          </w:tcPr>
          <w:p w14:paraId="60232363">
            <w:pPr>
              <w:autoSpaceDE w:val="0"/>
              <w:spacing w:line="360" w:lineRule="auto"/>
              <w:jc w:val="center"/>
              <w:rPr>
                <w:rFonts w:ascii="宋体" w:hAnsi="宋体" w:cs="宋体"/>
                <w:color w:val="auto"/>
                <w:sz w:val="24"/>
                <w:highlight w:val="none"/>
              </w:rPr>
            </w:pPr>
          </w:p>
        </w:tc>
        <w:tc>
          <w:tcPr>
            <w:tcW w:w="706" w:type="pct"/>
            <w:tcBorders>
              <w:top w:val="single" w:color="auto" w:sz="4" w:space="0"/>
              <w:left w:val="nil"/>
              <w:bottom w:val="single" w:color="auto" w:sz="4" w:space="0"/>
              <w:right w:val="single" w:color="auto" w:sz="4" w:space="0"/>
            </w:tcBorders>
            <w:shd w:val="clear" w:color="auto" w:fill="auto"/>
            <w:vAlign w:val="center"/>
          </w:tcPr>
          <w:p w14:paraId="0E8D312A">
            <w:pPr>
              <w:autoSpaceDE w:val="0"/>
              <w:spacing w:line="360" w:lineRule="auto"/>
              <w:jc w:val="center"/>
              <w:rPr>
                <w:rFonts w:ascii="宋体" w:hAnsi="宋体" w:cs="宋体"/>
                <w:color w:val="auto"/>
                <w:sz w:val="24"/>
                <w:highlight w:val="none"/>
              </w:rPr>
            </w:pPr>
          </w:p>
        </w:tc>
      </w:tr>
    </w:tbl>
    <w:p w14:paraId="63B71F15">
      <w:pPr>
        <w:autoSpaceDE w:val="0"/>
        <w:spacing w:line="360" w:lineRule="auto"/>
        <w:jc w:val="left"/>
        <w:rPr>
          <w:rFonts w:ascii="宋体" w:hAnsi="宋体" w:cs="宋体"/>
          <w:color w:val="auto"/>
          <w:sz w:val="24"/>
          <w:highlight w:val="none"/>
        </w:rPr>
      </w:pPr>
      <w:r>
        <w:rPr>
          <w:rFonts w:hint="eastAsia" w:ascii="宋体" w:hAnsi="宋体" w:cs="宋体"/>
          <w:color w:val="auto"/>
          <w:sz w:val="24"/>
          <w:highlight w:val="none"/>
          <w:lang w:bidi="ar"/>
        </w:rPr>
        <w:t>注：</w:t>
      </w:r>
    </w:p>
    <w:p w14:paraId="4C1F27EF">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1. 说明：应对照磋商文件“第三章 采购需求”中的技术需求逐条实质性响应，并作出偏离说明。</w:t>
      </w:r>
    </w:p>
    <w:p w14:paraId="22F347BD">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2.供应商应根据自身的承诺，对照磋商文件要求，在“偏离说明”中注明“正偏离</w:t>
      </w:r>
      <w:r>
        <w:rPr>
          <w:rFonts w:hint="eastAsia" w:ascii="宋体" w:hAnsi="宋体" w:cs="宋体"/>
          <w:color w:val="auto"/>
          <w:sz w:val="24"/>
          <w:highlight w:val="none"/>
          <w:lang w:eastAsia="zh-CN" w:bidi="ar"/>
        </w:rPr>
        <w:t>”“</w:t>
      </w:r>
      <w:r>
        <w:rPr>
          <w:rFonts w:hint="eastAsia" w:ascii="宋体" w:hAnsi="宋体" w:cs="宋体"/>
          <w:color w:val="auto"/>
          <w:sz w:val="24"/>
          <w:highlight w:val="none"/>
          <w:lang w:bidi="ar"/>
        </w:rPr>
        <w:t>负偏离”或者“无偏离”。既不属于“正偏离”也不属于“负偏离”即为“无偏离”。</w:t>
      </w:r>
    </w:p>
    <w:p w14:paraId="35853A23">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1B9F9035">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法定代表人或者委托代理人（签字或签章）：</w:t>
      </w:r>
    </w:p>
    <w:p w14:paraId="3E041798">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715F94DD">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5BACCA20">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无串通竞标行为的承诺函</w:t>
      </w:r>
    </w:p>
    <w:p w14:paraId="7C07B2EF">
      <w:pPr>
        <w:autoSpaceDE w:val="0"/>
        <w:spacing w:line="360" w:lineRule="auto"/>
        <w:ind w:firstLine="482" w:firstLineChars="200"/>
        <w:outlineLvl w:val="1"/>
        <w:rPr>
          <w:rFonts w:ascii="宋体" w:hAnsi="宋体" w:cs="宋体"/>
          <w:b/>
          <w:bCs/>
          <w:color w:val="auto"/>
          <w:sz w:val="24"/>
          <w:highlight w:val="none"/>
        </w:rPr>
      </w:pPr>
      <w:bookmarkStart w:id="79" w:name="_Toc21614"/>
      <w:bookmarkStart w:id="80" w:name="_Toc424"/>
      <w:r>
        <w:rPr>
          <w:rFonts w:hint="eastAsia" w:ascii="宋体" w:hAnsi="宋体" w:cs="宋体"/>
          <w:b/>
          <w:bCs/>
          <w:color w:val="auto"/>
          <w:sz w:val="24"/>
          <w:highlight w:val="none"/>
          <w:lang w:bidi="ar"/>
        </w:rPr>
        <w:t>一、我方承诺无下列相互串通竞标的情形：</w:t>
      </w:r>
      <w:bookmarkEnd w:id="79"/>
      <w:bookmarkEnd w:id="80"/>
    </w:p>
    <w:p w14:paraId="30E6879F">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1.不同供应商的响应文件由同一单位或者个人编制；或者不同供应商报名的IP地址一致的；</w:t>
      </w:r>
    </w:p>
    <w:p w14:paraId="4A230CD4">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2.不同供应商委托同一单位或者个人办理竞标事宜；</w:t>
      </w:r>
    </w:p>
    <w:p w14:paraId="2EE11F64">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3.不同供应商的响应文件载明的项目管理员为同一个人；</w:t>
      </w:r>
    </w:p>
    <w:p w14:paraId="062BFB3D">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4.不</w:t>
      </w:r>
      <w:r>
        <w:rPr>
          <w:rFonts w:hint="eastAsia" w:ascii="宋体" w:hAnsi="宋体" w:cs="宋体"/>
          <w:color w:val="auto"/>
          <w:spacing w:val="-6"/>
          <w:sz w:val="24"/>
          <w:highlight w:val="none"/>
          <w:lang w:bidi="ar"/>
        </w:rPr>
        <w:t>同供应商的响应文件异常一致或者竞标报价呈规律性差异；</w:t>
      </w:r>
    </w:p>
    <w:p w14:paraId="0518B479">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5.不同供应商的响应文件相互混装；</w:t>
      </w:r>
    </w:p>
    <w:p w14:paraId="5DED4803">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6.不同供应商的磋商保证金从同一单位或者个人账户转出。</w:t>
      </w:r>
    </w:p>
    <w:p w14:paraId="6E70185A">
      <w:pPr>
        <w:autoSpaceDE w:val="0"/>
        <w:spacing w:line="360" w:lineRule="auto"/>
        <w:ind w:firstLine="482" w:firstLineChars="200"/>
        <w:outlineLvl w:val="1"/>
        <w:rPr>
          <w:rFonts w:ascii="宋体" w:hAnsi="宋体" w:cs="宋体"/>
          <w:b/>
          <w:bCs/>
          <w:color w:val="auto"/>
          <w:sz w:val="24"/>
          <w:highlight w:val="none"/>
        </w:rPr>
      </w:pPr>
      <w:bookmarkStart w:id="81" w:name="_Toc21490"/>
      <w:bookmarkStart w:id="82" w:name="_Toc16298"/>
      <w:r>
        <w:rPr>
          <w:rFonts w:hint="eastAsia" w:ascii="宋体" w:hAnsi="宋体" w:cs="宋体"/>
          <w:b/>
          <w:bCs/>
          <w:color w:val="auto"/>
          <w:sz w:val="24"/>
          <w:highlight w:val="none"/>
          <w:lang w:bidi="ar"/>
        </w:rPr>
        <w:t>二、我方承诺无下列恶意串通的情形：</w:t>
      </w:r>
      <w:bookmarkEnd w:id="81"/>
      <w:bookmarkEnd w:id="82"/>
    </w:p>
    <w:p w14:paraId="1C1076B5">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1.供应商直接或者间接从采购人或者采购代理机构处获得其他供应商的相关信息并修改其响应文件；</w:t>
      </w:r>
    </w:p>
    <w:p w14:paraId="64AC5D8F">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2.供应商按照采购人或者采购代理机构的授意撤换、修改响应文件；</w:t>
      </w:r>
    </w:p>
    <w:p w14:paraId="4036621A">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3.供</w:t>
      </w:r>
      <w:r>
        <w:rPr>
          <w:rFonts w:hint="eastAsia" w:ascii="宋体" w:hAnsi="宋体" w:cs="宋体"/>
          <w:color w:val="auto"/>
          <w:spacing w:val="-6"/>
          <w:sz w:val="24"/>
          <w:highlight w:val="none"/>
          <w:lang w:bidi="ar"/>
        </w:rPr>
        <w:t>应商之间协商报价、技术方案等响应文件的实质性内容；</w:t>
      </w:r>
    </w:p>
    <w:p w14:paraId="65CC3582">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4.属于同一集团、协会、商会等组织成员的供应商按照该组织要求协同参加政府采购活动；</w:t>
      </w:r>
    </w:p>
    <w:p w14:paraId="6566C142">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5.供应商之间事先约定一致抬高或者压低竞标报价，或者在竞争性磋商项目中事先约定轮流以高价位或者低价位成交，或者事先约定由某一特定供应商成交，然后再参加竞标；</w:t>
      </w:r>
    </w:p>
    <w:p w14:paraId="379923FF">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6.供应商之间商定部分供应商放弃参加政府采购活动或者放弃成交；</w:t>
      </w:r>
    </w:p>
    <w:p w14:paraId="589CFFAF">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7.供应商与采购人或者采购代理机构之间、供应商相互之间，为</w:t>
      </w:r>
      <w:r>
        <w:rPr>
          <w:rFonts w:hint="eastAsia" w:ascii="宋体" w:hAnsi="宋体" w:cs="宋体"/>
          <w:color w:val="auto"/>
          <w:spacing w:val="-6"/>
          <w:sz w:val="24"/>
          <w:highlight w:val="none"/>
          <w:lang w:bidi="ar"/>
        </w:rPr>
        <w:t>谋求特定供应商成交或者排斥其他供应商的其他串通行为。</w:t>
      </w:r>
    </w:p>
    <w:p w14:paraId="61A445C5">
      <w:pPr>
        <w:autoSpaceDE w:val="0"/>
        <w:spacing w:line="360" w:lineRule="auto"/>
        <w:ind w:firstLine="482" w:firstLineChars="200"/>
        <w:rPr>
          <w:rFonts w:ascii="宋体" w:hAnsi="宋体" w:cs="宋体"/>
          <w:color w:val="auto"/>
          <w:sz w:val="24"/>
          <w:highlight w:val="none"/>
        </w:rPr>
      </w:pPr>
      <w:r>
        <w:rPr>
          <w:rFonts w:hint="eastAsia" w:ascii="宋体" w:hAnsi="宋体" w:cs="宋体"/>
          <w:b/>
          <w:bCs/>
          <w:color w:val="auto"/>
          <w:sz w:val="24"/>
          <w:highlight w:val="none"/>
          <w:lang w:bidi="ar"/>
        </w:rPr>
        <w:t>以上情形一经核查属实，我方愿意承担一切后果，并不再寻求任何旨在减轻或者免除法律责任的辩解。</w:t>
      </w:r>
    </w:p>
    <w:p w14:paraId="072532A3">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01CC3273">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04438388">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法定代表人证明书</w:t>
      </w:r>
    </w:p>
    <w:p w14:paraId="60487F0E">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供应商名称：</w:t>
      </w:r>
      <w:r>
        <w:rPr>
          <w:rFonts w:hint="eastAsia" w:ascii="宋体" w:hAnsi="宋体" w:cs="宋体"/>
          <w:color w:val="auto"/>
          <w:sz w:val="24"/>
          <w:highlight w:val="none"/>
          <w:u w:val="single"/>
          <w:lang w:bidi="ar"/>
        </w:rPr>
        <w:t xml:space="preserve">                                         </w:t>
      </w:r>
    </w:p>
    <w:p w14:paraId="40A88CCD">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地    址：</w:t>
      </w:r>
      <w:r>
        <w:rPr>
          <w:rFonts w:hint="eastAsia" w:ascii="宋体" w:hAnsi="宋体" w:cs="宋体"/>
          <w:color w:val="auto"/>
          <w:sz w:val="24"/>
          <w:highlight w:val="none"/>
          <w:u w:val="single"/>
          <w:lang w:bidi="ar"/>
        </w:rPr>
        <w:t xml:space="preserve">                                           </w:t>
      </w:r>
    </w:p>
    <w:p w14:paraId="61D8E00A">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姓    名：</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性     别：</w:t>
      </w:r>
      <w:r>
        <w:rPr>
          <w:rFonts w:hint="eastAsia" w:ascii="宋体" w:hAnsi="宋体" w:cs="宋体"/>
          <w:color w:val="auto"/>
          <w:sz w:val="24"/>
          <w:highlight w:val="none"/>
          <w:u w:val="single"/>
          <w:lang w:bidi="ar"/>
        </w:rPr>
        <w:t xml:space="preserve">                </w:t>
      </w:r>
    </w:p>
    <w:p w14:paraId="6CF85AAD">
      <w:pPr>
        <w:autoSpaceDE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lang w:bidi="ar"/>
        </w:rPr>
        <w:t>年    龄：</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职     务：</w:t>
      </w:r>
      <w:r>
        <w:rPr>
          <w:rFonts w:hint="eastAsia" w:ascii="宋体" w:hAnsi="宋体" w:cs="宋体"/>
          <w:color w:val="auto"/>
          <w:sz w:val="24"/>
          <w:highlight w:val="none"/>
          <w:u w:val="single"/>
          <w:lang w:bidi="ar"/>
        </w:rPr>
        <w:t xml:space="preserve">                </w:t>
      </w:r>
    </w:p>
    <w:p w14:paraId="12C0F845">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身份证号码：</w:t>
      </w:r>
      <w:r>
        <w:rPr>
          <w:rFonts w:hint="eastAsia" w:ascii="宋体" w:hAnsi="宋体" w:cs="宋体"/>
          <w:color w:val="auto"/>
          <w:sz w:val="24"/>
          <w:highlight w:val="none"/>
          <w:u w:val="single"/>
          <w:lang w:bidi="ar"/>
        </w:rPr>
        <w:t xml:space="preserve">                                         </w:t>
      </w:r>
    </w:p>
    <w:p w14:paraId="31E4E66D">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系</w:t>
      </w:r>
      <w:r>
        <w:rPr>
          <w:rFonts w:hint="eastAsia" w:ascii="宋体" w:hAnsi="宋体" w:cs="宋体"/>
          <w:color w:val="auto"/>
          <w:sz w:val="24"/>
          <w:highlight w:val="none"/>
          <w:u w:val="single"/>
          <w:lang w:bidi="ar"/>
        </w:rPr>
        <w:t>（供应商名称）</w:t>
      </w:r>
      <w:r>
        <w:rPr>
          <w:rFonts w:hint="eastAsia" w:ascii="宋体" w:hAnsi="宋体" w:cs="宋体"/>
          <w:color w:val="auto"/>
          <w:sz w:val="24"/>
          <w:highlight w:val="none"/>
          <w:lang w:bidi="ar"/>
        </w:rPr>
        <w:t>的法定代表人。</w:t>
      </w:r>
    </w:p>
    <w:p w14:paraId="49D9C5A8">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特此证明。</w:t>
      </w:r>
    </w:p>
    <w:p w14:paraId="62151284">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0F1D11A">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附件：法定代表人有效身份证正反面扫描件</w:t>
      </w:r>
    </w:p>
    <w:p w14:paraId="55903B77">
      <w:pPr>
        <w:autoSpaceDE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7AB80FE9">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220378C3">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110D3D8E">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3FB9E5BC">
      <w:pPr>
        <w:autoSpaceDE w:val="0"/>
        <w:spacing w:line="360" w:lineRule="auto"/>
        <w:jc w:val="left"/>
        <w:rPr>
          <w:rFonts w:ascii="宋体" w:hAnsi="宋体" w:cs="宋体"/>
          <w:color w:val="auto"/>
          <w:sz w:val="24"/>
          <w:highlight w:val="none"/>
        </w:rPr>
      </w:pPr>
      <w:r>
        <w:rPr>
          <w:rFonts w:hint="eastAsia" w:ascii="宋体" w:hAnsi="宋体" w:cs="宋体"/>
          <w:color w:val="auto"/>
          <w:sz w:val="24"/>
          <w:highlight w:val="none"/>
          <w:lang w:bidi="ar"/>
        </w:rPr>
        <w:t>注：1.自然人竞标的无需提供，联合体竞标的只需牵头人出具。</w:t>
      </w:r>
    </w:p>
    <w:p w14:paraId="276A8745">
      <w:pPr>
        <w:autoSpaceDE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bidi="ar"/>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04E663E">
      <w:pPr>
        <w:autoSpaceDE w:val="0"/>
        <w:spacing w:before="340" w:after="330" w:line="360" w:lineRule="auto"/>
        <w:jc w:val="center"/>
        <w:rPr>
          <w:rFonts w:ascii="宋体" w:hAnsi="宋体" w:cs="宋体"/>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法定代表人授权委托书（非联合体竞标格式）（如有委托时）</w:t>
      </w:r>
    </w:p>
    <w:p w14:paraId="371F87E1">
      <w:pPr>
        <w:spacing w:line="360" w:lineRule="auto"/>
        <w:rPr>
          <w:rFonts w:ascii="宋体" w:hAnsi="宋体" w:cs="宋体"/>
          <w:color w:val="auto"/>
          <w:sz w:val="24"/>
          <w:highlight w:val="none"/>
        </w:rPr>
      </w:pPr>
      <w:r>
        <w:rPr>
          <w:rFonts w:hint="eastAsia" w:ascii="宋体" w:hAnsi="宋体" w:cs="宋体"/>
          <w:color w:val="auto"/>
          <w:sz w:val="24"/>
          <w:highlight w:val="none"/>
          <w:lang w:bidi="ar"/>
        </w:rPr>
        <w:t>致：</w:t>
      </w:r>
      <w:r>
        <w:rPr>
          <w:rFonts w:hint="eastAsia" w:ascii="宋体" w:hAnsi="宋体" w:cs="宋体"/>
          <w:color w:val="auto"/>
          <w:sz w:val="24"/>
          <w:highlight w:val="none"/>
          <w:u w:val="single"/>
          <w:lang w:bidi="ar"/>
        </w:rPr>
        <w:t>（采购人名称）</w:t>
      </w:r>
      <w:r>
        <w:rPr>
          <w:rFonts w:hint="eastAsia" w:ascii="宋体" w:hAnsi="宋体" w:cs="宋体"/>
          <w:color w:val="auto"/>
          <w:sz w:val="24"/>
          <w:highlight w:val="none"/>
          <w:lang w:bidi="ar"/>
        </w:rPr>
        <w:t>：</w:t>
      </w:r>
    </w:p>
    <w:p w14:paraId="7B8C6A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我</w:t>
      </w:r>
      <w:r>
        <w:rPr>
          <w:rFonts w:hint="eastAsia" w:ascii="宋体" w:hAnsi="宋体" w:cs="宋体"/>
          <w:color w:val="auto"/>
          <w:sz w:val="24"/>
          <w:highlight w:val="none"/>
          <w:u w:val="single"/>
          <w:lang w:bidi="ar"/>
        </w:rPr>
        <w:t>（姓名）</w:t>
      </w:r>
      <w:r>
        <w:rPr>
          <w:rFonts w:hint="eastAsia" w:ascii="宋体" w:hAnsi="宋体" w:cs="宋体"/>
          <w:color w:val="auto"/>
          <w:sz w:val="24"/>
          <w:highlight w:val="none"/>
          <w:lang w:bidi="ar"/>
        </w:rPr>
        <w:t>系</w:t>
      </w:r>
      <w:r>
        <w:rPr>
          <w:rFonts w:hint="eastAsia" w:ascii="宋体" w:hAnsi="宋体" w:cs="宋体"/>
          <w:color w:val="auto"/>
          <w:sz w:val="24"/>
          <w:highlight w:val="none"/>
          <w:u w:val="single"/>
          <w:lang w:bidi="ar"/>
        </w:rPr>
        <w:t>（供应商名称）</w:t>
      </w:r>
      <w:r>
        <w:rPr>
          <w:rFonts w:hint="eastAsia" w:ascii="宋体" w:hAnsi="宋体" w:cs="宋体"/>
          <w:color w:val="auto"/>
          <w:sz w:val="24"/>
          <w:highlight w:val="none"/>
          <w:lang w:bidi="ar"/>
        </w:rPr>
        <w:t>的（</w:t>
      </w:r>
      <w:r>
        <w:rPr>
          <w:rFonts w:hint="eastAsia" w:ascii="宋体" w:hAnsi="宋体" w:cs="宋体"/>
          <w:color w:val="auto"/>
          <w:sz w:val="24"/>
          <w:highlight w:val="none"/>
          <w:u w:val="single"/>
          <w:lang w:bidi="ar"/>
        </w:rPr>
        <w:t>£法定代表人/□负责人/□自然人本人</w:t>
      </w:r>
      <w:r>
        <w:rPr>
          <w:rFonts w:hint="eastAsia" w:ascii="宋体" w:hAnsi="宋体" w:cs="宋体"/>
          <w:color w:val="auto"/>
          <w:sz w:val="24"/>
          <w:highlight w:val="none"/>
          <w:lang w:bidi="ar"/>
        </w:rPr>
        <w:t>），现授权</w:t>
      </w:r>
      <w:r>
        <w:rPr>
          <w:rFonts w:hint="eastAsia" w:ascii="宋体" w:hAnsi="宋体" w:cs="宋体"/>
          <w:color w:val="auto"/>
          <w:sz w:val="24"/>
          <w:highlight w:val="none"/>
          <w:u w:val="single"/>
          <w:lang w:bidi="ar"/>
        </w:rPr>
        <w:t>（姓名）</w:t>
      </w:r>
      <w:r>
        <w:rPr>
          <w:rFonts w:hint="eastAsia" w:ascii="宋体" w:hAnsi="宋体" w:cs="宋体"/>
          <w:color w:val="auto"/>
          <w:sz w:val="24"/>
          <w:highlight w:val="none"/>
          <w:lang w:bidi="ar"/>
        </w:rPr>
        <w:t>以我方的名义参加</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项目的竞标活动，并代表我方全权办理针对上述项目的所有采购程序和环节的具体事务和签署相关文件。</w:t>
      </w:r>
    </w:p>
    <w:p w14:paraId="74913D40">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我方对委托代理人的签字事项负全部责任。</w:t>
      </w:r>
    </w:p>
    <w:p w14:paraId="7E1C4E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本授权书自签署之日起生效，在撤销授权的书面通知以前，本授权书一直有效。委托代理人在授权书有效期内签署的所有文件不因授权的撤销而失效。</w:t>
      </w:r>
    </w:p>
    <w:p w14:paraId="1F389D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委托代理人无转委托权，特此委托。</w:t>
      </w:r>
    </w:p>
    <w:p w14:paraId="3DBF9F8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附：法定代表人身份证明书及委托代理人有效身份证正反面扫描件</w:t>
      </w:r>
    </w:p>
    <w:p w14:paraId="2CDB17A9">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6E41D9D">
      <w:pPr>
        <w:spacing w:line="360" w:lineRule="auto"/>
        <w:rPr>
          <w:rFonts w:ascii="宋体" w:hAnsi="宋体" w:cs="宋体"/>
          <w:color w:val="auto"/>
          <w:sz w:val="24"/>
          <w:highlight w:val="none"/>
        </w:rPr>
      </w:pPr>
      <w:r>
        <w:rPr>
          <w:rFonts w:hint="eastAsia" w:ascii="宋体" w:hAnsi="宋体" w:cs="宋体"/>
          <w:color w:val="auto"/>
          <w:sz w:val="24"/>
          <w:highlight w:val="none"/>
          <w:lang w:bidi="ar"/>
        </w:rPr>
        <w:t>委托代理人（签字或签章）：         法定代表人（签字或签章）：</w:t>
      </w:r>
    </w:p>
    <w:p w14:paraId="4E3A9959">
      <w:pPr>
        <w:spacing w:line="360" w:lineRule="auto"/>
        <w:rPr>
          <w:rFonts w:ascii="宋体" w:hAnsi="宋体" w:cs="宋体"/>
          <w:color w:val="auto"/>
          <w:sz w:val="24"/>
          <w:highlight w:val="none"/>
        </w:rPr>
      </w:pPr>
      <w:r>
        <w:rPr>
          <w:rFonts w:hint="eastAsia" w:ascii="宋体" w:hAnsi="宋体" w:cs="宋体"/>
          <w:color w:val="auto"/>
          <w:sz w:val="24"/>
          <w:highlight w:val="none"/>
          <w:lang w:bidi="ar"/>
        </w:rPr>
        <w:t>委托代理人身份证号码：</w:t>
      </w:r>
    </w:p>
    <w:p w14:paraId="269588E4">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59F2C30F">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供应商（电子签章）：</w:t>
      </w:r>
    </w:p>
    <w:p w14:paraId="5495AFF9">
      <w:pPr>
        <w:autoSpaceDE w:val="0"/>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lang w:bidi="ar"/>
        </w:rPr>
        <w:t>日期：   年   月   日</w:t>
      </w:r>
    </w:p>
    <w:p w14:paraId="7BD0A1FD">
      <w:pPr>
        <w:spacing w:line="360" w:lineRule="auto"/>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82988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bidi="ar"/>
        </w:rPr>
        <w:t>注：供应商为其他组织或者自然人时，本磋商文件规定的法定代表人指负责人或者自然人。本磋商文件所称负责人是指参加竞标的其他组织营业执照上的负责人，本磋商文件所称自然人指参与竞标的自然人本人。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B0C97F8">
      <w:pPr>
        <w:autoSpaceDE w:val="0"/>
        <w:spacing w:before="340" w:after="330" w:line="360" w:lineRule="auto"/>
        <w:jc w:val="center"/>
        <w:rPr>
          <w:b/>
          <w:bCs/>
          <w:color w:val="auto"/>
          <w:sz w:val="44"/>
          <w:szCs w:val="44"/>
          <w:highlight w:val="none"/>
        </w:rPr>
      </w:pPr>
      <w:r>
        <w:rPr>
          <w:rFonts w:hint="eastAsia" w:ascii="宋体" w:hAnsi="宋体" w:cs="宋体"/>
          <w:color w:val="auto"/>
          <w:sz w:val="24"/>
          <w:highlight w:val="none"/>
          <w:lang w:bidi="ar"/>
        </w:rPr>
        <w:br w:type="page"/>
      </w:r>
      <w:r>
        <w:rPr>
          <w:rFonts w:hint="eastAsia" w:ascii="宋体" w:hAnsi="宋体" w:cs="宋体"/>
          <w:b/>
          <w:bCs/>
          <w:color w:val="auto"/>
          <w:sz w:val="44"/>
          <w:szCs w:val="44"/>
          <w:highlight w:val="none"/>
          <w:lang w:bidi="ar"/>
        </w:rPr>
        <w:t>拟投入人员情况表</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421"/>
        <w:gridCol w:w="1356"/>
        <w:gridCol w:w="1543"/>
        <w:gridCol w:w="2327"/>
        <w:gridCol w:w="801"/>
        <w:gridCol w:w="801"/>
      </w:tblGrid>
      <w:tr w14:paraId="0369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14:paraId="4246357D">
            <w:pPr>
              <w:spacing w:line="360" w:lineRule="auto"/>
              <w:jc w:val="center"/>
              <w:rPr>
                <w:rFonts w:ascii="宋体" w:hAnsi="宋体" w:cs="宋体"/>
                <w:color w:val="auto"/>
                <w:sz w:val="24"/>
                <w:highlight w:val="none"/>
                <w:lang w:bidi="ar"/>
              </w:rPr>
            </w:pPr>
            <w:r>
              <w:rPr>
                <w:rFonts w:hint="eastAsia" w:ascii="宋体" w:hAnsi="宋体" w:cs="宋体"/>
                <w:color w:val="auto"/>
                <w:sz w:val="24"/>
                <w:highlight w:val="none"/>
                <w:lang w:bidi="ar"/>
              </w:rPr>
              <w:t>序号</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1B96D70F">
            <w:pPr>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姓名</w:t>
            </w:r>
          </w:p>
        </w:tc>
        <w:tc>
          <w:tcPr>
            <w:tcW w:w="733" w:type="pct"/>
            <w:tcBorders>
              <w:top w:val="single" w:color="auto" w:sz="4" w:space="0"/>
              <w:left w:val="single" w:color="auto" w:sz="4" w:space="0"/>
              <w:bottom w:val="single" w:color="auto" w:sz="4" w:space="0"/>
              <w:right w:val="single" w:color="auto" w:sz="4" w:space="0"/>
            </w:tcBorders>
            <w:shd w:val="clear" w:color="auto" w:fill="auto"/>
            <w:vAlign w:val="center"/>
          </w:tcPr>
          <w:p w14:paraId="41FB68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职务</w:t>
            </w:r>
          </w:p>
        </w:tc>
        <w:tc>
          <w:tcPr>
            <w:tcW w:w="834" w:type="pct"/>
            <w:tcBorders>
              <w:top w:val="single" w:color="auto" w:sz="4" w:space="0"/>
              <w:left w:val="single" w:color="auto" w:sz="4" w:space="0"/>
              <w:bottom w:val="single" w:color="auto" w:sz="4" w:space="0"/>
              <w:right w:val="single" w:color="auto" w:sz="4" w:space="0"/>
            </w:tcBorders>
            <w:shd w:val="clear" w:color="auto" w:fill="auto"/>
            <w:vAlign w:val="center"/>
          </w:tcPr>
          <w:p w14:paraId="46ACD854">
            <w:pPr>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职称</w:t>
            </w:r>
          </w:p>
        </w:tc>
        <w:tc>
          <w:tcPr>
            <w:tcW w:w="1258" w:type="pct"/>
            <w:tcBorders>
              <w:top w:val="single" w:color="auto" w:sz="4" w:space="0"/>
              <w:left w:val="single" w:color="auto" w:sz="4" w:space="0"/>
              <w:bottom w:val="single" w:color="auto" w:sz="4" w:space="0"/>
              <w:right w:val="single" w:color="auto" w:sz="4" w:space="0"/>
            </w:tcBorders>
            <w:shd w:val="clear" w:color="auto" w:fill="auto"/>
            <w:vAlign w:val="center"/>
          </w:tcPr>
          <w:p w14:paraId="042AC3D1">
            <w:pPr>
              <w:spacing w:line="360" w:lineRule="auto"/>
              <w:jc w:val="center"/>
              <w:rPr>
                <w:rFonts w:ascii="宋体" w:hAnsi="宋体" w:cs="宋体"/>
                <w:color w:val="auto"/>
                <w:sz w:val="24"/>
                <w:highlight w:val="none"/>
              </w:rPr>
            </w:pPr>
            <w:r>
              <w:rPr>
                <w:rFonts w:hint="eastAsia" w:ascii="宋体" w:hAnsi="宋体" w:cs="宋体"/>
                <w:color w:val="auto"/>
                <w:sz w:val="24"/>
                <w:highlight w:val="none"/>
                <w:lang w:bidi="ar"/>
              </w:rPr>
              <w:t>证书名称</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2E8D904D">
            <w:pPr>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bidi="ar"/>
              </w:rPr>
              <w:t>专业</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4D060504">
            <w:pPr>
              <w:spacing w:line="360" w:lineRule="auto"/>
              <w:jc w:val="center"/>
              <w:rPr>
                <w:rFonts w:hint="eastAsia" w:ascii="宋体" w:hAnsi="宋体" w:cs="宋体"/>
                <w:color w:val="auto"/>
                <w:sz w:val="24"/>
                <w:highlight w:val="none"/>
                <w:lang w:bidi="ar"/>
              </w:rPr>
            </w:pPr>
            <w:r>
              <w:rPr>
                <w:rFonts w:hint="eastAsia" w:ascii="宋体" w:hAnsi="宋体" w:cs="宋体"/>
                <w:color w:val="auto"/>
                <w:sz w:val="24"/>
                <w:highlight w:val="none"/>
                <w:lang w:bidi="ar"/>
              </w:rPr>
              <w:t>备注</w:t>
            </w:r>
          </w:p>
        </w:tc>
      </w:tr>
      <w:tr w14:paraId="21A8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14:paraId="6CEB2411">
            <w:pPr>
              <w:spacing w:line="360" w:lineRule="auto"/>
              <w:jc w:val="center"/>
              <w:rPr>
                <w:rFonts w:ascii="宋体" w:hAnsi="宋体" w:cs="宋体"/>
                <w:color w:val="auto"/>
                <w:sz w:val="24"/>
                <w:highlight w:val="none"/>
              </w:rPr>
            </w:pP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4B93044C">
            <w:pPr>
              <w:spacing w:line="360" w:lineRule="auto"/>
              <w:jc w:val="center"/>
              <w:rPr>
                <w:rFonts w:ascii="宋体" w:hAnsi="宋体" w:cs="宋体"/>
                <w:color w:val="auto"/>
                <w:sz w:val="24"/>
                <w:highlight w:val="none"/>
              </w:rPr>
            </w:pPr>
          </w:p>
        </w:tc>
        <w:tc>
          <w:tcPr>
            <w:tcW w:w="733" w:type="pct"/>
            <w:tcBorders>
              <w:top w:val="single" w:color="auto" w:sz="4" w:space="0"/>
              <w:left w:val="single" w:color="auto" w:sz="4" w:space="0"/>
              <w:bottom w:val="single" w:color="auto" w:sz="4" w:space="0"/>
              <w:right w:val="single" w:color="auto" w:sz="4" w:space="0"/>
            </w:tcBorders>
            <w:shd w:val="clear" w:color="auto" w:fill="auto"/>
            <w:vAlign w:val="center"/>
          </w:tcPr>
          <w:p w14:paraId="4F591C4A">
            <w:pPr>
              <w:spacing w:line="360" w:lineRule="auto"/>
              <w:jc w:val="center"/>
              <w:rPr>
                <w:rFonts w:ascii="宋体" w:hAnsi="宋体" w:cs="宋体"/>
                <w:color w:val="auto"/>
                <w:sz w:val="24"/>
                <w:highlight w:val="none"/>
              </w:rPr>
            </w:pPr>
          </w:p>
        </w:tc>
        <w:tc>
          <w:tcPr>
            <w:tcW w:w="834" w:type="pct"/>
            <w:tcBorders>
              <w:top w:val="single" w:color="auto" w:sz="4" w:space="0"/>
              <w:left w:val="single" w:color="auto" w:sz="4" w:space="0"/>
              <w:bottom w:val="single" w:color="auto" w:sz="4" w:space="0"/>
              <w:right w:val="single" w:color="auto" w:sz="4" w:space="0"/>
            </w:tcBorders>
            <w:shd w:val="clear" w:color="auto" w:fill="auto"/>
            <w:vAlign w:val="center"/>
          </w:tcPr>
          <w:p w14:paraId="3B657760">
            <w:pPr>
              <w:spacing w:line="360" w:lineRule="auto"/>
              <w:jc w:val="center"/>
              <w:rPr>
                <w:rFonts w:ascii="宋体" w:hAnsi="宋体" w:cs="宋体"/>
                <w:color w:val="auto"/>
                <w:sz w:val="24"/>
                <w:highlight w:val="none"/>
              </w:rPr>
            </w:pPr>
          </w:p>
        </w:tc>
        <w:tc>
          <w:tcPr>
            <w:tcW w:w="1258" w:type="pct"/>
            <w:tcBorders>
              <w:top w:val="single" w:color="auto" w:sz="4" w:space="0"/>
              <w:left w:val="single" w:color="auto" w:sz="4" w:space="0"/>
              <w:bottom w:val="single" w:color="auto" w:sz="4" w:space="0"/>
              <w:right w:val="single" w:color="auto" w:sz="4" w:space="0"/>
            </w:tcBorders>
            <w:shd w:val="clear" w:color="auto" w:fill="auto"/>
            <w:vAlign w:val="center"/>
          </w:tcPr>
          <w:p w14:paraId="4A568A80">
            <w:pPr>
              <w:spacing w:line="360" w:lineRule="auto"/>
              <w:jc w:val="center"/>
              <w:rPr>
                <w:rFonts w:ascii="宋体" w:hAnsi="宋体" w:cs="宋体"/>
                <w:color w:val="auto"/>
                <w:sz w:val="24"/>
                <w:highlight w:val="none"/>
              </w:rPr>
            </w:pP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608B7EF4">
            <w:pPr>
              <w:spacing w:line="360" w:lineRule="auto"/>
              <w:jc w:val="center"/>
              <w:rPr>
                <w:rFonts w:ascii="宋体" w:hAnsi="宋体" w:cs="宋体"/>
                <w:color w:val="auto"/>
                <w:sz w:val="24"/>
                <w:highlight w:val="none"/>
              </w:rPr>
            </w:pP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0CB5C7B0">
            <w:pPr>
              <w:spacing w:line="360" w:lineRule="auto"/>
              <w:jc w:val="center"/>
              <w:rPr>
                <w:rFonts w:ascii="宋体" w:hAnsi="宋体" w:cs="宋体"/>
                <w:color w:val="auto"/>
                <w:sz w:val="24"/>
                <w:highlight w:val="none"/>
              </w:rPr>
            </w:pPr>
          </w:p>
        </w:tc>
      </w:tr>
      <w:tr w14:paraId="5EE9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14:paraId="046E8A1D">
            <w:pPr>
              <w:spacing w:line="360" w:lineRule="auto"/>
              <w:jc w:val="center"/>
              <w:rPr>
                <w:rFonts w:ascii="宋体" w:hAnsi="宋体" w:cs="宋体"/>
                <w:color w:val="auto"/>
                <w:sz w:val="24"/>
                <w:highlight w:val="none"/>
              </w:rPr>
            </w:pP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07024937">
            <w:pPr>
              <w:spacing w:line="360" w:lineRule="auto"/>
              <w:jc w:val="center"/>
              <w:rPr>
                <w:rFonts w:ascii="宋体" w:hAnsi="宋体" w:cs="宋体"/>
                <w:color w:val="auto"/>
                <w:sz w:val="24"/>
                <w:highlight w:val="none"/>
              </w:rPr>
            </w:pPr>
          </w:p>
        </w:tc>
        <w:tc>
          <w:tcPr>
            <w:tcW w:w="733" w:type="pct"/>
            <w:tcBorders>
              <w:top w:val="single" w:color="auto" w:sz="4" w:space="0"/>
              <w:left w:val="single" w:color="auto" w:sz="4" w:space="0"/>
              <w:bottom w:val="single" w:color="auto" w:sz="4" w:space="0"/>
              <w:right w:val="single" w:color="auto" w:sz="4" w:space="0"/>
            </w:tcBorders>
            <w:shd w:val="clear" w:color="auto" w:fill="auto"/>
            <w:vAlign w:val="center"/>
          </w:tcPr>
          <w:p w14:paraId="10011781">
            <w:pPr>
              <w:spacing w:line="360" w:lineRule="auto"/>
              <w:jc w:val="center"/>
              <w:rPr>
                <w:rFonts w:ascii="宋体" w:hAnsi="宋体" w:cs="宋体"/>
                <w:color w:val="auto"/>
                <w:sz w:val="24"/>
                <w:highlight w:val="none"/>
              </w:rPr>
            </w:pPr>
          </w:p>
        </w:tc>
        <w:tc>
          <w:tcPr>
            <w:tcW w:w="834" w:type="pct"/>
            <w:tcBorders>
              <w:top w:val="single" w:color="auto" w:sz="4" w:space="0"/>
              <w:left w:val="single" w:color="auto" w:sz="4" w:space="0"/>
              <w:bottom w:val="single" w:color="auto" w:sz="4" w:space="0"/>
              <w:right w:val="single" w:color="auto" w:sz="4" w:space="0"/>
            </w:tcBorders>
            <w:shd w:val="clear" w:color="auto" w:fill="auto"/>
            <w:vAlign w:val="center"/>
          </w:tcPr>
          <w:p w14:paraId="70AEE61B">
            <w:pPr>
              <w:spacing w:line="360" w:lineRule="auto"/>
              <w:jc w:val="center"/>
              <w:rPr>
                <w:rFonts w:ascii="宋体" w:hAnsi="宋体" w:cs="宋体"/>
                <w:color w:val="auto"/>
                <w:sz w:val="24"/>
                <w:highlight w:val="none"/>
              </w:rPr>
            </w:pPr>
          </w:p>
        </w:tc>
        <w:tc>
          <w:tcPr>
            <w:tcW w:w="1258" w:type="pct"/>
            <w:tcBorders>
              <w:top w:val="single" w:color="auto" w:sz="4" w:space="0"/>
              <w:left w:val="single" w:color="auto" w:sz="4" w:space="0"/>
              <w:bottom w:val="single" w:color="auto" w:sz="4" w:space="0"/>
              <w:right w:val="single" w:color="auto" w:sz="4" w:space="0"/>
            </w:tcBorders>
            <w:shd w:val="clear" w:color="auto" w:fill="auto"/>
            <w:vAlign w:val="center"/>
          </w:tcPr>
          <w:p w14:paraId="00ED9B0B">
            <w:pPr>
              <w:spacing w:line="360" w:lineRule="auto"/>
              <w:jc w:val="center"/>
              <w:rPr>
                <w:rFonts w:ascii="宋体" w:hAnsi="宋体" w:cs="宋体"/>
                <w:color w:val="auto"/>
                <w:sz w:val="24"/>
                <w:highlight w:val="none"/>
              </w:rPr>
            </w:pP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6F71AE9E">
            <w:pPr>
              <w:spacing w:line="360" w:lineRule="auto"/>
              <w:jc w:val="center"/>
              <w:rPr>
                <w:rFonts w:ascii="宋体" w:hAnsi="宋体" w:cs="宋体"/>
                <w:color w:val="auto"/>
                <w:sz w:val="24"/>
                <w:highlight w:val="none"/>
              </w:rPr>
            </w:pP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2825FAD5">
            <w:pPr>
              <w:spacing w:line="360" w:lineRule="auto"/>
              <w:jc w:val="center"/>
              <w:rPr>
                <w:rFonts w:ascii="宋体" w:hAnsi="宋体" w:cs="宋体"/>
                <w:color w:val="auto"/>
                <w:sz w:val="24"/>
                <w:highlight w:val="none"/>
              </w:rPr>
            </w:pPr>
          </w:p>
        </w:tc>
      </w:tr>
      <w:tr w14:paraId="541A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14:paraId="228A7E7F">
            <w:pPr>
              <w:spacing w:line="360" w:lineRule="auto"/>
              <w:jc w:val="center"/>
              <w:rPr>
                <w:rFonts w:ascii="宋体" w:hAnsi="宋体" w:cs="宋体"/>
                <w:color w:val="auto"/>
                <w:sz w:val="24"/>
                <w:highlight w:val="none"/>
                <w:lang w:bidi="ar"/>
              </w:rPr>
            </w:pPr>
            <w:r>
              <w:rPr>
                <w:rFonts w:hint="eastAsia" w:ascii="宋体" w:hAnsi="宋体" w:cs="宋体"/>
                <w:color w:val="auto"/>
                <w:sz w:val="24"/>
                <w:highlight w:val="none"/>
                <w:lang w:bidi="ar"/>
              </w:rPr>
              <w:t>…</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3A31B2C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733" w:type="pct"/>
            <w:tcBorders>
              <w:top w:val="single" w:color="auto" w:sz="4" w:space="0"/>
              <w:left w:val="single" w:color="auto" w:sz="4" w:space="0"/>
              <w:bottom w:val="single" w:color="auto" w:sz="4" w:space="0"/>
              <w:right w:val="single" w:color="auto" w:sz="4" w:space="0"/>
            </w:tcBorders>
            <w:shd w:val="clear" w:color="auto" w:fill="auto"/>
            <w:vAlign w:val="center"/>
          </w:tcPr>
          <w:p w14:paraId="57197C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834" w:type="pct"/>
            <w:tcBorders>
              <w:top w:val="single" w:color="auto" w:sz="4" w:space="0"/>
              <w:left w:val="single" w:color="auto" w:sz="4" w:space="0"/>
              <w:bottom w:val="single" w:color="auto" w:sz="4" w:space="0"/>
              <w:right w:val="single" w:color="auto" w:sz="4" w:space="0"/>
            </w:tcBorders>
            <w:shd w:val="clear" w:color="auto" w:fill="auto"/>
            <w:vAlign w:val="center"/>
          </w:tcPr>
          <w:p w14:paraId="47D1DB0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258" w:type="pct"/>
            <w:tcBorders>
              <w:top w:val="single" w:color="auto" w:sz="4" w:space="0"/>
              <w:left w:val="single" w:color="auto" w:sz="4" w:space="0"/>
              <w:bottom w:val="single" w:color="auto" w:sz="4" w:space="0"/>
              <w:right w:val="single" w:color="auto" w:sz="4" w:space="0"/>
            </w:tcBorders>
            <w:shd w:val="clear" w:color="auto" w:fill="auto"/>
            <w:vAlign w:val="center"/>
          </w:tcPr>
          <w:p w14:paraId="1748E01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27601D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433" w:type="pct"/>
            <w:tcBorders>
              <w:top w:val="single" w:color="auto" w:sz="4" w:space="0"/>
              <w:left w:val="single" w:color="auto" w:sz="4" w:space="0"/>
              <w:bottom w:val="single" w:color="auto" w:sz="4" w:space="0"/>
              <w:right w:val="single" w:color="auto" w:sz="4" w:space="0"/>
            </w:tcBorders>
            <w:shd w:val="clear" w:color="auto" w:fill="auto"/>
            <w:vAlign w:val="center"/>
          </w:tcPr>
          <w:p w14:paraId="17B4BFAA">
            <w:pPr>
              <w:spacing w:line="360" w:lineRule="auto"/>
              <w:jc w:val="center"/>
              <w:rPr>
                <w:rFonts w:hint="eastAsia" w:ascii="宋体" w:hAnsi="宋体" w:cs="宋体"/>
                <w:color w:val="auto"/>
                <w:sz w:val="24"/>
                <w:highlight w:val="none"/>
              </w:rPr>
            </w:pPr>
          </w:p>
        </w:tc>
      </w:tr>
    </w:tbl>
    <w:p w14:paraId="71859CC0">
      <w:pPr>
        <w:spacing w:line="360" w:lineRule="auto"/>
        <w:ind w:firstLine="470" w:firstLineChars="196"/>
        <w:rPr>
          <w:rFonts w:hint="eastAsia" w:ascii="宋体" w:hAnsi="宋体" w:cs="宋体"/>
          <w:color w:val="auto"/>
          <w:sz w:val="24"/>
          <w:highlight w:val="none"/>
          <w:lang w:bidi="ar"/>
        </w:rPr>
      </w:pPr>
      <w:r>
        <w:rPr>
          <w:rFonts w:hint="eastAsia" w:ascii="宋体" w:hAnsi="宋体" w:cs="宋体"/>
          <w:color w:val="auto"/>
          <w:sz w:val="24"/>
          <w:highlight w:val="none"/>
          <w:lang w:bidi="ar"/>
        </w:rPr>
        <w:t>注：提供相关证书扫描件。</w:t>
      </w:r>
    </w:p>
    <w:p w14:paraId="4E4CB5AF">
      <w:pPr>
        <w:spacing w:line="360" w:lineRule="auto"/>
        <w:ind w:firstLine="0" w:firstLineChars="0"/>
        <w:rPr>
          <w:rFonts w:hint="eastAsia" w:ascii="宋体" w:hAnsi="宋体" w:cs="宋体"/>
          <w:color w:val="auto"/>
          <w:sz w:val="24"/>
          <w:highlight w:val="none"/>
          <w:lang w:bidi="ar"/>
        </w:rPr>
      </w:pPr>
      <w:r>
        <w:rPr>
          <w:rFonts w:hint="eastAsia" w:ascii="宋体" w:hAnsi="宋体" w:cs="宋体"/>
          <w:color w:val="auto"/>
          <w:sz w:val="24"/>
          <w:highlight w:val="none"/>
          <w:lang w:bidi="ar"/>
        </w:rPr>
        <w:br w:type="page"/>
      </w:r>
    </w:p>
    <w:p w14:paraId="24AE0B79">
      <w:pPr>
        <w:pStyle w:val="2"/>
        <w:spacing w:line="360" w:lineRule="auto"/>
        <w:jc w:val="center"/>
        <w:rPr>
          <w:rFonts w:ascii="宋体" w:hAnsi="宋体" w:cs="宋体"/>
          <w:color w:val="auto"/>
          <w:highlight w:val="none"/>
        </w:rPr>
      </w:pPr>
      <w:bookmarkStart w:id="83" w:name="_Toc5279"/>
      <w:bookmarkStart w:id="84" w:name="_Toc9980"/>
      <w:r>
        <w:rPr>
          <w:rFonts w:hint="eastAsia" w:ascii="宋体" w:hAnsi="宋体" w:cs="宋体"/>
          <w:color w:val="auto"/>
          <w:highlight w:val="none"/>
        </w:rPr>
        <w:t>第六章 合同文本</w:t>
      </w:r>
      <w:bookmarkEnd w:id="83"/>
      <w:bookmarkEnd w:id="84"/>
    </w:p>
    <w:p w14:paraId="75D3CDC5">
      <w:pPr>
        <w:spacing w:line="360" w:lineRule="auto"/>
        <w:rPr>
          <w:rFonts w:ascii="宋体" w:hAnsi="宋体" w:cs="宋体"/>
          <w:b/>
          <w:color w:val="auto"/>
          <w:sz w:val="32"/>
          <w:szCs w:val="32"/>
          <w:highlight w:val="none"/>
        </w:rPr>
      </w:pPr>
    </w:p>
    <w:p w14:paraId="026EF42D">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lang w:val="en-US" w:eastAsia="zh-CN"/>
        </w:rPr>
        <w:t xml:space="preserve">                                       </w:t>
      </w:r>
      <w:r>
        <w:rPr>
          <w:rFonts w:hint="eastAsia" w:ascii="宋体" w:hAnsi="宋体" w:cs="宋体"/>
          <w:bCs/>
          <w:color w:val="auto"/>
          <w:szCs w:val="21"/>
          <w:highlight w:val="none"/>
        </w:rPr>
        <w:t>合同编号：</w:t>
      </w:r>
    </w:p>
    <w:p w14:paraId="69D97AB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采购人（甲方）：   </w:t>
      </w:r>
    </w:p>
    <w:p w14:paraId="4A9E8D8D">
      <w:pPr>
        <w:spacing w:line="360" w:lineRule="auto"/>
        <w:rPr>
          <w:rFonts w:ascii="宋体" w:hAnsi="宋体" w:cs="宋体"/>
          <w:color w:val="auto"/>
          <w:szCs w:val="21"/>
          <w:highlight w:val="none"/>
          <w:u w:val="single"/>
        </w:rPr>
      </w:pP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供应商（乙方）：</w:t>
      </w:r>
    </w:p>
    <w:p w14:paraId="1E9F6B11">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项目名称：   项目编号：</w:t>
      </w:r>
    </w:p>
    <w:p w14:paraId="7A93C0F1">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签订地点：   签订时间：</w:t>
      </w:r>
    </w:p>
    <w:p w14:paraId="4E63999D">
      <w:pPr>
        <w:spacing w:line="360" w:lineRule="auto"/>
        <w:ind w:firstLine="420" w:firstLineChars="200"/>
        <w:rPr>
          <w:rFonts w:ascii="宋体" w:hAnsi="宋体" w:cs="宋体"/>
          <w:color w:val="auto"/>
          <w:szCs w:val="21"/>
          <w:highlight w:val="none"/>
        </w:rPr>
      </w:pPr>
    </w:p>
    <w:p w14:paraId="508194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根据《中华人民共和国政府采购法》《中华人民共和国民法典（合同编）》等法律法规规定，按照磋商文件规定条款和乙方响应文件及其承诺，甲乙双方签订本合同。</w:t>
      </w:r>
    </w:p>
    <w:p w14:paraId="4AA6AEE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312640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项目一览表</w:t>
      </w:r>
    </w:p>
    <w:tbl>
      <w:tblPr>
        <w:tblStyle w:val="3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44EB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ign w:val="center"/>
          </w:tcPr>
          <w:p w14:paraId="1764875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ign w:val="center"/>
          </w:tcPr>
          <w:p w14:paraId="0F418AD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ign w:val="center"/>
          </w:tcPr>
          <w:p w14:paraId="6C27E9C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ign w:val="center"/>
          </w:tcPr>
          <w:p w14:paraId="5D0158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ign w:val="center"/>
          </w:tcPr>
          <w:p w14:paraId="0822BEB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ign w:val="center"/>
          </w:tcPr>
          <w:p w14:paraId="2B863C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45109AD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ign w:val="center"/>
          </w:tcPr>
          <w:p w14:paraId="26A1EE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总  价</w:t>
            </w:r>
          </w:p>
          <w:p w14:paraId="1499AA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02A4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ign w:val="center"/>
          </w:tcPr>
          <w:p w14:paraId="60224E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详见报价表</w:t>
            </w:r>
          </w:p>
        </w:tc>
      </w:tr>
      <w:tr w14:paraId="7F5C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ign w:val="center"/>
          </w:tcPr>
          <w:p w14:paraId="02E60AAF">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人民币合计金额（大写）：元整（¥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tc>
      </w:tr>
    </w:tbl>
    <w:p w14:paraId="4521FB18">
      <w:pPr>
        <w:pStyle w:val="13"/>
        <w:numPr>
          <w:ilvl w:val="0"/>
          <w:numId w:val="5"/>
        </w:numPr>
        <w:spacing w:after="0" w:line="360" w:lineRule="auto"/>
        <w:ind w:firstLine="420" w:firstLineChars="200"/>
        <w:rPr>
          <w:color w:val="auto"/>
          <w:highlight w:val="none"/>
        </w:rPr>
      </w:pPr>
      <w:r>
        <w:rPr>
          <w:rFonts w:hint="eastAsia" w:ascii="宋体" w:hAnsi="宋体" w:cs="宋体"/>
          <w:color w:val="auto"/>
          <w:szCs w:val="21"/>
          <w:highlight w:val="none"/>
        </w:rPr>
        <w:t>合同合计金额包含但不限于完成本项目所有工作任务所需的一切费用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含完成合同项目过程中所需的劳务、材料、设备、仪器、运输、协调、咨询、管理、保险、税费、利润培训等费用，以及合同中约定的所有责任、义务和一般风险等的一切费用</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2FA23EE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723504BC">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720027DE">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48E52749">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乙方应保证所提供服务在使用时不会侵犯任何第三方的专利权、商标权、工业设计权等知识产权及其他合法权利，且所有权、处分权等没有受到任何限制。</w:t>
      </w:r>
    </w:p>
    <w:p w14:paraId="6DC26BE2">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11204103">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w:t>
      </w:r>
      <w:r>
        <w:rPr>
          <w:rFonts w:hint="eastAsia" w:ascii="宋体" w:hAnsi="宋体" w:cs="宋体"/>
          <w:b/>
          <w:color w:val="auto"/>
          <w:szCs w:val="21"/>
          <w:highlight w:val="none"/>
          <w:lang w:eastAsia="zh-CN"/>
        </w:rPr>
        <w:t>服务要求</w:t>
      </w:r>
      <w:r>
        <w:rPr>
          <w:rFonts w:hint="eastAsia" w:ascii="宋体" w:hAnsi="宋体" w:cs="宋体"/>
          <w:b/>
          <w:color w:val="auto"/>
          <w:szCs w:val="21"/>
          <w:highlight w:val="none"/>
        </w:rPr>
        <w:t>和验收</w:t>
      </w:r>
    </w:p>
    <w:p w14:paraId="3447FA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合同履约期限：</w:t>
      </w:r>
      <w:r>
        <w:rPr>
          <w:rFonts w:hint="eastAsia" w:ascii="宋体" w:hAnsi="宋体" w:cs="宋体"/>
          <w:color w:val="auto"/>
          <w:szCs w:val="21"/>
          <w:highlight w:val="none"/>
          <w:u w:val="single"/>
          <w:lang w:val="en-US" w:eastAsia="zh-CN"/>
        </w:rPr>
        <w:t>2026年度</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采购人指定地点</w:t>
      </w:r>
      <w:r>
        <w:rPr>
          <w:rFonts w:hint="eastAsia" w:ascii="宋体" w:hAnsi="宋体" w:cs="宋体"/>
          <w:color w:val="auto"/>
          <w:szCs w:val="21"/>
          <w:highlight w:val="none"/>
        </w:rPr>
        <w:t>。</w:t>
      </w:r>
    </w:p>
    <w:p w14:paraId="7BF1A81F">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乙方应按响应文件的承诺向甲方提供相应的服务，并提供所服务内容的相关技术资料。</w:t>
      </w:r>
    </w:p>
    <w:p w14:paraId="35D15C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乙方提供不符合响应文件和本合同规定的服务成果，甲方有权拒绝接受。</w:t>
      </w:r>
    </w:p>
    <w:p w14:paraId="59B7F7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7787E1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甲乙双方应按照《广西壮族自治区政府采购项目履约验收管理办法》、双方合同、响应文件验收。</w:t>
      </w:r>
    </w:p>
    <w:p w14:paraId="151301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cs="宋体"/>
          <w:color w:val="auto"/>
          <w:szCs w:val="21"/>
          <w:highlight w:val="none"/>
        </w:rPr>
        <w:t>甲方在初步验收或者最终验收过程中如发现乙方提供的服务成果不满足响应文件及本合同规定的，可暂缓向乙方付款，直到乙方及时完善并提交相应的服务成果且经甲方验收合格后，方可办理付款。</w:t>
      </w:r>
    </w:p>
    <w:p w14:paraId="1B41F0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7.</w:t>
      </w:r>
      <w:r>
        <w:rPr>
          <w:rFonts w:hint="eastAsia" w:ascii="宋体" w:hAnsi="宋体" w:cs="宋体"/>
          <w:color w:val="auto"/>
          <w:szCs w:val="21"/>
          <w:highlight w:val="none"/>
        </w:rPr>
        <w:t>甲</w:t>
      </w:r>
      <w:r>
        <w:rPr>
          <w:rFonts w:hint="eastAsia" w:ascii="宋体" w:hAnsi="宋体" w:cs="宋体"/>
          <w:color w:val="auto"/>
          <w:szCs w:val="21"/>
          <w:highlight w:val="none"/>
          <w:lang w:eastAsia="zh-CN"/>
        </w:rPr>
        <w:t>方在</w:t>
      </w:r>
      <w:r>
        <w:rPr>
          <w:rFonts w:hint="eastAsia" w:ascii="宋体" w:hAnsi="宋体" w:cs="宋体"/>
          <w:color w:val="auto"/>
          <w:szCs w:val="21"/>
          <w:highlight w:val="none"/>
        </w:rPr>
        <w:t>验收时以书面形式提出异议的，乙方应自收到甲方书面异议后五个工作日内及时予以解决，否则甲方有权不出具服务验收合格单。</w:t>
      </w:r>
    </w:p>
    <w:p w14:paraId="3DCAAF91">
      <w:pPr>
        <w:snapToGrid/>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服务及培训</w:t>
      </w:r>
    </w:p>
    <w:p w14:paraId="381D0F2D">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乙方应按照国家有关法律法规和本合同所附的《服务承诺》要求为甲方提供相应的服务。</w:t>
      </w:r>
    </w:p>
    <w:p w14:paraId="7714F0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甲方应提供必要测试条件（如场地、电源、水源等）。</w:t>
      </w:r>
    </w:p>
    <w:p w14:paraId="1FF9057E">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乙方负责甲方有关人员的培训。培训时间、地点：</w:t>
      </w:r>
      <w:r>
        <w:rPr>
          <w:rFonts w:hint="eastAsia" w:ascii="宋体" w:hAnsi="宋体" w:cs="宋体"/>
          <w:color w:val="auto"/>
          <w:szCs w:val="21"/>
          <w:highlight w:val="none"/>
          <w:u w:val="single"/>
          <w:lang w:val="en-US" w:eastAsia="zh-CN"/>
        </w:rPr>
        <w:t xml:space="preserve">    。</w:t>
      </w:r>
    </w:p>
    <w:p w14:paraId="3C1E5AB9">
      <w:pPr>
        <w:snapToGrid/>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4444546B">
      <w:pPr>
        <w:snapToGrid/>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合同签订后</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在自收到发票后10个工作日内支付合同金额40%作为预付款；2026年10月底前，</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提交第一阶段咨询服务报告成果及请款报告，</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自收到发票后10个工作日内支付第一阶段进度款（即合同金额30%）；2026年12月底前，</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提交第二阶段咨询服务报告成果及请款报告，</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自收到发票后10个工作日内支付第二阶段进度款（即合同金额20%）；剩余款项：</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于2027年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月底提交政府采购履约验收资料及请款报告，</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自收到发票后10个工作日内支付尾款（即合同金额10%）。</w:t>
      </w:r>
    </w:p>
    <w:p w14:paraId="7CB1202A">
      <w:pPr>
        <w:snapToGrid/>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487B86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履约保证金金额：无。</w:t>
      </w:r>
    </w:p>
    <w:p w14:paraId="58240C1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0F1A27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7026E67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728726">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 xml:space="preserve">除不可抗力原因外，乙方没有按照合同规定的时间提供服务的，甲方可要求乙方支付违约金。每推迟一天按合同金额的3‰支付违约金，该违约金累计不超过合同金额的10%。     </w:t>
      </w:r>
    </w:p>
    <w:p w14:paraId="6F15B4A3">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乙方提供的服务如侵犯了第三方合法权益而引发的任何纠纷或者诉讼，均由乙方负责交涉并承担全部责任。</w:t>
      </w:r>
    </w:p>
    <w:p w14:paraId="416F3934">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甲方延期付款的，每天向乙方偿付延期款额3‰滞纳金，但滞纳金累计不得超过延期款额5%。</w:t>
      </w:r>
    </w:p>
    <w:p w14:paraId="2CA9F1C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第十条  不可抗力事件处理</w:t>
      </w:r>
    </w:p>
    <w:p w14:paraId="7B6B05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在合同有效期内，任何一方因不可抗力事件导致不能履行合同，则合同履行期可延长，其延长期与不可抗力影响期相同。</w:t>
      </w:r>
    </w:p>
    <w:p w14:paraId="4A38FB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不可抗力事件发生后，应立即通知对方，并寄送有关权威机构出具的证明。</w:t>
      </w:r>
    </w:p>
    <w:p w14:paraId="45954B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不可抗力事件延续一百二十天以上，双方应通过友好协商，确定是否继续履行合同。</w:t>
      </w:r>
    </w:p>
    <w:p w14:paraId="33A21E5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第十一条  合同争议解决</w:t>
      </w:r>
    </w:p>
    <w:p w14:paraId="4454BE19">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因服务质量问题发生争议的，应邀请国家认可的质量检测机构进行鉴定。服务符合标准的，鉴定费由甲方承担；服务不符合标准的，鉴定费由乙方承担。</w:t>
      </w:r>
    </w:p>
    <w:p w14:paraId="4F0349AB">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因履行本合同引起的或者与本合同有关的争议，甲乙双方应首先通过友好协商解决，如果协商不能解决，可向甲方所在地有管辖权的人民法院提起诉讼。</w:t>
      </w:r>
    </w:p>
    <w:p w14:paraId="3E1881D0">
      <w:pPr>
        <w:snapToGrid/>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诉讼期间，本合同继续履行。</w:t>
      </w:r>
    </w:p>
    <w:p w14:paraId="1C5E817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3496B9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合同经双方法定代表人或者授权代表签字并加盖单位公章后生效（委托代理人签字的需后附法定代表人授权委托书，格式自拟）。</w:t>
      </w:r>
    </w:p>
    <w:p w14:paraId="3930ED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cs="宋体"/>
          <w:color w:val="auto"/>
          <w:szCs w:val="21"/>
          <w:highlight w:val="none"/>
        </w:rPr>
        <w:t>书面补充协议报财政部门备案，方可作为主合同不可分割的一部分。</w:t>
      </w:r>
    </w:p>
    <w:p w14:paraId="7C8873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本合同未尽事宜，遵照《中华人民共和国民法典（合同编）》有关条文执行。</w:t>
      </w:r>
    </w:p>
    <w:p w14:paraId="15E015B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305F7E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除《中华人民共和国政府采购法》第五十条规定的情形外，本合同一经签订，甲乙双方不得擅自变更、中止或者终止。</w:t>
      </w:r>
    </w:p>
    <w:p w14:paraId="30BB9C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乙方不得擅自转让其应履行的合同义务。</w:t>
      </w:r>
    </w:p>
    <w:p w14:paraId="1E0A44A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5AF6E9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成交通知书；</w:t>
      </w:r>
    </w:p>
    <w:p w14:paraId="19307B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竞标报价表；</w:t>
      </w:r>
    </w:p>
    <w:p w14:paraId="44DB35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商务条款偏离表和技术需求偏离表；</w:t>
      </w:r>
    </w:p>
    <w:p w14:paraId="63F19B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bCs/>
          <w:color w:val="auto"/>
          <w:szCs w:val="21"/>
          <w:highlight w:val="none"/>
        </w:rPr>
        <w:t>项目服务实施方案</w:t>
      </w:r>
      <w:r>
        <w:rPr>
          <w:rFonts w:hint="eastAsia" w:ascii="宋体" w:hAnsi="宋体" w:cs="宋体"/>
          <w:color w:val="auto"/>
          <w:szCs w:val="21"/>
          <w:highlight w:val="none"/>
        </w:rPr>
        <w:t>；</w:t>
      </w:r>
    </w:p>
    <w:p w14:paraId="510753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响应文件中的其他相关文件。</w:t>
      </w:r>
    </w:p>
    <w:p w14:paraId="3880D7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7AF1F4A9">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本合同一式四份，具有同等法律效力，财政部门（政府采购监管部门）、采购代理机构各一份，甲乙双方各一份（可根据需要另增加）。</w:t>
      </w:r>
    </w:p>
    <w:p w14:paraId="369545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w:t>
      </w:r>
      <w:r>
        <w:rPr>
          <w:rFonts w:hint="eastAsia" w:ascii="宋体" w:hAnsi="宋体" w:cs="宋体"/>
          <w:color w:val="auto"/>
          <w:szCs w:val="21"/>
          <w:highlight w:val="none"/>
          <w:lang w:eastAsia="zh-CN"/>
        </w:rPr>
        <w:t>同在</w:t>
      </w:r>
      <w:r>
        <w:rPr>
          <w:rFonts w:hint="eastAsia" w:ascii="宋体" w:hAnsi="宋体" w:cs="宋体"/>
          <w:color w:val="auto"/>
          <w:szCs w:val="21"/>
          <w:highlight w:val="none"/>
        </w:rPr>
        <w:t>甲乙双方签字盖章后生效，自签订之日起七个工作日内，甲方应当将合同副本报同级财政部门备案。</w:t>
      </w:r>
    </w:p>
    <w:p w14:paraId="694CA6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30"/>
        <w:tblpPr w:leftFromText="180" w:rightFromText="180" w:vertAnchor="text" w:horzAnchor="margin" w:tblpY="214"/>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9"/>
        <w:gridCol w:w="4610"/>
      </w:tblGrid>
      <w:tr w14:paraId="0989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7"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6DC3E969">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甲方：（章）</w:t>
            </w:r>
          </w:p>
          <w:p w14:paraId="60803238">
            <w:pPr>
              <w:snapToGrid/>
              <w:spacing w:line="360" w:lineRule="auto"/>
              <w:rPr>
                <w:rFonts w:ascii="宋体" w:hAnsi="宋体" w:cs="宋体"/>
                <w:color w:val="auto"/>
                <w:szCs w:val="21"/>
                <w:highlight w:val="none"/>
              </w:rPr>
            </w:pPr>
          </w:p>
          <w:p w14:paraId="0C5B8722">
            <w:pPr>
              <w:snapToGrid/>
              <w:spacing w:line="360" w:lineRule="auto"/>
              <w:rPr>
                <w:rFonts w:ascii="宋体" w:hAnsi="宋体" w:cs="宋体"/>
                <w:color w:val="auto"/>
                <w:szCs w:val="21"/>
                <w:highlight w:val="none"/>
              </w:rPr>
            </w:pPr>
          </w:p>
          <w:p w14:paraId="51B760B4">
            <w:pPr>
              <w:snapToGrid/>
              <w:spacing w:line="360" w:lineRule="auto"/>
              <w:ind w:firstLine="945" w:firstLineChars="450"/>
              <w:jc w:val="right"/>
              <w:rPr>
                <w:rFonts w:ascii="宋体" w:hAnsi="宋体" w:cs="宋体"/>
                <w:color w:val="auto"/>
                <w:szCs w:val="21"/>
                <w:highlight w:val="none"/>
              </w:rPr>
            </w:pPr>
          </w:p>
          <w:p w14:paraId="366039ED">
            <w:pPr>
              <w:snapToGrid/>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610" w:type="dxa"/>
            <w:tcBorders>
              <w:top w:val="single" w:color="auto" w:sz="4" w:space="0"/>
              <w:left w:val="single" w:color="auto" w:sz="4" w:space="0"/>
              <w:bottom w:val="single" w:color="auto" w:sz="4" w:space="0"/>
              <w:right w:val="single" w:color="auto" w:sz="4" w:space="0"/>
            </w:tcBorders>
            <w:noWrap/>
            <w:vAlign w:val="center"/>
          </w:tcPr>
          <w:p w14:paraId="454B627F">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乙方：（章）       </w:t>
            </w:r>
          </w:p>
          <w:p w14:paraId="3C3A6DB9">
            <w:pPr>
              <w:snapToGrid/>
              <w:spacing w:line="360" w:lineRule="auto"/>
              <w:rPr>
                <w:rFonts w:ascii="宋体" w:hAnsi="宋体" w:cs="宋体"/>
                <w:color w:val="auto"/>
                <w:szCs w:val="21"/>
                <w:highlight w:val="none"/>
              </w:rPr>
            </w:pPr>
          </w:p>
          <w:p w14:paraId="552FE552">
            <w:pPr>
              <w:snapToGrid/>
              <w:spacing w:line="360" w:lineRule="auto"/>
              <w:rPr>
                <w:rFonts w:ascii="宋体" w:hAnsi="宋体" w:cs="宋体"/>
                <w:color w:val="auto"/>
                <w:szCs w:val="21"/>
                <w:highlight w:val="none"/>
              </w:rPr>
            </w:pPr>
          </w:p>
          <w:p w14:paraId="73445B0C">
            <w:pPr>
              <w:snapToGrid/>
              <w:spacing w:line="360" w:lineRule="auto"/>
              <w:jc w:val="right"/>
              <w:rPr>
                <w:rFonts w:ascii="宋体" w:hAnsi="宋体" w:cs="宋体"/>
                <w:color w:val="auto"/>
                <w:szCs w:val="21"/>
                <w:highlight w:val="none"/>
              </w:rPr>
            </w:pPr>
          </w:p>
          <w:p w14:paraId="62D6B37E">
            <w:pPr>
              <w:snapToGrid/>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3F64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3ED11D5E">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c>
          <w:tcPr>
            <w:tcW w:w="4610" w:type="dxa"/>
            <w:tcBorders>
              <w:top w:val="single" w:color="auto" w:sz="4" w:space="0"/>
              <w:left w:val="single" w:color="auto" w:sz="4" w:space="0"/>
              <w:bottom w:val="single" w:color="auto" w:sz="4" w:space="0"/>
              <w:right w:val="single" w:color="auto" w:sz="4" w:space="0"/>
            </w:tcBorders>
            <w:noWrap/>
            <w:vAlign w:val="center"/>
          </w:tcPr>
          <w:p w14:paraId="56282F54">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0331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40F85DD1">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610" w:type="dxa"/>
            <w:tcBorders>
              <w:top w:val="single" w:color="auto" w:sz="4" w:space="0"/>
              <w:left w:val="single" w:color="auto" w:sz="4" w:space="0"/>
              <w:bottom w:val="single" w:color="auto" w:sz="4" w:space="0"/>
              <w:right w:val="single" w:color="auto" w:sz="4" w:space="0"/>
            </w:tcBorders>
            <w:noWrap/>
            <w:vAlign w:val="center"/>
          </w:tcPr>
          <w:p w14:paraId="7D9CCBCC">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591E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1B020943">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610" w:type="dxa"/>
            <w:tcBorders>
              <w:top w:val="single" w:color="auto" w:sz="4" w:space="0"/>
              <w:left w:val="single" w:color="auto" w:sz="4" w:space="0"/>
              <w:bottom w:val="single" w:color="auto" w:sz="4" w:space="0"/>
              <w:right w:val="single" w:color="auto" w:sz="4" w:space="0"/>
            </w:tcBorders>
            <w:noWrap/>
            <w:vAlign w:val="center"/>
          </w:tcPr>
          <w:p w14:paraId="0B42BDB9">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3AA3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7293B6A8">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610" w:type="dxa"/>
            <w:tcBorders>
              <w:top w:val="single" w:color="auto" w:sz="4" w:space="0"/>
              <w:left w:val="single" w:color="auto" w:sz="4" w:space="0"/>
              <w:bottom w:val="single" w:color="auto" w:sz="4" w:space="0"/>
              <w:right w:val="single" w:color="auto" w:sz="4" w:space="0"/>
            </w:tcBorders>
            <w:noWrap/>
            <w:vAlign w:val="center"/>
          </w:tcPr>
          <w:p w14:paraId="47588B5E">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10A4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16AFE956">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610" w:type="dxa"/>
            <w:tcBorders>
              <w:top w:val="single" w:color="auto" w:sz="4" w:space="0"/>
              <w:left w:val="single" w:color="auto" w:sz="4" w:space="0"/>
              <w:bottom w:val="single" w:color="auto" w:sz="4" w:space="0"/>
              <w:right w:val="single" w:color="auto" w:sz="4" w:space="0"/>
            </w:tcBorders>
            <w:noWrap/>
            <w:vAlign w:val="center"/>
          </w:tcPr>
          <w:p w14:paraId="39718D83">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665B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1BEA3BDC">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610" w:type="dxa"/>
            <w:tcBorders>
              <w:top w:val="single" w:color="auto" w:sz="4" w:space="0"/>
              <w:left w:val="single" w:color="auto" w:sz="4" w:space="0"/>
              <w:bottom w:val="single" w:color="auto" w:sz="4" w:space="0"/>
              <w:right w:val="single" w:color="auto" w:sz="4" w:space="0"/>
            </w:tcBorders>
            <w:noWrap/>
            <w:vAlign w:val="center"/>
          </w:tcPr>
          <w:p w14:paraId="0F2EDB36">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4321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609" w:type="dxa"/>
            <w:tcBorders>
              <w:top w:val="single" w:color="auto" w:sz="4" w:space="0"/>
              <w:left w:val="single" w:color="auto" w:sz="4" w:space="0"/>
              <w:bottom w:val="single" w:color="auto" w:sz="4" w:space="0"/>
              <w:right w:val="single" w:color="auto" w:sz="4" w:space="0"/>
            </w:tcBorders>
            <w:noWrap/>
            <w:vAlign w:val="center"/>
          </w:tcPr>
          <w:p w14:paraId="74D0E702">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610" w:type="dxa"/>
            <w:tcBorders>
              <w:top w:val="single" w:color="auto" w:sz="4" w:space="0"/>
              <w:left w:val="single" w:color="auto" w:sz="4" w:space="0"/>
              <w:bottom w:val="single" w:color="auto" w:sz="4" w:space="0"/>
              <w:right w:val="single" w:color="auto" w:sz="4" w:space="0"/>
            </w:tcBorders>
            <w:noWrap/>
            <w:vAlign w:val="center"/>
          </w:tcPr>
          <w:p w14:paraId="46B8F912">
            <w:pPr>
              <w:snapToGrid/>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56BF2A06">
      <w:pPr>
        <w:snapToGrid/>
        <w:spacing w:line="360" w:lineRule="auto"/>
        <w:rPr>
          <w:rFonts w:ascii="宋体" w:hAnsi="宋体" w:cs="宋体"/>
          <w:b/>
          <w:color w:val="auto"/>
          <w:szCs w:val="21"/>
          <w:highlight w:val="none"/>
        </w:rPr>
      </w:pPr>
    </w:p>
    <w:p w14:paraId="719CF6CB">
      <w:pPr>
        <w:spacing w:beforeLines="50" w:afterLines="200" w:line="360" w:lineRule="auto"/>
        <w:jc w:val="center"/>
        <w:rPr>
          <w:rFonts w:ascii="宋体" w:hAnsi="宋体" w:cs="宋体"/>
          <w:b/>
          <w:color w:val="auto"/>
          <w:kern w:val="0"/>
          <w:sz w:val="32"/>
          <w:szCs w:val="32"/>
          <w:highlight w:val="none"/>
        </w:rPr>
      </w:pPr>
      <w:r>
        <w:rPr>
          <w:rFonts w:hint="eastAsia" w:ascii="宋体" w:hAnsi="宋体" w:cs="宋体"/>
          <w:bCs/>
          <w:color w:val="auto"/>
          <w:sz w:val="24"/>
          <w:highlight w:val="none"/>
        </w:rPr>
        <w:br w:type="page"/>
      </w:r>
    </w:p>
    <w:p w14:paraId="65FFEC0C">
      <w:pPr>
        <w:spacing w:beforeLines="50" w:afterLines="200" w:line="360" w:lineRule="auto"/>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eastAsia="zh-CN"/>
        </w:rPr>
        <w:t>附表</w:t>
      </w:r>
      <w:r>
        <w:rPr>
          <w:rFonts w:hint="eastAsia" w:ascii="宋体" w:hAnsi="宋体" w:eastAsia="宋体" w:cs="宋体"/>
          <w:b/>
          <w:color w:val="auto"/>
          <w:kern w:val="0"/>
          <w:sz w:val="32"/>
          <w:szCs w:val="32"/>
          <w:highlight w:val="none"/>
          <w:lang w:val="en-US" w:eastAsia="zh-CN"/>
        </w:rPr>
        <w:t>1：</w:t>
      </w:r>
    </w:p>
    <w:p w14:paraId="5152702B">
      <w:pPr>
        <w:spacing w:beforeLines="50" w:afterLines="200" w:line="360" w:lineRule="auto"/>
        <w:jc w:val="center"/>
        <w:rPr>
          <w:rFonts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rPr>
        <w:t>广西壮族自治区政府采购项目合同验收书（格式）</w:t>
      </w:r>
    </w:p>
    <w:p w14:paraId="19E3A22C">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根据政府采购项目（采购合同编号：</w:t>
      </w:r>
      <w:r>
        <w:rPr>
          <w:rFonts w:hint="eastAsia" w:ascii="宋体" w:hAnsi="宋体" w:eastAsia="宋体" w:cs="宋体"/>
          <w:color w:val="auto"/>
          <w:kern w:val="0"/>
          <w:szCs w:val="21"/>
          <w:highlight w:val="none"/>
        </w:rPr>
        <w:softHyphen/>
      </w:r>
      <w:r>
        <w:rPr>
          <w:rFonts w:hint="eastAsia" w:ascii="宋体" w:hAnsi="宋体" w:eastAsia="宋体" w:cs="宋体"/>
          <w:color w:val="auto"/>
          <w:kern w:val="0"/>
          <w:szCs w:val="21"/>
          <w:highlight w:val="none"/>
        </w:rPr>
        <w:t>）的约定，我单位对（项目名称）政府采购项目中标（或成交）供应商（公司名称）提供的货物（或工程、服务）进行了验收，验收情况如下：</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29C6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0" w:type="dxa"/>
            <w:gridSpan w:val="2"/>
            <w:tcBorders>
              <w:top w:val="single" w:color="auto" w:sz="4" w:space="0"/>
              <w:left w:val="single" w:color="auto" w:sz="4" w:space="0"/>
              <w:bottom w:val="single" w:color="auto" w:sz="4" w:space="0"/>
              <w:right w:val="single" w:color="auto" w:sz="4" w:space="0"/>
            </w:tcBorders>
          </w:tcPr>
          <w:p w14:paraId="6CEB0FD2">
            <w:pPr>
              <w:spacing w:line="360" w:lineRule="auto"/>
              <w:jc w:val="center"/>
              <w:rPr>
                <w:rFonts w:ascii="宋体" w:hAnsi="宋体" w:eastAsia="宋体" w:cs="宋体"/>
                <w:b/>
                <w:color w:val="auto"/>
                <w:szCs w:val="21"/>
                <w:highlight w:val="none"/>
              </w:rPr>
            </w:pPr>
            <w:r>
              <w:rPr>
                <w:rFonts w:hint="eastAsia" w:ascii="宋体" w:hAnsi="宋体" w:eastAsia="宋体" w:cs="宋体"/>
                <w:color w:val="auto"/>
                <w:kern w:val="0"/>
                <w:szCs w:val="21"/>
                <w:highlight w:val="none"/>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7D0BF0DB">
            <w:pPr>
              <w:spacing w:line="360" w:lineRule="auto"/>
              <w:jc w:val="center"/>
              <w:rPr>
                <w:rFonts w:ascii="宋体" w:hAnsi="宋体" w:eastAsia="宋体" w:cs="宋体"/>
                <w:b/>
                <w:color w:val="auto"/>
                <w:szCs w:val="21"/>
                <w:highlight w:val="none"/>
              </w:rPr>
            </w:pPr>
            <w:r>
              <w:rPr>
                <w:rFonts w:hint="eastAsia" w:ascii="宋体" w:hAnsi="宋体" w:eastAsia="宋体" w:cs="宋体"/>
                <w:color w:val="auto"/>
                <w:kern w:val="0"/>
                <w:szCs w:val="21"/>
                <w:highlight w:val="none"/>
              </w:rPr>
              <w:t>□自行验收□委托验收</w:t>
            </w:r>
          </w:p>
        </w:tc>
      </w:tr>
      <w:tr w14:paraId="5A91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vAlign w:val="center"/>
          </w:tcPr>
          <w:p w14:paraId="32269571">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DE8D121">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00C387F">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货物型号规格、标准及配置等（或服务内容、标准）</w:t>
            </w:r>
          </w:p>
        </w:tc>
        <w:tc>
          <w:tcPr>
            <w:tcW w:w="1556" w:type="dxa"/>
            <w:tcBorders>
              <w:top w:val="single" w:color="auto" w:sz="4" w:space="0"/>
              <w:left w:val="single" w:color="auto" w:sz="4" w:space="0"/>
              <w:bottom w:val="single" w:color="auto" w:sz="4" w:space="0"/>
              <w:right w:val="single" w:color="auto" w:sz="4" w:space="0"/>
            </w:tcBorders>
            <w:vAlign w:val="center"/>
          </w:tcPr>
          <w:p w14:paraId="41C2AA6A">
            <w:pPr>
              <w:widowControl/>
              <w:snapToGrid/>
              <w:spacing w:beforeAutospacing="1" w:afterAutospacing="1"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3EEDFD3F">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25D8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vAlign w:val="center"/>
          </w:tcPr>
          <w:p w14:paraId="079CC5D3">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53A13719">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1800762F">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26E50C9A">
            <w:pPr>
              <w:widowControl/>
              <w:snapToGrid/>
              <w:spacing w:beforeAutospacing="1" w:afterAutospacing="1" w:line="360" w:lineRule="auto"/>
              <w:jc w:val="center"/>
              <w:rPr>
                <w:rFonts w:ascii="宋体" w:hAnsi="宋体" w:eastAsia="宋体" w:cs="宋体"/>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3E09E15F">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1196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vAlign w:val="center"/>
          </w:tcPr>
          <w:p w14:paraId="7D47B966">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5BE70EF2">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1C217A31">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569FB1A1">
            <w:pPr>
              <w:widowControl/>
              <w:snapToGrid/>
              <w:spacing w:beforeAutospacing="1" w:afterAutospacing="1" w:line="360" w:lineRule="auto"/>
              <w:jc w:val="center"/>
              <w:rPr>
                <w:rFonts w:ascii="宋体" w:hAnsi="宋体" w:eastAsia="宋体" w:cs="宋体"/>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5F7790AD">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041E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vAlign w:val="center"/>
          </w:tcPr>
          <w:p w14:paraId="5D0B155E">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984" w:type="dxa"/>
            <w:tcBorders>
              <w:top w:val="single" w:color="auto" w:sz="4" w:space="0"/>
              <w:left w:val="single" w:color="auto" w:sz="4" w:space="0"/>
              <w:bottom w:val="single" w:color="auto" w:sz="4" w:space="0"/>
              <w:right w:val="single" w:color="auto" w:sz="4" w:space="0"/>
            </w:tcBorders>
            <w:vAlign w:val="center"/>
          </w:tcPr>
          <w:p w14:paraId="2868B045">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8E6BD9">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5F7B0AB8">
            <w:pPr>
              <w:widowControl/>
              <w:snapToGrid/>
              <w:spacing w:beforeAutospacing="1" w:afterAutospacing="1" w:line="360" w:lineRule="auto"/>
              <w:jc w:val="center"/>
              <w:rPr>
                <w:rFonts w:ascii="宋体" w:hAnsi="宋体" w:eastAsia="宋体" w:cs="宋体"/>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2E33901B">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5820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5" w:type="dxa"/>
            <w:gridSpan w:val="5"/>
            <w:tcBorders>
              <w:top w:val="single" w:color="auto" w:sz="4" w:space="0"/>
              <w:left w:val="single" w:color="auto" w:sz="4" w:space="0"/>
              <w:bottom w:val="single" w:color="auto" w:sz="4" w:space="0"/>
              <w:right w:val="single" w:color="auto" w:sz="4" w:space="0"/>
            </w:tcBorders>
            <w:vAlign w:val="center"/>
          </w:tcPr>
          <w:p w14:paraId="71009D19">
            <w:pPr>
              <w:widowControl/>
              <w:snapToGrid/>
              <w:spacing w:beforeAutospacing="1" w:afterAutospacing="1" w:line="360" w:lineRule="auto"/>
              <w:ind w:firstLine="2"/>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w:t>
            </w:r>
          </w:p>
        </w:tc>
        <w:tc>
          <w:tcPr>
            <w:tcW w:w="1556" w:type="dxa"/>
            <w:tcBorders>
              <w:top w:val="single" w:color="auto" w:sz="4" w:space="0"/>
              <w:left w:val="single" w:color="auto" w:sz="4" w:space="0"/>
              <w:bottom w:val="single" w:color="auto" w:sz="4" w:space="0"/>
              <w:right w:val="single" w:color="auto" w:sz="4" w:space="0"/>
            </w:tcBorders>
            <w:vAlign w:val="center"/>
          </w:tcPr>
          <w:p w14:paraId="05EE6074">
            <w:pPr>
              <w:widowControl/>
              <w:snapToGrid/>
              <w:spacing w:beforeAutospacing="1" w:afterAutospacing="1" w:line="360" w:lineRule="auto"/>
              <w:jc w:val="center"/>
              <w:rPr>
                <w:rFonts w:ascii="宋体" w:hAnsi="宋体" w:eastAsia="宋体" w:cs="宋体"/>
                <w:color w:val="auto"/>
                <w:kern w:val="0"/>
                <w:szCs w:val="21"/>
                <w:highlight w:val="none"/>
              </w:rPr>
            </w:pPr>
          </w:p>
        </w:tc>
        <w:tc>
          <w:tcPr>
            <w:tcW w:w="1487" w:type="dxa"/>
            <w:tcBorders>
              <w:top w:val="single" w:color="auto" w:sz="4" w:space="0"/>
              <w:left w:val="single" w:color="auto" w:sz="4" w:space="0"/>
              <w:bottom w:val="single" w:color="auto" w:sz="4" w:space="0"/>
              <w:right w:val="single" w:color="auto" w:sz="4" w:space="0"/>
            </w:tcBorders>
            <w:vAlign w:val="center"/>
          </w:tcPr>
          <w:p w14:paraId="09EB65A7">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662E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091EC7E">
            <w:pPr>
              <w:widowControl/>
              <w:snapToGrid/>
              <w:spacing w:beforeAutospacing="1" w:afterAutospacing="1" w:line="360" w:lineRule="auto"/>
              <w:ind w:firstLine="2"/>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合计大写金额：仟佰拾万仟佰拾元</w:t>
            </w:r>
          </w:p>
        </w:tc>
      </w:tr>
      <w:tr w14:paraId="036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1852F6F5">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1CB0ED86">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c>
          <w:tcPr>
            <w:tcW w:w="2551" w:type="dxa"/>
            <w:tcBorders>
              <w:top w:val="single" w:color="auto" w:sz="4" w:space="0"/>
              <w:left w:val="single" w:color="auto" w:sz="4" w:space="0"/>
              <w:bottom w:val="single" w:color="auto" w:sz="4" w:space="0"/>
              <w:right w:val="single" w:color="auto" w:sz="4" w:space="0"/>
            </w:tcBorders>
            <w:vAlign w:val="center"/>
          </w:tcPr>
          <w:p w14:paraId="32F65D13">
            <w:pPr>
              <w:widowControl/>
              <w:snapToGrid/>
              <w:spacing w:beforeAutospacing="1" w:afterAutospacing="1" w:line="360" w:lineRule="auto"/>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3D820E76">
            <w:pPr>
              <w:widowControl/>
              <w:snapToGrid/>
              <w:spacing w:beforeAutospacing="1" w:afterAutospacing="1" w:line="360" w:lineRule="auto"/>
              <w:ind w:firstLine="2"/>
              <w:jc w:val="center"/>
              <w:rPr>
                <w:rFonts w:ascii="宋体" w:hAnsi="宋体" w:eastAsia="宋体" w:cs="宋体"/>
                <w:color w:val="auto"/>
                <w:kern w:val="0"/>
                <w:szCs w:val="21"/>
                <w:highlight w:val="none"/>
              </w:rPr>
            </w:pPr>
          </w:p>
        </w:tc>
      </w:tr>
      <w:tr w14:paraId="1988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6EB575BE">
            <w:pPr>
              <w:widowControl/>
              <w:snapToGrid/>
              <w:spacing w:beforeAutospacing="1" w:afterAutospacing="1" w:line="360" w:lineRule="auto"/>
              <w:ind w:firstLine="2"/>
              <w:jc w:val="left"/>
              <w:rPr>
                <w:rFonts w:ascii="宋体" w:hAnsi="宋体" w:eastAsia="宋体" w:cs="宋体"/>
                <w:color w:val="auto"/>
                <w:kern w:val="0"/>
                <w:szCs w:val="21"/>
                <w:highlight w:val="none"/>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6EFB4A10">
            <w:pPr>
              <w:widowControl/>
              <w:snapToGrid/>
              <w:spacing w:beforeAutospacing="1" w:afterAutospacing="1" w:line="360" w:lineRule="auto"/>
              <w:ind w:firstLine="2"/>
              <w:jc w:val="left"/>
              <w:rPr>
                <w:rFonts w:ascii="宋体" w:hAnsi="宋体" w:eastAsia="宋体" w:cs="宋体"/>
                <w:color w:val="auto"/>
                <w:kern w:val="0"/>
                <w:szCs w:val="21"/>
                <w:highlight w:val="none"/>
              </w:rPr>
            </w:pPr>
          </w:p>
        </w:tc>
        <w:tc>
          <w:tcPr>
            <w:tcW w:w="2551" w:type="dxa"/>
            <w:tcBorders>
              <w:top w:val="single" w:color="auto" w:sz="4" w:space="0"/>
              <w:left w:val="single" w:color="auto" w:sz="4" w:space="0"/>
              <w:bottom w:val="single" w:color="auto" w:sz="4" w:space="0"/>
              <w:right w:val="single" w:color="auto" w:sz="4" w:space="0"/>
            </w:tcBorders>
            <w:vAlign w:val="center"/>
          </w:tcPr>
          <w:p w14:paraId="459B0DD8">
            <w:pPr>
              <w:widowControl/>
              <w:snapToGrid/>
              <w:spacing w:beforeAutospacing="1" w:afterAutospacing="1" w:line="360" w:lineRule="auto"/>
              <w:ind w:firstLine="2"/>
              <w:jc w:val="left"/>
              <w:rPr>
                <w:rFonts w:ascii="宋体" w:hAnsi="宋体" w:eastAsia="宋体" w:cs="宋体"/>
                <w:color w:val="auto"/>
                <w:kern w:val="0"/>
                <w:szCs w:val="21"/>
                <w:highlight w:val="none"/>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1D309462">
            <w:pPr>
              <w:widowControl/>
              <w:snapToGrid/>
              <w:spacing w:beforeAutospacing="1" w:afterAutospacing="1" w:line="360" w:lineRule="auto"/>
              <w:ind w:firstLine="2"/>
              <w:jc w:val="left"/>
              <w:rPr>
                <w:rFonts w:ascii="宋体" w:hAnsi="宋体" w:eastAsia="宋体" w:cs="宋体"/>
                <w:color w:val="auto"/>
                <w:kern w:val="0"/>
                <w:szCs w:val="21"/>
                <w:highlight w:val="none"/>
              </w:rPr>
            </w:pPr>
          </w:p>
        </w:tc>
      </w:tr>
      <w:tr w14:paraId="7AF7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15190229">
            <w:pPr>
              <w:widowControl/>
              <w:snapToGrid/>
              <w:spacing w:beforeAutospacing="1" w:afterAutospacing="1" w:line="360" w:lineRule="auto"/>
              <w:ind w:firstLine="2"/>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26BB8B8">
            <w:pPr>
              <w:widowControl/>
              <w:snapToGrid/>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r>
              <w:rPr>
                <w:rFonts w:hint="eastAsia" w:ascii="宋体" w:hAnsi="宋体" w:cs="宋体"/>
                <w:color w:val="auto"/>
                <w:kern w:val="0"/>
                <w:szCs w:val="21"/>
                <w:highlight w:val="none"/>
                <w:lang w:eastAsia="zh-CN"/>
              </w:rPr>
              <w:t>）</w:t>
            </w:r>
          </w:p>
        </w:tc>
      </w:tr>
      <w:tr w14:paraId="2658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189FD577">
            <w:pPr>
              <w:widowControl/>
              <w:snapToGrid/>
              <w:spacing w:beforeAutospacing="1" w:afterAutospacing="1" w:line="360" w:lineRule="auto"/>
              <w:ind w:firstLine="2"/>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4C3498C7">
            <w:pPr>
              <w:widowControl/>
              <w:snapToGrid/>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p w14:paraId="501D489D">
            <w:pPr>
              <w:widowControl/>
              <w:snapToGrid/>
              <w:spacing w:beforeAutospacing="1" w:afterAutospacing="1" w:line="360" w:lineRule="auto"/>
              <w:jc w:val="left"/>
              <w:rPr>
                <w:rFonts w:ascii="宋体" w:hAnsi="宋体" w:eastAsia="宋体" w:cs="宋体"/>
                <w:color w:val="auto"/>
                <w:kern w:val="0"/>
                <w:szCs w:val="21"/>
                <w:highlight w:val="none"/>
              </w:rPr>
            </w:pPr>
          </w:p>
        </w:tc>
      </w:tr>
      <w:tr w14:paraId="3202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1FF23B07">
            <w:pPr>
              <w:spacing w:line="360" w:lineRule="auto"/>
              <w:rPr>
                <w:rFonts w:ascii="宋体" w:hAnsi="宋体" w:eastAsia="宋体" w:cs="宋体"/>
                <w:color w:val="auto"/>
                <w:sz w:val="20"/>
                <w:szCs w:val="20"/>
                <w:highlight w:val="none"/>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337F3774">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37F3C420">
            <w:pPr>
              <w:widowControl/>
              <w:snapToGrid/>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3149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628" w:type="dxa"/>
            <w:gridSpan w:val="7"/>
            <w:tcBorders>
              <w:top w:val="single" w:color="auto" w:sz="4" w:space="0"/>
              <w:left w:val="single" w:color="auto" w:sz="4" w:space="0"/>
              <w:bottom w:val="single" w:color="auto" w:sz="4" w:space="0"/>
              <w:right w:val="single" w:color="auto" w:sz="4" w:space="0"/>
            </w:tcBorders>
            <w:vAlign w:val="center"/>
          </w:tcPr>
          <w:p w14:paraId="0FF08C48">
            <w:pPr>
              <w:widowControl/>
              <w:snapToGrid/>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5FC9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F3BF01F">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监督人员或其他相关人员签字：</w:t>
            </w:r>
          </w:p>
          <w:p w14:paraId="3561E457">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或受邀机构的意见（盖章）：</w:t>
            </w:r>
          </w:p>
        </w:tc>
      </w:tr>
      <w:tr w14:paraId="3EC9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9628" w:type="dxa"/>
            <w:gridSpan w:val="7"/>
            <w:tcBorders>
              <w:top w:val="single" w:color="auto" w:sz="4" w:space="0"/>
              <w:left w:val="single" w:color="auto" w:sz="4" w:space="0"/>
              <w:bottom w:val="single" w:color="auto" w:sz="4" w:space="0"/>
              <w:right w:val="single" w:color="auto" w:sz="4" w:space="0"/>
            </w:tcBorders>
            <w:vAlign w:val="center"/>
          </w:tcPr>
          <w:p w14:paraId="16629879">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中标或者成交供应商负责人签字或盖章：采购人或受托机构的意见（盖章）：</w:t>
            </w:r>
          </w:p>
          <w:p w14:paraId="0A3C1A9A">
            <w:pPr>
              <w:widowControl/>
              <w:spacing w:beforeAutospacing="1" w:afterAutospacing="1"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     联系电话：   年   月   日</w:t>
            </w:r>
          </w:p>
        </w:tc>
      </w:tr>
    </w:tbl>
    <w:p w14:paraId="03C49F19">
      <w:pPr>
        <w:spacing w:line="360" w:lineRule="auto"/>
        <w:rPr>
          <w:rFonts w:ascii="宋体" w:hAnsi="宋体" w:eastAsia="宋体" w:cs="宋体"/>
          <w:color w:val="auto"/>
          <w:highlight w:val="none"/>
        </w:rPr>
      </w:pPr>
    </w:p>
    <w:p w14:paraId="387993FF">
      <w:pPr>
        <w:spacing w:line="360" w:lineRule="auto"/>
        <w:rPr>
          <w:rFonts w:hint="eastAsia" w:ascii="黑体" w:hAnsi="黑体" w:eastAsia="黑体"/>
          <w:color w:val="auto"/>
          <w:sz w:val="32"/>
          <w:szCs w:val="32"/>
          <w:highlight w:val="none"/>
        </w:rPr>
      </w:pPr>
      <w:r>
        <w:rPr>
          <w:rFonts w:hint="eastAsia" w:ascii="黑体" w:hAnsi="黑体" w:eastAsia="黑体"/>
          <w:color w:val="auto"/>
          <w:sz w:val="32"/>
          <w:szCs w:val="32"/>
          <w:highlight w:val="none"/>
        </w:rPr>
        <w:br w:type="page"/>
      </w:r>
    </w:p>
    <w:p w14:paraId="283E3547">
      <w:pPr>
        <w:spacing w:line="360" w:lineRule="auto"/>
        <w:jc w:val="left"/>
        <w:rPr>
          <w:rFonts w:ascii="黑体" w:hAnsi="黑体" w:eastAsia="黑体"/>
          <w:color w:val="auto"/>
          <w:sz w:val="32"/>
          <w:szCs w:val="32"/>
          <w:highlight w:val="none"/>
        </w:rPr>
      </w:pPr>
      <w:r>
        <w:rPr>
          <w:rFonts w:hint="eastAsia" w:ascii="黑体" w:hAnsi="黑体" w:eastAsia="黑体"/>
          <w:color w:val="auto"/>
          <w:sz w:val="32"/>
          <w:szCs w:val="32"/>
          <w:highlight w:val="none"/>
        </w:rPr>
        <w:t>附表</w:t>
      </w:r>
      <w:r>
        <w:rPr>
          <w:rFonts w:hint="eastAsia" w:ascii="黑体" w:hAnsi="黑体" w:eastAsia="黑体"/>
          <w:color w:val="auto"/>
          <w:sz w:val="32"/>
          <w:szCs w:val="32"/>
          <w:highlight w:val="none"/>
          <w:lang w:val="en-US" w:eastAsia="zh-CN"/>
        </w:rPr>
        <w:t>2</w:t>
      </w:r>
      <w:r>
        <w:rPr>
          <w:rFonts w:hint="eastAsia" w:ascii="黑体" w:hAnsi="黑体" w:eastAsia="黑体"/>
          <w:color w:val="auto"/>
          <w:sz w:val="32"/>
          <w:szCs w:val="32"/>
          <w:highlight w:val="none"/>
        </w:rPr>
        <w:t>：</w:t>
      </w:r>
    </w:p>
    <w:p w14:paraId="327C82D7">
      <w:pPr>
        <w:spacing w:beforeLines="50" w:after="167" w:afterLines="50"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政府采购项目履约保证金退付意见书（参考）</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5D9E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008" w:type="dxa"/>
            <w:vMerge w:val="restart"/>
            <w:vAlign w:val="center"/>
          </w:tcPr>
          <w:p w14:paraId="636D0D1B">
            <w:pPr>
              <w:spacing w:line="360" w:lineRule="auto"/>
              <w:jc w:val="center"/>
              <w:rPr>
                <w:color w:val="auto"/>
                <w:sz w:val="24"/>
                <w:highlight w:val="none"/>
              </w:rPr>
            </w:pPr>
            <w:r>
              <w:rPr>
                <w:rFonts w:hint="eastAsia"/>
                <w:color w:val="auto"/>
                <w:sz w:val="24"/>
                <w:highlight w:val="none"/>
              </w:rPr>
              <w:t>供</w:t>
            </w:r>
          </w:p>
          <w:p w14:paraId="44C57D00">
            <w:pPr>
              <w:spacing w:line="360" w:lineRule="auto"/>
              <w:jc w:val="center"/>
              <w:rPr>
                <w:color w:val="auto"/>
                <w:sz w:val="24"/>
                <w:highlight w:val="none"/>
              </w:rPr>
            </w:pPr>
            <w:r>
              <w:rPr>
                <w:rFonts w:hint="eastAsia"/>
                <w:color w:val="auto"/>
                <w:sz w:val="24"/>
                <w:highlight w:val="none"/>
              </w:rPr>
              <w:t>应</w:t>
            </w:r>
          </w:p>
          <w:p w14:paraId="3624CB2F">
            <w:pPr>
              <w:spacing w:line="360" w:lineRule="auto"/>
              <w:jc w:val="center"/>
              <w:rPr>
                <w:color w:val="auto"/>
                <w:sz w:val="24"/>
                <w:highlight w:val="none"/>
              </w:rPr>
            </w:pPr>
            <w:r>
              <w:rPr>
                <w:rFonts w:hint="eastAsia"/>
                <w:color w:val="auto"/>
                <w:sz w:val="24"/>
                <w:highlight w:val="none"/>
              </w:rPr>
              <w:t>商</w:t>
            </w:r>
          </w:p>
          <w:p w14:paraId="2920794D">
            <w:pPr>
              <w:spacing w:line="360" w:lineRule="auto"/>
              <w:jc w:val="center"/>
              <w:rPr>
                <w:color w:val="auto"/>
                <w:sz w:val="24"/>
                <w:highlight w:val="none"/>
              </w:rPr>
            </w:pPr>
            <w:r>
              <w:rPr>
                <w:rFonts w:hint="eastAsia"/>
                <w:color w:val="auto"/>
                <w:sz w:val="24"/>
                <w:highlight w:val="none"/>
              </w:rPr>
              <w:t>申</w:t>
            </w:r>
          </w:p>
          <w:p w14:paraId="20198BAC">
            <w:pPr>
              <w:spacing w:line="360" w:lineRule="auto"/>
              <w:jc w:val="center"/>
              <w:rPr>
                <w:color w:val="auto"/>
                <w:sz w:val="24"/>
                <w:highlight w:val="none"/>
              </w:rPr>
            </w:pPr>
            <w:r>
              <w:rPr>
                <w:rFonts w:hint="eastAsia"/>
                <w:color w:val="auto"/>
                <w:sz w:val="24"/>
                <w:highlight w:val="none"/>
              </w:rPr>
              <w:t>请</w:t>
            </w:r>
          </w:p>
        </w:tc>
        <w:tc>
          <w:tcPr>
            <w:tcW w:w="8456" w:type="dxa"/>
            <w:vAlign w:val="center"/>
          </w:tcPr>
          <w:p w14:paraId="08958D4F">
            <w:pPr>
              <w:spacing w:line="360" w:lineRule="auto"/>
              <w:rPr>
                <w:color w:val="auto"/>
                <w:sz w:val="24"/>
                <w:highlight w:val="none"/>
              </w:rPr>
            </w:pPr>
            <w:r>
              <w:rPr>
                <w:rFonts w:hint="eastAsia"/>
                <w:color w:val="auto"/>
                <w:sz w:val="24"/>
                <w:highlight w:val="none"/>
              </w:rPr>
              <w:t>项目编号：</w:t>
            </w:r>
          </w:p>
        </w:tc>
      </w:tr>
      <w:tr w14:paraId="3E36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008" w:type="dxa"/>
            <w:vMerge w:val="continue"/>
            <w:vAlign w:val="center"/>
          </w:tcPr>
          <w:p w14:paraId="5FA6E120">
            <w:pPr>
              <w:spacing w:line="360" w:lineRule="auto"/>
              <w:rPr>
                <w:color w:val="auto"/>
                <w:sz w:val="24"/>
                <w:highlight w:val="none"/>
              </w:rPr>
            </w:pPr>
          </w:p>
        </w:tc>
        <w:tc>
          <w:tcPr>
            <w:tcW w:w="8456" w:type="dxa"/>
            <w:vAlign w:val="center"/>
          </w:tcPr>
          <w:p w14:paraId="3AEB4498">
            <w:pPr>
              <w:spacing w:line="360" w:lineRule="auto"/>
              <w:rPr>
                <w:color w:val="auto"/>
                <w:sz w:val="24"/>
                <w:highlight w:val="none"/>
              </w:rPr>
            </w:pPr>
            <w:r>
              <w:rPr>
                <w:rFonts w:hint="eastAsia"/>
                <w:color w:val="auto"/>
                <w:sz w:val="24"/>
                <w:highlight w:val="none"/>
              </w:rPr>
              <w:t>项目名称：</w:t>
            </w:r>
          </w:p>
        </w:tc>
      </w:tr>
      <w:tr w14:paraId="59B1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vMerge w:val="continue"/>
          </w:tcPr>
          <w:p w14:paraId="69C66D61">
            <w:pPr>
              <w:spacing w:line="360" w:lineRule="auto"/>
              <w:rPr>
                <w:color w:val="auto"/>
                <w:sz w:val="24"/>
                <w:highlight w:val="none"/>
              </w:rPr>
            </w:pPr>
          </w:p>
        </w:tc>
        <w:tc>
          <w:tcPr>
            <w:tcW w:w="8456" w:type="dxa"/>
          </w:tcPr>
          <w:p w14:paraId="2D11B2B9">
            <w:pPr>
              <w:spacing w:line="360" w:lineRule="auto"/>
              <w:rPr>
                <w:color w:val="auto"/>
                <w:sz w:val="24"/>
                <w:highlight w:val="none"/>
              </w:rPr>
            </w:pPr>
          </w:p>
          <w:p w14:paraId="76CDAC15">
            <w:pPr>
              <w:spacing w:line="360" w:lineRule="auto"/>
              <w:ind w:firstLine="480" w:firstLineChars="200"/>
              <w:rPr>
                <w:color w:val="auto"/>
                <w:sz w:val="24"/>
                <w:highlight w:val="none"/>
              </w:rPr>
            </w:pPr>
            <w:r>
              <w:rPr>
                <w:rFonts w:hint="eastAsia"/>
                <w:color w:val="auto"/>
                <w:sz w:val="24"/>
                <w:highlight w:val="none"/>
              </w:rPr>
              <w:t>该项目已于年月日验收并交付使用。根据合同规定，该项目的履约保证金期限于年月日已满，请将履约保证金</w:t>
            </w:r>
          </w:p>
          <w:p w14:paraId="4D00DE27">
            <w:pPr>
              <w:spacing w:line="360" w:lineRule="auto"/>
              <w:rPr>
                <w:color w:val="auto"/>
                <w:sz w:val="24"/>
                <w:highlight w:val="none"/>
              </w:rPr>
            </w:pPr>
            <w:r>
              <w:rPr>
                <w:rFonts w:hint="eastAsia"/>
                <w:color w:val="auto"/>
                <w:sz w:val="24"/>
                <w:highlight w:val="none"/>
              </w:rPr>
              <w:t>（大写）￥（小写）退付到达以下</w:t>
            </w:r>
            <w:r>
              <w:rPr>
                <w:rFonts w:hint="eastAsia"/>
                <w:color w:val="auto"/>
                <w:sz w:val="24"/>
                <w:highlight w:val="none"/>
                <w:lang w:eastAsia="zh-CN"/>
              </w:rPr>
              <w:t>账户</w:t>
            </w:r>
            <w:r>
              <w:rPr>
                <w:rFonts w:hint="eastAsia"/>
                <w:color w:val="auto"/>
                <w:sz w:val="24"/>
                <w:highlight w:val="none"/>
              </w:rPr>
              <w:t>。</w:t>
            </w:r>
          </w:p>
          <w:p w14:paraId="5B75B663">
            <w:pPr>
              <w:spacing w:line="360" w:lineRule="auto"/>
              <w:ind w:firstLine="705"/>
              <w:rPr>
                <w:color w:val="auto"/>
                <w:sz w:val="24"/>
                <w:highlight w:val="none"/>
              </w:rPr>
            </w:pPr>
            <w:r>
              <w:rPr>
                <w:rFonts w:hint="eastAsia"/>
                <w:color w:val="auto"/>
                <w:sz w:val="24"/>
                <w:highlight w:val="none"/>
              </w:rPr>
              <w:t>单位名称：</w:t>
            </w:r>
          </w:p>
          <w:p w14:paraId="74A40E77">
            <w:pPr>
              <w:spacing w:line="360" w:lineRule="auto"/>
              <w:ind w:firstLine="705"/>
              <w:rPr>
                <w:color w:val="auto"/>
                <w:sz w:val="24"/>
                <w:highlight w:val="none"/>
              </w:rPr>
            </w:pPr>
            <w:r>
              <w:rPr>
                <w:rFonts w:hint="eastAsia"/>
                <w:color w:val="auto"/>
                <w:sz w:val="24"/>
                <w:highlight w:val="none"/>
              </w:rPr>
              <w:t>开户银行：</w:t>
            </w:r>
          </w:p>
          <w:p w14:paraId="44BD0FD4">
            <w:pPr>
              <w:spacing w:line="360" w:lineRule="auto"/>
              <w:ind w:firstLine="705"/>
              <w:rPr>
                <w:color w:val="auto"/>
                <w:sz w:val="24"/>
                <w:highlight w:val="none"/>
              </w:rPr>
            </w:pPr>
            <w:r>
              <w:rPr>
                <w:rFonts w:hint="eastAsia"/>
                <w:color w:val="auto"/>
                <w:sz w:val="24"/>
                <w:highlight w:val="none"/>
                <w:lang w:eastAsia="zh-CN"/>
              </w:rPr>
              <w:t>账号</w:t>
            </w:r>
            <w:r>
              <w:rPr>
                <w:rFonts w:hint="eastAsia"/>
                <w:color w:val="auto"/>
                <w:sz w:val="24"/>
                <w:highlight w:val="none"/>
              </w:rPr>
              <w:t>：</w:t>
            </w:r>
          </w:p>
          <w:p w14:paraId="2AA57E4E">
            <w:pPr>
              <w:spacing w:line="360" w:lineRule="auto"/>
              <w:rPr>
                <w:color w:val="auto"/>
                <w:sz w:val="24"/>
                <w:highlight w:val="none"/>
              </w:rPr>
            </w:pPr>
            <w:r>
              <w:rPr>
                <w:rFonts w:hint="eastAsia"/>
                <w:color w:val="auto"/>
                <w:sz w:val="24"/>
                <w:highlight w:val="none"/>
              </w:rPr>
              <w:t>联系人及电话：</w:t>
            </w:r>
          </w:p>
          <w:p w14:paraId="65ED10A6">
            <w:pPr>
              <w:spacing w:line="360" w:lineRule="auto"/>
              <w:rPr>
                <w:color w:val="auto"/>
                <w:sz w:val="24"/>
                <w:highlight w:val="none"/>
              </w:rPr>
            </w:pPr>
          </w:p>
          <w:p w14:paraId="45EA6167">
            <w:pPr>
              <w:spacing w:line="360" w:lineRule="auto"/>
              <w:jc w:val="center"/>
              <w:rPr>
                <w:color w:val="auto"/>
                <w:sz w:val="24"/>
                <w:highlight w:val="none"/>
              </w:rPr>
            </w:pPr>
            <w:r>
              <w:rPr>
                <w:rFonts w:hint="eastAsia"/>
                <w:color w:val="auto"/>
                <w:sz w:val="24"/>
                <w:highlight w:val="none"/>
              </w:rPr>
              <w:t>供应商签章：</w:t>
            </w:r>
          </w:p>
          <w:p w14:paraId="554DEE0C">
            <w:pPr>
              <w:spacing w:line="360" w:lineRule="auto"/>
              <w:jc w:val="center"/>
              <w:rPr>
                <w:color w:val="auto"/>
                <w:sz w:val="24"/>
                <w:highlight w:val="none"/>
              </w:rPr>
            </w:pPr>
            <w:r>
              <w:rPr>
                <w:rFonts w:hint="eastAsia"/>
                <w:color w:val="auto"/>
                <w:sz w:val="24"/>
                <w:highlight w:val="none"/>
              </w:rPr>
              <w:t>年月日</w:t>
            </w:r>
          </w:p>
        </w:tc>
      </w:tr>
      <w:tr w14:paraId="2427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jc w:val="center"/>
        </w:trPr>
        <w:tc>
          <w:tcPr>
            <w:tcW w:w="1008" w:type="dxa"/>
            <w:vAlign w:val="center"/>
          </w:tcPr>
          <w:p w14:paraId="06F6B17A">
            <w:pPr>
              <w:spacing w:line="360" w:lineRule="auto"/>
              <w:jc w:val="center"/>
              <w:rPr>
                <w:color w:val="auto"/>
                <w:sz w:val="24"/>
                <w:highlight w:val="none"/>
              </w:rPr>
            </w:pPr>
            <w:r>
              <w:rPr>
                <w:rFonts w:hint="eastAsia"/>
                <w:color w:val="auto"/>
                <w:sz w:val="24"/>
                <w:highlight w:val="none"/>
              </w:rPr>
              <w:t>采</w:t>
            </w:r>
          </w:p>
          <w:p w14:paraId="281AD6D9">
            <w:pPr>
              <w:spacing w:line="360" w:lineRule="auto"/>
              <w:jc w:val="center"/>
              <w:rPr>
                <w:color w:val="auto"/>
                <w:sz w:val="24"/>
                <w:highlight w:val="none"/>
              </w:rPr>
            </w:pPr>
            <w:r>
              <w:rPr>
                <w:rFonts w:hint="eastAsia"/>
                <w:color w:val="auto"/>
                <w:sz w:val="24"/>
                <w:highlight w:val="none"/>
              </w:rPr>
              <w:t>购</w:t>
            </w:r>
          </w:p>
          <w:p w14:paraId="33F7988C">
            <w:pPr>
              <w:spacing w:line="360" w:lineRule="auto"/>
              <w:jc w:val="center"/>
              <w:rPr>
                <w:color w:val="auto"/>
                <w:sz w:val="24"/>
                <w:highlight w:val="none"/>
              </w:rPr>
            </w:pPr>
            <w:r>
              <w:rPr>
                <w:rFonts w:hint="eastAsia"/>
                <w:color w:val="auto"/>
                <w:sz w:val="24"/>
                <w:highlight w:val="none"/>
              </w:rPr>
              <w:t>人</w:t>
            </w:r>
          </w:p>
          <w:p w14:paraId="78923A04">
            <w:pPr>
              <w:spacing w:line="360" w:lineRule="auto"/>
              <w:jc w:val="center"/>
              <w:rPr>
                <w:color w:val="auto"/>
                <w:sz w:val="24"/>
                <w:highlight w:val="none"/>
              </w:rPr>
            </w:pPr>
            <w:r>
              <w:rPr>
                <w:rFonts w:hint="eastAsia"/>
                <w:color w:val="auto"/>
                <w:sz w:val="24"/>
                <w:highlight w:val="none"/>
              </w:rPr>
              <w:t>意</w:t>
            </w:r>
          </w:p>
          <w:p w14:paraId="414C273D">
            <w:pPr>
              <w:spacing w:line="360" w:lineRule="auto"/>
              <w:jc w:val="center"/>
              <w:rPr>
                <w:color w:val="auto"/>
                <w:sz w:val="24"/>
                <w:highlight w:val="none"/>
              </w:rPr>
            </w:pPr>
            <w:r>
              <w:rPr>
                <w:rFonts w:hint="eastAsia"/>
                <w:color w:val="auto"/>
                <w:sz w:val="24"/>
                <w:highlight w:val="none"/>
              </w:rPr>
              <w:t>见</w:t>
            </w:r>
          </w:p>
        </w:tc>
        <w:tc>
          <w:tcPr>
            <w:tcW w:w="8456" w:type="dxa"/>
          </w:tcPr>
          <w:p w14:paraId="18E09AC2">
            <w:pPr>
              <w:spacing w:line="360" w:lineRule="auto"/>
              <w:rPr>
                <w:color w:val="auto"/>
                <w:sz w:val="24"/>
                <w:highlight w:val="none"/>
              </w:rPr>
            </w:pPr>
          </w:p>
          <w:p w14:paraId="7EFC2790">
            <w:pPr>
              <w:spacing w:line="360" w:lineRule="auto"/>
              <w:rPr>
                <w:color w:val="auto"/>
                <w:sz w:val="24"/>
                <w:highlight w:val="none"/>
              </w:rPr>
            </w:pPr>
            <w:r>
              <w:rPr>
                <w:rFonts w:hint="eastAsia"/>
                <w:color w:val="auto"/>
                <w:sz w:val="24"/>
                <w:highlight w:val="none"/>
              </w:rPr>
              <w:t>退付意见：（是否同意退付履约保证金及退付金额）</w:t>
            </w:r>
          </w:p>
          <w:p w14:paraId="4F76A7D5">
            <w:pPr>
              <w:spacing w:line="360" w:lineRule="auto"/>
              <w:rPr>
                <w:color w:val="auto"/>
                <w:sz w:val="24"/>
                <w:highlight w:val="none"/>
              </w:rPr>
            </w:pPr>
          </w:p>
          <w:p w14:paraId="4A52ACB4">
            <w:pPr>
              <w:spacing w:line="360" w:lineRule="auto"/>
              <w:rPr>
                <w:color w:val="auto"/>
                <w:sz w:val="24"/>
                <w:highlight w:val="none"/>
              </w:rPr>
            </w:pPr>
          </w:p>
          <w:p w14:paraId="5F2465E3">
            <w:pPr>
              <w:spacing w:line="360" w:lineRule="auto"/>
              <w:rPr>
                <w:color w:val="auto"/>
                <w:sz w:val="24"/>
                <w:highlight w:val="none"/>
              </w:rPr>
            </w:pPr>
          </w:p>
          <w:p w14:paraId="6112C26F">
            <w:pPr>
              <w:spacing w:line="360" w:lineRule="auto"/>
              <w:rPr>
                <w:color w:val="auto"/>
                <w:sz w:val="24"/>
                <w:highlight w:val="none"/>
              </w:rPr>
            </w:pPr>
            <w:r>
              <w:rPr>
                <w:rFonts w:hint="eastAsia"/>
                <w:color w:val="auto"/>
                <w:sz w:val="24"/>
                <w:highlight w:val="none"/>
              </w:rPr>
              <w:t>联系人及电话：采购人签章</w:t>
            </w:r>
          </w:p>
          <w:p w14:paraId="11B2584B">
            <w:pPr>
              <w:spacing w:line="360" w:lineRule="auto"/>
              <w:jc w:val="center"/>
              <w:rPr>
                <w:color w:val="auto"/>
                <w:sz w:val="24"/>
                <w:highlight w:val="none"/>
              </w:rPr>
            </w:pPr>
            <w:r>
              <w:rPr>
                <w:rFonts w:hint="eastAsia"/>
                <w:color w:val="auto"/>
                <w:sz w:val="24"/>
                <w:highlight w:val="none"/>
              </w:rPr>
              <w:t>年月日</w:t>
            </w:r>
          </w:p>
          <w:p w14:paraId="43A5F2F1">
            <w:pPr>
              <w:spacing w:line="360" w:lineRule="auto"/>
              <w:jc w:val="center"/>
              <w:rPr>
                <w:color w:val="auto"/>
                <w:sz w:val="24"/>
                <w:highlight w:val="none"/>
              </w:rPr>
            </w:pPr>
          </w:p>
        </w:tc>
      </w:tr>
    </w:tbl>
    <w:p w14:paraId="2C288414">
      <w:pPr>
        <w:snapToGrid/>
        <w:spacing w:before="120" w:after="120" w:line="360" w:lineRule="auto"/>
        <w:rPr>
          <w:rFonts w:ascii="宋体" w:hAnsi="宋体"/>
          <w:color w:val="auto"/>
          <w:kern w:val="0"/>
          <w:szCs w:val="21"/>
          <w:highlight w:val="none"/>
        </w:rPr>
      </w:pPr>
      <w:r>
        <w:rPr>
          <w:rFonts w:hint="eastAsia" w:ascii="宋体" w:hAnsi="Courier New"/>
          <w:b/>
          <w:bCs/>
          <w:color w:val="auto"/>
          <w:kern w:val="0"/>
          <w:szCs w:val="21"/>
          <w:highlight w:val="none"/>
        </w:rPr>
        <w:t>注：供应商凭经采购人审批的退付意见书到保证金收取单位办理履约保证金退付事宜。</w:t>
      </w:r>
    </w:p>
    <w:p w14:paraId="7C9E79DA">
      <w:pPr>
        <w:snapToGrid/>
        <w:spacing w:line="360" w:lineRule="auto"/>
        <w:rPr>
          <w:rFonts w:ascii="宋体" w:hAnsi="宋体" w:cs="宋体"/>
          <w:b/>
          <w:color w:val="auto"/>
          <w:szCs w:val="21"/>
          <w:highlight w:val="none"/>
        </w:rPr>
      </w:pPr>
      <w:r>
        <w:rPr>
          <w:rFonts w:ascii="宋体" w:hAnsi="宋体" w:cs="宋体"/>
          <w:b/>
          <w:color w:val="auto"/>
          <w:szCs w:val="21"/>
          <w:highlight w:val="none"/>
        </w:rPr>
        <w:br w:type="page"/>
      </w:r>
    </w:p>
    <w:p w14:paraId="0BE7F8A3">
      <w:pPr>
        <w:spacing w:line="360" w:lineRule="auto"/>
        <w:ind w:firstLine="482" w:firstLineChars="200"/>
        <w:rPr>
          <w:rFonts w:hint="default" w:ascii="Times New Roman" w:hAnsi="Times New Roman" w:eastAsia="仿宋" w:cs="Times New Roman"/>
          <w:b/>
          <w:color w:val="auto"/>
          <w:sz w:val="24"/>
          <w:szCs w:val="24"/>
          <w:highlight w:val="none"/>
        </w:rPr>
      </w:pPr>
    </w:p>
    <w:p w14:paraId="03959037">
      <w:pPr>
        <w:pStyle w:val="2"/>
        <w:spacing w:line="360" w:lineRule="auto"/>
        <w:jc w:val="center"/>
        <w:rPr>
          <w:rFonts w:hint="eastAsia" w:ascii="宋体" w:hAnsi="宋体" w:cs="仿宋_GB2312"/>
          <w:color w:val="auto"/>
          <w:highlight w:val="none"/>
        </w:rPr>
        <w:sectPr>
          <w:pgSz w:w="11910" w:h="16840"/>
          <w:pgMar w:top="1440" w:right="1440" w:bottom="1440" w:left="1440" w:header="720" w:footer="720" w:gutter="0"/>
          <w:pgNumType w:fmt="decimal"/>
          <w:cols w:space="0" w:num="1"/>
          <w:rtlGutter w:val="0"/>
          <w:docGrid w:type="lines" w:linePitch="331" w:charSpace="0"/>
        </w:sectPr>
      </w:pPr>
      <w:bookmarkStart w:id="85" w:name="_Toc80886951"/>
      <w:bookmarkStart w:id="86" w:name="_Toc18691"/>
      <w:r>
        <w:rPr>
          <w:rFonts w:hint="eastAsia" w:ascii="宋体" w:hAnsi="宋体" w:cs="仿宋_GB2312"/>
          <w:b w:val="0"/>
          <w:color w:val="auto"/>
          <w:highlight w:val="none"/>
        </w:rPr>
        <w:t>第七章 质疑、投诉材料格式</w:t>
      </w:r>
      <w:bookmarkEnd w:id="85"/>
      <w:bookmarkEnd w:id="86"/>
    </w:p>
    <w:p w14:paraId="538F2FC9">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53D9F9B1">
      <w:pPr>
        <w:pStyle w:val="19"/>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0165FC92">
      <w:pPr>
        <w:pStyle w:val="19"/>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p>
    <w:p w14:paraId="37BEC062">
      <w:pPr>
        <w:pStyle w:val="19"/>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89180D0">
      <w:pPr>
        <w:pStyle w:val="19"/>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3751F5C">
      <w:pPr>
        <w:pStyle w:val="19"/>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00626F11">
      <w:pPr>
        <w:pStyle w:val="19"/>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88ECA01">
      <w:pPr>
        <w:pStyle w:val="19"/>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188013D">
      <w:pPr>
        <w:pStyle w:val="19"/>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5ACA6BDE">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0A037BB">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4943C8FB">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9C80F86">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6F19CD41">
      <w:pPr>
        <w:pStyle w:val="19"/>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5E715CB3">
      <w:pPr>
        <w:pStyle w:val="19"/>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093654AA">
      <w:pPr>
        <w:pStyle w:val="19"/>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0EF771C5">
      <w:pPr>
        <w:pStyle w:val="19"/>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16273F94">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016279CC">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709F6E03">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63281D0C">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11A96EE0">
      <w:pPr>
        <w:pStyle w:val="19"/>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77B87F08">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61BABF18">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C0E5B28">
      <w:pPr>
        <w:pStyle w:val="19"/>
        <w:spacing w:line="360" w:lineRule="auto"/>
        <w:ind w:left="25" w:leftChars="12" w:firstLine="352" w:firstLineChars="147"/>
        <w:contextualSpacing/>
        <w:rPr>
          <w:rFonts w:hint="eastAsia" w:hAnsi="宋体"/>
          <w:color w:val="auto"/>
          <w:sz w:val="24"/>
          <w:szCs w:val="24"/>
          <w:highlight w:val="none"/>
        </w:rPr>
      </w:pPr>
    </w:p>
    <w:p w14:paraId="77F227C3">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5C8FD304">
      <w:pPr>
        <w:pStyle w:val="19"/>
        <w:spacing w:line="360" w:lineRule="auto"/>
        <w:ind w:left="25" w:leftChars="12" w:firstLine="352" w:firstLineChars="147"/>
        <w:contextualSpacing/>
        <w:rPr>
          <w:rFonts w:hint="eastAsia" w:hAnsi="宋体"/>
          <w:color w:val="auto"/>
          <w:sz w:val="24"/>
          <w:szCs w:val="24"/>
          <w:highlight w:val="none"/>
        </w:rPr>
      </w:pPr>
    </w:p>
    <w:p w14:paraId="35F59B07">
      <w:pPr>
        <w:pStyle w:val="19"/>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1C88CF7B">
      <w:pPr>
        <w:pStyle w:val="19"/>
        <w:spacing w:line="360" w:lineRule="auto"/>
        <w:contextualSpacing/>
        <w:rPr>
          <w:rFonts w:hint="eastAsia" w:hAnsi="宋体"/>
          <w:b/>
          <w:color w:val="auto"/>
          <w:sz w:val="24"/>
          <w:szCs w:val="24"/>
          <w:highlight w:val="none"/>
        </w:rPr>
      </w:pPr>
    </w:p>
    <w:p w14:paraId="23A6BEA9">
      <w:pPr>
        <w:pStyle w:val="19"/>
        <w:spacing w:line="360" w:lineRule="auto"/>
        <w:contextualSpacing/>
        <w:rPr>
          <w:rFonts w:hint="eastAsia" w:hAnsi="宋体"/>
          <w:b/>
          <w:color w:val="auto"/>
          <w:sz w:val="24"/>
          <w:szCs w:val="24"/>
          <w:highlight w:val="none"/>
        </w:rPr>
      </w:pPr>
    </w:p>
    <w:p w14:paraId="78C1DCF7">
      <w:pPr>
        <w:pStyle w:val="19"/>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60B9736C">
      <w:pPr>
        <w:pStyle w:val="19"/>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76184D45">
      <w:pPr>
        <w:pStyle w:val="19"/>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7F97706">
      <w:pPr>
        <w:pStyle w:val="19"/>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DDF0257">
      <w:pPr>
        <w:pStyle w:val="19"/>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3EBBBED3">
      <w:pPr>
        <w:pStyle w:val="19"/>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022163F0">
      <w:pPr>
        <w:pStyle w:val="19"/>
        <w:snapToGrid/>
        <w:spacing w:line="360" w:lineRule="auto"/>
        <w:rPr>
          <w:rFonts w:hint="eastAsia"/>
          <w:b/>
          <w:color w:val="auto"/>
          <w:sz w:val="24"/>
          <w:szCs w:val="24"/>
          <w:highlight w:val="none"/>
        </w:rPr>
      </w:pPr>
    </w:p>
    <w:p w14:paraId="56984D27">
      <w:pPr>
        <w:spacing w:line="360" w:lineRule="auto"/>
        <w:jc w:val="center"/>
        <w:rPr>
          <w:rFonts w:hint="eastAsia" w:eastAsia="隶书"/>
          <w:color w:val="auto"/>
          <w:sz w:val="44"/>
          <w:highlight w:val="none"/>
        </w:rPr>
      </w:pPr>
      <w:r>
        <w:rPr>
          <w:rFonts w:eastAsia="隶书"/>
          <w:color w:val="auto"/>
          <w:sz w:val="44"/>
          <w:highlight w:val="none"/>
        </w:rPr>
        <w:br w:type="page"/>
      </w:r>
    </w:p>
    <w:p w14:paraId="2E81EE71">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18AD15C0">
      <w:pPr>
        <w:pStyle w:val="19"/>
        <w:snapToGrid/>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2930E01F">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p>
    <w:p w14:paraId="6CD50528">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7643E2E">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73BF8E26">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248BE39">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DF1FF92">
      <w:pPr>
        <w:pStyle w:val="19"/>
        <w:snapToGrid/>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DD4578C">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735390B">
      <w:pPr>
        <w:pStyle w:val="19"/>
        <w:snapToGrid/>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3DF8B89">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018F6306">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D5C0778">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2D4CE52">
      <w:pPr>
        <w:pStyle w:val="19"/>
        <w:snapToGrid/>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30A2BBDE">
      <w:pPr>
        <w:pStyle w:val="19"/>
        <w:snapToGrid/>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0E09D69F">
      <w:pPr>
        <w:pStyle w:val="19"/>
        <w:snapToGrid/>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7218C7E2">
      <w:pPr>
        <w:pStyle w:val="19"/>
        <w:snapToGrid/>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8FBAF94">
      <w:pPr>
        <w:pStyle w:val="19"/>
        <w:snapToGrid/>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D6E637A">
      <w:pPr>
        <w:pStyle w:val="19"/>
        <w:snapToGrid/>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650C55F">
      <w:pPr>
        <w:pStyle w:val="19"/>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3EA77E7C">
      <w:pPr>
        <w:pStyle w:val="19"/>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7E1BED8">
      <w:pPr>
        <w:pStyle w:val="19"/>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1D79D21">
      <w:pPr>
        <w:pStyle w:val="19"/>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2D79CA7E">
      <w:pPr>
        <w:pStyle w:val="19"/>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AE2015E">
      <w:pPr>
        <w:pStyle w:val="19"/>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31087E5">
      <w:pPr>
        <w:pStyle w:val="19"/>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658F4197">
      <w:pPr>
        <w:pStyle w:val="19"/>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44EF3295">
      <w:pPr>
        <w:pStyle w:val="19"/>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2476C45">
      <w:pPr>
        <w:pStyle w:val="19"/>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E90C714">
      <w:pPr>
        <w:pStyle w:val="19"/>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0721B75F">
      <w:pPr>
        <w:pStyle w:val="19"/>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7E7D83E0">
      <w:pPr>
        <w:pStyle w:val="19"/>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DBAD4FE">
      <w:pPr>
        <w:pStyle w:val="19"/>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0C01A6CC">
      <w:pPr>
        <w:pStyle w:val="19"/>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6F8CE310">
      <w:pPr>
        <w:pStyle w:val="19"/>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19F6C86">
      <w:pPr>
        <w:pStyle w:val="19"/>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2DD232F">
      <w:pPr>
        <w:pStyle w:val="19"/>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D51F54C">
      <w:pPr>
        <w:pStyle w:val="19"/>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675A2A5A">
      <w:pPr>
        <w:pStyle w:val="19"/>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691D7935">
      <w:pPr>
        <w:pStyle w:val="19"/>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5A22BE79">
      <w:pPr>
        <w:pStyle w:val="19"/>
        <w:spacing w:line="360" w:lineRule="auto"/>
        <w:ind w:left="25" w:leftChars="12" w:firstLine="352" w:firstLineChars="147"/>
        <w:rPr>
          <w:rFonts w:hint="eastAsia" w:hAnsi="宋体"/>
          <w:color w:val="auto"/>
          <w:sz w:val="24"/>
          <w:szCs w:val="24"/>
          <w:highlight w:val="none"/>
        </w:rPr>
      </w:pPr>
    </w:p>
    <w:p w14:paraId="64F5A0F7">
      <w:pPr>
        <w:pStyle w:val="19"/>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10FF4796">
      <w:pPr>
        <w:pStyle w:val="19"/>
        <w:spacing w:line="360" w:lineRule="auto"/>
        <w:ind w:left="25" w:leftChars="12" w:firstLine="352" w:firstLineChars="147"/>
        <w:rPr>
          <w:rFonts w:hint="eastAsia" w:hAnsi="宋体"/>
          <w:color w:val="auto"/>
          <w:sz w:val="24"/>
          <w:szCs w:val="24"/>
          <w:highlight w:val="none"/>
        </w:rPr>
      </w:pPr>
    </w:p>
    <w:p w14:paraId="04DEB0B0">
      <w:pPr>
        <w:pStyle w:val="19"/>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60D1754F">
      <w:pPr>
        <w:pStyle w:val="19"/>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1DEB75A1">
      <w:pPr>
        <w:pStyle w:val="19"/>
        <w:snapToGrid/>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2ADD51CC">
      <w:pPr>
        <w:pStyle w:val="19"/>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5A9150F9">
      <w:pPr>
        <w:pStyle w:val="19"/>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52D51EB">
      <w:pPr>
        <w:pStyle w:val="19"/>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8D5034E">
      <w:pPr>
        <w:pStyle w:val="19"/>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C8A9C8F">
      <w:pPr>
        <w:pStyle w:val="19"/>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74BC212F">
      <w:pPr>
        <w:pStyle w:val="19"/>
        <w:spacing w:line="360" w:lineRule="auto"/>
        <w:ind w:left="25" w:leftChars="12" w:firstLine="354" w:firstLineChars="147"/>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9BAB1A9">
      <w:pPr>
        <w:snapToGrid/>
        <w:spacing w:line="360" w:lineRule="auto"/>
        <w:rPr>
          <w:rFonts w:ascii="宋体" w:hAnsi="宋体" w:cs="宋体"/>
          <w:b/>
          <w:color w:val="auto"/>
          <w:szCs w:val="21"/>
          <w:highlight w:val="none"/>
        </w:rPr>
      </w:pPr>
    </w:p>
    <w:sectPr>
      <w:footerReference r:id="rId8" w:type="first"/>
      <w:headerReference r:id="rId6" w:type="default"/>
      <w:footerReference r:id="rId7" w:type="default"/>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4EF11D8-7571-41B4-89CA-7D419519F3AB}"/>
  </w:font>
  <w:font w:name="黑体">
    <w:panose1 w:val="02010609060101010101"/>
    <w:charset w:val="86"/>
    <w:family w:val="auto"/>
    <w:pitch w:val="default"/>
    <w:sig w:usb0="800002BF" w:usb1="38CF7CFA" w:usb2="00000016" w:usb3="00000000" w:csb0="00040001" w:csb1="00000000"/>
    <w:embedRegular r:id="rId2" w:fontKey="{6B301383-C3E2-4E17-8148-6A6B3961D3E4}"/>
  </w:font>
  <w:font w:name="Courier New">
    <w:panose1 w:val="02070309020205020404"/>
    <w:charset w:val="01"/>
    <w:family w:val="modern"/>
    <w:pitch w:val="default"/>
    <w:sig w:usb0="E0002AFF" w:usb1="C0007843" w:usb2="00000009" w:usb3="00000000" w:csb0="400001FF" w:csb1="FFFF0000"/>
    <w:embedRegular r:id="rId3" w:fontKey="{C3632A2F-BCB7-4A47-A7A8-9D21796E357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FE347F6A-36AB-4394-AC4E-ED2D5FD927FE}"/>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altName w:val="微软雅黑"/>
    <w:panose1 w:val="02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embedRegular r:id="rId5" w:fontKey="{4C30240D-59CD-4D5C-BF8A-4D94CF5E42B7}"/>
  </w:font>
  <w:font w:name="方正小标宋简体">
    <w:panose1 w:val="02000000000000000000"/>
    <w:charset w:val="86"/>
    <w:family w:val="script"/>
    <w:pitch w:val="default"/>
    <w:sig w:usb0="00000001" w:usb1="08000000" w:usb2="00000000" w:usb3="00000000" w:csb0="00040000" w:csb1="00000000"/>
    <w:embedRegular r:id="rId6" w:fontKey="{EE1E8E0C-5D81-4739-AF36-EBCFF7A88565}"/>
  </w:font>
  <w:font w:name="仿宋">
    <w:panose1 w:val="02010609060101010101"/>
    <w:charset w:val="86"/>
    <w:family w:val="auto"/>
    <w:pitch w:val="default"/>
    <w:sig w:usb0="800002BF" w:usb1="38CF7CFA" w:usb2="00000016" w:usb3="00000000" w:csb0="00040001" w:csb1="00000000"/>
    <w:embedRegular r:id="rId7" w:fontKey="{77D60BEF-0862-4A79-ACE9-0E05D9C22354}"/>
  </w:font>
  <w:font w:name="隶书">
    <w:panose1 w:val="02010509060101010101"/>
    <w:charset w:val="86"/>
    <w:family w:val="modern"/>
    <w:pitch w:val="default"/>
    <w:sig w:usb0="00000001" w:usb1="080E0000" w:usb2="00000000" w:usb3="00000000" w:csb0="00040000" w:csb1="00000000"/>
    <w:embedRegular r:id="rId8" w:fontKey="{936E3DCC-AFD3-4C35-9BC2-0787080D3D4A}"/>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E7172">
    <w:pPr>
      <w:pStyle w:val="2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CE186">
                          <w:pPr>
                            <w:pStyle w:val="2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0CCE186">
                    <w:pPr>
                      <w:pStyle w:val="2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2011C">
    <w:pPr>
      <w:pStyle w:val="2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9B876">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59B876">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DFEE2">
    <w:pPr>
      <w:pStyle w:val="23"/>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A05BE">
                          <w:pPr>
                            <w:pStyle w:val="23"/>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513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yCxWB2AEAALUDAAAOAAAAAAAAAAEAIAAA&#10;AB4BAABkcnMvZTJvRG9jLnhtbFBLBQYAAAAABgAGAFkBAABoBQAAAAA=&#10;">
              <v:fill on="f" focussize="0,0"/>
              <v:stroke on="f"/>
              <v:imagedata o:title=""/>
              <o:lock v:ext="edit" aspectratio="f"/>
              <v:textbox inset="0mm,0mm,0mm,0mm" style="mso-fit-shape-to-text:t;">
                <w:txbxContent>
                  <w:p w14:paraId="182A05BE">
                    <w:pPr>
                      <w:pStyle w:val="2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5FCF8">
    <w:pPr>
      <w:pStyle w:val="2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312457">
                          <w:pPr>
                            <w:pStyle w:val="23"/>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513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BGeMCraAQAAtQMAAA4AAAAAAAAAAQAg&#10;AAAAHgEAAGRycy9lMm9Eb2MueG1sUEsFBgAAAAAGAAYAWQEAAGoFAAAAAA==&#10;">
              <v:fill on="f" focussize="0,0"/>
              <v:stroke on="f"/>
              <v:imagedata o:title=""/>
              <o:lock v:ext="edit" aspectratio="f"/>
              <v:textbox inset="0mm,0mm,0mm,0mm" style="mso-fit-shape-to-text:t;">
                <w:txbxContent>
                  <w:p w14:paraId="27312457">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B889">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6FCE9">
    <w:pPr>
      <w:pStyle w:val="24"/>
      <w:pBdr>
        <w:bottom w:val="none" w:color="auto" w:sz="0" w:space="1"/>
      </w:pBdr>
    </w:pPr>
    <w:bookmarkStart w:id="87" w:name="PO_header"/>
    <w:bookmarkEnd w:id="8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EFB6C"/>
    <w:multiLevelType w:val="singleLevel"/>
    <w:tmpl w:val="EACEFB6C"/>
    <w:lvl w:ilvl="0" w:tentative="0">
      <w:start w:val="1"/>
      <w:numFmt w:val="decimal"/>
      <w:lvlText w:val="%1."/>
      <w:lvlJc w:val="left"/>
      <w:pPr>
        <w:tabs>
          <w:tab w:val="left" w:pos="0"/>
        </w:tabs>
        <w:ind w:left="0" w:firstLine="0"/>
      </w:pPr>
      <w:rPr>
        <w:rFonts w:hint="default"/>
      </w:rPr>
    </w:lvl>
  </w:abstractNum>
  <w:abstractNum w:abstractNumId="1">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1F074B5B"/>
    <w:multiLevelType w:val="singleLevel"/>
    <w:tmpl w:val="1F074B5B"/>
    <w:lvl w:ilvl="0" w:tentative="0">
      <w:start w:val="2"/>
      <w:numFmt w:val="decimal"/>
      <w:suff w:val="nothing"/>
      <w:lvlText w:val="%1、"/>
      <w:lvlJc w:val="left"/>
    </w:lvl>
  </w:abstractNum>
  <w:abstractNum w:abstractNumId="4">
    <w:nsid w:val="79242810"/>
    <w:multiLevelType w:val="singleLevel"/>
    <w:tmpl w:val="79242810"/>
    <w:lvl w:ilvl="0" w:tentative="0">
      <w:start w:val="1"/>
      <w:numFmt w:val="decimal"/>
      <w:lvlText w:val="%1."/>
      <w:lvlJc w:val="left"/>
      <w:pPr>
        <w:tabs>
          <w:tab w:val="left" w:pos="0"/>
        </w:tabs>
        <w:ind w:left="0" w:firstLine="0"/>
      </w:pPr>
      <w:rPr>
        <w:rFonts w:hint="default"/>
      </w:rPr>
    </w:lvl>
  </w:abstractNum>
  <w:num w:numId="1">
    <w:abstractNumId w:val="4"/>
  </w:num>
  <w:num w:numId="2">
    <w:abstractNumId w:val="0"/>
  </w:num>
  <w:num w:numId="3">
    <w:abstractNumId w:val="1"/>
    <w:lvlOverride w:ilvl="0">
      <w:startOverride w:val="1"/>
    </w:lvlOverride>
  </w:num>
  <w:num w:numId="4">
    <w:abstractNumId w:val="2"/>
    <w:lvlOverride w:ilvl="0">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2ZmFjZjZkZjQ5MTA1ZTRmMmJkMDM4OGQ1ZDI1YTMifQ=="/>
  </w:docVars>
  <w:rsids>
    <w:rsidRoot w:val="00F34B14"/>
    <w:rsid w:val="00000672"/>
    <w:rsid w:val="00001013"/>
    <w:rsid w:val="00001799"/>
    <w:rsid w:val="00001AF2"/>
    <w:rsid w:val="00001ECA"/>
    <w:rsid w:val="00002D29"/>
    <w:rsid w:val="00003B93"/>
    <w:rsid w:val="0000474D"/>
    <w:rsid w:val="00005FDF"/>
    <w:rsid w:val="000070B3"/>
    <w:rsid w:val="000076B8"/>
    <w:rsid w:val="000109DC"/>
    <w:rsid w:val="00010D39"/>
    <w:rsid w:val="0001172C"/>
    <w:rsid w:val="00012854"/>
    <w:rsid w:val="00012EA6"/>
    <w:rsid w:val="000139CF"/>
    <w:rsid w:val="00013AA4"/>
    <w:rsid w:val="00013DFE"/>
    <w:rsid w:val="000141EA"/>
    <w:rsid w:val="00016ABC"/>
    <w:rsid w:val="000177DB"/>
    <w:rsid w:val="000179C9"/>
    <w:rsid w:val="00017CCC"/>
    <w:rsid w:val="00020227"/>
    <w:rsid w:val="00020455"/>
    <w:rsid w:val="00020813"/>
    <w:rsid w:val="000220B2"/>
    <w:rsid w:val="0002264C"/>
    <w:rsid w:val="00022731"/>
    <w:rsid w:val="00022792"/>
    <w:rsid w:val="00024463"/>
    <w:rsid w:val="00025461"/>
    <w:rsid w:val="00025636"/>
    <w:rsid w:val="00025E36"/>
    <w:rsid w:val="00026855"/>
    <w:rsid w:val="00026886"/>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560F"/>
    <w:rsid w:val="0009588E"/>
    <w:rsid w:val="000959EE"/>
    <w:rsid w:val="00097183"/>
    <w:rsid w:val="000972CB"/>
    <w:rsid w:val="00097608"/>
    <w:rsid w:val="000A13F3"/>
    <w:rsid w:val="000A23B1"/>
    <w:rsid w:val="000A2B0E"/>
    <w:rsid w:val="000A398F"/>
    <w:rsid w:val="000A448C"/>
    <w:rsid w:val="000A509C"/>
    <w:rsid w:val="000A6007"/>
    <w:rsid w:val="000A65A6"/>
    <w:rsid w:val="000A70E3"/>
    <w:rsid w:val="000A7275"/>
    <w:rsid w:val="000A7A12"/>
    <w:rsid w:val="000A7A72"/>
    <w:rsid w:val="000B1202"/>
    <w:rsid w:val="000B1801"/>
    <w:rsid w:val="000B1D0C"/>
    <w:rsid w:val="000B2273"/>
    <w:rsid w:val="000B2BC6"/>
    <w:rsid w:val="000B2D03"/>
    <w:rsid w:val="000B3815"/>
    <w:rsid w:val="000B3C7B"/>
    <w:rsid w:val="000B6A6B"/>
    <w:rsid w:val="000B6C95"/>
    <w:rsid w:val="000B79FC"/>
    <w:rsid w:val="000C1679"/>
    <w:rsid w:val="000C1EE3"/>
    <w:rsid w:val="000C3AE7"/>
    <w:rsid w:val="000C3CC9"/>
    <w:rsid w:val="000C6DE4"/>
    <w:rsid w:val="000C7202"/>
    <w:rsid w:val="000D0A89"/>
    <w:rsid w:val="000D1389"/>
    <w:rsid w:val="000D1798"/>
    <w:rsid w:val="000D2626"/>
    <w:rsid w:val="000D411D"/>
    <w:rsid w:val="000D4589"/>
    <w:rsid w:val="000D73DD"/>
    <w:rsid w:val="000E1C51"/>
    <w:rsid w:val="000E28AB"/>
    <w:rsid w:val="000E2E3E"/>
    <w:rsid w:val="000E3583"/>
    <w:rsid w:val="000E3AF0"/>
    <w:rsid w:val="000E4E04"/>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30217"/>
    <w:rsid w:val="00130783"/>
    <w:rsid w:val="00130A47"/>
    <w:rsid w:val="00132B47"/>
    <w:rsid w:val="001337F8"/>
    <w:rsid w:val="001348B4"/>
    <w:rsid w:val="001351CB"/>
    <w:rsid w:val="00135530"/>
    <w:rsid w:val="00135947"/>
    <w:rsid w:val="001359A2"/>
    <w:rsid w:val="00136020"/>
    <w:rsid w:val="00136445"/>
    <w:rsid w:val="00140132"/>
    <w:rsid w:val="00141C9C"/>
    <w:rsid w:val="0014277F"/>
    <w:rsid w:val="001434BE"/>
    <w:rsid w:val="00144050"/>
    <w:rsid w:val="0014479F"/>
    <w:rsid w:val="001452B4"/>
    <w:rsid w:val="00145320"/>
    <w:rsid w:val="001476D3"/>
    <w:rsid w:val="001509CF"/>
    <w:rsid w:val="00150D1D"/>
    <w:rsid w:val="00151D6C"/>
    <w:rsid w:val="001525AA"/>
    <w:rsid w:val="00152A87"/>
    <w:rsid w:val="00153BB5"/>
    <w:rsid w:val="00154518"/>
    <w:rsid w:val="00156359"/>
    <w:rsid w:val="00156DD6"/>
    <w:rsid w:val="0016086E"/>
    <w:rsid w:val="00160D0C"/>
    <w:rsid w:val="00161172"/>
    <w:rsid w:val="00161998"/>
    <w:rsid w:val="00161E65"/>
    <w:rsid w:val="00162597"/>
    <w:rsid w:val="001629AF"/>
    <w:rsid w:val="001629FD"/>
    <w:rsid w:val="0016428A"/>
    <w:rsid w:val="001647C9"/>
    <w:rsid w:val="00165627"/>
    <w:rsid w:val="001661A3"/>
    <w:rsid w:val="00167226"/>
    <w:rsid w:val="0016782B"/>
    <w:rsid w:val="0016784D"/>
    <w:rsid w:val="00173256"/>
    <w:rsid w:val="00173B0E"/>
    <w:rsid w:val="00173E03"/>
    <w:rsid w:val="0017512C"/>
    <w:rsid w:val="0017586A"/>
    <w:rsid w:val="00175BA6"/>
    <w:rsid w:val="00176CA7"/>
    <w:rsid w:val="00176F8E"/>
    <w:rsid w:val="001778C5"/>
    <w:rsid w:val="00177E56"/>
    <w:rsid w:val="00177F0A"/>
    <w:rsid w:val="00180DA0"/>
    <w:rsid w:val="00181EAD"/>
    <w:rsid w:val="00182862"/>
    <w:rsid w:val="00184F57"/>
    <w:rsid w:val="00185544"/>
    <w:rsid w:val="00185617"/>
    <w:rsid w:val="00187A14"/>
    <w:rsid w:val="0019171E"/>
    <w:rsid w:val="00192368"/>
    <w:rsid w:val="001923A0"/>
    <w:rsid w:val="001928B1"/>
    <w:rsid w:val="00193537"/>
    <w:rsid w:val="00193846"/>
    <w:rsid w:val="00195424"/>
    <w:rsid w:val="001955FF"/>
    <w:rsid w:val="00197EDD"/>
    <w:rsid w:val="001A02B3"/>
    <w:rsid w:val="001A04BB"/>
    <w:rsid w:val="001A08D0"/>
    <w:rsid w:val="001A1B39"/>
    <w:rsid w:val="001A2120"/>
    <w:rsid w:val="001A28C6"/>
    <w:rsid w:val="001A2E69"/>
    <w:rsid w:val="001A3C34"/>
    <w:rsid w:val="001A3EDE"/>
    <w:rsid w:val="001A4222"/>
    <w:rsid w:val="001A50EA"/>
    <w:rsid w:val="001A5E24"/>
    <w:rsid w:val="001A6B27"/>
    <w:rsid w:val="001A6D8B"/>
    <w:rsid w:val="001A6DAA"/>
    <w:rsid w:val="001A7717"/>
    <w:rsid w:val="001A793A"/>
    <w:rsid w:val="001B125A"/>
    <w:rsid w:val="001B1EBA"/>
    <w:rsid w:val="001B2142"/>
    <w:rsid w:val="001B2F2B"/>
    <w:rsid w:val="001B327A"/>
    <w:rsid w:val="001B35DE"/>
    <w:rsid w:val="001B3A13"/>
    <w:rsid w:val="001B59FF"/>
    <w:rsid w:val="001B6512"/>
    <w:rsid w:val="001B65D7"/>
    <w:rsid w:val="001B6752"/>
    <w:rsid w:val="001B6768"/>
    <w:rsid w:val="001B6F1F"/>
    <w:rsid w:val="001B7ECC"/>
    <w:rsid w:val="001C025B"/>
    <w:rsid w:val="001C115F"/>
    <w:rsid w:val="001C25A7"/>
    <w:rsid w:val="001C318C"/>
    <w:rsid w:val="001C35C4"/>
    <w:rsid w:val="001C4287"/>
    <w:rsid w:val="001C4479"/>
    <w:rsid w:val="001C5190"/>
    <w:rsid w:val="001C6081"/>
    <w:rsid w:val="001C7B48"/>
    <w:rsid w:val="001D0CFB"/>
    <w:rsid w:val="001D1A0D"/>
    <w:rsid w:val="001D343C"/>
    <w:rsid w:val="001D58A1"/>
    <w:rsid w:val="001D58C2"/>
    <w:rsid w:val="001D5A8A"/>
    <w:rsid w:val="001D735E"/>
    <w:rsid w:val="001D73C8"/>
    <w:rsid w:val="001D7BC6"/>
    <w:rsid w:val="001E129E"/>
    <w:rsid w:val="001E175C"/>
    <w:rsid w:val="001E1B0E"/>
    <w:rsid w:val="001E5A94"/>
    <w:rsid w:val="001F2A2E"/>
    <w:rsid w:val="001F3356"/>
    <w:rsid w:val="001F3C63"/>
    <w:rsid w:val="001F4460"/>
    <w:rsid w:val="001F711A"/>
    <w:rsid w:val="001F75B0"/>
    <w:rsid w:val="00200CE5"/>
    <w:rsid w:val="00200F7C"/>
    <w:rsid w:val="002014DB"/>
    <w:rsid w:val="00201E12"/>
    <w:rsid w:val="002033B5"/>
    <w:rsid w:val="0020382C"/>
    <w:rsid w:val="0020437A"/>
    <w:rsid w:val="0020454C"/>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5587"/>
    <w:rsid w:val="00245F2B"/>
    <w:rsid w:val="00247F3A"/>
    <w:rsid w:val="00250122"/>
    <w:rsid w:val="00250755"/>
    <w:rsid w:val="00251043"/>
    <w:rsid w:val="00251C4A"/>
    <w:rsid w:val="0025271C"/>
    <w:rsid w:val="002533CD"/>
    <w:rsid w:val="00254EAB"/>
    <w:rsid w:val="002557AF"/>
    <w:rsid w:val="0025589C"/>
    <w:rsid w:val="00255B62"/>
    <w:rsid w:val="002566B1"/>
    <w:rsid w:val="002575E3"/>
    <w:rsid w:val="00257A74"/>
    <w:rsid w:val="002603C1"/>
    <w:rsid w:val="002609A1"/>
    <w:rsid w:val="002612B1"/>
    <w:rsid w:val="00266165"/>
    <w:rsid w:val="00266F2C"/>
    <w:rsid w:val="0027125E"/>
    <w:rsid w:val="00271767"/>
    <w:rsid w:val="00272293"/>
    <w:rsid w:val="002723C8"/>
    <w:rsid w:val="00273C2A"/>
    <w:rsid w:val="00273CBE"/>
    <w:rsid w:val="002746B1"/>
    <w:rsid w:val="0027556D"/>
    <w:rsid w:val="00282D56"/>
    <w:rsid w:val="002835B0"/>
    <w:rsid w:val="00283C74"/>
    <w:rsid w:val="0028407E"/>
    <w:rsid w:val="0028410F"/>
    <w:rsid w:val="00284572"/>
    <w:rsid w:val="00285221"/>
    <w:rsid w:val="00286FB5"/>
    <w:rsid w:val="00287763"/>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C6"/>
    <w:rsid w:val="002D5BF5"/>
    <w:rsid w:val="002D5EE8"/>
    <w:rsid w:val="002D7360"/>
    <w:rsid w:val="002D7648"/>
    <w:rsid w:val="002E109C"/>
    <w:rsid w:val="002E193E"/>
    <w:rsid w:val="002E1A94"/>
    <w:rsid w:val="002E1D55"/>
    <w:rsid w:val="002E26C4"/>
    <w:rsid w:val="002E30A5"/>
    <w:rsid w:val="002E47E4"/>
    <w:rsid w:val="002E4BF9"/>
    <w:rsid w:val="002E4D61"/>
    <w:rsid w:val="002E6E6C"/>
    <w:rsid w:val="002F0522"/>
    <w:rsid w:val="002F16DD"/>
    <w:rsid w:val="002F199D"/>
    <w:rsid w:val="002F213C"/>
    <w:rsid w:val="002F2453"/>
    <w:rsid w:val="002F352D"/>
    <w:rsid w:val="002F4084"/>
    <w:rsid w:val="002F4A08"/>
    <w:rsid w:val="002F4ADB"/>
    <w:rsid w:val="002F531E"/>
    <w:rsid w:val="002F548D"/>
    <w:rsid w:val="002F5ACC"/>
    <w:rsid w:val="002F704B"/>
    <w:rsid w:val="002F72C3"/>
    <w:rsid w:val="002F768C"/>
    <w:rsid w:val="002F7D1E"/>
    <w:rsid w:val="00300201"/>
    <w:rsid w:val="0030025A"/>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CC1"/>
    <w:rsid w:val="00311A47"/>
    <w:rsid w:val="00312504"/>
    <w:rsid w:val="00313026"/>
    <w:rsid w:val="00313913"/>
    <w:rsid w:val="0031421F"/>
    <w:rsid w:val="00314B31"/>
    <w:rsid w:val="00315A65"/>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E6C"/>
    <w:rsid w:val="003518A6"/>
    <w:rsid w:val="00351E7F"/>
    <w:rsid w:val="00352953"/>
    <w:rsid w:val="00354062"/>
    <w:rsid w:val="0035459E"/>
    <w:rsid w:val="00355C0D"/>
    <w:rsid w:val="003566A9"/>
    <w:rsid w:val="00356988"/>
    <w:rsid w:val="00356CE9"/>
    <w:rsid w:val="003570BB"/>
    <w:rsid w:val="00357128"/>
    <w:rsid w:val="0035755E"/>
    <w:rsid w:val="00357A80"/>
    <w:rsid w:val="00361441"/>
    <w:rsid w:val="00361B8B"/>
    <w:rsid w:val="00363F39"/>
    <w:rsid w:val="0036445C"/>
    <w:rsid w:val="00364627"/>
    <w:rsid w:val="00364AB0"/>
    <w:rsid w:val="003667B0"/>
    <w:rsid w:val="003667DD"/>
    <w:rsid w:val="00366B48"/>
    <w:rsid w:val="00367764"/>
    <w:rsid w:val="00370316"/>
    <w:rsid w:val="00370DC7"/>
    <w:rsid w:val="00371CBD"/>
    <w:rsid w:val="00371F20"/>
    <w:rsid w:val="00372B98"/>
    <w:rsid w:val="003737B7"/>
    <w:rsid w:val="003740CC"/>
    <w:rsid w:val="003745F4"/>
    <w:rsid w:val="00374E79"/>
    <w:rsid w:val="0037529A"/>
    <w:rsid w:val="00375388"/>
    <w:rsid w:val="00375FB9"/>
    <w:rsid w:val="00376851"/>
    <w:rsid w:val="00376FA2"/>
    <w:rsid w:val="00377A3B"/>
    <w:rsid w:val="00377E3C"/>
    <w:rsid w:val="00380BBE"/>
    <w:rsid w:val="00381D70"/>
    <w:rsid w:val="0038235E"/>
    <w:rsid w:val="003829D0"/>
    <w:rsid w:val="0038444F"/>
    <w:rsid w:val="00384B9C"/>
    <w:rsid w:val="003861F0"/>
    <w:rsid w:val="00387051"/>
    <w:rsid w:val="00387ECF"/>
    <w:rsid w:val="0039021B"/>
    <w:rsid w:val="00390429"/>
    <w:rsid w:val="0039366C"/>
    <w:rsid w:val="00393EC8"/>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316"/>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7EF8"/>
    <w:rsid w:val="00472429"/>
    <w:rsid w:val="004725E5"/>
    <w:rsid w:val="00472751"/>
    <w:rsid w:val="00473128"/>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A9C"/>
    <w:rsid w:val="00486D60"/>
    <w:rsid w:val="00491FA1"/>
    <w:rsid w:val="00492A25"/>
    <w:rsid w:val="004938A3"/>
    <w:rsid w:val="0049558B"/>
    <w:rsid w:val="00496350"/>
    <w:rsid w:val="0049797C"/>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22E"/>
    <w:rsid w:val="004B72E8"/>
    <w:rsid w:val="004C01A5"/>
    <w:rsid w:val="004C041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0638A"/>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757"/>
    <w:rsid w:val="00573733"/>
    <w:rsid w:val="00573F8B"/>
    <w:rsid w:val="00574554"/>
    <w:rsid w:val="00574E06"/>
    <w:rsid w:val="005751BB"/>
    <w:rsid w:val="00576089"/>
    <w:rsid w:val="005764B1"/>
    <w:rsid w:val="00576852"/>
    <w:rsid w:val="00576D06"/>
    <w:rsid w:val="005779E4"/>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B07EC"/>
    <w:rsid w:val="005B2B11"/>
    <w:rsid w:val="005B32A4"/>
    <w:rsid w:val="005B338D"/>
    <w:rsid w:val="005B3BAF"/>
    <w:rsid w:val="005B4DA3"/>
    <w:rsid w:val="005B5BEE"/>
    <w:rsid w:val="005B77D2"/>
    <w:rsid w:val="005C019B"/>
    <w:rsid w:val="005C1AED"/>
    <w:rsid w:val="005C30F5"/>
    <w:rsid w:val="005C51A5"/>
    <w:rsid w:val="005C557A"/>
    <w:rsid w:val="005C5C47"/>
    <w:rsid w:val="005C61DD"/>
    <w:rsid w:val="005C6438"/>
    <w:rsid w:val="005C6B8B"/>
    <w:rsid w:val="005C727F"/>
    <w:rsid w:val="005D02E3"/>
    <w:rsid w:val="005D1F34"/>
    <w:rsid w:val="005D2C1F"/>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0FD4"/>
    <w:rsid w:val="005F1516"/>
    <w:rsid w:val="005F229E"/>
    <w:rsid w:val="005F2564"/>
    <w:rsid w:val="005F3822"/>
    <w:rsid w:val="005F4635"/>
    <w:rsid w:val="005F4900"/>
    <w:rsid w:val="005F4E52"/>
    <w:rsid w:val="005F6D58"/>
    <w:rsid w:val="005F7383"/>
    <w:rsid w:val="0060058E"/>
    <w:rsid w:val="00602A3C"/>
    <w:rsid w:val="00603EFD"/>
    <w:rsid w:val="0060475B"/>
    <w:rsid w:val="00604FB6"/>
    <w:rsid w:val="00605387"/>
    <w:rsid w:val="00606302"/>
    <w:rsid w:val="006076FD"/>
    <w:rsid w:val="0061143F"/>
    <w:rsid w:val="006114D8"/>
    <w:rsid w:val="00613553"/>
    <w:rsid w:val="00613601"/>
    <w:rsid w:val="00613791"/>
    <w:rsid w:val="006150D6"/>
    <w:rsid w:val="00615245"/>
    <w:rsid w:val="0061590D"/>
    <w:rsid w:val="00617EEE"/>
    <w:rsid w:val="00620A1F"/>
    <w:rsid w:val="0062169D"/>
    <w:rsid w:val="0062181E"/>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3AB"/>
    <w:rsid w:val="00672CA5"/>
    <w:rsid w:val="00673711"/>
    <w:rsid w:val="00673F82"/>
    <w:rsid w:val="00674F74"/>
    <w:rsid w:val="0067508F"/>
    <w:rsid w:val="00677576"/>
    <w:rsid w:val="00677F8A"/>
    <w:rsid w:val="0068051E"/>
    <w:rsid w:val="00680B9D"/>
    <w:rsid w:val="00681F13"/>
    <w:rsid w:val="0068231C"/>
    <w:rsid w:val="00682344"/>
    <w:rsid w:val="00682F28"/>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B6C"/>
    <w:rsid w:val="006942AE"/>
    <w:rsid w:val="00695421"/>
    <w:rsid w:val="00697BD3"/>
    <w:rsid w:val="00697DFA"/>
    <w:rsid w:val="006A16D5"/>
    <w:rsid w:val="006A1772"/>
    <w:rsid w:val="006A1780"/>
    <w:rsid w:val="006A21DD"/>
    <w:rsid w:val="006A26C6"/>
    <w:rsid w:val="006A3B28"/>
    <w:rsid w:val="006A4FEE"/>
    <w:rsid w:val="006A703E"/>
    <w:rsid w:val="006A7BE3"/>
    <w:rsid w:val="006A7D32"/>
    <w:rsid w:val="006B01D1"/>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31"/>
    <w:rsid w:val="006F3DE3"/>
    <w:rsid w:val="006F4787"/>
    <w:rsid w:val="006F61D8"/>
    <w:rsid w:val="006F62B7"/>
    <w:rsid w:val="006F70BC"/>
    <w:rsid w:val="006F7E7C"/>
    <w:rsid w:val="0070174E"/>
    <w:rsid w:val="007018DB"/>
    <w:rsid w:val="00701DE6"/>
    <w:rsid w:val="0070381B"/>
    <w:rsid w:val="0070796C"/>
    <w:rsid w:val="00710EBF"/>
    <w:rsid w:val="007110B8"/>
    <w:rsid w:val="0071209F"/>
    <w:rsid w:val="007125A2"/>
    <w:rsid w:val="00713F79"/>
    <w:rsid w:val="007148A8"/>
    <w:rsid w:val="00716AC8"/>
    <w:rsid w:val="00716E54"/>
    <w:rsid w:val="0072033C"/>
    <w:rsid w:val="00720B1B"/>
    <w:rsid w:val="00721062"/>
    <w:rsid w:val="00721E5D"/>
    <w:rsid w:val="007229D4"/>
    <w:rsid w:val="007230F8"/>
    <w:rsid w:val="007233F4"/>
    <w:rsid w:val="00724044"/>
    <w:rsid w:val="00724417"/>
    <w:rsid w:val="007248D3"/>
    <w:rsid w:val="00725137"/>
    <w:rsid w:val="00725378"/>
    <w:rsid w:val="00727A43"/>
    <w:rsid w:val="00727FF2"/>
    <w:rsid w:val="00730550"/>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B32"/>
    <w:rsid w:val="0078051E"/>
    <w:rsid w:val="00781089"/>
    <w:rsid w:val="007838F3"/>
    <w:rsid w:val="007856FE"/>
    <w:rsid w:val="00785F46"/>
    <w:rsid w:val="007865F4"/>
    <w:rsid w:val="00786D5C"/>
    <w:rsid w:val="00786E96"/>
    <w:rsid w:val="00787DFF"/>
    <w:rsid w:val="00787F93"/>
    <w:rsid w:val="00791E6D"/>
    <w:rsid w:val="00791EB5"/>
    <w:rsid w:val="00793696"/>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E8E"/>
    <w:rsid w:val="00812C44"/>
    <w:rsid w:val="008135E1"/>
    <w:rsid w:val="00813779"/>
    <w:rsid w:val="00813E26"/>
    <w:rsid w:val="0081481D"/>
    <w:rsid w:val="00814BE8"/>
    <w:rsid w:val="00814F6E"/>
    <w:rsid w:val="00815B84"/>
    <w:rsid w:val="00816BE9"/>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4906"/>
    <w:rsid w:val="00836075"/>
    <w:rsid w:val="00836417"/>
    <w:rsid w:val="00837526"/>
    <w:rsid w:val="008407A7"/>
    <w:rsid w:val="0084322B"/>
    <w:rsid w:val="00843F81"/>
    <w:rsid w:val="00844087"/>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17E8"/>
    <w:rsid w:val="008B23A8"/>
    <w:rsid w:val="008B2E7C"/>
    <w:rsid w:val="008B45F0"/>
    <w:rsid w:val="008B4A70"/>
    <w:rsid w:val="008B502F"/>
    <w:rsid w:val="008B6DFC"/>
    <w:rsid w:val="008B70B6"/>
    <w:rsid w:val="008B7227"/>
    <w:rsid w:val="008C04E0"/>
    <w:rsid w:val="008C191C"/>
    <w:rsid w:val="008C1DA4"/>
    <w:rsid w:val="008C29B0"/>
    <w:rsid w:val="008C2CD5"/>
    <w:rsid w:val="008C3618"/>
    <w:rsid w:val="008C43AD"/>
    <w:rsid w:val="008C6118"/>
    <w:rsid w:val="008C6341"/>
    <w:rsid w:val="008C731F"/>
    <w:rsid w:val="008C74D9"/>
    <w:rsid w:val="008D3B2D"/>
    <w:rsid w:val="008D58D9"/>
    <w:rsid w:val="008D5AD4"/>
    <w:rsid w:val="008D6DD5"/>
    <w:rsid w:val="008D6E59"/>
    <w:rsid w:val="008D7155"/>
    <w:rsid w:val="008E0B29"/>
    <w:rsid w:val="008E141A"/>
    <w:rsid w:val="008E1A44"/>
    <w:rsid w:val="008E28E6"/>
    <w:rsid w:val="008E3232"/>
    <w:rsid w:val="008E3674"/>
    <w:rsid w:val="008E3B6C"/>
    <w:rsid w:val="008E562C"/>
    <w:rsid w:val="008E77D4"/>
    <w:rsid w:val="008E7ADD"/>
    <w:rsid w:val="008F091F"/>
    <w:rsid w:val="008F17B2"/>
    <w:rsid w:val="008F22B3"/>
    <w:rsid w:val="008F357B"/>
    <w:rsid w:val="008F44CA"/>
    <w:rsid w:val="008F49D3"/>
    <w:rsid w:val="008F6519"/>
    <w:rsid w:val="008F7012"/>
    <w:rsid w:val="008F7ADA"/>
    <w:rsid w:val="008F7B17"/>
    <w:rsid w:val="00900042"/>
    <w:rsid w:val="0090034B"/>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21B1"/>
    <w:rsid w:val="00932ED7"/>
    <w:rsid w:val="0093422D"/>
    <w:rsid w:val="0093483B"/>
    <w:rsid w:val="00934CF9"/>
    <w:rsid w:val="00934DD7"/>
    <w:rsid w:val="009369A9"/>
    <w:rsid w:val="00936CF7"/>
    <w:rsid w:val="00937783"/>
    <w:rsid w:val="00937EAD"/>
    <w:rsid w:val="00937F28"/>
    <w:rsid w:val="00940FE1"/>
    <w:rsid w:val="00942306"/>
    <w:rsid w:val="009424B8"/>
    <w:rsid w:val="00944668"/>
    <w:rsid w:val="00944DC6"/>
    <w:rsid w:val="009458B0"/>
    <w:rsid w:val="00945B52"/>
    <w:rsid w:val="00945B7A"/>
    <w:rsid w:val="00945F05"/>
    <w:rsid w:val="00946348"/>
    <w:rsid w:val="00947797"/>
    <w:rsid w:val="009478A2"/>
    <w:rsid w:val="009539A6"/>
    <w:rsid w:val="00954032"/>
    <w:rsid w:val="00955FBB"/>
    <w:rsid w:val="0095694B"/>
    <w:rsid w:val="00956BD5"/>
    <w:rsid w:val="00956D84"/>
    <w:rsid w:val="009577B5"/>
    <w:rsid w:val="009608E6"/>
    <w:rsid w:val="00960F57"/>
    <w:rsid w:val="00961C90"/>
    <w:rsid w:val="00965443"/>
    <w:rsid w:val="00965954"/>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7CD6"/>
    <w:rsid w:val="00980DF9"/>
    <w:rsid w:val="0098243D"/>
    <w:rsid w:val="00982D26"/>
    <w:rsid w:val="00983B6E"/>
    <w:rsid w:val="00983FE5"/>
    <w:rsid w:val="009849E9"/>
    <w:rsid w:val="009859E4"/>
    <w:rsid w:val="00987812"/>
    <w:rsid w:val="00990225"/>
    <w:rsid w:val="00992A13"/>
    <w:rsid w:val="00994AAD"/>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2471"/>
    <w:rsid w:val="009B314F"/>
    <w:rsid w:val="009B439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F0494"/>
    <w:rsid w:val="009F0CD9"/>
    <w:rsid w:val="009F1A79"/>
    <w:rsid w:val="009F1F57"/>
    <w:rsid w:val="009F2DDD"/>
    <w:rsid w:val="009F3447"/>
    <w:rsid w:val="009F65F4"/>
    <w:rsid w:val="009F676B"/>
    <w:rsid w:val="009F6D2D"/>
    <w:rsid w:val="009F6D54"/>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8AC"/>
    <w:rsid w:val="00A10CA8"/>
    <w:rsid w:val="00A11042"/>
    <w:rsid w:val="00A12579"/>
    <w:rsid w:val="00A133D8"/>
    <w:rsid w:val="00A15655"/>
    <w:rsid w:val="00A1740C"/>
    <w:rsid w:val="00A20069"/>
    <w:rsid w:val="00A2244D"/>
    <w:rsid w:val="00A2253D"/>
    <w:rsid w:val="00A247B8"/>
    <w:rsid w:val="00A2495A"/>
    <w:rsid w:val="00A24C7A"/>
    <w:rsid w:val="00A24D8F"/>
    <w:rsid w:val="00A25B8B"/>
    <w:rsid w:val="00A2689F"/>
    <w:rsid w:val="00A26ECA"/>
    <w:rsid w:val="00A27461"/>
    <w:rsid w:val="00A27D67"/>
    <w:rsid w:val="00A30ABC"/>
    <w:rsid w:val="00A33B74"/>
    <w:rsid w:val="00A3467F"/>
    <w:rsid w:val="00A34B4C"/>
    <w:rsid w:val="00A35030"/>
    <w:rsid w:val="00A3551A"/>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7ECC"/>
    <w:rsid w:val="00A50171"/>
    <w:rsid w:val="00A504FA"/>
    <w:rsid w:val="00A5102E"/>
    <w:rsid w:val="00A5132E"/>
    <w:rsid w:val="00A51375"/>
    <w:rsid w:val="00A51533"/>
    <w:rsid w:val="00A51891"/>
    <w:rsid w:val="00A531D4"/>
    <w:rsid w:val="00A54572"/>
    <w:rsid w:val="00A575B8"/>
    <w:rsid w:val="00A61C60"/>
    <w:rsid w:val="00A61ECB"/>
    <w:rsid w:val="00A6410C"/>
    <w:rsid w:val="00A647B1"/>
    <w:rsid w:val="00A64DEF"/>
    <w:rsid w:val="00A654D2"/>
    <w:rsid w:val="00A665DF"/>
    <w:rsid w:val="00A67FCC"/>
    <w:rsid w:val="00A70AA5"/>
    <w:rsid w:val="00A70C03"/>
    <w:rsid w:val="00A71256"/>
    <w:rsid w:val="00A7217B"/>
    <w:rsid w:val="00A73861"/>
    <w:rsid w:val="00A739A6"/>
    <w:rsid w:val="00A740ED"/>
    <w:rsid w:val="00A74C29"/>
    <w:rsid w:val="00A74C62"/>
    <w:rsid w:val="00A75EF9"/>
    <w:rsid w:val="00A8311C"/>
    <w:rsid w:val="00A835D0"/>
    <w:rsid w:val="00A84C5F"/>
    <w:rsid w:val="00A85930"/>
    <w:rsid w:val="00A863F7"/>
    <w:rsid w:val="00A86604"/>
    <w:rsid w:val="00A87519"/>
    <w:rsid w:val="00A9246D"/>
    <w:rsid w:val="00A93BD0"/>
    <w:rsid w:val="00A93CC2"/>
    <w:rsid w:val="00A974CC"/>
    <w:rsid w:val="00AA2001"/>
    <w:rsid w:val="00AA2B5C"/>
    <w:rsid w:val="00AA32D2"/>
    <w:rsid w:val="00AA4016"/>
    <w:rsid w:val="00AA4C1F"/>
    <w:rsid w:val="00AA5328"/>
    <w:rsid w:val="00AA5393"/>
    <w:rsid w:val="00AA63D4"/>
    <w:rsid w:val="00AB03FD"/>
    <w:rsid w:val="00AB2000"/>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69F0"/>
    <w:rsid w:val="00AD7127"/>
    <w:rsid w:val="00AD730C"/>
    <w:rsid w:val="00AE123A"/>
    <w:rsid w:val="00AE1539"/>
    <w:rsid w:val="00AE28A7"/>
    <w:rsid w:val="00AE2A98"/>
    <w:rsid w:val="00AE2CF2"/>
    <w:rsid w:val="00AE3012"/>
    <w:rsid w:val="00AE33A6"/>
    <w:rsid w:val="00AE3729"/>
    <w:rsid w:val="00AE4CCE"/>
    <w:rsid w:val="00AE5C6A"/>
    <w:rsid w:val="00AE7280"/>
    <w:rsid w:val="00AF033A"/>
    <w:rsid w:val="00AF1699"/>
    <w:rsid w:val="00AF1FD3"/>
    <w:rsid w:val="00AF2910"/>
    <w:rsid w:val="00AF34B8"/>
    <w:rsid w:val="00AF3896"/>
    <w:rsid w:val="00AF3FC2"/>
    <w:rsid w:val="00B0098A"/>
    <w:rsid w:val="00B00A5F"/>
    <w:rsid w:val="00B029B8"/>
    <w:rsid w:val="00B02F60"/>
    <w:rsid w:val="00B032B8"/>
    <w:rsid w:val="00B04721"/>
    <w:rsid w:val="00B04B15"/>
    <w:rsid w:val="00B04B46"/>
    <w:rsid w:val="00B0534D"/>
    <w:rsid w:val="00B05685"/>
    <w:rsid w:val="00B05F9F"/>
    <w:rsid w:val="00B06368"/>
    <w:rsid w:val="00B068DA"/>
    <w:rsid w:val="00B06FC6"/>
    <w:rsid w:val="00B074C9"/>
    <w:rsid w:val="00B07D9D"/>
    <w:rsid w:val="00B11AE5"/>
    <w:rsid w:val="00B12FE6"/>
    <w:rsid w:val="00B1303F"/>
    <w:rsid w:val="00B1364A"/>
    <w:rsid w:val="00B13859"/>
    <w:rsid w:val="00B14319"/>
    <w:rsid w:val="00B14A06"/>
    <w:rsid w:val="00B158E1"/>
    <w:rsid w:val="00B16715"/>
    <w:rsid w:val="00B1768E"/>
    <w:rsid w:val="00B17910"/>
    <w:rsid w:val="00B20F18"/>
    <w:rsid w:val="00B21516"/>
    <w:rsid w:val="00B21A37"/>
    <w:rsid w:val="00B21F62"/>
    <w:rsid w:val="00B22CE0"/>
    <w:rsid w:val="00B23738"/>
    <w:rsid w:val="00B23BEF"/>
    <w:rsid w:val="00B247BB"/>
    <w:rsid w:val="00B2504A"/>
    <w:rsid w:val="00B25EE6"/>
    <w:rsid w:val="00B3115A"/>
    <w:rsid w:val="00B31825"/>
    <w:rsid w:val="00B31A5C"/>
    <w:rsid w:val="00B33B06"/>
    <w:rsid w:val="00B33C19"/>
    <w:rsid w:val="00B35A15"/>
    <w:rsid w:val="00B36A99"/>
    <w:rsid w:val="00B42264"/>
    <w:rsid w:val="00B434B2"/>
    <w:rsid w:val="00B43D45"/>
    <w:rsid w:val="00B468F2"/>
    <w:rsid w:val="00B469DE"/>
    <w:rsid w:val="00B46BB9"/>
    <w:rsid w:val="00B47286"/>
    <w:rsid w:val="00B50234"/>
    <w:rsid w:val="00B51BF4"/>
    <w:rsid w:val="00B52C68"/>
    <w:rsid w:val="00B5372B"/>
    <w:rsid w:val="00B542FE"/>
    <w:rsid w:val="00B55A1B"/>
    <w:rsid w:val="00B561DB"/>
    <w:rsid w:val="00B56DF9"/>
    <w:rsid w:val="00B600BD"/>
    <w:rsid w:val="00B60331"/>
    <w:rsid w:val="00B61274"/>
    <w:rsid w:val="00B61DCE"/>
    <w:rsid w:val="00B62188"/>
    <w:rsid w:val="00B62F79"/>
    <w:rsid w:val="00B62F82"/>
    <w:rsid w:val="00B6306A"/>
    <w:rsid w:val="00B635E3"/>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21E4"/>
    <w:rsid w:val="00B823E0"/>
    <w:rsid w:val="00B8260D"/>
    <w:rsid w:val="00B82B78"/>
    <w:rsid w:val="00B845B4"/>
    <w:rsid w:val="00B84662"/>
    <w:rsid w:val="00B84C74"/>
    <w:rsid w:val="00B85191"/>
    <w:rsid w:val="00B858A1"/>
    <w:rsid w:val="00B85FEC"/>
    <w:rsid w:val="00B864A3"/>
    <w:rsid w:val="00B86C2A"/>
    <w:rsid w:val="00B902A5"/>
    <w:rsid w:val="00B90420"/>
    <w:rsid w:val="00B90848"/>
    <w:rsid w:val="00B91146"/>
    <w:rsid w:val="00B913E4"/>
    <w:rsid w:val="00B91DB9"/>
    <w:rsid w:val="00B91FF3"/>
    <w:rsid w:val="00B93EFE"/>
    <w:rsid w:val="00B93F2F"/>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2BD"/>
    <w:rsid w:val="00BF5422"/>
    <w:rsid w:val="00BF59B1"/>
    <w:rsid w:val="00BF6A78"/>
    <w:rsid w:val="00BF7695"/>
    <w:rsid w:val="00BF79B4"/>
    <w:rsid w:val="00BF7C61"/>
    <w:rsid w:val="00C01427"/>
    <w:rsid w:val="00C014C7"/>
    <w:rsid w:val="00C047AB"/>
    <w:rsid w:val="00C058AF"/>
    <w:rsid w:val="00C124C1"/>
    <w:rsid w:val="00C128AE"/>
    <w:rsid w:val="00C12BA8"/>
    <w:rsid w:val="00C136D6"/>
    <w:rsid w:val="00C13D5B"/>
    <w:rsid w:val="00C141D7"/>
    <w:rsid w:val="00C1711B"/>
    <w:rsid w:val="00C17AE2"/>
    <w:rsid w:val="00C20140"/>
    <w:rsid w:val="00C20F27"/>
    <w:rsid w:val="00C215CF"/>
    <w:rsid w:val="00C2244B"/>
    <w:rsid w:val="00C22711"/>
    <w:rsid w:val="00C2280A"/>
    <w:rsid w:val="00C22B0D"/>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5D01"/>
    <w:rsid w:val="00C360B3"/>
    <w:rsid w:val="00C37027"/>
    <w:rsid w:val="00C37B19"/>
    <w:rsid w:val="00C413CB"/>
    <w:rsid w:val="00C42752"/>
    <w:rsid w:val="00C42973"/>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B19FE"/>
    <w:rsid w:val="00CB2364"/>
    <w:rsid w:val="00CB304C"/>
    <w:rsid w:val="00CB3933"/>
    <w:rsid w:val="00CB53E8"/>
    <w:rsid w:val="00CB594A"/>
    <w:rsid w:val="00CB5CB2"/>
    <w:rsid w:val="00CB6979"/>
    <w:rsid w:val="00CB7DDE"/>
    <w:rsid w:val="00CC0A3D"/>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BE2"/>
    <w:rsid w:val="00CF3DEB"/>
    <w:rsid w:val="00CF55F9"/>
    <w:rsid w:val="00CF7074"/>
    <w:rsid w:val="00CF7495"/>
    <w:rsid w:val="00D01CF9"/>
    <w:rsid w:val="00D0334D"/>
    <w:rsid w:val="00D0374D"/>
    <w:rsid w:val="00D06D7B"/>
    <w:rsid w:val="00D06DA5"/>
    <w:rsid w:val="00D07191"/>
    <w:rsid w:val="00D07F1D"/>
    <w:rsid w:val="00D10558"/>
    <w:rsid w:val="00D11D4D"/>
    <w:rsid w:val="00D126DC"/>
    <w:rsid w:val="00D12B03"/>
    <w:rsid w:val="00D13E70"/>
    <w:rsid w:val="00D16C58"/>
    <w:rsid w:val="00D17019"/>
    <w:rsid w:val="00D17FC8"/>
    <w:rsid w:val="00D20B44"/>
    <w:rsid w:val="00D21168"/>
    <w:rsid w:val="00D2438C"/>
    <w:rsid w:val="00D26C3F"/>
    <w:rsid w:val="00D27185"/>
    <w:rsid w:val="00D33AB3"/>
    <w:rsid w:val="00D33F24"/>
    <w:rsid w:val="00D34160"/>
    <w:rsid w:val="00D346B8"/>
    <w:rsid w:val="00D34DCA"/>
    <w:rsid w:val="00D35AC8"/>
    <w:rsid w:val="00D36F87"/>
    <w:rsid w:val="00D37E4E"/>
    <w:rsid w:val="00D417D8"/>
    <w:rsid w:val="00D41F78"/>
    <w:rsid w:val="00D42E6C"/>
    <w:rsid w:val="00D4351C"/>
    <w:rsid w:val="00D43B80"/>
    <w:rsid w:val="00D44988"/>
    <w:rsid w:val="00D45B4C"/>
    <w:rsid w:val="00D45BA4"/>
    <w:rsid w:val="00D471AF"/>
    <w:rsid w:val="00D4724F"/>
    <w:rsid w:val="00D47FC3"/>
    <w:rsid w:val="00D50519"/>
    <w:rsid w:val="00D51601"/>
    <w:rsid w:val="00D51ECB"/>
    <w:rsid w:val="00D5264C"/>
    <w:rsid w:val="00D52BBC"/>
    <w:rsid w:val="00D537FE"/>
    <w:rsid w:val="00D53CC9"/>
    <w:rsid w:val="00D54A6A"/>
    <w:rsid w:val="00D54B8F"/>
    <w:rsid w:val="00D55951"/>
    <w:rsid w:val="00D57EB6"/>
    <w:rsid w:val="00D608C0"/>
    <w:rsid w:val="00D60D6D"/>
    <w:rsid w:val="00D66D8B"/>
    <w:rsid w:val="00D70849"/>
    <w:rsid w:val="00D72297"/>
    <w:rsid w:val="00D72A1C"/>
    <w:rsid w:val="00D7308F"/>
    <w:rsid w:val="00D7313E"/>
    <w:rsid w:val="00D73580"/>
    <w:rsid w:val="00D73802"/>
    <w:rsid w:val="00D73C2C"/>
    <w:rsid w:val="00D73D52"/>
    <w:rsid w:val="00D745E7"/>
    <w:rsid w:val="00D774ED"/>
    <w:rsid w:val="00D777C3"/>
    <w:rsid w:val="00D77C44"/>
    <w:rsid w:val="00D77F88"/>
    <w:rsid w:val="00D81AFA"/>
    <w:rsid w:val="00D81EAA"/>
    <w:rsid w:val="00D81FE2"/>
    <w:rsid w:val="00D8259F"/>
    <w:rsid w:val="00D825F2"/>
    <w:rsid w:val="00D8285C"/>
    <w:rsid w:val="00D828B1"/>
    <w:rsid w:val="00D83D49"/>
    <w:rsid w:val="00D84181"/>
    <w:rsid w:val="00D84754"/>
    <w:rsid w:val="00D84F27"/>
    <w:rsid w:val="00D853F0"/>
    <w:rsid w:val="00D86D47"/>
    <w:rsid w:val="00D8710C"/>
    <w:rsid w:val="00D873C6"/>
    <w:rsid w:val="00D9074A"/>
    <w:rsid w:val="00D9099E"/>
    <w:rsid w:val="00D9193A"/>
    <w:rsid w:val="00D923B2"/>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F62"/>
    <w:rsid w:val="00DB21E7"/>
    <w:rsid w:val="00DB2E03"/>
    <w:rsid w:val="00DB3742"/>
    <w:rsid w:val="00DB3E9B"/>
    <w:rsid w:val="00DB3F4B"/>
    <w:rsid w:val="00DB5375"/>
    <w:rsid w:val="00DB67C1"/>
    <w:rsid w:val="00DB6C0B"/>
    <w:rsid w:val="00DB70F4"/>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219D"/>
    <w:rsid w:val="00E04C0F"/>
    <w:rsid w:val="00E0570B"/>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17DB"/>
    <w:rsid w:val="00E43054"/>
    <w:rsid w:val="00E44440"/>
    <w:rsid w:val="00E46013"/>
    <w:rsid w:val="00E47099"/>
    <w:rsid w:val="00E47284"/>
    <w:rsid w:val="00E477C3"/>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FDF"/>
    <w:rsid w:val="00EA14C8"/>
    <w:rsid w:val="00EA2110"/>
    <w:rsid w:val="00EA283A"/>
    <w:rsid w:val="00EA2C90"/>
    <w:rsid w:val="00EA2E07"/>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A31"/>
    <w:rsid w:val="00ED4469"/>
    <w:rsid w:val="00ED5F23"/>
    <w:rsid w:val="00ED6DC0"/>
    <w:rsid w:val="00ED7A7A"/>
    <w:rsid w:val="00EE0327"/>
    <w:rsid w:val="00EE038C"/>
    <w:rsid w:val="00EE28C5"/>
    <w:rsid w:val="00EE2F09"/>
    <w:rsid w:val="00EE47C5"/>
    <w:rsid w:val="00EE490C"/>
    <w:rsid w:val="00EE4E57"/>
    <w:rsid w:val="00EE5738"/>
    <w:rsid w:val="00EE58BD"/>
    <w:rsid w:val="00EE5E59"/>
    <w:rsid w:val="00EE73D0"/>
    <w:rsid w:val="00EE7CB0"/>
    <w:rsid w:val="00EF08A8"/>
    <w:rsid w:val="00EF167B"/>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EA"/>
    <w:rsid w:val="00F070E5"/>
    <w:rsid w:val="00F07DDE"/>
    <w:rsid w:val="00F11675"/>
    <w:rsid w:val="00F12557"/>
    <w:rsid w:val="00F13599"/>
    <w:rsid w:val="00F13B28"/>
    <w:rsid w:val="00F156A0"/>
    <w:rsid w:val="00F15730"/>
    <w:rsid w:val="00F202C2"/>
    <w:rsid w:val="00F212F6"/>
    <w:rsid w:val="00F22756"/>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B81"/>
    <w:rsid w:val="00F540FE"/>
    <w:rsid w:val="00F556FF"/>
    <w:rsid w:val="00F55D12"/>
    <w:rsid w:val="00F5687F"/>
    <w:rsid w:val="00F575C7"/>
    <w:rsid w:val="00F57FD0"/>
    <w:rsid w:val="00F60305"/>
    <w:rsid w:val="00F61B12"/>
    <w:rsid w:val="00F63264"/>
    <w:rsid w:val="00F634E4"/>
    <w:rsid w:val="00F6379E"/>
    <w:rsid w:val="00F65171"/>
    <w:rsid w:val="00F6560D"/>
    <w:rsid w:val="00F67844"/>
    <w:rsid w:val="00F70799"/>
    <w:rsid w:val="00F70A8B"/>
    <w:rsid w:val="00F70B8D"/>
    <w:rsid w:val="00F724FB"/>
    <w:rsid w:val="00F726B8"/>
    <w:rsid w:val="00F72A26"/>
    <w:rsid w:val="00F733C3"/>
    <w:rsid w:val="00F746A1"/>
    <w:rsid w:val="00F756DD"/>
    <w:rsid w:val="00F76805"/>
    <w:rsid w:val="00F77F4E"/>
    <w:rsid w:val="00F80047"/>
    <w:rsid w:val="00F800C7"/>
    <w:rsid w:val="00F8104D"/>
    <w:rsid w:val="00F81587"/>
    <w:rsid w:val="00F8288F"/>
    <w:rsid w:val="00F84802"/>
    <w:rsid w:val="00F85B72"/>
    <w:rsid w:val="00F86540"/>
    <w:rsid w:val="00F865CE"/>
    <w:rsid w:val="00F8766F"/>
    <w:rsid w:val="00F91082"/>
    <w:rsid w:val="00F9116D"/>
    <w:rsid w:val="00F91A9A"/>
    <w:rsid w:val="00F93ABB"/>
    <w:rsid w:val="00F9432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525"/>
    <w:rsid w:val="00FD0AB7"/>
    <w:rsid w:val="00FD297D"/>
    <w:rsid w:val="00FD2D13"/>
    <w:rsid w:val="00FD374D"/>
    <w:rsid w:val="00FD4D9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9AA"/>
    <w:rsid w:val="00FF1C9B"/>
    <w:rsid w:val="00FF1D49"/>
    <w:rsid w:val="00FF203B"/>
    <w:rsid w:val="00FF2562"/>
    <w:rsid w:val="00FF3A41"/>
    <w:rsid w:val="00FF3E5B"/>
    <w:rsid w:val="00FF57E4"/>
    <w:rsid w:val="00FF78E5"/>
    <w:rsid w:val="01110A6F"/>
    <w:rsid w:val="01453A14"/>
    <w:rsid w:val="01537940"/>
    <w:rsid w:val="01623146"/>
    <w:rsid w:val="017D58B3"/>
    <w:rsid w:val="01940B29"/>
    <w:rsid w:val="019B21D0"/>
    <w:rsid w:val="01AB1305"/>
    <w:rsid w:val="01AF3D99"/>
    <w:rsid w:val="01D7025B"/>
    <w:rsid w:val="01D91C46"/>
    <w:rsid w:val="01E27F38"/>
    <w:rsid w:val="01E54F06"/>
    <w:rsid w:val="020764BD"/>
    <w:rsid w:val="02186A33"/>
    <w:rsid w:val="02212F5C"/>
    <w:rsid w:val="02373C81"/>
    <w:rsid w:val="02511F9D"/>
    <w:rsid w:val="025B6CE5"/>
    <w:rsid w:val="02852338"/>
    <w:rsid w:val="02873D31"/>
    <w:rsid w:val="02903F44"/>
    <w:rsid w:val="029C127C"/>
    <w:rsid w:val="02A1704F"/>
    <w:rsid w:val="02C82D67"/>
    <w:rsid w:val="02D51BF3"/>
    <w:rsid w:val="02DA4630"/>
    <w:rsid w:val="02E67647"/>
    <w:rsid w:val="03117246"/>
    <w:rsid w:val="03165668"/>
    <w:rsid w:val="03200295"/>
    <w:rsid w:val="032558AB"/>
    <w:rsid w:val="03341ECF"/>
    <w:rsid w:val="0341645D"/>
    <w:rsid w:val="03466AF6"/>
    <w:rsid w:val="03743909"/>
    <w:rsid w:val="0375457C"/>
    <w:rsid w:val="039424ED"/>
    <w:rsid w:val="0397607D"/>
    <w:rsid w:val="039E740C"/>
    <w:rsid w:val="03A314B8"/>
    <w:rsid w:val="03D82B98"/>
    <w:rsid w:val="03DB4418"/>
    <w:rsid w:val="03DC70CE"/>
    <w:rsid w:val="03E05E18"/>
    <w:rsid w:val="03E413F2"/>
    <w:rsid w:val="03F83E8B"/>
    <w:rsid w:val="04115E30"/>
    <w:rsid w:val="041B280B"/>
    <w:rsid w:val="041D209E"/>
    <w:rsid w:val="04212621"/>
    <w:rsid w:val="04482E3E"/>
    <w:rsid w:val="044B494F"/>
    <w:rsid w:val="04522127"/>
    <w:rsid w:val="04542191"/>
    <w:rsid w:val="045B52B1"/>
    <w:rsid w:val="045D0E4E"/>
    <w:rsid w:val="04633ABF"/>
    <w:rsid w:val="04737A75"/>
    <w:rsid w:val="04934A97"/>
    <w:rsid w:val="049B2512"/>
    <w:rsid w:val="04C74740"/>
    <w:rsid w:val="04CA22E8"/>
    <w:rsid w:val="04FB3B3B"/>
    <w:rsid w:val="051C67EE"/>
    <w:rsid w:val="051E1A4B"/>
    <w:rsid w:val="05436217"/>
    <w:rsid w:val="054B3669"/>
    <w:rsid w:val="058203EE"/>
    <w:rsid w:val="05B303F8"/>
    <w:rsid w:val="05C56868"/>
    <w:rsid w:val="05DA68EB"/>
    <w:rsid w:val="05F96B7B"/>
    <w:rsid w:val="062953B8"/>
    <w:rsid w:val="0636658B"/>
    <w:rsid w:val="066506C3"/>
    <w:rsid w:val="06D27AF8"/>
    <w:rsid w:val="06E07C6C"/>
    <w:rsid w:val="06F5543A"/>
    <w:rsid w:val="06FA7C7C"/>
    <w:rsid w:val="070B4DB8"/>
    <w:rsid w:val="07172DBD"/>
    <w:rsid w:val="071A1088"/>
    <w:rsid w:val="071A5AD2"/>
    <w:rsid w:val="072F6BFE"/>
    <w:rsid w:val="074A6C68"/>
    <w:rsid w:val="075729E8"/>
    <w:rsid w:val="078F59E9"/>
    <w:rsid w:val="079834B4"/>
    <w:rsid w:val="079D563B"/>
    <w:rsid w:val="07B17179"/>
    <w:rsid w:val="07B72767"/>
    <w:rsid w:val="07E44E4B"/>
    <w:rsid w:val="07E8411E"/>
    <w:rsid w:val="08077E72"/>
    <w:rsid w:val="081C4DA3"/>
    <w:rsid w:val="081E0B1B"/>
    <w:rsid w:val="087859A8"/>
    <w:rsid w:val="088542E4"/>
    <w:rsid w:val="08882DD0"/>
    <w:rsid w:val="088E7A4F"/>
    <w:rsid w:val="08A07782"/>
    <w:rsid w:val="08AC29CC"/>
    <w:rsid w:val="08B03E69"/>
    <w:rsid w:val="08BC3C9A"/>
    <w:rsid w:val="08C939D2"/>
    <w:rsid w:val="08FF5E97"/>
    <w:rsid w:val="091A12E3"/>
    <w:rsid w:val="091E26BA"/>
    <w:rsid w:val="09347949"/>
    <w:rsid w:val="09473E97"/>
    <w:rsid w:val="094F1DD6"/>
    <w:rsid w:val="09526CCE"/>
    <w:rsid w:val="09656896"/>
    <w:rsid w:val="096F6562"/>
    <w:rsid w:val="09880942"/>
    <w:rsid w:val="098E11FE"/>
    <w:rsid w:val="0990710B"/>
    <w:rsid w:val="09AA4D5C"/>
    <w:rsid w:val="09CC2AAC"/>
    <w:rsid w:val="0A0623AC"/>
    <w:rsid w:val="0A0D4BC1"/>
    <w:rsid w:val="0A1C6605"/>
    <w:rsid w:val="0A327A31"/>
    <w:rsid w:val="0A3665F0"/>
    <w:rsid w:val="0A3E527E"/>
    <w:rsid w:val="0A570314"/>
    <w:rsid w:val="0A597F12"/>
    <w:rsid w:val="0A652D3E"/>
    <w:rsid w:val="0A6D3F5F"/>
    <w:rsid w:val="0A8C4462"/>
    <w:rsid w:val="0AE64FFC"/>
    <w:rsid w:val="0B001553"/>
    <w:rsid w:val="0B2E3315"/>
    <w:rsid w:val="0B326F2A"/>
    <w:rsid w:val="0B3824C3"/>
    <w:rsid w:val="0B464611"/>
    <w:rsid w:val="0B4E5E32"/>
    <w:rsid w:val="0B562E43"/>
    <w:rsid w:val="0B7D3E4C"/>
    <w:rsid w:val="0B810015"/>
    <w:rsid w:val="0BDE2A9B"/>
    <w:rsid w:val="0BF579BD"/>
    <w:rsid w:val="0BF7590B"/>
    <w:rsid w:val="0BFD62AF"/>
    <w:rsid w:val="0C1E2888"/>
    <w:rsid w:val="0C28100C"/>
    <w:rsid w:val="0C321E1C"/>
    <w:rsid w:val="0C571AE4"/>
    <w:rsid w:val="0C7A2DAD"/>
    <w:rsid w:val="0C7C16D5"/>
    <w:rsid w:val="0C92213C"/>
    <w:rsid w:val="0CA67FFA"/>
    <w:rsid w:val="0CC849F4"/>
    <w:rsid w:val="0CD32B4F"/>
    <w:rsid w:val="0D190642"/>
    <w:rsid w:val="0D363C18"/>
    <w:rsid w:val="0D4121EA"/>
    <w:rsid w:val="0D4439CF"/>
    <w:rsid w:val="0D630CAD"/>
    <w:rsid w:val="0D84032B"/>
    <w:rsid w:val="0DAD6BC9"/>
    <w:rsid w:val="0DD22BA2"/>
    <w:rsid w:val="0DDA431D"/>
    <w:rsid w:val="0DEA55DF"/>
    <w:rsid w:val="0DF740CC"/>
    <w:rsid w:val="0E050360"/>
    <w:rsid w:val="0E15476E"/>
    <w:rsid w:val="0E2543A1"/>
    <w:rsid w:val="0E5F18C2"/>
    <w:rsid w:val="0E720B77"/>
    <w:rsid w:val="0EC515E6"/>
    <w:rsid w:val="0EC964B7"/>
    <w:rsid w:val="0EF07E75"/>
    <w:rsid w:val="0F026AA1"/>
    <w:rsid w:val="0F0E5742"/>
    <w:rsid w:val="0F2A74C4"/>
    <w:rsid w:val="0F2C1932"/>
    <w:rsid w:val="0F5117D6"/>
    <w:rsid w:val="0F583593"/>
    <w:rsid w:val="0F7335C5"/>
    <w:rsid w:val="0F7A2AA0"/>
    <w:rsid w:val="0F837278"/>
    <w:rsid w:val="0F925EC4"/>
    <w:rsid w:val="0F9C7391"/>
    <w:rsid w:val="0F9D4A1B"/>
    <w:rsid w:val="0FA45DAA"/>
    <w:rsid w:val="0FAF1BF2"/>
    <w:rsid w:val="10161934"/>
    <w:rsid w:val="10251340"/>
    <w:rsid w:val="10641151"/>
    <w:rsid w:val="106F51B1"/>
    <w:rsid w:val="10931ACE"/>
    <w:rsid w:val="109B6655"/>
    <w:rsid w:val="10A27F31"/>
    <w:rsid w:val="10F1501F"/>
    <w:rsid w:val="10FC2107"/>
    <w:rsid w:val="11032C95"/>
    <w:rsid w:val="11093B3B"/>
    <w:rsid w:val="112475FA"/>
    <w:rsid w:val="112D231A"/>
    <w:rsid w:val="112E43E7"/>
    <w:rsid w:val="117E0D2D"/>
    <w:rsid w:val="11927058"/>
    <w:rsid w:val="119569CB"/>
    <w:rsid w:val="11B8324B"/>
    <w:rsid w:val="11C75D80"/>
    <w:rsid w:val="11DA2E3D"/>
    <w:rsid w:val="121B27CB"/>
    <w:rsid w:val="121B5B97"/>
    <w:rsid w:val="123B7E78"/>
    <w:rsid w:val="123D2461"/>
    <w:rsid w:val="12617F82"/>
    <w:rsid w:val="127777A6"/>
    <w:rsid w:val="128351DA"/>
    <w:rsid w:val="12837F21"/>
    <w:rsid w:val="128568D3"/>
    <w:rsid w:val="129C707D"/>
    <w:rsid w:val="12BB108C"/>
    <w:rsid w:val="12C64289"/>
    <w:rsid w:val="12DA00AC"/>
    <w:rsid w:val="12E806A4"/>
    <w:rsid w:val="12FF3A23"/>
    <w:rsid w:val="13083BBE"/>
    <w:rsid w:val="133B4C77"/>
    <w:rsid w:val="134E102A"/>
    <w:rsid w:val="13724411"/>
    <w:rsid w:val="137B32C6"/>
    <w:rsid w:val="13810071"/>
    <w:rsid w:val="13857CA0"/>
    <w:rsid w:val="13AF4F03"/>
    <w:rsid w:val="13B4248C"/>
    <w:rsid w:val="14036270"/>
    <w:rsid w:val="14082F71"/>
    <w:rsid w:val="14150063"/>
    <w:rsid w:val="14574B33"/>
    <w:rsid w:val="145C3CF6"/>
    <w:rsid w:val="14736E66"/>
    <w:rsid w:val="147F458F"/>
    <w:rsid w:val="14AA0EF6"/>
    <w:rsid w:val="14D26F15"/>
    <w:rsid w:val="14ED5D32"/>
    <w:rsid w:val="1513210A"/>
    <w:rsid w:val="15173EFA"/>
    <w:rsid w:val="1518152A"/>
    <w:rsid w:val="1534169A"/>
    <w:rsid w:val="15440C7D"/>
    <w:rsid w:val="157A7748"/>
    <w:rsid w:val="158E6EBC"/>
    <w:rsid w:val="15911144"/>
    <w:rsid w:val="15985B99"/>
    <w:rsid w:val="15A81015"/>
    <w:rsid w:val="15C03E03"/>
    <w:rsid w:val="15C342FB"/>
    <w:rsid w:val="162A25EB"/>
    <w:rsid w:val="165322D8"/>
    <w:rsid w:val="167B3A7C"/>
    <w:rsid w:val="16902B0E"/>
    <w:rsid w:val="16BA50F9"/>
    <w:rsid w:val="16D14F07"/>
    <w:rsid w:val="16E80F72"/>
    <w:rsid w:val="16EB2E9A"/>
    <w:rsid w:val="16FB6445"/>
    <w:rsid w:val="16FD2A55"/>
    <w:rsid w:val="17067C1A"/>
    <w:rsid w:val="1726732E"/>
    <w:rsid w:val="173133A2"/>
    <w:rsid w:val="17366761"/>
    <w:rsid w:val="17487963"/>
    <w:rsid w:val="174C7453"/>
    <w:rsid w:val="174E7F10"/>
    <w:rsid w:val="175778E0"/>
    <w:rsid w:val="175F03DF"/>
    <w:rsid w:val="176C3651"/>
    <w:rsid w:val="17773DA4"/>
    <w:rsid w:val="177C01F0"/>
    <w:rsid w:val="17951BA3"/>
    <w:rsid w:val="17966920"/>
    <w:rsid w:val="17B61536"/>
    <w:rsid w:val="17B90E37"/>
    <w:rsid w:val="17C32827"/>
    <w:rsid w:val="17CE6630"/>
    <w:rsid w:val="180C21A9"/>
    <w:rsid w:val="182009F5"/>
    <w:rsid w:val="184F4E75"/>
    <w:rsid w:val="18583BD5"/>
    <w:rsid w:val="18752A18"/>
    <w:rsid w:val="1879445E"/>
    <w:rsid w:val="188624CB"/>
    <w:rsid w:val="1895161F"/>
    <w:rsid w:val="189F7A56"/>
    <w:rsid w:val="18A14AFB"/>
    <w:rsid w:val="18A61854"/>
    <w:rsid w:val="18EB6059"/>
    <w:rsid w:val="19212836"/>
    <w:rsid w:val="19362900"/>
    <w:rsid w:val="19566ABB"/>
    <w:rsid w:val="195E1AA7"/>
    <w:rsid w:val="19782558"/>
    <w:rsid w:val="19C37626"/>
    <w:rsid w:val="19E00326"/>
    <w:rsid w:val="19E74BB9"/>
    <w:rsid w:val="19F639A8"/>
    <w:rsid w:val="19F85670"/>
    <w:rsid w:val="19FA6126"/>
    <w:rsid w:val="1A5C40F9"/>
    <w:rsid w:val="1A5D4FD8"/>
    <w:rsid w:val="1A734931"/>
    <w:rsid w:val="1A9A04D5"/>
    <w:rsid w:val="1AA11864"/>
    <w:rsid w:val="1AD51BC6"/>
    <w:rsid w:val="1AD94B09"/>
    <w:rsid w:val="1AFF0AFE"/>
    <w:rsid w:val="1AFF658A"/>
    <w:rsid w:val="1B0A4C16"/>
    <w:rsid w:val="1B283D33"/>
    <w:rsid w:val="1B3136F1"/>
    <w:rsid w:val="1B4F19F8"/>
    <w:rsid w:val="1B6B4E90"/>
    <w:rsid w:val="1B7725C5"/>
    <w:rsid w:val="1B8C2514"/>
    <w:rsid w:val="1B8F0912"/>
    <w:rsid w:val="1BC86BBE"/>
    <w:rsid w:val="1BD143CB"/>
    <w:rsid w:val="1BD45C69"/>
    <w:rsid w:val="1BE063BC"/>
    <w:rsid w:val="1BEA0FE8"/>
    <w:rsid w:val="1C0E531C"/>
    <w:rsid w:val="1C1678EA"/>
    <w:rsid w:val="1C300A7B"/>
    <w:rsid w:val="1C395ACC"/>
    <w:rsid w:val="1C4A27F6"/>
    <w:rsid w:val="1C5F0079"/>
    <w:rsid w:val="1C603A25"/>
    <w:rsid w:val="1C860376"/>
    <w:rsid w:val="1CA00CDD"/>
    <w:rsid w:val="1CB3587E"/>
    <w:rsid w:val="1CBD5116"/>
    <w:rsid w:val="1CE60C60"/>
    <w:rsid w:val="1CF30708"/>
    <w:rsid w:val="1CF77E61"/>
    <w:rsid w:val="1D167816"/>
    <w:rsid w:val="1D19579E"/>
    <w:rsid w:val="1D37200B"/>
    <w:rsid w:val="1D5670A8"/>
    <w:rsid w:val="1D745772"/>
    <w:rsid w:val="1D752B34"/>
    <w:rsid w:val="1DC738B3"/>
    <w:rsid w:val="1DC74EB2"/>
    <w:rsid w:val="1DCF492F"/>
    <w:rsid w:val="1E026ABD"/>
    <w:rsid w:val="1E06522E"/>
    <w:rsid w:val="1E0706A2"/>
    <w:rsid w:val="1E0C13CE"/>
    <w:rsid w:val="1E0D33FD"/>
    <w:rsid w:val="1E226E91"/>
    <w:rsid w:val="1E230457"/>
    <w:rsid w:val="1E4946EC"/>
    <w:rsid w:val="1EB17EFD"/>
    <w:rsid w:val="1EC03F36"/>
    <w:rsid w:val="1ECB2576"/>
    <w:rsid w:val="1ECC44FA"/>
    <w:rsid w:val="1EE349E1"/>
    <w:rsid w:val="1EE6603F"/>
    <w:rsid w:val="1EEC5348"/>
    <w:rsid w:val="1EF06916"/>
    <w:rsid w:val="1EF8733D"/>
    <w:rsid w:val="1EFA7794"/>
    <w:rsid w:val="1F063325"/>
    <w:rsid w:val="1F075060"/>
    <w:rsid w:val="1F0B3750"/>
    <w:rsid w:val="1F0E0C03"/>
    <w:rsid w:val="1F171A53"/>
    <w:rsid w:val="1F171E1D"/>
    <w:rsid w:val="1F3D1705"/>
    <w:rsid w:val="1F4D219C"/>
    <w:rsid w:val="1F72557D"/>
    <w:rsid w:val="1F8359DC"/>
    <w:rsid w:val="1FBC5DF5"/>
    <w:rsid w:val="1FD16A32"/>
    <w:rsid w:val="1FDC03C8"/>
    <w:rsid w:val="20014B53"/>
    <w:rsid w:val="200A7EAB"/>
    <w:rsid w:val="200C10F4"/>
    <w:rsid w:val="201C2473"/>
    <w:rsid w:val="2030445E"/>
    <w:rsid w:val="203C233D"/>
    <w:rsid w:val="20590CF1"/>
    <w:rsid w:val="205A340C"/>
    <w:rsid w:val="205D2331"/>
    <w:rsid w:val="207D60E1"/>
    <w:rsid w:val="20B03D2F"/>
    <w:rsid w:val="20C3623F"/>
    <w:rsid w:val="20E223FB"/>
    <w:rsid w:val="20FE4B52"/>
    <w:rsid w:val="210E7DC4"/>
    <w:rsid w:val="213A339D"/>
    <w:rsid w:val="2146558E"/>
    <w:rsid w:val="216B2BCB"/>
    <w:rsid w:val="21747B75"/>
    <w:rsid w:val="217575A6"/>
    <w:rsid w:val="21781212"/>
    <w:rsid w:val="21953CE4"/>
    <w:rsid w:val="21977250"/>
    <w:rsid w:val="219A4FB7"/>
    <w:rsid w:val="21B83F86"/>
    <w:rsid w:val="21CB262D"/>
    <w:rsid w:val="221178A8"/>
    <w:rsid w:val="221213CF"/>
    <w:rsid w:val="221805EB"/>
    <w:rsid w:val="22327A92"/>
    <w:rsid w:val="223E208E"/>
    <w:rsid w:val="225064B7"/>
    <w:rsid w:val="229D0ACF"/>
    <w:rsid w:val="22A75E85"/>
    <w:rsid w:val="22FF181D"/>
    <w:rsid w:val="231D53A2"/>
    <w:rsid w:val="23384D2F"/>
    <w:rsid w:val="234171BE"/>
    <w:rsid w:val="234B220C"/>
    <w:rsid w:val="23517B9F"/>
    <w:rsid w:val="236B56CD"/>
    <w:rsid w:val="236D5383"/>
    <w:rsid w:val="23711FEF"/>
    <w:rsid w:val="23806DC2"/>
    <w:rsid w:val="23B7504C"/>
    <w:rsid w:val="23B8381F"/>
    <w:rsid w:val="23C85D95"/>
    <w:rsid w:val="23D21E51"/>
    <w:rsid w:val="23D70C5F"/>
    <w:rsid w:val="2438587A"/>
    <w:rsid w:val="243A6885"/>
    <w:rsid w:val="24571307"/>
    <w:rsid w:val="24615980"/>
    <w:rsid w:val="24726A07"/>
    <w:rsid w:val="24AB32DF"/>
    <w:rsid w:val="24CB186C"/>
    <w:rsid w:val="24D44611"/>
    <w:rsid w:val="25096734"/>
    <w:rsid w:val="25110A2A"/>
    <w:rsid w:val="251175E6"/>
    <w:rsid w:val="2519649B"/>
    <w:rsid w:val="25213E48"/>
    <w:rsid w:val="25664E3C"/>
    <w:rsid w:val="256C0944"/>
    <w:rsid w:val="256C6F12"/>
    <w:rsid w:val="25733DFD"/>
    <w:rsid w:val="25755DC7"/>
    <w:rsid w:val="25785071"/>
    <w:rsid w:val="25866A35"/>
    <w:rsid w:val="25AB495B"/>
    <w:rsid w:val="25B55866"/>
    <w:rsid w:val="25BF03F7"/>
    <w:rsid w:val="26003E8A"/>
    <w:rsid w:val="261D1C9A"/>
    <w:rsid w:val="26226B35"/>
    <w:rsid w:val="26366AE9"/>
    <w:rsid w:val="263D4CCB"/>
    <w:rsid w:val="26446DE3"/>
    <w:rsid w:val="264B69E4"/>
    <w:rsid w:val="26674FC9"/>
    <w:rsid w:val="266B506C"/>
    <w:rsid w:val="269669E7"/>
    <w:rsid w:val="26A27831"/>
    <w:rsid w:val="26A45353"/>
    <w:rsid w:val="26B60AB5"/>
    <w:rsid w:val="26CF53D2"/>
    <w:rsid w:val="26D0702D"/>
    <w:rsid w:val="26D27C2D"/>
    <w:rsid w:val="26D7699F"/>
    <w:rsid w:val="26EA00EF"/>
    <w:rsid w:val="26F75F15"/>
    <w:rsid w:val="26F86CAF"/>
    <w:rsid w:val="271E248E"/>
    <w:rsid w:val="27532799"/>
    <w:rsid w:val="275A1EEC"/>
    <w:rsid w:val="276876B4"/>
    <w:rsid w:val="279317E0"/>
    <w:rsid w:val="279D0DF3"/>
    <w:rsid w:val="27A6495D"/>
    <w:rsid w:val="27B506FD"/>
    <w:rsid w:val="27D32B97"/>
    <w:rsid w:val="27EB411E"/>
    <w:rsid w:val="27F3052C"/>
    <w:rsid w:val="27F92964"/>
    <w:rsid w:val="280478D6"/>
    <w:rsid w:val="286D6BDB"/>
    <w:rsid w:val="28757E8C"/>
    <w:rsid w:val="28856796"/>
    <w:rsid w:val="28944322"/>
    <w:rsid w:val="289645BF"/>
    <w:rsid w:val="28A10DD6"/>
    <w:rsid w:val="28DB23F9"/>
    <w:rsid w:val="29161E8D"/>
    <w:rsid w:val="29752839"/>
    <w:rsid w:val="29892243"/>
    <w:rsid w:val="298D7828"/>
    <w:rsid w:val="29B50E88"/>
    <w:rsid w:val="29BB19F4"/>
    <w:rsid w:val="29E72626"/>
    <w:rsid w:val="29F23E8A"/>
    <w:rsid w:val="2A0C5D8F"/>
    <w:rsid w:val="2A1A63E5"/>
    <w:rsid w:val="2A3873C3"/>
    <w:rsid w:val="2A584228"/>
    <w:rsid w:val="2A6922B9"/>
    <w:rsid w:val="2A85652E"/>
    <w:rsid w:val="2A863051"/>
    <w:rsid w:val="2ABC35E0"/>
    <w:rsid w:val="2AC55FB0"/>
    <w:rsid w:val="2AC60E73"/>
    <w:rsid w:val="2AD52E64"/>
    <w:rsid w:val="2AD91FA9"/>
    <w:rsid w:val="2ADE7A7B"/>
    <w:rsid w:val="2AF77A6B"/>
    <w:rsid w:val="2B182A51"/>
    <w:rsid w:val="2B3103DB"/>
    <w:rsid w:val="2B3C3502"/>
    <w:rsid w:val="2B484F6D"/>
    <w:rsid w:val="2B6106D9"/>
    <w:rsid w:val="2B715282"/>
    <w:rsid w:val="2B774624"/>
    <w:rsid w:val="2B785B65"/>
    <w:rsid w:val="2B813E17"/>
    <w:rsid w:val="2B956A91"/>
    <w:rsid w:val="2BD10CEF"/>
    <w:rsid w:val="2BF7263E"/>
    <w:rsid w:val="2BFC0C83"/>
    <w:rsid w:val="2C4965DC"/>
    <w:rsid w:val="2C607DD3"/>
    <w:rsid w:val="2C6D7DE8"/>
    <w:rsid w:val="2C6E6C8C"/>
    <w:rsid w:val="2C7A72BE"/>
    <w:rsid w:val="2C7B55BE"/>
    <w:rsid w:val="2C9A25B7"/>
    <w:rsid w:val="2C9A7D75"/>
    <w:rsid w:val="2CE54C26"/>
    <w:rsid w:val="2CE66717"/>
    <w:rsid w:val="2D0F4D53"/>
    <w:rsid w:val="2D282CCB"/>
    <w:rsid w:val="2D3377FA"/>
    <w:rsid w:val="2DAC4350"/>
    <w:rsid w:val="2DBF3D12"/>
    <w:rsid w:val="2DCD6D90"/>
    <w:rsid w:val="2E1B7727"/>
    <w:rsid w:val="2E3A7BAD"/>
    <w:rsid w:val="2E590E7E"/>
    <w:rsid w:val="2E995110"/>
    <w:rsid w:val="2E9976CE"/>
    <w:rsid w:val="2EAC5AFB"/>
    <w:rsid w:val="2EAF68BC"/>
    <w:rsid w:val="2EBE5004"/>
    <w:rsid w:val="2F012479"/>
    <w:rsid w:val="2F2D0C8B"/>
    <w:rsid w:val="2F3837F9"/>
    <w:rsid w:val="2F3A31E3"/>
    <w:rsid w:val="2F401D3C"/>
    <w:rsid w:val="2F546A4D"/>
    <w:rsid w:val="2F5B24E1"/>
    <w:rsid w:val="2F6871D8"/>
    <w:rsid w:val="2F6C2E95"/>
    <w:rsid w:val="2F7F4F95"/>
    <w:rsid w:val="2F9C6646"/>
    <w:rsid w:val="2F9F78B1"/>
    <w:rsid w:val="2FA95C88"/>
    <w:rsid w:val="2FCE0797"/>
    <w:rsid w:val="2FD14D77"/>
    <w:rsid w:val="2FD20E9E"/>
    <w:rsid w:val="30073B60"/>
    <w:rsid w:val="300B61AA"/>
    <w:rsid w:val="30305C6C"/>
    <w:rsid w:val="3041370F"/>
    <w:rsid w:val="3042544D"/>
    <w:rsid w:val="3062111C"/>
    <w:rsid w:val="30922D6B"/>
    <w:rsid w:val="30936D56"/>
    <w:rsid w:val="30C65728"/>
    <w:rsid w:val="30C71BAB"/>
    <w:rsid w:val="30D20571"/>
    <w:rsid w:val="30D83F2F"/>
    <w:rsid w:val="30F63FC7"/>
    <w:rsid w:val="311F6C22"/>
    <w:rsid w:val="312B50A3"/>
    <w:rsid w:val="312C150D"/>
    <w:rsid w:val="31315982"/>
    <w:rsid w:val="31450206"/>
    <w:rsid w:val="3148579B"/>
    <w:rsid w:val="316D029A"/>
    <w:rsid w:val="3192160B"/>
    <w:rsid w:val="319C0B7F"/>
    <w:rsid w:val="31A4347E"/>
    <w:rsid w:val="31AB491E"/>
    <w:rsid w:val="31C06169"/>
    <w:rsid w:val="31E0356E"/>
    <w:rsid w:val="31E83DC4"/>
    <w:rsid w:val="31ED7AD3"/>
    <w:rsid w:val="31FD4341"/>
    <w:rsid w:val="32272869"/>
    <w:rsid w:val="32324F2E"/>
    <w:rsid w:val="323346DB"/>
    <w:rsid w:val="32342773"/>
    <w:rsid w:val="323B5CA2"/>
    <w:rsid w:val="32453A27"/>
    <w:rsid w:val="3263064A"/>
    <w:rsid w:val="328278FC"/>
    <w:rsid w:val="32892EB1"/>
    <w:rsid w:val="32A43132"/>
    <w:rsid w:val="32AC0C06"/>
    <w:rsid w:val="32AC689F"/>
    <w:rsid w:val="32D549D9"/>
    <w:rsid w:val="32EF23DC"/>
    <w:rsid w:val="32F77716"/>
    <w:rsid w:val="332325D4"/>
    <w:rsid w:val="33344EF5"/>
    <w:rsid w:val="334D3EDF"/>
    <w:rsid w:val="33557850"/>
    <w:rsid w:val="335A2583"/>
    <w:rsid w:val="33633703"/>
    <w:rsid w:val="3381002D"/>
    <w:rsid w:val="33811DDB"/>
    <w:rsid w:val="33874918"/>
    <w:rsid w:val="33A92488"/>
    <w:rsid w:val="33AE1D74"/>
    <w:rsid w:val="33C56533"/>
    <w:rsid w:val="33C777B6"/>
    <w:rsid w:val="33CD267A"/>
    <w:rsid w:val="33DC1C9B"/>
    <w:rsid w:val="33F70C34"/>
    <w:rsid w:val="34065AFF"/>
    <w:rsid w:val="340C2973"/>
    <w:rsid w:val="341114C0"/>
    <w:rsid w:val="343E6645"/>
    <w:rsid w:val="347D5264"/>
    <w:rsid w:val="34825E0A"/>
    <w:rsid w:val="348E0634"/>
    <w:rsid w:val="34955737"/>
    <w:rsid w:val="34C97D74"/>
    <w:rsid w:val="34F96E58"/>
    <w:rsid w:val="352F43CE"/>
    <w:rsid w:val="3537750C"/>
    <w:rsid w:val="3537798C"/>
    <w:rsid w:val="3538471B"/>
    <w:rsid w:val="35A61EB8"/>
    <w:rsid w:val="35C13FC9"/>
    <w:rsid w:val="35C33AEE"/>
    <w:rsid w:val="35C67F79"/>
    <w:rsid w:val="35C96809"/>
    <w:rsid w:val="35F86A8A"/>
    <w:rsid w:val="360109F6"/>
    <w:rsid w:val="361C7FB1"/>
    <w:rsid w:val="3623747A"/>
    <w:rsid w:val="36343134"/>
    <w:rsid w:val="364257B6"/>
    <w:rsid w:val="36687968"/>
    <w:rsid w:val="367D3E66"/>
    <w:rsid w:val="36920D26"/>
    <w:rsid w:val="36C941C4"/>
    <w:rsid w:val="36EB1C99"/>
    <w:rsid w:val="36F872B6"/>
    <w:rsid w:val="374020EC"/>
    <w:rsid w:val="378D6FA0"/>
    <w:rsid w:val="37A811B2"/>
    <w:rsid w:val="37BB74F7"/>
    <w:rsid w:val="37C8447C"/>
    <w:rsid w:val="37D3697D"/>
    <w:rsid w:val="37DA5F5D"/>
    <w:rsid w:val="37EA5922"/>
    <w:rsid w:val="37ED004F"/>
    <w:rsid w:val="37F17D73"/>
    <w:rsid w:val="38017786"/>
    <w:rsid w:val="382275F5"/>
    <w:rsid w:val="38276B93"/>
    <w:rsid w:val="383F3482"/>
    <w:rsid w:val="385B0E4C"/>
    <w:rsid w:val="385D692C"/>
    <w:rsid w:val="386A559E"/>
    <w:rsid w:val="386D6DD1"/>
    <w:rsid w:val="38710EEE"/>
    <w:rsid w:val="38AC3431"/>
    <w:rsid w:val="38B37642"/>
    <w:rsid w:val="38B705DB"/>
    <w:rsid w:val="38CE71D8"/>
    <w:rsid w:val="38D47AC8"/>
    <w:rsid w:val="38EC7CF6"/>
    <w:rsid w:val="38EF77E6"/>
    <w:rsid w:val="39200F76"/>
    <w:rsid w:val="392F2E16"/>
    <w:rsid w:val="394836C2"/>
    <w:rsid w:val="39893B85"/>
    <w:rsid w:val="398D5BA7"/>
    <w:rsid w:val="39D114EA"/>
    <w:rsid w:val="39E00529"/>
    <w:rsid w:val="39EF3F42"/>
    <w:rsid w:val="3A0B64A7"/>
    <w:rsid w:val="3A3169B0"/>
    <w:rsid w:val="3A477320"/>
    <w:rsid w:val="3A574DDA"/>
    <w:rsid w:val="3A57630A"/>
    <w:rsid w:val="3A576349"/>
    <w:rsid w:val="3A685AA2"/>
    <w:rsid w:val="3A6A2D09"/>
    <w:rsid w:val="3A781DF2"/>
    <w:rsid w:val="3A7D335B"/>
    <w:rsid w:val="3A983255"/>
    <w:rsid w:val="3AD3075A"/>
    <w:rsid w:val="3AD60FC2"/>
    <w:rsid w:val="3AD849D6"/>
    <w:rsid w:val="3AF74C02"/>
    <w:rsid w:val="3B111C96"/>
    <w:rsid w:val="3B13684C"/>
    <w:rsid w:val="3B277DE2"/>
    <w:rsid w:val="3B583D69"/>
    <w:rsid w:val="3B6A4988"/>
    <w:rsid w:val="3B707CD2"/>
    <w:rsid w:val="3B7339AE"/>
    <w:rsid w:val="3BA66882"/>
    <w:rsid w:val="3BAB66E2"/>
    <w:rsid w:val="3BE376CF"/>
    <w:rsid w:val="3BE73102"/>
    <w:rsid w:val="3BF8698F"/>
    <w:rsid w:val="3C0059A5"/>
    <w:rsid w:val="3C0413E4"/>
    <w:rsid w:val="3C134E78"/>
    <w:rsid w:val="3C2459F9"/>
    <w:rsid w:val="3C2B00A6"/>
    <w:rsid w:val="3C3A346E"/>
    <w:rsid w:val="3C44503F"/>
    <w:rsid w:val="3C6A5677"/>
    <w:rsid w:val="3C6B1A96"/>
    <w:rsid w:val="3C72291D"/>
    <w:rsid w:val="3C7D6A47"/>
    <w:rsid w:val="3C9F025B"/>
    <w:rsid w:val="3CA2411F"/>
    <w:rsid w:val="3CAB24D0"/>
    <w:rsid w:val="3CBA52A5"/>
    <w:rsid w:val="3CE24095"/>
    <w:rsid w:val="3D0F3559"/>
    <w:rsid w:val="3D417B8C"/>
    <w:rsid w:val="3D6830C4"/>
    <w:rsid w:val="3DBE0BF6"/>
    <w:rsid w:val="3DF06B13"/>
    <w:rsid w:val="3DF30181"/>
    <w:rsid w:val="3DF6345D"/>
    <w:rsid w:val="3E0930F8"/>
    <w:rsid w:val="3E0A155E"/>
    <w:rsid w:val="3E2D6C02"/>
    <w:rsid w:val="3E46539E"/>
    <w:rsid w:val="3E4D4F28"/>
    <w:rsid w:val="3E500D27"/>
    <w:rsid w:val="3E6C3C86"/>
    <w:rsid w:val="3E7210B7"/>
    <w:rsid w:val="3E8A3C0D"/>
    <w:rsid w:val="3E8A6C2A"/>
    <w:rsid w:val="3EA352FB"/>
    <w:rsid w:val="3EB51B20"/>
    <w:rsid w:val="3EC93930"/>
    <w:rsid w:val="3ECD5EA6"/>
    <w:rsid w:val="3EE13701"/>
    <w:rsid w:val="3F051A05"/>
    <w:rsid w:val="3F1A4BB3"/>
    <w:rsid w:val="3F4A39C9"/>
    <w:rsid w:val="3FD47936"/>
    <w:rsid w:val="3FD63D26"/>
    <w:rsid w:val="3FD655F6"/>
    <w:rsid w:val="40095397"/>
    <w:rsid w:val="40183426"/>
    <w:rsid w:val="40192BA6"/>
    <w:rsid w:val="40283422"/>
    <w:rsid w:val="40491298"/>
    <w:rsid w:val="405D6315"/>
    <w:rsid w:val="40D23C76"/>
    <w:rsid w:val="40DA0D7C"/>
    <w:rsid w:val="40F459B6"/>
    <w:rsid w:val="41113CE4"/>
    <w:rsid w:val="411528D2"/>
    <w:rsid w:val="412F2E76"/>
    <w:rsid w:val="41391729"/>
    <w:rsid w:val="415A0117"/>
    <w:rsid w:val="41843A36"/>
    <w:rsid w:val="41930A28"/>
    <w:rsid w:val="41C71300"/>
    <w:rsid w:val="41C776C2"/>
    <w:rsid w:val="41D43F0C"/>
    <w:rsid w:val="42550A18"/>
    <w:rsid w:val="4255690C"/>
    <w:rsid w:val="42804718"/>
    <w:rsid w:val="429D496A"/>
    <w:rsid w:val="42A84F00"/>
    <w:rsid w:val="42AC1FFB"/>
    <w:rsid w:val="42AE0712"/>
    <w:rsid w:val="42B23D5F"/>
    <w:rsid w:val="42BE2BD5"/>
    <w:rsid w:val="42D737C5"/>
    <w:rsid w:val="42DA7E56"/>
    <w:rsid w:val="42E00C78"/>
    <w:rsid w:val="42F473A1"/>
    <w:rsid w:val="430D37DC"/>
    <w:rsid w:val="431A43A9"/>
    <w:rsid w:val="43210DFF"/>
    <w:rsid w:val="434631B1"/>
    <w:rsid w:val="437925F6"/>
    <w:rsid w:val="439804A6"/>
    <w:rsid w:val="43AA2C88"/>
    <w:rsid w:val="43B15727"/>
    <w:rsid w:val="43B22EDB"/>
    <w:rsid w:val="43DA355D"/>
    <w:rsid w:val="43DC464B"/>
    <w:rsid w:val="44151F42"/>
    <w:rsid w:val="441E62C0"/>
    <w:rsid w:val="442D14AB"/>
    <w:rsid w:val="4431111E"/>
    <w:rsid w:val="44B307AB"/>
    <w:rsid w:val="44C4421D"/>
    <w:rsid w:val="44D051D2"/>
    <w:rsid w:val="44ED4010"/>
    <w:rsid w:val="450B59A8"/>
    <w:rsid w:val="452E2BA5"/>
    <w:rsid w:val="45325D14"/>
    <w:rsid w:val="454B4226"/>
    <w:rsid w:val="455425B9"/>
    <w:rsid w:val="45811C7C"/>
    <w:rsid w:val="45BB117C"/>
    <w:rsid w:val="4640228D"/>
    <w:rsid w:val="464C23FE"/>
    <w:rsid w:val="464D5825"/>
    <w:rsid w:val="46607F75"/>
    <w:rsid w:val="46632994"/>
    <w:rsid w:val="46821C9A"/>
    <w:rsid w:val="468B3EFB"/>
    <w:rsid w:val="46903E2B"/>
    <w:rsid w:val="46BB51AC"/>
    <w:rsid w:val="46D677A6"/>
    <w:rsid w:val="46D957AB"/>
    <w:rsid w:val="46DC2172"/>
    <w:rsid w:val="46E666CD"/>
    <w:rsid w:val="47024D99"/>
    <w:rsid w:val="470A6193"/>
    <w:rsid w:val="47385210"/>
    <w:rsid w:val="474D43C2"/>
    <w:rsid w:val="475E6666"/>
    <w:rsid w:val="478B46F6"/>
    <w:rsid w:val="47910143"/>
    <w:rsid w:val="47C115E6"/>
    <w:rsid w:val="47C5170E"/>
    <w:rsid w:val="47C87B80"/>
    <w:rsid w:val="47DC4F5C"/>
    <w:rsid w:val="47E43B34"/>
    <w:rsid w:val="480037BE"/>
    <w:rsid w:val="48036E0A"/>
    <w:rsid w:val="48174664"/>
    <w:rsid w:val="48531B40"/>
    <w:rsid w:val="485E23C9"/>
    <w:rsid w:val="48733F90"/>
    <w:rsid w:val="4876582E"/>
    <w:rsid w:val="4885703C"/>
    <w:rsid w:val="489F4005"/>
    <w:rsid w:val="48A31E49"/>
    <w:rsid w:val="48B40671"/>
    <w:rsid w:val="48DF4AE2"/>
    <w:rsid w:val="48E77FB5"/>
    <w:rsid w:val="49081450"/>
    <w:rsid w:val="49115557"/>
    <w:rsid w:val="493C2B77"/>
    <w:rsid w:val="49492A88"/>
    <w:rsid w:val="494970A4"/>
    <w:rsid w:val="495206A2"/>
    <w:rsid w:val="49596E55"/>
    <w:rsid w:val="496D4E83"/>
    <w:rsid w:val="499B5738"/>
    <w:rsid w:val="499F244D"/>
    <w:rsid w:val="49CA528E"/>
    <w:rsid w:val="49CC5A94"/>
    <w:rsid w:val="49E2286F"/>
    <w:rsid w:val="49EB7B56"/>
    <w:rsid w:val="49F66B3A"/>
    <w:rsid w:val="4A195C06"/>
    <w:rsid w:val="4A2B43F6"/>
    <w:rsid w:val="4A761B16"/>
    <w:rsid w:val="4A973F3F"/>
    <w:rsid w:val="4AC93C46"/>
    <w:rsid w:val="4AE051E1"/>
    <w:rsid w:val="4AF96BC7"/>
    <w:rsid w:val="4B174011"/>
    <w:rsid w:val="4B1916F3"/>
    <w:rsid w:val="4B2B2900"/>
    <w:rsid w:val="4B862A85"/>
    <w:rsid w:val="4B971D44"/>
    <w:rsid w:val="4B993DFC"/>
    <w:rsid w:val="4B9F1A1A"/>
    <w:rsid w:val="4BA10E14"/>
    <w:rsid w:val="4BA3693A"/>
    <w:rsid w:val="4BA601D9"/>
    <w:rsid w:val="4BD765E4"/>
    <w:rsid w:val="4BE33F9B"/>
    <w:rsid w:val="4BEC4676"/>
    <w:rsid w:val="4C191AA4"/>
    <w:rsid w:val="4C191AEB"/>
    <w:rsid w:val="4C2B6CEB"/>
    <w:rsid w:val="4C3728CD"/>
    <w:rsid w:val="4C496705"/>
    <w:rsid w:val="4C724EAF"/>
    <w:rsid w:val="4C8A5D4C"/>
    <w:rsid w:val="4C912FFE"/>
    <w:rsid w:val="4CBF3180"/>
    <w:rsid w:val="4CEF36E2"/>
    <w:rsid w:val="4CEF4DC5"/>
    <w:rsid w:val="4CF54750"/>
    <w:rsid w:val="4D052C06"/>
    <w:rsid w:val="4D1A44ED"/>
    <w:rsid w:val="4D312DC5"/>
    <w:rsid w:val="4D3F5AB1"/>
    <w:rsid w:val="4D681B08"/>
    <w:rsid w:val="4D71425A"/>
    <w:rsid w:val="4D73233C"/>
    <w:rsid w:val="4D7E517F"/>
    <w:rsid w:val="4DA22C22"/>
    <w:rsid w:val="4DA515FE"/>
    <w:rsid w:val="4DE95FD3"/>
    <w:rsid w:val="4DFF0DF6"/>
    <w:rsid w:val="4E073A02"/>
    <w:rsid w:val="4E0E218A"/>
    <w:rsid w:val="4E146DCE"/>
    <w:rsid w:val="4E257655"/>
    <w:rsid w:val="4E4A12EF"/>
    <w:rsid w:val="4E565B2A"/>
    <w:rsid w:val="4E5D479A"/>
    <w:rsid w:val="4E7E4774"/>
    <w:rsid w:val="4E8E20AF"/>
    <w:rsid w:val="4E955E09"/>
    <w:rsid w:val="4EA248CB"/>
    <w:rsid w:val="4ECE2531"/>
    <w:rsid w:val="4EE908E7"/>
    <w:rsid w:val="4EF301C4"/>
    <w:rsid w:val="4F19255B"/>
    <w:rsid w:val="4F2D3BE4"/>
    <w:rsid w:val="4F372380"/>
    <w:rsid w:val="4F372FFB"/>
    <w:rsid w:val="4F3B1580"/>
    <w:rsid w:val="4F432AAB"/>
    <w:rsid w:val="4F5B241B"/>
    <w:rsid w:val="4F71730E"/>
    <w:rsid w:val="4F7A3E56"/>
    <w:rsid w:val="4F9A15E1"/>
    <w:rsid w:val="4FA472FB"/>
    <w:rsid w:val="4FC81DBA"/>
    <w:rsid w:val="4FD97565"/>
    <w:rsid w:val="4FEA0FA9"/>
    <w:rsid w:val="50407270"/>
    <w:rsid w:val="50760AC1"/>
    <w:rsid w:val="50840434"/>
    <w:rsid w:val="508A5366"/>
    <w:rsid w:val="50A6110E"/>
    <w:rsid w:val="50AA2519"/>
    <w:rsid w:val="50BC3549"/>
    <w:rsid w:val="50CB3128"/>
    <w:rsid w:val="50D44007"/>
    <w:rsid w:val="50DA64CD"/>
    <w:rsid w:val="50F442ED"/>
    <w:rsid w:val="50FA523A"/>
    <w:rsid w:val="51274BA3"/>
    <w:rsid w:val="515E6E11"/>
    <w:rsid w:val="51664E3F"/>
    <w:rsid w:val="51B31DF8"/>
    <w:rsid w:val="51BD002A"/>
    <w:rsid w:val="51CA5FDB"/>
    <w:rsid w:val="51F70465"/>
    <w:rsid w:val="52043EAB"/>
    <w:rsid w:val="52263E21"/>
    <w:rsid w:val="52395ECD"/>
    <w:rsid w:val="524D1A4D"/>
    <w:rsid w:val="525F1185"/>
    <w:rsid w:val="52697A2B"/>
    <w:rsid w:val="527964A5"/>
    <w:rsid w:val="52903990"/>
    <w:rsid w:val="52B14033"/>
    <w:rsid w:val="52B256B5"/>
    <w:rsid w:val="52C10D75"/>
    <w:rsid w:val="52D0366B"/>
    <w:rsid w:val="530B1CDE"/>
    <w:rsid w:val="531E6161"/>
    <w:rsid w:val="5339518B"/>
    <w:rsid w:val="534736D7"/>
    <w:rsid w:val="534C4843"/>
    <w:rsid w:val="53A21BF6"/>
    <w:rsid w:val="53B042EA"/>
    <w:rsid w:val="53C27FF8"/>
    <w:rsid w:val="53DD0E57"/>
    <w:rsid w:val="53E83B05"/>
    <w:rsid w:val="53EC7F58"/>
    <w:rsid w:val="541376E1"/>
    <w:rsid w:val="543F566E"/>
    <w:rsid w:val="544E1E15"/>
    <w:rsid w:val="547277F2"/>
    <w:rsid w:val="54740820"/>
    <w:rsid w:val="549E1A80"/>
    <w:rsid w:val="54A9191E"/>
    <w:rsid w:val="54B30A3A"/>
    <w:rsid w:val="54C658F4"/>
    <w:rsid w:val="54E355D7"/>
    <w:rsid w:val="54E56216"/>
    <w:rsid w:val="550C4BD7"/>
    <w:rsid w:val="55106851"/>
    <w:rsid w:val="551F137C"/>
    <w:rsid w:val="55482300"/>
    <w:rsid w:val="554C1D56"/>
    <w:rsid w:val="55572986"/>
    <w:rsid w:val="557650C0"/>
    <w:rsid w:val="55AB05A8"/>
    <w:rsid w:val="55AE6607"/>
    <w:rsid w:val="55B61960"/>
    <w:rsid w:val="55BD3B21"/>
    <w:rsid w:val="55C32776"/>
    <w:rsid w:val="55FB6B0B"/>
    <w:rsid w:val="561D378D"/>
    <w:rsid w:val="5627529A"/>
    <w:rsid w:val="564360B0"/>
    <w:rsid w:val="56465177"/>
    <w:rsid w:val="565340FA"/>
    <w:rsid w:val="56710849"/>
    <w:rsid w:val="56762439"/>
    <w:rsid w:val="567F0E13"/>
    <w:rsid w:val="569E305F"/>
    <w:rsid w:val="56A25A40"/>
    <w:rsid w:val="56D22275"/>
    <w:rsid w:val="56D83668"/>
    <w:rsid w:val="56E758A3"/>
    <w:rsid w:val="56F73FDE"/>
    <w:rsid w:val="56FA762A"/>
    <w:rsid w:val="570E000D"/>
    <w:rsid w:val="572B28B5"/>
    <w:rsid w:val="57361D33"/>
    <w:rsid w:val="573E0B7F"/>
    <w:rsid w:val="57572D54"/>
    <w:rsid w:val="57862283"/>
    <w:rsid w:val="578C1931"/>
    <w:rsid w:val="57B10631"/>
    <w:rsid w:val="57E26A3C"/>
    <w:rsid w:val="57F37E9F"/>
    <w:rsid w:val="5826075F"/>
    <w:rsid w:val="58295086"/>
    <w:rsid w:val="58462E9E"/>
    <w:rsid w:val="5899277D"/>
    <w:rsid w:val="58C12AF6"/>
    <w:rsid w:val="58C54B31"/>
    <w:rsid w:val="58CB5722"/>
    <w:rsid w:val="58D93A29"/>
    <w:rsid w:val="58F73FD7"/>
    <w:rsid w:val="59107F31"/>
    <w:rsid w:val="5953777F"/>
    <w:rsid w:val="59655F37"/>
    <w:rsid w:val="59856976"/>
    <w:rsid w:val="598A464D"/>
    <w:rsid w:val="59957B7A"/>
    <w:rsid w:val="59AA2C00"/>
    <w:rsid w:val="59E051FD"/>
    <w:rsid w:val="59E85E60"/>
    <w:rsid w:val="5A13112F"/>
    <w:rsid w:val="5A2F2CC8"/>
    <w:rsid w:val="5A56101C"/>
    <w:rsid w:val="5AA07FC6"/>
    <w:rsid w:val="5AA555A4"/>
    <w:rsid w:val="5ABC17C7"/>
    <w:rsid w:val="5AC02939"/>
    <w:rsid w:val="5AC76EA1"/>
    <w:rsid w:val="5AD24C4D"/>
    <w:rsid w:val="5AFC69A4"/>
    <w:rsid w:val="5B305D11"/>
    <w:rsid w:val="5B345801"/>
    <w:rsid w:val="5B4763B9"/>
    <w:rsid w:val="5B8B12F5"/>
    <w:rsid w:val="5BAF6C35"/>
    <w:rsid w:val="5BB95E1B"/>
    <w:rsid w:val="5BC903AC"/>
    <w:rsid w:val="5BF42528"/>
    <w:rsid w:val="5BF9099D"/>
    <w:rsid w:val="5BFA7EF6"/>
    <w:rsid w:val="5C0D36FF"/>
    <w:rsid w:val="5C10702D"/>
    <w:rsid w:val="5C152601"/>
    <w:rsid w:val="5C160BD4"/>
    <w:rsid w:val="5C333B91"/>
    <w:rsid w:val="5C3D2493"/>
    <w:rsid w:val="5C6A36E5"/>
    <w:rsid w:val="5C8A1B2F"/>
    <w:rsid w:val="5C8A6711"/>
    <w:rsid w:val="5C8E6128"/>
    <w:rsid w:val="5C974299"/>
    <w:rsid w:val="5CA80969"/>
    <w:rsid w:val="5CAF66C2"/>
    <w:rsid w:val="5CB97A26"/>
    <w:rsid w:val="5CC901CB"/>
    <w:rsid w:val="5CDD4D8E"/>
    <w:rsid w:val="5CDD7856"/>
    <w:rsid w:val="5CE77144"/>
    <w:rsid w:val="5CEA1EE5"/>
    <w:rsid w:val="5CFB0534"/>
    <w:rsid w:val="5D123920"/>
    <w:rsid w:val="5D132369"/>
    <w:rsid w:val="5D137698"/>
    <w:rsid w:val="5D177FC0"/>
    <w:rsid w:val="5D356109"/>
    <w:rsid w:val="5D380EAD"/>
    <w:rsid w:val="5D3979B9"/>
    <w:rsid w:val="5D6427B4"/>
    <w:rsid w:val="5D9537B3"/>
    <w:rsid w:val="5D97352F"/>
    <w:rsid w:val="5D9F1513"/>
    <w:rsid w:val="5DA44BD0"/>
    <w:rsid w:val="5DB82B9E"/>
    <w:rsid w:val="5DD55853"/>
    <w:rsid w:val="5DDE1A54"/>
    <w:rsid w:val="5E0013F0"/>
    <w:rsid w:val="5E457D25"/>
    <w:rsid w:val="5E572171"/>
    <w:rsid w:val="5EB011E7"/>
    <w:rsid w:val="5EB26982"/>
    <w:rsid w:val="5EC73D8E"/>
    <w:rsid w:val="5EEA73F4"/>
    <w:rsid w:val="5EEB5BF2"/>
    <w:rsid w:val="5F0D58EA"/>
    <w:rsid w:val="5F335DCF"/>
    <w:rsid w:val="5F5E25BD"/>
    <w:rsid w:val="5F681F1D"/>
    <w:rsid w:val="5F863D8D"/>
    <w:rsid w:val="5F8B70D8"/>
    <w:rsid w:val="5F8D0C6F"/>
    <w:rsid w:val="5F954EF8"/>
    <w:rsid w:val="5F984B3A"/>
    <w:rsid w:val="5FAB7745"/>
    <w:rsid w:val="5FC627A0"/>
    <w:rsid w:val="5FD44EBD"/>
    <w:rsid w:val="600D4872"/>
    <w:rsid w:val="60106DBA"/>
    <w:rsid w:val="606007BB"/>
    <w:rsid w:val="60630DEA"/>
    <w:rsid w:val="60653D5A"/>
    <w:rsid w:val="607C1729"/>
    <w:rsid w:val="607D1DDF"/>
    <w:rsid w:val="607D669F"/>
    <w:rsid w:val="60825B3F"/>
    <w:rsid w:val="609E371C"/>
    <w:rsid w:val="60A46F85"/>
    <w:rsid w:val="60AA38DE"/>
    <w:rsid w:val="60AC7F66"/>
    <w:rsid w:val="60EE2705"/>
    <w:rsid w:val="61100229"/>
    <w:rsid w:val="611761ED"/>
    <w:rsid w:val="611B1AB8"/>
    <w:rsid w:val="612279AD"/>
    <w:rsid w:val="619049A4"/>
    <w:rsid w:val="61A05284"/>
    <w:rsid w:val="61A14487"/>
    <w:rsid w:val="61BF10D9"/>
    <w:rsid w:val="61D712AB"/>
    <w:rsid w:val="61DC566A"/>
    <w:rsid w:val="61E3588B"/>
    <w:rsid w:val="620926BC"/>
    <w:rsid w:val="620A72BB"/>
    <w:rsid w:val="620B6B90"/>
    <w:rsid w:val="621D3283"/>
    <w:rsid w:val="62257E2A"/>
    <w:rsid w:val="622A5268"/>
    <w:rsid w:val="622F27B1"/>
    <w:rsid w:val="622F3C7D"/>
    <w:rsid w:val="623065F6"/>
    <w:rsid w:val="62414C29"/>
    <w:rsid w:val="625F22C2"/>
    <w:rsid w:val="628D0E3A"/>
    <w:rsid w:val="62AC22DC"/>
    <w:rsid w:val="62B66AFB"/>
    <w:rsid w:val="62C938AB"/>
    <w:rsid w:val="62D17DD9"/>
    <w:rsid w:val="62D82240"/>
    <w:rsid w:val="62FD7CCE"/>
    <w:rsid w:val="630E4B89"/>
    <w:rsid w:val="633640E0"/>
    <w:rsid w:val="633F2AA8"/>
    <w:rsid w:val="636B52CA"/>
    <w:rsid w:val="63711BF0"/>
    <w:rsid w:val="63866648"/>
    <w:rsid w:val="639C5550"/>
    <w:rsid w:val="63AB24FE"/>
    <w:rsid w:val="63B868A3"/>
    <w:rsid w:val="63E62D3A"/>
    <w:rsid w:val="64107061"/>
    <w:rsid w:val="64572560"/>
    <w:rsid w:val="64636EAC"/>
    <w:rsid w:val="646661D7"/>
    <w:rsid w:val="64712C5F"/>
    <w:rsid w:val="647E3DEF"/>
    <w:rsid w:val="648570CD"/>
    <w:rsid w:val="64871ED1"/>
    <w:rsid w:val="648750C4"/>
    <w:rsid w:val="64992B79"/>
    <w:rsid w:val="649D4417"/>
    <w:rsid w:val="649E018F"/>
    <w:rsid w:val="64A13A15"/>
    <w:rsid w:val="64AD3F2E"/>
    <w:rsid w:val="64B147DE"/>
    <w:rsid w:val="64BD21E6"/>
    <w:rsid w:val="64CB4EF4"/>
    <w:rsid w:val="64D8657C"/>
    <w:rsid w:val="64E45EF7"/>
    <w:rsid w:val="65131239"/>
    <w:rsid w:val="651346D9"/>
    <w:rsid w:val="65197815"/>
    <w:rsid w:val="65262DBD"/>
    <w:rsid w:val="65386C6F"/>
    <w:rsid w:val="65510D5D"/>
    <w:rsid w:val="65654DE3"/>
    <w:rsid w:val="65851294"/>
    <w:rsid w:val="65A07776"/>
    <w:rsid w:val="65A91735"/>
    <w:rsid w:val="65EC0A86"/>
    <w:rsid w:val="6609788A"/>
    <w:rsid w:val="660E6F12"/>
    <w:rsid w:val="66186808"/>
    <w:rsid w:val="66245638"/>
    <w:rsid w:val="66246472"/>
    <w:rsid w:val="663A47D5"/>
    <w:rsid w:val="664D5A0D"/>
    <w:rsid w:val="665C20B0"/>
    <w:rsid w:val="6665172C"/>
    <w:rsid w:val="667F13C0"/>
    <w:rsid w:val="6686712D"/>
    <w:rsid w:val="668A7DF4"/>
    <w:rsid w:val="6691014E"/>
    <w:rsid w:val="66EA2B5A"/>
    <w:rsid w:val="66F61BBC"/>
    <w:rsid w:val="66F67E0E"/>
    <w:rsid w:val="674F2968"/>
    <w:rsid w:val="674F751F"/>
    <w:rsid w:val="67574148"/>
    <w:rsid w:val="677435B2"/>
    <w:rsid w:val="67766643"/>
    <w:rsid w:val="67823075"/>
    <w:rsid w:val="67EF75F1"/>
    <w:rsid w:val="67F3753B"/>
    <w:rsid w:val="67FD51CC"/>
    <w:rsid w:val="683F7593"/>
    <w:rsid w:val="686E5E28"/>
    <w:rsid w:val="687A4A6F"/>
    <w:rsid w:val="68A613C0"/>
    <w:rsid w:val="68E0239E"/>
    <w:rsid w:val="69124F16"/>
    <w:rsid w:val="691272A6"/>
    <w:rsid w:val="69133308"/>
    <w:rsid w:val="69191363"/>
    <w:rsid w:val="691A0356"/>
    <w:rsid w:val="69315D51"/>
    <w:rsid w:val="69361E6C"/>
    <w:rsid w:val="69414D62"/>
    <w:rsid w:val="69456D51"/>
    <w:rsid w:val="69684B84"/>
    <w:rsid w:val="69866DF1"/>
    <w:rsid w:val="698823BC"/>
    <w:rsid w:val="69A3037F"/>
    <w:rsid w:val="69A97868"/>
    <w:rsid w:val="69AF43AE"/>
    <w:rsid w:val="69CC65B3"/>
    <w:rsid w:val="69CD5C14"/>
    <w:rsid w:val="69CF0D33"/>
    <w:rsid w:val="69DB2A22"/>
    <w:rsid w:val="69DF10CC"/>
    <w:rsid w:val="69EC44A4"/>
    <w:rsid w:val="6A075683"/>
    <w:rsid w:val="6A31115D"/>
    <w:rsid w:val="6A7D7634"/>
    <w:rsid w:val="6A815C41"/>
    <w:rsid w:val="6A890218"/>
    <w:rsid w:val="6AAD2EDA"/>
    <w:rsid w:val="6AE52D57"/>
    <w:rsid w:val="6B034621"/>
    <w:rsid w:val="6B3702EB"/>
    <w:rsid w:val="6B83565B"/>
    <w:rsid w:val="6B9946B3"/>
    <w:rsid w:val="6BAE6F0A"/>
    <w:rsid w:val="6BC93D43"/>
    <w:rsid w:val="6BFA101A"/>
    <w:rsid w:val="6C183322"/>
    <w:rsid w:val="6C3755D6"/>
    <w:rsid w:val="6C445C90"/>
    <w:rsid w:val="6C7007C7"/>
    <w:rsid w:val="6C737281"/>
    <w:rsid w:val="6C851A4C"/>
    <w:rsid w:val="6C877D3F"/>
    <w:rsid w:val="6C935A12"/>
    <w:rsid w:val="6CC575D8"/>
    <w:rsid w:val="6CCF0AB9"/>
    <w:rsid w:val="6CD96208"/>
    <w:rsid w:val="6CE42609"/>
    <w:rsid w:val="6CF37CE2"/>
    <w:rsid w:val="6D003795"/>
    <w:rsid w:val="6D01750D"/>
    <w:rsid w:val="6D050DAB"/>
    <w:rsid w:val="6D3051F6"/>
    <w:rsid w:val="6D4E7801"/>
    <w:rsid w:val="6D721B8C"/>
    <w:rsid w:val="6D806684"/>
    <w:rsid w:val="6D985E6C"/>
    <w:rsid w:val="6DA5192F"/>
    <w:rsid w:val="6DB3561E"/>
    <w:rsid w:val="6DD3182A"/>
    <w:rsid w:val="6DE704B1"/>
    <w:rsid w:val="6DE76850"/>
    <w:rsid w:val="6E054DDB"/>
    <w:rsid w:val="6E322FA8"/>
    <w:rsid w:val="6E386F5E"/>
    <w:rsid w:val="6E516013"/>
    <w:rsid w:val="6E6019C0"/>
    <w:rsid w:val="6E6E3A98"/>
    <w:rsid w:val="6E7B544A"/>
    <w:rsid w:val="6E9E74AE"/>
    <w:rsid w:val="6EA62BE8"/>
    <w:rsid w:val="6F093EDE"/>
    <w:rsid w:val="6F0E0035"/>
    <w:rsid w:val="6F26561D"/>
    <w:rsid w:val="6F2863E1"/>
    <w:rsid w:val="6F287F6F"/>
    <w:rsid w:val="6F3331A6"/>
    <w:rsid w:val="6F347726"/>
    <w:rsid w:val="6F47051E"/>
    <w:rsid w:val="6F76390A"/>
    <w:rsid w:val="6F8306AD"/>
    <w:rsid w:val="6F8E3EFF"/>
    <w:rsid w:val="6FA259FE"/>
    <w:rsid w:val="6FAB4B62"/>
    <w:rsid w:val="6FB20BD4"/>
    <w:rsid w:val="6FB36A7D"/>
    <w:rsid w:val="6FBA59BE"/>
    <w:rsid w:val="6FD701AB"/>
    <w:rsid w:val="7003534A"/>
    <w:rsid w:val="70296B3E"/>
    <w:rsid w:val="70514307"/>
    <w:rsid w:val="705345D7"/>
    <w:rsid w:val="70611204"/>
    <w:rsid w:val="70B34AAC"/>
    <w:rsid w:val="70BA00FF"/>
    <w:rsid w:val="710475CC"/>
    <w:rsid w:val="7110457A"/>
    <w:rsid w:val="712D5754"/>
    <w:rsid w:val="713954C7"/>
    <w:rsid w:val="71866233"/>
    <w:rsid w:val="71886F43"/>
    <w:rsid w:val="71961B94"/>
    <w:rsid w:val="71983E33"/>
    <w:rsid w:val="719E532A"/>
    <w:rsid w:val="71CE4CC3"/>
    <w:rsid w:val="71CF0110"/>
    <w:rsid w:val="722109DC"/>
    <w:rsid w:val="72417401"/>
    <w:rsid w:val="72424D2E"/>
    <w:rsid w:val="725D6F93"/>
    <w:rsid w:val="726653A5"/>
    <w:rsid w:val="726E2F4F"/>
    <w:rsid w:val="727360BC"/>
    <w:rsid w:val="728F17BE"/>
    <w:rsid w:val="72A72C8E"/>
    <w:rsid w:val="72CD6EFE"/>
    <w:rsid w:val="72DF7ADC"/>
    <w:rsid w:val="72E2143E"/>
    <w:rsid w:val="73395F4E"/>
    <w:rsid w:val="733E6DC5"/>
    <w:rsid w:val="73424EEB"/>
    <w:rsid w:val="73610D05"/>
    <w:rsid w:val="737A105C"/>
    <w:rsid w:val="737E5413"/>
    <w:rsid w:val="739B20C2"/>
    <w:rsid w:val="73F73418"/>
    <w:rsid w:val="740C6EC3"/>
    <w:rsid w:val="74235F1B"/>
    <w:rsid w:val="74397153"/>
    <w:rsid w:val="744C3764"/>
    <w:rsid w:val="747B5F8D"/>
    <w:rsid w:val="747D5566"/>
    <w:rsid w:val="7489637A"/>
    <w:rsid w:val="749916A0"/>
    <w:rsid w:val="74A94712"/>
    <w:rsid w:val="74C432FA"/>
    <w:rsid w:val="74ED0139"/>
    <w:rsid w:val="74FA2C30"/>
    <w:rsid w:val="75267D69"/>
    <w:rsid w:val="754B6AFD"/>
    <w:rsid w:val="754D5C4B"/>
    <w:rsid w:val="75602B61"/>
    <w:rsid w:val="756E3266"/>
    <w:rsid w:val="75846F2D"/>
    <w:rsid w:val="75874327"/>
    <w:rsid w:val="758C31D7"/>
    <w:rsid w:val="759B4693"/>
    <w:rsid w:val="75D83A31"/>
    <w:rsid w:val="75DA30FD"/>
    <w:rsid w:val="75E10B48"/>
    <w:rsid w:val="75F06371"/>
    <w:rsid w:val="75FC2F67"/>
    <w:rsid w:val="762D4575"/>
    <w:rsid w:val="764861C3"/>
    <w:rsid w:val="765E777E"/>
    <w:rsid w:val="76764AC8"/>
    <w:rsid w:val="76857FAE"/>
    <w:rsid w:val="768D377F"/>
    <w:rsid w:val="768E32DD"/>
    <w:rsid w:val="76AA651F"/>
    <w:rsid w:val="76B178AE"/>
    <w:rsid w:val="76C240A7"/>
    <w:rsid w:val="76C77A19"/>
    <w:rsid w:val="76CF5F86"/>
    <w:rsid w:val="76FA5440"/>
    <w:rsid w:val="76FB2B06"/>
    <w:rsid w:val="772A7ADE"/>
    <w:rsid w:val="772F14C5"/>
    <w:rsid w:val="773109EF"/>
    <w:rsid w:val="77383B2B"/>
    <w:rsid w:val="773A5EC2"/>
    <w:rsid w:val="7741526D"/>
    <w:rsid w:val="775246B7"/>
    <w:rsid w:val="7767567E"/>
    <w:rsid w:val="77764DEB"/>
    <w:rsid w:val="77EB6DF0"/>
    <w:rsid w:val="781E69D1"/>
    <w:rsid w:val="782C7B34"/>
    <w:rsid w:val="785B5D23"/>
    <w:rsid w:val="785C6323"/>
    <w:rsid w:val="78654DF4"/>
    <w:rsid w:val="786D5A56"/>
    <w:rsid w:val="7878384E"/>
    <w:rsid w:val="7890545F"/>
    <w:rsid w:val="78A85957"/>
    <w:rsid w:val="790E75EE"/>
    <w:rsid w:val="791163BE"/>
    <w:rsid w:val="79120F2B"/>
    <w:rsid w:val="793D18CD"/>
    <w:rsid w:val="794529F6"/>
    <w:rsid w:val="794744F9"/>
    <w:rsid w:val="7950576A"/>
    <w:rsid w:val="79571F63"/>
    <w:rsid w:val="797572B9"/>
    <w:rsid w:val="797F5A41"/>
    <w:rsid w:val="7990463C"/>
    <w:rsid w:val="79A84CF6"/>
    <w:rsid w:val="79AE371B"/>
    <w:rsid w:val="79BB01FF"/>
    <w:rsid w:val="79BE1949"/>
    <w:rsid w:val="79CE5144"/>
    <w:rsid w:val="79D407E1"/>
    <w:rsid w:val="79F75F20"/>
    <w:rsid w:val="7A1362BF"/>
    <w:rsid w:val="7A263B6B"/>
    <w:rsid w:val="7A3D371A"/>
    <w:rsid w:val="7A654B6F"/>
    <w:rsid w:val="7A6A5B33"/>
    <w:rsid w:val="7A710463"/>
    <w:rsid w:val="7AB14320"/>
    <w:rsid w:val="7AB364C5"/>
    <w:rsid w:val="7AB92936"/>
    <w:rsid w:val="7AC04563"/>
    <w:rsid w:val="7AD61FD9"/>
    <w:rsid w:val="7AF46346"/>
    <w:rsid w:val="7B0F5EBF"/>
    <w:rsid w:val="7B130FB9"/>
    <w:rsid w:val="7B1F416D"/>
    <w:rsid w:val="7B252618"/>
    <w:rsid w:val="7B517832"/>
    <w:rsid w:val="7B6403BB"/>
    <w:rsid w:val="7B7B6CE0"/>
    <w:rsid w:val="7BC63DFB"/>
    <w:rsid w:val="7BDA1655"/>
    <w:rsid w:val="7BF64EDE"/>
    <w:rsid w:val="7C370313"/>
    <w:rsid w:val="7C400C1E"/>
    <w:rsid w:val="7C5036C5"/>
    <w:rsid w:val="7C694787"/>
    <w:rsid w:val="7CAF663E"/>
    <w:rsid w:val="7CB51D2C"/>
    <w:rsid w:val="7CCB305D"/>
    <w:rsid w:val="7CD24A22"/>
    <w:rsid w:val="7D092A36"/>
    <w:rsid w:val="7D197471"/>
    <w:rsid w:val="7D1C7F36"/>
    <w:rsid w:val="7D280F83"/>
    <w:rsid w:val="7D374440"/>
    <w:rsid w:val="7D453DD6"/>
    <w:rsid w:val="7D6D012A"/>
    <w:rsid w:val="7D866FD7"/>
    <w:rsid w:val="7D935F5F"/>
    <w:rsid w:val="7DAC22C2"/>
    <w:rsid w:val="7DD11708"/>
    <w:rsid w:val="7DD270EF"/>
    <w:rsid w:val="7E013417"/>
    <w:rsid w:val="7E290672"/>
    <w:rsid w:val="7E5A0741"/>
    <w:rsid w:val="7E5C45A3"/>
    <w:rsid w:val="7E751B09"/>
    <w:rsid w:val="7EB37A93"/>
    <w:rsid w:val="7EC167BD"/>
    <w:rsid w:val="7ECB7B7D"/>
    <w:rsid w:val="7F272D9E"/>
    <w:rsid w:val="7F465DBB"/>
    <w:rsid w:val="7F5B3AA2"/>
    <w:rsid w:val="7F6322FD"/>
    <w:rsid w:val="7F8B5D77"/>
    <w:rsid w:val="7FAE5097"/>
    <w:rsid w:val="7FBE4C56"/>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autoRedefine/>
    <w:qFormat/>
    <w:uiPriority w:val="9"/>
    <w:pPr>
      <w:keepNext/>
      <w:keepLines/>
      <w:spacing w:before="340" w:after="330" w:line="576" w:lineRule="auto"/>
      <w:outlineLvl w:val="0"/>
    </w:pPr>
    <w:rPr>
      <w:b/>
      <w:kern w:val="44"/>
      <w:sz w:val="44"/>
    </w:rPr>
  </w:style>
  <w:style w:type="paragraph" w:styleId="3">
    <w:name w:val="heading 2"/>
    <w:basedOn w:val="1"/>
    <w:next w:val="1"/>
    <w:link w:val="50"/>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9"/>
    <w:pPr>
      <w:keepNext/>
      <w:keepLines/>
      <w:spacing w:before="260" w:after="260" w:line="413" w:lineRule="auto"/>
      <w:outlineLvl w:val="2"/>
    </w:pPr>
    <w:rPr>
      <w:b/>
      <w:sz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51"/>
    <w:autoRedefine/>
    <w:qFormat/>
    <w:uiPriority w:val="9"/>
    <w:pPr>
      <w:keepNext/>
      <w:keepLines/>
      <w:spacing w:before="280" w:after="290" w:line="376" w:lineRule="auto"/>
      <w:outlineLvl w:val="4"/>
    </w:pPr>
    <w:rPr>
      <w:b/>
      <w:bCs/>
      <w:sz w:val="28"/>
      <w:szCs w:val="28"/>
    </w:rPr>
  </w:style>
  <w:style w:type="paragraph" w:styleId="8">
    <w:name w:val="heading 8"/>
    <w:basedOn w:val="1"/>
    <w:next w:val="1"/>
    <w:link w:val="52"/>
    <w:autoRedefine/>
    <w:qFormat/>
    <w:uiPriority w:val="9"/>
    <w:pPr>
      <w:keepNext/>
      <w:keepLines/>
      <w:spacing w:before="240" w:after="64" w:line="320" w:lineRule="auto"/>
      <w:outlineLvl w:val="7"/>
    </w:pPr>
    <w:rPr>
      <w:rFonts w:ascii="等线 Light" w:hAnsi="等线 Light" w:eastAsia="等线 Light"/>
      <w:sz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9">
    <w:name w:val="index 8"/>
    <w:basedOn w:val="1"/>
    <w:next w:val="1"/>
    <w:autoRedefine/>
    <w:qFormat/>
    <w:uiPriority w:val="0"/>
    <w:pPr>
      <w:ind w:left="2940"/>
    </w:pPr>
  </w:style>
  <w:style w:type="paragraph" w:styleId="10">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53"/>
    <w:autoRedefine/>
    <w:qFormat/>
    <w:uiPriority w:val="0"/>
    <w:pPr>
      <w:jc w:val="left"/>
    </w:pPr>
  </w:style>
  <w:style w:type="paragraph" w:styleId="12">
    <w:name w:val="Body Text 3"/>
    <w:basedOn w:val="1"/>
    <w:link w:val="54"/>
    <w:autoRedefine/>
    <w:unhideWhenUsed/>
    <w:qFormat/>
    <w:uiPriority w:val="99"/>
    <w:pPr>
      <w:spacing w:after="120"/>
    </w:pPr>
    <w:rPr>
      <w:sz w:val="16"/>
      <w:szCs w:val="16"/>
    </w:rPr>
  </w:style>
  <w:style w:type="paragraph" w:styleId="13">
    <w:name w:val="Body Text"/>
    <w:basedOn w:val="1"/>
    <w:next w:val="14"/>
    <w:link w:val="48"/>
    <w:autoRedefine/>
    <w:unhideWhenUsed/>
    <w:qFormat/>
    <w:uiPriority w:val="0"/>
    <w:pPr>
      <w:spacing w:after="120"/>
    </w:pPr>
  </w:style>
  <w:style w:type="paragraph" w:styleId="14">
    <w:name w:val="Body Text First Indent"/>
    <w:basedOn w:val="13"/>
    <w:autoRedefine/>
    <w:qFormat/>
    <w:uiPriority w:val="99"/>
    <w:pPr>
      <w:ind w:firstLine="420" w:firstLineChars="100"/>
    </w:pPr>
    <w:rPr>
      <w:rFonts w:ascii="宋体"/>
      <w:sz w:val="34"/>
      <w:szCs w:val="22"/>
    </w:rPr>
  </w:style>
  <w:style w:type="paragraph" w:styleId="15">
    <w:name w:val="Body Text Indent"/>
    <w:basedOn w:val="1"/>
    <w:next w:val="16"/>
    <w:link w:val="55"/>
    <w:autoRedefine/>
    <w:qFormat/>
    <w:uiPriority w:val="0"/>
    <w:pPr>
      <w:ind w:firstLine="830" w:firstLineChars="352"/>
    </w:pPr>
    <w:rPr>
      <w:rFonts w:ascii="仿宋_GB2312" w:eastAsia="仿宋_GB2312"/>
      <w:kern w:val="0"/>
      <w:sz w:val="32"/>
      <w:szCs w:val="20"/>
    </w:rPr>
  </w:style>
  <w:style w:type="paragraph" w:styleId="16">
    <w:name w:val="envelope return"/>
    <w:basedOn w:val="1"/>
    <w:autoRedefine/>
    <w:qFormat/>
    <w:uiPriority w:val="0"/>
    <w:pPr>
      <w:snapToGrid w:val="0"/>
    </w:pPr>
    <w:rPr>
      <w:rFonts w:ascii="Arial" w:hAnsi="Arial"/>
    </w:rPr>
  </w:style>
  <w:style w:type="paragraph" w:styleId="17">
    <w:name w:val="List 2"/>
    <w:basedOn w:val="1"/>
    <w:autoRedefine/>
    <w:unhideWhenUsed/>
    <w:qFormat/>
    <w:uiPriority w:val="99"/>
    <w:pPr>
      <w:ind w:left="100" w:leftChars="200" w:hanging="200" w:hangingChars="200"/>
      <w:contextualSpacing/>
    </w:pPr>
  </w:style>
  <w:style w:type="paragraph" w:styleId="18">
    <w:name w:val="toc 3"/>
    <w:basedOn w:val="1"/>
    <w:next w:val="1"/>
    <w:autoRedefine/>
    <w:unhideWhenUsed/>
    <w:qFormat/>
    <w:uiPriority w:val="39"/>
    <w:pPr>
      <w:ind w:left="840" w:leftChars="400"/>
    </w:pPr>
  </w:style>
  <w:style w:type="paragraph" w:styleId="19">
    <w:name w:val="Plain Text"/>
    <w:basedOn w:val="1"/>
    <w:link w:val="56"/>
    <w:autoRedefine/>
    <w:qFormat/>
    <w:uiPriority w:val="0"/>
    <w:rPr>
      <w:rFonts w:ascii="宋体" w:hAnsi="Courier New"/>
      <w:kern w:val="0"/>
      <w:sz w:val="20"/>
      <w:szCs w:val="21"/>
    </w:rPr>
  </w:style>
  <w:style w:type="paragraph" w:styleId="20">
    <w:name w:val="Date"/>
    <w:basedOn w:val="1"/>
    <w:next w:val="1"/>
    <w:link w:val="57"/>
    <w:autoRedefine/>
    <w:unhideWhenUsed/>
    <w:qFormat/>
    <w:uiPriority w:val="99"/>
    <w:pPr>
      <w:ind w:left="100" w:leftChars="2500"/>
    </w:pPr>
  </w:style>
  <w:style w:type="paragraph" w:styleId="21">
    <w:name w:val="Body Text Indent 2"/>
    <w:basedOn w:val="1"/>
    <w:autoRedefine/>
    <w:qFormat/>
    <w:uiPriority w:val="0"/>
    <w:pPr>
      <w:spacing w:line="420" w:lineRule="exact"/>
      <w:ind w:firstLine="409" w:firstLineChars="195"/>
    </w:pPr>
  </w:style>
  <w:style w:type="paragraph" w:styleId="22">
    <w:name w:val="Balloon Text"/>
    <w:basedOn w:val="1"/>
    <w:autoRedefine/>
    <w:semiHidden/>
    <w:qFormat/>
    <w:uiPriority w:val="0"/>
    <w:rPr>
      <w:sz w:val="18"/>
      <w:szCs w:val="18"/>
    </w:rPr>
  </w:style>
  <w:style w:type="paragraph" w:styleId="23">
    <w:name w:val="footer"/>
    <w:basedOn w:val="1"/>
    <w:link w:val="58"/>
    <w:autoRedefine/>
    <w:unhideWhenUsed/>
    <w:qFormat/>
    <w:uiPriority w:val="99"/>
    <w:pPr>
      <w:tabs>
        <w:tab w:val="center" w:pos="4153"/>
        <w:tab w:val="right" w:pos="8306"/>
      </w:tabs>
      <w:snapToGrid w:val="0"/>
      <w:jc w:val="left"/>
    </w:pPr>
    <w:rPr>
      <w:kern w:val="0"/>
      <w:sz w:val="18"/>
      <w:szCs w:val="18"/>
    </w:rPr>
  </w:style>
  <w:style w:type="paragraph" w:styleId="24">
    <w:name w:val="header"/>
    <w:basedOn w:val="1"/>
    <w:link w:val="59"/>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autoRedefine/>
    <w:unhideWhenUsed/>
    <w:qFormat/>
    <w:uiPriority w:val="39"/>
  </w:style>
  <w:style w:type="paragraph" w:styleId="26">
    <w:name w:val="toc 2"/>
    <w:basedOn w:val="1"/>
    <w:next w:val="1"/>
    <w:autoRedefine/>
    <w:unhideWhenUsed/>
    <w:qFormat/>
    <w:uiPriority w:val="39"/>
    <w:pPr>
      <w:tabs>
        <w:tab w:val="right" w:leader="dot" w:pos="8296"/>
      </w:tabs>
      <w:ind w:left="420" w:leftChars="200"/>
    </w:pPr>
  </w:style>
  <w:style w:type="paragraph" w:styleId="27">
    <w:name w:val="Normal (Web)"/>
    <w:basedOn w:val="1"/>
    <w:autoRedefine/>
    <w:unhideWhenUsed/>
    <w:qFormat/>
    <w:uiPriority w:val="99"/>
    <w:rPr>
      <w:rFonts w:ascii="Calibri" w:hAnsi="Calibri"/>
      <w:kern w:val="0"/>
      <w:sz w:val="24"/>
    </w:rPr>
  </w:style>
  <w:style w:type="paragraph" w:styleId="28">
    <w:name w:val="annotation subject"/>
    <w:basedOn w:val="11"/>
    <w:next w:val="11"/>
    <w:link w:val="60"/>
    <w:autoRedefine/>
    <w:qFormat/>
    <w:uiPriority w:val="99"/>
    <w:rPr>
      <w:b/>
      <w:bCs/>
    </w:rPr>
  </w:style>
  <w:style w:type="paragraph" w:styleId="29">
    <w:name w:val="Body Text First Indent 2"/>
    <w:basedOn w:val="15"/>
    <w:autoRedefine/>
    <w:qFormat/>
    <w:uiPriority w:val="0"/>
    <w:pPr>
      <w:ind w:firstLine="420" w:firstLineChars="200"/>
    </w:pPr>
    <w:rPr>
      <w:rFonts w:ascii="Calibri" w:hAnsi="Calibri"/>
      <w:kern w:val="2"/>
    </w:rPr>
  </w:style>
  <w:style w:type="table" w:styleId="31">
    <w:name w:val="Table Grid"/>
    <w:basedOn w:val="30"/>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Strong"/>
    <w:autoRedefine/>
    <w:qFormat/>
    <w:uiPriority w:val="22"/>
    <w:rPr>
      <w:b/>
    </w:rPr>
  </w:style>
  <w:style w:type="character" w:styleId="34">
    <w:name w:val="endnote reference"/>
    <w:autoRedefine/>
    <w:unhideWhenUsed/>
    <w:qFormat/>
    <w:uiPriority w:val="99"/>
    <w:rPr>
      <w:vertAlign w:val="superscript"/>
    </w:rPr>
  </w:style>
  <w:style w:type="character" w:styleId="35">
    <w:name w:val="page number"/>
    <w:autoRedefine/>
    <w:qFormat/>
    <w:uiPriority w:val="0"/>
  </w:style>
  <w:style w:type="character" w:styleId="36">
    <w:name w:val="FollowedHyperlink"/>
    <w:autoRedefine/>
    <w:unhideWhenUsed/>
    <w:qFormat/>
    <w:uiPriority w:val="99"/>
    <w:rPr>
      <w:color w:val="0088CC"/>
      <w:u w:val="none"/>
    </w:rPr>
  </w:style>
  <w:style w:type="character" w:styleId="37">
    <w:name w:val="HTML Definition"/>
    <w:autoRedefine/>
    <w:unhideWhenUsed/>
    <w:qFormat/>
    <w:uiPriority w:val="99"/>
  </w:style>
  <w:style w:type="character" w:styleId="38">
    <w:name w:val="HTML Typewriter"/>
    <w:autoRedefine/>
    <w:unhideWhenUsed/>
    <w:qFormat/>
    <w:uiPriority w:val="99"/>
    <w:rPr>
      <w:rFonts w:hint="default" w:ascii="monospace" w:hAnsi="monospace" w:eastAsia="monospace" w:cs="monospace"/>
      <w:sz w:val="20"/>
    </w:rPr>
  </w:style>
  <w:style w:type="character" w:styleId="39">
    <w:name w:val="HTML Acronym"/>
    <w:autoRedefine/>
    <w:unhideWhenUsed/>
    <w:qFormat/>
    <w:uiPriority w:val="99"/>
  </w:style>
  <w:style w:type="character" w:styleId="40">
    <w:name w:val="HTML Variable"/>
    <w:autoRedefine/>
    <w:unhideWhenUsed/>
    <w:qFormat/>
    <w:uiPriority w:val="99"/>
  </w:style>
  <w:style w:type="character" w:styleId="41">
    <w:name w:val="Hyperlink"/>
    <w:autoRedefine/>
    <w:unhideWhenUsed/>
    <w:qFormat/>
    <w:uiPriority w:val="99"/>
    <w:rPr>
      <w:color w:val="0088CC"/>
      <w:u w:val="none"/>
    </w:rPr>
  </w:style>
  <w:style w:type="character" w:styleId="42">
    <w:name w:val="HTML Code"/>
    <w:autoRedefine/>
    <w:unhideWhenUsed/>
    <w:qFormat/>
    <w:uiPriority w:val="99"/>
    <w:rPr>
      <w:rFonts w:hint="default" w:ascii="monospace" w:hAnsi="monospace" w:eastAsia="monospace" w:cs="monospace"/>
      <w:sz w:val="20"/>
    </w:rPr>
  </w:style>
  <w:style w:type="character" w:styleId="43">
    <w:name w:val="annotation reference"/>
    <w:autoRedefine/>
    <w:qFormat/>
    <w:uiPriority w:val="0"/>
    <w:rPr>
      <w:sz w:val="21"/>
      <w:szCs w:val="21"/>
    </w:rPr>
  </w:style>
  <w:style w:type="character" w:styleId="44">
    <w:name w:val="HTML Cite"/>
    <w:autoRedefine/>
    <w:unhideWhenUsed/>
    <w:qFormat/>
    <w:uiPriority w:val="99"/>
  </w:style>
  <w:style w:type="character" w:styleId="45">
    <w:name w:val="HTML Keyboard"/>
    <w:autoRedefine/>
    <w:unhideWhenUsed/>
    <w:qFormat/>
    <w:uiPriority w:val="99"/>
    <w:rPr>
      <w:rFonts w:ascii="monospace" w:hAnsi="monospace" w:eastAsia="monospace" w:cs="monospace"/>
      <w:sz w:val="20"/>
    </w:rPr>
  </w:style>
  <w:style w:type="character" w:styleId="46">
    <w:name w:val="HTML Sample"/>
    <w:autoRedefine/>
    <w:unhideWhenUsed/>
    <w:qFormat/>
    <w:uiPriority w:val="99"/>
    <w:rPr>
      <w:rFonts w:hint="default" w:ascii="monospace" w:hAnsi="monospace" w:eastAsia="monospace" w:cs="monospace"/>
    </w:rPr>
  </w:style>
  <w:style w:type="character" w:customStyle="1" w:styleId="47">
    <w:name w:val="标题 2 Char"/>
    <w:autoRedefine/>
    <w:qFormat/>
    <w:uiPriority w:val="9"/>
    <w:rPr>
      <w:rFonts w:ascii="Cambria" w:hAnsi="Cambria" w:eastAsia="宋体" w:cs="Times New Roman"/>
      <w:b/>
      <w:bCs/>
      <w:kern w:val="2"/>
      <w:sz w:val="32"/>
      <w:szCs w:val="32"/>
    </w:rPr>
  </w:style>
  <w:style w:type="character" w:customStyle="1" w:styleId="48">
    <w:name w:val="正文文本 字符"/>
    <w:link w:val="13"/>
    <w:autoRedefine/>
    <w:qFormat/>
    <w:uiPriority w:val="0"/>
    <w:rPr>
      <w:rFonts w:ascii="Times New Roman" w:hAnsi="Times New Roman"/>
      <w:kern w:val="2"/>
      <w:sz w:val="21"/>
      <w:szCs w:val="24"/>
    </w:rPr>
  </w:style>
  <w:style w:type="character" w:customStyle="1" w:styleId="49">
    <w:name w:val="标题 1 字符"/>
    <w:link w:val="2"/>
    <w:autoRedefine/>
    <w:qFormat/>
    <w:uiPriority w:val="9"/>
    <w:rPr>
      <w:b/>
      <w:kern w:val="44"/>
      <w:sz w:val="44"/>
    </w:rPr>
  </w:style>
  <w:style w:type="character" w:customStyle="1" w:styleId="50">
    <w:name w:val="标题 2 字符"/>
    <w:link w:val="3"/>
    <w:autoRedefine/>
    <w:qFormat/>
    <w:uiPriority w:val="9"/>
    <w:rPr>
      <w:rFonts w:ascii="Cambria" w:hAnsi="Cambria" w:eastAsia="宋体" w:cs="Times New Roman"/>
      <w:b/>
      <w:bCs/>
      <w:kern w:val="2"/>
      <w:sz w:val="32"/>
      <w:szCs w:val="32"/>
    </w:rPr>
  </w:style>
  <w:style w:type="character" w:customStyle="1" w:styleId="51">
    <w:name w:val="标题 5 字符"/>
    <w:link w:val="6"/>
    <w:autoRedefine/>
    <w:semiHidden/>
    <w:qFormat/>
    <w:uiPriority w:val="9"/>
    <w:rPr>
      <w:rFonts w:ascii="Times New Roman" w:hAnsi="Times New Roman"/>
      <w:b/>
      <w:bCs/>
      <w:kern w:val="2"/>
      <w:sz w:val="28"/>
      <w:szCs w:val="28"/>
    </w:rPr>
  </w:style>
  <w:style w:type="character" w:customStyle="1" w:styleId="52">
    <w:name w:val="标题 8 字符"/>
    <w:link w:val="8"/>
    <w:autoRedefine/>
    <w:semiHidden/>
    <w:qFormat/>
    <w:uiPriority w:val="9"/>
    <w:rPr>
      <w:rFonts w:ascii="等线 Light" w:hAnsi="等线 Light" w:eastAsia="等线 Light" w:cs="Times New Roman"/>
      <w:kern w:val="2"/>
      <w:sz w:val="24"/>
      <w:szCs w:val="24"/>
    </w:rPr>
  </w:style>
  <w:style w:type="character" w:customStyle="1" w:styleId="53">
    <w:name w:val="批注文字 字符"/>
    <w:link w:val="11"/>
    <w:autoRedefine/>
    <w:qFormat/>
    <w:uiPriority w:val="0"/>
    <w:rPr>
      <w:rFonts w:ascii="Times New Roman" w:hAnsi="Times New Roman"/>
      <w:kern w:val="2"/>
      <w:sz w:val="21"/>
      <w:szCs w:val="24"/>
    </w:rPr>
  </w:style>
  <w:style w:type="character" w:customStyle="1" w:styleId="54">
    <w:name w:val="正文文本 3 字符"/>
    <w:link w:val="12"/>
    <w:autoRedefine/>
    <w:semiHidden/>
    <w:qFormat/>
    <w:uiPriority w:val="99"/>
    <w:rPr>
      <w:kern w:val="2"/>
      <w:sz w:val="16"/>
      <w:szCs w:val="16"/>
    </w:rPr>
  </w:style>
  <w:style w:type="character" w:customStyle="1" w:styleId="55">
    <w:name w:val="正文文本缩进 字符"/>
    <w:link w:val="15"/>
    <w:autoRedefine/>
    <w:qFormat/>
    <w:uiPriority w:val="0"/>
    <w:rPr>
      <w:rFonts w:ascii="仿宋_GB2312" w:hAnsi="Times New Roman" w:eastAsia="仿宋_GB2312" w:cs="Times New Roman"/>
      <w:sz w:val="32"/>
      <w:szCs w:val="20"/>
    </w:rPr>
  </w:style>
  <w:style w:type="character" w:customStyle="1" w:styleId="56">
    <w:name w:val="纯文本 字符"/>
    <w:link w:val="19"/>
    <w:autoRedefine/>
    <w:qFormat/>
    <w:uiPriority w:val="0"/>
    <w:rPr>
      <w:rFonts w:ascii="宋体" w:hAnsi="Courier New" w:eastAsia="宋体" w:cs="Courier New"/>
      <w:szCs w:val="21"/>
    </w:rPr>
  </w:style>
  <w:style w:type="character" w:customStyle="1" w:styleId="57">
    <w:name w:val="日期 字符"/>
    <w:link w:val="20"/>
    <w:autoRedefine/>
    <w:semiHidden/>
    <w:qFormat/>
    <w:uiPriority w:val="99"/>
    <w:rPr>
      <w:rFonts w:ascii="Times New Roman" w:hAnsi="Times New Roman"/>
      <w:kern w:val="2"/>
      <w:sz w:val="21"/>
      <w:szCs w:val="24"/>
    </w:rPr>
  </w:style>
  <w:style w:type="character" w:customStyle="1" w:styleId="58">
    <w:name w:val="页脚 字符"/>
    <w:link w:val="23"/>
    <w:autoRedefine/>
    <w:qFormat/>
    <w:uiPriority w:val="99"/>
    <w:rPr>
      <w:sz w:val="18"/>
      <w:szCs w:val="18"/>
    </w:rPr>
  </w:style>
  <w:style w:type="character" w:customStyle="1" w:styleId="59">
    <w:name w:val="页眉 字符"/>
    <w:link w:val="24"/>
    <w:autoRedefine/>
    <w:qFormat/>
    <w:uiPriority w:val="99"/>
    <w:rPr>
      <w:sz w:val="18"/>
      <w:szCs w:val="18"/>
    </w:rPr>
  </w:style>
  <w:style w:type="character" w:customStyle="1" w:styleId="60">
    <w:name w:val="批注主题 字符"/>
    <w:link w:val="28"/>
    <w:autoRedefine/>
    <w:qFormat/>
    <w:uiPriority w:val="99"/>
    <w:rPr>
      <w:rFonts w:ascii="Times New Roman" w:hAnsi="Times New Roman"/>
      <w:b/>
      <w:bCs/>
      <w:kern w:val="2"/>
      <w:sz w:val="21"/>
      <w:szCs w:val="24"/>
    </w:rPr>
  </w:style>
  <w:style w:type="character" w:customStyle="1" w:styleId="61">
    <w:name w:val="redfilenumber"/>
    <w:autoRedefine/>
    <w:qFormat/>
    <w:uiPriority w:val="0"/>
    <w:rPr>
      <w:color w:val="BA2636"/>
      <w:sz w:val="18"/>
      <w:szCs w:val="18"/>
    </w:rPr>
  </w:style>
  <w:style w:type="character" w:customStyle="1" w:styleId="62">
    <w:name w:val="l2"/>
    <w:autoRedefine/>
    <w:qFormat/>
    <w:uiPriority w:val="0"/>
  </w:style>
  <w:style w:type="character" w:customStyle="1" w:styleId="63">
    <w:name w:val="next2"/>
    <w:autoRedefine/>
    <w:qFormat/>
    <w:uiPriority w:val="0"/>
    <w:rPr>
      <w:rFonts w:ascii="微软雅黑" w:hAnsi="微软雅黑" w:eastAsia="微软雅黑" w:cs="微软雅黑"/>
      <w:sz w:val="21"/>
      <w:szCs w:val="21"/>
    </w:rPr>
  </w:style>
  <w:style w:type="character" w:customStyle="1" w:styleId="64">
    <w:name w:val="redfilefwwh"/>
    <w:autoRedefine/>
    <w:qFormat/>
    <w:uiPriority w:val="0"/>
    <w:rPr>
      <w:color w:val="BA2636"/>
      <w:sz w:val="18"/>
      <w:szCs w:val="18"/>
    </w:rPr>
  </w:style>
  <w:style w:type="character" w:customStyle="1" w:styleId="65">
    <w:name w:val="apple-style-span"/>
    <w:autoRedefine/>
    <w:qFormat/>
    <w:uiPriority w:val="0"/>
  </w:style>
  <w:style w:type="character" w:customStyle="1" w:styleId="66">
    <w:name w:val="prev3"/>
    <w:autoRedefine/>
    <w:qFormat/>
    <w:uiPriority w:val="0"/>
    <w:rPr>
      <w:color w:val="888888"/>
    </w:rPr>
  </w:style>
  <w:style w:type="character" w:customStyle="1" w:styleId="67">
    <w:name w:val="批注文字 字符1"/>
    <w:autoRedefine/>
    <w:qFormat/>
    <w:uiPriority w:val="0"/>
    <w:rPr>
      <w:rFonts w:ascii="Times New Roman" w:hAnsi="Times New Roman"/>
      <w:kern w:val="2"/>
      <w:sz w:val="21"/>
      <w:szCs w:val="24"/>
    </w:rPr>
  </w:style>
  <w:style w:type="character" w:customStyle="1" w:styleId="68">
    <w:name w:val="gjfg"/>
    <w:autoRedefine/>
    <w:qFormat/>
    <w:uiPriority w:val="0"/>
  </w:style>
  <w:style w:type="character" w:customStyle="1" w:styleId="69">
    <w:name w:val="next3"/>
    <w:autoRedefine/>
    <w:qFormat/>
    <w:uiPriority w:val="0"/>
    <w:rPr>
      <w:color w:val="888888"/>
    </w:rPr>
  </w:style>
  <w:style w:type="character" w:customStyle="1" w:styleId="70">
    <w:name w:val="r"/>
    <w:autoRedefine/>
    <w:qFormat/>
    <w:uiPriority w:val="0"/>
  </w:style>
  <w:style w:type="character" w:customStyle="1" w:styleId="71">
    <w:name w:val="纯文本 Char"/>
    <w:autoRedefine/>
    <w:qFormat/>
    <w:uiPriority w:val="0"/>
    <w:rPr>
      <w:rFonts w:ascii="宋体" w:hAnsi="Courier New" w:eastAsia="宋体" w:cs="Courier New"/>
      <w:szCs w:val="21"/>
    </w:rPr>
  </w:style>
  <w:style w:type="character" w:customStyle="1" w:styleId="72">
    <w:name w:val="正文文本 Char"/>
    <w:autoRedefine/>
    <w:qFormat/>
    <w:uiPriority w:val="0"/>
    <w:rPr>
      <w:rFonts w:ascii="Times New Roman" w:hAnsi="Times New Roman"/>
      <w:kern w:val="2"/>
      <w:sz w:val="21"/>
      <w:szCs w:val="24"/>
    </w:rPr>
  </w:style>
  <w:style w:type="character" w:customStyle="1" w:styleId="73">
    <w:name w:val="批注文字 Char"/>
    <w:autoRedefine/>
    <w:qFormat/>
    <w:uiPriority w:val="0"/>
    <w:rPr>
      <w:rFonts w:ascii="Times New Roman" w:hAnsi="Times New Roman"/>
      <w:kern w:val="2"/>
      <w:sz w:val="21"/>
      <w:szCs w:val="24"/>
    </w:rPr>
  </w:style>
  <w:style w:type="character" w:customStyle="1" w:styleId="74">
    <w:name w:val="textcontents"/>
    <w:autoRedefine/>
    <w:qFormat/>
    <w:uiPriority w:val="0"/>
  </w:style>
  <w:style w:type="character" w:customStyle="1" w:styleId="75">
    <w:name w:val="纯文本 字符1"/>
    <w:autoRedefine/>
    <w:qFormat/>
    <w:uiPriority w:val="0"/>
    <w:rPr>
      <w:rFonts w:ascii="宋体" w:hAnsi="Courier New"/>
    </w:rPr>
  </w:style>
  <w:style w:type="character" w:customStyle="1" w:styleId="76">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7">
    <w:name w:val="纯文本 字符2"/>
    <w:autoRedefine/>
    <w:qFormat/>
    <w:uiPriority w:val="0"/>
    <w:rPr>
      <w:rFonts w:ascii="宋体" w:hAnsi="Courier New" w:eastAsia="宋体" w:cs="Courier New"/>
      <w:szCs w:val="21"/>
    </w:rPr>
  </w:style>
  <w:style w:type="character" w:customStyle="1" w:styleId="78">
    <w:name w:val="标题 8 Char"/>
    <w:autoRedefine/>
    <w:qFormat/>
    <w:uiPriority w:val="0"/>
    <w:rPr>
      <w:rFonts w:ascii="Arial" w:hAnsi="Arial" w:eastAsia="黑体"/>
      <w:kern w:val="2"/>
      <w:sz w:val="24"/>
      <w:szCs w:val="24"/>
    </w:rPr>
  </w:style>
  <w:style w:type="character" w:customStyle="1" w:styleId="79">
    <w:name w:val="NormalCharacter"/>
    <w:autoRedefine/>
    <w:qFormat/>
    <w:uiPriority w:val="0"/>
  </w:style>
  <w:style w:type="character" w:customStyle="1" w:styleId="80">
    <w:name w:val="next"/>
    <w:autoRedefine/>
    <w:qFormat/>
    <w:uiPriority w:val="0"/>
    <w:rPr>
      <w:rFonts w:ascii="微软雅黑" w:hAnsi="微软雅黑" w:eastAsia="微软雅黑" w:cs="微软雅黑"/>
      <w:sz w:val="21"/>
      <w:szCs w:val="21"/>
    </w:rPr>
  </w:style>
  <w:style w:type="character" w:customStyle="1" w:styleId="81">
    <w:name w:val="next1"/>
    <w:autoRedefine/>
    <w:qFormat/>
    <w:uiPriority w:val="0"/>
    <w:rPr>
      <w:color w:val="888888"/>
    </w:rPr>
  </w:style>
  <w:style w:type="character" w:customStyle="1" w:styleId="82">
    <w:name w:val="prev2"/>
    <w:autoRedefine/>
    <w:qFormat/>
    <w:uiPriority w:val="0"/>
    <w:rPr>
      <w:rFonts w:hint="eastAsia" w:ascii="微软雅黑" w:hAnsi="微软雅黑" w:eastAsia="微软雅黑" w:cs="微软雅黑"/>
      <w:sz w:val="21"/>
      <w:szCs w:val="21"/>
    </w:rPr>
  </w:style>
  <w:style w:type="character" w:customStyle="1" w:styleId="83">
    <w:name w:val="displayarti"/>
    <w:autoRedefine/>
    <w:qFormat/>
    <w:uiPriority w:val="0"/>
    <w:rPr>
      <w:color w:val="FFFFFF"/>
      <w:shd w:val="clear" w:color="auto" w:fill="A00000"/>
    </w:rPr>
  </w:style>
  <w:style w:type="character" w:customStyle="1" w:styleId="84">
    <w:name w:val="qxdate"/>
    <w:autoRedefine/>
    <w:qFormat/>
    <w:uiPriority w:val="0"/>
    <w:rPr>
      <w:color w:val="333333"/>
      <w:sz w:val="18"/>
      <w:szCs w:val="18"/>
    </w:rPr>
  </w:style>
  <w:style w:type="character" w:customStyle="1" w:styleId="85">
    <w:name w:val="cfdate"/>
    <w:autoRedefine/>
    <w:qFormat/>
    <w:uiPriority w:val="0"/>
    <w:rPr>
      <w:color w:val="333333"/>
      <w:sz w:val="18"/>
      <w:szCs w:val="18"/>
    </w:rPr>
  </w:style>
  <w:style w:type="paragraph" w:customStyle="1" w:styleId="86">
    <w:name w:val="Default"/>
    <w:autoRedefine/>
    <w:qFormat/>
    <w:uiPriority w:val="0"/>
    <w:pPr>
      <w:widowControl w:val="0"/>
      <w:autoSpaceDE w:val="0"/>
      <w:autoSpaceDN w:val="0"/>
      <w:adjustRightInd w:val="0"/>
    </w:pPr>
    <w:rPr>
      <w:rFonts w:ascii="宋体" w:hAnsi="Calibri" w:eastAsia="Calibri" w:cs="宋体"/>
      <w:color w:val="000000"/>
      <w:sz w:val="24"/>
      <w:szCs w:val="24"/>
      <w:lang w:val="en-US" w:eastAsia="zh-CN" w:bidi="ar-SA"/>
    </w:rPr>
  </w:style>
  <w:style w:type="paragraph" w:customStyle="1" w:styleId="87">
    <w:name w:val="默认段落字体 Para Char Char Char Char Char Char Char Char Char1 Char Char Char Char"/>
    <w:basedOn w:val="1"/>
    <w:autoRedefine/>
    <w:qFormat/>
    <w:uiPriority w:val="0"/>
    <w:rPr>
      <w:rFonts w:ascii="Tahoma" w:hAnsi="Tahoma"/>
      <w:sz w:val="24"/>
      <w:szCs w:val="20"/>
    </w:rPr>
  </w:style>
  <w:style w:type="paragraph" w:customStyle="1" w:styleId="88">
    <w:name w:val="表格文字"/>
    <w:basedOn w:val="1"/>
    <w:autoRedefine/>
    <w:qFormat/>
    <w:uiPriority w:val="0"/>
    <w:pPr>
      <w:spacing w:before="25" w:after="25"/>
      <w:jc w:val="left"/>
    </w:pPr>
    <w:rPr>
      <w:bCs/>
      <w:spacing w:val="10"/>
      <w:kern w:val="0"/>
      <w:sz w:val="24"/>
      <w:szCs w:val="20"/>
    </w:rPr>
  </w:style>
  <w:style w:type="paragraph" w:styleId="89">
    <w:name w:val="List Paragraph"/>
    <w:basedOn w:val="1"/>
    <w:autoRedefine/>
    <w:qFormat/>
    <w:uiPriority w:val="34"/>
    <w:pPr>
      <w:ind w:firstLine="420" w:firstLineChars="200"/>
    </w:pPr>
  </w:style>
  <w:style w:type="paragraph" w:customStyle="1" w:styleId="90">
    <w:name w:val="Table Paragraph"/>
    <w:basedOn w:val="1"/>
    <w:autoRedefine/>
    <w:qFormat/>
    <w:uiPriority w:val="1"/>
    <w:rPr>
      <w:rFonts w:ascii="宋体" w:hAnsi="宋体" w:cs="宋体"/>
      <w:lang w:val="zh-CN" w:bidi="zh-CN"/>
    </w:rPr>
  </w:style>
  <w:style w:type="paragraph" w:customStyle="1" w:styleId="9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character" w:customStyle="1" w:styleId="92">
    <w:name w:val="15"/>
    <w:basedOn w:val="32"/>
    <w:autoRedefine/>
    <w:qFormat/>
    <w:uiPriority w:val="0"/>
    <w:rPr>
      <w:rFonts w:hint="default" w:ascii="Times New Roman" w:hAnsi="Times New Roman" w:cs="Times New Roman"/>
    </w:rPr>
  </w:style>
  <w:style w:type="paragraph" w:customStyle="1" w:styleId="93">
    <w:name w:val="公文正文"/>
    <w:basedOn w:val="94"/>
    <w:qFormat/>
    <w:uiPriority w:val="0"/>
    <w:pPr>
      <w:spacing w:line="520" w:lineRule="exact"/>
      <w:ind w:firstLine="640" w:firstLineChars="200"/>
    </w:pPr>
    <w:rPr>
      <w:rFonts w:eastAsia="仿宋_GB2312"/>
      <w:sz w:val="28"/>
    </w:rPr>
  </w:style>
  <w:style w:type="paragraph" w:customStyle="1" w:styleId="94">
    <w:name w:val="主送单位"/>
    <w:basedOn w:val="1"/>
    <w:qFormat/>
    <w:uiPriority w:val="0"/>
    <w:pPr>
      <w:spacing w:line="560" w:lineRule="exact"/>
    </w:pPr>
    <w:rPr>
      <w:rFonts w:eastAsia="方正仿宋简体"/>
      <w:sz w:val="32"/>
      <w:szCs w:val="32"/>
    </w:rPr>
  </w:style>
  <w:style w:type="paragraph" w:customStyle="1" w:styleId="95">
    <w:name w:val="四级标题"/>
    <w:basedOn w:val="20"/>
    <w:qFormat/>
    <w:uiPriority w:val="99"/>
    <w:rPr>
      <w:rFonts w:eastAsia="黑体"/>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d7884fd6-c2c5-4c3f-ac74-5cc1b05146db</errorID>
      <errorWord>上午00:00</errorWord>
      <group>L1_Knowledge</group>
      <groupName>知识性问题</groupName>
      <ability>L2_Time</ability>
      <abilityName>日期时间</abilityName>
      <candidateList/>
      <explain>时间与前缀不匹配，可能的时间前缀有“下午、晚上、凌晨、午夜”。</explain>
      <paraID>292BCAE3</paraID>
      <start>26</start>
      <end>33</end>
      <status>ignored</status>
      <modifiedWord/>
      <trackRevisions>false</trackRevisions>
    </reviewItem>
    <reviewItem>
      <errorID>9cefdd6b-a5e8-4789-9540-58f1eae78f24</errorID>
      <errorWord>”平台</errorWord>
      <group>L1_Grammar</group>
      <groupName>语法问题</groupName>
      <ability>L2_Grammar</ability>
      <abilityName>语法错误</abilityName>
      <candidateList>
        <item>”</item>
      </candidateList>
      <explain/>
      <paraID>275C1F90</paraID>
      <start>217</start>
      <end>220</end>
      <status>ignored</status>
      <modifiedWord/>
      <trackRevisions>false</trackRevisions>
    </reviewItem>
    <reviewItem>
      <errorID>adb210b6-1819-43c6-b9a8-7de2b12fe0b2</errorID>
      <errorWord>操作合</errorWord>
      <group>L1_Word</group>
      <groupName>字词问题</groupName>
      <ability>L2_Typo</ability>
      <abilityName>字词错误</abilityName>
      <candidateList>
        <item>操作台</item>
      </candidateList>
      <explain/>
      <paraID> 992676E</paraID>
      <start>8</start>
      <end>11</end>
      <status>ignored</status>
      <modifiedWord/>
      <trackRevisions>false</trackRevisions>
    </reviewItem>
    <reviewItem>
      <errorID>834e9f4a-c35b-4fac-93a5-b4865f266422</errorID>
      <errorWord>”平台</errorWord>
      <group>L1_Grammar</group>
      <groupName>语法问题</groupName>
      <ability>L2_Grammar</ability>
      <abilityName>语法错误</abilityName>
      <candidateList>
        <item>”</item>
      </candidateList>
      <explain/>
      <paraID>772FB91D</paraID>
      <start>33</start>
      <end>36</end>
      <status>ignored</status>
      <modifiedWord/>
      <trackRevisions>false</trackRevisions>
    </reviewItem>
    <reviewItem>
      <errorID>ed5739dd-78b0-4e3d-b943-28ff220e878d</errorID>
      <errorWord>对</errorWord>
      <group>L1_Word</group>
      <groupName>字词问题</groupName>
      <ability>L2_Typo</ability>
      <abilityName>字词错误</abilityName>
      <candidateList>
        <item> 对</item>
      </candidateList>
      <explain/>
      <paraID>570A910B</paraID>
      <start>3</start>
      <end>4</end>
      <status>ignored</status>
      <modifiedWord/>
      <trackRevisions>false</trackRevisions>
    </reviewItem>
    <reviewItem>
      <errorID>6da6bd06-bd62-4fa0-bd52-ef621c0fb7be</errorID>
      <errorWord>及其</errorWord>
      <group>L1_Punc</group>
      <groupName>标点问题</groupName>
      <ability>L2_Punc_CN</ability>
      <abilityName>标点符号问题</abilityName>
      <candidateList>
        <item>，及其</item>
      </candidateList>
      <explain/>
      <paraID>570A910B</paraID>
      <start>130</start>
      <end>132</end>
      <status>ignored</status>
      <modifiedWord/>
      <trackRevisions>false</trackRevisions>
    </reviewItem>
    <reviewItem>
      <errorID>5a61fa31-86c7-4a71-b613-04d9cc1e8559</errorID>
      <errorWord>供应商</errorWord>
      <group>L1_Word</group>
      <groupName>字词问题</groupName>
      <ability>L2_Typo</ability>
      <abilityName>字词错误</abilityName>
      <candidateList>
        <item> 供应商</item>
      </candidateList>
      <explain/>
      <paraID>5881CD70</paraID>
      <start>0</start>
      <end>3</end>
      <status>ignored</status>
      <modifiedWord/>
      <trackRevisions>false</trackRevisions>
    </reviewItem>
    <reviewItem>
      <errorID>797ac2a3-1a60-4b48-8d76-73992d4df58d</errorID>
      <errorWord>或</errorWord>
      <group>L1_Word</group>
      <groupName>字词问题</groupName>
      <ability>L2_Typo</ability>
      <abilityName>字词错误</abilityName>
      <candidateList>
        <item>、</item>
      </candidateList>
      <explain/>
      <paraID>5881CD70</paraID>
      <start>43</start>
      <end>44</end>
      <status>ignored</status>
      <modifiedWord/>
      <trackRevisions>false</trackRevisions>
    </reviewItem>
    <reviewItem>
      <errorID>63cf8dcb-9e0f-4020-a74a-f0febef07e02</errorID>
      <errorWord>或</errorWord>
      <group>L1_Word</group>
      <groupName>字词问题</groupName>
      <ability>L2_Typo</ability>
      <abilityName>字词错误</abilityName>
      <candidateList>
        <item>、</item>
      </candidateList>
      <explain/>
      <paraID>5881CD70</paraID>
      <start>52</start>
      <end>53</end>
      <status>ignored</status>
      <modifiedWord/>
      <trackRevisions>false</trackRevisions>
    </reviewItem>
    <reviewItem>
      <errorID>76145e92-0467-417e-8969-f64ddc346412</errorID>
      <errorWord>或</errorWord>
      <group>L1_Word</group>
      <groupName>字词问题</groupName>
      <ability>L2_Typo</ability>
      <abilityName>字词错误</abilityName>
      <candidateList>
        <item>、</item>
      </candidateList>
      <explain/>
      <paraID>5881CD70</paraID>
      <start>58</start>
      <end>59</end>
      <status>ignored</status>
      <modifiedWord/>
      <trackRevisions>false</trackRevisions>
    </reviewItem>
    <reviewItem>
      <errorID>dd6ed673-66fd-477e-a7fd-084ea173f5d4</errorID>
      <errorWord>；</errorWord>
      <group>L1_Punc</group>
      <groupName>标点问题</groupName>
      <ability>L2_Punc_CN</ability>
      <abilityName>标点符号问题</abilityName>
      <candidateList>
        <item>。</item>
      </candidateList>
      <explain/>
      <paraID>5881CD70</paraID>
      <start>66</start>
      <end>67</end>
      <status>ignored</status>
      <modifiedWord/>
      <trackRevisions>false</trackRevisions>
    </reviewItem>
    <reviewItem>
      <errorID>3c71afff-8462-40fa-91c2-0f473d813d7b</errorID>
      <errorWord>；</errorWord>
      <group>L1_Punc</group>
      <groupName>标点问题</groupName>
      <ability>L2_Punc_CN</ability>
      <abilityName>标点符号问题</abilityName>
      <candidateList>
        <item>。</item>
      </candidateList>
      <explain/>
      <paraID>7C51051A</paraID>
      <start>125</start>
      <end>126</end>
      <status>ignored</status>
      <modifiedWord/>
      <trackRevisions>false</trackRevisions>
    </reviewItem>
    <reviewItem>
      <errorID>2fb6317e-13ec-4777-b898-82d28c762599</errorID>
      <errorWord>；</errorWord>
      <group>L1_Punc</group>
      <groupName>标点问题</groupName>
      <ability>L2_Punc_CN</ability>
      <abilityName>标点符号问题</abilityName>
      <candidateList>
        <item>。</item>
      </candidateList>
      <explain/>
      <paraID> DDB36A3</paraID>
      <start>173</start>
      <end>174</end>
      <status>ignored</status>
      <modifiedWord/>
      <trackRevisions>false</trackRevisions>
    </reviewItem>
    <reviewItem>
      <errorID>82675230-0008-4a97-9cfd-b203df5c191d</errorID>
      <errorWord>；</errorWord>
      <group>L1_Punc</group>
      <groupName>标点问题</groupName>
      <ability>L2_Punc_CN</ability>
      <abilityName>标点符号问题</abilityName>
      <candidateList>
        <item>。</item>
      </candidateList>
      <explain/>
      <paraID>5AFF3A08</paraID>
      <start>73</start>
      <end>74</end>
      <status>ignored</status>
      <modifiedWord/>
      <trackRevisions>false</trackRevisions>
    </reviewItem>
    <reviewItem>
      <errorID>99158d8c-72cd-4032-957e-a6d4607ba8b2</errorID>
      <errorWord> </errorWord>
      <group>L1_Punc</group>
      <groupName>标点问题</groupName>
      <ability>L2_Punc_CN</ability>
      <abilityName>标点符号问题</abilityName>
      <candidateList>
        <item/>
      </candidateList>
      <explain>此处空格冗余，建议删除。</explain>
      <paraID>3B2F8EAD</paraID>
      <start>20</start>
      <end>21</end>
      <status>ignored</status>
      <modifiedWord/>
      <trackRevisions>false</trackRevisions>
    </reviewItem>
    <reviewItem>
      <errorID>e30b2bab-6ab9-4134-90d0-d348c0874ca7</errorID>
      <errorWord> </errorWord>
      <group>L1_Punc</group>
      <groupName>标点问题</groupName>
      <ability>L2_Punc_CN</ability>
      <abilityName>标点符号问题</abilityName>
      <candidateList>
        <item/>
      </candidateList>
      <explain>此处空格冗余，建议删除。</explain>
      <paraID>3B2F8EAD</paraID>
      <start>23</start>
      <end>24</end>
      <status>ignored</status>
      <modifiedWord/>
      <trackRevisions>false</trackRevisions>
    </reviewItem>
    <reviewItem>
      <errorID>71f43605-b72b-4c2a-9ba5-a84b53e83153</errorID>
      <errorWord> / </errorWord>
      <group>L1_Word</group>
      <groupName>字词问题</groupName>
      <ability>L2_Typo</ability>
      <abilityName>字词错误</abilityName>
      <candidateList>
        <item>[X]</item>
      </candidateList>
      <explain/>
      <paraID>75B19067</paraID>
      <start>14</start>
      <end>17</end>
      <status>ignored</status>
      <modifiedWord/>
      <trackRevisions>false</trackRevisions>
    </reviewItem>
    <reviewItem>
      <errorID>2ca189c8-c384-4329-a78a-18f4532620e5</errorID>
      <errorWord>摁手指</errorWord>
      <group>L1_Grammar</group>
      <groupName>语法问题</groupName>
      <ability>L2_Grammar</ability>
      <abilityName>语法错误</abilityName>
      <candidateList>
        <item>摁</item>
      </candidateList>
      <explain/>
      <paraID>2171E2A6</paraID>
      <start>23</start>
      <end>26</end>
      <status>ignored</status>
      <modifiedWord/>
      <trackRevisions>false</trackRevisions>
    </reviewItem>
    <reviewItem>
      <errorID>7b9e03d8-f35e-479d-8138-9a34f37698ce</errorID>
      <errorWord>www</errorWord>
      <group>L1_Punc</group>
      <groupName>标点问题</groupName>
      <ability>L2_Punc_CN</ability>
      <abilityName>标点符号问题</abilityName>
      <candidateList>
        <item>（www</item>
      </candidateList>
      <explain/>
      <paraID>6F7EA259</paraID>
      <start>79</start>
      <end>83</end>
      <status>modified</status>
      <modifiedWord>（www</modifiedWord>
      <trackRevisions>false</trackRevisions>
    </reviewItem>
    <reviewItem>
      <errorID>2ffe76d6-2481-4f44-99bf-cd93fe919006</errorID>
      <errorWord>操作合</errorWord>
      <group>L1_Word</group>
      <groupName>字词问题</groupName>
      <ability>L2_Typo</ability>
      <abilityName>字词错误</abilityName>
      <candidateList>
        <item>操作台</item>
      </candidateList>
      <explain/>
      <paraID>7CBC6602</paraID>
      <start>10</start>
      <end>13</end>
      <status>unmodified</status>
      <modifiedWord/>
      <trackRevisions>false</trackRevisions>
    </reviewItem>
    <reviewItem>
      <errorID>37f20045-7263-4aaf-9932-349bc122af4c</errorID>
      <errorWord>接受</errorWord>
      <group>L1_Word</group>
      <groupName>字词问题</groupName>
      <ability>L2_Typo</ability>
      <abilityName>字词错误</abilityName>
      <candidateList>
        <item>接收</item>
      </candidateList>
      <explain>存在发音相同字词的误用。</explain>
      <paraID>37CFBD34</paraID>
      <start>48</start>
      <end>50</end>
      <status>ignored</status>
      <modifiedWord/>
      <trackRevisions>false</trackRevisions>
    </reviewItem>
    <reviewItem>
      <errorID>c152b2f7-9763-4db1-a92f-bbcc7002d330</errorID>
      <errorWord>”中</errorWord>
      <group>L1_Word</group>
      <groupName>字词问题</groupName>
      <ability>L2_Typo</ability>
      <abilityName>字词错误</abilityName>
      <candidateList>
        <item>”</item>
      </candidateList>
      <explain/>
      <paraID>6D070E8F</paraID>
      <start>212</start>
      <end>214</end>
      <status>ignored</status>
      <modifiedWord/>
      <trackRevisions>false</trackRevisions>
    </reviewItem>
    <reviewItem>
      <errorID>4afd95b9-4058-4e43-bbc2-51d9e9380eed</errorID>
      <errorWord>间</errorWord>
      <group>L1_Word</group>
      <groupName>字词问题</groupName>
      <ability>L2_Typo</ability>
      <abilityName>字词错误</abilityName>
      <candidateList>
        <item>间之</item>
      </candidateList>
      <explain/>
      <paraID> 7DB8715</paraID>
      <start>15</start>
      <end>16</end>
      <status>ignored</status>
      <modifiedWord/>
      <trackRevisions>false</trackRevisions>
    </reviewItem>
    <reviewItem>
      <errorID>a78dea8e-7f0c-4528-8e8f-8bfd949ad1e3</errorID>
      <errorWord>的</errorWord>
      <group>L1_Word</group>
      <groupName>字词问题</groupName>
      <ability>L2_Typo</ability>
      <abilityName>字词错误</abilityName>
      <candidateList>
        <item>时</item>
      </candidateList>
      <explain/>
      <paraID>2E288D8A</paraID>
      <start>86</start>
      <end>87</end>
      <status>ignored</status>
      <modifiedWord/>
      <trackRevisions>false</trackRevisions>
    </reviewItem>
    <reviewItem>
      <errorID>1fb57d70-9d15-4de1-8525-f5d08bb81734</errorID>
      <errorWord> </errorWord>
      <group>L1_Punc</group>
      <groupName>标点问题</groupName>
      <ability>L2_Punc_CN</ability>
      <abilityName>标点符号问题</abilityName>
      <candidateList>
        <item/>
      </candidateList>
      <explain>此处空格冗余，建议删除。</explain>
      <paraID>2ECBF6C2</paraID>
      <start>192</start>
      <end>193</end>
      <status>ignored</status>
      <modifiedWord/>
      <trackRevisions>false</trackRevisions>
    </reviewItem>
    <reviewItem>
      <errorID>11a08883-5046-4511-bcd7-3e54790773ad</errorID>
      <errorWord> </errorWord>
      <group>L1_Punc</group>
      <groupName>标点问题</groupName>
      <ability>L2_Punc_CN</ability>
      <abilityName>标点符号问题</abilityName>
      <candidateList>
        <item/>
      </candidateList>
      <explain>此处空格冗余，建议删除。</explain>
      <paraID>2ECBF6C2</paraID>
      <start>194</start>
      <end>195</end>
      <status>ignored</status>
      <modifiedWord/>
      <trackRevisions>false</trackRevisions>
    </reviewItem>
    <reviewItem>
      <errorID>f3696e6b-2466-41fe-8f4a-e67d788d6c0e</errorID>
      <errorWord> </errorWord>
      <group>L1_Punc</group>
      <groupName>标点问题</groupName>
      <ability>L2_Punc_CN</ability>
      <abilityName>标点符号问题</abilityName>
      <candidateList>
        <item/>
      </candidateList>
      <explain>此处空格冗余，建议删除。</explain>
      <paraID>48D706A8</paraID>
      <start>65</start>
      <end>66</end>
      <status>ignored</status>
      <modifiedWord/>
      <trackRevisions>false</trackRevisions>
    </reviewItem>
    <reviewItem>
      <errorID>d798e7df-a6c7-4126-8410-4420d52dfd09</errorID>
      <errorWord> </errorWord>
      <group>L1_Punc</group>
      <groupName>标点问题</groupName>
      <ability>L2_Punc_CN</ability>
      <abilityName>标点符号问题</abilityName>
      <candidateList>
        <item/>
      </candidateList>
      <explain>此处空格冗余，建议删除。</explain>
      <paraID>48D706A8</paraID>
      <start>68</start>
      <end>69</end>
      <status>ignored</status>
      <modifiedWord/>
      <trackRevisions>false</trackRevisions>
    </reviewItem>
    <reviewItem>
      <errorID>d9693612-2a47-48f3-aae1-60efdf95fbd7</errorID>
      <errorWord>供应商的</errorWord>
      <group>L1_Grammar</group>
      <groupName>语法问题</groupName>
      <ability>L2_Grammar</ability>
      <abilityName>语法错误</abilityName>
      <candidateList>
        <item>其</item>
      </candidateList>
      <explain/>
      <paraID>48D706A8</paraID>
      <start>207</start>
      <end>211</end>
      <status>ignored</status>
      <modifiedWord/>
      <trackRevisions>false</trackRevisions>
    </reviewItem>
    <reviewItem>
      <errorID>0cdde436-fb6b-4e53-83e0-53cfa9310a08</errorID>
      <errorWord>原则做出结论</errorWord>
      <group>L1_Word</group>
      <groupName>字词问题</groupName>
      <ability>L2_Typo</ability>
      <abilityName>字词错误</abilityName>
      <candidateList>
        <item>原则作出结论</item>
      </candidateList>
      <explain/>
      <paraID>45989A45</paraID>
      <start>63</start>
      <end>69</end>
      <status>ignored</status>
      <modifiedWord/>
      <trackRevisions>false</trackRevisions>
    </reviewItem>
    <reviewItem>
      <errorID>b80828b3-96b6-4708-8beb-22f713554c88</errorID>
      <errorWord>采购。</errorWord>
      <group>L1_Grammar</group>
      <groupName>语法问题</groupName>
      <ability>L2_Grammar</ability>
      <abilityName>语法错误</abilityName>
      <candidateList>
        <item>开展采购活动。</item>
      </candidateList>
      <explain/>
      <paraID>66214DE5</paraID>
      <start>91</start>
      <end>94</end>
      <status>ignored</status>
      <modifiedWord/>
      <trackRevisions>false</trackRevisions>
    </reviewItem>
    <reviewItem>
      <errorID>0d09c7a1-2085-4da2-9897-e9d0a2e4738b</errorID>
      <errorWord>％</errorWord>
      <group>L1_Word</group>
      <groupName>字词问题</groupName>
      <ability>L2_Typo</ability>
      <abilityName>字词错误</abilityName>
      <candidateList>
        <item>%</item>
      </candidateList>
      <explain/>
      <paraID>68D6C0CF</paraID>
      <start>11</start>
      <end>12</end>
      <status>modified</status>
      <modifiedWord>%</modifiedWord>
      <trackRevisions>false</trackRevisions>
    </reviewItem>
    <reviewItem>
      <errorID>c8f5ed53-3a89-42f4-bcdf-63f54b7d7375</errorID>
      <errorWord>％</errorWord>
      <group>L1_Word</group>
      <groupName>字词问题</groupName>
      <ability>L2_Typo</ability>
      <abilityName>字词错误</abilityName>
      <candidateList>
        <item>%</item>
      </candidateList>
      <explain/>
      <paraID>21562F6A</paraID>
      <start>17</start>
      <end>18</end>
      <status>modified</status>
      <modifiedWord>%</modifiedWord>
      <trackRevisions>false</trackRevisions>
    </reviewItem>
    <reviewItem>
      <errorID>d3c47039-95a1-48f3-846d-235cc842a3d1</errorID>
      <errorWord>或</errorWord>
      <group>L1_Word</group>
      <groupName>字词问题</groupName>
      <ability>L2_Typo</ability>
      <abilityName>字词错误</abilityName>
      <candidateList>
        <item>、</item>
      </candidateList>
      <explain/>
      <paraID>575287D1</paraID>
      <start>23</start>
      <end>24</end>
      <status>ignored</status>
      <modifiedWord/>
      <trackRevisions>false</trackRevisions>
    </reviewItem>
    <reviewItem>
      <errorID>ee96fc50-a4fa-4243-ae88-9da6825c3cb2</errorID>
      <errorWord>文件按</errorWord>
      <group>L1_Word</group>
      <groupName>字词问题</groupName>
      <ability>L2_Typo</ability>
      <abilityName>字词错误</abilityName>
      <candidateList>
        <item>文件</item>
      </candidateList>
      <explain/>
      <paraID>575287D1</paraID>
      <start>43</start>
      <end>46</end>
      <status>ignored</status>
      <modifiedWord/>
      <trackRevisions>false</trackRevisions>
    </reviewItem>
    <reviewItem>
      <errorID>7c1a495e-7de9-4aed-a03a-cab3ee19699c</errorID>
      <errorWord>他人的</errorWord>
      <group>L1_Word</group>
      <groupName>字词问题</groupName>
      <ability>L2_Typo</ability>
      <abilityName>字词错误</abilityName>
      <candidateList>
        <item>他人</item>
      </candidateList>
      <explain/>
      <paraID> 53E18AF</paraID>
      <start>17</start>
      <end>20</end>
      <status>ignored</status>
      <modifiedWord/>
      <trackRevisions>false</trackRevisions>
    </reviewItem>
    <reviewItem>
      <errorID>d4051c32-d59f-4103-b2e1-8ac3eccf7ee6</errorID>
      <errorWord>或者</errorWord>
      <group>L1_Word</group>
      <groupName>字词问题</groupName>
      <ability>L2_Typo</ability>
      <abilityName>字词错误</abilityName>
      <candidateList>
        <item>或</item>
      </candidateList>
      <explain/>
      <paraID> 53E18AF</paraID>
      <start>24</start>
      <end>26</end>
      <status>ignored</status>
      <modifiedWord/>
      <trackRevisions>false</trackRevisions>
    </reviewItem>
    <reviewItem>
      <errorID>76b0a289-db61-4ffb-8515-13750749f37e</errorID>
      <errorWord>同时协助</errorWord>
      <group>L1_Grammar</group>
      <groupName>语法问题</groupName>
      <ability>L2_Grammar</ability>
      <abilityName>语法错误</abilityName>
      <candidateList>
        <item>同时</item>
      </candidateList>
      <explain/>
      <paraID>6A345799</paraID>
      <start>199</start>
      <end>203</end>
      <status>ignored</status>
      <modifiedWord/>
      <trackRevisions>false</trackRevisions>
    </reviewItem>
    <reviewItem>
      <errorID>9a1f3a1f-e326-4c6f-bc13-0bbaf40d5375</errorID>
      <errorWord>召开</errorWord>
      <group>L1_Word</group>
      <groupName>字词问题</groupName>
      <ability>L2_Typo</ability>
      <abilityName>字词错误</abilityName>
      <candidateList>
        <item>进行</item>
      </candidateList>
      <explain/>
      <paraID>69DF8091</paraID>
      <start>186</start>
      <end>188</end>
      <status>ignored</status>
      <modifiedWord/>
      <trackRevisions>false</trackRevisions>
    </reviewItem>
    <reviewItem>
      <errorID>ee354693-47d7-4ae4-8eab-e8317ed180e2</errorID>
      <errorWord>磋商</errorWord>
      <group>L1_Word</group>
      <groupName>字词问题</groupName>
      <ability>L2_Typo</ability>
      <abilityName>字词错误</abilityName>
      <candidateList>
        <item> 磋商</item>
      </candidateList>
      <explain/>
      <paraID> 841CF8B</paraID>
      <start>3</start>
      <end>5</end>
      <status>ignored</status>
      <modifiedWord/>
      <trackRevisions>false</trackRevisions>
    </reviewItem>
    <reviewItem>
      <errorID>a78923c8-9eed-4df1-87e5-990be29fe70b</errorID>
      <errorWord>相应</errorWord>
      <group>L1_Word</group>
      <groupName>字词问题</groupName>
      <ability>L2_Typo</ability>
      <abilityName>字词错误</abilityName>
      <candidateList>
        <item>响应</item>
      </candidateList>
      <explain/>
      <paraID> 8FA1043</paraID>
      <start>19</start>
      <end>21</end>
      <status>ignored</status>
      <modifiedWord/>
      <trackRevisions>false</trackRevisions>
    </reviewItem>
    <reviewItem>
      <errorID>28b04bb2-be1f-4ba1-b146-dc85fb86c256</errorID>
      <errorWord>无效的</errorWord>
      <group>L1_Word</group>
      <groupName>字词问题</groupName>
      <ability>L2_Typo</ability>
      <abilityName>字词错误</abilityName>
      <candidateList>
        <item>无效</item>
      </candidateList>
      <explain/>
      <paraID>3A036F68</paraID>
      <start>10</start>
      <end>13</end>
      <status>ignored</status>
      <modifiedWord/>
      <trackRevisions>false</trackRevisions>
    </reviewItem>
    <reviewItem>
      <errorID>35092483-4aeb-4ed7-9857-175abe3e3a47</errorID>
      <errorWord>包含有</errorWord>
      <group>L1_Word</group>
      <groupName>字词问题</groupName>
      <ability>L2_Typo</ability>
      <abilityName>字词错误</abilityName>
      <candidateList>
        <item>包含</item>
      </candidateList>
      <explain/>
      <paraID>58F87555</paraID>
      <start>112</start>
      <end>115</end>
      <status>ignored</status>
      <modifiedWord/>
      <trackRevisions>false</trackRevisions>
    </reviewItem>
    <reviewItem>
      <errorID>890f2600-fdbe-4c19-8173-57b74459ac07</errorID>
      <errorWord>股东大会</errorWord>
      <group>L1_Knowledge</group>
      <groupName>知识性问题</groupName>
      <ability>L2_Knowledge</ability>
      <abilityName>其他知识</abilityName>
      <candidateList>
        <item>股东会</item>
      </candidateList>
      <explain/>
      <paraID>7103F1CF</paraID>
      <start>113</start>
      <end>117</end>
      <status>ignored</status>
      <modifiedWord/>
      <trackRevisions>false</trackRevisions>
    </reviewItem>
    <reviewItem>
      <errorID>4bb87d5a-ccaa-449d-8ff6-d4a751ff9c9f</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1C5E8178</paraID>
      <start>8</start>
      <end>13</end>
      <status>ignored</status>
      <modifiedWord/>
      <trackRevisions>false</trackRevisions>
    </reviewItem>
    <reviewItem>
      <errorID>e53d7f1d-2e93-462c-a6a0-73091d0cb3cf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658F4197</paraID>
      <start>53</start>
      <end>57</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786bc6-1322-4983-bdbd-c9c958b4cf22}">
  <ds:schemaRefs/>
</ds:datastoreItem>
</file>

<file path=customXml/itemProps3.xml><?xml version="1.0" encoding="utf-8"?>
<ds:datastoreItem xmlns:ds="http://schemas.openxmlformats.org/officeDocument/2006/customXml" ds:itemID="{B5423BFB-22FE-454F-A60E-242A3AB203C3}">
  <ds:schemaRefs/>
</ds:datastoreItem>
</file>

<file path=docProps/app.xml><?xml version="1.0" encoding="utf-8"?>
<Properties xmlns="http://schemas.openxmlformats.org/officeDocument/2006/extended-properties" xmlns:vt="http://schemas.openxmlformats.org/officeDocument/2006/docPropsVTypes">
  <Template>Normal</Template>
  <Pages>86</Pages>
  <Words>8136</Words>
  <Characters>8902</Characters>
  <Lines>348</Lines>
  <Paragraphs>98</Paragraphs>
  <TotalTime>334</TotalTime>
  <ScaleCrop>false</ScaleCrop>
  <LinksUpToDate>false</LinksUpToDate>
  <CharactersWithSpaces>8989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2020-07-13T02:59:00Z</dcterms:created>
  <dc:creator>Home3</dc:creator>
  <cp:lastModifiedBy>NTKO</cp:lastModifiedBy>
  <cp:lastPrinted>2022-05-30T02:01:00Z</cp:lastPrinted>
  <dcterms:modified xsi:type="dcterms:W3CDTF">2026-09-02T08:18:42Z</dcterms:modified>
  <dc:title>竞争性磋商文件规范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D1473DB96114466A819ED01ACBF4C567_13</vt:lpwstr>
  </property>
  <property fmtid="{D5CDD505-2E9C-101B-9397-08002B2CF9AE}" pid="4" name="KSOTemplateDocerSaveRecord">
    <vt:lpwstr>eyJoZGlkIjoiMDA0NTcwYTU5NmZhNTU5ZWVlNjJlNjA5MzQ1MjQ2ODIiLCJ1c2VySWQiOiIyMDU0MDUwMTMifQ==</vt:lpwstr>
  </property>
</Properties>
</file>