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E38C71">
      <w:pPr>
        <w:spacing w:line="360" w:lineRule="auto"/>
        <w:jc w:val="center"/>
        <w:rPr>
          <w:rFonts w:hint="eastAsia" w:ascii="宋体" w:hAnsi="宋体" w:eastAsia="宋体" w:cs="宋体"/>
          <w:b/>
          <w:bCs/>
          <w:color w:val="auto"/>
          <w:sz w:val="72"/>
          <w:szCs w:val="72"/>
          <w:highlight w:val="none"/>
        </w:rPr>
      </w:pPr>
    </w:p>
    <w:p w14:paraId="57477346">
      <w:pPr>
        <w:snapToGrid w:val="0"/>
        <w:spacing w:before="156" w:beforeLines="50" w:line="360" w:lineRule="auto"/>
        <w:jc w:val="center"/>
        <w:rPr>
          <w:rFonts w:hint="eastAsia" w:ascii="宋体" w:hAnsi="宋体" w:eastAsia="宋体" w:cs="宋体"/>
          <w:color w:val="auto"/>
          <w:sz w:val="96"/>
          <w:szCs w:val="96"/>
          <w:highlight w:val="none"/>
        </w:rPr>
      </w:pPr>
      <w:r>
        <w:rPr>
          <w:rFonts w:hint="eastAsia" w:ascii="宋体" w:hAnsi="宋体" w:eastAsia="宋体" w:cs="宋体"/>
          <w:b/>
          <w:bCs/>
          <w:color w:val="auto"/>
          <w:kern w:val="0"/>
          <w:sz w:val="52"/>
          <w:szCs w:val="52"/>
          <w:highlight w:val="none"/>
        </w:rPr>
        <w:t>广西泓贯项目咨询管理有限公司</w:t>
      </w:r>
    </w:p>
    <w:p w14:paraId="23F6B010">
      <w:pPr>
        <w:spacing w:line="360" w:lineRule="auto"/>
        <w:jc w:val="center"/>
        <w:rPr>
          <w:rFonts w:hint="eastAsia" w:ascii="宋体" w:hAnsi="宋体" w:eastAsia="宋体" w:cs="宋体"/>
          <w:b/>
          <w:bCs/>
          <w:color w:val="auto"/>
          <w:sz w:val="72"/>
          <w:szCs w:val="72"/>
          <w:highlight w:val="none"/>
        </w:rPr>
      </w:pPr>
    </w:p>
    <w:p w14:paraId="0FBB79AD">
      <w:pPr>
        <w:jc w:val="center"/>
        <w:rPr>
          <w:rFonts w:hint="eastAsia" w:ascii="宋体" w:hAnsi="宋体" w:eastAsia="宋体" w:cs="宋体"/>
          <w:b/>
          <w:bCs/>
          <w:color w:val="auto"/>
          <w:sz w:val="72"/>
          <w:szCs w:val="72"/>
          <w:highlight w:val="none"/>
        </w:rPr>
      </w:pPr>
      <w:bookmarkStart w:id="170" w:name="_GoBack"/>
      <w:bookmarkEnd w:id="170"/>
    </w:p>
    <w:p w14:paraId="4DD47424">
      <w:pPr>
        <w:pStyle w:val="31"/>
        <w:snapToGrid w:val="0"/>
        <w:spacing w:before="165" w:beforeLines="50"/>
        <w:ind w:firstLineChars="400"/>
        <w:jc w:val="both"/>
        <w:rPr>
          <w:rFonts w:hint="eastAsia" w:ascii="宋体" w:hAnsi="宋体" w:eastAsia="宋体" w:cs="宋体"/>
          <w:b/>
          <w:bCs/>
          <w:color w:val="auto"/>
          <w:sz w:val="30"/>
          <w:szCs w:val="30"/>
          <w:highlight w:val="none"/>
        </w:rPr>
      </w:pPr>
      <w:r>
        <w:rPr>
          <w:rFonts w:hint="eastAsia" w:ascii="宋体" w:hAnsi="宋体" w:eastAsia="宋体" w:cs="宋体"/>
          <w:b/>
          <w:bCs/>
          <w:color w:val="auto"/>
          <w:sz w:val="84"/>
          <w:szCs w:val="84"/>
          <w:highlight w:val="none"/>
        </w:rPr>
        <w:t>招标文件</w:t>
      </w:r>
    </w:p>
    <w:p w14:paraId="740E398F">
      <w:pPr>
        <w:snapToGrid w:val="0"/>
        <w:spacing w:before="50" w:after="120" w:line="360" w:lineRule="auto"/>
        <w:ind w:firstLine="1145" w:firstLineChars="400"/>
        <w:rPr>
          <w:rFonts w:hint="eastAsia" w:ascii="宋体" w:hAnsi="宋体" w:eastAsia="宋体" w:cs="宋体"/>
          <w:b/>
          <w:bCs/>
          <w:color w:val="auto"/>
          <w:w w:val="95"/>
          <w:kern w:val="1"/>
          <w:sz w:val="30"/>
          <w:szCs w:val="30"/>
          <w:highlight w:val="none"/>
        </w:rPr>
      </w:pPr>
    </w:p>
    <w:p w14:paraId="0B495240">
      <w:pPr>
        <w:snapToGrid w:val="0"/>
        <w:spacing w:before="50" w:after="120" w:line="360" w:lineRule="auto"/>
        <w:ind w:firstLine="1145" w:firstLineChars="400"/>
        <w:rPr>
          <w:rFonts w:hint="eastAsia" w:ascii="宋体" w:hAnsi="宋体" w:eastAsia="宋体" w:cs="宋体"/>
          <w:b/>
          <w:bCs/>
          <w:color w:val="auto"/>
          <w:spacing w:val="0"/>
          <w:w w:val="95"/>
          <w:kern w:val="1"/>
          <w:sz w:val="30"/>
          <w:szCs w:val="30"/>
          <w:highlight w:val="none"/>
        </w:rPr>
      </w:pPr>
      <w:r>
        <w:rPr>
          <w:rFonts w:hint="eastAsia" w:ascii="宋体" w:hAnsi="宋体" w:eastAsia="宋体" w:cs="宋体"/>
          <w:b/>
          <w:bCs/>
          <w:color w:val="auto"/>
          <w:w w:val="95"/>
          <w:kern w:val="1"/>
          <w:sz w:val="30"/>
          <w:szCs w:val="30"/>
          <w:highlight w:val="none"/>
        </w:rPr>
        <w:t>项目名称：</w:t>
      </w:r>
      <w:r>
        <w:rPr>
          <w:rFonts w:hint="eastAsia" w:ascii="宋体" w:hAnsi="宋体" w:eastAsia="宋体" w:cs="宋体"/>
          <w:b/>
          <w:bCs/>
          <w:color w:val="auto"/>
          <w:spacing w:val="0"/>
          <w:w w:val="95"/>
          <w:kern w:val="1"/>
          <w:sz w:val="30"/>
          <w:szCs w:val="30"/>
          <w:highlight w:val="none"/>
        </w:rPr>
        <w:t>2026年中央财政林业草原生态保护恢复资金-广西山口</w:t>
      </w:r>
    </w:p>
    <w:p w14:paraId="1CD03BFE">
      <w:pPr>
        <w:snapToGrid w:val="0"/>
        <w:spacing w:before="50" w:after="120" w:line="360" w:lineRule="auto"/>
        <w:ind w:firstLine="2576" w:firstLineChars="900"/>
        <w:rPr>
          <w:rFonts w:hint="eastAsia" w:ascii="宋体" w:hAnsi="宋体" w:eastAsia="宋体" w:cs="宋体"/>
          <w:b/>
          <w:bCs/>
          <w:color w:val="auto"/>
          <w:w w:val="95"/>
          <w:kern w:val="1"/>
          <w:sz w:val="30"/>
          <w:szCs w:val="30"/>
          <w:highlight w:val="none"/>
        </w:rPr>
      </w:pPr>
      <w:r>
        <w:rPr>
          <w:rFonts w:hint="eastAsia" w:ascii="宋体" w:hAnsi="宋体" w:eastAsia="宋体" w:cs="宋体"/>
          <w:b/>
          <w:bCs/>
          <w:color w:val="auto"/>
          <w:spacing w:val="0"/>
          <w:w w:val="95"/>
          <w:kern w:val="1"/>
          <w:sz w:val="30"/>
          <w:szCs w:val="30"/>
          <w:highlight w:val="none"/>
        </w:rPr>
        <w:t>红树林国际重要湿地保护恢复项目-管护巡护</w:t>
      </w:r>
    </w:p>
    <w:p w14:paraId="2A40685A">
      <w:pPr>
        <w:snapToGrid w:val="0"/>
        <w:spacing w:before="50" w:after="120" w:line="360" w:lineRule="auto"/>
        <w:ind w:firstLine="1125" w:firstLineChars="393"/>
        <w:rPr>
          <w:rFonts w:hint="eastAsia" w:ascii="宋体" w:hAnsi="宋体" w:eastAsia="宋体" w:cs="宋体"/>
          <w:b/>
          <w:bCs/>
          <w:color w:val="auto"/>
          <w:w w:val="95"/>
          <w:kern w:val="1"/>
          <w:sz w:val="30"/>
          <w:szCs w:val="30"/>
          <w:highlight w:val="none"/>
        </w:rPr>
      </w:pPr>
      <w:r>
        <w:rPr>
          <w:rFonts w:hint="eastAsia" w:ascii="宋体" w:hAnsi="宋体" w:eastAsia="宋体" w:cs="宋体"/>
          <w:b/>
          <w:bCs/>
          <w:color w:val="auto"/>
          <w:w w:val="95"/>
          <w:kern w:val="1"/>
          <w:sz w:val="30"/>
          <w:szCs w:val="30"/>
          <w:highlight w:val="none"/>
        </w:rPr>
        <w:t>项目编号：GXZC2026-G3-002912-HGXM</w:t>
      </w:r>
    </w:p>
    <w:p w14:paraId="25133084">
      <w:pPr>
        <w:snapToGrid w:val="0"/>
        <w:spacing w:before="50" w:after="120" w:line="360" w:lineRule="auto"/>
        <w:ind w:firstLine="1125" w:firstLineChars="393"/>
        <w:rPr>
          <w:rFonts w:hint="eastAsia" w:ascii="宋体" w:hAnsi="宋体" w:eastAsia="宋体" w:cs="宋体"/>
          <w:b/>
          <w:bCs/>
          <w:color w:val="auto"/>
          <w:w w:val="95"/>
          <w:kern w:val="1"/>
          <w:sz w:val="30"/>
          <w:szCs w:val="30"/>
          <w:highlight w:val="none"/>
        </w:rPr>
      </w:pPr>
    </w:p>
    <w:p w14:paraId="26EAE988">
      <w:pPr>
        <w:snapToGrid w:val="0"/>
        <w:spacing w:before="50" w:after="120" w:line="360" w:lineRule="auto"/>
        <w:ind w:firstLine="1125" w:firstLineChars="393"/>
        <w:rPr>
          <w:rFonts w:hint="eastAsia" w:ascii="宋体" w:hAnsi="宋体" w:eastAsia="宋体" w:cs="宋体"/>
          <w:b/>
          <w:bCs/>
          <w:color w:val="auto"/>
          <w:w w:val="95"/>
          <w:kern w:val="1"/>
          <w:sz w:val="30"/>
          <w:szCs w:val="30"/>
          <w:highlight w:val="none"/>
        </w:rPr>
      </w:pPr>
    </w:p>
    <w:p w14:paraId="33328C56">
      <w:pPr>
        <w:snapToGrid w:val="0"/>
        <w:spacing w:before="50" w:after="120" w:line="360" w:lineRule="auto"/>
        <w:ind w:firstLine="1125" w:firstLineChars="393"/>
        <w:rPr>
          <w:rFonts w:hint="eastAsia" w:ascii="宋体" w:hAnsi="宋体" w:eastAsia="宋体" w:cs="宋体"/>
          <w:b/>
          <w:bCs/>
          <w:color w:val="auto"/>
          <w:w w:val="95"/>
          <w:kern w:val="1"/>
          <w:sz w:val="30"/>
          <w:szCs w:val="30"/>
          <w:highlight w:val="none"/>
        </w:rPr>
      </w:pPr>
    </w:p>
    <w:p w14:paraId="54588ACA">
      <w:pPr>
        <w:snapToGrid w:val="0"/>
        <w:spacing w:before="50" w:after="120" w:line="360" w:lineRule="auto"/>
        <w:ind w:firstLine="1125" w:firstLineChars="393"/>
        <w:rPr>
          <w:rFonts w:hint="eastAsia" w:ascii="宋体" w:hAnsi="宋体" w:eastAsia="宋体" w:cs="宋体"/>
          <w:b/>
          <w:bCs/>
          <w:color w:val="auto"/>
          <w:w w:val="95"/>
          <w:kern w:val="1"/>
          <w:sz w:val="30"/>
          <w:szCs w:val="30"/>
          <w:highlight w:val="none"/>
        </w:rPr>
      </w:pPr>
    </w:p>
    <w:p w14:paraId="55FF9EF9">
      <w:pPr>
        <w:snapToGrid w:val="0"/>
        <w:spacing w:before="50" w:after="120" w:line="360" w:lineRule="auto"/>
        <w:ind w:firstLine="572" w:firstLineChars="200"/>
        <w:rPr>
          <w:rFonts w:hint="eastAsia" w:ascii="宋体" w:hAnsi="宋体" w:eastAsia="宋体" w:cs="宋体"/>
          <w:b/>
          <w:bCs/>
          <w:color w:val="auto"/>
          <w:w w:val="95"/>
          <w:kern w:val="1"/>
          <w:sz w:val="30"/>
          <w:szCs w:val="30"/>
          <w:highlight w:val="none"/>
        </w:rPr>
      </w:pPr>
      <w:r>
        <w:rPr>
          <w:rFonts w:hint="eastAsia" w:ascii="宋体" w:hAnsi="宋体" w:eastAsia="宋体" w:cs="宋体"/>
          <w:b/>
          <w:bCs/>
          <w:color w:val="auto"/>
          <w:w w:val="95"/>
          <w:kern w:val="1"/>
          <w:sz w:val="30"/>
          <w:szCs w:val="30"/>
          <w:highlight w:val="none"/>
        </w:rPr>
        <w:t>采 购 人：</w:t>
      </w:r>
      <w:r>
        <w:rPr>
          <w:rFonts w:hint="eastAsia" w:ascii="宋体" w:hAnsi="宋体" w:eastAsia="宋体" w:cs="宋体"/>
          <w:b/>
          <w:bCs/>
          <w:color w:val="auto"/>
          <w:spacing w:val="0"/>
          <w:w w:val="95"/>
          <w:kern w:val="1"/>
          <w:sz w:val="30"/>
          <w:szCs w:val="30"/>
          <w:highlight w:val="none"/>
        </w:rPr>
        <w:t>广西壮族自治区山口红树林生态国家级自然保护区管理中心</w:t>
      </w:r>
    </w:p>
    <w:p w14:paraId="1E122342">
      <w:pPr>
        <w:snapToGrid w:val="0"/>
        <w:spacing w:before="50" w:after="120" w:line="360" w:lineRule="auto"/>
        <w:ind w:firstLine="572" w:firstLineChars="200"/>
        <w:rPr>
          <w:rFonts w:hint="eastAsia" w:ascii="宋体" w:hAnsi="宋体" w:eastAsia="宋体" w:cs="宋体"/>
          <w:b/>
          <w:bCs/>
          <w:color w:val="auto"/>
          <w:w w:val="95"/>
          <w:kern w:val="1"/>
          <w:sz w:val="30"/>
          <w:szCs w:val="30"/>
          <w:highlight w:val="none"/>
        </w:rPr>
      </w:pPr>
      <w:r>
        <w:rPr>
          <w:rFonts w:hint="eastAsia" w:ascii="宋体" w:hAnsi="宋体" w:eastAsia="宋体" w:cs="宋体"/>
          <w:b/>
          <w:bCs/>
          <w:color w:val="auto"/>
          <w:w w:val="95"/>
          <w:kern w:val="1"/>
          <w:sz w:val="30"/>
          <w:szCs w:val="30"/>
          <w:highlight w:val="none"/>
        </w:rPr>
        <w:t>采购代理机构：</w:t>
      </w:r>
      <w:r>
        <w:rPr>
          <w:rFonts w:hint="eastAsia" w:ascii="宋体" w:hAnsi="宋体" w:eastAsia="宋体" w:cs="宋体"/>
          <w:b/>
          <w:bCs/>
          <w:color w:val="auto"/>
          <w:w w:val="95"/>
          <w:sz w:val="30"/>
          <w:szCs w:val="30"/>
          <w:highlight w:val="none"/>
        </w:rPr>
        <w:t>广西泓贯项目咨询管理有限公司</w:t>
      </w:r>
    </w:p>
    <w:p w14:paraId="42494A27">
      <w:pPr>
        <w:snapToGrid w:val="0"/>
        <w:spacing w:before="50" w:after="120" w:line="360" w:lineRule="auto"/>
        <w:ind w:firstLine="841" w:firstLineChars="294"/>
        <w:rPr>
          <w:rFonts w:hint="eastAsia" w:ascii="宋体" w:hAnsi="宋体" w:eastAsia="宋体" w:cs="宋体"/>
          <w:b/>
          <w:bCs/>
          <w:color w:val="auto"/>
          <w:w w:val="95"/>
          <w:kern w:val="1"/>
          <w:sz w:val="30"/>
          <w:szCs w:val="30"/>
          <w:highlight w:val="none"/>
        </w:rPr>
        <w:sectPr>
          <w:headerReference r:id="rId3" w:type="default"/>
          <w:footerReference r:id="rId4" w:type="default"/>
          <w:footerReference r:id="rId5" w:type="even"/>
          <w:pgSz w:w="11906" w:h="16838"/>
          <w:pgMar w:top="1134" w:right="1134" w:bottom="1134" w:left="1134" w:header="720" w:footer="720" w:gutter="0"/>
          <w:pgNumType w:start="1"/>
          <w:cols w:space="720" w:num="1"/>
          <w:docGrid w:type="lines" w:linePitch="331" w:charSpace="0"/>
        </w:sectPr>
      </w:pPr>
      <w:r>
        <w:rPr>
          <w:rFonts w:hint="eastAsia" w:ascii="宋体" w:hAnsi="宋体" w:eastAsia="宋体" w:cs="宋体"/>
          <w:b/>
          <w:bCs/>
          <w:color w:val="auto"/>
          <w:w w:val="95"/>
          <w:kern w:val="1"/>
          <w:sz w:val="30"/>
          <w:szCs w:val="30"/>
          <w:highlight w:val="none"/>
        </w:rPr>
        <w:t xml:space="preserve">                    </w:t>
      </w:r>
      <w:r>
        <w:rPr>
          <w:rFonts w:hint="eastAsia" w:ascii="宋体" w:hAnsi="宋体" w:eastAsia="宋体" w:cs="宋体"/>
          <w:b/>
          <w:bCs/>
          <w:color w:val="auto"/>
          <w:w w:val="95"/>
          <w:kern w:val="1"/>
          <w:sz w:val="30"/>
          <w:szCs w:val="30"/>
          <w:highlight w:val="none"/>
          <w:lang w:val="en-US" w:eastAsia="zh-CN"/>
        </w:rPr>
        <w:t xml:space="preserve"> 2026</w:t>
      </w:r>
      <w:r>
        <w:rPr>
          <w:rFonts w:hint="eastAsia" w:ascii="宋体" w:hAnsi="宋体" w:eastAsia="宋体" w:cs="宋体"/>
          <w:b/>
          <w:bCs/>
          <w:color w:val="auto"/>
          <w:w w:val="95"/>
          <w:kern w:val="1"/>
          <w:sz w:val="30"/>
          <w:szCs w:val="30"/>
          <w:highlight w:val="none"/>
        </w:rPr>
        <w:t>年</w:t>
      </w:r>
      <w:r>
        <w:rPr>
          <w:rFonts w:hint="eastAsia" w:ascii="宋体" w:hAnsi="宋体" w:cs="宋体"/>
          <w:b/>
          <w:bCs/>
          <w:color w:val="auto"/>
          <w:w w:val="95"/>
          <w:kern w:val="1"/>
          <w:sz w:val="30"/>
          <w:szCs w:val="30"/>
          <w:highlight w:val="none"/>
          <w:lang w:val="en-US" w:eastAsia="zh-CN"/>
        </w:rPr>
        <w:t>9</w:t>
      </w:r>
      <w:r>
        <w:rPr>
          <w:rFonts w:hint="eastAsia" w:ascii="宋体" w:hAnsi="宋体" w:eastAsia="宋体" w:cs="宋体"/>
          <w:b/>
          <w:bCs/>
          <w:color w:val="auto"/>
          <w:w w:val="95"/>
          <w:kern w:val="1"/>
          <w:sz w:val="30"/>
          <w:szCs w:val="30"/>
          <w:highlight w:val="none"/>
        </w:rPr>
        <w:t>月</w:t>
      </w:r>
      <w:r>
        <w:rPr>
          <w:rFonts w:hint="eastAsia" w:ascii="宋体" w:hAnsi="宋体" w:cs="宋体"/>
          <w:b/>
          <w:bCs/>
          <w:color w:val="auto"/>
          <w:w w:val="95"/>
          <w:kern w:val="1"/>
          <w:sz w:val="30"/>
          <w:szCs w:val="30"/>
          <w:highlight w:val="none"/>
          <w:lang w:val="en-US" w:eastAsia="zh-CN"/>
        </w:rPr>
        <w:t>7</w:t>
      </w:r>
      <w:r>
        <w:rPr>
          <w:rFonts w:hint="eastAsia" w:ascii="宋体" w:hAnsi="宋体" w:eastAsia="宋体" w:cs="宋体"/>
          <w:b/>
          <w:bCs/>
          <w:color w:val="auto"/>
          <w:w w:val="95"/>
          <w:kern w:val="1"/>
          <w:sz w:val="30"/>
          <w:szCs w:val="30"/>
          <w:highlight w:val="none"/>
        </w:rPr>
        <w:t>日</w:t>
      </w:r>
    </w:p>
    <w:p w14:paraId="28E4354E">
      <w:pPr>
        <w:spacing w:line="360" w:lineRule="auto"/>
        <w:jc w:val="center"/>
        <w:rPr>
          <w:rFonts w:hint="eastAsia" w:ascii="宋体" w:hAnsi="宋体" w:eastAsia="宋体" w:cs="宋体"/>
          <w:b/>
          <w:color w:val="auto"/>
          <w:sz w:val="44"/>
          <w:szCs w:val="44"/>
          <w:highlight w:val="none"/>
        </w:rPr>
      </w:pPr>
    </w:p>
    <w:p w14:paraId="2AD92744">
      <w:pPr>
        <w:spacing w:line="360" w:lineRule="auto"/>
        <w:jc w:val="center"/>
        <w:rPr>
          <w:rFonts w:hint="eastAsia" w:ascii="宋体" w:hAnsi="宋体" w:eastAsia="宋体" w:cs="宋体"/>
          <w:b/>
          <w:color w:val="auto"/>
          <w:sz w:val="44"/>
          <w:szCs w:val="44"/>
          <w:highlight w:val="none"/>
        </w:rPr>
      </w:pPr>
      <w:r>
        <w:rPr>
          <w:rFonts w:hint="eastAsia" w:ascii="宋体" w:hAnsi="宋体" w:eastAsia="宋体" w:cs="宋体"/>
          <w:b/>
          <w:color w:val="auto"/>
          <w:sz w:val="44"/>
          <w:szCs w:val="44"/>
          <w:highlight w:val="none"/>
        </w:rPr>
        <w:t>目  录</w:t>
      </w:r>
    </w:p>
    <w:p w14:paraId="2044567A">
      <w:pPr>
        <w:spacing w:line="400" w:lineRule="exact"/>
        <w:jc w:val="center"/>
        <w:rPr>
          <w:rFonts w:hint="eastAsia" w:ascii="宋体" w:hAnsi="宋体" w:eastAsia="宋体" w:cs="宋体"/>
          <w:b/>
          <w:color w:val="auto"/>
          <w:sz w:val="44"/>
          <w:szCs w:val="44"/>
          <w:highlight w:val="none"/>
        </w:rPr>
      </w:pPr>
    </w:p>
    <w:p w14:paraId="2C793CF8">
      <w:pPr>
        <w:pStyle w:val="40"/>
        <w:tabs>
          <w:tab w:val="right" w:leader="dot" w:pos="9642"/>
          <w:tab w:val="clear" w:pos="8398"/>
        </w:tabs>
        <w:spacing w:line="480" w:lineRule="auto"/>
        <w:ind w:firstLine="241"/>
        <w:rPr>
          <w:rFonts w:hint="eastAsia" w:ascii="宋体" w:hAnsi="宋体" w:eastAsia="宋体" w:cs="宋体"/>
          <w:color w:val="auto"/>
          <w:sz w:val="28"/>
          <w:szCs w:val="28"/>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TOC \o "1-2" \h \u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"_Toc12659" </w:instrText>
      </w:r>
      <w:r>
        <w:rPr>
          <w:rFonts w:hint="eastAsia" w:ascii="宋体" w:hAnsi="宋体" w:eastAsia="宋体" w:cs="宋体"/>
          <w:color w:val="auto"/>
          <w:highlight w:val="none"/>
        </w:rPr>
        <w:fldChar w:fldCharType="separate"/>
      </w:r>
      <w:r>
        <w:rPr>
          <w:rFonts w:hint="eastAsia" w:ascii="宋体" w:hAnsi="宋体" w:eastAsia="宋体" w:cs="宋体"/>
          <w:color w:val="auto"/>
          <w:sz w:val="28"/>
          <w:szCs w:val="28"/>
          <w:highlight w:val="none"/>
        </w:rPr>
        <w:t>第一章  招标公告</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_Toc12659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1</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7054DF7C">
      <w:pPr>
        <w:pStyle w:val="40"/>
        <w:tabs>
          <w:tab w:val="right" w:leader="dot" w:pos="9642"/>
          <w:tab w:val="clear" w:pos="8398"/>
        </w:tabs>
        <w:spacing w:line="480" w:lineRule="auto"/>
        <w:ind w:firstLine="241"/>
        <w:rPr>
          <w:rFonts w:hint="eastAsia" w:ascii="宋体" w:hAnsi="宋体" w:eastAsia="宋体" w:cs="宋体"/>
          <w:color w:val="auto"/>
          <w:sz w:val="28"/>
          <w:szCs w:val="28"/>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"_Toc6541" </w:instrText>
      </w:r>
      <w:r>
        <w:rPr>
          <w:rFonts w:hint="eastAsia" w:ascii="宋体" w:hAnsi="宋体" w:eastAsia="宋体" w:cs="宋体"/>
          <w:color w:val="auto"/>
          <w:highlight w:val="none"/>
        </w:rPr>
        <w:fldChar w:fldCharType="separate"/>
      </w:r>
      <w:r>
        <w:rPr>
          <w:rFonts w:hint="eastAsia" w:ascii="宋体" w:hAnsi="宋体" w:eastAsia="宋体" w:cs="宋体"/>
          <w:color w:val="auto"/>
          <w:kern w:val="44"/>
          <w:sz w:val="28"/>
          <w:szCs w:val="28"/>
          <w:highlight w:val="none"/>
        </w:rPr>
        <w:t>第二章  采购需求</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_Toc6541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5</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6E4B8307">
      <w:pPr>
        <w:pStyle w:val="40"/>
        <w:tabs>
          <w:tab w:val="right" w:leader="dot" w:pos="9642"/>
          <w:tab w:val="clear" w:pos="8398"/>
        </w:tabs>
        <w:spacing w:line="480" w:lineRule="auto"/>
        <w:ind w:firstLine="241"/>
        <w:rPr>
          <w:rFonts w:hint="eastAsia" w:ascii="宋体" w:hAnsi="宋体" w:eastAsia="宋体" w:cs="宋体"/>
          <w:color w:val="auto"/>
          <w:sz w:val="28"/>
          <w:szCs w:val="28"/>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"_Toc18664" </w:instrText>
      </w:r>
      <w:r>
        <w:rPr>
          <w:rFonts w:hint="eastAsia" w:ascii="宋体" w:hAnsi="宋体" w:eastAsia="宋体" w:cs="宋体"/>
          <w:color w:val="auto"/>
          <w:highlight w:val="none"/>
        </w:rPr>
        <w:fldChar w:fldCharType="separate"/>
      </w:r>
      <w:r>
        <w:rPr>
          <w:rFonts w:hint="eastAsia" w:ascii="宋体" w:hAnsi="宋体" w:eastAsia="宋体" w:cs="宋体"/>
          <w:color w:val="auto"/>
          <w:sz w:val="28"/>
          <w:szCs w:val="28"/>
          <w:highlight w:val="none"/>
        </w:rPr>
        <w:t>第三章  投标人须知</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_Toc18664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35</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5BF8FC3B">
      <w:pPr>
        <w:pStyle w:val="40"/>
        <w:tabs>
          <w:tab w:val="right" w:leader="dot" w:pos="9642"/>
          <w:tab w:val="clear" w:pos="8398"/>
        </w:tabs>
        <w:spacing w:line="480" w:lineRule="auto"/>
        <w:ind w:firstLine="241"/>
        <w:rPr>
          <w:rFonts w:hint="eastAsia" w:ascii="宋体" w:hAnsi="宋体" w:eastAsia="宋体" w:cs="宋体"/>
          <w:color w:val="auto"/>
          <w:sz w:val="28"/>
          <w:szCs w:val="28"/>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"_Toc27918" </w:instrText>
      </w:r>
      <w:r>
        <w:rPr>
          <w:rFonts w:hint="eastAsia" w:ascii="宋体" w:hAnsi="宋体" w:eastAsia="宋体" w:cs="宋体"/>
          <w:color w:val="auto"/>
          <w:highlight w:val="none"/>
        </w:rPr>
        <w:fldChar w:fldCharType="separate"/>
      </w:r>
      <w:r>
        <w:rPr>
          <w:rFonts w:hint="eastAsia" w:ascii="宋体" w:hAnsi="宋体" w:eastAsia="宋体" w:cs="宋体"/>
          <w:color w:val="auto"/>
          <w:sz w:val="28"/>
          <w:szCs w:val="28"/>
          <w:highlight w:val="none"/>
        </w:rPr>
        <w:t>第四章  评标方法及评标标准</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_Toc27918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56</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488BECD1">
      <w:pPr>
        <w:pStyle w:val="40"/>
        <w:tabs>
          <w:tab w:val="right" w:leader="dot" w:pos="9642"/>
          <w:tab w:val="clear" w:pos="8398"/>
        </w:tabs>
        <w:spacing w:line="480" w:lineRule="auto"/>
        <w:ind w:firstLine="241"/>
        <w:rPr>
          <w:rFonts w:hint="eastAsia" w:ascii="宋体" w:hAnsi="宋体" w:eastAsia="宋体" w:cs="宋体"/>
          <w:color w:val="auto"/>
          <w:sz w:val="28"/>
          <w:szCs w:val="28"/>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"_Toc28267" </w:instrText>
      </w:r>
      <w:r>
        <w:rPr>
          <w:rFonts w:hint="eastAsia" w:ascii="宋体" w:hAnsi="宋体" w:eastAsia="宋体" w:cs="宋体"/>
          <w:color w:val="auto"/>
          <w:highlight w:val="none"/>
        </w:rPr>
        <w:fldChar w:fldCharType="separate"/>
      </w:r>
      <w:r>
        <w:rPr>
          <w:rFonts w:hint="eastAsia" w:ascii="宋体" w:hAnsi="宋体" w:eastAsia="宋体" w:cs="宋体"/>
          <w:color w:val="auto"/>
          <w:sz w:val="28"/>
          <w:szCs w:val="28"/>
          <w:highlight w:val="none"/>
        </w:rPr>
        <w:t>第五章  拟签订的合同文本</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_Toc28267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78</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09EEC591">
      <w:pPr>
        <w:pStyle w:val="40"/>
        <w:tabs>
          <w:tab w:val="right" w:leader="dot" w:pos="9642"/>
          <w:tab w:val="clear" w:pos="8398"/>
        </w:tabs>
        <w:spacing w:line="480" w:lineRule="auto"/>
        <w:ind w:firstLine="241"/>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"_Toc21405" </w:instrText>
      </w:r>
      <w:r>
        <w:rPr>
          <w:rFonts w:hint="eastAsia" w:ascii="宋体" w:hAnsi="宋体" w:eastAsia="宋体" w:cs="宋体"/>
          <w:color w:val="auto"/>
          <w:highlight w:val="none"/>
        </w:rPr>
        <w:fldChar w:fldCharType="separate"/>
      </w:r>
      <w:r>
        <w:rPr>
          <w:rFonts w:hint="eastAsia" w:ascii="宋体" w:hAnsi="宋体" w:eastAsia="宋体" w:cs="宋体"/>
          <w:color w:val="auto"/>
          <w:sz w:val="28"/>
          <w:szCs w:val="28"/>
          <w:highlight w:val="none"/>
        </w:rPr>
        <w:t>第六章　投标文件格式</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_Toc21405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90</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21E77F57">
      <w:pPr>
        <w:tabs>
          <w:tab w:val="right" w:leader="dot" w:pos="8789"/>
        </w:tabs>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highlight w:val="none"/>
        </w:rPr>
        <w:fldChar w:fldCharType="end"/>
      </w:r>
    </w:p>
    <w:p w14:paraId="29366957">
      <w:pPr>
        <w:spacing w:before="120" w:beforeLines="50" w:line="480" w:lineRule="exact"/>
        <w:rPr>
          <w:rFonts w:hint="eastAsia" w:ascii="宋体" w:hAnsi="宋体" w:eastAsia="宋体" w:cs="宋体"/>
          <w:color w:val="auto"/>
          <w:sz w:val="30"/>
          <w:highlight w:val="none"/>
        </w:rPr>
      </w:pPr>
    </w:p>
    <w:p w14:paraId="73B23A6A">
      <w:pPr>
        <w:rPr>
          <w:rFonts w:hint="eastAsia" w:ascii="宋体" w:hAnsi="宋体" w:eastAsia="宋体" w:cs="宋体"/>
          <w:color w:val="auto"/>
          <w:highlight w:val="none"/>
        </w:rPr>
      </w:pPr>
    </w:p>
    <w:p w14:paraId="232513F6">
      <w:pPr>
        <w:spacing w:before="120" w:beforeLines="50" w:line="480" w:lineRule="exact"/>
        <w:rPr>
          <w:rFonts w:hint="eastAsia" w:ascii="宋体" w:hAnsi="宋体" w:eastAsia="宋体" w:cs="宋体"/>
          <w:color w:val="auto"/>
          <w:sz w:val="30"/>
          <w:highlight w:val="none"/>
        </w:rPr>
      </w:pPr>
    </w:p>
    <w:p w14:paraId="50168787">
      <w:pPr>
        <w:spacing w:before="120" w:beforeLines="50" w:line="480" w:lineRule="exact"/>
        <w:rPr>
          <w:rFonts w:hint="eastAsia" w:ascii="宋体" w:hAnsi="宋体" w:eastAsia="宋体" w:cs="宋体"/>
          <w:color w:val="auto"/>
          <w:sz w:val="30"/>
          <w:highlight w:val="none"/>
        </w:rPr>
      </w:pPr>
    </w:p>
    <w:p w14:paraId="24EFF2F9">
      <w:pPr>
        <w:pStyle w:val="20"/>
        <w:rPr>
          <w:rFonts w:hint="eastAsia" w:ascii="宋体" w:hAnsi="宋体" w:eastAsia="宋体" w:cs="宋体"/>
          <w:b/>
          <w:bCs/>
          <w:color w:val="auto"/>
          <w:highlight w:val="none"/>
        </w:rPr>
      </w:pPr>
      <w:bookmarkStart w:id="0" w:name="_Toc254970630"/>
      <w:bookmarkStart w:id="1" w:name="_Toc254970489"/>
    </w:p>
    <w:p w14:paraId="12029BC8">
      <w:pPr>
        <w:pStyle w:val="3"/>
        <w:keepNext w:val="0"/>
        <w:keepLines w:val="0"/>
        <w:tabs>
          <w:tab w:val="left" w:pos="0"/>
          <w:tab w:val="left" w:pos="3165"/>
          <w:tab w:val="center" w:pos="4153"/>
        </w:tabs>
        <w:autoSpaceDE w:val="0"/>
        <w:autoSpaceDN w:val="0"/>
        <w:adjustRightInd w:val="0"/>
        <w:spacing w:before="0" w:after="0" w:line="360" w:lineRule="auto"/>
        <w:jc w:val="center"/>
        <w:rPr>
          <w:rFonts w:hint="eastAsia" w:ascii="宋体" w:hAnsi="宋体" w:eastAsia="宋体" w:cs="宋体"/>
          <w:color w:val="auto"/>
          <w:highlight w:val="none"/>
        </w:rPr>
      </w:pPr>
      <w:r>
        <w:rPr>
          <w:rFonts w:hint="eastAsia" w:ascii="宋体" w:hAnsi="宋体" w:eastAsia="宋体" w:cs="宋体"/>
          <w:b w:val="0"/>
          <w:bCs w:val="0"/>
          <w:color w:val="auto"/>
          <w:highlight w:val="none"/>
        </w:rPr>
        <w:br w:type="page"/>
      </w:r>
      <w:bookmarkStart w:id="2" w:name="_Toc29748"/>
      <w:bookmarkStart w:id="3" w:name="_Toc12659"/>
      <w:r>
        <w:rPr>
          <w:rFonts w:hint="eastAsia" w:ascii="宋体" w:hAnsi="宋体" w:eastAsia="宋体" w:cs="宋体"/>
          <w:color w:val="auto"/>
          <w:highlight w:val="none"/>
        </w:rPr>
        <w:t>第一章</w:t>
      </w:r>
      <w:bookmarkEnd w:id="0"/>
      <w:bookmarkEnd w:id="1"/>
      <w:bookmarkStart w:id="4" w:name="_Toc28359001"/>
      <w:bookmarkStart w:id="5" w:name="_Toc35393789"/>
      <w:r>
        <w:rPr>
          <w:rFonts w:hint="eastAsia" w:ascii="宋体" w:hAnsi="宋体" w:eastAsia="宋体" w:cs="宋体"/>
          <w:color w:val="auto"/>
          <w:highlight w:val="none"/>
        </w:rPr>
        <w:t xml:space="preserve">  招标公告</w:t>
      </w:r>
      <w:bookmarkEnd w:id="2"/>
      <w:bookmarkEnd w:id="3"/>
      <w:bookmarkEnd w:id="4"/>
      <w:bookmarkEnd w:id="5"/>
    </w:p>
    <w:p w14:paraId="670352FE">
      <w:pPr>
        <w:pBdr>
          <w:top w:val="single" w:color="auto" w:sz="4" w:space="1"/>
          <w:left w:val="single" w:color="auto" w:sz="4" w:space="4"/>
          <w:bottom w:val="single" w:color="auto" w:sz="4" w:space="1"/>
          <w:right w:val="single" w:color="auto" w:sz="4" w:space="4"/>
        </w:pBdr>
        <w:spacing w:line="360" w:lineRule="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项目概况:</w:t>
      </w:r>
    </w:p>
    <w:p w14:paraId="720D395E">
      <w:pPr>
        <w:pBdr>
          <w:top w:val="single" w:color="auto" w:sz="4" w:space="1"/>
          <w:left w:val="single" w:color="auto" w:sz="4" w:space="4"/>
          <w:bottom w:val="single" w:color="auto" w:sz="4" w:space="1"/>
          <w:right w:val="single" w:color="auto" w:sz="4" w:space="4"/>
        </w:pBd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b w:val="0"/>
          <w:bCs w:val="0"/>
          <w:color w:val="auto"/>
          <w:szCs w:val="21"/>
          <w:highlight w:val="none"/>
          <w:u w:val="single"/>
          <w:lang w:val="en-US" w:eastAsia="zh-CN"/>
        </w:rPr>
        <w:t xml:space="preserve"> </w:t>
      </w:r>
      <w:r>
        <w:rPr>
          <w:rFonts w:hint="eastAsia" w:ascii="宋体" w:hAnsi="宋体" w:eastAsia="宋体" w:cs="宋体"/>
          <w:b w:val="0"/>
          <w:bCs w:val="0"/>
          <w:color w:val="auto"/>
          <w:spacing w:val="0"/>
          <w:sz w:val="21"/>
          <w:szCs w:val="21"/>
          <w:highlight w:val="none"/>
          <w:u w:val="single"/>
        </w:rPr>
        <w:t>2026年中央财政林业草原生态保护恢复资金-广西山口红树林国际重要湿地保护恢复项目-管护巡护</w:t>
      </w:r>
      <w:r>
        <w:rPr>
          <w:rFonts w:hint="eastAsia" w:ascii="宋体" w:hAnsi="宋体" w:eastAsia="宋体" w:cs="宋体"/>
          <w:b w:val="0"/>
          <w:bCs w:val="0"/>
          <w:color w:val="auto"/>
          <w:szCs w:val="21"/>
          <w:highlight w:val="none"/>
          <w:u w:val="single"/>
          <w:lang w:val="en-US" w:eastAsia="zh-CN"/>
        </w:rPr>
        <w:t xml:space="preserve"> </w:t>
      </w:r>
      <w:r>
        <w:rPr>
          <w:rFonts w:hint="eastAsia" w:ascii="宋体" w:hAnsi="宋体" w:eastAsia="宋体" w:cs="宋体"/>
          <w:b/>
          <w:bCs/>
          <w:color w:val="auto"/>
          <w:szCs w:val="21"/>
          <w:highlight w:val="none"/>
          <w:u w:val="single"/>
          <w:lang w:val="en-US" w:eastAsia="zh-CN"/>
        </w:rPr>
        <w:t xml:space="preserve"> </w:t>
      </w:r>
      <w:r>
        <w:rPr>
          <w:rFonts w:hint="eastAsia" w:ascii="宋体" w:hAnsi="宋体" w:eastAsia="宋体" w:cs="宋体"/>
          <w:color w:val="auto"/>
          <w:szCs w:val="21"/>
          <w:highlight w:val="none"/>
          <w:lang w:val="en-US" w:eastAsia="zh-CN"/>
        </w:rPr>
        <w:t>招标项目</w:t>
      </w:r>
      <w:r>
        <w:rPr>
          <w:rFonts w:hint="eastAsia" w:ascii="宋体" w:hAnsi="宋体" w:eastAsia="宋体" w:cs="宋体"/>
          <w:color w:val="auto"/>
          <w:szCs w:val="21"/>
          <w:highlight w:val="none"/>
        </w:rPr>
        <w:t>的潜在投标人应在广西政府采购云平台</w:t>
      </w:r>
      <w:r>
        <w:rPr>
          <w:rFonts w:hint="eastAsia" w:ascii="宋体" w:hAnsi="宋体" w:cs="宋体"/>
          <w:color w:val="auto"/>
          <w:szCs w:val="21"/>
          <w:highlight w:val="none"/>
          <w:lang w:val="en-US" w:eastAsia="zh-CN"/>
        </w:rPr>
        <w:t>线上</w:t>
      </w:r>
      <w:r>
        <w:rPr>
          <w:rFonts w:hint="eastAsia" w:ascii="宋体" w:hAnsi="宋体" w:eastAsia="宋体" w:cs="宋体"/>
          <w:color w:val="auto"/>
          <w:szCs w:val="21"/>
          <w:highlight w:val="none"/>
        </w:rPr>
        <w:t>获取招标文件，并于</w:t>
      </w:r>
      <w:r>
        <w:rPr>
          <w:rFonts w:hint="eastAsia" w:ascii="宋体" w:hAnsi="宋体" w:eastAsia="宋体" w:cs="宋体"/>
          <w:b/>
          <w:bCs/>
          <w:color w:val="auto"/>
          <w:szCs w:val="21"/>
          <w:highlight w:val="none"/>
          <w:u w:val="single"/>
          <w:lang w:val="en-US" w:eastAsia="zh-CN"/>
        </w:rPr>
        <w:t xml:space="preserve"> 2026</w:t>
      </w:r>
      <w:r>
        <w:rPr>
          <w:rFonts w:hint="eastAsia" w:ascii="宋体" w:hAnsi="宋体" w:eastAsia="宋体" w:cs="宋体"/>
          <w:b/>
          <w:bCs/>
          <w:color w:val="auto"/>
          <w:szCs w:val="21"/>
          <w:highlight w:val="none"/>
          <w:u w:val="single"/>
        </w:rPr>
        <w:t>年</w:t>
      </w:r>
      <w:r>
        <w:rPr>
          <w:rFonts w:hint="eastAsia" w:ascii="宋体" w:hAnsi="宋体" w:cs="宋体"/>
          <w:b/>
          <w:bCs/>
          <w:color w:val="auto"/>
          <w:szCs w:val="21"/>
          <w:highlight w:val="none"/>
          <w:u w:val="single"/>
          <w:lang w:val="en-US" w:eastAsia="zh-CN"/>
        </w:rPr>
        <w:t>9</w:t>
      </w:r>
      <w:r>
        <w:rPr>
          <w:rFonts w:hint="eastAsia" w:ascii="宋体" w:hAnsi="宋体" w:eastAsia="宋体" w:cs="宋体"/>
          <w:b/>
          <w:bCs/>
          <w:color w:val="auto"/>
          <w:szCs w:val="21"/>
          <w:highlight w:val="none"/>
          <w:u w:val="single"/>
        </w:rPr>
        <w:t>月</w:t>
      </w:r>
      <w:r>
        <w:rPr>
          <w:rFonts w:hint="eastAsia" w:ascii="宋体" w:hAnsi="宋体" w:cs="宋体"/>
          <w:b/>
          <w:bCs/>
          <w:color w:val="auto"/>
          <w:szCs w:val="21"/>
          <w:highlight w:val="none"/>
          <w:u w:val="single"/>
          <w:lang w:val="en-US" w:eastAsia="zh-CN"/>
        </w:rPr>
        <w:t>29</w:t>
      </w:r>
      <w:r>
        <w:rPr>
          <w:rFonts w:hint="eastAsia" w:ascii="宋体" w:hAnsi="宋体" w:eastAsia="宋体" w:cs="宋体"/>
          <w:b/>
          <w:bCs/>
          <w:color w:val="auto"/>
          <w:szCs w:val="21"/>
          <w:highlight w:val="none"/>
          <w:u w:val="single"/>
        </w:rPr>
        <w:t>日</w:t>
      </w:r>
      <w:r>
        <w:rPr>
          <w:rFonts w:hint="eastAsia" w:ascii="宋体" w:hAnsi="宋体" w:cs="宋体"/>
          <w:b/>
          <w:bCs/>
          <w:color w:val="auto"/>
          <w:szCs w:val="21"/>
          <w:highlight w:val="none"/>
          <w:u w:val="single"/>
          <w:lang w:val="en-US" w:eastAsia="zh-CN"/>
        </w:rPr>
        <w:t>9</w:t>
      </w:r>
      <w:r>
        <w:rPr>
          <w:rFonts w:hint="eastAsia" w:ascii="宋体" w:hAnsi="宋体" w:eastAsia="宋体" w:cs="宋体"/>
          <w:b/>
          <w:bCs/>
          <w:color w:val="auto"/>
          <w:szCs w:val="21"/>
          <w:highlight w:val="none"/>
          <w:u w:val="single"/>
        </w:rPr>
        <w:t>时</w:t>
      </w:r>
      <w:r>
        <w:rPr>
          <w:rFonts w:hint="eastAsia" w:ascii="宋体" w:hAnsi="宋体" w:eastAsia="宋体" w:cs="宋体"/>
          <w:b/>
          <w:bCs/>
          <w:color w:val="auto"/>
          <w:szCs w:val="21"/>
          <w:highlight w:val="none"/>
          <w:u w:val="single"/>
          <w:lang w:val="en-US" w:eastAsia="zh-CN"/>
        </w:rPr>
        <w:t xml:space="preserve"> </w:t>
      </w:r>
      <w:r>
        <w:rPr>
          <w:rFonts w:hint="eastAsia" w:ascii="宋体" w:hAnsi="宋体" w:cs="宋体"/>
          <w:b/>
          <w:bCs/>
          <w:color w:val="auto"/>
          <w:szCs w:val="21"/>
          <w:highlight w:val="none"/>
          <w:u w:val="single"/>
          <w:lang w:val="en-US" w:eastAsia="zh-CN"/>
        </w:rPr>
        <w:t>30</w:t>
      </w:r>
      <w:r>
        <w:rPr>
          <w:rFonts w:hint="eastAsia" w:ascii="宋体" w:hAnsi="宋体" w:eastAsia="宋体" w:cs="宋体"/>
          <w:b/>
          <w:bCs/>
          <w:color w:val="auto"/>
          <w:szCs w:val="21"/>
          <w:highlight w:val="none"/>
          <w:u w:val="single"/>
        </w:rPr>
        <w:t>分</w:t>
      </w:r>
      <w:r>
        <w:rPr>
          <w:rFonts w:hint="eastAsia" w:ascii="宋体" w:hAnsi="宋体" w:eastAsia="宋体" w:cs="宋体"/>
          <w:bCs/>
          <w:color w:val="auto"/>
          <w:szCs w:val="21"/>
          <w:highlight w:val="none"/>
          <w:u w:val="single"/>
        </w:rPr>
        <w:t>（</w:t>
      </w:r>
      <w:r>
        <w:rPr>
          <w:rFonts w:hint="eastAsia" w:ascii="宋体" w:hAnsi="宋体" w:eastAsia="宋体" w:cs="宋体"/>
          <w:bCs/>
          <w:color w:val="auto"/>
          <w:szCs w:val="21"/>
          <w:highlight w:val="none"/>
        </w:rPr>
        <w:t>北京</w:t>
      </w:r>
      <w:r>
        <w:rPr>
          <w:rFonts w:hint="eastAsia" w:ascii="宋体" w:hAnsi="宋体" w:eastAsia="宋体" w:cs="宋体"/>
          <w:bCs/>
          <w:color w:val="auto"/>
          <w:szCs w:val="21"/>
          <w:highlight w:val="none"/>
        </w:rPr>
        <w:t>时间）前递交投标文件。</w:t>
      </w:r>
    </w:p>
    <w:p w14:paraId="4AD8E69F">
      <w:pPr>
        <w:spacing w:line="360" w:lineRule="auto"/>
        <w:rPr>
          <w:rFonts w:hint="eastAsia" w:ascii="宋体" w:hAnsi="宋体" w:eastAsia="宋体" w:cs="宋体"/>
          <w:b/>
          <w:bCs/>
          <w:color w:val="auto"/>
          <w:sz w:val="24"/>
          <w:highlight w:val="none"/>
        </w:rPr>
      </w:pPr>
      <w:bookmarkStart w:id="6" w:name="_Toc28359002"/>
      <w:bookmarkStart w:id="7" w:name="_Toc35393621"/>
      <w:bookmarkStart w:id="8" w:name="_Toc28359079"/>
      <w:bookmarkStart w:id="9" w:name="_Toc35393790"/>
      <w:bookmarkStart w:id="10" w:name="_Hlk24379207"/>
      <w:r>
        <w:rPr>
          <w:rFonts w:hint="eastAsia" w:ascii="宋体" w:hAnsi="宋体" w:eastAsia="宋体" w:cs="宋体"/>
          <w:b/>
          <w:bCs/>
          <w:color w:val="auto"/>
          <w:sz w:val="24"/>
          <w:highlight w:val="none"/>
        </w:rPr>
        <w:t>一、项目基本情况</w:t>
      </w:r>
      <w:bookmarkEnd w:id="6"/>
      <w:bookmarkEnd w:id="7"/>
      <w:bookmarkEnd w:id="8"/>
      <w:bookmarkEnd w:id="9"/>
      <w:r>
        <w:rPr>
          <w:rFonts w:hint="eastAsia" w:ascii="宋体" w:hAnsi="宋体" w:eastAsia="宋体" w:cs="宋体"/>
          <w:b/>
          <w:bCs/>
          <w:color w:val="auto"/>
          <w:sz w:val="24"/>
          <w:highlight w:val="none"/>
        </w:rPr>
        <w:t>：</w:t>
      </w:r>
    </w:p>
    <w:bookmarkEnd w:id="10"/>
    <w:p w14:paraId="381C87BB">
      <w:pPr>
        <w:spacing w:line="360" w:lineRule="auto"/>
        <w:ind w:firstLine="420" w:firstLineChars="200"/>
        <w:rPr>
          <w:rFonts w:hint="eastAsia" w:ascii="宋体" w:hAnsi="宋体" w:eastAsia="宋体" w:cs="宋体"/>
          <w:color w:val="auto"/>
          <w:spacing w:val="0"/>
          <w:sz w:val="21"/>
          <w:szCs w:val="21"/>
          <w:highlight w:val="none"/>
        </w:rPr>
      </w:pPr>
      <w:r>
        <w:rPr>
          <w:rFonts w:hint="eastAsia" w:ascii="宋体" w:hAnsi="宋体" w:eastAsia="宋体" w:cs="宋体"/>
          <w:color w:val="auto"/>
          <w:szCs w:val="21"/>
          <w:highlight w:val="none"/>
        </w:rPr>
        <w:t>项目编号：</w:t>
      </w:r>
      <w:r>
        <w:rPr>
          <w:rFonts w:hint="eastAsia" w:ascii="宋体" w:hAnsi="宋体" w:eastAsia="宋体" w:cs="宋体"/>
          <w:color w:val="auto"/>
          <w:spacing w:val="0"/>
          <w:sz w:val="21"/>
          <w:szCs w:val="21"/>
          <w:highlight w:val="none"/>
        </w:rPr>
        <w:t xml:space="preserve">GXZC2026-G3-002912-HGXM   </w:t>
      </w:r>
    </w:p>
    <w:p w14:paraId="2B7239AD">
      <w:pPr>
        <w:spacing w:line="336"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项目名称：</w:t>
      </w:r>
      <w:r>
        <w:rPr>
          <w:rFonts w:hint="eastAsia" w:ascii="宋体" w:hAnsi="宋体" w:eastAsia="宋体" w:cs="宋体"/>
          <w:color w:val="auto"/>
          <w:spacing w:val="0"/>
          <w:sz w:val="21"/>
          <w:szCs w:val="21"/>
          <w:highlight w:val="none"/>
        </w:rPr>
        <w:t>2026年中央财政林业草原生态保护恢复资金-广西山口红树林国际重要湿地保护恢复项目-管护巡护</w:t>
      </w:r>
    </w:p>
    <w:p w14:paraId="64FE09F9">
      <w:pPr>
        <w:spacing w:line="336"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预算金额：</w:t>
      </w:r>
      <w:r>
        <w:rPr>
          <w:rFonts w:hint="eastAsia" w:ascii="宋体" w:hAnsi="宋体" w:eastAsia="宋体" w:cs="宋体"/>
          <w:color w:val="auto"/>
          <w:szCs w:val="21"/>
          <w:highlight w:val="none"/>
          <w:lang w:val="en-US" w:eastAsia="zh-CN"/>
        </w:rPr>
        <w:t>415.93</w:t>
      </w:r>
      <w:r>
        <w:rPr>
          <w:rFonts w:hint="eastAsia" w:ascii="宋体" w:hAnsi="宋体" w:eastAsia="宋体" w:cs="宋体"/>
          <w:color w:val="auto"/>
          <w:szCs w:val="21"/>
          <w:highlight w:val="none"/>
        </w:rPr>
        <w:t>万元（</w:t>
      </w:r>
      <w:r>
        <w:rPr>
          <w:rFonts w:hint="eastAsia" w:ascii="宋体" w:hAnsi="宋体" w:eastAsia="宋体" w:cs="宋体"/>
          <w:color w:val="auto"/>
          <w:kern w:val="2"/>
          <w:szCs w:val="21"/>
          <w:highlight w:val="none"/>
        </w:rPr>
        <w:t>其中分标</w:t>
      </w:r>
      <w:r>
        <w:rPr>
          <w:rFonts w:hint="eastAsia" w:ascii="宋体" w:hAnsi="宋体" w:eastAsia="宋体" w:cs="宋体"/>
          <w:color w:val="auto"/>
          <w:kern w:val="2"/>
          <w:szCs w:val="21"/>
          <w:highlight w:val="none"/>
          <w:lang w:val="en-US" w:eastAsia="zh-CN"/>
        </w:rPr>
        <w:t>1</w:t>
      </w:r>
      <w:r>
        <w:rPr>
          <w:rFonts w:hint="eastAsia" w:ascii="宋体" w:hAnsi="宋体" w:eastAsia="宋体" w:cs="宋体"/>
          <w:color w:val="auto"/>
          <w:kern w:val="2"/>
          <w:szCs w:val="21"/>
          <w:highlight w:val="none"/>
        </w:rPr>
        <w:t>：</w:t>
      </w:r>
      <w:r>
        <w:rPr>
          <w:rFonts w:hint="eastAsia" w:ascii="宋体" w:hAnsi="宋体" w:eastAsia="宋体" w:cs="宋体"/>
          <w:color w:val="auto"/>
          <w:kern w:val="2"/>
          <w:szCs w:val="21"/>
          <w:highlight w:val="none"/>
          <w:lang w:val="en-US" w:eastAsia="zh-CN"/>
        </w:rPr>
        <w:t>96.28</w:t>
      </w:r>
      <w:r>
        <w:rPr>
          <w:rFonts w:hint="eastAsia" w:ascii="宋体" w:hAnsi="宋体" w:eastAsia="宋体" w:cs="宋体"/>
          <w:color w:val="auto"/>
          <w:kern w:val="2"/>
          <w:szCs w:val="21"/>
          <w:highlight w:val="none"/>
        </w:rPr>
        <w:t>万元；分标</w:t>
      </w:r>
      <w:r>
        <w:rPr>
          <w:rFonts w:hint="eastAsia" w:ascii="宋体" w:hAnsi="宋体" w:eastAsia="宋体" w:cs="宋体"/>
          <w:color w:val="auto"/>
          <w:kern w:val="2"/>
          <w:szCs w:val="21"/>
          <w:highlight w:val="none"/>
          <w:lang w:val="en-US" w:eastAsia="zh-CN"/>
        </w:rPr>
        <w:t>2</w:t>
      </w:r>
      <w:r>
        <w:rPr>
          <w:rFonts w:hint="eastAsia" w:ascii="宋体" w:hAnsi="宋体" w:eastAsia="宋体" w:cs="宋体"/>
          <w:color w:val="auto"/>
          <w:kern w:val="2"/>
          <w:szCs w:val="21"/>
          <w:highlight w:val="none"/>
        </w:rPr>
        <w:t>：</w:t>
      </w:r>
      <w:r>
        <w:rPr>
          <w:rFonts w:hint="eastAsia" w:ascii="宋体" w:hAnsi="宋体" w:eastAsia="宋体" w:cs="宋体"/>
          <w:color w:val="auto"/>
          <w:kern w:val="2"/>
          <w:szCs w:val="21"/>
          <w:highlight w:val="none"/>
          <w:lang w:val="en-US" w:eastAsia="zh-CN"/>
        </w:rPr>
        <w:t>90.36</w:t>
      </w:r>
      <w:r>
        <w:rPr>
          <w:rFonts w:hint="eastAsia" w:ascii="宋体" w:hAnsi="宋体" w:eastAsia="宋体" w:cs="宋体"/>
          <w:color w:val="auto"/>
          <w:kern w:val="2"/>
          <w:szCs w:val="21"/>
          <w:highlight w:val="none"/>
        </w:rPr>
        <w:t>万元</w:t>
      </w:r>
      <w:r>
        <w:rPr>
          <w:rFonts w:hint="eastAsia" w:ascii="宋体" w:hAnsi="宋体" w:eastAsia="宋体" w:cs="宋体"/>
          <w:color w:val="auto"/>
          <w:kern w:val="2"/>
          <w:szCs w:val="21"/>
          <w:highlight w:val="none"/>
          <w:lang w:eastAsia="zh-CN"/>
        </w:rPr>
        <w:t>；</w:t>
      </w:r>
      <w:r>
        <w:rPr>
          <w:rFonts w:hint="eastAsia" w:ascii="宋体" w:hAnsi="宋体" w:eastAsia="宋体" w:cs="宋体"/>
          <w:color w:val="auto"/>
          <w:kern w:val="2"/>
          <w:szCs w:val="21"/>
          <w:highlight w:val="none"/>
        </w:rPr>
        <w:t>分标</w:t>
      </w:r>
      <w:r>
        <w:rPr>
          <w:rFonts w:hint="eastAsia" w:ascii="宋体" w:hAnsi="宋体" w:eastAsia="宋体" w:cs="宋体"/>
          <w:color w:val="auto"/>
          <w:kern w:val="2"/>
          <w:szCs w:val="21"/>
          <w:highlight w:val="none"/>
          <w:lang w:val="en-US" w:eastAsia="zh-CN"/>
        </w:rPr>
        <w:t>3</w:t>
      </w:r>
      <w:r>
        <w:rPr>
          <w:rFonts w:hint="eastAsia" w:ascii="宋体" w:hAnsi="宋体" w:eastAsia="宋体" w:cs="宋体"/>
          <w:color w:val="auto"/>
          <w:kern w:val="2"/>
          <w:szCs w:val="21"/>
          <w:highlight w:val="none"/>
        </w:rPr>
        <w:t>：</w:t>
      </w:r>
      <w:r>
        <w:rPr>
          <w:rFonts w:hint="eastAsia" w:ascii="宋体" w:hAnsi="宋体" w:eastAsia="宋体" w:cs="宋体"/>
          <w:color w:val="auto"/>
          <w:kern w:val="2"/>
          <w:szCs w:val="21"/>
          <w:highlight w:val="none"/>
          <w:lang w:val="en-US" w:eastAsia="zh-CN"/>
        </w:rPr>
        <w:t>60.00</w:t>
      </w:r>
      <w:r>
        <w:rPr>
          <w:rFonts w:hint="eastAsia" w:ascii="宋体" w:hAnsi="宋体" w:eastAsia="宋体" w:cs="宋体"/>
          <w:color w:val="auto"/>
          <w:kern w:val="2"/>
          <w:szCs w:val="21"/>
          <w:highlight w:val="none"/>
        </w:rPr>
        <w:t>万元</w:t>
      </w:r>
      <w:r>
        <w:rPr>
          <w:rFonts w:hint="eastAsia" w:ascii="宋体" w:hAnsi="宋体" w:eastAsia="宋体" w:cs="宋体"/>
          <w:color w:val="auto"/>
          <w:kern w:val="2"/>
          <w:szCs w:val="21"/>
          <w:highlight w:val="none"/>
          <w:lang w:eastAsia="zh-CN"/>
        </w:rPr>
        <w:t>；</w:t>
      </w:r>
      <w:r>
        <w:rPr>
          <w:rFonts w:hint="eastAsia" w:ascii="宋体" w:hAnsi="宋体" w:eastAsia="宋体" w:cs="宋体"/>
          <w:color w:val="auto"/>
          <w:kern w:val="2"/>
          <w:szCs w:val="21"/>
          <w:highlight w:val="none"/>
        </w:rPr>
        <w:t>分标</w:t>
      </w:r>
      <w:r>
        <w:rPr>
          <w:rFonts w:hint="eastAsia" w:ascii="宋体" w:hAnsi="宋体" w:eastAsia="宋体" w:cs="宋体"/>
          <w:color w:val="auto"/>
          <w:kern w:val="2"/>
          <w:szCs w:val="21"/>
          <w:highlight w:val="none"/>
          <w:lang w:val="en-US" w:eastAsia="zh-CN"/>
        </w:rPr>
        <w:t>4</w:t>
      </w:r>
      <w:r>
        <w:rPr>
          <w:rFonts w:hint="eastAsia" w:ascii="宋体" w:hAnsi="宋体" w:eastAsia="宋体" w:cs="宋体"/>
          <w:color w:val="auto"/>
          <w:kern w:val="2"/>
          <w:szCs w:val="21"/>
          <w:highlight w:val="none"/>
        </w:rPr>
        <w:t>：</w:t>
      </w:r>
      <w:r>
        <w:rPr>
          <w:rFonts w:hint="eastAsia" w:ascii="宋体" w:hAnsi="宋体" w:eastAsia="宋体" w:cs="宋体"/>
          <w:color w:val="auto"/>
          <w:kern w:val="2"/>
          <w:szCs w:val="21"/>
          <w:highlight w:val="none"/>
          <w:lang w:val="en-US" w:eastAsia="zh-CN"/>
        </w:rPr>
        <w:t>81.25</w:t>
      </w:r>
      <w:r>
        <w:rPr>
          <w:rFonts w:hint="eastAsia" w:ascii="宋体" w:hAnsi="宋体" w:eastAsia="宋体" w:cs="宋体"/>
          <w:color w:val="auto"/>
          <w:kern w:val="2"/>
          <w:szCs w:val="21"/>
          <w:highlight w:val="none"/>
        </w:rPr>
        <w:t>万元</w:t>
      </w:r>
      <w:r>
        <w:rPr>
          <w:rFonts w:hint="eastAsia" w:ascii="宋体" w:hAnsi="宋体" w:eastAsia="宋体" w:cs="宋体"/>
          <w:color w:val="auto"/>
          <w:kern w:val="2"/>
          <w:szCs w:val="21"/>
          <w:highlight w:val="none"/>
          <w:lang w:eastAsia="zh-CN"/>
        </w:rPr>
        <w:t>；</w:t>
      </w:r>
      <w:r>
        <w:rPr>
          <w:rFonts w:hint="eastAsia" w:ascii="宋体" w:hAnsi="宋体" w:eastAsia="宋体" w:cs="宋体"/>
          <w:color w:val="auto"/>
          <w:kern w:val="2"/>
          <w:szCs w:val="21"/>
          <w:highlight w:val="none"/>
        </w:rPr>
        <w:t>分标</w:t>
      </w:r>
      <w:r>
        <w:rPr>
          <w:rFonts w:hint="eastAsia" w:ascii="宋体" w:hAnsi="宋体" w:eastAsia="宋体" w:cs="宋体"/>
          <w:color w:val="auto"/>
          <w:kern w:val="2"/>
          <w:szCs w:val="21"/>
          <w:highlight w:val="none"/>
          <w:lang w:val="en-US" w:eastAsia="zh-CN"/>
        </w:rPr>
        <w:t>5</w:t>
      </w:r>
      <w:r>
        <w:rPr>
          <w:rFonts w:hint="eastAsia" w:ascii="宋体" w:hAnsi="宋体" w:eastAsia="宋体" w:cs="宋体"/>
          <w:color w:val="auto"/>
          <w:kern w:val="2"/>
          <w:szCs w:val="21"/>
          <w:highlight w:val="none"/>
        </w:rPr>
        <w:t>：</w:t>
      </w:r>
      <w:r>
        <w:rPr>
          <w:rFonts w:hint="eastAsia" w:ascii="宋体" w:hAnsi="宋体" w:eastAsia="宋体" w:cs="宋体"/>
          <w:color w:val="auto"/>
          <w:kern w:val="2"/>
          <w:szCs w:val="21"/>
          <w:highlight w:val="none"/>
          <w:lang w:val="en-US" w:eastAsia="zh-CN"/>
        </w:rPr>
        <w:t>88.04</w:t>
      </w:r>
      <w:r>
        <w:rPr>
          <w:rFonts w:hint="eastAsia" w:ascii="宋体" w:hAnsi="宋体" w:eastAsia="宋体" w:cs="宋体"/>
          <w:color w:val="auto"/>
          <w:kern w:val="2"/>
          <w:szCs w:val="21"/>
          <w:highlight w:val="none"/>
        </w:rPr>
        <w:t>万元</w:t>
      </w:r>
      <w:r>
        <w:rPr>
          <w:rFonts w:hint="eastAsia" w:ascii="宋体" w:hAnsi="宋体" w:eastAsia="宋体" w:cs="宋体"/>
          <w:color w:val="auto"/>
          <w:szCs w:val="21"/>
          <w:highlight w:val="none"/>
        </w:rPr>
        <w:t>）</w:t>
      </w:r>
    </w:p>
    <w:p w14:paraId="51D10F45">
      <w:pPr>
        <w:spacing w:line="336"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最高限价</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Cs w:val="21"/>
          <w:highlight w:val="none"/>
          <w:lang w:val="en-US" w:eastAsia="zh-CN"/>
        </w:rPr>
        <w:t>415.93</w:t>
      </w:r>
      <w:r>
        <w:rPr>
          <w:rFonts w:hint="eastAsia" w:ascii="宋体" w:hAnsi="宋体" w:eastAsia="宋体" w:cs="宋体"/>
          <w:color w:val="auto"/>
          <w:szCs w:val="21"/>
          <w:highlight w:val="none"/>
        </w:rPr>
        <w:t>万元（</w:t>
      </w:r>
      <w:r>
        <w:rPr>
          <w:rFonts w:hint="eastAsia" w:ascii="宋体" w:hAnsi="宋体" w:eastAsia="宋体" w:cs="宋体"/>
          <w:color w:val="auto"/>
          <w:kern w:val="2"/>
          <w:szCs w:val="21"/>
          <w:highlight w:val="none"/>
        </w:rPr>
        <w:t>其中分标</w:t>
      </w:r>
      <w:r>
        <w:rPr>
          <w:rFonts w:hint="eastAsia" w:ascii="宋体" w:hAnsi="宋体" w:eastAsia="宋体" w:cs="宋体"/>
          <w:color w:val="auto"/>
          <w:kern w:val="2"/>
          <w:szCs w:val="21"/>
          <w:highlight w:val="none"/>
          <w:lang w:val="en-US" w:eastAsia="zh-CN"/>
        </w:rPr>
        <w:t>1</w:t>
      </w:r>
      <w:r>
        <w:rPr>
          <w:rFonts w:hint="eastAsia" w:ascii="宋体" w:hAnsi="宋体" w:eastAsia="宋体" w:cs="宋体"/>
          <w:color w:val="auto"/>
          <w:kern w:val="2"/>
          <w:szCs w:val="21"/>
          <w:highlight w:val="none"/>
        </w:rPr>
        <w:t>：</w:t>
      </w:r>
      <w:r>
        <w:rPr>
          <w:rFonts w:hint="eastAsia" w:ascii="宋体" w:hAnsi="宋体" w:eastAsia="宋体" w:cs="宋体"/>
          <w:color w:val="auto"/>
          <w:kern w:val="2"/>
          <w:szCs w:val="21"/>
          <w:highlight w:val="none"/>
          <w:lang w:val="en-US" w:eastAsia="zh-CN"/>
        </w:rPr>
        <w:t>96.28</w:t>
      </w:r>
      <w:r>
        <w:rPr>
          <w:rFonts w:hint="eastAsia" w:ascii="宋体" w:hAnsi="宋体" w:eastAsia="宋体" w:cs="宋体"/>
          <w:color w:val="auto"/>
          <w:kern w:val="2"/>
          <w:szCs w:val="21"/>
          <w:highlight w:val="none"/>
        </w:rPr>
        <w:t>万元；分标</w:t>
      </w:r>
      <w:r>
        <w:rPr>
          <w:rFonts w:hint="eastAsia" w:ascii="宋体" w:hAnsi="宋体" w:eastAsia="宋体" w:cs="宋体"/>
          <w:color w:val="auto"/>
          <w:kern w:val="2"/>
          <w:szCs w:val="21"/>
          <w:highlight w:val="none"/>
          <w:lang w:val="en-US" w:eastAsia="zh-CN"/>
        </w:rPr>
        <w:t>2</w:t>
      </w:r>
      <w:r>
        <w:rPr>
          <w:rFonts w:hint="eastAsia" w:ascii="宋体" w:hAnsi="宋体" w:eastAsia="宋体" w:cs="宋体"/>
          <w:color w:val="auto"/>
          <w:kern w:val="2"/>
          <w:szCs w:val="21"/>
          <w:highlight w:val="none"/>
        </w:rPr>
        <w:t>：</w:t>
      </w:r>
      <w:r>
        <w:rPr>
          <w:rFonts w:hint="eastAsia" w:ascii="宋体" w:hAnsi="宋体" w:eastAsia="宋体" w:cs="宋体"/>
          <w:color w:val="auto"/>
          <w:kern w:val="2"/>
          <w:szCs w:val="21"/>
          <w:highlight w:val="none"/>
          <w:lang w:val="en-US" w:eastAsia="zh-CN"/>
        </w:rPr>
        <w:t>90.36</w:t>
      </w:r>
      <w:r>
        <w:rPr>
          <w:rFonts w:hint="eastAsia" w:ascii="宋体" w:hAnsi="宋体" w:eastAsia="宋体" w:cs="宋体"/>
          <w:color w:val="auto"/>
          <w:kern w:val="2"/>
          <w:szCs w:val="21"/>
          <w:highlight w:val="none"/>
        </w:rPr>
        <w:t>万元</w:t>
      </w:r>
      <w:r>
        <w:rPr>
          <w:rFonts w:hint="eastAsia" w:ascii="宋体" w:hAnsi="宋体" w:eastAsia="宋体" w:cs="宋体"/>
          <w:color w:val="auto"/>
          <w:kern w:val="2"/>
          <w:szCs w:val="21"/>
          <w:highlight w:val="none"/>
          <w:lang w:eastAsia="zh-CN"/>
        </w:rPr>
        <w:t>；</w:t>
      </w:r>
      <w:r>
        <w:rPr>
          <w:rFonts w:hint="eastAsia" w:ascii="宋体" w:hAnsi="宋体" w:eastAsia="宋体" w:cs="宋体"/>
          <w:color w:val="auto"/>
          <w:kern w:val="2"/>
          <w:szCs w:val="21"/>
          <w:highlight w:val="none"/>
        </w:rPr>
        <w:t>分标</w:t>
      </w:r>
      <w:r>
        <w:rPr>
          <w:rFonts w:hint="eastAsia" w:ascii="宋体" w:hAnsi="宋体" w:eastAsia="宋体" w:cs="宋体"/>
          <w:color w:val="auto"/>
          <w:kern w:val="2"/>
          <w:szCs w:val="21"/>
          <w:highlight w:val="none"/>
          <w:lang w:val="en-US" w:eastAsia="zh-CN"/>
        </w:rPr>
        <w:t>3</w:t>
      </w:r>
      <w:r>
        <w:rPr>
          <w:rFonts w:hint="eastAsia" w:ascii="宋体" w:hAnsi="宋体" w:eastAsia="宋体" w:cs="宋体"/>
          <w:color w:val="auto"/>
          <w:kern w:val="2"/>
          <w:szCs w:val="21"/>
          <w:highlight w:val="none"/>
        </w:rPr>
        <w:t>：</w:t>
      </w:r>
      <w:r>
        <w:rPr>
          <w:rFonts w:hint="eastAsia" w:ascii="宋体" w:hAnsi="宋体" w:eastAsia="宋体" w:cs="宋体"/>
          <w:color w:val="auto"/>
          <w:kern w:val="2"/>
          <w:szCs w:val="21"/>
          <w:highlight w:val="none"/>
          <w:lang w:val="en-US" w:eastAsia="zh-CN"/>
        </w:rPr>
        <w:t>60.00</w:t>
      </w:r>
      <w:r>
        <w:rPr>
          <w:rFonts w:hint="eastAsia" w:ascii="宋体" w:hAnsi="宋体" w:eastAsia="宋体" w:cs="宋体"/>
          <w:color w:val="auto"/>
          <w:kern w:val="2"/>
          <w:szCs w:val="21"/>
          <w:highlight w:val="none"/>
        </w:rPr>
        <w:t>万元</w:t>
      </w:r>
      <w:r>
        <w:rPr>
          <w:rFonts w:hint="eastAsia" w:ascii="宋体" w:hAnsi="宋体" w:eastAsia="宋体" w:cs="宋体"/>
          <w:color w:val="auto"/>
          <w:kern w:val="2"/>
          <w:szCs w:val="21"/>
          <w:highlight w:val="none"/>
          <w:lang w:eastAsia="zh-CN"/>
        </w:rPr>
        <w:t>；</w:t>
      </w:r>
      <w:r>
        <w:rPr>
          <w:rFonts w:hint="eastAsia" w:ascii="宋体" w:hAnsi="宋体" w:eastAsia="宋体" w:cs="宋体"/>
          <w:color w:val="auto"/>
          <w:kern w:val="2"/>
          <w:szCs w:val="21"/>
          <w:highlight w:val="none"/>
        </w:rPr>
        <w:t>分标</w:t>
      </w:r>
      <w:r>
        <w:rPr>
          <w:rFonts w:hint="eastAsia" w:ascii="宋体" w:hAnsi="宋体" w:eastAsia="宋体" w:cs="宋体"/>
          <w:color w:val="auto"/>
          <w:kern w:val="2"/>
          <w:szCs w:val="21"/>
          <w:highlight w:val="none"/>
          <w:lang w:val="en-US" w:eastAsia="zh-CN"/>
        </w:rPr>
        <w:t>4</w:t>
      </w:r>
      <w:r>
        <w:rPr>
          <w:rFonts w:hint="eastAsia" w:ascii="宋体" w:hAnsi="宋体" w:eastAsia="宋体" w:cs="宋体"/>
          <w:color w:val="auto"/>
          <w:kern w:val="2"/>
          <w:szCs w:val="21"/>
          <w:highlight w:val="none"/>
        </w:rPr>
        <w:t>：</w:t>
      </w:r>
      <w:r>
        <w:rPr>
          <w:rFonts w:hint="eastAsia" w:ascii="宋体" w:hAnsi="宋体" w:eastAsia="宋体" w:cs="宋体"/>
          <w:color w:val="auto"/>
          <w:kern w:val="2"/>
          <w:szCs w:val="21"/>
          <w:highlight w:val="none"/>
          <w:lang w:val="en-US" w:eastAsia="zh-CN"/>
        </w:rPr>
        <w:t>81.25</w:t>
      </w:r>
      <w:r>
        <w:rPr>
          <w:rFonts w:hint="eastAsia" w:ascii="宋体" w:hAnsi="宋体" w:eastAsia="宋体" w:cs="宋体"/>
          <w:color w:val="auto"/>
          <w:kern w:val="2"/>
          <w:szCs w:val="21"/>
          <w:highlight w:val="none"/>
        </w:rPr>
        <w:t>万元</w:t>
      </w:r>
      <w:r>
        <w:rPr>
          <w:rFonts w:hint="eastAsia" w:ascii="宋体" w:hAnsi="宋体" w:eastAsia="宋体" w:cs="宋体"/>
          <w:color w:val="auto"/>
          <w:kern w:val="2"/>
          <w:szCs w:val="21"/>
          <w:highlight w:val="none"/>
          <w:lang w:eastAsia="zh-CN"/>
        </w:rPr>
        <w:t>；</w:t>
      </w:r>
      <w:r>
        <w:rPr>
          <w:rFonts w:hint="eastAsia" w:ascii="宋体" w:hAnsi="宋体" w:eastAsia="宋体" w:cs="宋体"/>
          <w:color w:val="auto"/>
          <w:kern w:val="2"/>
          <w:szCs w:val="21"/>
          <w:highlight w:val="none"/>
        </w:rPr>
        <w:t>分标</w:t>
      </w:r>
      <w:r>
        <w:rPr>
          <w:rFonts w:hint="eastAsia" w:ascii="宋体" w:hAnsi="宋体" w:eastAsia="宋体" w:cs="宋体"/>
          <w:color w:val="auto"/>
          <w:kern w:val="2"/>
          <w:szCs w:val="21"/>
          <w:highlight w:val="none"/>
          <w:lang w:val="en-US" w:eastAsia="zh-CN"/>
        </w:rPr>
        <w:t>5</w:t>
      </w:r>
      <w:r>
        <w:rPr>
          <w:rFonts w:hint="eastAsia" w:ascii="宋体" w:hAnsi="宋体" w:eastAsia="宋体" w:cs="宋体"/>
          <w:color w:val="auto"/>
          <w:kern w:val="2"/>
          <w:szCs w:val="21"/>
          <w:highlight w:val="none"/>
        </w:rPr>
        <w:t>：</w:t>
      </w:r>
      <w:r>
        <w:rPr>
          <w:rFonts w:hint="eastAsia" w:ascii="宋体" w:hAnsi="宋体" w:eastAsia="宋体" w:cs="宋体"/>
          <w:color w:val="auto"/>
          <w:kern w:val="2"/>
          <w:szCs w:val="21"/>
          <w:highlight w:val="none"/>
          <w:lang w:val="en-US" w:eastAsia="zh-CN"/>
        </w:rPr>
        <w:t>88.04</w:t>
      </w:r>
      <w:r>
        <w:rPr>
          <w:rFonts w:hint="eastAsia" w:ascii="宋体" w:hAnsi="宋体" w:eastAsia="宋体" w:cs="宋体"/>
          <w:color w:val="auto"/>
          <w:kern w:val="2"/>
          <w:szCs w:val="21"/>
          <w:highlight w:val="none"/>
        </w:rPr>
        <w:t>万元</w:t>
      </w:r>
      <w:r>
        <w:rPr>
          <w:rFonts w:hint="eastAsia" w:ascii="宋体" w:hAnsi="宋体" w:eastAsia="宋体" w:cs="宋体"/>
          <w:color w:val="auto"/>
          <w:szCs w:val="21"/>
          <w:highlight w:val="none"/>
        </w:rPr>
        <w:t>）</w:t>
      </w:r>
      <w:r>
        <w:rPr>
          <w:rFonts w:hint="eastAsia" w:ascii="宋体" w:hAnsi="宋体" w:eastAsia="宋体" w:cs="宋体"/>
          <w:color w:val="auto"/>
          <w:sz w:val="21"/>
          <w:szCs w:val="21"/>
          <w:highlight w:val="none"/>
          <w:lang w:val="en-US" w:eastAsia="zh-CN"/>
        </w:rPr>
        <w:t xml:space="preserve">  </w:t>
      </w:r>
    </w:p>
    <w:p w14:paraId="3B5AFA3F">
      <w:pPr>
        <w:spacing w:line="336"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采购需求：</w:t>
      </w:r>
    </w:p>
    <w:tbl>
      <w:tblPr>
        <w:tblStyle w:val="61"/>
        <w:tblW w:w="9277" w:type="dxa"/>
        <w:jc w:val="center"/>
        <w:tblLayout w:type="fixed"/>
        <w:tblCellMar>
          <w:top w:w="0" w:type="dxa"/>
          <w:left w:w="10" w:type="dxa"/>
          <w:bottom w:w="0" w:type="dxa"/>
          <w:right w:w="10" w:type="dxa"/>
        </w:tblCellMar>
      </w:tblPr>
      <w:tblGrid>
        <w:gridCol w:w="1000"/>
        <w:gridCol w:w="2430"/>
        <w:gridCol w:w="720"/>
        <w:gridCol w:w="705"/>
        <w:gridCol w:w="4422"/>
      </w:tblGrid>
      <w:tr w14:paraId="53AB3D7A">
        <w:tblPrEx>
          <w:tblCellMar>
            <w:top w:w="0" w:type="dxa"/>
            <w:left w:w="10" w:type="dxa"/>
            <w:bottom w:w="0" w:type="dxa"/>
            <w:right w:w="10" w:type="dxa"/>
          </w:tblCellMar>
        </w:tblPrEx>
        <w:trPr>
          <w:trHeight w:val="605" w:hRule="atLeast"/>
          <w:jc w:val="center"/>
        </w:trPr>
        <w:tc>
          <w:tcPr>
            <w:tcW w:w="100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5C8A906D">
            <w:pPr>
              <w:widowControl/>
              <w:pBdr>
                <w:top w:val="none" w:color="000000" w:sz="0" w:space="0"/>
                <w:left w:val="none" w:color="000000" w:sz="0" w:space="0"/>
                <w:bottom w:val="none" w:color="000000" w:sz="0" w:space="0"/>
                <w:right w:val="none" w:color="000000" w:sz="0" w:space="0"/>
                <w:between w:val="none" w:color="000000" w:sz="0" w:space="0"/>
              </w:pBdr>
              <w:spacing w:line="336" w:lineRule="auto"/>
              <w:jc w:val="center"/>
              <w:rPr>
                <w:rFonts w:hint="eastAsia" w:ascii="宋体" w:hAnsi="宋体" w:eastAsia="宋体" w:cs="宋体"/>
                <w:b/>
                <w:bCs/>
                <w:color w:val="auto"/>
                <w:kern w:val="1"/>
                <w:szCs w:val="21"/>
                <w:highlight w:val="none"/>
              </w:rPr>
            </w:pPr>
            <w:r>
              <w:rPr>
                <w:rFonts w:hint="eastAsia" w:ascii="宋体" w:hAnsi="宋体" w:eastAsia="宋体" w:cs="宋体"/>
                <w:b/>
                <w:bCs/>
                <w:color w:val="auto"/>
                <w:kern w:val="1"/>
                <w:szCs w:val="21"/>
                <w:highlight w:val="none"/>
              </w:rPr>
              <w:t>分标号</w:t>
            </w:r>
          </w:p>
        </w:tc>
        <w:tc>
          <w:tcPr>
            <w:tcW w:w="243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5F8B78CC">
            <w:pPr>
              <w:widowControl/>
              <w:pBdr>
                <w:top w:val="none" w:color="000000" w:sz="0" w:space="0"/>
                <w:left w:val="none" w:color="000000" w:sz="0" w:space="0"/>
                <w:bottom w:val="none" w:color="000000" w:sz="0" w:space="0"/>
                <w:right w:val="none" w:color="000000" w:sz="0" w:space="0"/>
                <w:between w:val="none" w:color="000000" w:sz="0" w:space="0"/>
              </w:pBdr>
              <w:spacing w:line="336" w:lineRule="auto"/>
              <w:jc w:val="center"/>
              <w:rPr>
                <w:rFonts w:hint="eastAsia" w:ascii="宋体" w:hAnsi="宋体" w:eastAsia="宋体" w:cs="宋体"/>
                <w:b/>
                <w:bCs/>
                <w:color w:val="auto"/>
                <w:kern w:val="1"/>
                <w:szCs w:val="21"/>
                <w:highlight w:val="none"/>
              </w:rPr>
            </w:pPr>
            <w:r>
              <w:rPr>
                <w:rFonts w:hint="eastAsia" w:ascii="宋体" w:hAnsi="宋体" w:eastAsia="宋体" w:cs="宋体"/>
                <w:b/>
                <w:bCs/>
                <w:color w:val="auto"/>
                <w:kern w:val="1"/>
                <w:szCs w:val="21"/>
                <w:highlight w:val="none"/>
                <w:lang w:val="en-US" w:eastAsia="zh-CN"/>
              </w:rPr>
              <w:t>标的</w:t>
            </w:r>
            <w:r>
              <w:rPr>
                <w:rFonts w:hint="eastAsia" w:ascii="宋体" w:hAnsi="宋体" w:eastAsia="宋体" w:cs="宋体"/>
                <w:b/>
                <w:bCs/>
                <w:color w:val="auto"/>
                <w:kern w:val="1"/>
                <w:szCs w:val="21"/>
                <w:highlight w:val="none"/>
              </w:rPr>
              <w:t>名称</w:t>
            </w:r>
          </w:p>
        </w:tc>
        <w:tc>
          <w:tcPr>
            <w:tcW w:w="72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446B645D">
            <w:pPr>
              <w:widowControl/>
              <w:pBdr>
                <w:top w:val="none" w:color="000000" w:sz="0" w:space="0"/>
                <w:left w:val="none" w:color="000000" w:sz="0" w:space="0"/>
                <w:bottom w:val="none" w:color="000000" w:sz="0" w:space="0"/>
                <w:right w:val="none" w:color="000000" w:sz="0" w:space="0"/>
                <w:between w:val="none" w:color="000000" w:sz="0" w:space="0"/>
              </w:pBdr>
              <w:spacing w:line="336" w:lineRule="auto"/>
              <w:jc w:val="center"/>
              <w:rPr>
                <w:rFonts w:hint="eastAsia" w:ascii="宋体" w:hAnsi="宋体" w:eastAsia="宋体" w:cs="宋体"/>
                <w:b/>
                <w:bCs/>
                <w:color w:val="auto"/>
                <w:kern w:val="1"/>
                <w:szCs w:val="21"/>
                <w:highlight w:val="none"/>
              </w:rPr>
            </w:pPr>
            <w:r>
              <w:rPr>
                <w:rFonts w:hint="eastAsia" w:ascii="宋体" w:hAnsi="宋体" w:eastAsia="宋体" w:cs="宋体"/>
                <w:b/>
                <w:bCs/>
                <w:color w:val="auto"/>
                <w:kern w:val="1"/>
                <w:szCs w:val="21"/>
                <w:highlight w:val="none"/>
              </w:rPr>
              <w:t>数量</w:t>
            </w:r>
          </w:p>
        </w:tc>
        <w:tc>
          <w:tcPr>
            <w:tcW w:w="7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5FFA72C6">
            <w:pPr>
              <w:widowControl/>
              <w:pBdr>
                <w:top w:val="none" w:color="000000" w:sz="0" w:space="0"/>
                <w:left w:val="none" w:color="000000" w:sz="0" w:space="0"/>
                <w:bottom w:val="none" w:color="000000" w:sz="0" w:space="0"/>
                <w:right w:val="none" w:color="000000" w:sz="0" w:space="0"/>
                <w:between w:val="none" w:color="000000" w:sz="0" w:space="0"/>
              </w:pBdr>
              <w:spacing w:line="336" w:lineRule="auto"/>
              <w:jc w:val="center"/>
              <w:rPr>
                <w:rFonts w:hint="eastAsia" w:ascii="宋体" w:hAnsi="宋体" w:eastAsia="宋体" w:cs="宋体"/>
                <w:b/>
                <w:bCs/>
                <w:color w:val="auto"/>
                <w:kern w:val="1"/>
                <w:szCs w:val="21"/>
                <w:highlight w:val="none"/>
              </w:rPr>
            </w:pPr>
            <w:r>
              <w:rPr>
                <w:rFonts w:hint="eastAsia" w:ascii="宋体" w:hAnsi="宋体" w:eastAsia="宋体" w:cs="宋体"/>
                <w:b/>
                <w:bCs/>
                <w:color w:val="auto"/>
                <w:kern w:val="1"/>
                <w:szCs w:val="21"/>
                <w:highlight w:val="none"/>
              </w:rPr>
              <w:t>单位</w:t>
            </w:r>
          </w:p>
        </w:tc>
        <w:tc>
          <w:tcPr>
            <w:tcW w:w="442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532B4504">
            <w:pPr>
              <w:widowControl/>
              <w:pBdr>
                <w:top w:val="none" w:color="000000" w:sz="0" w:space="0"/>
                <w:left w:val="none" w:color="000000" w:sz="0" w:space="0"/>
                <w:bottom w:val="none" w:color="000000" w:sz="0" w:space="0"/>
                <w:right w:val="none" w:color="000000" w:sz="0" w:space="0"/>
                <w:between w:val="none" w:color="000000" w:sz="0" w:space="0"/>
              </w:pBdr>
              <w:spacing w:line="336" w:lineRule="auto"/>
              <w:jc w:val="center"/>
              <w:rPr>
                <w:rFonts w:hint="eastAsia" w:ascii="宋体" w:hAnsi="宋体" w:eastAsia="宋体" w:cs="宋体"/>
                <w:b/>
                <w:bCs/>
                <w:color w:val="auto"/>
                <w:kern w:val="1"/>
                <w:szCs w:val="21"/>
                <w:highlight w:val="none"/>
              </w:rPr>
            </w:pPr>
            <w:r>
              <w:rPr>
                <w:rFonts w:hint="eastAsia" w:ascii="宋体" w:hAnsi="宋体" w:eastAsia="宋体" w:cs="宋体"/>
                <w:b/>
                <w:bCs/>
                <w:color w:val="auto"/>
                <w:kern w:val="1"/>
                <w:szCs w:val="21"/>
                <w:highlight w:val="none"/>
              </w:rPr>
              <w:t>项目需求</w:t>
            </w:r>
          </w:p>
        </w:tc>
      </w:tr>
      <w:tr w14:paraId="2129C780">
        <w:tblPrEx>
          <w:tblCellMar>
            <w:top w:w="0" w:type="dxa"/>
            <w:left w:w="10" w:type="dxa"/>
            <w:bottom w:w="0" w:type="dxa"/>
            <w:right w:w="10" w:type="dxa"/>
          </w:tblCellMar>
        </w:tblPrEx>
        <w:trPr>
          <w:trHeight w:val="852" w:hRule="atLeast"/>
          <w:jc w:val="center"/>
        </w:trPr>
        <w:tc>
          <w:tcPr>
            <w:tcW w:w="100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720BC2BC">
            <w:pPr>
              <w:widowControl/>
              <w:adjustRightInd w:val="0"/>
              <w:snapToGrid w:val="0"/>
              <w:spacing w:line="336"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分标</w:t>
            </w:r>
            <w:r>
              <w:rPr>
                <w:rFonts w:hint="eastAsia" w:ascii="宋体" w:hAnsi="宋体" w:eastAsia="宋体" w:cs="宋体"/>
                <w:color w:val="auto"/>
                <w:kern w:val="0"/>
                <w:szCs w:val="21"/>
                <w:highlight w:val="none"/>
                <w:lang w:val="en-US" w:eastAsia="zh-CN"/>
              </w:rPr>
              <w:t>1</w:t>
            </w:r>
          </w:p>
        </w:tc>
        <w:tc>
          <w:tcPr>
            <w:tcW w:w="243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74D916E7">
            <w:pPr>
              <w:widowControl/>
              <w:adjustRightInd w:val="0"/>
              <w:snapToGrid w:val="0"/>
              <w:spacing w:line="336"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互花米草后期维护</w:t>
            </w:r>
          </w:p>
        </w:tc>
        <w:tc>
          <w:tcPr>
            <w:tcW w:w="72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64B13C84">
            <w:pPr>
              <w:widowControl/>
              <w:adjustRightInd w:val="0"/>
              <w:snapToGrid w:val="0"/>
              <w:spacing w:line="336"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w:t>
            </w:r>
          </w:p>
        </w:tc>
        <w:tc>
          <w:tcPr>
            <w:tcW w:w="7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3A24D5EF">
            <w:pPr>
              <w:widowControl/>
              <w:adjustRightInd w:val="0"/>
              <w:snapToGrid w:val="0"/>
              <w:spacing w:line="336"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项</w:t>
            </w:r>
          </w:p>
        </w:tc>
        <w:tc>
          <w:tcPr>
            <w:tcW w:w="442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778FC9D7">
            <w:pPr>
              <w:widowControl/>
              <w:adjustRightInd w:val="0"/>
              <w:snapToGrid w:val="0"/>
              <w:spacing w:line="336" w:lineRule="auto"/>
              <w:jc w:val="left"/>
              <w:rPr>
                <w:rFonts w:hint="eastAsia" w:ascii="宋体" w:hAnsi="宋体" w:eastAsia="宋体" w:cs="宋体"/>
                <w:color w:val="auto"/>
                <w:kern w:val="2"/>
                <w:szCs w:val="21"/>
                <w:highlight w:val="none"/>
              </w:rPr>
            </w:pPr>
            <w:r>
              <w:rPr>
                <w:rFonts w:hint="eastAsia" w:ascii="宋体" w:hAnsi="宋体" w:eastAsia="宋体" w:cs="宋体"/>
                <w:color w:val="auto"/>
                <w:spacing w:val="0"/>
                <w:sz w:val="21"/>
                <w:szCs w:val="21"/>
                <w:highlight w:val="none"/>
              </w:rPr>
              <w:t>对 2023 年实施的“2023 年中央财政林业草原生态保护恢复资金项目</w:t>
            </w:r>
            <w:r>
              <w:rPr>
                <w:rFonts w:hint="eastAsia" w:ascii="宋体" w:hAnsi="宋体" w:eastAsia="宋体" w:cs="宋体"/>
                <w:color w:val="auto"/>
                <w:sz w:val="21"/>
                <w:szCs w:val="21"/>
                <w:highlight w:val="none"/>
              </w:rPr>
              <w:t>—湿地保护与恢复项目”项目中</w:t>
            </w:r>
            <w:r>
              <w:rPr>
                <w:rFonts w:hint="eastAsia" w:ascii="宋体" w:hAnsi="宋体" w:eastAsia="宋体" w:cs="宋体"/>
                <w:color w:val="auto"/>
                <w:spacing w:val="0"/>
                <w:sz w:val="21"/>
                <w:szCs w:val="21"/>
                <w:highlight w:val="none"/>
              </w:rPr>
              <w:t xml:space="preserve"> </w:t>
            </w:r>
            <w:r>
              <w:rPr>
                <w:rFonts w:hint="eastAsia" w:ascii="宋体" w:hAnsi="宋体" w:eastAsia="宋体" w:cs="宋体"/>
                <w:color w:val="auto"/>
                <w:sz w:val="21"/>
                <w:szCs w:val="21"/>
                <w:highlight w:val="none"/>
              </w:rPr>
              <w:t>1125 亩互花米草清理地块采用人工清除的方式进行后期维护，并在林缘处进行胚轴插植</w:t>
            </w:r>
            <w:r>
              <w:rPr>
                <w:rFonts w:hint="eastAsia" w:ascii="宋体" w:hAnsi="宋体" w:eastAsia="宋体" w:cs="宋体"/>
                <w:color w:val="auto"/>
                <w:spacing w:val="0"/>
                <w:sz w:val="21"/>
                <w:szCs w:val="21"/>
                <w:highlight w:val="none"/>
              </w:rPr>
              <w:t xml:space="preserve"> 37.2 亩，布设警示标志牌 2块、插建高木桩 </w:t>
            </w:r>
            <w:r>
              <w:rPr>
                <w:rFonts w:hint="eastAsia" w:ascii="宋体" w:hAnsi="宋体" w:eastAsia="宋体" w:cs="宋体"/>
                <w:color w:val="auto"/>
                <w:spacing w:val="0"/>
                <w:sz w:val="21"/>
                <w:szCs w:val="21"/>
                <w:highlight w:val="none"/>
                <w:lang w:val="en-US" w:eastAsia="zh-CN"/>
              </w:rPr>
              <w:t>850</w:t>
            </w:r>
            <w:r>
              <w:rPr>
                <w:rFonts w:hint="eastAsia" w:ascii="宋体" w:hAnsi="宋体" w:eastAsia="宋体" w:cs="宋体"/>
                <w:color w:val="auto"/>
                <w:spacing w:val="0"/>
                <w:sz w:val="21"/>
                <w:szCs w:val="21"/>
                <w:highlight w:val="none"/>
              </w:rPr>
              <w:t xml:space="preserve"> 根、围防护网</w:t>
            </w:r>
            <w:r>
              <w:rPr>
                <w:rFonts w:hint="eastAsia" w:ascii="宋体" w:hAnsi="宋体" w:eastAsia="宋体" w:cs="宋体"/>
                <w:color w:val="auto"/>
                <w:spacing w:val="0"/>
                <w:sz w:val="21"/>
                <w:szCs w:val="21"/>
                <w:highlight w:val="none"/>
                <w:lang w:val="en-US" w:eastAsia="zh-CN"/>
              </w:rPr>
              <w:t>7100</w:t>
            </w:r>
            <w:r>
              <w:rPr>
                <w:rFonts w:hint="eastAsia" w:ascii="宋体" w:hAnsi="宋体" w:eastAsia="宋体" w:cs="宋体"/>
                <w:color w:val="auto"/>
                <w:spacing w:val="0"/>
                <w:sz w:val="21"/>
                <w:szCs w:val="21"/>
                <w:highlight w:val="none"/>
              </w:rPr>
              <w:t xml:space="preserve"> 平方米、</w:t>
            </w:r>
            <w:r>
              <w:rPr>
                <w:rFonts w:hint="eastAsia" w:ascii="宋体" w:hAnsi="宋体" w:eastAsia="宋体" w:cs="宋体"/>
                <w:color w:val="auto"/>
                <w:spacing w:val="0"/>
                <w:sz w:val="21"/>
                <w:szCs w:val="21"/>
                <w:highlight w:val="none"/>
                <w:lang w:val="en-US" w:eastAsia="zh-CN"/>
              </w:rPr>
              <w:t>做好</w:t>
            </w:r>
            <w:r>
              <w:rPr>
                <w:rFonts w:hint="eastAsia" w:ascii="宋体" w:hAnsi="宋体" w:eastAsia="宋体" w:cs="宋体"/>
                <w:color w:val="auto"/>
                <w:spacing w:val="0"/>
                <w:sz w:val="21"/>
                <w:szCs w:val="21"/>
                <w:highlight w:val="none"/>
              </w:rPr>
              <w:t>管护。</w:t>
            </w:r>
            <w:r>
              <w:rPr>
                <w:rFonts w:hint="eastAsia" w:ascii="宋体" w:hAnsi="宋体" w:eastAsia="宋体" w:cs="宋体"/>
                <w:color w:val="auto"/>
                <w:kern w:val="2"/>
                <w:szCs w:val="21"/>
                <w:highlight w:val="none"/>
              </w:rPr>
              <w:t>具体内容详见采购需求。</w:t>
            </w:r>
          </w:p>
        </w:tc>
      </w:tr>
      <w:tr w14:paraId="5F727780">
        <w:tblPrEx>
          <w:tblCellMar>
            <w:top w:w="0" w:type="dxa"/>
            <w:left w:w="10" w:type="dxa"/>
            <w:bottom w:w="0" w:type="dxa"/>
            <w:right w:w="10" w:type="dxa"/>
          </w:tblCellMar>
        </w:tblPrEx>
        <w:trPr>
          <w:trHeight w:val="473" w:hRule="atLeast"/>
          <w:jc w:val="center"/>
        </w:trPr>
        <w:tc>
          <w:tcPr>
            <w:tcW w:w="100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03546D25">
            <w:pPr>
              <w:widowControl/>
              <w:adjustRightInd w:val="0"/>
              <w:snapToGrid w:val="0"/>
              <w:spacing w:line="336"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分标</w:t>
            </w:r>
            <w:r>
              <w:rPr>
                <w:rFonts w:hint="eastAsia" w:ascii="宋体" w:hAnsi="宋体" w:eastAsia="宋体" w:cs="宋体"/>
                <w:color w:val="auto"/>
                <w:kern w:val="0"/>
                <w:szCs w:val="21"/>
                <w:highlight w:val="none"/>
                <w:lang w:val="en-US" w:eastAsia="zh-CN"/>
              </w:rPr>
              <w:t>2</w:t>
            </w:r>
          </w:p>
        </w:tc>
        <w:tc>
          <w:tcPr>
            <w:tcW w:w="243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276A55F6">
            <w:pPr>
              <w:widowControl/>
              <w:adjustRightInd w:val="0"/>
              <w:snapToGrid w:val="0"/>
              <w:spacing w:line="336"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滩涂环境清理</w:t>
            </w:r>
          </w:p>
        </w:tc>
        <w:tc>
          <w:tcPr>
            <w:tcW w:w="72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79E29BFA">
            <w:pPr>
              <w:widowControl/>
              <w:adjustRightInd w:val="0"/>
              <w:snapToGrid w:val="0"/>
              <w:spacing w:line="336"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w:t>
            </w:r>
          </w:p>
        </w:tc>
        <w:tc>
          <w:tcPr>
            <w:tcW w:w="7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607497DA">
            <w:pPr>
              <w:widowControl/>
              <w:adjustRightInd w:val="0"/>
              <w:snapToGrid w:val="0"/>
              <w:spacing w:line="336"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项</w:t>
            </w:r>
          </w:p>
        </w:tc>
        <w:tc>
          <w:tcPr>
            <w:tcW w:w="442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013D110E">
            <w:pPr>
              <w:widowControl/>
              <w:adjustRightInd w:val="0"/>
              <w:snapToGrid w:val="0"/>
              <w:spacing w:line="336" w:lineRule="auto"/>
              <w:jc w:val="left"/>
              <w:rPr>
                <w:rFonts w:hint="eastAsia" w:ascii="宋体" w:hAnsi="宋体" w:eastAsia="宋体" w:cs="宋体"/>
                <w:color w:val="auto"/>
                <w:kern w:val="2"/>
                <w:szCs w:val="21"/>
                <w:highlight w:val="none"/>
              </w:rPr>
            </w:pPr>
            <w:r>
              <w:rPr>
                <w:rFonts w:hint="eastAsia" w:ascii="宋体" w:hAnsi="宋体" w:eastAsia="宋体" w:cs="宋体"/>
                <w:color w:val="auto"/>
                <w:spacing w:val="0"/>
                <w:sz w:val="21"/>
                <w:szCs w:val="21"/>
                <w:highlight w:val="none"/>
              </w:rPr>
              <w:t>在廉州湾片区新田村、渔江村和莫屋村等 8.22</w:t>
            </w:r>
            <w:r>
              <w:rPr>
                <w:rFonts w:hint="eastAsia" w:ascii="宋体" w:hAnsi="宋体" w:eastAsia="宋体" w:cs="宋体"/>
                <w:color w:val="auto"/>
                <w:spacing w:val="0"/>
                <w:w w:val="100"/>
                <w:sz w:val="21"/>
                <w:szCs w:val="21"/>
                <w:highlight w:val="none"/>
              </w:rPr>
              <w:t xml:space="preserve"> </w:t>
            </w:r>
            <w:r>
              <w:rPr>
                <w:rFonts w:hint="eastAsia" w:ascii="宋体" w:hAnsi="宋体" w:eastAsia="宋体" w:cs="宋体"/>
                <w:color w:val="auto"/>
                <w:spacing w:val="0"/>
                <w:sz w:val="21"/>
                <w:szCs w:val="21"/>
                <w:highlight w:val="none"/>
              </w:rPr>
              <w:t>公里岸线滩涂进行清理，在《广西壮族自治区自然保护地整合优化方案》批复后对海岸海洋漂浮物进行清理及外运，清理鱼箔、地笼网、高压水枪抽沙虫，“ 三无”船只等。</w:t>
            </w:r>
            <w:r>
              <w:rPr>
                <w:rFonts w:hint="eastAsia" w:ascii="宋体" w:hAnsi="宋体" w:eastAsia="宋体" w:cs="宋体"/>
                <w:color w:val="auto"/>
                <w:kern w:val="2"/>
                <w:szCs w:val="21"/>
                <w:highlight w:val="none"/>
              </w:rPr>
              <w:t>具体内容详见采购需求。</w:t>
            </w:r>
          </w:p>
        </w:tc>
      </w:tr>
      <w:tr w14:paraId="05E1F377">
        <w:tblPrEx>
          <w:tblCellMar>
            <w:top w:w="0" w:type="dxa"/>
            <w:left w:w="10" w:type="dxa"/>
            <w:bottom w:w="0" w:type="dxa"/>
            <w:right w:w="10" w:type="dxa"/>
          </w:tblCellMar>
        </w:tblPrEx>
        <w:trPr>
          <w:trHeight w:val="473" w:hRule="atLeast"/>
          <w:jc w:val="center"/>
        </w:trPr>
        <w:tc>
          <w:tcPr>
            <w:tcW w:w="100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59B54167">
            <w:pPr>
              <w:widowControl/>
              <w:adjustRightInd w:val="0"/>
              <w:snapToGrid w:val="0"/>
              <w:spacing w:line="336"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分标</w:t>
            </w:r>
            <w:r>
              <w:rPr>
                <w:rFonts w:hint="eastAsia" w:ascii="宋体" w:hAnsi="宋体" w:eastAsia="宋体" w:cs="宋体"/>
                <w:color w:val="auto"/>
                <w:kern w:val="0"/>
                <w:szCs w:val="21"/>
                <w:highlight w:val="none"/>
                <w:lang w:val="en-US" w:eastAsia="zh-CN"/>
              </w:rPr>
              <w:t>3</w:t>
            </w:r>
          </w:p>
        </w:tc>
        <w:tc>
          <w:tcPr>
            <w:tcW w:w="243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7B2002E1">
            <w:pPr>
              <w:widowControl/>
              <w:adjustRightInd w:val="0"/>
              <w:snapToGrid w:val="0"/>
              <w:spacing w:line="336"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拆除滩涂废弃养殖设施</w:t>
            </w:r>
          </w:p>
        </w:tc>
        <w:tc>
          <w:tcPr>
            <w:tcW w:w="72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1786B1E6">
            <w:pPr>
              <w:widowControl/>
              <w:adjustRightInd w:val="0"/>
              <w:snapToGrid w:val="0"/>
              <w:spacing w:line="336"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w:t>
            </w:r>
          </w:p>
        </w:tc>
        <w:tc>
          <w:tcPr>
            <w:tcW w:w="7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566A56EB">
            <w:pPr>
              <w:widowControl/>
              <w:adjustRightInd w:val="0"/>
              <w:snapToGrid w:val="0"/>
              <w:spacing w:line="336"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项</w:t>
            </w:r>
          </w:p>
        </w:tc>
        <w:tc>
          <w:tcPr>
            <w:tcW w:w="442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6EC92A03">
            <w:pPr>
              <w:widowControl/>
              <w:adjustRightInd w:val="0"/>
              <w:snapToGrid w:val="0"/>
              <w:spacing w:before="0" w:line="336" w:lineRule="auto"/>
              <w:ind w:left="0" w:right="0" w:firstLine="0"/>
              <w:jc w:val="left"/>
              <w:rPr>
                <w:rFonts w:hint="eastAsia" w:ascii="宋体" w:hAnsi="宋体" w:eastAsia="宋体" w:cs="宋体"/>
                <w:color w:val="auto"/>
                <w:kern w:val="0"/>
                <w:szCs w:val="21"/>
                <w:highlight w:val="none"/>
              </w:rPr>
            </w:pPr>
            <w:r>
              <w:rPr>
                <w:rFonts w:hint="eastAsia" w:ascii="宋体" w:hAnsi="宋体" w:eastAsia="宋体" w:cs="宋体"/>
                <w:color w:val="auto"/>
                <w:spacing w:val="0"/>
                <w:sz w:val="21"/>
                <w:szCs w:val="21"/>
                <w:highlight w:val="none"/>
              </w:rPr>
              <w:t>在《广西壮族自治区自然保护地整合优化方案》批复后对山口保护区廉州湾片区的 100 亩海域滩涂废弃养殖设施（含蚝排、蚝桩、螺场）进行清理。</w:t>
            </w:r>
            <w:r>
              <w:rPr>
                <w:rFonts w:hint="eastAsia" w:ascii="宋体" w:hAnsi="宋体" w:eastAsia="宋体" w:cs="宋体"/>
                <w:color w:val="auto"/>
                <w:kern w:val="2"/>
                <w:szCs w:val="21"/>
                <w:highlight w:val="none"/>
              </w:rPr>
              <w:t>具体内容详见采购需求。</w:t>
            </w:r>
          </w:p>
        </w:tc>
      </w:tr>
      <w:tr w14:paraId="2E0165AA">
        <w:tblPrEx>
          <w:tblCellMar>
            <w:top w:w="0" w:type="dxa"/>
            <w:left w:w="10" w:type="dxa"/>
            <w:bottom w:w="0" w:type="dxa"/>
            <w:right w:w="10" w:type="dxa"/>
          </w:tblCellMar>
        </w:tblPrEx>
        <w:trPr>
          <w:trHeight w:val="473" w:hRule="atLeast"/>
          <w:jc w:val="center"/>
        </w:trPr>
        <w:tc>
          <w:tcPr>
            <w:tcW w:w="100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10C46E10">
            <w:pPr>
              <w:widowControl/>
              <w:adjustRightInd w:val="0"/>
              <w:snapToGrid w:val="0"/>
              <w:spacing w:line="336"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分标</w:t>
            </w:r>
            <w:r>
              <w:rPr>
                <w:rFonts w:hint="eastAsia" w:ascii="宋体" w:hAnsi="宋体" w:eastAsia="宋体" w:cs="宋体"/>
                <w:color w:val="auto"/>
                <w:kern w:val="0"/>
                <w:szCs w:val="21"/>
                <w:highlight w:val="none"/>
                <w:lang w:val="en-US" w:eastAsia="zh-CN"/>
              </w:rPr>
              <w:t>4</w:t>
            </w:r>
          </w:p>
        </w:tc>
        <w:tc>
          <w:tcPr>
            <w:tcW w:w="243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4C43BF89">
            <w:pPr>
              <w:widowControl/>
              <w:adjustRightInd w:val="0"/>
              <w:snapToGrid w:val="0"/>
              <w:spacing w:line="336" w:lineRule="auto"/>
              <w:jc w:val="center"/>
              <w:rPr>
                <w:rFonts w:hint="eastAsia" w:ascii="宋体" w:hAnsi="宋体" w:eastAsia="宋体" w:cs="宋体"/>
                <w:color w:val="auto"/>
                <w:kern w:val="0"/>
                <w:szCs w:val="21"/>
                <w:highlight w:val="none"/>
              </w:rPr>
            </w:pPr>
            <w:r>
              <w:rPr>
                <w:rFonts w:hint="eastAsia" w:ascii="宋体" w:hAnsi="宋体" w:eastAsia="宋体" w:cs="宋体"/>
                <w:b w:val="0"/>
                <w:bCs w:val="0"/>
                <w:color w:val="auto"/>
                <w:spacing w:val="0"/>
                <w:kern w:val="0"/>
                <w:sz w:val="21"/>
                <w:szCs w:val="21"/>
                <w:highlight w:val="none"/>
              </w:rPr>
              <w:t>红树林病虫害防治</w:t>
            </w:r>
          </w:p>
        </w:tc>
        <w:tc>
          <w:tcPr>
            <w:tcW w:w="72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21B44B97">
            <w:pPr>
              <w:widowControl/>
              <w:adjustRightInd w:val="0"/>
              <w:snapToGrid w:val="0"/>
              <w:spacing w:line="336"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w:t>
            </w:r>
          </w:p>
        </w:tc>
        <w:tc>
          <w:tcPr>
            <w:tcW w:w="7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2B06BBB0">
            <w:pPr>
              <w:widowControl/>
              <w:adjustRightInd w:val="0"/>
              <w:snapToGrid w:val="0"/>
              <w:spacing w:line="336"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项</w:t>
            </w:r>
          </w:p>
        </w:tc>
        <w:tc>
          <w:tcPr>
            <w:tcW w:w="442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6DE8DFAE">
            <w:pPr>
              <w:widowControl/>
              <w:adjustRightInd w:val="0"/>
              <w:snapToGrid w:val="0"/>
              <w:spacing w:line="336" w:lineRule="auto"/>
              <w:jc w:val="left"/>
              <w:rPr>
                <w:rFonts w:hint="eastAsia" w:ascii="宋体" w:hAnsi="宋体" w:eastAsia="宋体" w:cs="宋体"/>
                <w:color w:val="auto"/>
                <w:kern w:val="0"/>
                <w:szCs w:val="21"/>
                <w:highlight w:val="none"/>
              </w:rPr>
            </w:pPr>
            <w:r>
              <w:rPr>
                <w:rFonts w:hint="eastAsia" w:ascii="宋体" w:hAnsi="宋体" w:eastAsia="宋体" w:cs="宋体"/>
                <w:color w:val="auto"/>
                <w:spacing w:val="0"/>
                <w:sz w:val="21"/>
                <w:szCs w:val="21"/>
                <w:highlight w:val="none"/>
              </w:rPr>
              <w:t>在山口保护区的廉州湾片区、铁山港片区、丹兜海片区和英罗港片区，采用无人机投放赤眼蜂卵球、喷洒对环境和生物无害的极小颗粒悬浮物等方式防治红树林</w:t>
            </w:r>
            <w:r>
              <w:rPr>
                <w:rFonts w:hint="eastAsia" w:ascii="宋体" w:hAnsi="宋体" w:eastAsia="宋体" w:cs="宋体"/>
                <w:color w:val="auto"/>
                <w:spacing w:val="0"/>
                <w:sz w:val="21"/>
                <w:szCs w:val="21"/>
                <w:highlight w:val="none"/>
                <w:lang w:val="en-US" w:eastAsia="zh-CN"/>
              </w:rPr>
              <w:t>病</w:t>
            </w:r>
            <w:r>
              <w:rPr>
                <w:rFonts w:hint="eastAsia" w:ascii="宋体" w:hAnsi="宋体" w:eastAsia="宋体" w:cs="宋体"/>
                <w:color w:val="auto"/>
                <w:spacing w:val="0"/>
                <w:sz w:val="21"/>
                <w:szCs w:val="21"/>
                <w:highlight w:val="none"/>
              </w:rPr>
              <w:t>虫害，面积 6500 亩，其中廉州湾片区和铁山港片区的病虫害防治工作在《广西壮族自治区自然保护地整合优化方案》批复后开始实施。</w:t>
            </w:r>
            <w:r>
              <w:rPr>
                <w:rFonts w:hint="eastAsia" w:ascii="宋体" w:hAnsi="宋体" w:eastAsia="宋体" w:cs="宋体"/>
                <w:color w:val="auto"/>
                <w:kern w:val="2"/>
                <w:szCs w:val="21"/>
                <w:highlight w:val="none"/>
              </w:rPr>
              <w:t>具体内容详见采购需求。</w:t>
            </w:r>
          </w:p>
        </w:tc>
      </w:tr>
      <w:tr w14:paraId="2A2E9915">
        <w:tblPrEx>
          <w:tblCellMar>
            <w:top w:w="0" w:type="dxa"/>
            <w:left w:w="10" w:type="dxa"/>
            <w:bottom w:w="0" w:type="dxa"/>
            <w:right w:w="10" w:type="dxa"/>
          </w:tblCellMar>
        </w:tblPrEx>
        <w:trPr>
          <w:trHeight w:val="473" w:hRule="atLeast"/>
          <w:jc w:val="center"/>
        </w:trPr>
        <w:tc>
          <w:tcPr>
            <w:tcW w:w="100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47E39006">
            <w:pPr>
              <w:widowControl/>
              <w:adjustRightInd w:val="0"/>
              <w:snapToGrid w:val="0"/>
              <w:spacing w:line="336"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分标</w:t>
            </w:r>
            <w:r>
              <w:rPr>
                <w:rFonts w:hint="eastAsia" w:ascii="宋体" w:hAnsi="宋体" w:eastAsia="宋体" w:cs="宋体"/>
                <w:color w:val="auto"/>
                <w:kern w:val="0"/>
                <w:szCs w:val="21"/>
                <w:highlight w:val="none"/>
                <w:lang w:val="en-US" w:eastAsia="zh-CN"/>
              </w:rPr>
              <w:t>5</w:t>
            </w:r>
          </w:p>
        </w:tc>
        <w:tc>
          <w:tcPr>
            <w:tcW w:w="243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63EC91DF">
            <w:pPr>
              <w:widowControl/>
              <w:adjustRightInd w:val="0"/>
              <w:snapToGrid w:val="0"/>
              <w:spacing w:line="336"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巡护管护</w:t>
            </w:r>
          </w:p>
        </w:tc>
        <w:tc>
          <w:tcPr>
            <w:tcW w:w="72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23DB4592">
            <w:pPr>
              <w:widowControl/>
              <w:adjustRightInd w:val="0"/>
              <w:snapToGrid w:val="0"/>
              <w:spacing w:line="336"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w:t>
            </w:r>
          </w:p>
        </w:tc>
        <w:tc>
          <w:tcPr>
            <w:tcW w:w="7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26FA8F44">
            <w:pPr>
              <w:widowControl/>
              <w:adjustRightInd w:val="0"/>
              <w:snapToGrid w:val="0"/>
              <w:spacing w:line="336"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项</w:t>
            </w:r>
          </w:p>
        </w:tc>
        <w:tc>
          <w:tcPr>
            <w:tcW w:w="442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20710A99">
            <w:pPr>
              <w:widowControl/>
              <w:adjustRightInd w:val="0"/>
              <w:snapToGrid w:val="0"/>
              <w:spacing w:line="336" w:lineRule="auto"/>
              <w:jc w:val="left"/>
              <w:rPr>
                <w:rFonts w:hint="eastAsia" w:ascii="宋体" w:hAnsi="宋体" w:eastAsia="宋体" w:cs="宋体"/>
                <w:color w:val="auto"/>
                <w:kern w:val="0"/>
                <w:szCs w:val="21"/>
                <w:highlight w:val="none"/>
              </w:rPr>
            </w:pPr>
            <w:r>
              <w:rPr>
                <w:rFonts w:hint="eastAsia" w:ascii="宋体" w:hAnsi="宋体" w:eastAsia="宋体" w:cs="宋体"/>
                <w:color w:val="auto"/>
                <w:spacing w:val="0"/>
                <w:sz w:val="21"/>
                <w:szCs w:val="21"/>
                <w:highlight w:val="none"/>
              </w:rPr>
              <w:t>对山口保护区红树林资源</w:t>
            </w:r>
            <w:r>
              <w:rPr>
                <w:rFonts w:hint="eastAsia" w:ascii="宋体" w:hAnsi="宋体" w:eastAsia="宋体" w:cs="宋体"/>
                <w:color w:val="auto"/>
                <w:highlight w:val="none"/>
                <w:lang w:val="en-US" w:eastAsia="zh-CN"/>
              </w:rPr>
              <w:t>提供</w:t>
            </w:r>
            <w:r>
              <w:rPr>
                <w:rFonts w:hint="eastAsia" w:ascii="宋体" w:hAnsi="宋体" w:eastAsia="宋体" w:cs="宋体"/>
                <w:color w:val="auto"/>
                <w:spacing w:val="0"/>
                <w:sz w:val="21"/>
                <w:szCs w:val="21"/>
                <w:highlight w:val="none"/>
                <w:lang w:val="en-US" w:eastAsia="zh-CN"/>
              </w:rPr>
              <w:t>巡护管护服务</w:t>
            </w:r>
            <w:r>
              <w:rPr>
                <w:rFonts w:hint="eastAsia" w:ascii="宋体" w:hAnsi="宋体" w:eastAsia="宋体" w:cs="宋体"/>
                <w:color w:val="auto"/>
                <w:spacing w:val="0"/>
                <w:sz w:val="21"/>
                <w:szCs w:val="21"/>
                <w:highlight w:val="none"/>
              </w:rPr>
              <w:t>。</w:t>
            </w:r>
            <w:r>
              <w:rPr>
                <w:rFonts w:hint="eastAsia" w:ascii="宋体" w:hAnsi="宋体" w:eastAsia="宋体" w:cs="宋体"/>
                <w:color w:val="auto"/>
                <w:kern w:val="2"/>
                <w:szCs w:val="21"/>
                <w:highlight w:val="none"/>
              </w:rPr>
              <w:t>具体内容详见采购需求。</w:t>
            </w:r>
          </w:p>
        </w:tc>
      </w:tr>
    </w:tbl>
    <w:p w14:paraId="1BF3D69E">
      <w:pPr>
        <w:spacing w:line="400" w:lineRule="exact"/>
        <w:ind w:firstLine="420" w:firstLineChars="200"/>
        <w:rPr>
          <w:rFonts w:hint="eastAsia" w:ascii="宋体" w:hAnsi="宋体" w:eastAsia="宋体" w:cs="宋体"/>
          <w:b w:val="0"/>
          <w:color w:val="auto"/>
          <w:kern w:val="0"/>
          <w:sz w:val="21"/>
          <w:szCs w:val="21"/>
          <w:highlight w:val="none"/>
        </w:rPr>
      </w:pPr>
      <w:r>
        <w:rPr>
          <w:rFonts w:hint="eastAsia" w:ascii="宋体" w:hAnsi="宋体" w:eastAsia="宋体" w:cs="宋体"/>
          <w:b w:val="0"/>
          <w:color w:val="auto"/>
          <w:kern w:val="0"/>
          <w:sz w:val="21"/>
          <w:szCs w:val="21"/>
          <w:highlight w:val="none"/>
        </w:rPr>
        <w:t>注：投标人可以对所有分标进行投标，也可以选择某个分标</w:t>
      </w:r>
      <w:r>
        <w:rPr>
          <w:rFonts w:hint="eastAsia" w:ascii="宋体" w:hAnsi="宋体" w:eastAsia="宋体" w:cs="宋体"/>
          <w:b w:val="0"/>
          <w:color w:val="auto"/>
          <w:kern w:val="0"/>
          <w:sz w:val="21"/>
          <w:szCs w:val="21"/>
          <w:highlight w:val="none"/>
          <w:lang w:val="en-US" w:eastAsia="zh-CN"/>
        </w:rPr>
        <w:t>单独进行投标</w:t>
      </w:r>
      <w:r>
        <w:rPr>
          <w:rFonts w:hint="eastAsia" w:ascii="宋体" w:hAnsi="宋体" w:eastAsia="宋体" w:cs="宋体"/>
          <w:b w:val="0"/>
          <w:color w:val="auto"/>
          <w:kern w:val="0"/>
          <w:sz w:val="21"/>
          <w:szCs w:val="21"/>
          <w:highlight w:val="none"/>
        </w:rPr>
        <w:t>。为保证履约质量，一个投标人只能</w:t>
      </w:r>
      <w:r>
        <w:rPr>
          <w:rFonts w:hint="eastAsia" w:ascii="宋体" w:hAnsi="宋体" w:eastAsia="宋体" w:cs="宋体"/>
          <w:b w:val="0"/>
          <w:color w:val="auto"/>
          <w:kern w:val="0"/>
          <w:sz w:val="21"/>
          <w:szCs w:val="21"/>
          <w:highlight w:val="none"/>
          <w:lang w:val="en-US" w:eastAsia="zh-CN"/>
        </w:rPr>
        <w:t>在</w:t>
      </w:r>
      <w:r>
        <w:rPr>
          <w:rFonts w:hint="eastAsia" w:ascii="宋体" w:hAnsi="宋体" w:eastAsia="宋体" w:cs="宋体"/>
          <w:b w:val="0"/>
          <w:color w:val="auto"/>
          <w:kern w:val="0"/>
          <w:sz w:val="21"/>
          <w:szCs w:val="21"/>
          <w:highlight w:val="none"/>
        </w:rPr>
        <w:t>其中一个分标中</w:t>
      </w:r>
      <w:r>
        <w:rPr>
          <w:rFonts w:hint="eastAsia" w:ascii="宋体" w:hAnsi="宋体" w:eastAsia="宋体" w:cs="宋体"/>
          <w:b w:val="0"/>
          <w:color w:val="auto"/>
          <w:kern w:val="0"/>
          <w:sz w:val="21"/>
          <w:szCs w:val="21"/>
          <w:highlight w:val="none"/>
          <w:lang w:val="en-US" w:eastAsia="zh-CN"/>
        </w:rPr>
        <w:t>标</w:t>
      </w:r>
      <w:r>
        <w:rPr>
          <w:rFonts w:hint="eastAsia" w:ascii="宋体" w:hAnsi="宋体" w:eastAsia="宋体" w:cs="宋体"/>
          <w:b w:val="0"/>
          <w:color w:val="auto"/>
          <w:kern w:val="0"/>
          <w:sz w:val="21"/>
          <w:szCs w:val="21"/>
          <w:highlight w:val="none"/>
        </w:rPr>
        <w:t>。评标/中标顺序按分标</w:t>
      </w:r>
      <w:r>
        <w:rPr>
          <w:rFonts w:hint="eastAsia" w:ascii="宋体" w:hAnsi="宋体" w:eastAsia="宋体" w:cs="宋体"/>
          <w:b w:val="0"/>
          <w:color w:val="auto"/>
          <w:kern w:val="0"/>
          <w:sz w:val="21"/>
          <w:szCs w:val="21"/>
          <w:highlight w:val="none"/>
          <w:lang w:val="en-US" w:eastAsia="zh-CN"/>
        </w:rPr>
        <w:t>1</w:t>
      </w:r>
      <w:r>
        <w:rPr>
          <w:rFonts w:hint="eastAsia" w:ascii="宋体" w:hAnsi="宋体" w:eastAsia="宋体" w:cs="宋体"/>
          <w:b w:val="0"/>
          <w:color w:val="auto"/>
          <w:kern w:val="0"/>
          <w:sz w:val="21"/>
          <w:szCs w:val="21"/>
          <w:highlight w:val="none"/>
        </w:rPr>
        <w:t>→分标</w:t>
      </w:r>
      <w:r>
        <w:rPr>
          <w:rFonts w:hint="eastAsia" w:ascii="宋体" w:hAnsi="宋体" w:eastAsia="宋体" w:cs="宋体"/>
          <w:b w:val="0"/>
          <w:color w:val="auto"/>
          <w:kern w:val="0"/>
          <w:sz w:val="21"/>
          <w:szCs w:val="21"/>
          <w:highlight w:val="none"/>
          <w:lang w:val="en-US" w:eastAsia="zh-CN"/>
        </w:rPr>
        <w:t>2</w:t>
      </w:r>
      <w:r>
        <w:rPr>
          <w:rFonts w:hint="eastAsia" w:ascii="宋体" w:hAnsi="宋体" w:eastAsia="宋体" w:cs="宋体"/>
          <w:b w:val="0"/>
          <w:color w:val="auto"/>
          <w:kern w:val="0"/>
          <w:sz w:val="21"/>
          <w:szCs w:val="21"/>
          <w:highlight w:val="none"/>
        </w:rPr>
        <w:t>→分标</w:t>
      </w:r>
      <w:r>
        <w:rPr>
          <w:rFonts w:hint="eastAsia" w:ascii="宋体" w:hAnsi="宋体" w:eastAsia="宋体" w:cs="宋体"/>
          <w:b w:val="0"/>
          <w:color w:val="auto"/>
          <w:kern w:val="0"/>
          <w:sz w:val="21"/>
          <w:szCs w:val="21"/>
          <w:highlight w:val="none"/>
          <w:lang w:val="en-US" w:eastAsia="zh-CN"/>
        </w:rPr>
        <w:t>3</w:t>
      </w:r>
      <w:r>
        <w:rPr>
          <w:rFonts w:hint="eastAsia" w:ascii="宋体" w:hAnsi="宋体" w:eastAsia="宋体" w:cs="宋体"/>
          <w:b w:val="0"/>
          <w:color w:val="auto"/>
          <w:kern w:val="0"/>
          <w:sz w:val="21"/>
          <w:szCs w:val="21"/>
          <w:highlight w:val="none"/>
        </w:rPr>
        <w:t>→分标</w:t>
      </w:r>
      <w:r>
        <w:rPr>
          <w:rFonts w:hint="eastAsia" w:ascii="宋体" w:hAnsi="宋体" w:eastAsia="宋体" w:cs="宋体"/>
          <w:b w:val="0"/>
          <w:color w:val="auto"/>
          <w:kern w:val="0"/>
          <w:sz w:val="21"/>
          <w:szCs w:val="21"/>
          <w:highlight w:val="none"/>
          <w:lang w:val="en-US" w:eastAsia="zh-CN"/>
        </w:rPr>
        <w:t>4</w:t>
      </w:r>
      <w:r>
        <w:rPr>
          <w:rFonts w:hint="eastAsia" w:ascii="宋体" w:hAnsi="宋体" w:eastAsia="宋体" w:cs="宋体"/>
          <w:b w:val="0"/>
          <w:color w:val="auto"/>
          <w:kern w:val="0"/>
          <w:sz w:val="21"/>
          <w:szCs w:val="21"/>
          <w:highlight w:val="none"/>
        </w:rPr>
        <w:t>→分标</w:t>
      </w:r>
      <w:r>
        <w:rPr>
          <w:rFonts w:hint="eastAsia" w:ascii="宋体" w:hAnsi="宋体" w:eastAsia="宋体" w:cs="宋体"/>
          <w:b w:val="0"/>
          <w:color w:val="auto"/>
          <w:kern w:val="0"/>
          <w:sz w:val="21"/>
          <w:szCs w:val="21"/>
          <w:highlight w:val="none"/>
          <w:lang w:val="en-US" w:eastAsia="zh-CN"/>
        </w:rPr>
        <w:t>5</w:t>
      </w:r>
      <w:r>
        <w:rPr>
          <w:rFonts w:hint="eastAsia" w:ascii="宋体" w:hAnsi="宋体" w:eastAsia="宋体" w:cs="宋体"/>
          <w:b w:val="0"/>
          <w:color w:val="auto"/>
          <w:kern w:val="0"/>
          <w:sz w:val="21"/>
          <w:szCs w:val="21"/>
          <w:highlight w:val="none"/>
        </w:rPr>
        <w:t>顺推。(即</w:t>
      </w:r>
      <w:r>
        <w:rPr>
          <w:rFonts w:hint="eastAsia" w:ascii="宋体" w:hAnsi="宋体" w:eastAsia="宋体" w:cs="宋体"/>
          <w:b w:val="0"/>
          <w:color w:val="auto"/>
          <w:kern w:val="0"/>
          <w:sz w:val="21"/>
          <w:szCs w:val="21"/>
          <w:highlight w:val="none"/>
          <w:lang w:val="en-US" w:eastAsia="zh-CN"/>
        </w:rPr>
        <w:t>在</w:t>
      </w:r>
      <w:r>
        <w:rPr>
          <w:rFonts w:hint="eastAsia" w:ascii="宋体" w:hAnsi="宋体" w:eastAsia="宋体" w:cs="宋体"/>
          <w:b w:val="0"/>
          <w:color w:val="auto"/>
          <w:kern w:val="0"/>
          <w:sz w:val="21"/>
          <w:szCs w:val="21"/>
          <w:highlight w:val="none"/>
        </w:rPr>
        <w:t>分标</w:t>
      </w:r>
      <w:r>
        <w:rPr>
          <w:rFonts w:hint="eastAsia" w:ascii="宋体" w:hAnsi="宋体" w:eastAsia="宋体" w:cs="宋体"/>
          <w:b w:val="0"/>
          <w:color w:val="auto"/>
          <w:kern w:val="0"/>
          <w:sz w:val="21"/>
          <w:szCs w:val="21"/>
          <w:highlight w:val="none"/>
          <w:lang w:val="en-US" w:eastAsia="zh-CN"/>
        </w:rPr>
        <w:t>1中标</w:t>
      </w:r>
      <w:r>
        <w:rPr>
          <w:rFonts w:hint="eastAsia" w:ascii="宋体" w:hAnsi="宋体" w:eastAsia="宋体" w:cs="宋体"/>
          <w:b w:val="0"/>
          <w:color w:val="auto"/>
          <w:kern w:val="0"/>
          <w:sz w:val="21"/>
          <w:szCs w:val="21"/>
          <w:highlight w:val="none"/>
        </w:rPr>
        <w:t>后不能</w:t>
      </w:r>
      <w:r>
        <w:rPr>
          <w:rFonts w:hint="eastAsia" w:ascii="宋体" w:hAnsi="宋体" w:eastAsia="宋体" w:cs="宋体"/>
          <w:b w:val="0"/>
          <w:color w:val="auto"/>
          <w:kern w:val="0"/>
          <w:sz w:val="21"/>
          <w:szCs w:val="21"/>
          <w:highlight w:val="none"/>
          <w:lang w:val="en-US" w:eastAsia="zh-CN"/>
        </w:rPr>
        <w:t>在</w:t>
      </w:r>
      <w:r>
        <w:rPr>
          <w:rFonts w:hint="eastAsia" w:ascii="宋体" w:hAnsi="宋体" w:eastAsia="宋体" w:cs="宋体"/>
          <w:b w:val="0"/>
          <w:color w:val="auto"/>
          <w:kern w:val="0"/>
          <w:sz w:val="21"/>
          <w:szCs w:val="21"/>
          <w:highlight w:val="none"/>
        </w:rPr>
        <w:t>分标</w:t>
      </w:r>
      <w:r>
        <w:rPr>
          <w:rFonts w:hint="eastAsia" w:ascii="宋体" w:hAnsi="宋体" w:eastAsia="宋体" w:cs="宋体"/>
          <w:b w:val="0"/>
          <w:color w:val="auto"/>
          <w:kern w:val="0"/>
          <w:sz w:val="21"/>
          <w:szCs w:val="21"/>
          <w:highlight w:val="none"/>
          <w:lang w:val="en-US" w:eastAsia="zh-CN"/>
        </w:rPr>
        <w:t>2中标……</w:t>
      </w:r>
      <w:r>
        <w:rPr>
          <w:rFonts w:hint="eastAsia" w:ascii="宋体" w:hAnsi="宋体" w:eastAsia="宋体" w:cs="宋体"/>
          <w:b w:val="0"/>
          <w:color w:val="auto"/>
          <w:kern w:val="0"/>
          <w:sz w:val="21"/>
          <w:szCs w:val="21"/>
          <w:highlight w:val="none"/>
        </w:rPr>
        <w:t>，以此类推)。</w:t>
      </w:r>
    </w:p>
    <w:p w14:paraId="6108D32D">
      <w:pPr>
        <w:spacing w:line="400" w:lineRule="exact"/>
        <w:ind w:firstLine="420" w:firstLineChars="200"/>
        <w:rPr>
          <w:rFonts w:hint="eastAsia" w:ascii="宋体" w:hAnsi="宋体" w:eastAsia="宋体" w:cs="宋体"/>
          <w:b w:val="0"/>
          <w:color w:val="auto"/>
          <w:kern w:val="0"/>
          <w:sz w:val="21"/>
          <w:szCs w:val="21"/>
          <w:highlight w:val="none"/>
        </w:rPr>
      </w:pPr>
      <w:r>
        <w:rPr>
          <w:rFonts w:hint="eastAsia" w:ascii="宋体" w:hAnsi="宋体" w:eastAsia="宋体" w:cs="宋体"/>
          <w:b w:val="0"/>
          <w:color w:val="auto"/>
          <w:kern w:val="0"/>
          <w:sz w:val="21"/>
          <w:szCs w:val="21"/>
          <w:highlight w:val="none"/>
          <w:lang w:val="en-US" w:eastAsia="zh-CN"/>
        </w:rPr>
        <w:t>合同履行</w:t>
      </w:r>
      <w:r>
        <w:rPr>
          <w:rFonts w:hint="eastAsia" w:ascii="宋体" w:hAnsi="宋体" w:eastAsia="宋体" w:cs="宋体"/>
          <w:b w:val="0"/>
          <w:color w:val="auto"/>
          <w:kern w:val="0"/>
          <w:sz w:val="21"/>
          <w:szCs w:val="21"/>
          <w:highlight w:val="none"/>
        </w:rPr>
        <w:t>期限：</w:t>
      </w:r>
      <w:r>
        <w:rPr>
          <w:rFonts w:hint="eastAsia" w:ascii="宋体" w:hAnsi="宋体" w:eastAsia="宋体" w:cs="宋体"/>
          <w:b w:val="0"/>
          <w:color w:val="auto"/>
          <w:kern w:val="0"/>
          <w:sz w:val="21"/>
          <w:szCs w:val="21"/>
          <w:highlight w:val="none"/>
          <w:lang w:val="en-US" w:eastAsia="zh-CN"/>
        </w:rPr>
        <w:t>具体详见各分标采购需求</w:t>
      </w:r>
      <w:r>
        <w:rPr>
          <w:rFonts w:hint="eastAsia" w:ascii="宋体" w:hAnsi="宋体" w:eastAsia="宋体" w:cs="宋体"/>
          <w:b w:val="0"/>
          <w:color w:val="auto"/>
          <w:kern w:val="0"/>
          <w:sz w:val="21"/>
          <w:szCs w:val="21"/>
          <w:highlight w:val="none"/>
        </w:rPr>
        <w:t>。</w:t>
      </w:r>
    </w:p>
    <w:p w14:paraId="1786E0DF">
      <w:pPr>
        <w:spacing w:line="400" w:lineRule="exact"/>
        <w:ind w:firstLine="420" w:firstLineChars="200"/>
        <w:rPr>
          <w:rFonts w:hint="eastAsia" w:ascii="宋体" w:hAnsi="宋体" w:eastAsia="宋体" w:cs="宋体"/>
          <w:b w:val="0"/>
          <w:color w:val="auto"/>
          <w:kern w:val="0"/>
          <w:sz w:val="21"/>
          <w:szCs w:val="21"/>
          <w:highlight w:val="none"/>
        </w:rPr>
      </w:pPr>
      <w:r>
        <w:rPr>
          <w:rFonts w:hint="eastAsia" w:ascii="宋体" w:hAnsi="宋体" w:eastAsia="宋体" w:cs="宋体"/>
          <w:b w:val="0"/>
          <w:color w:val="auto"/>
          <w:kern w:val="0"/>
          <w:sz w:val="21"/>
          <w:szCs w:val="21"/>
          <w:highlight w:val="none"/>
        </w:rPr>
        <w:t>本项目不接受联合体投标。</w:t>
      </w:r>
    </w:p>
    <w:p w14:paraId="73129B16">
      <w:pPr>
        <w:spacing w:line="360" w:lineRule="auto"/>
        <w:rPr>
          <w:rFonts w:hint="eastAsia" w:ascii="宋体" w:hAnsi="宋体" w:eastAsia="宋体" w:cs="宋体"/>
          <w:b/>
          <w:bCs/>
          <w:color w:val="auto"/>
          <w:sz w:val="24"/>
          <w:highlight w:val="none"/>
        </w:rPr>
      </w:pPr>
      <w:bookmarkStart w:id="11" w:name="_Toc28359003"/>
      <w:bookmarkStart w:id="12" w:name="_Toc28359080"/>
      <w:bookmarkStart w:id="13" w:name="_Toc35393622"/>
      <w:bookmarkStart w:id="14" w:name="_Toc35393791"/>
      <w:r>
        <w:rPr>
          <w:rFonts w:hint="eastAsia" w:ascii="宋体" w:hAnsi="宋体" w:eastAsia="宋体" w:cs="宋体"/>
          <w:b/>
          <w:bCs/>
          <w:color w:val="auto"/>
          <w:sz w:val="24"/>
          <w:highlight w:val="none"/>
        </w:rPr>
        <w:t>二、申请人的资格要求：</w:t>
      </w:r>
      <w:bookmarkEnd w:id="11"/>
      <w:bookmarkEnd w:id="12"/>
      <w:bookmarkEnd w:id="13"/>
      <w:bookmarkEnd w:id="14"/>
    </w:p>
    <w:p w14:paraId="6B26884C">
      <w:pPr>
        <w:keepNext w:val="0"/>
        <w:keepLines w:val="0"/>
        <w:pageBreakBefore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 w:val="21"/>
          <w:szCs w:val="21"/>
          <w:highlight w:val="none"/>
        </w:rPr>
      </w:pPr>
      <w:bookmarkStart w:id="15" w:name="_Hlk51746371"/>
      <w:bookmarkStart w:id="16" w:name="_Toc28359004"/>
      <w:bookmarkStart w:id="17" w:name="_Toc28359081"/>
      <w:bookmarkStart w:id="18" w:name="_Toc35393623"/>
      <w:bookmarkStart w:id="19" w:name="_Toc35393792"/>
      <w:r>
        <w:rPr>
          <w:rFonts w:hint="eastAsia" w:ascii="宋体" w:hAnsi="宋体" w:eastAsia="宋体" w:cs="宋体"/>
          <w:color w:val="auto"/>
          <w:sz w:val="21"/>
          <w:szCs w:val="21"/>
          <w:highlight w:val="none"/>
        </w:rPr>
        <w:t>1.满足《中华人民共和国政府采购法》第二十二条规定；</w:t>
      </w:r>
    </w:p>
    <w:p w14:paraId="66EE3C83">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2.落实政府采购政策需满足的资格要求：</w:t>
      </w:r>
    </w:p>
    <w:p w14:paraId="302DF87E">
      <w:pPr>
        <w:widowControl/>
        <w:adjustRightInd w:val="0"/>
        <w:snapToGrid w:val="0"/>
        <w:spacing w:line="336"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专门面向中小企业采购的项目（供应商应为中小微企业</w:t>
      </w:r>
      <w:r>
        <w:rPr>
          <w:rFonts w:hint="eastAsia" w:ascii="宋体" w:hAnsi="宋体" w:eastAsia="宋体" w:cs="宋体"/>
          <w:color w:val="auto"/>
          <w:kern w:val="0"/>
          <w:szCs w:val="21"/>
          <w:highlight w:val="none"/>
          <w:lang w:val="en-US" w:eastAsia="zh-CN"/>
        </w:rPr>
        <w:t>/</w:t>
      </w:r>
      <w:r>
        <w:rPr>
          <w:rFonts w:hint="eastAsia" w:ascii="宋体" w:hAnsi="宋体" w:eastAsia="宋体" w:cs="宋体"/>
          <w:color w:val="auto"/>
          <w:kern w:val="0"/>
          <w:szCs w:val="21"/>
          <w:highlight w:val="none"/>
        </w:rPr>
        <w:t>监狱企业</w:t>
      </w:r>
      <w:r>
        <w:rPr>
          <w:rFonts w:hint="eastAsia" w:ascii="宋体" w:hAnsi="宋体" w:eastAsia="宋体" w:cs="宋体"/>
          <w:color w:val="auto"/>
          <w:kern w:val="0"/>
          <w:szCs w:val="21"/>
          <w:highlight w:val="none"/>
          <w:lang w:val="en-US" w:eastAsia="zh-CN"/>
        </w:rPr>
        <w:t>/</w:t>
      </w:r>
      <w:r>
        <w:rPr>
          <w:rFonts w:hint="eastAsia" w:ascii="宋体" w:hAnsi="宋体" w:eastAsia="宋体" w:cs="宋体"/>
          <w:color w:val="auto"/>
          <w:kern w:val="0"/>
          <w:szCs w:val="21"/>
          <w:highlight w:val="none"/>
        </w:rPr>
        <w:t>残疾人福利性单位）</w:t>
      </w:r>
    </w:p>
    <w:p w14:paraId="683725EC">
      <w:pPr>
        <w:keepNext w:val="0"/>
        <w:keepLines w:val="0"/>
        <w:pageBreakBefore w:val="0"/>
        <w:widowControl/>
        <w:kinsoku/>
        <w:wordWrap/>
        <w:overflowPunct/>
        <w:topLinePunct w:val="0"/>
        <w:autoSpaceDE/>
        <w:autoSpaceDN/>
        <w:bidi w:val="0"/>
        <w:adjustRightInd w:val="0"/>
        <w:snapToGrid w:val="0"/>
        <w:spacing w:line="336"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非专门面向中小企业采购的项目</w:t>
      </w:r>
      <w:r>
        <w:rPr>
          <w:rFonts w:hint="eastAsia" w:ascii="宋体" w:hAnsi="宋体" w:eastAsia="宋体" w:cs="宋体"/>
          <w:color w:val="auto"/>
          <w:kern w:val="0"/>
          <w:sz w:val="21"/>
          <w:szCs w:val="21"/>
          <w:highlight w:val="none"/>
        </w:rPr>
        <w:t>。</w:t>
      </w:r>
    </w:p>
    <w:p w14:paraId="6BB6947A">
      <w:pPr>
        <w:keepNext w:val="0"/>
        <w:keepLines w:val="0"/>
        <w:pageBreakBefore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3.本项目的特定资格要求：</w:t>
      </w:r>
      <w:r>
        <w:rPr>
          <w:rFonts w:hint="eastAsia" w:ascii="宋体" w:hAnsi="宋体" w:eastAsia="宋体" w:cs="宋体"/>
          <w:color w:val="auto"/>
          <w:sz w:val="21"/>
          <w:szCs w:val="21"/>
          <w:highlight w:val="none"/>
          <w:lang w:val="en-US" w:eastAsia="zh-CN"/>
        </w:rPr>
        <w:t>无。</w:t>
      </w:r>
    </w:p>
    <w:p w14:paraId="2DBF429E">
      <w:pPr>
        <w:keepNext w:val="0"/>
        <w:keepLines w:val="0"/>
        <w:pageBreakBefore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Cs w:val="21"/>
          <w:highlight w:val="none"/>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6C96FA12">
      <w:pPr>
        <w:keepNext w:val="0"/>
        <w:keepLines w:val="0"/>
        <w:pageBreakBefore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对在“信用中国”网站(www.creditchina.gov.cn) 、中国政府采购网(www.ccgp.gov.cn)被列入失信被执行人、重大税收违法</w:t>
      </w:r>
      <w:r>
        <w:rPr>
          <w:rFonts w:hint="eastAsia" w:ascii="宋体" w:hAnsi="宋体" w:eastAsia="宋体" w:cs="宋体"/>
          <w:color w:val="auto"/>
          <w:sz w:val="21"/>
          <w:szCs w:val="21"/>
          <w:highlight w:val="none"/>
          <w:lang w:val="en-US" w:eastAsia="zh-CN"/>
        </w:rPr>
        <w:t>失信主体</w:t>
      </w:r>
      <w:r>
        <w:rPr>
          <w:rFonts w:hint="eastAsia" w:ascii="宋体" w:hAnsi="宋体" w:eastAsia="宋体" w:cs="宋体"/>
          <w:color w:val="auto"/>
          <w:sz w:val="21"/>
          <w:szCs w:val="21"/>
          <w:highlight w:val="none"/>
        </w:rPr>
        <w:t>名单、政府采购严重违法失信行为记录名单及其他不符合《中华人民共和国政府采购法》第二十二条规定条件的供应商，不得参与采购活动。</w:t>
      </w:r>
    </w:p>
    <w:bookmarkEnd w:id="15"/>
    <w:p w14:paraId="19D19EFD">
      <w:pPr>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三、获取招标文件</w:t>
      </w:r>
      <w:bookmarkEnd w:id="16"/>
      <w:bookmarkEnd w:id="17"/>
      <w:bookmarkEnd w:id="18"/>
      <w:bookmarkEnd w:id="19"/>
      <w:r>
        <w:rPr>
          <w:rFonts w:hint="eastAsia" w:ascii="宋体" w:hAnsi="宋体" w:eastAsia="宋体" w:cs="宋体"/>
          <w:b/>
          <w:bCs/>
          <w:color w:val="auto"/>
          <w:sz w:val="24"/>
          <w:highlight w:val="none"/>
        </w:rPr>
        <w:t>：</w:t>
      </w:r>
    </w:p>
    <w:p w14:paraId="72F268EB">
      <w:pPr>
        <w:spacing w:line="360" w:lineRule="auto"/>
        <w:ind w:firstLine="540"/>
        <w:rPr>
          <w:rFonts w:hint="eastAsia" w:ascii="宋体" w:hAnsi="宋体" w:eastAsia="宋体" w:cs="宋体"/>
          <w:bCs/>
          <w:color w:val="auto"/>
          <w:kern w:val="0"/>
          <w:szCs w:val="21"/>
          <w:highlight w:val="none"/>
          <w:lang w:eastAsia="zh-CN"/>
        </w:rPr>
      </w:pPr>
      <w:r>
        <w:rPr>
          <w:rFonts w:hint="eastAsia" w:ascii="宋体" w:hAnsi="宋体" w:eastAsia="宋体" w:cs="宋体"/>
          <w:bCs/>
          <w:color w:val="auto"/>
          <w:kern w:val="0"/>
          <w:szCs w:val="21"/>
          <w:highlight w:val="none"/>
        </w:rPr>
        <w:t>时间：</w:t>
      </w:r>
      <w:r>
        <w:rPr>
          <w:rFonts w:hint="eastAsia" w:ascii="宋体" w:hAnsi="宋体" w:eastAsia="宋体" w:cs="宋体"/>
          <w:bCs/>
          <w:color w:val="auto"/>
          <w:kern w:val="0"/>
          <w:szCs w:val="21"/>
          <w:highlight w:val="none"/>
          <w:u w:val="single"/>
        </w:rPr>
        <w:t>202</w:t>
      </w:r>
      <w:r>
        <w:rPr>
          <w:rFonts w:hint="eastAsia" w:ascii="宋体" w:hAnsi="宋体" w:eastAsia="宋体" w:cs="宋体"/>
          <w:bCs/>
          <w:color w:val="auto"/>
          <w:kern w:val="0"/>
          <w:szCs w:val="21"/>
          <w:highlight w:val="none"/>
          <w:u w:val="single"/>
          <w:lang w:val="en-US" w:eastAsia="zh-CN"/>
        </w:rPr>
        <w:t>6</w:t>
      </w:r>
      <w:r>
        <w:rPr>
          <w:rFonts w:hint="eastAsia" w:ascii="宋体" w:hAnsi="宋体" w:eastAsia="宋体" w:cs="宋体"/>
          <w:bCs/>
          <w:color w:val="auto"/>
          <w:kern w:val="0"/>
          <w:szCs w:val="21"/>
          <w:highlight w:val="none"/>
        </w:rPr>
        <w:t>年</w:t>
      </w:r>
      <w:r>
        <w:rPr>
          <w:rFonts w:hint="eastAsia" w:ascii="宋体" w:hAnsi="宋体" w:eastAsia="宋体" w:cs="宋体"/>
          <w:bCs/>
          <w:color w:val="auto"/>
          <w:kern w:val="0"/>
          <w:szCs w:val="21"/>
          <w:highlight w:val="none"/>
          <w:u w:val="single"/>
          <w:lang w:val="en-US" w:eastAsia="zh-CN"/>
        </w:rPr>
        <w:t xml:space="preserve"> </w:t>
      </w:r>
      <w:r>
        <w:rPr>
          <w:rFonts w:hint="eastAsia" w:ascii="宋体" w:hAnsi="宋体" w:cs="宋体"/>
          <w:bCs/>
          <w:color w:val="auto"/>
          <w:kern w:val="0"/>
          <w:szCs w:val="21"/>
          <w:highlight w:val="none"/>
          <w:u w:val="single"/>
          <w:lang w:val="en-US" w:eastAsia="zh-CN"/>
        </w:rPr>
        <w:t>9</w:t>
      </w:r>
      <w:r>
        <w:rPr>
          <w:rFonts w:hint="eastAsia" w:ascii="宋体" w:hAnsi="宋体" w:eastAsia="宋体" w:cs="宋体"/>
          <w:bCs/>
          <w:color w:val="auto"/>
          <w:kern w:val="0"/>
          <w:szCs w:val="21"/>
          <w:highlight w:val="none"/>
          <w:u w:val="single"/>
          <w:lang w:val="en-US" w:eastAsia="zh-CN"/>
        </w:rPr>
        <w:t xml:space="preserve"> </w:t>
      </w:r>
      <w:r>
        <w:rPr>
          <w:rFonts w:hint="eastAsia" w:ascii="宋体" w:hAnsi="宋体" w:eastAsia="宋体" w:cs="宋体"/>
          <w:bCs/>
          <w:color w:val="auto"/>
          <w:kern w:val="0"/>
          <w:szCs w:val="21"/>
          <w:highlight w:val="none"/>
        </w:rPr>
        <w:t>月</w:t>
      </w:r>
      <w:r>
        <w:rPr>
          <w:rFonts w:hint="eastAsia" w:ascii="宋体" w:hAnsi="宋体" w:eastAsia="宋体" w:cs="宋体"/>
          <w:bCs/>
          <w:color w:val="auto"/>
          <w:kern w:val="0"/>
          <w:szCs w:val="21"/>
          <w:highlight w:val="none"/>
          <w:u w:val="single"/>
          <w:lang w:val="en-US" w:eastAsia="zh-CN"/>
        </w:rPr>
        <w:t xml:space="preserve"> </w:t>
      </w:r>
      <w:r>
        <w:rPr>
          <w:rFonts w:hint="eastAsia" w:ascii="宋体" w:hAnsi="宋体" w:cs="宋体"/>
          <w:bCs/>
          <w:color w:val="auto"/>
          <w:kern w:val="0"/>
          <w:szCs w:val="21"/>
          <w:highlight w:val="none"/>
          <w:u w:val="single"/>
          <w:lang w:val="en-US" w:eastAsia="zh-CN"/>
        </w:rPr>
        <w:t>7</w:t>
      </w:r>
      <w:r>
        <w:rPr>
          <w:rFonts w:hint="eastAsia" w:ascii="宋体" w:hAnsi="宋体" w:eastAsia="宋体" w:cs="宋体"/>
          <w:bCs/>
          <w:color w:val="auto"/>
          <w:kern w:val="0"/>
          <w:szCs w:val="21"/>
          <w:highlight w:val="none"/>
          <w:u w:val="single"/>
          <w:lang w:val="en-US" w:eastAsia="zh-CN"/>
        </w:rPr>
        <w:t xml:space="preserve"> </w:t>
      </w:r>
      <w:r>
        <w:rPr>
          <w:rFonts w:hint="eastAsia" w:ascii="宋体" w:hAnsi="宋体" w:eastAsia="宋体" w:cs="宋体"/>
          <w:bCs/>
          <w:color w:val="auto"/>
          <w:kern w:val="0"/>
          <w:szCs w:val="21"/>
          <w:highlight w:val="none"/>
        </w:rPr>
        <w:t>日至</w:t>
      </w:r>
      <w:r>
        <w:rPr>
          <w:rFonts w:hint="eastAsia" w:ascii="宋体" w:hAnsi="宋体" w:eastAsia="宋体" w:cs="宋体"/>
          <w:bCs/>
          <w:color w:val="auto"/>
          <w:kern w:val="0"/>
          <w:szCs w:val="21"/>
          <w:highlight w:val="none"/>
          <w:u w:val="single"/>
        </w:rPr>
        <w:t>202</w:t>
      </w:r>
      <w:r>
        <w:rPr>
          <w:rFonts w:hint="eastAsia" w:ascii="宋体" w:hAnsi="宋体" w:eastAsia="宋体" w:cs="宋体"/>
          <w:bCs/>
          <w:color w:val="auto"/>
          <w:kern w:val="0"/>
          <w:szCs w:val="21"/>
          <w:highlight w:val="none"/>
          <w:u w:val="single"/>
          <w:lang w:val="en-US" w:eastAsia="zh-CN"/>
        </w:rPr>
        <w:t>6</w:t>
      </w:r>
      <w:r>
        <w:rPr>
          <w:rFonts w:hint="eastAsia" w:ascii="宋体" w:hAnsi="宋体" w:eastAsia="宋体" w:cs="宋体"/>
          <w:bCs/>
          <w:color w:val="auto"/>
          <w:kern w:val="0"/>
          <w:szCs w:val="21"/>
          <w:highlight w:val="none"/>
        </w:rPr>
        <w:t>年</w:t>
      </w:r>
      <w:r>
        <w:rPr>
          <w:rFonts w:hint="eastAsia" w:ascii="宋体" w:hAnsi="宋体" w:eastAsia="宋体" w:cs="宋体"/>
          <w:bCs/>
          <w:color w:val="auto"/>
          <w:kern w:val="0"/>
          <w:szCs w:val="21"/>
          <w:highlight w:val="none"/>
          <w:u w:val="single"/>
          <w:lang w:val="en-US" w:eastAsia="zh-CN"/>
        </w:rPr>
        <w:t xml:space="preserve"> </w:t>
      </w:r>
      <w:r>
        <w:rPr>
          <w:rFonts w:hint="eastAsia" w:ascii="宋体" w:hAnsi="宋体" w:cs="宋体"/>
          <w:bCs/>
          <w:color w:val="auto"/>
          <w:kern w:val="0"/>
          <w:szCs w:val="21"/>
          <w:highlight w:val="none"/>
          <w:u w:val="single"/>
          <w:lang w:val="en-US" w:eastAsia="zh-CN"/>
        </w:rPr>
        <w:t>9</w:t>
      </w:r>
      <w:r>
        <w:rPr>
          <w:rFonts w:hint="eastAsia" w:ascii="宋体" w:hAnsi="宋体" w:eastAsia="宋体" w:cs="宋体"/>
          <w:bCs/>
          <w:color w:val="auto"/>
          <w:kern w:val="0"/>
          <w:szCs w:val="21"/>
          <w:highlight w:val="none"/>
          <w:u w:val="single"/>
          <w:lang w:val="en-US" w:eastAsia="zh-CN"/>
        </w:rPr>
        <w:t xml:space="preserve"> </w:t>
      </w:r>
      <w:r>
        <w:rPr>
          <w:rFonts w:hint="eastAsia" w:ascii="宋体" w:hAnsi="宋体" w:eastAsia="宋体" w:cs="宋体"/>
          <w:bCs/>
          <w:color w:val="auto"/>
          <w:kern w:val="0"/>
          <w:szCs w:val="21"/>
          <w:highlight w:val="none"/>
        </w:rPr>
        <w:t>月</w:t>
      </w:r>
      <w:r>
        <w:rPr>
          <w:rFonts w:hint="eastAsia" w:ascii="宋体" w:hAnsi="宋体" w:eastAsia="宋体" w:cs="宋体"/>
          <w:bCs/>
          <w:color w:val="auto"/>
          <w:kern w:val="0"/>
          <w:szCs w:val="21"/>
          <w:highlight w:val="none"/>
          <w:u w:val="single"/>
          <w:lang w:val="en-US" w:eastAsia="zh-CN"/>
        </w:rPr>
        <w:t xml:space="preserve"> </w:t>
      </w:r>
      <w:r>
        <w:rPr>
          <w:rFonts w:hint="eastAsia" w:ascii="宋体" w:hAnsi="宋体" w:cs="宋体"/>
          <w:bCs/>
          <w:color w:val="auto"/>
          <w:kern w:val="0"/>
          <w:szCs w:val="21"/>
          <w:highlight w:val="none"/>
          <w:u w:val="single"/>
          <w:lang w:val="en-US" w:eastAsia="zh-CN"/>
        </w:rPr>
        <w:t>14</w:t>
      </w:r>
      <w:r>
        <w:rPr>
          <w:rFonts w:hint="eastAsia" w:ascii="宋体" w:hAnsi="宋体" w:eastAsia="宋体" w:cs="宋体"/>
          <w:bCs/>
          <w:color w:val="auto"/>
          <w:kern w:val="0"/>
          <w:szCs w:val="21"/>
          <w:highlight w:val="none"/>
          <w:u w:val="single"/>
          <w:lang w:val="en-US" w:eastAsia="zh-CN"/>
        </w:rPr>
        <w:t xml:space="preserve"> </w:t>
      </w:r>
      <w:r>
        <w:rPr>
          <w:rFonts w:hint="eastAsia" w:ascii="宋体" w:hAnsi="宋体" w:eastAsia="宋体" w:cs="宋体"/>
          <w:bCs/>
          <w:color w:val="auto"/>
          <w:kern w:val="0"/>
          <w:szCs w:val="21"/>
          <w:highlight w:val="none"/>
        </w:rPr>
        <w:t>日，每天上午</w:t>
      </w:r>
      <w:r>
        <w:rPr>
          <w:rFonts w:hint="eastAsia" w:ascii="宋体" w:hAnsi="宋体" w:cs="宋体"/>
          <w:bCs/>
          <w:color w:val="auto"/>
          <w:kern w:val="0"/>
          <w:szCs w:val="21"/>
          <w:highlight w:val="none"/>
          <w:u w:val="single"/>
          <w:lang w:val="en-US" w:eastAsia="zh-CN"/>
        </w:rPr>
        <w:t>0</w:t>
      </w:r>
      <w:r>
        <w:rPr>
          <w:rFonts w:hint="eastAsia" w:ascii="宋体" w:hAnsi="宋体" w:eastAsia="宋体" w:cs="宋体"/>
          <w:bCs/>
          <w:color w:val="auto"/>
          <w:kern w:val="0"/>
          <w:szCs w:val="21"/>
          <w:highlight w:val="none"/>
          <w:u w:val="single"/>
        </w:rPr>
        <w:t>:00至12:00</w:t>
      </w:r>
      <w:r>
        <w:rPr>
          <w:rFonts w:hint="eastAsia" w:ascii="宋体" w:hAnsi="宋体" w:eastAsia="宋体" w:cs="宋体"/>
          <w:bCs/>
          <w:color w:val="auto"/>
          <w:kern w:val="0"/>
          <w:szCs w:val="21"/>
          <w:highlight w:val="none"/>
        </w:rPr>
        <w:t>，</w:t>
      </w:r>
      <w:r>
        <w:rPr>
          <w:rFonts w:hint="eastAsia" w:ascii="宋体" w:hAnsi="宋体" w:eastAsia="宋体" w:cs="宋体"/>
          <w:bCs/>
          <w:color w:val="auto"/>
          <w:kern w:val="0"/>
          <w:szCs w:val="21"/>
          <w:highlight w:val="none"/>
          <w:u w:val="single"/>
        </w:rPr>
        <w:t>下午1</w:t>
      </w:r>
      <w:r>
        <w:rPr>
          <w:rFonts w:hint="eastAsia" w:ascii="宋体" w:hAnsi="宋体" w:cs="宋体"/>
          <w:bCs/>
          <w:color w:val="auto"/>
          <w:kern w:val="0"/>
          <w:szCs w:val="21"/>
          <w:highlight w:val="none"/>
          <w:u w:val="single"/>
          <w:lang w:val="en-US" w:eastAsia="zh-CN"/>
        </w:rPr>
        <w:t>2</w:t>
      </w:r>
      <w:r>
        <w:rPr>
          <w:rFonts w:hint="eastAsia" w:ascii="宋体" w:hAnsi="宋体" w:eastAsia="宋体" w:cs="宋体"/>
          <w:bCs/>
          <w:color w:val="auto"/>
          <w:kern w:val="0"/>
          <w:szCs w:val="21"/>
          <w:highlight w:val="none"/>
          <w:u w:val="single"/>
        </w:rPr>
        <w:t>:00至</w:t>
      </w:r>
      <w:r>
        <w:rPr>
          <w:rFonts w:hint="eastAsia" w:ascii="宋体" w:hAnsi="宋体" w:cs="宋体"/>
          <w:bCs/>
          <w:color w:val="auto"/>
          <w:kern w:val="0"/>
          <w:szCs w:val="21"/>
          <w:highlight w:val="none"/>
          <w:u w:val="single"/>
          <w:lang w:val="en-US" w:eastAsia="zh-CN"/>
        </w:rPr>
        <w:t>23</w:t>
      </w:r>
      <w:r>
        <w:rPr>
          <w:rFonts w:hint="eastAsia" w:ascii="宋体" w:hAnsi="宋体" w:eastAsia="宋体" w:cs="宋体"/>
          <w:bCs/>
          <w:color w:val="auto"/>
          <w:kern w:val="0"/>
          <w:szCs w:val="21"/>
          <w:highlight w:val="none"/>
          <w:u w:val="single"/>
        </w:rPr>
        <w:t>:</w:t>
      </w:r>
      <w:r>
        <w:rPr>
          <w:rFonts w:hint="eastAsia" w:ascii="宋体" w:hAnsi="宋体" w:cs="宋体"/>
          <w:bCs/>
          <w:color w:val="auto"/>
          <w:kern w:val="0"/>
          <w:szCs w:val="21"/>
          <w:highlight w:val="none"/>
          <w:u w:val="single"/>
          <w:lang w:val="en-US" w:eastAsia="zh-CN"/>
        </w:rPr>
        <w:t>59：59</w:t>
      </w:r>
      <w:r>
        <w:rPr>
          <w:rFonts w:hint="eastAsia" w:ascii="宋体" w:hAnsi="宋体" w:eastAsia="宋体" w:cs="宋体"/>
          <w:color w:val="auto"/>
          <w:szCs w:val="21"/>
          <w:highlight w:val="none"/>
        </w:rPr>
        <w:t>（北京时间，法定节假日除外）</w:t>
      </w:r>
      <w:r>
        <w:rPr>
          <w:rFonts w:hint="eastAsia" w:ascii="宋体" w:hAnsi="宋体" w:cs="宋体"/>
          <w:color w:val="auto"/>
          <w:szCs w:val="21"/>
          <w:highlight w:val="none"/>
          <w:lang w:eastAsia="zh-CN"/>
        </w:rPr>
        <w:t>。</w:t>
      </w:r>
    </w:p>
    <w:p w14:paraId="7824C6C2">
      <w:pPr>
        <w:spacing w:line="360" w:lineRule="auto"/>
        <w:ind w:firstLine="540"/>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地点：</w:t>
      </w:r>
      <w:r>
        <w:rPr>
          <w:rFonts w:hint="eastAsia" w:ascii="宋体" w:hAnsi="宋体" w:eastAsia="宋体" w:cs="宋体"/>
          <w:color w:val="auto"/>
          <w:szCs w:val="21"/>
          <w:highlight w:val="none"/>
        </w:rPr>
        <w:t>“广西政府采购云平台”（https://www.gcy.zfcg.gxzf.gov.cn/）</w:t>
      </w:r>
    </w:p>
    <w:p w14:paraId="161975C0">
      <w:pPr>
        <w:spacing w:line="360" w:lineRule="auto"/>
        <w:ind w:firstLine="540"/>
        <w:rPr>
          <w:rFonts w:hint="eastAsia" w:ascii="宋体" w:hAnsi="宋体" w:eastAsia="宋体" w:cs="宋体"/>
          <w:bCs/>
          <w:color w:val="auto"/>
          <w:kern w:val="0"/>
          <w:szCs w:val="21"/>
          <w:highlight w:val="none"/>
        </w:rPr>
      </w:pPr>
      <w:r>
        <w:rPr>
          <w:rFonts w:hint="eastAsia" w:ascii="宋体" w:hAnsi="宋体" w:eastAsia="宋体" w:cs="宋体"/>
          <w:color w:val="auto"/>
          <w:highlight w:val="none"/>
        </w:rPr>
        <w:t>方式：网上下载。本项目不提供纸质文件，潜在供应商需使用账号登录或者使用CA登录“广西政府采购云平台”（https://www.gcy.zfcg.gxzf.gov.cn）-进入“项目采购”应用，在获取采购文件菜单中选择项目，获取招标文件（或在“广西政府采购客户端-获取采购文件”）。电子投标文件制作需要基于“广西政府采购云平台”获取的招标文件编制，通过其他方式获取招标文件的，将有可能导致供应商无法在“广西政府采购云平台”编制及上传投标文件。</w:t>
      </w:r>
    </w:p>
    <w:p w14:paraId="2464800F">
      <w:pPr>
        <w:spacing w:line="360" w:lineRule="auto"/>
        <w:ind w:firstLine="540"/>
        <w:rPr>
          <w:rFonts w:hint="eastAsia" w:ascii="宋体" w:hAnsi="宋体" w:eastAsia="宋体" w:cs="宋体"/>
          <w:color w:val="auto"/>
          <w:szCs w:val="21"/>
          <w:highlight w:val="none"/>
        </w:rPr>
      </w:pPr>
      <w:r>
        <w:rPr>
          <w:rFonts w:hint="eastAsia" w:ascii="宋体" w:hAnsi="宋体" w:eastAsia="宋体" w:cs="宋体"/>
          <w:bCs/>
          <w:color w:val="auto"/>
          <w:kern w:val="0"/>
          <w:szCs w:val="21"/>
          <w:highlight w:val="none"/>
        </w:rPr>
        <w:t>售价：</w:t>
      </w:r>
      <w:r>
        <w:rPr>
          <w:rFonts w:hint="eastAsia" w:ascii="宋体" w:hAnsi="宋体" w:eastAsia="宋体" w:cs="宋体"/>
          <w:color w:val="auto"/>
          <w:szCs w:val="21"/>
          <w:highlight w:val="none"/>
          <w:u w:val="single"/>
        </w:rPr>
        <w:t>0</w:t>
      </w:r>
      <w:r>
        <w:rPr>
          <w:rFonts w:hint="eastAsia" w:ascii="宋体" w:hAnsi="宋体" w:eastAsia="宋体" w:cs="宋体"/>
          <w:color w:val="auto"/>
          <w:szCs w:val="21"/>
          <w:highlight w:val="none"/>
        </w:rPr>
        <w:t>元</w:t>
      </w:r>
    </w:p>
    <w:p w14:paraId="36607628">
      <w:pPr>
        <w:spacing w:line="360" w:lineRule="auto"/>
        <w:rPr>
          <w:rFonts w:hint="eastAsia" w:ascii="宋体" w:hAnsi="宋体" w:eastAsia="宋体" w:cs="宋体"/>
          <w:b/>
          <w:bCs/>
          <w:color w:val="auto"/>
          <w:sz w:val="24"/>
          <w:highlight w:val="none"/>
        </w:rPr>
      </w:pPr>
      <w:bookmarkStart w:id="20" w:name="_Toc28359005"/>
      <w:bookmarkStart w:id="21" w:name="_Toc28359082"/>
      <w:bookmarkStart w:id="22" w:name="_Toc35393624"/>
      <w:bookmarkStart w:id="23" w:name="_Toc35393793"/>
      <w:r>
        <w:rPr>
          <w:rFonts w:hint="eastAsia" w:ascii="宋体" w:hAnsi="宋体" w:eastAsia="宋体" w:cs="宋体"/>
          <w:b/>
          <w:bCs/>
          <w:color w:val="auto"/>
          <w:sz w:val="24"/>
          <w:highlight w:val="none"/>
        </w:rPr>
        <w:t>四、提交投标文件</w:t>
      </w:r>
      <w:bookmarkEnd w:id="20"/>
      <w:bookmarkEnd w:id="21"/>
      <w:r>
        <w:rPr>
          <w:rFonts w:hint="eastAsia" w:ascii="宋体" w:hAnsi="宋体" w:eastAsia="宋体" w:cs="宋体"/>
          <w:b/>
          <w:bCs/>
          <w:color w:val="auto"/>
          <w:sz w:val="24"/>
          <w:highlight w:val="none"/>
        </w:rPr>
        <w:t>截止时间、开标时间和地点</w:t>
      </w:r>
      <w:bookmarkEnd w:id="22"/>
      <w:bookmarkEnd w:id="23"/>
      <w:r>
        <w:rPr>
          <w:rFonts w:hint="eastAsia" w:ascii="宋体" w:hAnsi="宋体" w:eastAsia="宋体" w:cs="宋体"/>
          <w:b/>
          <w:bCs/>
          <w:color w:val="auto"/>
          <w:sz w:val="24"/>
          <w:highlight w:val="none"/>
        </w:rPr>
        <w:t>：</w:t>
      </w:r>
    </w:p>
    <w:p w14:paraId="0EEF2627">
      <w:pPr>
        <w:spacing w:line="360" w:lineRule="auto"/>
        <w:ind w:firstLine="420" w:firstLineChars="200"/>
        <w:rPr>
          <w:rFonts w:hint="eastAsia" w:ascii="宋体" w:hAnsi="宋体" w:eastAsia="宋体" w:cs="宋体"/>
          <w:bCs/>
          <w:color w:val="auto"/>
          <w:szCs w:val="21"/>
          <w:highlight w:val="none"/>
          <w:lang w:eastAsia="zh-CN"/>
        </w:rPr>
      </w:pPr>
      <w:bookmarkStart w:id="24" w:name="_Toc35393794"/>
      <w:bookmarkStart w:id="25" w:name="_Toc35393625"/>
      <w:bookmarkStart w:id="26" w:name="_Toc28359084"/>
      <w:bookmarkStart w:id="27" w:name="_Toc28359007"/>
      <w:r>
        <w:rPr>
          <w:rFonts w:hint="eastAsia" w:ascii="宋体" w:hAnsi="宋体" w:eastAsia="宋体" w:cs="宋体"/>
          <w:b w:val="0"/>
          <w:bCs w:val="0"/>
          <w:color w:val="auto"/>
          <w:sz w:val="21"/>
          <w:szCs w:val="21"/>
          <w:highlight w:val="none"/>
        </w:rPr>
        <w:t>提交投标文件</w:t>
      </w:r>
      <w:r>
        <w:rPr>
          <w:rFonts w:hint="eastAsia" w:ascii="宋体" w:hAnsi="宋体" w:eastAsia="宋体" w:cs="宋体"/>
          <w:b w:val="0"/>
          <w:bCs w:val="0"/>
          <w:color w:val="auto"/>
          <w:sz w:val="21"/>
          <w:szCs w:val="21"/>
          <w:highlight w:val="none"/>
        </w:rPr>
        <w:t>截止时间</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Cs w:val="21"/>
          <w:highlight w:val="none"/>
          <w:u w:val="none"/>
        </w:rPr>
        <w:t>202</w:t>
      </w:r>
      <w:r>
        <w:rPr>
          <w:rFonts w:hint="eastAsia" w:ascii="宋体" w:hAnsi="宋体" w:eastAsia="宋体" w:cs="宋体"/>
          <w:b w:val="0"/>
          <w:bCs w:val="0"/>
          <w:color w:val="auto"/>
          <w:szCs w:val="21"/>
          <w:highlight w:val="none"/>
          <w:u w:val="none"/>
          <w:lang w:val="en-US" w:eastAsia="zh-CN"/>
        </w:rPr>
        <w:t>6</w:t>
      </w:r>
      <w:r>
        <w:rPr>
          <w:rFonts w:hint="eastAsia" w:ascii="宋体" w:hAnsi="宋体" w:eastAsia="宋体" w:cs="宋体"/>
          <w:b w:val="0"/>
          <w:bCs w:val="0"/>
          <w:color w:val="auto"/>
          <w:szCs w:val="21"/>
          <w:highlight w:val="none"/>
          <w:u w:val="none"/>
        </w:rPr>
        <w:t>年</w:t>
      </w:r>
      <w:r>
        <w:rPr>
          <w:rFonts w:hint="eastAsia" w:ascii="宋体" w:hAnsi="宋体" w:cs="宋体"/>
          <w:b w:val="0"/>
          <w:bCs w:val="0"/>
          <w:color w:val="auto"/>
          <w:szCs w:val="21"/>
          <w:highlight w:val="none"/>
          <w:u w:val="none"/>
          <w:lang w:val="en-US" w:eastAsia="zh-CN"/>
        </w:rPr>
        <w:t>9</w:t>
      </w:r>
      <w:r>
        <w:rPr>
          <w:rFonts w:hint="eastAsia" w:ascii="宋体" w:hAnsi="宋体" w:eastAsia="宋体" w:cs="宋体"/>
          <w:b w:val="0"/>
          <w:bCs w:val="0"/>
          <w:color w:val="auto"/>
          <w:szCs w:val="21"/>
          <w:highlight w:val="none"/>
          <w:u w:val="none"/>
        </w:rPr>
        <w:t>月</w:t>
      </w:r>
      <w:r>
        <w:rPr>
          <w:rFonts w:hint="eastAsia" w:ascii="宋体" w:hAnsi="宋体" w:cs="宋体"/>
          <w:b w:val="0"/>
          <w:bCs w:val="0"/>
          <w:color w:val="auto"/>
          <w:szCs w:val="21"/>
          <w:highlight w:val="none"/>
          <w:u w:val="none"/>
          <w:lang w:val="en-US" w:eastAsia="zh-CN"/>
        </w:rPr>
        <w:t>29</w:t>
      </w:r>
      <w:r>
        <w:rPr>
          <w:rFonts w:hint="eastAsia" w:ascii="宋体" w:hAnsi="宋体" w:eastAsia="宋体" w:cs="宋体"/>
          <w:b w:val="0"/>
          <w:bCs w:val="0"/>
          <w:color w:val="auto"/>
          <w:szCs w:val="21"/>
          <w:highlight w:val="none"/>
          <w:u w:val="none"/>
        </w:rPr>
        <w:t>日</w:t>
      </w:r>
      <w:r>
        <w:rPr>
          <w:rFonts w:hint="eastAsia" w:ascii="宋体" w:hAnsi="宋体" w:cs="宋体"/>
          <w:b w:val="0"/>
          <w:bCs w:val="0"/>
          <w:color w:val="auto"/>
          <w:szCs w:val="21"/>
          <w:highlight w:val="none"/>
          <w:u w:val="none"/>
          <w:lang w:val="en-US" w:eastAsia="zh-CN"/>
        </w:rPr>
        <w:t>9</w:t>
      </w:r>
      <w:r>
        <w:rPr>
          <w:rFonts w:hint="eastAsia" w:ascii="宋体" w:hAnsi="宋体" w:eastAsia="宋体" w:cs="宋体"/>
          <w:b w:val="0"/>
          <w:bCs w:val="0"/>
          <w:color w:val="auto"/>
          <w:szCs w:val="21"/>
          <w:highlight w:val="none"/>
          <w:u w:val="none"/>
        </w:rPr>
        <w:t>时</w:t>
      </w:r>
      <w:r>
        <w:rPr>
          <w:rFonts w:hint="eastAsia" w:ascii="宋体" w:hAnsi="宋体" w:cs="宋体"/>
          <w:b w:val="0"/>
          <w:bCs w:val="0"/>
          <w:color w:val="auto"/>
          <w:szCs w:val="21"/>
          <w:highlight w:val="none"/>
          <w:u w:val="none"/>
          <w:lang w:val="en-US" w:eastAsia="zh-CN"/>
        </w:rPr>
        <w:t>30</w:t>
      </w:r>
      <w:r>
        <w:rPr>
          <w:rFonts w:hint="eastAsia" w:ascii="宋体" w:hAnsi="宋体" w:eastAsia="宋体" w:cs="宋体"/>
          <w:b w:val="0"/>
          <w:bCs w:val="0"/>
          <w:color w:val="auto"/>
          <w:szCs w:val="21"/>
          <w:highlight w:val="none"/>
          <w:u w:val="none"/>
        </w:rPr>
        <w:t>分</w:t>
      </w:r>
      <w:r>
        <w:rPr>
          <w:rFonts w:hint="eastAsia" w:ascii="宋体" w:hAnsi="宋体" w:eastAsia="宋体" w:cs="宋体"/>
          <w:bCs w:val="0"/>
          <w:color w:val="auto"/>
          <w:szCs w:val="21"/>
          <w:highlight w:val="none"/>
        </w:rPr>
        <w:t>（北京时</w:t>
      </w:r>
      <w:r>
        <w:rPr>
          <w:rFonts w:hint="eastAsia" w:ascii="宋体" w:hAnsi="宋体" w:eastAsia="宋体" w:cs="宋体"/>
          <w:bCs/>
          <w:color w:val="auto"/>
          <w:szCs w:val="21"/>
          <w:highlight w:val="none"/>
        </w:rPr>
        <w:t>间）</w:t>
      </w:r>
      <w:r>
        <w:rPr>
          <w:rFonts w:hint="eastAsia" w:ascii="宋体" w:hAnsi="宋体" w:eastAsia="宋体" w:cs="宋体"/>
          <w:bCs/>
          <w:color w:val="auto"/>
          <w:szCs w:val="21"/>
          <w:highlight w:val="none"/>
          <w:lang w:eastAsia="zh-CN"/>
        </w:rPr>
        <w:t>。</w:t>
      </w:r>
    </w:p>
    <w:p w14:paraId="561BD4AC">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投标地点</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网址</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：“广西政府采购云平台”（https://www.gcy.zfcg.gxzf.gov.cn/）</w:t>
      </w:r>
      <w:r>
        <w:rPr>
          <w:rFonts w:hint="eastAsia" w:ascii="宋体" w:hAnsi="宋体" w:eastAsia="宋体" w:cs="宋体"/>
          <w:color w:val="auto"/>
          <w:szCs w:val="21"/>
          <w:highlight w:val="none"/>
          <w:lang w:eastAsia="zh-CN"/>
        </w:rPr>
        <w:t>。</w:t>
      </w:r>
    </w:p>
    <w:p w14:paraId="2946E024">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开标地点：“广西政府采购云平台”电子开标大厅</w:t>
      </w:r>
      <w:r>
        <w:rPr>
          <w:rFonts w:hint="eastAsia" w:ascii="宋体" w:hAnsi="宋体" w:eastAsia="宋体" w:cs="宋体"/>
          <w:color w:val="auto"/>
          <w:szCs w:val="21"/>
          <w:highlight w:val="none"/>
          <w:lang w:eastAsia="zh-CN"/>
        </w:rPr>
        <w:t>。</w:t>
      </w:r>
    </w:p>
    <w:p w14:paraId="2870C2DE">
      <w:pPr>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五、公告期限</w:t>
      </w:r>
      <w:bookmarkEnd w:id="24"/>
      <w:bookmarkEnd w:id="25"/>
      <w:bookmarkEnd w:id="26"/>
      <w:bookmarkEnd w:id="27"/>
      <w:r>
        <w:rPr>
          <w:rFonts w:hint="eastAsia" w:ascii="宋体" w:hAnsi="宋体" w:eastAsia="宋体" w:cs="宋体"/>
          <w:b/>
          <w:bCs/>
          <w:color w:val="auto"/>
          <w:sz w:val="24"/>
          <w:highlight w:val="none"/>
        </w:rPr>
        <w:t>：</w:t>
      </w:r>
    </w:p>
    <w:p w14:paraId="71EF07E1">
      <w:pPr>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自本公告发布之日起5个工作日。</w:t>
      </w:r>
    </w:p>
    <w:p w14:paraId="4A3B71E4">
      <w:pPr>
        <w:spacing w:line="360" w:lineRule="auto"/>
        <w:rPr>
          <w:rFonts w:hint="eastAsia" w:ascii="宋体" w:hAnsi="宋体" w:eastAsia="宋体" w:cs="宋体"/>
          <w:b/>
          <w:bCs/>
          <w:color w:val="auto"/>
          <w:sz w:val="24"/>
          <w:highlight w:val="none"/>
        </w:rPr>
      </w:pPr>
      <w:bookmarkStart w:id="28" w:name="_Toc35393626"/>
      <w:bookmarkStart w:id="29" w:name="_Toc35393795"/>
      <w:r>
        <w:rPr>
          <w:rFonts w:hint="eastAsia" w:ascii="宋体" w:hAnsi="宋体" w:eastAsia="宋体" w:cs="宋体"/>
          <w:b/>
          <w:bCs/>
          <w:color w:val="auto"/>
          <w:sz w:val="24"/>
          <w:highlight w:val="none"/>
        </w:rPr>
        <w:t>六、其他补充事宜</w:t>
      </w:r>
      <w:bookmarkEnd w:id="28"/>
      <w:bookmarkEnd w:id="29"/>
      <w:r>
        <w:rPr>
          <w:rFonts w:hint="eastAsia" w:ascii="宋体" w:hAnsi="宋体" w:eastAsia="宋体" w:cs="宋体"/>
          <w:b/>
          <w:bCs/>
          <w:color w:val="auto"/>
          <w:sz w:val="24"/>
          <w:highlight w:val="none"/>
        </w:rPr>
        <w:t>：</w:t>
      </w:r>
    </w:p>
    <w:p w14:paraId="3340A063">
      <w:pPr>
        <w:spacing w:line="360" w:lineRule="auto"/>
        <w:ind w:firstLine="210" w:firstLineChars="100"/>
        <w:rPr>
          <w:rFonts w:hint="eastAsia" w:ascii="宋体" w:hAnsi="宋体" w:eastAsia="宋体" w:cs="宋体"/>
          <w:color w:val="auto"/>
          <w:kern w:val="0"/>
          <w:szCs w:val="21"/>
          <w:highlight w:val="none"/>
          <w:lang w:eastAsia="zh-CN"/>
        </w:rPr>
      </w:pPr>
      <w:bookmarkStart w:id="30" w:name="_Hlk37429585"/>
      <w:bookmarkStart w:id="31" w:name="_Hlk37429595"/>
      <w:bookmarkStart w:id="32" w:name="_Toc35393627"/>
      <w:bookmarkStart w:id="33" w:name="_Toc28359008"/>
      <w:bookmarkStart w:id="34" w:name="_Toc28359085"/>
      <w:bookmarkStart w:id="35" w:name="_Toc35393796"/>
      <w:r>
        <w:rPr>
          <w:rFonts w:hint="eastAsia" w:ascii="宋体" w:hAnsi="宋体" w:eastAsia="宋体" w:cs="宋体"/>
          <w:color w:val="auto"/>
          <w:kern w:val="0"/>
          <w:szCs w:val="21"/>
          <w:highlight w:val="none"/>
        </w:rPr>
        <w:t>1.网上查询地址</w:t>
      </w:r>
      <w:r>
        <w:rPr>
          <w:rFonts w:hint="eastAsia" w:ascii="宋体" w:hAnsi="宋体" w:eastAsia="宋体" w:cs="宋体"/>
          <w:color w:val="auto"/>
          <w:kern w:val="0"/>
          <w:szCs w:val="21"/>
          <w:highlight w:val="none"/>
          <w:lang w:eastAsia="zh-CN"/>
        </w:rPr>
        <w:t>：</w:t>
      </w:r>
    </w:p>
    <w:bookmarkEnd w:id="30"/>
    <w:bookmarkEnd w:id="31"/>
    <w:p w14:paraId="29E73AB6">
      <w:pPr>
        <w:spacing w:line="360" w:lineRule="auto"/>
        <w:ind w:left="210" w:leftChars="100"/>
        <w:rPr>
          <w:rFonts w:hint="eastAsia" w:ascii="宋体" w:hAnsi="宋体" w:eastAsia="宋体" w:cs="宋体"/>
          <w:b w:val="0"/>
          <w:bCs w:val="0"/>
          <w:color w:val="auto"/>
          <w:szCs w:val="21"/>
          <w:highlight w:val="none"/>
          <w:u w:val="none"/>
          <w:lang w:val="en-US" w:eastAsia="zh-CN"/>
        </w:rPr>
      </w:pPr>
      <w:bookmarkStart w:id="36" w:name="_Hlk37429674"/>
      <w:r>
        <w:rPr>
          <w:rFonts w:hint="eastAsia" w:ascii="宋体" w:hAnsi="宋体" w:eastAsia="宋体" w:cs="宋体"/>
          <w:color w:val="auto"/>
          <w:highlight w:val="none"/>
        </w:rPr>
        <w:t>中国政府采购网（http://www.ccgp.gov.cn）、广西壮族自治区政府采购网（http://zfcg.gxzf.gov.cn）、</w:t>
      </w:r>
      <w:r>
        <w:rPr>
          <w:rFonts w:hint="eastAsia" w:ascii="宋体" w:hAnsi="宋体" w:eastAsia="宋体" w:cs="宋体"/>
          <w:b w:val="0"/>
          <w:bCs w:val="0"/>
          <w:color w:val="auto"/>
          <w:szCs w:val="21"/>
          <w:highlight w:val="none"/>
          <w:u w:val="none"/>
          <w:lang w:val="en-US" w:eastAsia="zh-CN"/>
        </w:rPr>
        <w:t>广西壮族自治区公共资源交易中心网（gxggzy.gxzf.gov.cn）、广西阳光采购服务平台（https://www.gxygcg.com/）。</w:t>
      </w:r>
    </w:p>
    <w:p w14:paraId="07EE69CB">
      <w:pPr>
        <w:spacing w:line="360" w:lineRule="auto"/>
        <w:ind w:left="210" w:leftChars="100"/>
        <w:rPr>
          <w:rFonts w:hint="eastAsia" w:ascii="宋体" w:hAnsi="宋体" w:eastAsia="宋体" w:cs="宋体"/>
          <w:color w:val="auto"/>
          <w:kern w:val="0"/>
          <w:szCs w:val="21"/>
          <w:highlight w:val="none"/>
          <w:lang w:eastAsia="zh-CN"/>
        </w:rPr>
      </w:pPr>
      <w:r>
        <w:rPr>
          <w:rFonts w:hint="eastAsia" w:ascii="宋体" w:hAnsi="宋体" w:eastAsia="宋体" w:cs="宋体"/>
          <w:color w:val="auto"/>
          <w:highlight w:val="none"/>
          <w:lang w:val="en-US" w:eastAsia="zh-CN"/>
        </w:rPr>
        <w:t>2.投标保证金：</w:t>
      </w:r>
      <w:r>
        <w:rPr>
          <w:rFonts w:hint="eastAsia" w:ascii="宋体" w:hAnsi="宋体" w:eastAsia="宋体" w:cs="宋体"/>
          <w:color w:val="auto"/>
          <w:kern w:val="2"/>
          <w:szCs w:val="21"/>
          <w:highlight w:val="none"/>
        </w:rPr>
        <w:t>分标</w:t>
      </w:r>
      <w:r>
        <w:rPr>
          <w:rFonts w:hint="eastAsia" w:ascii="宋体" w:hAnsi="宋体" w:eastAsia="宋体" w:cs="宋体"/>
          <w:color w:val="auto"/>
          <w:kern w:val="2"/>
          <w:szCs w:val="21"/>
          <w:highlight w:val="none"/>
          <w:lang w:val="en-US" w:eastAsia="zh-CN"/>
        </w:rPr>
        <w:t>1</w:t>
      </w:r>
      <w:r>
        <w:rPr>
          <w:rFonts w:hint="eastAsia" w:ascii="宋体" w:hAnsi="宋体" w:eastAsia="宋体" w:cs="宋体"/>
          <w:color w:val="auto"/>
          <w:kern w:val="2"/>
          <w:szCs w:val="21"/>
          <w:highlight w:val="none"/>
        </w:rPr>
        <w:t>：</w:t>
      </w:r>
      <w:r>
        <w:rPr>
          <w:rFonts w:hint="eastAsia" w:ascii="宋体" w:hAnsi="宋体" w:eastAsia="宋体" w:cs="宋体"/>
          <w:color w:val="auto"/>
          <w:kern w:val="2"/>
          <w:szCs w:val="21"/>
          <w:highlight w:val="none"/>
          <w:lang w:val="en-US" w:eastAsia="zh-CN"/>
        </w:rPr>
        <w:t>9500.00</w:t>
      </w:r>
      <w:r>
        <w:rPr>
          <w:rFonts w:hint="eastAsia" w:ascii="宋体" w:hAnsi="宋体" w:eastAsia="宋体" w:cs="宋体"/>
          <w:color w:val="auto"/>
          <w:kern w:val="2"/>
          <w:szCs w:val="21"/>
          <w:highlight w:val="none"/>
        </w:rPr>
        <w:t>元；分标</w:t>
      </w:r>
      <w:r>
        <w:rPr>
          <w:rFonts w:hint="eastAsia" w:ascii="宋体" w:hAnsi="宋体" w:eastAsia="宋体" w:cs="宋体"/>
          <w:color w:val="auto"/>
          <w:kern w:val="2"/>
          <w:szCs w:val="21"/>
          <w:highlight w:val="none"/>
          <w:lang w:val="en-US" w:eastAsia="zh-CN"/>
        </w:rPr>
        <w:t>2</w:t>
      </w:r>
      <w:r>
        <w:rPr>
          <w:rFonts w:hint="eastAsia" w:ascii="宋体" w:hAnsi="宋体" w:eastAsia="宋体" w:cs="宋体"/>
          <w:color w:val="auto"/>
          <w:kern w:val="2"/>
          <w:szCs w:val="21"/>
          <w:highlight w:val="none"/>
        </w:rPr>
        <w:t>：</w:t>
      </w:r>
      <w:r>
        <w:rPr>
          <w:rFonts w:hint="eastAsia" w:ascii="宋体" w:hAnsi="宋体" w:eastAsia="宋体" w:cs="宋体"/>
          <w:color w:val="auto"/>
          <w:kern w:val="2"/>
          <w:szCs w:val="21"/>
          <w:highlight w:val="none"/>
          <w:lang w:val="en-US" w:eastAsia="zh-CN"/>
        </w:rPr>
        <w:t>9000.00</w:t>
      </w:r>
      <w:r>
        <w:rPr>
          <w:rFonts w:hint="eastAsia" w:ascii="宋体" w:hAnsi="宋体" w:eastAsia="宋体" w:cs="宋体"/>
          <w:color w:val="auto"/>
          <w:kern w:val="2"/>
          <w:szCs w:val="21"/>
          <w:highlight w:val="none"/>
        </w:rPr>
        <w:t>元</w:t>
      </w:r>
      <w:r>
        <w:rPr>
          <w:rFonts w:hint="eastAsia" w:ascii="宋体" w:hAnsi="宋体" w:eastAsia="宋体" w:cs="宋体"/>
          <w:color w:val="auto"/>
          <w:kern w:val="2"/>
          <w:szCs w:val="21"/>
          <w:highlight w:val="none"/>
          <w:lang w:eastAsia="zh-CN"/>
        </w:rPr>
        <w:t>；</w:t>
      </w:r>
      <w:r>
        <w:rPr>
          <w:rFonts w:hint="eastAsia" w:ascii="宋体" w:hAnsi="宋体" w:eastAsia="宋体" w:cs="宋体"/>
          <w:color w:val="auto"/>
          <w:kern w:val="2"/>
          <w:szCs w:val="21"/>
          <w:highlight w:val="none"/>
        </w:rPr>
        <w:t>分标</w:t>
      </w:r>
      <w:r>
        <w:rPr>
          <w:rFonts w:hint="eastAsia" w:ascii="宋体" w:hAnsi="宋体" w:eastAsia="宋体" w:cs="宋体"/>
          <w:color w:val="auto"/>
          <w:kern w:val="2"/>
          <w:szCs w:val="21"/>
          <w:highlight w:val="none"/>
          <w:lang w:val="en-US" w:eastAsia="zh-CN"/>
        </w:rPr>
        <w:t>3</w:t>
      </w:r>
      <w:r>
        <w:rPr>
          <w:rFonts w:hint="eastAsia" w:ascii="宋体" w:hAnsi="宋体" w:eastAsia="宋体" w:cs="宋体"/>
          <w:color w:val="auto"/>
          <w:kern w:val="2"/>
          <w:szCs w:val="21"/>
          <w:highlight w:val="none"/>
        </w:rPr>
        <w:t>：</w:t>
      </w:r>
      <w:r>
        <w:rPr>
          <w:rFonts w:hint="eastAsia" w:ascii="宋体" w:hAnsi="宋体" w:eastAsia="宋体" w:cs="宋体"/>
          <w:color w:val="auto"/>
          <w:kern w:val="2"/>
          <w:szCs w:val="21"/>
          <w:highlight w:val="none"/>
          <w:lang w:val="en-US" w:eastAsia="zh-CN"/>
        </w:rPr>
        <w:t>6000.00</w:t>
      </w:r>
      <w:r>
        <w:rPr>
          <w:rFonts w:hint="eastAsia" w:ascii="宋体" w:hAnsi="宋体" w:eastAsia="宋体" w:cs="宋体"/>
          <w:color w:val="auto"/>
          <w:kern w:val="2"/>
          <w:szCs w:val="21"/>
          <w:highlight w:val="none"/>
        </w:rPr>
        <w:t>元</w:t>
      </w:r>
      <w:r>
        <w:rPr>
          <w:rFonts w:hint="eastAsia" w:ascii="宋体" w:hAnsi="宋体" w:eastAsia="宋体" w:cs="宋体"/>
          <w:color w:val="auto"/>
          <w:kern w:val="2"/>
          <w:szCs w:val="21"/>
          <w:highlight w:val="none"/>
          <w:lang w:eastAsia="zh-CN"/>
        </w:rPr>
        <w:t>；</w:t>
      </w:r>
      <w:r>
        <w:rPr>
          <w:rFonts w:hint="eastAsia" w:ascii="宋体" w:hAnsi="宋体" w:eastAsia="宋体" w:cs="宋体"/>
          <w:color w:val="auto"/>
          <w:kern w:val="2"/>
          <w:szCs w:val="21"/>
          <w:highlight w:val="none"/>
        </w:rPr>
        <w:t>分标</w:t>
      </w:r>
      <w:r>
        <w:rPr>
          <w:rFonts w:hint="eastAsia" w:ascii="宋体" w:hAnsi="宋体" w:eastAsia="宋体" w:cs="宋体"/>
          <w:color w:val="auto"/>
          <w:kern w:val="2"/>
          <w:szCs w:val="21"/>
          <w:highlight w:val="none"/>
          <w:lang w:val="en-US" w:eastAsia="zh-CN"/>
        </w:rPr>
        <w:t>4</w:t>
      </w:r>
      <w:r>
        <w:rPr>
          <w:rFonts w:hint="eastAsia" w:ascii="宋体" w:hAnsi="宋体" w:eastAsia="宋体" w:cs="宋体"/>
          <w:color w:val="auto"/>
          <w:kern w:val="2"/>
          <w:szCs w:val="21"/>
          <w:highlight w:val="none"/>
        </w:rPr>
        <w:t>：</w:t>
      </w:r>
      <w:r>
        <w:rPr>
          <w:rFonts w:hint="eastAsia" w:ascii="宋体" w:hAnsi="宋体" w:eastAsia="宋体" w:cs="宋体"/>
          <w:color w:val="auto"/>
          <w:kern w:val="2"/>
          <w:szCs w:val="21"/>
          <w:highlight w:val="none"/>
          <w:lang w:val="en-US" w:eastAsia="zh-CN"/>
        </w:rPr>
        <w:t>8000.00</w:t>
      </w:r>
      <w:r>
        <w:rPr>
          <w:rFonts w:hint="eastAsia" w:ascii="宋体" w:hAnsi="宋体" w:eastAsia="宋体" w:cs="宋体"/>
          <w:color w:val="auto"/>
          <w:kern w:val="2"/>
          <w:szCs w:val="21"/>
          <w:highlight w:val="none"/>
        </w:rPr>
        <w:t>元</w:t>
      </w:r>
      <w:r>
        <w:rPr>
          <w:rFonts w:hint="eastAsia" w:ascii="宋体" w:hAnsi="宋体" w:eastAsia="宋体" w:cs="宋体"/>
          <w:color w:val="auto"/>
          <w:kern w:val="2"/>
          <w:szCs w:val="21"/>
          <w:highlight w:val="none"/>
          <w:lang w:eastAsia="zh-CN"/>
        </w:rPr>
        <w:t>；</w:t>
      </w:r>
      <w:r>
        <w:rPr>
          <w:rFonts w:hint="eastAsia" w:ascii="宋体" w:hAnsi="宋体" w:eastAsia="宋体" w:cs="宋体"/>
          <w:color w:val="auto"/>
          <w:kern w:val="2"/>
          <w:szCs w:val="21"/>
          <w:highlight w:val="none"/>
        </w:rPr>
        <w:t>分标</w:t>
      </w:r>
      <w:r>
        <w:rPr>
          <w:rFonts w:hint="eastAsia" w:ascii="宋体" w:hAnsi="宋体" w:eastAsia="宋体" w:cs="宋体"/>
          <w:color w:val="auto"/>
          <w:kern w:val="2"/>
          <w:szCs w:val="21"/>
          <w:highlight w:val="none"/>
          <w:lang w:val="en-US" w:eastAsia="zh-CN"/>
        </w:rPr>
        <w:t>5</w:t>
      </w:r>
      <w:r>
        <w:rPr>
          <w:rFonts w:hint="eastAsia" w:ascii="宋体" w:hAnsi="宋体" w:eastAsia="宋体" w:cs="宋体"/>
          <w:color w:val="auto"/>
          <w:kern w:val="2"/>
          <w:szCs w:val="21"/>
          <w:highlight w:val="none"/>
        </w:rPr>
        <w:t>：</w:t>
      </w:r>
      <w:r>
        <w:rPr>
          <w:rFonts w:hint="eastAsia" w:ascii="宋体" w:hAnsi="宋体" w:eastAsia="宋体" w:cs="宋体"/>
          <w:color w:val="auto"/>
          <w:kern w:val="2"/>
          <w:szCs w:val="21"/>
          <w:highlight w:val="none"/>
          <w:lang w:val="en-US" w:eastAsia="zh-CN"/>
        </w:rPr>
        <w:t>8500.00</w:t>
      </w:r>
      <w:r>
        <w:rPr>
          <w:rFonts w:hint="eastAsia" w:ascii="宋体" w:hAnsi="宋体" w:eastAsia="宋体" w:cs="宋体"/>
          <w:color w:val="auto"/>
          <w:kern w:val="2"/>
          <w:szCs w:val="21"/>
          <w:highlight w:val="none"/>
        </w:rPr>
        <w:t>元</w:t>
      </w:r>
      <w:r>
        <w:rPr>
          <w:rFonts w:hint="eastAsia" w:ascii="宋体" w:hAnsi="宋体" w:eastAsia="宋体" w:cs="宋体"/>
          <w:color w:val="auto"/>
          <w:szCs w:val="21"/>
          <w:highlight w:val="none"/>
        </w:rPr>
        <w:t>）</w:t>
      </w:r>
      <w:r>
        <w:rPr>
          <w:rFonts w:hint="eastAsia" w:ascii="宋体" w:hAnsi="宋体" w:eastAsia="宋体" w:cs="宋体"/>
          <w:i w:val="0"/>
          <w:iCs w:val="0"/>
          <w:caps w:val="0"/>
          <w:color w:val="auto"/>
          <w:spacing w:val="0"/>
          <w:sz w:val="21"/>
          <w:szCs w:val="24"/>
          <w:highlight w:val="none"/>
          <w:lang w:eastAsia="zh-CN"/>
        </w:rPr>
        <w:t>。</w:t>
      </w:r>
      <w:r>
        <w:rPr>
          <w:rFonts w:hint="eastAsia" w:ascii="宋体" w:hAnsi="宋体" w:eastAsia="宋体" w:cs="宋体"/>
          <w:i w:val="0"/>
          <w:iCs w:val="0"/>
          <w:caps w:val="0"/>
          <w:color w:val="auto"/>
          <w:spacing w:val="0"/>
          <w:sz w:val="21"/>
          <w:szCs w:val="24"/>
          <w:highlight w:val="none"/>
        </w:rPr>
        <w:br w:type="textWrapping"/>
      </w:r>
      <w:r>
        <w:rPr>
          <w:rFonts w:hint="eastAsia" w:ascii="宋体" w:hAnsi="宋体" w:eastAsia="宋体" w:cs="宋体"/>
          <w:i w:val="0"/>
          <w:iCs w:val="0"/>
          <w:caps w:val="0"/>
          <w:color w:val="auto"/>
          <w:spacing w:val="0"/>
          <w:sz w:val="21"/>
          <w:szCs w:val="24"/>
          <w:highlight w:val="none"/>
        </w:rPr>
        <w:t>投标保证金的交纳方式：银行转账、支票、汇票、本票或者银行、保险机构出具的保函（包含电子保函），禁止采用现钞方式。采用银行转账方式的，在投标截止时间前从投标人账户交至指定账户并且到账（</w:t>
      </w:r>
      <w:r>
        <w:rPr>
          <w:rFonts w:hint="eastAsia" w:ascii="宋体" w:hAnsi="宋体" w:eastAsia="宋体" w:cs="宋体"/>
          <w:b/>
          <w:bCs/>
          <w:i w:val="0"/>
          <w:iCs w:val="0"/>
          <w:caps w:val="0"/>
          <w:color w:val="auto"/>
          <w:spacing w:val="0"/>
          <w:sz w:val="21"/>
          <w:szCs w:val="24"/>
          <w:highlight w:val="none"/>
        </w:rPr>
        <w:t>开户名称：</w:t>
      </w:r>
      <w:r>
        <w:rPr>
          <w:rFonts w:hint="eastAsia" w:ascii="宋体" w:hAnsi="宋体" w:eastAsia="宋体" w:cs="宋体"/>
          <w:b/>
          <w:bCs/>
          <w:i w:val="0"/>
          <w:iCs w:val="0"/>
          <w:caps w:val="0"/>
          <w:color w:val="auto"/>
          <w:spacing w:val="0"/>
          <w:sz w:val="21"/>
          <w:szCs w:val="24"/>
          <w:highlight w:val="none"/>
          <w:lang w:eastAsia="zh-CN"/>
        </w:rPr>
        <w:t>广西泓贯项目咨询管理有限公司</w:t>
      </w:r>
      <w:r>
        <w:rPr>
          <w:rFonts w:hint="eastAsia" w:ascii="宋体" w:hAnsi="宋体" w:eastAsia="宋体" w:cs="宋体"/>
          <w:b/>
          <w:bCs/>
          <w:i w:val="0"/>
          <w:iCs w:val="0"/>
          <w:caps w:val="0"/>
          <w:color w:val="auto"/>
          <w:spacing w:val="0"/>
          <w:sz w:val="21"/>
          <w:szCs w:val="24"/>
          <w:highlight w:val="none"/>
        </w:rPr>
        <w:t>，开户银行：</w:t>
      </w:r>
      <w:r>
        <w:rPr>
          <w:rFonts w:hint="eastAsia" w:ascii="宋体" w:hAnsi="宋体" w:eastAsia="宋体" w:cs="宋体"/>
          <w:b/>
          <w:bCs/>
          <w:i w:val="0"/>
          <w:iCs w:val="0"/>
          <w:caps w:val="0"/>
          <w:color w:val="auto"/>
          <w:spacing w:val="0"/>
          <w:sz w:val="21"/>
          <w:szCs w:val="24"/>
          <w:highlight w:val="none"/>
          <w:lang w:eastAsia="zh-CN"/>
        </w:rPr>
        <w:t>招商银行股份有限公司南宁五一路支行</w:t>
      </w:r>
      <w:r>
        <w:rPr>
          <w:rFonts w:hint="eastAsia" w:ascii="宋体" w:hAnsi="宋体" w:eastAsia="宋体" w:cs="宋体"/>
          <w:b/>
          <w:bCs/>
          <w:i w:val="0"/>
          <w:iCs w:val="0"/>
          <w:caps w:val="0"/>
          <w:color w:val="auto"/>
          <w:spacing w:val="0"/>
          <w:sz w:val="21"/>
          <w:szCs w:val="24"/>
          <w:highlight w:val="none"/>
        </w:rPr>
        <w:t>，银行账号：</w:t>
      </w:r>
      <w:r>
        <w:rPr>
          <w:rFonts w:hint="eastAsia" w:ascii="宋体" w:hAnsi="宋体" w:eastAsia="宋体" w:cs="宋体"/>
          <w:b/>
          <w:bCs/>
          <w:i w:val="0"/>
          <w:iCs w:val="0"/>
          <w:caps w:val="0"/>
          <w:color w:val="auto"/>
          <w:spacing w:val="0"/>
          <w:sz w:val="21"/>
          <w:szCs w:val="24"/>
          <w:highlight w:val="none"/>
          <w:lang w:eastAsia="zh-CN"/>
        </w:rPr>
        <w:t>771903556710001</w:t>
      </w:r>
      <w:r>
        <w:rPr>
          <w:rFonts w:hint="eastAsia" w:ascii="宋体" w:hAnsi="宋体" w:eastAsia="宋体" w:cs="宋体"/>
          <w:b/>
          <w:bCs/>
          <w:i w:val="0"/>
          <w:iCs w:val="0"/>
          <w:caps w:val="0"/>
          <w:color w:val="auto"/>
          <w:spacing w:val="0"/>
          <w:sz w:val="21"/>
          <w:szCs w:val="24"/>
          <w:highlight w:val="none"/>
        </w:rPr>
        <w:t>）</w:t>
      </w:r>
      <w:r>
        <w:rPr>
          <w:rFonts w:hint="eastAsia" w:ascii="宋体" w:hAnsi="宋体" w:eastAsia="宋体" w:cs="宋体"/>
          <w:i w:val="0"/>
          <w:iCs w:val="0"/>
          <w:caps w:val="0"/>
          <w:color w:val="auto"/>
          <w:spacing w:val="0"/>
          <w:sz w:val="21"/>
          <w:szCs w:val="24"/>
          <w:highlight w:val="none"/>
        </w:rPr>
        <w:t>；采用支票、汇票、本票或者保函等方式的，在投标截止时间前，投标人必须递交单独密封的支票、汇票、本票或者保函原件。否则视为无效投标保证金。</w:t>
      </w:r>
      <w:r>
        <w:rPr>
          <w:rFonts w:hint="eastAsia" w:ascii="宋体" w:hAnsi="宋体" w:eastAsia="宋体" w:cs="宋体"/>
          <w:i w:val="0"/>
          <w:iCs w:val="0"/>
          <w:caps w:val="0"/>
          <w:color w:val="auto"/>
          <w:spacing w:val="0"/>
          <w:sz w:val="21"/>
          <w:szCs w:val="24"/>
          <w:highlight w:val="none"/>
        </w:rPr>
        <w:br w:type="textWrapping"/>
      </w:r>
      <w:r>
        <w:rPr>
          <w:rFonts w:hint="eastAsia" w:ascii="宋体" w:hAnsi="宋体" w:eastAsia="宋体" w:cs="宋体"/>
          <w:color w:val="auto"/>
          <w:kern w:val="0"/>
          <w:szCs w:val="21"/>
          <w:highlight w:val="none"/>
          <w:lang w:val="en-US" w:eastAsia="zh-CN"/>
        </w:rPr>
        <w:t>3</w:t>
      </w:r>
      <w:r>
        <w:rPr>
          <w:rFonts w:hint="eastAsia" w:ascii="宋体" w:hAnsi="宋体" w:eastAsia="宋体" w:cs="宋体"/>
          <w:color w:val="auto"/>
          <w:kern w:val="0"/>
          <w:szCs w:val="21"/>
          <w:highlight w:val="none"/>
        </w:rPr>
        <w:t>.本项目需要落实的政府采购政策</w:t>
      </w:r>
      <w:r>
        <w:rPr>
          <w:rFonts w:hint="eastAsia" w:ascii="宋体" w:hAnsi="宋体" w:eastAsia="宋体" w:cs="宋体"/>
          <w:color w:val="auto"/>
          <w:kern w:val="0"/>
          <w:szCs w:val="21"/>
          <w:highlight w:val="none"/>
          <w:lang w:eastAsia="zh-CN"/>
        </w:rPr>
        <w:t>：</w:t>
      </w:r>
    </w:p>
    <w:p w14:paraId="5BE0E6AB">
      <w:pPr>
        <w:spacing w:line="360" w:lineRule="auto"/>
        <w:ind w:firstLine="210" w:firstLineChars="1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（1）政府采购促进中小企业发展。</w:t>
      </w:r>
    </w:p>
    <w:p w14:paraId="50EA1953">
      <w:pPr>
        <w:spacing w:line="360" w:lineRule="auto"/>
        <w:ind w:firstLine="210" w:firstLineChars="1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（2）政府采购支持采用本国产品的政策。</w:t>
      </w:r>
    </w:p>
    <w:p w14:paraId="720C36B5">
      <w:pPr>
        <w:spacing w:line="360" w:lineRule="auto"/>
        <w:ind w:firstLine="210" w:firstLineChars="1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（3）政府采购促进残疾人就业政策。</w:t>
      </w:r>
    </w:p>
    <w:p w14:paraId="43EA11EA">
      <w:pPr>
        <w:spacing w:line="360" w:lineRule="auto"/>
        <w:ind w:firstLine="210" w:firstLineChars="1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（4）政府采购支持监狱企业发展。</w:t>
      </w:r>
    </w:p>
    <w:bookmarkEnd w:id="36"/>
    <w:p w14:paraId="3523438A">
      <w:pPr>
        <w:widowControl/>
        <w:spacing w:line="360" w:lineRule="auto"/>
        <w:ind w:firstLine="210" w:firstLineChars="100"/>
        <w:jc w:val="left"/>
        <w:rPr>
          <w:rFonts w:hint="eastAsia" w:ascii="宋体" w:hAnsi="宋体" w:eastAsia="宋体" w:cs="宋体"/>
          <w:color w:val="auto"/>
          <w:szCs w:val="21"/>
          <w:highlight w:val="none"/>
          <w:lang w:eastAsia="zh-CN"/>
        </w:rPr>
      </w:pPr>
      <w:r>
        <w:rPr>
          <w:rFonts w:hint="eastAsia" w:ascii="宋体" w:hAnsi="宋体" w:eastAsia="宋体" w:cs="宋体"/>
          <w:color w:val="auto"/>
          <w:kern w:val="0"/>
          <w:szCs w:val="21"/>
          <w:highlight w:val="none"/>
          <w:lang w:val="en-US" w:eastAsia="zh-CN"/>
        </w:rPr>
        <w:t>4</w:t>
      </w:r>
      <w:r>
        <w:rPr>
          <w:rFonts w:hint="eastAsia" w:ascii="宋体" w:hAnsi="宋体" w:eastAsia="宋体" w:cs="宋体"/>
          <w:color w:val="auto"/>
          <w:kern w:val="0"/>
          <w:szCs w:val="21"/>
          <w:highlight w:val="none"/>
        </w:rPr>
        <w:t>.投标人</w:t>
      </w:r>
      <w:r>
        <w:rPr>
          <w:rFonts w:hint="eastAsia" w:ascii="宋体" w:hAnsi="宋体" w:eastAsia="宋体" w:cs="宋体"/>
          <w:color w:val="auto"/>
          <w:szCs w:val="21"/>
          <w:highlight w:val="none"/>
        </w:rPr>
        <w:t>投标注意事项</w:t>
      </w:r>
      <w:r>
        <w:rPr>
          <w:rFonts w:hint="eastAsia" w:ascii="宋体" w:hAnsi="宋体" w:eastAsia="宋体" w:cs="宋体"/>
          <w:color w:val="auto"/>
          <w:szCs w:val="21"/>
          <w:highlight w:val="none"/>
          <w:lang w:eastAsia="zh-CN"/>
        </w:rPr>
        <w:t>：</w:t>
      </w:r>
    </w:p>
    <w:p w14:paraId="4ED14275">
      <w:pPr>
        <w:widowControl/>
        <w:spacing w:line="360" w:lineRule="auto"/>
        <w:ind w:firstLine="210" w:firstLineChars="100"/>
        <w:jc w:val="left"/>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1）本项目为全流程电子化采购项目，通过“广西政府采购云平台”（https://www.gcy.zfcg.gxzf.gov.cn/）实行在线电子投标，投标人应先安装“广西政府采购云平台”电子投标客户端（请自行前往“广西政府采购云平台”进行下载），并按照本项目招标文件和“广西政府采购云平台”的要求编制、加密后在投标截止时间前通过网络上传至 “广西政府采购云平台”（加密的电子投标文件是指</w:t>
      </w:r>
      <w:r>
        <w:rPr>
          <w:rFonts w:hint="eastAsia" w:ascii="宋体" w:hAnsi="宋体" w:eastAsia="宋体" w:cs="宋体"/>
          <w:color w:val="auto"/>
          <w:highlight w:val="none"/>
        </w:rPr>
        <w:t>后缀名为“jmbs”的文件</w:t>
      </w:r>
      <w:r>
        <w:rPr>
          <w:rFonts w:hint="eastAsia" w:ascii="宋体" w:hAnsi="宋体" w:eastAsia="宋体" w:cs="宋体"/>
          <w:color w:val="auto"/>
          <w:szCs w:val="21"/>
          <w:highlight w:val="none"/>
        </w:rPr>
        <w:t>），投标人在“广西政府采购云平台”提交电子投标文件时，请填写参加远程开标活动经办人联系方式。</w:t>
      </w:r>
      <w:r>
        <w:rPr>
          <w:rFonts w:hint="eastAsia" w:ascii="宋体" w:hAnsi="宋体" w:eastAsia="宋体" w:cs="宋体"/>
          <w:color w:val="auto"/>
          <w:highlight w:val="none"/>
        </w:rPr>
        <w:t>投标人登录“广西政府采购云平台”，依次进入“服务中心-帮助文档-操作流程-电子招投标-政府采购项目电子交易管理操作指南-供应商”查看电子投标具体操作流程。</w:t>
      </w:r>
    </w:p>
    <w:p w14:paraId="1EFFBFFE">
      <w:pPr>
        <w:widowControl/>
        <w:spacing w:line="360" w:lineRule="auto"/>
        <w:ind w:firstLine="210" w:firstLineChars="1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未进行网上注册并办理数字证书（CA认证）的投标人将无法参与本项目政府采购活动，投标人应当在投标截止时间前，完成电子交易平台上的CA数字证书办理及投标文件的提交（投标人可登录“广西政府采购网”，依次进入“办事服务-下载专区”或者登录“广西政府采购云平台”</w:t>
      </w:r>
      <w:r>
        <w:rPr>
          <w:rFonts w:hint="eastAsia" w:ascii="宋体" w:hAnsi="宋体" w:eastAsia="宋体" w:cs="宋体"/>
          <w:color w:val="auto"/>
          <w:kern w:val="0"/>
          <w:szCs w:val="21"/>
          <w:highlight w:val="none"/>
        </w:rPr>
        <w:t>，</w:t>
      </w:r>
      <w:r>
        <w:rPr>
          <w:rFonts w:hint="eastAsia" w:ascii="宋体" w:hAnsi="宋体" w:eastAsia="宋体" w:cs="宋体"/>
          <w:color w:val="auto"/>
          <w:szCs w:val="21"/>
          <w:highlight w:val="none"/>
        </w:rPr>
        <w:t>依次进入“服务中心-入驻与配置”中查看CA数字证书办理操作流程。</w:t>
      </w:r>
      <w:r>
        <w:rPr>
          <w:rFonts w:hint="eastAsia" w:ascii="宋体" w:hAnsi="宋体" w:eastAsia="宋体" w:cs="宋体"/>
          <w:bCs/>
          <w:color w:val="auto"/>
          <w:kern w:val="0"/>
          <w:szCs w:val="21"/>
          <w:highlight w:val="none"/>
        </w:rPr>
        <w:t>如在操作过程中遇到问题或者需要技术支持，请致电政府采购平台客服电话：95763</w:t>
      </w:r>
      <w:r>
        <w:rPr>
          <w:rFonts w:hint="eastAsia" w:ascii="宋体" w:hAnsi="宋体" w:eastAsia="宋体" w:cs="宋体"/>
          <w:color w:val="auto"/>
          <w:szCs w:val="21"/>
          <w:highlight w:val="none"/>
        </w:rPr>
        <w:t>）。</w:t>
      </w:r>
    </w:p>
    <w:p w14:paraId="2209125C">
      <w:pPr>
        <w:snapToGrid w:val="0"/>
        <w:spacing w:line="360" w:lineRule="auto"/>
        <w:ind w:firstLine="210" w:firstLineChars="1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（3）CA证书在线解密：投标人投标时，需凭制作投标文件时用来加密的有效数字证书（CA认证）登录</w:t>
      </w:r>
      <w:r>
        <w:rPr>
          <w:rFonts w:hint="eastAsia" w:ascii="宋体" w:hAnsi="宋体" w:eastAsia="宋体" w:cs="宋体"/>
          <w:color w:val="auto"/>
          <w:szCs w:val="21"/>
          <w:highlight w:val="none"/>
        </w:rPr>
        <w:t>“广西政府采购云平台”</w:t>
      </w:r>
      <w:r>
        <w:rPr>
          <w:rFonts w:hint="eastAsia" w:ascii="宋体" w:hAnsi="宋体" w:eastAsia="宋体" w:cs="宋体"/>
          <w:color w:val="auto"/>
          <w:kern w:val="0"/>
          <w:szCs w:val="21"/>
          <w:highlight w:val="none"/>
        </w:rPr>
        <w:t>电子开标大厅现场按规定时间对加密的投标文件进行解密，否则后果自负。</w:t>
      </w:r>
    </w:p>
    <w:p w14:paraId="3C0DA668">
      <w:pPr>
        <w:spacing w:line="360" w:lineRule="auto"/>
        <w:ind w:firstLine="211" w:firstLineChars="100"/>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注：</w:t>
      </w:r>
      <w:r>
        <w:rPr>
          <w:rFonts w:hint="eastAsia" w:ascii="宋体" w:hAnsi="宋体" w:eastAsia="宋体" w:cs="宋体"/>
          <w:color w:val="auto"/>
          <w:szCs w:val="21"/>
          <w:highlight w:val="none"/>
        </w:rPr>
        <w:t>1）为确保网上操作合法、有效和安全，请投标人确保在电子投标过程中能够对相关数据电文进行加密和使用电子签章，妥善保管CA数字证书并使用有效的CA数字证书参与整个招标活动。</w:t>
      </w:r>
    </w:p>
    <w:p w14:paraId="3C8F31A0">
      <w:pP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bCs/>
          <w:color w:val="auto"/>
          <w:szCs w:val="21"/>
          <w:highlight w:val="none"/>
        </w:rPr>
        <w:t>投标人应当在投标截止时间前完成电子投标文件的上传、提交，投标截止时间前可以补充、修改或者撤回投标文件。补充或者修改投标文件的，应当先行撤回原投标文件，补充、修改后重新上传、提交，投标截止时间前</w:t>
      </w:r>
      <w:r>
        <w:rPr>
          <w:rFonts w:hint="eastAsia" w:ascii="宋体" w:hAnsi="宋体" w:eastAsia="宋体" w:cs="宋体"/>
          <w:bCs/>
          <w:color w:val="auto"/>
          <w:szCs w:val="21"/>
          <w:highlight w:val="none"/>
        </w:rPr>
        <w:t>未完成上传、提交的，视为撤回投标文件。投标截止时间以后上传递交的投标文件，</w:t>
      </w:r>
      <w:r>
        <w:rPr>
          <w:rFonts w:hint="eastAsia" w:ascii="宋体" w:hAnsi="宋体" w:eastAsia="宋体" w:cs="宋体"/>
          <w:color w:val="auto"/>
          <w:szCs w:val="21"/>
          <w:highlight w:val="none"/>
        </w:rPr>
        <w:t>“广西政府采购云平台”</w:t>
      </w:r>
      <w:r>
        <w:rPr>
          <w:rFonts w:hint="eastAsia" w:ascii="宋体" w:hAnsi="宋体" w:eastAsia="宋体" w:cs="宋体"/>
          <w:bCs/>
          <w:color w:val="auto"/>
          <w:szCs w:val="21"/>
          <w:highlight w:val="none"/>
        </w:rPr>
        <w:t>将予以拒收。</w:t>
      </w:r>
    </w:p>
    <w:p w14:paraId="3DB92655">
      <w:pPr>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七、对本次招标提出询问，请按以下方式联系</w:t>
      </w:r>
      <w:bookmarkEnd w:id="32"/>
      <w:bookmarkEnd w:id="33"/>
      <w:bookmarkEnd w:id="34"/>
      <w:bookmarkEnd w:id="35"/>
      <w:r>
        <w:rPr>
          <w:rFonts w:hint="eastAsia" w:ascii="宋体" w:hAnsi="宋体" w:eastAsia="宋体" w:cs="宋体"/>
          <w:b/>
          <w:bCs/>
          <w:color w:val="auto"/>
          <w:sz w:val="24"/>
          <w:highlight w:val="none"/>
        </w:rPr>
        <w:t>：</w:t>
      </w:r>
    </w:p>
    <w:p w14:paraId="5336E282">
      <w:pPr>
        <w:spacing w:line="360" w:lineRule="auto"/>
        <w:ind w:firstLine="424" w:firstLineChars="202"/>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1.采购人信息</w:t>
      </w:r>
    </w:p>
    <w:p w14:paraId="12B925AC">
      <w:pPr>
        <w:spacing w:line="360" w:lineRule="auto"/>
        <w:ind w:firstLine="424" w:firstLineChars="202"/>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名称：广西壮族自治区山口红树林生态国家级自然保护区管理中心</w:t>
      </w:r>
    </w:p>
    <w:p w14:paraId="2C0F0F45">
      <w:pPr>
        <w:spacing w:line="360" w:lineRule="auto"/>
        <w:ind w:firstLine="424" w:firstLineChars="202"/>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地址：广西北海市银海区云南路278号 </w:t>
      </w:r>
    </w:p>
    <w:p w14:paraId="2797C5A4">
      <w:pPr>
        <w:snapToGrid w:val="0"/>
        <w:spacing w:line="360" w:lineRule="auto"/>
        <w:ind w:firstLine="424" w:firstLineChars="202"/>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项目联系人：李工</w:t>
      </w:r>
    </w:p>
    <w:p w14:paraId="5EF7819E">
      <w:pPr>
        <w:snapToGrid w:val="0"/>
        <w:spacing w:line="360" w:lineRule="auto"/>
        <w:ind w:firstLine="424" w:firstLineChars="202"/>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项目</w:t>
      </w:r>
      <w:r>
        <w:rPr>
          <w:rFonts w:hint="eastAsia" w:ascii="宋体" w:hAnsi="宋体" w:eastAsia="宋体" w:cs="宋体"/>
          <w:color w:val="auto"/>
          <w:szCs w:val="21"/>
          <w:highlight w:val="none"/>
        </w:rPr>
        <w:t>联系方式：</w:t>
      </w:r>
      <w:r>
        <w:rPr>
          <w:rFonts w:hint="eastAsia" w:ascii="宋体" w:hAnsi="宋体" w:eastAsia="宋体" w:cs="宋体"/>
          <w:color w:val="auto"/>
          <w:szCs w:val="21"/>
          <w:highlight w:val="none"/>
          <w:lang w:val="en-US" w:eastAsia="zh-CN"/>
        </w:rPr>
        <w:t>0779-3832290</w:t>
      </w:r>
    </w:p>
    <w:p w14:paraId="681937B0">
      <w:pPr>
        <w:spacing w:line="360" w:lineRule="auto"/>
        <w:ind w:firstLine="424" w:firstLineChars="202"/>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2.采购代理机构信息</w:t>
      </w:r>
    </w:p>
    <w:p w14:paraId="74F0334D">
      <w:pPr>
        <w:spacing w:line="360" w:lineRule="auto"/>
        <w:ind w:firstLine="424" w:firstLineChars="202"/>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名    称：</w:t>
      </w:r>
      <w:r>
        <w:rPr>
          <w:rFonts w:hint="eastAsia" w:ascii="宋体" w:hAnsi="宋体" w:eastAsia="宋体" w:cs="宋体"/>
          <w:color w:val="auto"/>
          <w:kern w:val="0"/>
          <w:szCs w:val="21"/>
          <w:highlight w:val="none"/>
          <w:lang w:eastAsia="zh-CN"/>
        </w:rPr>
        <w:t>广西泓贯项目咨询管理有限公司</w:t>
      </w:r>
    </w:p>
    <w:p w14:paraId="4228E977">
      <w:pPr>
        <w:spacing w:line="360" w:lineRule="auto"/>
        <w:ind w:firstLine="424" w:firstLineChars="202"/>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地　　址：</w:t>
      </w:r>
      <w:r>
        <w:rPr>
          <w:rFonts w:hint="eastAsia" w:ascii="宋体" w:hAnsi="宋体" w:eastAsia="宋体" w:cs="宋体"/>
          <w:color w:val="auto"/>
          <w:kern w:val="0"/>
          <w:szCs w:val="21"/>
          <w:highlight w:val="none"/>
          <w:lang w:eastAsia="zh-CN"/>
        </w:rPr>
        <w:t>南宁市那洪大道7号研祥智谷A1栋705号房</w:t>
      </w:r>
      <w:r>
        <w:rPr>
          <w:rFonts w:hint="eastAsia" w:ascii="宋体" w:hAnsi="宋体" w:eastAsia="宋体" w:cs="宋体"/>
          <w:color w:val="auto"/>
          <w:szCs w:val="21"/>
          <w:highlight w:val="none"/>
        </w:rPr>
        <w:t xml:space="preserve">   </w:t>
      </w:r>
    </w:p>
    <w:p w14:paraId="6CEA5E59">
      <w:pPr>
        <w:snapToGrid w:val="0"/>
        <w:spacing w:line="360" w:lineRule="auto"/>
        <w:ind w:firstLine="424" w:firstLineChars="202"/>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项目联系人：方工</w:t>
      </w:r>
    </w:p>
    <w:p w14:paraId="4A78EDB4">
      <w:pPr>
        <w:snapToGrid w:val="0"/>
        <w:spacing w:line="360" w:lineRule="auto"/>
        <w:ind w:firstLine="424" w:firstLineChars="202"/>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项目</w:t>
      </w:r>
      <w:r>
        <w:rPr>
          <w:rFonts w:hint="eastAsia" w:ascii="宋体" w:hAnsi="宋体" w:eastAsia="宋体" w:cs="宋体"/>
          <w:color w:val="auto"/>
          <w:szCs w:val="21"/>
          <w:highlight w:val="none"/>
        </w:rPr>
        <w:t>联系方式：</w:t>
      </w:r>
      <w:r>
        <w:rPr>
          <w:rFonts w:hint="eastAsia" w:ascii="宋体" w:hAnsi="宋体" w:eastAsia="宋体" w:cs="宋体"/>
          <w:color w:val="auto"/>
          <w:kern w:val="0"/>
          <w:szCs w:val="21"/>
          <w:highlight w:val="none"/>
          <w:lang w:eastAsia="zh-CN"/>
        </w:rPr>
        <w:t>0771-3313954</w:t>
      </w:r>
      <w:r>
        <w:rPr>
          <w:rFonts w:hint="eastAsia" w:ascii="宋体" w:hAnsi="宋体" w:eastAsia="宋体" w:cs="宋体"/>
          <w:color w:val="auto"/>
          <w:szCs w:val="21"/>
          <w:highlight w:val="none"/>
        </w:rPr>
        <w:t xml:space="preserve"> </w:t>
      </w:r>
    </w:p>
    <w:p w14:paraId="419B5E77">
      <w:pPr>
        <w:spacing w:line="360" w:lineRule="auto"/>
        <w:ind w:firstLine="424" w:firstLineChars="202"/>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p>
    <w:p w14:paraId="6C9CCC2D">
      <w:pPr>
        <w:snapToGrid w:val="0"/>
        <w:spacing w:line="360" w:lineRule="auto"/>
        <w:ind w:firstLine="424" w:firstLineChars="202"/>
        <w:jc w:val="right"/>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lang w:eastAsia="zh-CN"/>
        </w:rPr>
        <w:t>广西泓贯项目咨询管理有限公司</w:t>
      </w:r>
    </w:p>
    <w:p w14:paraId="30582755">
      <w:pPr>
        <w:snapToGrid w:val="0"/>
        <w:spacing w:line="360" w:lineRule="auto"/>
        <w:ind w:firstLine="424" w:firstLineChars="202"/>
        <w:jc w:val="right"/>
        <w:rPr>
          <w:rFonts w:hint="eastAsia" w:ascii="宋体" w:hAnsi="宋体" w:eastAsia="宋体" w:cs="宋体"/>
          <w:color w:val="auto"/>
          <w:szCs w:val="21"/>
          <w:highlight w:val="none"/>
        </w:rPr>
      </w:pPr>
      <w:r>
        <w:rPr>
          <w:rFonts w:hint="eastAsia" w:ascii="宋体" w:hAnsi="宋体" w:eastAsia="宋体" w:cs="宋体"/>
          <w:color w:val="auto"/>
          <w:szCs w:val="21"/>
          <w:highlight w:val="none"/>
        </w:rPr>
        <w:t>202</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年</w:t>
      </w:r>
      <w:r>
        <w:rPr>
          <w:rFonts w:hint="eastAsia" w:ascii="宋体" w:hAnsi="宋体" w:cs="宋体"/>
          <w:color w:val="auto"/>
          <w:szCs w:val="21"/>
          <w:highlight w:val="none"/>
          <w:lang w:val="en-US" w:eastAsia="zh-CN"/>
        </w:rPr>
        <w:t>9</w:t>
      </w:r>
      <w:r>
        <w:rPr>
          <w:rFonts w:hint="eastAsia" w:ascii="宋体" w:hAnsi="宋体" w:eastAsia="宋体" w:cs="宋体"/>
          <w:color w:val="auto"/>
          <w:szCs w:val="21"/>
          <w:highlight w:val="none"/>
        </w:rPr>
        <w:t>月</w:t>
      </w:r>
      <w:r>
        <w:rPr>
          <w:rFonts w:hint="eastAsia" w:ascii="宋体" w:hAnsi="宋体" w:cs="宋体"/>
          <w:color w:val="auto"/>
          <w:szCs w:val="21"/>
          <w:highlight w:val="none"/>
          <w:lang w:val="en-US" w:eastAsia="zh-CN"/>
        </w:rPr>
        <w:t>7</w:t>
      </w:r>
      <w:r>
        <w:rPr>
          <w:rFonts w:hint="eastAsia" w:ascii="宋体" w:hAnsi="宋体" w:eastAsia="宋体" w:cs="宋体"/>
          <w:color w:val="auto"/>
          <w:szCs w:val="21"/>
          <w:highlight w:val="none"/>
        </w:rPr>
        <w:t>日</w:t>
      </w:r>
    </w:p>
    <w:p w14:paraId="6205F79B">
      <w:pPr>
        <w:snapToGrid w:val="0"/>
        <w:spacing w:line="360" w:lineRule="auto"/>
        <w:ind w:firstLine="484" w:firstLineChars="202"/>
        <w:jc w:val="center"/>
        <w:outlineLvl w:val="0"/>
        <w:rPr>
          <w:rFonts w:hint="eastAsia" w:ascii="宋体" w:hAnsi="宋体" w:eastAsia="宋体" w:cs="宋体"/>
          <w:color w:val="auto"/>
          <w:szCs w:val="21"/>
          <w:highlight w:val="none"/>
        </w:rPr>
      </w:pPr>
      <w:r>
        <w:rPr>
          <w:rFonts w:hint="eastAsia" w:ascii="宋体" w:hAnsi="宋体" w:eastAsia="宋体" w:cs="宋体"/>
          <w:color w:val="auto"/>
          <w:sz w:val="24"/>
          <w:szCs w:val="20"/>
          <w:highlight w:val="none"/>
        </w:rPr>
        <w:br w:type="page"/>
      </w:r>
      <w:bookmarkStart w:id="37" w:name="_Toc16724"/>
      <w:bookmarkStart w:id="38" w:name="_Toc6541"/>
      <w:r>
        <w:rPr>
          <w:rFonts w:hint="eastAsia" w:ascii="宋体" w:hAnsi="宋体" w:eastAsia="宋体" w:cs="宋体"/>
          <w:b/>
          <w:bCs/>
          <w:color w:val="auto"/>
          <w:kern w:val="44"/>
          <w:sz w:val="44"/>
          <w:szCs w:val="44"/>
          <w:highlight w:val="none"/>
        </w:rPr>
        <w:t>第二章  采购需求</w:t>
      </w:r>
      <w:bookmarkEnd w:id="37"/>
      <w:bookmarkEnd w:id="38"/>
      <w:bookmarkStart w:id="39" w:name="_Toc254970631"/>
      <w:bookmarkStart w:id="40" w:name="_Toc254970490"/>
    </w:p>
    <w:p w14:paraId="7FC86E79">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说明：</w:t>
      </w:r>
    </w:p>
    <w:p w14:paraId="4604A693">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 为落实政府采购政策需满足的要求</w:t>
      </w:r>
    </w:p>
    <w:p w14:paraId="5F0C2E0B">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（1）本招标文件所称中小企业必须符合《政府采购促进中小企业发展管理办法》（财库〔2020〕46号）的规定。</w:t>
      </w:r>
    </w:p>
    <w:p w14:paraId="5D59AE52">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（2）根据《财政部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后附的节能产品政府采购品目清单），投标人的投标货物必须使用政府强制采购的节能产品，投标人必须在投标文件（商务及技术文件）中提供所投标产品的节能产品认证证书扫描件（加盖投标人电子签章），否则按无效投标处理。如本项目包含的货物属于品目清单内非标注“★”的产品时，应优先采购，具体详见“第四章 评标方法及评标标准”。</w:t>
      </w:r>
    </w:p>
    <w:p w14:paraId="00E05401">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3）根据《关于调整网络安全专用产品安全管理有关事项的公告》（2023年1号）规定，本项目采购需求中的产品如果包括《网络关键设备和网络安全专用产品目录》的网络安全专用产品，投标人在投标文件中应主动列明供货范围中属于网络安全专用产品的投标产品，并在投标文件（商务及技术文件）中提供由中国网信网（http://www.cac.gov.cn/index.htm）最新发布的《网络关键设备和网络安全专用产品安全认证和安全检测结果》截图证明材料，不在《网络关键设备和网络安全专用产品安全认证和安全检测结果》中或不在有效期内或未提供有效的《计算机信息系统安全专用产品销售许可证》的，按无效投标处理。如属于《网络关键设备和网络安全专用产品目录》中“二、网络安全专用产品”内“产品类别”中的所描述的产品，但不属于所列“产品描述”情形的，应提供相应的说明及证明材料。</w:t>
      </w:r>
    </w:p>
    <w:p w14:paraId="4A2A0981">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2.“实质性要求”是指招标文件中已经指明不满足则投标无效的条款，或者不能负偏离的条款，或者采购需求中带“▲”的条款。</w:t>
      </w:r>
    </w:p>
    <w:p w14:paraId="1B436740">
      <w:pPr>
        <w:spacing w:line="360" w:lineRule="auto"/>
        <w:ind w:firstLine="424" w:firstLineChars="202"/>
        <w:jc w:val="left"/>
        <w:rPr>
          <w:rFonts w:hint="eastAsia" w:ascii="宋体" w:hAnsi="宋体" w:eastAsia="宋体" w:cs="宋体"/>
          <w:color w:val="auto"/>
          <w:highlight w:val="none"/>
        </w:rPr>
      </w:pP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 投标人应根据自身实际情况如实响应招标文件，对招标文件提出的要求和条件作出明确响应，</w:t>
      </w:r>
      <w:r>
        <w:rPr>
          <w:rFonts w:hint="eastAsia" w:ascii="宋体" w:hAnsi="宋体" w:eastAsia="宋体" w:cs="宋体"/>
          <w:b/>
          <w:bCs/>
          <w:color w:val="auto"/>
          <w:szCs w:val="21"/>
          <w:highlight w:val="none"/>
        </w:rPr>
        <w:t>否则将作无效响应处理</w:t>
      </w:r>
      <w:r>
        <w:rPr>
          <w:rFonts w:hint="eastAsia" w:ascii="宋体" w:hAnsi="宋体" w:eastAsia="宋体" w:cs="宋体"/>
          <w:color w:val="auto"/>
          <w:szCs w:val="21"/>
          <w:highlight w:val="none"/>
        </w:rPr>
        <w:t>。</w:t>
      </w:r>
      <w:r>
        <w:rPr>
          <w:rFonts w:hint="eastAsia" w:ascii="宋体" w:hAnsi="宋体" w:eastAsia="宋体" w:cs="宋体"/>
          <w:color w:val="auto"/>
          <w:highlight w:val="none"/>
        </w:rPr>
        <w:t>对于重要技术条款或技术参数应当在投标文件中提供技术支持资料，技术支持资料以招标文件中规定的形式为准，</w:t>
      </w:r>
      <w:r>
        <w:rPr>
          <w:rFonts w:hint="eastAsia" w:ascii="宋体" w:hAnsi="宋体" w:eastAsia="宋体" w:cs="宋体"/>
          <w:b/>
          <w:bCs/>
          <w:color w:val="auto"/>
          <w:highlight w:val="none"/>
        </w:rPr>
        <w:t>否则将视为无效技术支持资料</w:t>
      </w:r>
      <w:r>
        <w:rPr>
          <w:rFonts w:hint="eastAsia" w:ascii="宋体" w:hAnsi="宋体" w:eastAsia="宋体" w:cs="宋体"/>
          <w:color w:val="auto"/>
          <w:highlight w:val="none"/>
        </w:rPr>
        <w:t>。</w:t>
      </w:r>
    </w:p>
    <w:p w14:paraId="7137FB23">
      <w:pPr>
        <w:spacing w:line="360" w:lineRule="auto"/>
        <w:ind w:firstLine="424" w:firstLineChars="202"/>
        <w:jc w:val="left"/>
        <w:rPr>
          <w:rFonts w:hint="eastAsia" w:ascii="宋体" w:hAnsi="宋体" w:eastAsia="宋体" w:cs="宋体"/>
          <w:color w:val="auto"/>
          <w:highlight w:val="none"/>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w:t>
      </w:r>
      <w:r>
        <w:rPr>
          <w:rFonts w:hint="eastAsia" w:ascii="宋体" w:hAnsi="宋体" w:eastAsia="宋体" w:cs="宋体"/>
          <w:color w:val="auto"/>
          <w:highlight w:val="none"/>
        </w:rPr>
        <w:t>投标人必须自行为其投标产品侵犯他人的知识产权或者专利成果的行为承担相应法律责任。</w:t>
      </w:r>
    </w:p>
    <w:p w14:paraId="3C0A9435">
      <w:pPr>
        <w:spacing w:line="360" w:lineRule="auto"/>
        <w:ind w:firstLine="424" w:firstLineChars="202"/>
        <w:jc w:val="left"/>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本</w:t>
      </w:r>
      <w:r>
        <w:rPr>
          <w:rFonts w:hint="eastAsia" w:ascii="宋体" w:hAnsi="宋体" w:eastAsia="宋体" w:cs="宋体"/>
          <w:color w:val="auto"/>
          <w:highlight w:val="none"/>
        </w:rPr>
        <w:t>项目所属中小微企业划型标准行业：</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rPr>
        <w:t>农、林、牧、渔</w:t>
      </w:r>
      <w:r>
        <w:rPr>
          <w:rFonts w:hint="eastAsia" w:ascii="宋体" w:hAnsi="宋体" w:eastAsia="宋体" w:cs="宋体"/>
          <w:color w:val="auto"/>
          <w:highlight w:val="none"/>
        </w:rPr>
        <w:t>。</w:t>
      </w:r>
    </w:p>
    <w:tbl>
      <w:tblPr>
        <w:tblStyle w:val="61"/>
        <w:tblW w:w="966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89"/>
        <w:gridCol w:w="1341"/>
        <w:gridCol w:w="492"/>
        <w:gridCol w:w="348"/>
        <w:gridCol w:w="780"/>
        <w:gridCol w:w="6214"/>
      </w:tblGrid>
      <w:tr w14:paraId="431F3F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8" w:hRule="atLeast"/>
        </w:trPr>
        <w:tc>
          <w:tcPr>
            <w:tcW w:w="9664" w:type="dxa"/>
            <w:gridSpan w:val="6"/>
            <w:tcBorders>
              <w:top w:val="single" w:color="auto" w:sz="4" w:space="0"/>
              <w:left w:val="single" w:color="auto" w:sz="4" w:space="0"/>
              <w:bottom w:val="single" w:color="auto" w:sz="4" w:space="0"/>
              <w:right w:val="single" w:color="auto" w:sz="4" w:space="0"/>
            </w:tcBorders>
            <w:vAlign w:val="center"/>
          </w:tcPr>
          <w:p w14:paraId="45AFCF9F">
            <w:pPr>
              <w:tabs>
                <w:tab w:val="left" w:pos="180"/>
                <w:tab w:val="left" w:pos="1620"/>
              </w:tabs>
              <w:spacing w:line="360" w:lineRule="auto"/>
              <w:jc w:val="center"/>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采购需求一览表</w:t>
            </w:r>
          </w:p>
        </w:tc>
      </w:tr>
      <w:tr w14:paraId="33DB44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9" w:hRule="atLeast"/>
        </w:trPr>
        <w:tc>
          <w:tcPr>
            <w:tcW w:w="9664" w:type="dxa"/>
            <w:gridSpan w:val="6"/>
            <w:tcBorders>
              <w:top w:val="single" w:color="auto" w:sz="4" w:space="0"/>
              <w:left w:val="single" w:color="auto" w:sz="4" w:space="0"/>
              <w:bottom w:val="single" w:color="auto" w:sz="4" w:space="0"/>
              <w:right w:val="single" w:color="auto" w:sz="4" w:space="0"/>
            </w:tcBorders>
            <w:vAlign w:val="center"/>
          </w:tcPr>
          <w:p w14:paraId="2FABCFC7">
            <w:pPr>
              <w:tabs>
                <w:tab w:val="left" w:pos="180"/>
                <w:tab w:val="left" w:pos="1620"/>
              </w:tabs>
              <w:spacing w:line="360" w:lineRule="auto"/>
              <w:jc w:val="center"/>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分标1</w:t>
            </w:r>
          </w:p>
        </w:tc>
      </w:tr>
      <w:bookmarkEnd w:id="39"/>
      <w:bookmarkEnd w:id="40"/>
      <w:tr w14:paraId="7CF824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4" w:hRule="atLeast"/>
        </w:trPr>
        <w:tc>
          <w:tcPr>
            <w:tcW w:w="489" w:type="dxa"/>
            <w:tcBorders>
              <w:top w:val="single" w:color="auto" w:sz="4" w:space="0"/>
            </w:tcBorders>
            <w:vAlign w:val="center"/>
          </w:tcPr>
          <w:p w14:paraId="0A0FE804">
            <w:pPr>
              <w:tabs>
                <w:tab w:val="left" w:pos="180"/>
                <w:tab w:val="left" w:pos="1620"/>
              </w:tabs>
              <w:spacing w:line="360" w:lineRule="auto"/>
              <w:jc w:val="center"/>
              <w:rPr>
                <w:rFonts w:hint="eastAsia" w:ascii="宋体" w:hAnsi="宋体" w:eastAsia="宋体" w:cs="宋体"/>
                <w:b/>
                <w:bCs/>
                <w:color w:val="auto"/>
                <w:szCs w:val="21"/>
                <w:highlight w:val="none"/>
                <w:lang w:eastAsia="zh-CN"/>
              </w:rPr>
            </w:pPr>
            <w:r>
              <w:rPr>
                <w:rFonts w:hint="eastAsia" w:ascii="宋体" w:hAnsi="宋体" w:eastAsia="宋体" w:cs="宋体"/>
                <w:b/>
                <w:bCs/>
                <w:color w:val="auto"/>
                <w:szCs w:val="21"/>
                <w:highlight w:val="none"/>
                <w:lang w:val="en-US" w:eastAsia="zh-CN"/>
              </w:rPr>
              <w:t>序号</w:t>
            </w:r>
          </w:p>
        </w:tc>
        <w:tc>
          <w:tcPr>
            <w:tcW w:w="1341" w:type="dxa"/>
            <w:tcBorders>
              <w:top w:val="single" w:color="auto" w:sz="4" w:space="0"/>
            </w:tcBorders>
            <w:vAlign w:val="center"/>
          </w:tcPr>
          <w:p w14:paraId="70F18F66">
            <w:pPr>
              <w:tabs>
                <w:tab w:val="left" w:pos="180"/>
                <w:tab w:val="left" w:pos="1620"/>
              </w:tabs>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标的名称</w:t>
            </w:r>
          </w:p>
        </w:tc>
        <w:tc>
          <w:tcPr>
            <w:tcW w:w="840" w:type="dxa"/>
            <w:gridSpan w:val="2"/>
            <w:tcBorders>
              <w:top w:val="single" w:color="auto" w:sz="4" w:space="0"/>
            </w:tcBorders>
            <w:vAlign w:val="center"/>
          </w:tcPr>
          <w:p w14:paraId="2CB53BAC">
            <w:pPr>
              <w:tabs>
                <w:tab w:val="left" w:pos="180"/>
                <w:tab w:val="left" w:pos="1620"/>
              </w:tabs>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数量</w:t>
            </w:r>
          </w:p>
        </w:tc>
        <w:tc>
          <w:tcPr>
            <w:tcW w:w="780" w:type="dxa"/>
            <w:tcBorders>
              <w:top w:val="single" w:color="auto" w:sz="4" w:space="0"/>
            </w:tcBorders>
            <w:vAlign w:val="center"/>
          </w:tcPr>
          <w:p w14:paraId="73BF7EB3">
            <w:pPr>
              <w:tabs>
                <w:tab w:val="left" w:pos="180"/>
                <w:tab w:val="left" w:pos="1620"/>
              </w:tabs>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单位</w:t>
            </w:r>
          </w:p>
        </w:tc>
        <w:tc>
          <w:tcPr>
            <w:tcW w:w="6214" w:type="dxa"/>
            <w:tcBorders>
              <w:top w:val="single" w:color="auto" w:sz="4" w:space="0"/>
            </w:tcBorders>
            <w:vAlign w:val="center"/>
          </w:tcPr>
          <w:p w14:paraId="23FACC93">
            <w:pPr>
              <w:tabs>
                <w:tab w:val="left" w:pos="180"/>
                <w:tab w:val="left" w:pos="1620"/>
              </w:tabs>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采购需求</w:t>
            </w:r>
          </w:p>
        </w:tc>
      </w:tr>
      <w:tr w14:paraId="4B340E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8" w:hRule="atLeast"/>
        </w:trPr>
        <w:tc>
          <w:tcPr>
            <w:tcW w:w="489" w:type="dxa"/>
            <w:vAlign w:val="center"/>
          </w:tcPr>
          <w:p w14:paraId="4925C2C7">
            <w:pPr>
              <w:pStyle w:val="196"/>
              <w:spacing w:line="360" w:lineRule="auto"/>
              <w:ind w:left="0" w:leftChars="0" w:firstLine="0" w:firstLineChars="0"/>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1</w:t>
            </w:r>
          </w:p>
        </w:tc>
        <w:tc>
          <w:tcPr>
            <w:tcW w:w="1341" w:type="dxa"/>
            <w:vAlign w:val="center"/>
          </w:tcPr>
          <w:p w14:paraId="20C46132">
            <w:pPr>
              <w:spacing w:line="360" w:lineRule="auto"/>
              <w:jc w:val="center"/>
              <w:rPr>
                <w:rFonts w:hint="eastAsia" w:ascii="宋体" w:hAnsi="宋体" w:eastAsia="宋体" w:cs="宋体"/>
                <w:b/>
                <w:bCs/>
                <w:color w:val="auto"/>
                <w:szCs w:val="21"/>
                <w:highlight w:val="none"/>
              </w:rPr>
            </w:pPr>
            <w:r>
              <w:rPr>
                <w:rFonts w:hint="eastAsia" w:ascii="宋体" w:hAnsi="宋体" w:eastAsia="宋体" w:cs="宋体"/>
                <w:color w:val="auto"/>
                <w:kern w:val="0"/>
                <w:szCs w:val="21"/>
                <w:highlight w:val="none"/>
              </w:rPr>
              <w:t>互花米草后期维护</w:t>
            </w:r>
          </w:p>
        </w:tc>
        <w:tc>
          <w:tcPr>
            <w:tcW w:w="840" w:type="dxa"/>
            <w:gridSpan w:val="2"/>
            <w:vAlign w:val="center"/>
          </w:tcPr>
          <w:p w14:paraId="5AED6B4B">
            <w:pPr>
              <w:widowControl/>
              <w:adjustRightInd w:val="0"/>
              <w:snapToGrid w:val="0"/>
              <w:spacing w:line="336" w:lineRule="auto"/>
              <w:jc w:val="center"/>
              <w:rPr>
                <w:rFonts w:hint="eastAsia" w:ascii="宋体" w:hAnsi="宋体" w:eastAsia="宋体" w:cs="宋体"/>
                <w:b/>
                <w:bCs/>
                <w:color w:val="auto"/>
                <w:szCs w:val="21"/>
                <w:highlight w:val="none"/>
              </w:rPr>
            </w:pPr>
            <w:r>
              <w:rPr>
                <w:rFonts w:hint="eastAsia" w:ascii="宋体" w:hAnsi="宋体" w:eastAsia="宋体" w:cs="宋体"/>
                <w:color w:val="auto"/>
                <w:kern w:val="0"/>
                <w:szCs w:val="21"/>
                <w:highlight w:val="none"/>
              </w:rPr>
              <w:t>1</w:t>
            </w:r>
          </w:p>
        </w:tc>
        <w:tc>
          <w:tcPr>
            <w:tcW w:w="780" w:type="dxa"/>
            <w:vAlign w:val="center"/>
          </w:tcPr>
          <w:p w14:paraId="23734090">
            <w:pPr>
              <w:widowControl/>
              <w:adjustRightInd w:val="0"/>
              <w:snapToGrid w:val="0"/>
              <w:spacing w:line="336" w:lineRule="auto"/>
              <w:jc w:val="center"/>
              <w:rPr>
                <w:rFonts w:hint="eastAsia" w:ascii="宋体" w:hAnsi="宋体" w:eastAsia="宋体" w:cs="宋体"/>
                <w:b/>
                <w:bCs/>
                <w:color w:val="auto"/>
                <w:szCs w:val="21"/>
                <w:highlight w:val="none"/>
              </w:rPr>
            </w:pPr>
            <w:r>
              <w:rPr>
                <w:rFonts w:hint="eastAsia" w:ascii="宋体" w:hAnsi="宋体" w:eastAsia="宋体" w:cs="宋体"/>
                <w:color w:val="auto"/>
                <w:kern w:val="0"/>
                <w:szCs w:val="21"/>
                <w:highlight w:val="none"/>
              </w:rPr>
              <w:t>项</w:t>
            </w:r>
          </w:p>
        </w:tc>
        <w:tc>
          <w:tcPr>
            <w:tcW w:w="6214" w:type="dxa"/>
            <w:vAlign w:val="center"/>
          </w:tcPr>
          <w:p w14:paraId="739EC8D3">
            <w:pPr>
              <w:tabs>
                <w:tab w:val="left" w:pos="180"/>
                <w:tab w:val="left" w:pos="1620"/>
              </w:tabs>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对 2023 年实施的“2023 年中央财政林业草原生态保护恢复资金项目—湿地保护与恢复项目”项目中 1125 亩互花米草清理地块采用人工清除的方式进行后期维护，并在林缘处进行胚轴插植 37 亩，胚轴插植区域外围安装警示标志牌，围防护网，并进行人工管护。</w:t>
            </w:r>
          </w:p>
          <w:p w14:paraId="261B5832">
            <w:pPr>
              <w:tabs>
                <w:tab w:val="left" w:pos="180"/>
                <w:tab w:val="left" w:pos="1620"/>
              </w:tabs>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（1）维护范围</w:t>
            </w:r>
          </w:p>
          <w:p w14:paraId="34D0AD28">
            <w:pPr>
              <w:tabs>
                <w:tab w:val="left" w:pos="180"/>
                <w:tab w:val="left" w:pos="1620"/>
              </w:tabs>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①维护面积</w:t>
            </w:r>
          </w:p>
          <w:p w14:paraId="5BADF1A3">
            <w:pPr>
              <w:tabs>
                <w:tab w:val="left" w:pos="180"/>
                <w:tab w:val="left" w:pos="1620"/>
              </w:tabs>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针对往年已经实施完成第一年互花米草治理的区域进行治理后期维护，面积 1125 亩。后期维护的范围包括 2023 年中央财政林业草原生态保护恢复资金项目—广西山口红树林生态国家级自然保护区湿地保护与恢复项目部分互花米草治理区域。</w:t>
            </w:r>
            <w:r>
              <w:rPr>
                <w:rFonts w:hint="eastAsia" w:ascii="宋体" w:hAnsi="宋体" w:eastAsia="宋体" w:cs="宋体"/>
                <w:color w:val="auto"/>
                <w:spacing w:val="-1"/>
                <w:szCs w:val="21"/>
                <w:highlight w:val="none"/>
              </w:rPr>
              <w:t>面积</w:t>
            </w:r>
            <w:r>
              <w:rPr>
                <w:rFonts w:hint="eastAsia" w:ascii="宋体" w:hAnsi="宋体" w:eastAsia="宋体" w:cs="宋体"/>
                <w:color w:val="auto"/>
                <w:spacing w:val="-1"/>
                <w:szCs w:val="21"/>
                <w:highlight w:val="none"/>
                <w:lang w:val="en-US" w:eastAsia="zh-CN"/>
              </w:rPr>
              <w:t>共</w:t>
            </w:r>
            <w:r>
              <w:rPr>
                <w:rFonts w:hint="eastAsia" w:ascii="宋体" w:hAnsi="宋体" w:eastAsia="宋体" w:cs="宋体"/>
                <w:color w:val="auto"/>
                <w:spacing w:val="-1"/>
                <w:szCs w:val="21"/>
                <w:highlight w:val="none"/>
              </w:rPr>
              <w:t>1125亩。</w:t>
            </w:r>
          </w:p>
          <w:p w14:paraId="25214CB5">
            <w:pPr>
              <w:tabs>
                <w:tab w:val="left" w:pos="180"/>
                <w:tab w:val="left" w:pos="1620"/>
              </w:tabs>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②相关项目情况</w:t>
            </w:r>
          </w:p>
          <w:p w14:paraId="31EACE46">
            <w:pPr>
              <w:tabs>
                <w:tab w:val="left" w:pos="180"/>
                <w:tab w:val="left" w:pos="1620"/>
              </w:tabs>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2023—2024 年实施的 2023 年中央财政林业草原生态保护恢复资金项目—广西山口红树林生态国家级自然保护区湿地保护与恢复项目中，有1125 亩位于丹兜海片区和英罗港片区的互花米草采用机械深耕+地膜覆盖的方式进行治理。该项目于 2023 年 10 月 31  日开工建设，2025 年 6 月 26日施工验收，管护期为 2025 年 6 月26 日至 2026 年 6 月26  日。详见表4.1-4。</w:t>
            </w:r>
          </w:p>
          <w:p w14:paraId="254E2FCA">
            <w:pPr>
              <w:spacing w:before="39" w:line="216" w:lineRule="auto"/>
              <w:ind w:firstLine="1951" w:firstLineChars="900"/>
              <w:rPr>
                <w:rFonts w:hint="eastAsia" w:ascii="宋体" w:hAnsi="宋体" w:eastAsia="宋体" w:cs="宋体"/>
                <w:color w:val="auto"/>
                <w:sz w:val="21"/>
                <w:szCs w:val="21"/>
                <w:highlight w:val="none"/>
              </w:rPr>
            </w:pPr>
            <w:r>
              <w:rPr>
                <w:rFonts w:hint="eastAsia" w:ascii="宋体" w:hAnsi="宋体" w:eastAsia="宋体" w:cs="宋体"/>
                <w:b/>
                <w:bCs/>
                <w:color w:val="auto"/>
                <w:spacing w:val="3"/>
                <w:sz w:val="21"/>
                <w:szCs w:val="21"/>
                <w:highlight w:val="none"/>
              </w:rPr>
              <w:t>表</w:t>
            </w:r>
            <w:r>
              <w:rPr>
                <w:rFonts w:hint="eastAsia" w:ascii="宋体" w:hAnsi="宋体" w:eastAsia="宋体" w:cs="宋体"/>
                <w:color w:val="auto"/>
                <w:spacing w:val="-45"/>
                <w:sz w:val="21"/>
                <w:szCs w:val="21"/>
                <w:highlight w:val="none"/>
              </w:rPr>
              <w:t xml:space="preserve"> </w:t>
            </w:r>
            <w:r>
              <w:rPr>
                <w:rFonts w:hint="eastAsia" w:ascii="宋体" w:hAnsi="宋体" w:eastAsia="宋体" w:cs="宋体"/>
                <w:b/>
                <w:bCs/>
                <w:color w:val="auto"/>
                <w:spacing w:val="3"/>
                <w:sz w:val="21"/>
                <w:szCs w:val="21"/>
                <w:highlight w:val="none"/>
              </w:rPr>
              <w:t>4.1-4 相关项目情况表</w:t>
            </w:r>
          </w:p>
          <w:p w14:paraId="120D1ACE">
            <w:pPr>
              <w:spacing w:line="23" w:lineRule="exact"/>
              <w:rPr>
                <w:rFonts w:hint="eastAsia" w:ascii="宋体" w:hAnsi="宋体" w:eastAsia="宋体" w:cs="宋体"/>
                <w:color w:val="auto"/>
                <w:highlight w:val="none"/>
              </w:rPr>
            </w:pPr>
          </w:p>
          <w:tbl>
            <w:tblPr>
              <w:tblStyle w:val="364"/>
              <w:tblW w:w="58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58"/>
              <w:gridCol w:w="885"/>
              <w:gridCol w:w="555"/>
              <w:gridCol w:w="840"/>
              <w:gridCol w:w="795"/>
              <w:gridCol w:w="785"/>
            </w:tblGrid>
            <w:tr w14:paraId="4042F5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9" w:hRule="atLeast"/>
              </w:trPr>
              <w:tc>
                <w:tcPr>
                  <w:tcW w:w="1958" w:type="dxa"/>
                  <w:vMerge w:val="restart"/>
                  <w:tcBorders>
                    <w:bottom w:val="nil"/>
                  </w:tcBorders>
                  <w:vAlign w:val="top"/>
                </w:tcPr>
                <w:p w14:paraId="760CD23D">
                  <w:pPr>
                    <w:spacing w:line="343" w:lineRule="auto"/>
                    <w:jc w:val="center"/>
                    <w:rPr>
                      <w:rFonts w:hint="eastAsia" w:ascii="宋体" w:hAnsi="宋体" w:eastAsia="宋体" w:cs="宋体"/>
                      <w:color w:val="auto"/>
                      <w:sz w:val="21"/>
                      <w:szCs w:val="21"/>
                      <w:highlight w:val="none"/>
                    </w:rPr>
                  </w:pPr>
                </w:p>
                <w:p w14:paraId="549905A6">
                  <w:pPr>
                    <w:pStyle w:val="373"/>
                    <w:spacing w:before="78" w:line="216" w:lineRule="auto"/>
                    <w:jc w:val="center"/>
                    <w:rPr>
                      <w:rFonts w:hint="eastAsia" w:ascii="宋体" w:hAnsi="宋体" w:eastAsia="宋体" w:cs="宋体"/>
                      <w:color w:val="auto"/>
                      <w:sz w:val="21"/>
                      <w:szCs w:val="21"/>
                      <w:highlight w:val="none"/>
                    </w:rPr>
                  </w:pPr>
                  <w:r>
                    <w:rPr>
                      <w:rFonts w:hint="eastAsia" w:ascii="宋体" w:hAnsi="宋体" w:eastAsia="宋体" w:cs="宋体"/>
                      <w:b/>
                      <w:bCs/>
                      <w:color w:val="auto"/>
                      <w:spacing w:val="-5"/>
                      <w:sz w:val="21"/>
                      <w:szCs w:val="21"/>
                      <w:highlight w:val="none"/>
                    </w:rPr>
                    <w:t>项目名称</w:t>
                  </w:r>
                </w:p>
              </w:tc>
              <w:tc>
                <w:tcPr>
                  <w:tcW w:w="885" w:type="dxa"/>
                  <w:vMerge w:val="restart"/>
                  <w:tcBorders>
                    <w:bottom w:val="nil"/>
                  </w:tcBorders>
                  <w:vAlign w:val="top"/>
                </w:tcPr>
                <w:p w14:paraId="490F3595">
                  <w:pPr>
                    <w:spacing w:line="343" w:lineRule="auto"/>
                    <w:jc w:val="center"/>
                    <w:rPr>
                      <w:rFonts w:hint="eastAsia" w:ascii="宋体" w:hAnsi="宋体" w:eastAsia="宋体" w:cs="宋体"/>
                      <w:color w:val="auto"/>
                      <w:sz w:val="21"/>
                      <w:szCs w:val="21"/>
                      <w:highlight w:val="none"/>
                    </w:rPr>
                  </w:pPr>
                </w:p>
                <w:p w14:paraId="7E9A8C58">
                  <w:pPr>
                    <w:pStyle w:val="373"/>
                    <w:spacing w:before="78" w:line="213" w:lineRule="auto"/>
                    <w:ind w:left="69"/>
                    <w:jc w:val="center"/>
                    <w:rPr>
                      <w:rFonts w:hint="eastAsia" w:ascii="宋体" w:hAnsi="宋体" w:eastAsia="宋体" w:cs="宋体"/>
                      <w:color w:val="auto"/>
                      <w:sz w:val="21"/>
                      <w:szCs w:val="21"/>
                      <w:highlight w:val="none"/>
                    </w:rPr>
                  </w:pPr>
                  <w:r>
                    <w:rPr>
                      <w:rFonts w:hint="eastAsia" w:ascii="宋体" w:hAnsi="宋体" w:eastAsia="宋体" w:cs="宋体"/>
                      <w:b/>
                      <w:bCs/>
                      <w:color w:val="auto"/>
                      <w:spacing w:val="-7"/>
                      <w:sz w:val="21"/>
                      <w:szCs w:val="21"/>
                      <w:highlight w:val="none"/>
                    </w:rPr>
                    <w:t>资金来源</w:t>
                  </w:r>
                </w:p>
              </w:tc>
              <w:tc>
                <w:tcPr>
                  <w:tcW w:w="555" w:type="dxa"/>
                  <w:vMerge w:val="restart"/>
                  <w:tcBorders>
                    <w:bottom w:val="nil"/>
                  </w:tcBorders>
                  <w:vAlign w:val="top"/>
                </w:tcPr>
                <w:p w14:paraId="0F0FFDF4">
                  <w:pPr>
                    <w:pStyle w:val="373"/>
                    <w:spacing w:before="124" w:line="217" w:lineRule="auto"/>
                    <w:ind w:left="115"/>
                    <w:jc w:val="center"/>
                    <w:rPr>
                      <w:rFonts w:hint="eastAsia" w:ascii="宋体" w:hAnsi="宋体" w:eastAsia="宋体" w:cs="宋体"/>
                      <w:color w:val="auto"/>
                      <w:sz w:val="21"/>
                      <w:szCs w:val="21"/>
                      <w:highlight w:val="none"/>
                    </w:rPr>
                  </w:pPr>
                  <w:r>
                    <w:rPr>
                      <w:rFonts w:hint="eastAsia" w:ascii="宋体" w:hAnsi="宋体" w:eastAsia="宋体" w:cs="宋体"/>
                      <w:b/>
                      <w:bCs/>
                      <w:color w:val="auto"/>
                      <w:spacing w:val="-13"/>
                      <w:sz w:val="21"/>
                      <w:szCs w:val="21"/>
                      <w:highlight w:val="none"/>
                    </w:rPr>
                    <w:t>面积</w:t>
                  </w:r>
                </w:p>
                <w:p w14:paraId="5B815477">
                  <w:pPr>
                    <w:pStyle w:val="373"/>
                    <w:spacing w:before="18" w:line="227" w:lineRule="auto"/>
                    <w:ind w:left="100"/>
                    <w:jc w:val="center"/>
                    <w:rPr>
                      <w:rFonts w:hint="eastAsia" w:ascii="宋体" w:hAnsi="宋体" w:eastAsia="宋体" w:cs="宋体"/>
                      <w:color w:val="auto"/>
                      <w:sz w:val="21"/>
                      <w:szCs w:val="21"/>
                      <w:highlight w:val="none"/>
                    </w:rPr>
                  </w:pPr>
                  <w:r>
                    <w:rPr>
                      <w:rFonts w:hint="eastAsia" w:ascii="宋体" w:hAnsi="宋体" w:eastAsia="宋体" w:cs="宋体"/>
                      <w:b/>
                      <w:bCs/>
                      <w:color w:val="auto"/>
                      <w:spacing w:val="-6"/>
                      <w:sz w:val="21"/>
                      <w:szCs w:val="21"/>
                      <w:highlight w:val="none"/>
                    </w:rPr>
                    <w:t>（公</w:t>
                  </w:r>
                </w:p>
                <w:p w14:paraId="6BF09331">
                  <w:pPr>
                    <w:pStyle w:val="373"/>
                    <w:spacing w:before="4" w:line="217" w:lineRule="auto"/>
                    <w:ind w:left="134"/>
                    <w:jc w:val="center"/>
                    <w:rPr>
                      <w:rFonts w:hint="eastAsia" w:ascii="宋体" w:hAnsi="宋体" w:eastAsia="宋体" w:cs="宋体"/>
                      <w:color w:val="auto"/>
                      <w:sz w:val="21"/>
                      <w:szCs w:val="21"/>
                      <w:highlight w:val="none"/>
                    </w:rPr>
                  </w:pPr>
                  <w:r>
                    <w:rPr>
                      <w:rFonts w:hint="eastAsia" w:ascii="宋体" w:hAnsi="宋体" w:eastAsia="宋体" w:cs="宋体"/>
                      <w:b/>
                      <w:bCs/>
                      <w:color w:val="auto"/>
                      <w:spacing w:val="-23"/>
                      <w:sz w:val="21"/>
                      <w:szCs w:val="21"/>
                      <w:highlight w:val="none"/>
                    </w:rPr>
                    <w:t>顷）</w:t>
                  </w:r>
                </w:p>
              </w:tc>
              <w:tc>
                <w:tcPr>
                  <w:tcW w:w="840" w:type="dxa"/>
                  <w:vMerge w:val="restart"/>
                  <w:tcBorders>
                    <w:bottom w:val="nil"/>
                  </w:tcBorders>
                  <w:vAlign w:val="top"/>
                </w:tcPr>
                <w:p w14:paraId="335E8145">
                  <w:pPr>
                    <w:pStyle w:val="373"/>
                    <w:spacing w:before="272" w:line="232" w:lineRule="auto"/>
                    <w:ind w:left="66" w:right="35" w:hanging="16"/>
                    <w:jc w:val="center"/>
                    <w:rPr>
                      <w:rFonts w:hint="eastAsia" w:ascii="宋体" w:hAnsi="宋体" w:eastAsia="宋体" w:cs="宋体"/>
                      <w:color w:val="auto"/>
                      <w:sz w:val="21"/>
                      <w:szCs w:val="21"/>
                      <w:highlight w:val="none"/>
                    </w:rPr>
                  </w:pPr>
                  <w:r>
                    <w:rPr>
                      <w:rFonts w:hint="eastAsia" w:ascii="宋体" w:hAnsi="宋体" w:eastAsia="宋体" w:cs="宋体"/>
                      <w:b/>
                      <w:bCs/>
                      <w:color w:val="auto"/>
                      <w:spacing w:val="-6"/>
                      <w:sz w:val="21"/>
                      <w:szCs w:val="21"/>
                      <w:highlight w:val="none"/>
                    </w:rPr>
                    <w:t>施工验</w:t>
                  </w:r>
                  <w:r>
                    <w:rPr>
                      <w:rFonts w:hint="eastAsia" w:ascii="宋体" w:hAnsi="宋体" w:eastAsia="宋体" w:cs="宋体"/>
                      <w:b/>
                      <w:bCs/>
                      <w:color w:val="auto"/>
                      <w:spacing w:val="-11"/>
                      <w:sz w:val="21"/>
                      <w:szCs w:val="21"/>
                      <w:highlight w:val="none"/>
                    </w:rPr>
                    <w:t>收日期</w:t>
                  </w:r>
                </w:p>
              </w:tc>
              <w:tc>
                <w:tcPr>
                  <w:tcW w:w="1580" w:type="dxa"/>
                  <w:gridSpan w:val="2"/>
                  <w:vAlign w:val="top"/>
                </w:tcPr>
                <w:p w14:paraId="08FA7477">
                  <w:pPr>
                    <w:pStyle w:val="373"/>
                    <w:spacing w:before="111" w:line="214" w:lineRule="auto"/>
                    <w:ind w:left="468"/>
                    <w:jc w:val="center"/>
                    <w:rPr>
                      <w:rFonts w:hint="eastAsia" w:ascii="宋体" w:hAnsi="宋体" w:eastAsia="宋体" w:cs="宋体"/>
                      <w:color w:val="auto"/>
                      <w:sz w:val="21"/>
                      <w:szCs w:val="21"/>
                      <w:highlight w:val="none"/>
                    </w:rPr>
                  </w:pPr>
                  <w:r>
                    <w:rPr>
                      <w:rFonts w:hint="eastAsia" w:ascii="宋体" w:hAnsi="宋体" w:eastAsia="宋体" w:cs="宋体"/>
                      <w:b/>
                      <w:bCs/>
                      <w:color w:val="auto"/>
                      <w:spacing w:val="-6"/>
                      <w:sz w:val="21"/>
                      <w:szCs w:val="21"/>
                      <w:highlight w:val="none"/>
                    </w:rPr>
                    <w:t>管护期</w:t>
                  </w:r>
                </w:p>
              </w:tc>
            </w:tr>
            <w:tr w14:paraId="5BBE0E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958" w:type="dxa"/>
                  <w:vMerge w:val="continue"/>
                  <w:tcBorders>
                    <w:top w:val="nil"/>
                  </w:tcBorders>
                  <w:vAlign w:val="top"/>
                </w:tcPr>
                <w:p w14:paraId="05DA7437">
                  <w:pPr>
                    <w:jc w:val="center"/>
                    <w:rPr>
                      <w:rFonts w:hint="eastAsia" w:ascii="宋体" w:hAnsi="宋体" w:eastAsia="宋体" w:cs="宋体"/>
                      <w:color w:val="auto"/>
                      <w:sz w:val="21"/>
                      <w:szCs w:val="21"/>
                      <w:highlight w:val="none"/>
                    </w:rPr>
                  </w:pPr>
                </w:p>
              </w:tc>
              <w:tc>
                <w:tcPr>
                  <w:tcW w:w="885" w:type="dxa"/>
                  <w:vMerge w:val="continue"/>
                  <w:tcBorders>
                    <w:top w:val="nil"/>
                  </w:tcBorders>
                  <w:vAlign w:val="top"/>
                </w:tcPr>
                <w:p w14:paraId="0B1A1FAB">
                  <w:pPr>
                    <w:jc w:val="center"/>
                    <w:rPr>
                      <w:rFonts w:hint="eastAsia" w:ascii="宋体" w:hAnsi="宋体" w:eastAsia="宋体" w:cs="宋体"/>
                      <w:color w:val="auto"/>
                      <w:sz w:val="21"/>
                      <w:szCs w:val="21"/>
                      <w:highlight w:val="none"/>
                    </w:rPr>
                  </w:pPr>
                </w:p>
              </w:tc>
              <w:tc>
                <w:tcPr>
                  <w:tcW w:w="555" w:type="dxa"/>
                  <w:vMerge w:val="continue"/>
                  <w:tcBorders>
                    <w:top w:val="nil"/>
                  </w:tcBorders>
                  <w:vAlign w:val="top"/>
                </w:tcPr>
                <w:p w14:paraId="72B9E1AA">
                  <w:pPr>
                    <w:jc w:val="center"/>
                    <w:rPr>
                      <w:rFonts w:hint="eastAsia" w:ascii="宋体" w:hAnsi="宋体" w:eastAsia="宋体" w:cs="宋体"/>
                      <w:color w:val="auto"/>
                      <w:sz w:val="21"/>
                      <w:szCs w:val="21"/>
                      <w:highlight w:val="none"/>
                    </w:rPr>
                  </w:pPr>
                </w:p>
              </w:tc>
              <w:tc>
                <w:tcPr>
                  <w:tcW w:w="840" w:type="dxa"/>
                  <w:vMerge w:val="continue"/>
                  <w:tcBorders>
                    <w:top w:val="nil"/>
                  </w:tcBorders>
                  <w:vAlign w:val="top"/>
                </w:tcPr>
                <w:p w14:paraId="2449550A">
                  <w:pPr>
                    <w:jc w:val="center"/>
                    <w:rPr>
                      <w:rFonts w:hint="eastAsia" w:ascii="宋体" w:hAnsi="宋体" w:eastAsia="宋体" w:cs="宋体"/>
                      <w:color w:val="auto"/>
                      <w:sz w:val="21"/>
                      <w:szCs w:val="21"/>
                      <w:highlight w:val="none"/>
                    </w:rPr>
                  </w:pPr>
                </w:p>
              </w:tc>
              <w:tc>
                <w:tcPr>
                  <w:tcW w:w="795" w:type="dxa"/>
                  <w:vAlign w:val="top"/>
                </w:tcPr>
                <w:p w14:paraId="7383809B">
                  <w:pPr>
                    <w:pStyle w:val="373"/>
                    <w:spacing w:before="46" w:line="216" w:lineRule="auto"/>
                    <w:ind w:left="297" w:right="19" w:hanging="257"/>
                    <w:jc w:val="center"/>
                    <w:rPr>
                      <w:rFonts w:hint="eastAsia" w:ascii="宋体" w:hAnsi="宋体" w:eastAsia="宋体" w:cs="宋体"/>
                      <w:color w:val="auto"/>
                      <w:sz w:val="21"/>
                      <w:szCs w:val="21"/>
                      <w:highlight w:val="none"/>
                    </w:rPr>
                  </w:pPr>
                  <w:r>
                    <w:rPr>
                      <w:rFonts w:hint="eastAsia" w:ascii="宋体" w:hAnsi="宋体" w:eastAsia="宋体" w:cs="宋体"/>
                      <w:b/>
                      <w:bCs/>
                      <w:color w:val="auto"/>
                      <w:spacing w:val="-8"/>
                      <w:sz w:val="21"/>
                      <w:szCs w:val="21"/>
                      <w:highlight w:val="none"/>
                    </w:rPr>
                    <w:t>开始时</w:t>
                  </w:r>
                  <w:r>
                    <w:rPr>
                      <w:rFonts w:hint="eastAsia" w:ascii="宋体" w:hAnsi="宋体" w:eastAsia="宋体" w:cs="宋体"/>
                      <w:b/>
                      <w:bCs/>
                      <w:color w:val="auto"/>
                      <w:spacing w:val="-3"/>
                      <w:sz w:val="21"/>
                      <w:szCs w:val="21"/>
                      <w:highlight w:val="none"/>
                    </w:rPr>
                    <w:t>间</w:t>
                  </w:r>
                </w:p>
              </w:tc>
              <w:tc>
                <w:tcPr>
                  <w:tcW w:w="785" w:type="dxa"/>
                  <w:vAlign w:val="top"/>
                </w:tcPr>
                <w:p w14:paraId="5956D36B">
                  <w:pPr>
                    <w:pStyle w:val="373"/>
                    <w:spacing w:before="46" w:line="216" w:lineRule="auto"/>
                    <w:ind w:left="348" w:right="73" w:hanging="260"/>
                    <w:jc w:val="center"/>
                    <w:rPr>
                      <w:rFonts w:hint="eastAsia" w:ascii="宋体" w:hAnsi="宋体" w:eastAsia="宋体" w:cs="宋体"/>
                      <w:color w:val="auto"/>
                      <w:sz w:val="21"/>
                      <w:szCs w:val="21"/>
                      <w:highlight w:val="none"/>
                    </w:rPr>
                  </w:pPr>
                  <w:r>
                    <w:rPr>
                      <w:rFonts w:hint="eastAsia" w:ascii="宋体" w:hAnsi="宋体" w:eastAsia="宋体" w:cs="宋体"/>
                      <w:b/>
                      <w:bCs/>
                      <w:color w:val="auto"/>
                      <w:spacing w:val="-8"/>
                      <w:sz w:val="21"/>
                      <w:szCs w:val="21"/>
                      <w:highlight w:val="none"/>
                    </w:rPr>
                    <w:t>结束时</w:t>
                  </w:r>
                  <w:r>
                    <w:rPr>
                      <w:rFonts w:hint="eastAsia" w:ascii="宋体" w:hAnsi="宋体" w:eastAsia="宋体" w:cs="宋体"/>
                      <w:b/>
                      <w:bCs/>
                      <w:color w:val="auto"/>
                      <w:spacing w:val="-3"/>
                      <w:sz w:val="21"/>
                      <w:szCs w:val="21"/>
                      <w:highlight w:val="none"/>
                    </w:rPr>
                    <w:t>间</w:t>
                  </w:r>
                </w:p>
              </w:tc>
            </w:tr>
            <w:tr w14:paraId="5A6080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87" w:hRule="atLeast"/>
              </w:trPr>
              <w:tc>
                <w:tcPr>
                  <w:tcW w:w="1958" w:type="dxa"/>
                  <w:vAlign w:val="center"/>
                </w:tcPr>
                <w:p w14:paraId="5A735B47">
                  <w:pPr>
                    <w:pStyle w:val="373"/>
                    <w:spacing w:before="46" w:line="222" w:lineRule="auto"/>
                    <w:ind w:left="129" w:right="84" w:hanging="38"/>
                    <w:jc w:val="center"/>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2023 年中央财政林业草原生态保护恢复资金项目—广西山口红树林生态国家级自然保护</w:t>
                  </w:r>
                  <w:r>
                    <w:rPr>
                      <w:rFonts w:hint="eastAsia" w:ascii="宋体" w:hAnsi="宋体" w:eastAsia="宋体" w:cs="宋体"/>
                      <w:color w:val="auto"/>
                      <w:spacing w:val="-3"/>
                      <w:sz w:val="21"/>
                      <w:szCs w:val="21"/>
                      <w:highlight w:val="none"/>
                    </w:rPr>
                    <w:t>区湿地保护与恢复项目-互花米草治理项目</w:t>
                  </w:r>
                </w:p>
              </w:tc>
              <w:tc>
                <w:tcPr>
                  <w:tcW w:w="885" w:type="dxa"/>
                  <w:vAlign w:val="center"/>
                </w:tcPr>
                <w:p w14:paraId="485B5A64">
                  <w:pPr>
                    <w:pStyle w:val="373"/>
                    <w:spacing w:before="46" w:line="216" w:lineRule="auto"/>
                    <w:ind w:left="89"/>
                    <w:jc w:val="center"/>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中央林草</w:t>
                  </w:r>
                </w:p>
                <w:p w14:paraId="6A8AED26">
                  <w:pPr>
                    <w:pStyle w:val="373"/>
                    <w:spacing w:before="22" w:line="216" w:lineRule="auto"/>
                    <w:ind w:left="311" w:right="53" w:hanging="237"/>
                    <w:jc w:val="center"/>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湿地补助</w:t>
                  </w:r>
                  <w:r>
                    <w:rPr>
                      <w:rFonts w:hint="eastAsia" w:ascii="宋体" w:hAnsi="宋体" w:eastAsia="宋体" w:cs="宋体"/>
                      <w:color w:val="auto"/>
                      <w:spacing w:val="-10"/>
                      <w:sz w:val="21"/>
                      <w:szCs w:val="21"/>
                      <w:highlight w:val="none"/>
                    </w:rPr>
                    <w:t>资金</w:t>
                  </w:r>
                </w:p>
              </w:tc>
              <w:tc>
                <w:tcPr>
                  <w:tcW w:w="555" w:type="dxa"/>
                  <w:vAlign w:val="center"/>
                </w:tcPr>
                <w:p w14:paraId="64FC7B09">
                  <w:pPr>
                    <w:spacing w:line="323" w:lineRule="auto"/>
                    <w:jc w:val="center"/>
                    <w:rPr>
                      <w:rFonts w:hint="eastAsia" w:ascii="宋体" w:hAnsi="宋体" w:eastAsia="宋体" w:cs="宋体"/>
                      <w:color w:val="auto"/>
                      <w:sz w:val="21"/>
                      <w:szCs w:val="21"/>
                      <w:highlight w:val="none"/>
                    </w:rPr>
                  </w:pPr>
                </w:p>
                <w:p w14:paraId="005ECEAA">
                  <w:pPr>
                    <w:spacing w:before="69" w:line="185" w:lineRule="auto"/>
                    <w:ind w:left="224"/>
                    <w:jc w:val="center"/>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75</w:t>
                  </w:r>
                </w:p>
              </w:tc>
              <w:tc>
                <w:tcPr>
                  <w:tcW w:w="840" w:type="dxa"/>
                  <w:vAlign w:val="center"/>
                </w:tcPr>
                <w:p w14:paraId="3DE302F7">
                  <w:pPr>
                    <w:pStyle w:val="373"/>
                    <w:spacing w:before="49" w:line="216"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2025</w:t>
                  </w:r>
                  <w:r>
                    <w:rPr>
                      <w:rFonts w:hint="eastAsia" w:ascii="宋体" w:hAnsi="宋体" w:eastAsia="宋体" w:cs="宋体"/>
                      <w:color w:val="auto"/>
                      <w:spacing w:val="9"/>
                      <w:sz w:val="21"/>
                      <w:szCs w:val="21"/>
                      <w:highlight w:val="none"/>
                    </w:rPr>
                    <w:t xml:space="preserve"> </w:t>
                  </w:r>
                  <w:r>
                    <w:rPr>
                      <w:rFonts w:hint="eastAsia" w:ascii="宋体" w:hAnsi="宋体" w:eastAsia="宋体" w:cs="宋体"/>
                      <w:color w:val="auto"/>
                      <w:spacing w:val="-4"/>
                      <w:sz w:val="21"/>
                      <w:szCs w:val="21"/>
                      <w:highlight w:val="none"/>
                    </w:rPr>
                    <w:t>年</w:t>
                  </w:r>
                </w:p>
                <w:p w14:paraId="6183E0A1">
                  <w:pPr>
                    <w:pStyle w:val="373"/>
                    <w:spacing w:before="19" w:line="216" w:lineRule="auto"/>
                    <w:ind w:left="333" w:right="64" w:hanging="310"/>
                    <w:jc w:val="center"/>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6月</w:t>
                  </w:r>
                  <w:r>
                    <w:rPr>
                      <w:rFonts w:hint="eastAsia" w:ascii="宋体" w:hAnsi="宋体" w:eastAsia="宋体" w:cs="宋体"/>
                      <w:color w:val="auto"/>
                      <w:spacing w:val="-55"/>
                      <w:sz w:val="21"/>
                      <w:szCs w:val="21"/>
                      <w:highlight w:val="none"/>
                    </w:rPr>
                    <w:t xml:space="preserve"> </w:t>
                  </w:r>
                  <w:r>
                    <w:rPr>
                      <w:rFonts w:hint="eastAsia" w:ascii="宋体" w:hAnsi="宋体" w:eastAsia="宋体" w:cs="宋体"/>
                      <w:color w:val="auto"/>
                      <w:spacing w:val="-10"/>
                      <w:sz w:val="21"/>
                      <w:szCs w:val="21"/>
                      <w:highlight w:val="none"/>
                    </w:rPr>
                    <w:t>26</w:t>
                  </w:r>
                  <w:r>
                    <w:rPr>
                      <w:rFonts w:hint="eastAsia" w:ascii="宋体" w:hAnsi="宋体" w:eastAsia="宋体" w:cs="宋体"/>
                      <w:color w:val="auto"/>
                      <w:sz w:val="21"/>
                      <w:szCs w:val="21"/>
                      <w:highlight w:val="none"/>
                    </w:rPr>
                    <w:t>日</w:t>
                  </w:r>
                </w:p>
              </w:tc>
              <w:tc>
                <w:tcPr>
                  <w:tcW w:w="795" w:type="dxa"/>
                  <w:vAlign w:val="center"/>
                </w:tcPr>
                <w:p w14:paraId="7AAA807D">
                  <w:pPr>
                    <w:pStyle w:val="373"/>
                    <w:spacing w:before="91" w:line="228" w:lineRule="auto"/>
                    <w:ind w:right="31"/>
                    <w:jc w:val="center"/>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2025</w:t>
                  </w:r>
                  <w:r>
                    <w:rPr>
                      <w:rFonts w:hint="eastAsia" w:ascii="宋体" w:hAnsi="宋体" w:eastAsia="宋体" w:cs="宋体"/>
                      <w:color w:val="auto"/>
                      <w:spacing w:val="-15"/>
                      <w:sz w:val="21"/>
                      <w:szCs w:val="21"/>
                      <w:highlight w:val="none"/>
                    </w:rPr>
                    <w:t>年</w:t>
                  </w:r>
                  <w:r>
                    <w:rPr>
                      <w:rFonts w:hint="eastAsia" w:ascii="宋体" w:hAnsi="宋体" w:eastAsia="宋体" w:cs="宋体"/>
                      <w:color w:val="auto"/>
                      <w:spacing w:val="-50"/>
                      <w:sz w:val="21"/>
                      <w:szCs w:val="21"/>
                      <w:highlight w:val="none"/>
                    </w:rPr>
                    <w:t xml:space="preserve"> </w:t>
                  </w:r>
                  <w:r>
                    <w:rPr>
                      <w:rFonts w:hint="eastAsia" w:ascii="宋体" w:hAnsi="宋体" w:eastAsia="宋体" w:cs="宋体"/>
                      <w:color w:val="auto"/>
                      <w:spacing w:val="-15"/>
                      <w:sz w:val="21"/>
                      <w:szCs w:val="21"/>
                      <w:highlight w:val="none"/>
                    </w:rPr>
                    <w:t>6月</w:t>
                  </w:r>
                  <w:r>
                    <w:rPr>
                      <w:rFonts w:hint="eastAsia" w:ascii="宋体" w:hAnsi="宋体" w:eastAsia="宋体" w:cs="宋体"/>
                      <w:color w:val="auto"/>
                      <w:spacing w:val="-2"/>
                      <w:sz w:val="21"/>
                      <w:szCs w:val="21"/>
                      <w:highlight w:val="none"/>
                    </w:rPr>
                    <w:t>26日</w:t>
                  </w:r>
                </w:p>
              </w:tc>
              <w:tc>
                <w:tcPr>
                  <w:tcW w:w="785" w:type="dxa"/>
                  <w:vAlign w:val="center"/>
                </w:tcPr>
                <w:p w14:paraId="62B05357">
                  <w:pPr>
                    <w:pStyle w:val="373"/>
                    <w:spacing w:before="49" w:line="216" w:lineRule="auto"/>
                    <w:ind w:left="18"/>
                    <w:jc w:val="center"/>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2026年</w:t>
                  </w:r>
                </w:p>
                <w:p w14:paraId="6B320A93">
                  <w:pPr>
                    <w:pStyle w:val="373"/>
                    <w:spacing w:before="19" w:line="216" w:lineRule="auto"/>
                    <w:ind w:left="368" w:right="73" w:hanging="284"/>
                    <w:jc w:val="center"/>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6月</w:t>
                  </w:r>
                  <w:r>
                    <w:rPr>
                      <w:rFonts w:hint="eastAsia" w:ascii="宋体" w:hAnsi="宋体" w:eastAsia="宋体" w:cs="宋体"/>
                      <w:color w:val="auto"/>
                      <w:spacing w:val="-55"/>
                      <w:sz w:val="21"/>
                      <w:szCs w:val="21"/>
                      <w:highlight w:val="none"/>
                    </w:rPr>
                    <w:t xml:space="preserve"> </w:t>
                  </w:r>
                  <w:r>
                    <w:rPr>
                      <w:rFonts w:hint="eastAsia" w:ascii="宋体" w:hAnsi="宋体" w:eastAsia="宋体" w:cs="宋体"/>
                      <w:color w:val="auto"/>
                      <w:spacing w:val="-10"/>
                      <w:sz w:val="21"/>
                      <w:szCs w:val="21"/>
                      <w:highlight w:val="none"/>
                    </w:rPr>
                    <w:t>26</w:t>
                  </w:r>
                  <w:r>
                    <w:rPr>
                      <w:rFonts w:hint="eastAsia" w:ascii="宋体" w:hAnsi="宋体" w:eastAsia="宋体" w:cs="宋体"/>
                      <w:color w:val="auto"/>
                      <w:sz w:val="21"/>
                      <w:szCs w:val="21"/>
                      <w:highlight w:val="none"/>
                    </w:rPr>
                    <w:t>日</w:t>
                  </w:r>
                </w:p>
              </w:tc>
            </w:tr>
          </w:tbl>
          <w:p w14:paraId="0A0ACD98">
            <w:pPr>
              <w:spacing w:before="161" w:line="216" w:lineRule="auto"/>
              <w:ind w:left="579"/>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（2）维护方式</w:t>
            </w:r>
          </w:p>
          <w:p w14:paraId="7A19534C">
            <w:pPr>
              <w:spacing w:before="172" w:line="329" w:lineRule="auto"/>
              <w:ind w:left="32" w:right="81" w:firstLine="562"/>
              <w:jc w:val="both"/>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参照《互花米草生态控制技术规范》（</w:t>
            </w:r>
            <w:r>
              <w:rPr>
                <w:rFonts w:hint="eastAsia" w:ascii="宋体" w:hAnsi="宋体" w:eastAsia="宋体" w:cs="宋体"/>
                <w:color w:val="auto"/>
                <w:sz w:val="21"/>
                <w:szCs w:val="21"/>
                <w:highlight w:val="none"/>
              </w:rPr>
              <w:t>DB</w:t>
            </w:r>
            <w:r>
              <w:rPr>
                <w:rFonts w:hint="eastAsia" w:ascii="宋体" w:hAnsi="宋体" w:eastAsia="宋体" w:cs="宋体"/>
                <w:color w:val="auto"/>
                <w:spacing w:val="2"/>
                <w:sz w:val="21"/>
                <w:szCs w:val="21"/>
                <w:highlight w:val="none"/>
              </w:rPr>
              <w:t>31T</w:t>
            </w:r>
            <w:r>
              <w:rPr>
                <w:rFonts w:hint="eastAsia" w:ascii="宋体" w:hAnsi="宋体" w:eastAsia="宋体" w:cs="宋体"/>
                <w:color w:val="auto"/>
                <w:spacing w:val="36"/>
                <w:sz w:val="21"/>
                <w:szCs w:val="21"/>
                <w:highlight w:val="none"/>
              </w:rPr>
              <w:t xml:space="preserve"> </w:t>
            </w:r>
            <w:r>
              <w:rPr>
                <w:rFonts w:hint="eastAsia" w:ascii="宋体" w:hAnsi="宋体" w:eastAsia="宋体" w:cs="宋体"/>
                <w:color w:val="auto"/>
                <w:spacing w:val="2"/>
                <w:sz w:val="21"/>
                <w:szCs w:val="21"/>
                <w:highlight w:val="none"/>
              </w:rPr>
              <w:t>1243-2020</w:t>
            </w:r>
            <w:r>
              <w:rPr>
                <w:rFonts w:hint="eastAsia" w:ascii="宋体" w:hAnsi="宋体" w:eastAsia="宋体" w:cs="宋体"/>
                <w:color w:val="auto"/>
                <w:spacing w:val="1"/>
                <w:sz w:val="21"/>
                <w:szCs w:val="21"/>
                <w:highlight w:val="none"/>
              </w:rPr>
              <w:t>）《互花米</w:t>
            </w:r>
            <w:r>
              <w:rPr>
                <w:rFonts w:hint="eastAsia" w:ascii="宋体" w:hAnsi="宋体" w:eastAsia="宋体" w:cs="宋体"/>
                <w:color w:val="auto"/>
                <w:spacing w:val="-3"/>
                <w:sz w:val="21"/>
                <w:szCs w:val="21"/>
                <w:highlight w:val="none"/>
              </w:rPr>
              <w:t>草治理</w:t>
            </w:r>
            <w:r>
              <w:rPr>
                <w:rFonts w:hint="eastAsia" w:ascii="宋体" w:hAnsi="宋体" w:eastAsia="宋体" w:cs="宋体"/>
                <w:color w:val="auto"/>
                <w:spacing w:val="58"/>
                <w:sz w:val="21"/>
                <w:szCs w:val="21"/>
                <w:highlight w:val="none"/>
              </w:rPr>
              <w:t xml:space="preserve"> </w:t>
            </w:r>
            <w:r>
              <w:rPr>
                <w:rFonts w:hint="eastAsia" w:ascii="宋体" w:hAnsi="宋体" w:eastAsia="宋体" w:cs="宋体"/>
                <w:color w:val="auto"/>
                <w:spacing w:val="-3"/>
                <w:sz w:val="21"/>
                <w:szCs w:val="21"/>
                <w:highlight w:val="none"/>
              </w:rPr>
              <w:t>区域生态修复技术指南（试行）》（</w:t>
            </w:r>
            <w:r>
              <w:rPr>
                <w:rFonts w:hint="eastAsia" w:ascii="宋体" w:hAnsi="宋体" w:eastAsia="宋体" w:cs="宋体"/>
                <w:color w:val="auto"/>
                <w:spacing w:val="-70"/>
                <w:sz w:val="21"/>
                <w:szCs w:val="21"/>
                <w:highlight w:val="none"/>
              </w:rPr>
              <w:t xml:space="preserve"> </w:t>
            </w:r>
            <w:r>
              <w:rPr>
                <w:rFonts w:hint="eastAsia" w:ascii="宋体" w:hAnsi="宋体" w:eastAsia="宋体" w:cs="宋体"/>
                <w:color w:val="auto"/>
                <w:spacing w:val="-3"/>
                <w:sz w:val="21"/>
                <w:szCs w:val="21"/>
                <w:highlight w:val="none"/>
              </w:rPr>
              <w:t>自然资源部 2023</w:t>
            </w:r>
            <w:r>
              <w:rPr>
                <w:rFonts w:hint="eastAsia" w:ascii="宋体" w:hAnsi="宋体" w:eastAsia="宋体" w:cs="宋体"/>
                <w:color w:val="auto"/>
                <w:spacing w:val="20"/>
                <w:sz w:val="21"/>
                <w:szCs w:val="21"/>
                <w:highlight w:val="none"/>
              </w:rPr>
              <w:t xml:space="preserve"> </w:t>
            </w:r>
            <w:r>
              <w:rPr>
                <w:rFonts w:hint="eastAsia" w:ascii="宋体" w:hAnsi="宋体" w:eastAsia="宋体" w:cs="宋体"/>
                <w:color w:val="auto"/>
                <w:spacing w:val="-3"/>
                <w:sz w:val="21"/>
                <w:szCs w:val="21"/>
                <w:highlight w:val="none"/>
              </w:rPr>
              <w:t>年</w:t>
            </w:r>
            <w:r>
              <w:rPr>
                <w:rFonts w:hint="eastAsia" w:ascii="宋体" w:hAnsi="宋体" w:eastAsia="宋体" w:cs="宋体"/>
                <w:color w:val="auto"/>
                <w:spacing w:val="-36"/>
                <w:sz w:val="21"/>
                <w:szCs w:val="21"/>
                <w:highlight w:val="none"/>
              </w:rPr>
              <w:t xml:space="preserve"> </w:t>
            </w:r>
            <w:r>
              <w:rPr>
                <w:rFonts w:hint="eastAsia" w:ascii="宋体" w:hAnsi="宋体" w:eastAsia="宋体" w:cs="宋体"/>
                <w:color w:val="auto"/>
                <w:spacing w:val="-3"/>
                <w:sz w:val="21"/>
                <w:szCs w:val="21"/>
                <w:highlight w:val="none"/>
              </w:rPr>
              <w:t>1</w:t>
            </w:r>
            <w:r>
              <w:rPr>
                <w:rFonts w:hint="eastAsia" w:ascii="宋体" w:hAnsi="宋体" w:eastAsia="宋体" w:cs="宋体"/>
                <w:color w:val="auto"/>
                <w:spacing w:val="-4"/>
                <w:sz w:val="21"/>
                <w:szCs w:val="21"/>
                <w:highlight w:val="none"/>
              </w:rPr>
              <w:t>2</w:t>
            </w:r>
            <w:r>
              <w:rPr>
                <w:rFonts w:hint="eastAsia" w:ascii="宋体" w:hAnsi="宋体" w:eastAsia="宋体" w:cs="宋体"/>
                <w:color w:val="auto"/>
                <w:spacing w:val="29"/>
                <w:sz w:val="21"/>
                <w:szCs w:val="21"/>
                <w:highlight w:val="none"/>
              </w:rPr>
              <w:t xml:space="preserve"> </w:t>
            </w:r>
            <w:r>
              <w:rPr>
                <w:rFonts w:hint="eastAsia" w:ascii="宋体" w:hAnsi="宋体" w:eastAsia="宋体" w:cs="宋体"/>
                <w:color w:val="auto"/>
                <w:spacing w:val="-4"/>
                <w:sz w:val="21"/>
                <w:szCs w:val="21"/>
                <w:highlight w:val="none"/>
              </w:rPr>
              <w:t>月</w:t>
            </w:r>
            <w:r>
              <w:rPr>
                <w:rFonts w:hint="eastAsia" w:ascii="宋体" w:hAnsi="宋体" w:eastAsia="宋体" w:cs="宋体"/>
                <w:color w:val="auto"/>
                <w:spacing w:val="-53"/>
                <w:sz w:val="21"/>
                <w:szCs w:val="21"/>
                <w:highlight w:val="none"/>
              </w:rPr>
              <w:t xml:space="preserve"> </w:t>
            </w:r>
            <w:r>
              <w:rPr>
                <w:rFonts w:hint="eastAsia" w:ascii="宋体" w:hAnsi="宋体" w:eastAsia="宋体" w:cs="宋体"/>
                <w:color w:val="auto"/>
                <w:spacing w:val="-4"/>
                <w:sz w:val="21"/>
                <w:szCs w:val="21"/>
                <w:highlight w:val="none"/>
              </w:rPr>
              <w:t>5</w:t>
            </w:r>
            <w:r>
              <w:rPr>
                <w:rFonts w:hint="eastAsia" w:ascii="宋体" w:hAnsi="宋体" w:eastAsia="宋体" w:cs="宋体"/>
                <w:color w:val="auto"/>
                <w:spacing w:val="-1"/>
                <w:sz w:val="21"/>
                <w:szCs w:val="21"/>
                <w:highlight w:val="none"/>
              </w:rPr>
              <w:t>日）和《红树林控制米草属植物技术规程》（LY/T2130-2013）</w:t>
            </w:r>
            <w:r>
              <w:rPr>
                <w:rFonts w:hint="eastAsia" w:ascii="宋体" w:hAnsi="宋体" w:eastAsia="宋体" w:cs="宋体"/>
                <w:color w:val="auto"/>
                <w:spacing w:val="-1"/>
                <w:sz w:val="21"/>
                <w:szCs w:val="21"/>
                <w:highlight w:val="none"/>
                <w:lang w:eastAsia="zh-CN"/>
              </w:rPr>
              <w:t>《</w:t>
            </w:r>
            <w:r>
              <w:rPr>
                <w:rFonts w:hint="eastAsia" w:ascii="宋体" w:hAnsi="宋体" w:eastAsia="宋体" w:cs="宋体"/>
                <w:color w:val="auto"/>
                <w:spacing w:val="-1"/>
                <w:sz w:val="21"/>
                <w:szCs w:val="21"/>
                <w:highlight w:val="none"/>
              </w:rPr>
              <w:t>国家林业和草原局 自然资源部 生态环境部 水利部农业农村部关于进一步加强互花米草防治工作的通知</w:t>
            </w:r>
            <w:r>
              <w:rPr>
                <w:rFonts w:hint="eastAsia" w:ascii="宋体" w:hAnsi="宋体" w:eastAsia="宋体" w:cs="宋体"/>
                <w:color w:val="auto"/>
                <w:spacing w:val="-1"/>
                <w:sz w:val="21"/>
                <w:szCs w:val="21"/>
                <w:highlight w:val="none"/>
                <w:lang w:eastAsia="zh-CN"/>
              </w:rPr>
              <w:t>》（林湿发〔2026〕15号）》</w:t>
            </w:r>
            <w:r>
              <w:rPr>
                <w:rFonts w:hint="eastAsia" w:ascii="宋体" w:hAnsi="宋体" w:eastAsia="宋体" w:cs="宋体"/>
                <w:color w:val="auto"/>
                <w:spacing w:val="-1"/>
                <w:sz w:val="21"/>
                <w:szCs w:val="21"/>
                <w:highlight w:val="none"/>
              </w:rPr>
              <w:t>等相关技术规范</w:t>
            </w:r>
            <w:r>
              <w:rPr>
                <w:rFonts w:hint="eastAsia" w:ascii="宋体" w:hAnsi="宋体" w:eastAsia="宋体" w:cs="宋体"/>
                <w:color w:val="auto"/>
                <w:spacing w:val="-1"/>
                <w:sz w:val="21"/>
                <w:szCs w:val="21"/>
                <w:highlight w:val="none"/>
                <w:lang w:val="en-US" w:eastAsia="zh-CN"/>
              </w:rPr>
              <w:t>和文件</w:t>
            </w:r>
            <w:r>
              <w:rPr>
                <w:rFonts w:hint="eastAsia" w:ascii="宋体" w:hAnsi="宋体" w:eastAsia="宋体" w:cs="宋体"/>
                <w:color w:val="auto"/>
                <w:spacing w:val="-1"/>
                <w:sz w:val="21"/>
                <w:szCs w:val="21"/>
                <w:highlight w:val="none"/>
              </w:rPr>
              <w:t>，本次互花米草治理后期维护主要采用物理防除方式。本次治理后期维护结合前期的监测数据以及实地调查互花米草的复发情况，对互花米草复发的区域，采用人工清除的方式进行后期维护。</w:t>
            </w:r>
          </w:p>
          <w:p w14:paraId="179EFA63">
            <w:pPr>
              <w:spacing w:before="6" w:line="218" w:lineRule="auto"/>
              <w:ind w:left="588"/>
              <w:rPr>
                <w:rFonts w:hint="eastAsia" w:ascii="宋体" w:hAnsi="宋体" w:eastAsia="宋体" w:cs="宋体"/>
                <w:color w:val="auto"/>
                <w:sz w:val="21"/>
                <w:szCs w:val="21"/>
                <w:highlight w:val="none"/>
              </w:rPr>
            </w:pPr>
            <w:r>
              <w:rPr>
                <w:rFonts w:hint="eastAsia" w:ascii="宋体" w:hAnsi="宋体" w:eastAsia="宋体" w:cs="宋体"/>
                <w:b/>
                <w:bCs/>
                <w:color w:val="auto"/>
                <w:spacing w:val="-4"/>
                <w:sz w:val="21"/>
                <w:szCs w:val="21"/>
                <w:highlight w:val="none"/>
              </w:rPr>
              <w:t>①人工清除</w:t>
            </w:r>
          </w:p>
          <w:p w14:paraId="5FD9DD9C">
            <w:pPr>
              <w:spacing w:before="96" w:line="329" w:lineRule="auto"/>
              <w:ind w:left="10" w:firstLine="564"/>
              <w:jc w:val="both"/>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对于前期采用覆盖地膜治理的区域，主要为零星及小面积的互花米草</w:t>
            </w:r>
            <w:r>
              <w:rPr>
                <w:rFonts w:hint="eastAsia" w:ascii="宋体" w:hAnsi="宋体" w:eastAsia="宋体" w:cs="宋体"/>
                <w:color w:val="auto"/>
                <w:sz w:val="21"/>
                <w:szCs w:val="21"/>
                <w:highlight w:val="none"/>
              </w:rPr>
              <w:t>复发，采用人工拔除和挖掘方式清除互花米</w:t>
            </w:r>
            <w:r>
              <w:rPr>
                <w:rFonts w:hint="eastAsia" w:ascii="宋体" w:hAnsi="宋体" w:eastAsia="宋体" w:cs="宋体"/>
                <w:color w:val="auto"/>
                <w:spacing w:val="-1"/>
                <w:sz w:val="21"/>
                <w:szCs w:val="21"/>
                <w:highlight w:val="none"/>
              </w:rPr>
              <w:t>草地上和地下组织。在人工清</w:t>
            </w:r>
            <w:r>
              <w:rPr>
                <w:rFonts w:hint="eastAsia" w:ascii="宋体" w:hAnsi="宋体" w:eastAsia="宋体" w:cs="宋体"/>
                <w:color w:val="auto"/>
                <w:sz w:val="21"/>
                <w:szCs w:val="21"/>
                <w:highlight w:val="none"/>
              </w:rPr>
              <w:t>除的同时检查原覆盖地膜的情况，重点检查</w:t>
            </w:r>
            <w:r>
              <w:rPr>
                <w:rFonts w:hint="eastAsia" w:ascii="宋体" w:hAnsi="宋体" w:eastAsia="宋体" w:cs="宋体"/>
                <w:color w:val="auto"/>
                <w:spacing w:val="-1"/>
                <w:sz w:val="21"/>
                <w:szCs w:val="21"/>
                <w:highlight w:val="none"/>
              </w:rPr>
              <w:t>膜体破损、鼓包、边缘翘起等</w:t>
            </w:r>
            <w:r>
              <w:rPr>
                <w:rFonts w:hint="eastAsia" w:ascii="宋体" w:hAnsi="宋体" w:eastAsia="宋体" w:cs="宋体"/>
                <w:color w:val="auto"/>
                <w:sz w:val="21"/>
                <w:szCs w:val="21"/>
                <w:highlight w:val="none"/>
              </w:rPr>
              <w:t>情况，并进行标记定位。对于轻度破损情况</w:t>
            </w:r>
            <w:r>
              <w:rPr>
                <w:rFonts w:hint="eastAsia" w:ascii="宋体" w:hAnsi="宋体" w:eastAsia="宋体" w:cs="宋体"/>
                <w:color w:val="auto"/>
                <w:spacing w:val="-1"/>
                <w:sz w:val="21"/>
                <w:szCs w:val="21"/>
                <w:highlight w:val="none"/>
              </w:rPr>
              <w:t>的地膜，使用专用防水胶带进行双层交叉粘贴修补。对于重度破损的地膜重新铺设新膜。</w:t>
            </w:r>
          </w:p>
          <w:p w14:paraId="0B50E16E">
            <w:pPr>
              <w:spacing w:before="4" w:line="218" w:lineRule="auto"/>
              <w:ind w:left="567"/>
              <w:rPr>
                <w:rFonts w:hint="eastAsia" w:ascii="宋体" w:hAnsi="宋体" w:eastAsia="宋体" w:cs="宋体"/>
                <w:color w:val="auto"/>
                <w:sz w:val="21"/>
                <w:szCs w:val="21"/>
                <w:highlight w:val="none"/>
              </w:rPr>
            </w:pPr>
            <w:r>
              <w:rPr>
                <w:rFonts w:hint="eastAsia" w:ascii="宋体" w:hAnsi="宋体" w:eastAsia="宋体" w:cs="宋体"/>
                <w:b/>
                <w:bCs/>
                <w:color w:val="auto"/>
                <w:spacing w:val="-4"/>
                <w:sz w:val="21"/>
                <w:szCs w:val="21"/>
                <w:highlight w:val="none"/>
              </w:rPr>
              <w:t>②人工深翻</w:t>
            </w:r>
          </w:p>
          <w:p w14:paraId="11FADCF1">
            <w:pPr>
              <w:spacing w:before="167" w:line="330" w:lineRule="auto"/>
              <w:ind w:left="0" w:firstLine="448" w:firstLineChars="200"/>
              <w:jc w:val="both"/>
              <w:rPr>
                <w:rFonts w:hint="eastAsia" w:ascii="宋体" w:hAnsi="宋体" w:eastAsia="宋体" w:cs="宋体"/>
                <w:color w:val="auto"/>
                <w:spacing w:val="-1"/>
                <w:sz w:val="21"/>
                <w:szCs w:val="21"/>
                <w:highlight w:val="none"/>
              </w:rPr>
            </w:pPr>
            <w:r>
              <w:rPr>
                <w:rFonts w:hint="eastAsia" w:ascii="宋体" w:hAnsi="宋体" w:eastAsia="宋体" w:cs="宋体"/>
                <w:color w:val="auto"/>
                <w:spacing w:val="7"/>
                <w:sz w:val="21"/>
                <w:szCs w:val="21"/>
                <w:highlight w:val="none"/>
              </w:rPr>
              <w:t>在互花米草萌发至种子成熟前，</w:t>
            </w:r>
            <w:r>
              <w:rPr>
                <w:rFonts w:hint="eastAsia" w:ascii="宋体" w:hAnsi="宋体" w:eastAsia="宋体" w:cs="宋体"/>
                <w:color w:val="auto"/>
                <w:spacing w:val="-81"/>
                <w:sz w:val="21"/>
                <w:szCs w:val="21"/>
                <w:highlight w:val="none"/>
              </w:rPr>
              <w:t xml:space="preserve"> </w:t>
            </w:r>
            <w:r>
              <w:rPr>
                <w:rFonts w:hint="eastAsia" w:ascii="宋体" w:hAnsi="宋体" w:eastAsia="宋体" w:cs="宋体"/>
                <w:color w:val="auto"/>
                <w:spacing w:val="7"/>
                <w:sz w:val="21"/>
                <w:szCs w:val="21"/>
                <w:highlight w:val="none"/>
              </w:rPr>
              <w:t>由人工使用工具将互花米草连根挖</w:t>
            </w:r>
            <w:r>
              <w:rPr>
                <w:rFonts w:hint="eastAsia" w:ascii="宋体" w:hAnsi="宋体" w:eastAsia="宋体" w:cs="宋体"/>
                <w:color w:val="auto"/>
                <w:spacing w:val="-1"/>
                <w:sz w:val="21"/>
                <w:szCs w:val="21"/>
                <w:highlight w:val="none"/>
              </w:rPr>
              <w:t>起</w:t>
            </w:r>
            <w:r>
              <w:rPr>
                <w:rFonts w:hint="eastAsia" w:ascii="宋体" w:hAnsi="宋体" w:eastAsia="宋体" w:cs="宋体"/>
                <w:color w:val="auto"/>
                <w:spacing w:val="-1"/>
                <w:sz w:val="21"/>
                <w:szCs w:val="21"/>
                <w:highlight w:val="none"/>
              </w:rPr>
              <w:t>，并将其根系朝上、残茬朝下反扣，多次下压，使其尽量压入淤泥中深埋，阻断氧气传输，最后将滩面整平。</w:t>
            </w:r>
          </w:p>
          <w:p w14:paraId="58E9753C">
            <w:pPr>
              <w:pStyle w:val="20"/>
              <w:wordWrap w:val="0"/>
              <w:spacing w:before="167" w:line="360" w:lineRule="exact"/>
              <w:ind w:left="12" w:firstLine="420" w:firstLineChars="200"/>
              <w:jc w:val="both"/>
              <w:rPr>
                <w:rFonts w:hint="eastAsia" w:ascii="宋体" w:hAnsi="宋体" w:eastAsia="宋体" w:cs="宋体"/>
                <w:bCs w:val="0"/>
                <w:color w:val="auto"/>
                <w:spacing w:val="-1"/>
                <w:sz w:val="21"/>
                <w:szCs w:val="21"/>
                <w:highlight w:val="none"/>
                <w:lang w:val="en-US" w:eastAsia="zh-CN"/>
              </w:rPr>
            </w:pPr>
            <w:r>
              <w:rPr>
                <w:rFonts w:hint="eastAsia" w:ascii="宋体" w:hAnsi="宋体" w:eastAsia="宋体" w:cs="宋体"/>
                <w:bCs/>
                <w:color w:val="auto"/>
                <w:spacing w:val="0"/>
                <w:kern w:val="0"/>
                <w:sz w:val="21"/>
                <w:szCs w:val="21"/>
                <w:highlight w:val="none"/>
                <w:lang w:val="en-US" w:eastAsia="zh-CN" w:bidi="ar"/>
              </w:rPr>
              <w:t>互花米草治理后期维护，</w:t>
            </w:r>
            <w:r>
              <w:rPr>
                <w:rFonts w:hint="eastAsia" w:ascii="宋体" w:hAnsi="宋体" w:eastAsia="宋体" w:cs="宋体"/>
                <w:bCs w:val="0"/>
                <w:color w:val="auto"/>
                <w:spacing w:val="-1"/>
                <w:sz w:val="21"/>
                <w:szCs w:val="21"/>
                <w:highlight w:val="none"/>
                <w:lang w:val="en-US" w:eastAsia="zh-CN"/>
              </w:rPr>
              <w:t>互花米草每月动态清零。</w:t>
            </w:r>
          </w:p>
          <w:p w14:paraId="6A799161">
            <w:pPr>
              <w:pStyle w:val="20"/>
              <w:wordWrap w:val="0"/>
              <w:spacing w:before="167" w:line="360" w:lineRule="exact"/>
              <w:ind w:left="12" w:firstLine="416" w:firstLineChars="200"/>
              <w:jc w:val="both"/>
              <w:rPr>
                <w:rFonts w:hint="eastAsia" w:ascii="宋体" w:hAnsi="宋体" w:eastAsia="宋体" w:cs="宋体"/>
                <w:bCs w:val="0"/>
                <w:color w:val="auto"/>
                <w:spacing w:val="-1"/>
                <w:sz w:val="21"/>
                <w:szCs w:val="21"/>
                <w:highlight w:val="none"/>
                <w:lang w:val="en-US" w:eastAsia="zh-CN"/>
              </w:rPr>
            </w:pPr>
          </w:p>
          <w:p w14:paraId="0761BA2F">
            <w:pPr>
              <w:spacing w:before="1" w:line="214" w:lineRule="auto"/>
              <w:ind w:left="567"/>
              <w:rPr>
                <w:rFonts w:hint="eastAsia" w:ascii="宋体" w:hAnsi="宋体" w:eastAsia="宋体" w:cs="宋体"/>
                <w:color w:val="auto"/>
                <w:sz w:val="21"/>
                <w:szCs w:val="21"/>
                <w:highlight w:val="none"/>
              </w:rPr>
            </w:pPr>
            <w:r>
              <w:rPr>
                <w:rFonts w:hint="eastAsia" w:ascii="宋体" w:hAnsi="宋体" w:eastAsia="宋体" w:cs="宋体"/>
                <w:b/>
                <w:bCs/>
                <w:color w:val="auto"/>
                <w:spacing w:val="-4"/>
                <w:sz w:val="21"/>
                <w:szCs w:val="21"/>
                <w:highlight w:val="none"/>
              </w:rPr>
              <w:t>③林缘胚轴插植</w:t>
            </w:r>
          </w:p>
          <w:p w14:paraId="733982D5">
            <w:pPr>
              <w:spacing w:before="171" w:line="331" w:lineRule="auto"/>
              <w:ind w:left="11" w:firstLine="564"/>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对互花米草治理后期维护的区域边缘实施红树林胚轴种植，实施面积</w:t>
            </w:r>
            <w:r>
              <w:rPr>
                <w:rFonts w:hint="eastAsia" w:ascii="宋体" w:hAnsi="宋体" w:eastAsia="宋体" w:cs="宋体"/>
                <w:color w:val="auto"/>
                <w:spacing w:val="-6"/>
                <w:sz w:val="21"/>
                <w:szCs w:val="21"/>
                <w:highlight w:val="none"/>
              </w:rPr>
              <w:t>37</w:t>
            </w:r>
            <w:r>
              <w:rPr>
                <w:rFonts w:hint="eastAsia" w:ascii="宋体" w:hAnsi="宋体" w:eastAsia="宋体" w:cs="宋体"/>
                <w:color w:val="auto"/>
                <w:spacing w:val="12"/>
                <w:sz w:val="21"/>
                <w:szCs w:val="21"/>
                <w:highlight w:val="none"/>
              </w:rPr>
              <w:t xml:space="preserve"> </w:t>
            </w:r>
            <w:r>
              <w:rPr>
                <w:rFonts w:hint="eastAsia" w:ascii="宋体" w:hAnsi="宋体" w:eastAsia="宋体" w:cs="宋体"/>
                <w:color w:val="auto"/>
                <w:spacing w:val="-6"/>
                <w:sz w:val="21"/>
                <w:szCs w:val="21"/>
                <w:highlight w:val="none"/>
              </w:rPr>
              <w:t>亩。</w:t>
            </w:r>
          </w:p>
          <w:p w14:paraId="4F0236B6">
            <w:pPr>
              <w:spacing w:before="3" w:line="329" w:lineRule="auto"/>
              <w:ind w:left="10" w:firstLine="5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A.选择桐花树的成熟胚轴进行插植</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插植</w:t>
            </w:r>
            <w:r>
              <w:rPr>
                <w:rFonts w:hint="eastAsia" w:ascii="宋体" w:hAnsi="宋体" w:eastAsia="宋体" w:cs="宋体"/>
                <w:color w:val="auto"/>
                <w:szCs w:val="21"/>
                <w:highlight w:val="none"/>
              </w:rPr>
              <w:t>99200</w:t>
            </w:r>
            <w:r>
              <w:rPr>
                <w:rFonts w:hint="eastAsia" w:ascii="宋体" w:hAnsi="宋体" w:eastAsia="宋体" w:cs="宋体"/>
                <w:color w:val="auto"/>
                <w:szCs w:val="21"/>
                <w:highlight w:val="none"/>
                <w:lang w:val="en-US" w:eastAsia="zh-CN"/>
              </w:rPr>
              <w:t>株</w:t>
            </w:r>
            <w:r>
              <w:rPr>
                <w:rFonts w:hint="eastAsia" w:ascii="宋体" w:hAnsi="宋体" w:eastAsia="宋体" w:cs="宋体"/>
                <w:color w:val="auto"/>
                <w:sz w:val="21"/>
                <w:szCs w:val="21"/>
                <w:highlight w:val="none"/>
              </w:rPr>
              <w:t>。插植时，先用木棒在滩涂上打直</w:t>
            </w:r>
            <w:r>
              <w:rPr>
                <w:rFonts w:hint="eastAsia" w:ascii="宋体" w:hAnsi="宋体" w:eastAsia="宋体" w:cs="宋体"/>
                <w:color w:val="auto"/>
                <w:spacing w:val="4"/>
                <w:sz w:val="21"/>
                <w:szCs w:val="21"/>
                <w:highlight w:val="none"/>
              </w:rPr>
              <w:t>径为</w:t>
            </w:r>
            <w:r>
              <w:rPr>
                <w:rFonts w:hint="eastAsia" w:ascii="宋体" w:hAnsi="宋体" w:eastAsia="宋体" w:cs="宋体"/>
                <w:color w:val="auto"/>
                <w:spacing w:val="-62"/>
                <w:sz w:val="21"/>
                <w:szCs w:val="21"/>
                <w:highlight w:val="none"/>
              </w:rPr>
              <w:t xml:space="preserve"> </w:t>
            </w:r>
            <w:r>
              <w:rPr>
                <w:rFonts w:hint="eastAsia" w:ascii="宋体" w:hAnsi="宋体" w:eastAsia="宋体" w:cs="宋体"/>
                <w:color w:val="auto"/>
                <w:spacing w:val="4"/>
                <w:sz w:val="21"/>
                <w:szCs w:val="21"/>
                <w:highlight w:val="none"/>
              </w:rPr>
              <w:t>2～3 厘米的孔穴，再把处理好的胚轴</w:t>
            </w:r>
            <w:r>
              <w:rPr>
                <w:rFonts w:hint="eastAsia" w:ascii="宋体" w:hAnsi="宋体" w:eastAsia="宋体" w:cs="宋体"/>
                <w:color w:val="auto"/>
                <w:spacing w:val="3"/>
                <w:sz w:val="21"/>
                <w:szCs w:val="21"/>
                <w:highlight w:val="none"/>
              </w:rPr>
              <w:t>种植体垂直插入滩涂中，每穴</w:t>
            </w:r>
            <w:r>
              <w:rPr>
                <w:rFonts w:hint="eastAsia" w:ascii="宋体" w:hAnsi="宋体" w:eastAsia="宋体" w:cs="宋体"/>
                <w:color w:val="auto"/>
                <w:spacing w:val="-1"/>
                <w:sz w:val="21"/>
                <w:szCs w:val="21"/>
                <w:highlight w:val="none"/>
              </w:rPr>
              <w:t>一株，插植深度为胚轴的</w:t>
            </w:r>
            <w:r>
              <w:rPr>
                <w:rFonts w:hint="eastAsia" w:ascii="宋体" w:hAnsi="宋体" w:eastAsia="宋体" w:cs="宋体"/>
                <w:color w:val="auto"/>
                <w:spacing w:val="-35"/>
                <w:sz w:val="21"/>
                <w:szCs w:val="21"/>
                <w:highlight w:val="none"/>
              </w:rPr>
              <w:t xml:space="preserve"> </w:t>
            </w:r>
            <w:r>
              <w:rPr>
                <w:rFonts w:hint="eastAsia" w:ascii="宋体" w:hAnsi="宋体" w:eastAsia="宋体" w:cs="宋体"/>
                <w:color w:val="auto"/>
                <w:spacing w:val="-1"/>
                <w:sz w:val="21"/>
                <w:szCs w:val="21"/>
                <w:highlight w:val="none"/>
              </w:rPr>
              <w:t>1/3~</w:t>
            </w:r>
            <w:r>
              <w:rPr>
                <w:rFonts w:hint="eastAsia" w:ascii="宋体" w:hAnsi="宋体" w:eastAsia="宋体" w:cs="宋体"/>
                <w:color w:val="auto"/>
                <w:spacing w:val="-38"/>
                <w:sz w:val="21"/>
                <w:szCs w:val="21"/>
                <w:highlight w:val="none"/>
              </w:rPr>
              <w:t xml:space="preserve"> </w:t>
            </w:r>
            <w:r>
              <w:rPr>
                <w:rFonts w:hint="eastAsia" w:ascii="宋体" w:hAnsi="宋体" w:eastAsia="宋体" w:cs="宋体"/>
                <w:color w:val="auto"/>
                <w:spacing w:val="-1"/>
                <w:sz w:val="21"/>
                <w:szCs w:val="21"/>
                <w:highlight w:val="none"/>
              </w:rPr>
              <w:t>1/2</w:t>
            </w:r>
            <w:r>
              <w:rPr>
                <w:rFonts w:hint="eastAsia" w:ascii="宋体" w:hAnsi="宋体" w:eastAsia="宋体" w:cs="宋体"/>
                <w:color w:val="auto"/>
                <w:spacing w:val="-28"/>
                <w:sz w:val="21"/>
                <w:szCs w:val="21"/>
                <w:highlight w:val="none"/>
              </w:rPr>
              <w:t xml:space="preserve"> </w:t>
            </w:r>
            <w:r>
              <w:rPr>
                <w:rFonts w:hint="eastAsia" w:ascii="宋体" w:hAnsi="宋体" w:eastAsia="宋体" w:cs="宋体"/>
                <w:color w:val="auto"/>
                <w:spacing w:val="-1"/>
                <w:sz w:val="21"/>
                <w:szCs w:val="21"/>
                <w:highlight w:val="none"/>
              </w:rPr>
              <w:t>，种植间距为</w:t>
            </w:r>
            <w:r>
              <w:rPr>
                <w:rFonts w:hint="eastAsia" w:ascii="宋体" w:hAnsi="宋体" w:eastAsia="宋体" w:cs="宋体"/>
                <w:color w:val="auto"/>
                <w:spacing w:val="-55"/>
                <w:sz w:val="21"/>
                <w:szCs w:val="21"/>
                <w:highlight w:val="none"/>
              </w:rPr>
              <w:t xml:space="preserve"> </w:t>
            </w:r>
            <w:r>
              <w:rPr>
                <w:rFonts w:hint="eastAsia" w:ascii="宋体" w:hAnsi="宋体" w:eastAsia="宋体" w:cs="宋体"/>
                <w:color w:val="auto"/>
                <w:spacing w:val="-1"/>
                <w:sz w:val="21"/>
                <w:szCs w:val="21"/>
                <w:highlight w:val="none"/>
              </w:rPr>
              <w:t>50 厘米×50 厘米，</w:t>
            </w:r>
            <w:r>
              <w:rPr>
                <w:rFonts w:hint="eastAsia" w:ascii="宋体" w:hAnsi="宋体" w:eastAsia="宋体" w:cs="宋体"/>
                <w:color w:val="auto"/>
                <w:spacing w:val="-2"/>
                <w:sz w:val="21"/>
                <w:szCs w:val="21"/>
                <w:highlight w:val="none"/>
              </w:rPr>
              <w:t>局部加</w:t>
            </w:r>
            <w:r>
              <w:rPr>
                <w:rFonts w:hint="eastAsia" w:ascii="宋体" w:hAnsi="宋体" w:eastAsia="宋体" w:cs="宋体"/>
                <w:color w:val="auto"/>
                <w:spacing w:val="-3"/>
                <w:sz w:val="21"/>
                <w:szCs w:val="21"/>
                <w:highlight w:val="none"/>
              </w:rPr>
              <w:t>密种植。</w:t>
            </w:r>
          </w:p>
          <w:p w14:paraId="7DE2D2C9">
            <w:pPr>
              <w:spacing w:before="2" w:line="329" w:lineRule="auto"/>
              <w:ind w:left="13" w:firstLine="549"/>
              <w:rPr>
                <w:rFonts w:hint="eastAsia" w:ascii="宋体" w:hAnsi="宋体" w:eastAsia="宋体" w:cs="宋体"/>
                <w:b w:val="0"/>
                <w:bCs w:val="0"/>
                <w:color w:val="auto"/>
                <w:spacing w:val="-1"/>
                <w:sz w:val="21"/>
                <w:szCs w:val="21"/>
                <w:highlight w:val="none"/>
              </w:rPr>
            </w:pPr>
            <w:r>
              <w:rPr>
                <w:rFonts w:hint="eastAsia" w:ascii="宋体" w:hAnsi="宋体" w:eastAsia="宋体" w:cs="宋体"/>
                <w:color w:val="auto"/>
                <w:spacing w:val="-1"/>
                <w:sz w:val="21"/>
                <w:szCs w:val="21"/>
                <w:highlight w:val="none"/>
              </w:rPr>
              <w:t>B.</w:t>
            </w:r>
            <w:r>
              <w:rPr>
                <w:rFonts w:hint="eastAsia" w:ascii="宋体" w:hAnsi="宋体" w:eastAsia="宋体" w:cs="宋体"/>
                <w:color w:val="auto"/>
                <w:spacing w:val="-1"/>
                <w:szCs w:val="21"/>
                <w:highlight w:val="none"/>
              </w:rPr>
              <w:t>围网保护</w:t>
            </w:r>
            <w:r>
              <w:rPr>
                <w:rFonts w:hint="eastAsia" w:ascii="宋体" w:hAnsi="宋体" w:eastAsia="宋体" w:cs="宋体"/>
                <w:color w:val="auto"/>
                <w:spacing w:val="-1"/>
                <w:szCs w:val="21"/>
                <w:highlight w:val="none"/>
                <w:lang w:eastAsia="zh-CN"/>
              </w:rPr>
              <w:t>。</w:t>
            </w:r>
            <w:r>
              <w:rPr>
                <w:rFonts w:hint="eastAsia" w:ascii="宋体" w:hAnsi="宋体" w:eastAsia="宋体" w:cs="宋体"/>
                <w:color w:val="auto"/>
                <w:spacing w:val="-1"/>
                <w:sz w:val="21"/>
                <w:szCs w:val="21"/>
                <w:highlight w:val="none"/>
              </w:rPr>
              <w:t>为防治海洋漂浮物及人畜对红树胚轴造成损害，</w:t>
            </w:r>
            <w:r>
              <w:rPr>
                <w:rFonts w:hint="eastAsia" w:ascii="宋体" w:hAnsi="宋体" w:eastAsia="宋体" w:cs="宋体"/>
                <w:b w:val="0"/>
                <w:bCs w:val="0"/>
                <w:color w:val="auto"/>
                <w:spacing w:val="-1"/>
                <w:sz w:val="21"/>
                <w:szCs w:val="21"/>
                <w:highlight w:val="none"/>
              </w:rPr>
              <w:t>设置约3米高、耐腐蚀、高强度的围网保护覆膜区域。围网应设置在边缘外1米处，留有方便管理和巡护的小门。高木桩安装</w:t>
            </w:r>
            <w:r>
              <w:rPr>
                <w:rFonts w:hint="eastAsia" w:ascii="宋体" w:hAnsi="宋体" w:eastAsia="宋体" w:cs="宋体"/>
                <w:b w:val="0"/>
                <w:bCs w:val="0"/>
                <w:color w:val="auto"/>
                <w:spacing w:val="-1"/>
                <w:sz w:val="21"/>
                <w:szCs w:val="21"/>
                <w:highlight w:val="none"/>
                <w:lang w:val="en-US" w:eastAsia="zh-CN"/>
              </w:rPr>
              <w:t>8</w:t>
            </w:r>
            <w:r>
              <w:rPr>
                <w:rFonts w:hint="eastAsia" w:ascii="宋体" w:hAnsi="宋体" w:eastAsia="宋体" w:cs="宋体"/>
                <w:b w:val="0"/>
                <w:bCs w:val="0"/>
                <w:color w:val="auto"/>
                <w:spacing w:val="-1"/>
                <w:sz w:val="21"/>
                <w:szCs w:val="21"/>
                <w:highlight w:val="none"/>
              </w:rPr>
              <w:t>50根，桩距3米，竹或隆缘桉尾径5厘米以上，高4米（埋进泥里1米，露出地面3米），含损耗30%。</w:t>
            </w:r>
            <w:r>
              <w:rPr>
                <w:rFonts w:hint="eastAsia" w:ascii="宋体" w:hAnsi="宋体" w:eastAsia="宋体" w:cs="宋体"/>
                <w:b w:val="0"/>
                <w:bCs w:val="0"/>
                <w:color w:val="auto"/>
                <w:spacing w:val="-1"/>
                <w:sz w:val="21"/>
                <w:szCs w:val="21"/>
                <w:highlight w:val="none"/>
                <w:lang w:val="en-US" w:eastAsia="zh-CN"/>
              </w:rPr>
              <w:t>防护围网7100平方米</w:t>
            </w:r>
            <w:r>
              <w:rPr>
                <w:rFonts w:hint="eastAsia" w:ascii="宋体" w:hAnsi="宋体" w:eastAsia="宋体" w:cs="宋体"/>
                <w:b w:val="0"/>
                <w:bCs w:val="0"/>
                <w:color w:val="auto"/>
                <w:spacing w:val="-1"/>
                <w:sz w:val="21"/>
                <w:szCs w:val="21"/>
                <w:highlight w:val="none"/>
              </w:rPr>
              <w:t>，胶丝网，网眼6~8厘米，挂高3米，含损耗30%。</w:t>
            </w:r>
          </w:p>
          <w:p w14:paraId="22BC58B5">
            <w:pPr>
              <w:pStyle w:val="76"/>
              <w:ind w:firstLine="476" w:firstLineChars="200"/>
              <w:rPr>
                <w:rFonts w:hint="eastAsia" w:ascii="宋体" w:hAnsi="宋体" w:eastAsia="宋体" w:cs="宋体"/>
                <w:color w:val="auto"/>
                <w:spacing w:val="-1"/>
                <w:szCs w:val="21"/>
                <w:highlight w:val="none"/>
                <w:lang w:val="en-US" w:eastAsia="zh-CN"/>
              </w:rPr>
            </w:pPr>
            <w:r>
              <w:rPr>
                <w:rFonts w:hint="eastAsia" w:ascii="宋体" w:hAnsi="宋体" w:eastAsia="宋体" w:cs="宋体"/>
                <w:color w:val="auto"/>
                <w:spacing w:val="-1"/>
                <w:szCs w:val="21"/>
                <w:highlight w:val="none"/>
                <w:lang w:val="en-US" w:eastAsia="zh-CN"/>
              </w:rPr>
              <w:t>C.警示牌。设置警示牌2个。1800mm×900mm×4mm镀锌钢板，氟碳漆饰面。立柱、横杆:镀锌方钢管，100mm×100mm×4mm、100mm×150mm×4mm，氟碳漆饰面。</w:t>
            </w:r>
          </w:p>
          <w:p w14:paraId="0CE3DE19">
            <w:pPr>
              <w:pStyle w:val="76"/>
              <w:ind w:firstLine="624" w:firstLineChars="300"/>
              <w:rPr>
                <w:rFonts w:hint="eastAsia" w:ascii="宋体" w:hAnsi="宋体" w:eastAsia="宋体" w:cs="宋体"/>
                <w:color w:val="auto"/>
                <w:spacing w:val="-1"/>
                <w:kern w:val="2"/>
                <w:sz w:val="21"/>
                <w:szCs w:val="21"/>
                <w:highlight w:val="none"/>
                <w:lang w:val="en-US" w:eastAsia="zh-CN"/>
              </w:rPr>
            </w:pPr>
            <w:r>
              <w:rPr>
                <w:rFonts w:hint="eastAsia" w:ascii="宋体" w:hAnsi="宋体" w:eastAsia="宋体" w:cs="宋体"/>
                <w:color w:val="auto"/>
                <w:spacing w:val="-1"/>
                <w:kern w:val="2"/>
                <w:sz w:val="21"/>
                <w:szCs w:val="21"/>
                <w:highlight w:val="none"/>
                <w:lang w:val="en-US" w:eastAsia="zh-CN"/>
              </w:rPr>
              <w:t>D:</w:t>
            </w:r>
            <w:r>
              <w:rPr>
                <w:rFonts w:hint="eastAsia" w:ascii="宋体" w:hAnsi="宋体" w:eastAsia="宋体" w:cs="宋体"/>
                <w:b w:val="0"/>
                <w:bCs w:val="0"/>
                <w:color w:val="auto"/>
                <w:spacing w:val="-1"/>
                <w:kern w:val="2"/>
                <w:sz w:val="21"/>
                <w:szCs w:val="21"/>
                <w:highlight w:val="none"/>
              </w:rPr>
              <w:t>胚轴插植</w:t>
            </w:r>
            <w:r>
              <w:rPr>
                <w:rFonts w:hint="eastAsia" w:ascii="宋体" w:hAnsi="宋体" w:eastAsia="宋体" w:cs="宋体"/>
                <w:b w:val="0"/>
                <w:bCs w:val="0"/>
                <w:color w:val="auto"/>
                <w:spacing w:val="-1"/>
                <w:kern w:val="2"/>
                <w:sz w:val="21"/>
                <w:szCs w:val="21"/>
                <w:highlight w:val="none"/>
                <w:lang w:val="en-US" w:eastAsia="zh-CN"/>
              </w:rPr>
              <w:t>在施工验收时成活率须在90%及以上。</w:t>
            </w:r>
          </w:p>
          <w:p w14:paraId="19FB65B3">
            <w:pPr>
              <w:pStyle w:val="76"/>
              <w:ind w:firstLine="414" w:firstLineChars="200"/>
              <w:rPr>
                <w:rFonts w:hint="eastAsia" w:ascii="宋体" w:hAnsi="宋体" w:eastAsia="宋体" w:cs="宋体"/>
                <w:color w:val="auto"/>
                <w:spacing w:val="-1"/>
                <w:sz w:val="21"/>
                <w:szCs w:val="21"/>
                <w:highlight w:val="none"/>
                <w:lang w:val="en-US" w:eastAsia="zh-CN"/>
              </w:rPr>
            </w:pPr>
            <w:r>
              <w:rPr>
                <w:rFonts w:hint="eastAsia" w:ascii="宋体" w:hAnsi="宋体" w:eastAsia="宋体" w:cs="宋体"/>
                <w:b/>
                <w:bCs/>
                <w:color w:val="auto"/>
                <w:spacing w:val="-2"/>
                <w:sz w:val="21"/>
                <w:szCs w:val="21"/>
                <w:highlight w:val="none"/>
              </w:rPr>
              <w:t>④</w:t>
            </w:r>
            <w:r>
              <w:rPr>
                <w:rFonts w:hint="eastAsia" w:ascii="宋体" w:hAnsi="宋体" w:eastAsia="宋体" w:cs="宋体"/>
                <w:color w:val="auto"/>
                <w:spacing w:val="-1"/>
                <w:sz w:val="21"/>
                <w:szCs w:val="21"/>
                <w:highlight w:val="none"/>
                <w:lang w:val="en-US" w:eastAsia="zh-CN"/>
              </w:rPr>
              <w:t>人工要求</w:t>
            </w:r>
          </w:p>
          <w:p w14:paraId="15FD3096">
            <w:pPr>
              <w:spacing w:before="2" w:line="329" w:lineRule="auto"/>
              <w:ind w:left="13" w:firstLine="549"/>
              <w:rPr>
                <w:rFonts w:hint="eastAsia" w:ascii="宋体" w:hAnsi="宋体" w:eastAsia="宋体" w:cs="宋体"/>
                <w:color w:val="auto"/>
                <w:sz w:val="21"/>
                <w:szCs w:val="21"/>
                <w:highlight w:val="none"/>
              </w:rPr>
            </w:pPr>
            <w:r>
              <w:rPr>
                <w:rFonts w:hint="eastAsia" w:ascii="宋体" w:hAnsi="宋体" w:eastAsia="宋体" w:cs="宋体"/>
                <w:bCs/>
                <w:color w:val="auto"/>
                <w:kern w:val="0"/>
                <w:szCs w:val="21"/>
                <w:highlight w:val="none"/>
                <w:lang w:bidi="ar"/>
              </w:rPr>
              <w:t>按要求开展</w:t>
            </w:r>
            <w:r>
              <w:rPr>
                <w:rFonts w:hint="eastAsia" w:ascii="宋体" w:hAnsi="宋体" w:eastAsia="宋体" w:cs="宋体"/>
                <w:color w:val="auto"/>
                <w:szCs w:val="21"/>
                <w:highlight w:val="none"/>
                <w:lang w:val="en-US" w:eastAsia="zh-CN"/>
              </w:rPr>
              <w:t>人工清除互花米草、人工深翻、修复原覆盖地膜、胚轴插植等</w:t>
            </w:r>
            <w:r>
              <w:rPr>
                <w:rFonts w:hint="eastAsia" w:ascii="宋体" w:hAnsi="宋体" w:eastAsia="宋体" w:cs="宋体"/>
                <w:color w:val="auto"/>
                <w:szCs w:val="21"/>
                <w:highlight w:val="none"/>
              </w:rPr>
              <w:t>工作</w:t>
            </w:r>
            <w:r>
              <w:rPr>
                <w:rFonts w:hint="eastAsia" w:ascii="宋体" w:hAnsi="宋体" w:eastAsia="宋体" w:cs="宋体"/>
                <w:color w:val="auto"/>
                <w:szCs w:val="21"/>
                <w:highlight w:val="none"/>
                <w:lang w:eastAsia="zh-CN"/>
              </w:rPr>
              <w:t>。</w:t>
            </w:r>
            <w:r>
              <w:rPr>
                <w:rFonts w:hint="eastAsia" w:ascii="宋体" w:hAnsi="宋体" w:eastAsia="宋体" w:cs="宋体"/>
                <w:bCs/>
                <w:color w:val="auto"/>
                <w:kern w:val="0"/>
                <w:szCs w:val="21"/>
                <w:highlight w:val="none"/>
                <w:lang w:bidi="ar"/>
              </w:rPr>
              <w:t>完成采购人指定范围的相关工作量。对</w:t>
            </w:r>
            <w:r>
              <w:rPr>
                <w:rFonts w:hint="eastAsia" w:ascii="宋体" w:hAnsi="宋体" w:eastAsia="宋体" w:cs="宋体"/>
                <w:color w:val="auto"/>
                <w:sz w:val="21"/>
                <w:szCs w:val="21"/>
                <w:highlight w:val="none"/>
              </w:rPr>
              <w:t>人工拔除和挖掘</w:t>
            </w:r>
            <w:r>
              <w:rPr>
                <w:rFonts w:hint="eastAsia" w:ascii="宋体" w:hAnsi="宋体" w:eastAsia="宋体" w:cs="宋体"/>
                <w:bCs/>
                <w:color w:val="auto"/>
                <w:kern w:val="0"/>
                <w:szCs w:val="21"/>
                <w:highlight w:val="none"/>
                <w:lang w:val="en-US" w:eastAsia="zh-CN" w:bidi="ar"/>
              </w:rPr>
              <w:t>互花米草</w:t>
            </w:r>
            <w:r>
              <w:rPr>
                <w:rFonts w:hint="eastAsia" w:ascii="宋体" w:hAnsi="宋体" w:eastAsia="宋体" w:cs="宋体"/>
                <w:color w:val="auto"/>
                <w:spacing w:val="-1"/>
                <w:sz w:val="21"/>
                <w:szCs w:val="21"/>
                <w:highlight w:val="none"/>
              </w:rPr>
              <w:t>地上和地下组织</w:t>
            </w:r>
            <w:r>
              <w:rPr>
                <w:rFonts w:hint="eastAsia" w:ascii="宋体" w:hAnsi="宋体" w:eastAsia="宋体" w:cs="宋体"/>
                <w:bCs/>
                <w:color w:val="auto"/>
                <w:kern w:val="0"/>
                <w:szCs w:val="21"/>
                <w:highlight w:val="none"/>
                <w:lang w:val="en-US" w:eastAsia="zh-CN" w:bidi="ar"/>
              </w:rPr>
              <w:t>、</w:t>
            </w:r>
            <w:r>
              <w:rPr>
                <w:rFonts w:hint="eastAsia" w:ascii="宋体" w:hAnsi="宋体" w:eastAsia="宋体" w:cs="宋体"/>
                <w:color w:val="auto"/>
                <w:sz w:val="21"/>
                <w:szCs w:val="21"/>
                <w:highlight w:val="none"/>
              </w:rPr>
              <w:t>原覆盖地膜</w:t>
            </w:r>
            <w:r>
              <w:rPr>
                <w:rFonts w:hint="eastAsia" w:ascii="宋体" w:hAnsi="宋体" w:eastAsia="宋体" w:cs="宋体"/>
                <w:color w:val="auto"/>
                <w:sz w:val="21"/>
                <w:szCs w:val="21"/>
                <w:highlight w:val="none"/>
                <w:lang w:val="en-US" w:eastAsia="zh-CN"/>
              </w:rPr>
              <w:t>的</w:t>
            </w:r>
            <w:r>
              <w:rPr>
                <w:rFonts w:hint="eastAsia" w:ascii="宋体" w:hAnsi="宋体" w:eastAsia="宋体" w:cs="宋体"/>
                <w:bCs/>
                <w:color w:val="auto"/>
                <w:kern w:val="0"/>
                <w:szCs w:val="21"/>
                <w:highlight w:val="none"/>
                <w:lang w:val="en-US" w:eastAsia="zh-CN" w:bidi="ar"/>
              </w:rPr>
              <w:t>破损碎片、以及海漂垃圾</w:t>
            </w:r>
            <w:r>
              <w:rPr>
                <w:rFonts w:hint="eastAsia" w:ascii="宋体" w:hAnsi="宋体" w:eastAsia="宋体" w:cs="宋体"/>
                <w:bCs/>
                <w:color w:val="auto"/>
                <w:kern w:val="0"/>
                <w:szCs w:val="21"/>
                <w:highlight w:val="none"/>
                <w:lang w:bidi="ar"/>
              </w:rPr>
              <w:t>妥善处理</w:t>
            </w:r>
            <w:r>
              <w:rPr>
                <w:rFonts w:hint="eastAsia" w:ascii="宋体" w:hAnsi="宋体" w:eastAsia="宋体" w:cs="宋体"/>
                <w:bCs/>
                <w:color w:val="auto"/>
                <w:kern w:val="0"/>
                <w:szCs w:val="21"/>
                <w:highlight w:val="none"/>
                <w:lang w:val="en-US" w:eastAsia="zh-CN" w:bidi="ar"/>
              </w:rPr>
              <w:t>清运</w:t>
            </w:r>
            <w:r>
              <w:rPr>
                <w:rFonts w:hint="eastAsia" w:ascii="宋体" w:hAnsi="宋体" w:eastAsia="宋体" w:cs="宋体"/>
                <w:bCs/>
                <w:color w:val="auto"/>
                <w:kern w:val="0"/>
                <w:szCs w:val="21"/>
                <w:highlight w:val="none"/>
                <w:lang w:bidi="ar"/>
              </w:rPr>
              <w:t>。具备海上作业经验及海上自救能力。年龄不超过60岁。供应商须负责购买其项目人员意外保险。</w:t>
            </w:r>
          </w:p>
          <w:p w14:paraId="29798BF9">
            <w:pPr>
              <w:spacing w:before="2" w:line="329" w:lineRule="auto"/>
              <w:ind w:left="13" w:firstLine="549"/>
              <w:rPr>
                <w:rFonts w:hint="eastAsia" w:ascii="宋体" w:hAnsi="宋体" w:eastAsia="宋体" w:cs="宋体"/>
                <w:b/>
                <w:bCs/>
                <w:color w:val="auto"/>
                <w:spacing w:val="-2"/>
                <w:sz w:val="21"/>
                <w:szCs w:val="21"/>
                <w:highlight w:val="none"/>
              </w:rPr>
            </w:pPr>
            <w:r>
              <w:rPr>
                <w:rFonts w:hint="eastAsia" w:ascii="宋体" w:hAnsi="宋体" w:eastAsia="宋体" w:cs="宋体"/>
                <w:b/>
                <w:bCs/>
                <w:color w:val="auto"/>
                <w:spacing w:val="-2"/>
                <w:sz w:val="21"/>
                <w:szCs w:val="21"/>
                <w:highlight w:val="none"/>
              </w:rPr>
              <w:t>⑤管理巡护</w:t>
            </w:r>
          </w:p>
          <w:p w14:paraId="71755AFC">
            <w:pPr>
              <w:spacing w:before="2" w:line="329" w:lineRule="auto"/>
              <w:ind w:left="13" w:firstLine="549"/>
              <w:rPr>
                <w:rFonts w:hint="eastAsia" w:ascii="宋体" w:hAnsi="宋体" w:eastAsia="宋体" w:cs="宋体"/>
                <w:color w:val="auto"/>
                <w:szCs w:val="21"/>
                <w:highlight w:val="none"/>
              </w:rPr>
            </w:pPr>
            <w:r>
              <w:rPr>
                <w:rFonts w:hint="eastAsia" w:ascii="宋体" w:hAnsi="宋体" w:eastAsia="宋体" w:cs="宋体"/>
                <w:color w:val="auto"/>
                <w:spacing w:val="-2"/>
                <w:sz w:val="21"/>
                <w:szCs w:val="21"/>
                <w:highlight w:val="none"/>
              </w:rPr>
              <w:t>聘用专职巡护人员，以人工巡查与无人机机场巡查对红树胚轴</w:t>
            </w:r>
            <w:r>
              <w:rPr>
                <w:rFonts w:hint="eastAsia" w:ascii="宋体" w:hAnsi="宋体" w:eastAsia="宋体" w:cs="宋体"/>
                <w:color w:val="auto"/>
                <w:spacing w:val="-1"/>
                <w:sz w:val="21"/>
                <w:szCs w:val="21"/>
                <w:highlight w:val="none"/>
              </w:rPr>
              <w:t>种植范围进行巡护，发现种植范围出现挖沙虫、赶海等干扰影响红树林种植的行为及时劝阻，同时对红树林病虫害进行监测，发现病虫害及时上报处理。此外管护人员还需对挖沙虫、赶海、非法捕捞、踩踏幼苗等干扰红树林生长的行为及时劝阻，必要时上报执法部门处理，引导周边群众遵守保护区规定，避免在种植区进行破坏性活动，通过加强巡护管理，减少人为干扰和生态威胁，保障红树林种植成活率和生态恢复效果。</w:t>
            </w:r>
            <w:r>
              <w:rPr>
                <w:rFonts w:hint="eastAsia" w:ascii="宋体" w:hAnsi="宋体" w:eastAsia="宋体" w:cs="宋体"/>
                <w:color w:val="auto"/>
                <w:spacing w:val="-1"/>
                <w:sz w:val="21"/>
                <w:szCs w:val="21"/>
                <w:highlight w:val="none"/>
                <w:lang w:val="en-US" w:eastAsia="zh-CN"/>
              </w:rPr>
              <w:t>根据每周巡护发现海漂垃圾堆积的情况，</w:t>
            </w:r>
            <w:r>
              <w:rPr>
                <w:rFonts w:hint="eastAsia" w:ascii="宋体" w:hAnsi="宋体" w:eastAsia="宋体" w:cs="宋体"/>
                <w:color w:val="auto"/>
                <w:spacing w:val="-1"/>
                <w:sz w:val="21"/>
                <w:szCs w:val="21"/>
                <w:highlight w:val="none"/>
              </w:rPr>
              <w:t>清理</w:t>
            </w:r>
            <w:r>
              <w:rPr>
                <w:rFonts w:hint="eastAsia" w:ascii="宋体" w:hAnsi="宋体" w:eastAsia="宋体" w:cs="宋体"/>
                <w:color w:val="auto"/>
                <w:spacing w:val="-1"/>
                <w:sz w:val="21"/>
                <w:szCs w:val="21"/>
                <w:highlight w:val="none"/>
                <w:lang w:val="en-US" w:eastAsia="zh-CN"/>
              </w:rPr>
              <w:t>维护</w:t>
            </w:r>
            <w:r>
              <w:rPr>
                <w:rFonts w:hint="eastAsia" w:ascii="宋体" w:hAnsi="宋体" w:eastAsia="宋体" w:cs="宋体"/>
                <w:color w:val="auto"/>
                <w:spacing w:val="-1"/>
                <w:sz w:val="21"/>
                <w:szCs w:val="21"/>
                <w:highlight w:val="none"/>
              </w:rPr>
              <w:t>范围</w:t>
            </w:r>
            <w:r>
              <w:rPr>
                <w:rFonts w:hint="eastAsia" w:ascii="宋体" w:hAnsi="宋体" w:eastAsia="宋体" w:cs="宋体"/>
                <w:color w:val="auto"/>
                <w:spacing w:val="-1"/>
                <w:sz w:val="21"/>
                <w:szCs w:val="21"/>
                <w:highlight w:val="none"/>
                <w:lang w:val="en-US" w:eastAsia="zh-CN"/>
              </w:rPr>
              <w:t>内</w:t>
            </w:r>
            <w:r>
              <w:rPr>
                <w:rFonts w:hint="eastAsia" w:ascii="宋体" w:hAnsi="宋体" w:eastAsia="宋体" w:cs="宋体"/>
                <w:color w:val="auto"/>
                <w:spacing w:val="-1"/>
                <w:sz w:val="21"/>
                <w:szCs w:val="21"/>
                <w:highlight w:val="none"/>
              </w:rPr>
              <w:t>的海漂垃圾</w:t>
            </w:r>
            <w:r>
              <w:rPr>
                <w:rFonts w:hint="eastAsia" w:ascii="宋体" w:hAnsi="宋体" w:eastAsia="宋体" w:cs="宋体"/>
                <w:color w:val="auto"/>
                <w:spacing w:val="-1"/>
                <w:sz w:val="21"/>
                <w:szCs w:val="21"/>
                <w:highlight w:val="none"/>
                <w:lang w:eastAsia="zh-CN"/>
              </w:rPr>
              <w:t>，</w:t>
            </w:r>
            <w:r>
              <w:rPr>
                <w:rFonts w:hint="eastAsia" w:ascii="宋体" w:hAnsi="宋体" w:eastAsia="宋体" w:cs="宋体"/>
                <w:color w:val="auto"/>
                <w:spacing w:val="-1"/>
                <w:sz w:val="21"/>
                <w:szCs w:val="21"/>
                <w:highlight w:val="none"/>
              </w:rPr>
              <w:t>收集并运输至垃圾处理厂进行处理</w:t>
            </w:r>
            <w:r>
              <w:rPr>
                <w:rFonts w:hint="eastAsia" w:ascii="宋体" w:hAnsi="宋体" w:eastAsia="宋体" w:cs="宋体"/>
                <w:color w:val="auto"/>
                <w:spacing w:val="-1"/>
                <w:sz w:val="21"/>
                <w:szCs w:val="21"/>
                <w:highlight w:val="none"/>
                <w:lang w:eastAsia="zh-CN"/>
              </w:rPr>
              <w:t>。</w:t>
            </w:r>
            <w:r>
              <w:rPr>
                <w:rFonts w:hint="eastAsia" w:ascii="宋体" w:hAnsi="宋体" w:eastAsia="宋体" w:cs="宋体"/>
                <w:color w:val="auto"/>
                <w:spacing w:val="-1"/>
                <w:sz w:val="21"/>
                <w:szCs w:val="21"/>
                <w:highlight w:val="none"/>
                <w:lang w:val="en-US" w:eastAsia="zh-CN"/>
              </w:rPr>
              <w:t>每周对维护范围内安排不少于1次的海漂垃圾全面清理，每周动态清零。</w:t>
            </w:r>
          </w:p>
        </w:tc>
      </w:tr>
      <w:tr w14:paraId="43FEE1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664" w:type="dxa"/>
            <w:gridSpan w:val="6"/>
            <w:tcBorders>
              <w:top w:val="single" w:color="auto" w:sz="4" w:space="0"/>
              <w:left w:val="single" w:color="auto" w:sz="4" w:space="0"/>
              <w:bottom w:val="single" w:color="auto" w:sz="4" w:space="0"/>
              <w:right w:val="single" w:color="auto" w:sz="4" w:space="0"/>
            </w:tcBorders>
          </w:tcPr>
          <w:p w14:paraId="5B9AF2C5">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二、商务条款</w:t>
            </w:r>
          </w:p>
        </w:tc>
      </w:tr>
      <w:tr w14:paraId="3C33D8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322" w:type="dxa"/>
            <w:gridSpan w:val="3"/>
            <w:tcBorders>
              <w:top w:val="single" w:color="auto" w:sz="4" w:space="0"/>
              <w:left w:val="single" w:color="auto" w:sz="4" w:space="0"/>
              <w:bottom w:val="single" w:color="auto" w:sz="4" w:space="0"/>
              <w:right w:val="single" w:color="auto" w:sz="4" w:space="0"/>
            </w:tcBorders>
            <w:vAlign w:val="center"/>
          </w:tcPr>
          <w:p w14:paraId="6A452B97">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▲合同签订期</w:t>
            </w:r>
          </w:p>
        </w:tc>
        <w:tc>
          <w:tcPr>
            <w:tcW w:w="7342" w:type="dxa"/>
            <w:gridSpan w:val="3"/>
            <w:tcBorders>
              <w:top w:val="single" w:color="auto" w:sz="4" w:space="0"/>
              <w:left w:val="single" w:color="auto" w:sz="4" w:space="0"/>
              <w:bottom w:val="single" w:color="auto" w:sz="4" w:space="0"/>
              <w:right w:val="single" w:color="auto" w:sz="4" w:space="0"/>
            </w:tcBorders>
            <w:vAlign w:val="center"/>
          </w:tcPr>
          <w:p w14:paraId="156D67A6">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自中标通知书发出之日起25日内。</w:t>
            </w:r>
          </w:p>
        </w:tc>
      </w:tr>
      <w:tr w14:paraId="0D3771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322" w:type="dxa"/>
            <w:gridSpan w:val="3"/>
            <w:tcBorders>
              <w:top w:val="single" w:color="auto" w:sz="4" w:space="0"/>
              <w:left w:val="single" w:color="auto" w:sz="4" w:space="0"/>
              <w:bottom w:val="single" w:color="auto" w:sz="4" w:space="0"/>
              <w:right w:val="single" w:color="auto" w:sz="4" w:space="0"/>
            </w:tcBorders>
            <w:vAlign w:val="center"/>
          </w:tcPr>
          <w:p w14:paraId="4811FB5C">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▲服务期限及服务地点</w:t>
            </w:r>
          </w:p>
        </w:tc>
        <w:tc>
          <w:tcPr>
            <w:tcW w:w="7342" w:type="dxa"/>
            <w:gridSpan w:val="3"/>
            <w:tcBorders>
              <w:top w:val="single" w:color="auto" w:sz="4" w:space="0"/>
              <w:left w:val="single" w:color="auto" w:sz="4" w:space="0"/>
              <w:bottom w:val="single" w:color="auto" w:sz="4" w:space="0"/>
              <w:right w:val="single" w:color="auto" w:sz="4" w:space="0"/>
            </w:tcBorders>
            <w:vAlign w:val="top"/>
          </w:tcPr>
          <w:p w14:paraId="0F3FFB07">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服务期限：</w:t>
            </w:r>
            <w:r>
              <w:rPr>
                <w:rFonts w:hint="eastAsia" w:ascii="宋体" w:hAnsi="宋体" w:eastAsia="宋体" w:cs="宋体"/>
                <w:color w:val="auto"/>
                <w:szCs w:val="21"/>
                <w:highlight w:val="none"/>
                <w:lang w:val="en-US" w:eastAsia="zh-CN"/>
              </w:rPr>
              <w:t>自签订合同之日起至2027年7月底完成验收</w:t>
            </w:r>
            <w:r>
              <w:rPr>
                <w:rFonts w:hint="eastAsia" w:ascii="宋体" w:hAnsi="宋体" w:eastAsia="宋体" w:cs="宋体"/>
                <w:color w:val="auto"/>
                <w:sz w:val="24"/>
                <w:szCs w:val="24"/>
                <w:highlight w:val="none"/>
              </w:rPr>
              <w:t>。</w:t>
            </w:r>
          </w:p>
          <w:p w14:paraId="1ACBACAA">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服务地点：</w:t>
            </w:r>
            <w:r>
              <w:rPr>
                <w:rFonts w:hint="eastAsia" w:ascii="宋体" w:hAnsi="宋体" w:eastAsia="宋体" w:cs="宋体"/>
                <w:color w:val="auto"/>
                <w:szCs w:val="21"/>
                <w:highlight w:val="none"/>
                <w:lang w:val="en-US" w:eastAsia="zh-CN"/>
              </w:rPr>
              <w:t>采购人指定地点</w:t>
            </w:r>
            <w:r>
              <w:rPr>
                <w:rFonts w:hint="eastAsia" w:ascii="宋体" w:hAnsi="宋体" w:eastAsia="宋体" w:cs="宋体"/>
                <w:color w:val="auto"/>
                <w:szCs w:val="21"/>
                <w:highlight w:val="none"/>
              </w:rPr>
              <w:t>。</w:t>
            </w:r>
          </w:p>
        </w:tc>
      </w:tr>
      <w:tr w14:paraId="5EE891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322" w:type="dxa"/>
            <w:gridSpan w:val="3"/>
            <w:tcBorders>
              <w:top w:val="single" w:color="auto" w:sz="4" w:space="0"/>
              <w:left w:val="single" w:color="auto" w:sz="4" w:space="0"/>
              <w:bottom w:val="single" w:color="auto" w:sz="4" w:space="0"/>
              <w:right w:val="single" w:color="auto" w:sz="4" w:space="0"/>
            </w:tcBorders>
            <w:vAlign w:val="center"/>
          </w:tcPr>
          <w:p w14:paraId="47B43A36">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▲投标报价</w:t>
            </w:r>
          </w:p>
        </w:tc>
        <w:tc>
          <w:tcPr>
            <w:tcW w:w="7342" w:type="dxa"/>
            <w:gridSpan w:val="3"/>
            <w:tcBorders>
              <w:top w:val="single" w:color="auto" w:sz="4" w:space="0"/>
              <w:left w:val="single" w:color="auto" w:sz="4" w:space="0"/>
              <w:bottom w:val="single" w:color="auto" w:sz="4" w:space="0"/>
              <w:right w:val="single" w:color="auto" w:sz="4" w:space="0"/>
            </w:tcBorders>
            <w:vAlign w:val="top"/>
          </w:tcPr>
          <w:p w14:paraId="0A71E403">
            <w:pPr>
              <w:numPr>
                <w:ilvl w:val="0"/>
                <w:numId w:val="0"/>
              </w:numPr>
              <w:spacing w:line="400" w:lineRule="exact"/>
              <w:jc w:val="both"/>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报价必须含以下部分，包括：</w:t>
            </w:r>
          </w:p>
          <w:p w14:paraId="0E304187">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0" w:firstLineChars="0"/>
              <w:jc w:val="both"/>
              <w:textAlignment w:val="auto"/>
              <w:rPr>
                <w:rFonts w:hint="eastAsia" w:ascii="宋体" w:hAnsi="宋体" w:eastAsia="宋体" w:cs="宋体"/>
                <w:color w:val="auto"/>
                <w:szCs w:val="21"/>
                <w:highlight w:val="none"/>
              </w:rPr>
            </w:pPr>
            <w:r>
              <w:rPr>
                <w:rFonts w:hint="eastAsia" w:ascii="宋体" w:hAnsi="宋体" w:eastAsia="宋体" w:cs="宋体"/>
                <w:i w:val="0"/>
                <w:iCs w:val="0"/>
                <w:color w:val="auto"/>
                <w:sz w:val="21"/>
                <w:szCs w:val="21"/>
                <w:highlight w:val="none"/>
                <w:u w:val="none"/>
                <w:lang w:val="en-US" w:eastAsia="zh-CN"/>
              </w:rPr>
              <w:t>（1）服务费用（报价需包含但不限于“采购需求一览表”涉及的所有费用）；</w:t>
            </w:r>
            <w:r>
              <w:rPr>
                <w:rFonts w:hint="eastAsia" w:ascii="宋体" w:hAnsi="宋体" w:eastAsia="宋体" w:cs="宋体"/>
                <w:color w:val="auto"/>
                <w:szCs w:val="21"/>
                <w:highlight w:val="none"/>
              </w:rPr>
              <w:t>本标项采购预算为人民币</w:t>
            </w:r>
            <w:r>
              <w:rPr>
                <w:rFonts w:hint="eastAsia" w:ascii="宋体" w:hAnsi="宋体" w:eastAsia="宋体" w:cs="宋体"/>
                <w:color w:val="auto"/>
                <w:kern w:val="2"/>
                <w:szCs w:val="21"/>
                <w:highlight w:val="none"/>
                <w:lang w:val="en-US" w:eastAsia="zh-CN"/>
              </w:rPr>
              <w:t>96.28</w:t>
            </w:r>
            <w:r>
              <w:rPr>
                <w:rFonts w:hint="eastAsia" w:ascii="宋体" w:hAnsi="宋体" w:eastAsia="宋体" w:cs="宋体"/>
                <w:color w:val="auto"/>
                <w:kern w:val="2"/>
                <w:szCs w:val="21"/>
                <w:highlight w:val="none"/>
              </w:rPr>
              <w:t>万元</w:t>
            </w:r>
            <w:r>
              <w:rPr>
                <w:rFonts w:hint="eastAsia" w:ascii="宋体" w:hAnsi="宋体" w:eastAsia="宋体" w:cs="宋体"/>
                <w:color w:val="auto"/>
                <w:szCs w:val="21"/>
                <w:highlight w:val="none"/>
              </w:rPr>
              <w:t>，单价最高限价如下表：</w:t>
            </w:r>
          </w:p>
          <w:tbl>
            <w:tblPr>
              <w:tblStyle w:val="61"/>
              <w:tblW w:w="6646" w:type="dxa"/>
              <w:jc w:val="center"/>
              <w:tblLayout w:type="fixed"/>
              <w:tblCellMar>
                <w:top w:w="0" w:type="dxa"/>
                <w:left w:w="108" w:type="dxa"/>
                <w:bottom w:w="0" w:type="dxa"/>
                <w:right w:w="108" w:type="dxa"/>
              </w:tblCellMar>
            </w:tblPr>
            <w:tblGrid>
              <w:gridCol w:w="653"/>
              <w:gridCol w:w="1100"/>
              <w:gridCol w:w="1200"/>
              <w:gridCol w:w="838"/>
              <w:gridCol w:w="768"/>
              <w:gridCol w:w="2087"/>
            </w:tblGrid>
            <w:tr w14:paraId="73FE0794">
              <w:tblPrEx>
                <w:tblCellMar>
                  <w:top w:w="0" w:type="dxa"/>
                  <w:left w:w="108" w:type="dxa"/>
                  <w:bottom w:w="0" w:type="dxa"/>
                  <w:right w:w="108" w:type="dxa"/>
                </w:tblCellMar>
              </w:tblPrEx>
              <w:trPr>
                <w:trHeight w:val="23" w:hRule="atLeast"/>
                <w:jc w:val="center"/>
              </w:trPr>
              <w:tc>
                <w:tcPr>
                  <w:tcW w:w="653" w:type="dxa"/>
                  <w:tcBorders>
                    <w:top w:val="single" w:color="000000" w:sz="4" w:space="0"/>
                    <w:left w:val="single" w:color="000000" w:sz="4" w:space="0"/>
                    <w:bottom w:val="single" w:color="000000" w:sz="4" w:space="0"/>
                    <w:right w:val="single" w:color="000000" w:sz="4" w:space="0"/>
                  </w:tcBorders>
                  <w:noWrap/>
                  <w:vAlign w:val="center"/>
                </w:tcPr>
                <w:p w14:paraId="3A5FC4BD">
                  <w:pPr>
                    <w:widowControl/>
                    <w:numPr>
                      <w:ilvl w:val="0"/>
                      <w:numId w:val="0"/>
                    </w:numPr>
                    <w:spacing w:line="400" w:lineRule="exact"/>
                    <w:jc w:val="left"/>
                    <w:textAlignment w:val="auto"/>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序号</w:t>
                  </w:r>
                </w:p>
              </w:tc>
              <w:tc>
                <w:tcPr>
                  <w:tcW w:w="1100" w:type="dxa"/>
                  <w:tcBorders>
                    <w:top w:val="single" w:color="000000" w:sz="4" w:space="0"/>
                    <w:left w:val="single" w:color="000000" w:sz="4" w:space="0"/>
                    <w:bottom w:val="single" w:color="000000" w:sz="4" w:space="0"/>
                    <w:right w:val="single" w:color="000000" w:sz="4" w:space="0"/>
                  </w:tcBorders>
                  <w:noWrap/>
                  <w:vAlign w:val="center"/>
                </w:tcPr>
                <w:p w14:paraId="41E810EF">
                  <w:pPr>
                    <w:widowControl/>
                    <w:numPr>
                      <w:ilvl w:val="0"/>
                      <w:numId w:val="0"/>
                    </w:numPr>
                    <w:spacing w:line="400" w:lineRule="exact"/>
                    <w:jc w:val="left"/>
                    <w:textAlignment w:val="auto"/>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服务内容</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665D43E0">
                  <w:pPr>
                    <w:widowControl/>
                    <w:numPr>
                      <w:ilvl w:val="0"/>
                      <w:numId w:val="0"/>
                    </w:numPr>
                    <w:spacing w:line="400" w:lineRule="exact"/>
                    <w:jc w:val="left"/>
                    <w:textAlignment w:val="auto"/>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子项</w:t>
                  </w:r>
                </w:p>
              </w:tc>
              <w:tc>
                <w:tcPr>
                  <w:tcW w:w="838" w:type="dxa"/>
                  <w:tcBorders>
                    <w:top w:val="single" w:color="000000" w:sz="4" w:space="0"/>
                    <w:left w:val="single" w:color="000000" w:sz="4" w:space="0"/>
                    <w:bottom w:val="single" w:color="000000" w:sz="4" w:space="0"/>
                    <w:right w:val="single" w:color="000000" w:sz="4" w:space="0"/>
                  </w:tcBorders>
                  <w:noWrap/>
                  <w:vAlign w:val="center"/>
                </w:tcPr>
                <w:p w14:paraId="236A365F">
                  <w:pPr>
                    <w:widowControl/>
                    <w:numPr>
                      <w:ilvl w:val="0"/>
                      <w:numId w:val="0"/>
                    </w:numPr>
                    <w:spacing w:line="400" w:lineRule="exact"/>
                    <w:jc w:val="left"/>
                    <w:textAlignment w:val="auto"/>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数量</w:t>
                  </w:r>
                </w:p>
              </w:tc>
              <w:tc>
                <w:tcPr>
                  <w:tcW w:w="768" w:type="dxa"/>
                  <w:tcBorders>
                    <w:top w:val="single" w:color="000000" w:sz="4" w:space="0"/>
                    <w:left w:val="single" w:color="000000" w:sz="4" w:space="0"/>
                    <w:bottom w:val="single" w:color="000000" w:sz="4" w:space="0"/>
                    <w:right w:val="single" w:color="000000" w:sz="4" w:space="0"/>
                  </w:tcBorders>
                  <w:noWrap/>
                  <w:vAlign w:val="center"/>
                </w:tcPr>
                <w:p w14:paraId="42446112">
                  <w:pPr>
                    <w:widowControl/>
                    <w:numPr>
                      <w:ilvl w:val="0"/>
                      <w:numId w:val="0"/>
                    </w:numPr>
                    <w:spacing w:line="400" w:lineRule="exact"/>
                    <w:jc w:val="left"/>
                    <w:textAlignment w:val="auto"/>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单位</w:t>
                  </w:r>
                </w:p>
              </w:tc>
              <w:tc>
                <w:tcPr>
                  <w:tcW w:w="2087" w:type="dxa"/>
                  <w:tcBorders>
                    <w:top w:val="single" w:color="000000" w:sz="4" w:space="0"/>
                    <w:left w:val="single" w:color="000000" w:sz="4" w:space="0"/>
                    <w:bottom w:val="single" w:color="000000" w:sz="4" w:space="0"/>
                    <w:right w:val="single" w:color="000000" w:sz="4" w:space="0"/>
                  </w:tcBorders>
                  <w:noWrap/>
                  <w:vAlign w:val="center"/>
                </w:tcPr>
                <w:p w14:paraId="0109B9E7">
                  <w:pPr>
                    <w:widowControl/>
                    <w:numPr>
                      <w:ilvl w:val="0"/>
                      <w:numId w:val="0"/>
                    </w:numPr>
                    <w:spacing w:line="400" w:lineRule="exact"/>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单价最高限价</w:t>
                  </w:r>
                </w:p>
              </w:tc>
            </w:tr>
            <w:tr w14:paraId="1ED93211">
              <w:tblPrEx>
                <w:tblCellMar>
                  <w:top w:w="0" w:type="dxa"/>
                  <w:left w:w="108" w:type="dxa"/>
                  <w:bottom w:w="0" w:type="dxa"/>
                  <w:right w:w="108" w:type="dxa"/>
                </w:tblCellMar>
              </w:tblPrEx>
              <w:trPr>
                <w:trHeight w:val="23" w:hRule="atLeast"/>
                <w:jc w:val="center"/>
              </w:trPr>
              <w:tc>
                <w:tcPr>
                  <w:tcW w:w="653" w:type="dxa"/>
                  <w:tcBorders>
                    <w:top w:val="single" w:color="000000" w:sz="4" w:space="0"/>
                    <w:left w:val="single" w:color="000000" w:sz="4" w:space="0"/>
                    <w:bottom w:val="single" w:color="000000" w:sz="4" w:space="0"/>
                    <w:right w:val="single" w:color="000000" w:sz="4" w:space="0"/>
                  </w:tcBorders>
                  <w:noWrap/>
                  <w:vAlign w:val="center"/>
                </w:tcPr>
                <w:p w14:paraId="635A6404">
                  <w:pPr>
                    <w:widowControl/>
                    <w:numPr>
                      <w:ilvl w:val="0"/>
                      <w:numId w:val="0"/>
                    </w:numPr>
                    <w:spacing w:line="400" w:lineRule="exact"/>
                    <w:jc w:val="left"/>
                    <w:textAlignment w:val="auto"/>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w:t>
                  </w:r>
                </w:p>
              </w:tc>
              <w:tc>
                <w:tcPr>
                  <w:tcW w:w="1100" w:type="dxa"/>
                  <w:tcBorders>
                    <w:top w:val="single" w:color="000000" w:sz="4" w:space="0"/>
                    <w:left w:val="single" w:color="000000" w:sz="4" w:space="0"/>
                    <w:bottom w:val="single" w:color="000000" w:sz="4" w:space="0"/>
                    <w:right w:val="single" w:color="000000" w:sz="4" w:space="0"/>
                  </w:tcBorders>
                  <w:noWrap/>
                  <w:vAlign w:val="center"/>
                </w:tcPr>
                <w:p w14:paraId="1EBA4D95">
                  <w:pPr>
                    <w:widowControl/>
                    <w:numPr>
                      <w:ilvl w:val="0"/>
                      <w:numId w:val="0"/>
                    </w:numPr>
                    <w:spacing w:line="400" w:lineRule="exact"/>
                    <w:jc w:val="left"/>
                    <w:textAlignment w:val="auto"/>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人工清除</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6A1D18A0">
                  <w:pPr>
                    <w:widowControl/>
                    <w:numPr>
                      <w:ilvl w:val="0"/>
                      <w:numId w:val="0"/>
                    </w:numPr>
                    <w:spacing w:line="400" w:lineRule="exact"/>
                    <w:jc w:val="left"/>
                    <w:rPr>
                      <w:rFonts w:hint="eastAsia" w:ascii="宋体" w:hAnsi="宋体" w:eastAsia="宋体" w:cs="宋体"/>
                      <w:color w:val="auto"/>
                      <w:kern w:val="0"/>
                      <w:szCs w:val="21"/>
                      <w:highlight w:val="none"/>
                      <w:lang w:bidi="ar"/>
                    </w:rPr>
                  </w:pPr>
                </w:p>
              </w:tc>
              <w:tc>
                <w:tcPr>
                  <w:tcW w:w="838" w:type="dxa"/>
                  <w:tcBorders>
                    <w:top w:val="single" w:color="000000" w:sz="4" w:space="0"/>
                    <w:left w:val="single" w:color="000000" w:sz="4" w:space="0"/>
                    <w:bottom w:val="single" w:color="000000" w:sz="4" w:space="0"/>
                    <w:right w:val="single" w:color="000000" w:sz="4" w:space="0"/>
                  </w:tcBorders>
                  <w:noWrap/>
                  <w:vAlign w:val="center"/>
                </w:tcPr>
                <w:p w14:paraId="34719D0F">
                  <w:pPr>
                    <w:widowControl/>
                    <w:numPr>
                      <w:ilvl w:val="0"/>
                      <w:numId w:val="0"/>
                    </w:numPr>
                    <w:spacing w:line="400" w:lineRule="exact"/>
                    <w:jc w:val="left"/>
                    <w:rPr>
                      <w:rFonts w:hint="eastAsia" w:ascii="宋体" w:hAnsi="宋体" w:eastAsia="宋体" w:cs="宋体"/>
                      <w:color w:val="auto"/>
                      <w:kern w:val="0"/>
                      <w:szCs w:val="21"/>
                      <w:highlight w:val="none"/>
                      <w:lang w:bidi="ar"/>
                    </w:rPr>
                  </w:pPr>
                  <w:r>
                    <w:rPr>
                      <w:rFonts w:hint="eastAsia" w:ascii="宋体" w:hAnsi="宋体" w:eastAsia="宋体" w:cs="宋体"/>
                      <w:bCs w:val="0"/>
                      <w:color w:val="auto"/>
                      <w:kern w:val="0"/>
                      <w:szCs w:val="21"/>
                      <w:highlight w:val="none"/>
                      <w:lang w:val="en-US" w:eastAsia="zh-CN" w:bidi="ar"/>
                    </w:rPr>
                    <w:t>1</w:t>
                  </w:r>
                </w:p>
              </w:tc>
              <w:tc>
                <w:tcPr>
                  <w:tcW w:w="768" w:type="dxa"/>
                  <w:tcBorders>
                    <w:top w:val="single" w:color="000000" w:sz="4" w:space="0"/>
                    <w:left w:val="single" w:color="000000" w:sz="4" w:space="0"/>
                    <w:bottom w:val="single" w:color="000000" w:sz="4" w:space="0"/>
                    <w:right w:val="single" w:color="000000" w:sz="4" w:space="0"/>
                  </w:tcBorders>
                  <w:noWrap/>
                  <w:vAlign w:val="center"/>
                </w:tcPr>
                <w:p w14:paraId="5AAD8B82">
                  <w:pPr>
                    <w:widowControl/>
                    <w:numPr>
                      <w:ilvl w:val="0"/>
                      <w:numId w:val="0"/>
                    </w:numPr>
                    <w:spacing w:line="400" w:lineRule="exact"/>
                    <w:jc w:val="left"/>
                    <w:rPr>
                      <w:rFonts w:hint="eastAsia" w:ascii="宋体" w:hAnsi="宋体" w:eastAsia="宋体" w:cs="宋体"/>
                      <w:color w:val="auto"/>
                      <w:kern w:val="0"/>
                      <w:szCs w:val="21"/>
                      <w:highlight w:val="none"/>
                      <w:lang w:val="en-US" w:eastAsia="zh-CN" w:bidi="ar"/>
                    </w:rPr>
                  </w:pPr>
                  <w:r>
                    <w:rPr>
                      <w:rFonts w:hint="eastAsia" w:ascii="宋体" w:hAnsi="宋体" w:eastAsia="宋体" w:cs="宋体"/>
                      <w:color w:val="auto"/>
                      <w:kern w:val="0"/>
                      <w:szCs w:val="21"/>
                      <w:highlight w:val="none"/>
                      <w:lang w:val="en-US" w:eastAsia="zh-CN" w:bidi="ar"/>
                    </w:rPr>
                    <w:t>工日</w:t>
                  </w:r>
                </w:p>
              </w:tc>
              <w:tc>
                <w:tcPr>
                  <w:tcW w:w="2087" w:type="dxa"/>
                  <w:tcBorders>
                    <w:top w:val="single" w:color="000000" w:sz="4" w:space="0"/>
                    <w:left w:val="single" w:color="000000" w:sz="4" w:space="0"/>
                    <w:bottom w:val="single" w:color="000000" w:sz="4" w:space="0"/>
                    <w:right w:val="single" w:color="000000" w:sz="4" w:space="0"/>
                  </w:tcBorders>
                  <w:noWrap w:val="0"/>
                  <w:vAlign w:val="center"/>
                </w:tcPr>
                <w:p w14:paraId="7647B2CF">
                  <w:pPr>
                    <w:widowControl/>
                    <w:numPr>
                      <w:ilvl w:val="0"/>
                      <w:numId w:val="0"/>
                    </w:numPr>
                    <w:spacing w:line="400" w:lineRule="exact"/>
                    <w:jc w:val="left"/>
                    <w:rPr>
                      <w:rFonts w:hint="eastAsia" w:ascii="宋体" w:hAnsi="宋体" w:eastAsia="宋体" w:cs="宋体"/>
                      <w:color w:val="auto"/>
                      <w:kern w:val="0"/>
                      <w:szCs w:val="21"/>
                      <w:highlight w:val="none"/>
                      <w:lang w:val="en-US" w:eastAsia="zh-CN" w:bidi="ar"/>
                    </w:rPr>
                  </w:pPr>
                  <w:r>
                    <w:rPr>
                      <w:rFonts w:hint="eastAsia" w:ascii="宋体" w:hAnsi="宋体" w:eastAsia="宋体" w:cs="宋体"/>
                      <w:color w:val="auto"/>
                      <w:kern w:val="0"/>
                      <w:szCs w:val="21"/>
                      <w:highlight w:val="none"/>
                      <w:lang w:val="en-US" w:eastAsia="zh-CN" w:bidi="ar"/>
                    </w:rPr>
                    <w:t>每工日不高于</w:t>
                  </w:r>
                  <w:r>
                    <w:rPr>
                      <w:rFonts w:hint="eastAsia" w:ascii="宋体" w:hAnsi="宋体" w:eastAsia="宋体" w:cs="宋体"/>
                      <w:color w:val="auto"/>
                      <w:kern w:val="0"/>
                      <w:szCs w:val="21"/>
                      <w:highlight w:val="none"/>
                      <w:lang w:bidi="ar"/>
                    </w:rPr>
                    <w:t>290</w:t>
                  </w:r>
                  <w:r>
                    <w:rPr>
                      <w:rFonts w:hint="eastAsia" w:ascii="宋体" w:hAnsi="宋体" w:eastAsia="宋体" w:cs="宋体"/>
                      <w:color w:val="auto"/>
                      <w:kern w:val="0"/>
                      <w:szCs w:val="21"/>
                      <w:highlight w:val="none"/>
                      <w:lang w:val="en-US" w:eastAsia="zh-CN" w:bidi="ar"/>
                    </w:rPr>
                    <w:t>元</w:t>
                  </w:r>
                </w:p>
              </w:tc>
            </w:tr>
            <w:tr w14:paraId="5396CD63">
              <w:tblPrEx>
                <w:tblCellMar>
                  <w:top w:w="0" w:type="dxa"/>
                  <w:left w:w="108" w:type="dxa"/>
                  <w:bottom w:w="0" w:type="dxa"/>
                  <w:right w:w="108" w:type="dxa"/>
                </w:tblCellMar>
              </w:tblPrEx>
              <w:trPr>
                <w:trHeight w:val="23" w:hRule="atLeast"/>
                <w:jc w:val="center"/>
              </w:trPr>
              <w:tc>
                <w:tcPr>
                  <w:tcW w:w="653" w:type="dxa"/>
                  <w:tcBorders>
                    <w:top w:val="single" w:color="000000" w:sz="4" w:space="0"/>
                    <w:left w:val="single" w:color="000000" w:sz="4" w:space="0"/>
                    <w:bottom w:val="single" w:color="000000" w:sz="4" w:space="0"/>
                    <w:right w:val="single" w:color="000000" w:sz="4" w:space="0"/>
                  </w:tcBorders>
                  <w:noWrap/>
                  <w:vAlign w:val="center"/>
                </w:tcPr>
                <w:p w14:paraId="2ABE9741">
                  <w:pPr>
                    <w:widowControl/>
                    <w:numPr>
                      <w:ilvl w:val="0"/>
                      <w:numId w:val="0"/>
                    </w:numPr>
                    <w:spacing w:line="400" w:lineRule="exact"/>
                    <w:jc w:val="left"/>
                    <w:textAlignment w:val="auto"/>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2</w:t>
                  </w:r>
                </w:p>
              </w:tc>
              <w:tc>
                <w:tcPr>
                  <w:tcW w:w="1100" w:type="dxa"/>
                  <w:tcBorders>
                    <w:top w:val="single" w:color="000000" w:sz="4" w:space="0"/>
                    <w:left w:val="single" w:color="000000" w:sz="4" w:space="0"/>
                    <w:bottom w:val="single" w:color="000000" w:sz="4" w:space="0"/>
                    <w:right w:val="single" w:color="000000" w:sz="4" w:space="0"/>
                  </w:tcBorders>
                  <w:noWrap/>
                  <w:vAlign w:val="center"/>
                </w:tcPr>
                <w:p w14:paraId="370776FC">
                  <w:pPr>
                    <w:widowControl/>
                    <w:numPr>
                      <w:ilvl w:val="0"/>
                      <w:numId w:val="0"/>
                    </w:numPr>
                    <w:spacing w:line="400" w:lineRule="exact"/>
                    <w:jc w:val="left"/>
                    <w:textAlignment w:val="auto"/>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林缘胚轴插植</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03DB5FEB">
                  <w:pPr>
                    <w:widowControl/>
                    <w:numPr>
                      <w:ilvl w:val="0"/>
                      <w:numId w:val="0"/>
                    </w:numPr>
                    <w:spacing w:line="400" w:lineRule="exact"/>
                    <w:jc w:val="left"/>
                    <w:rPr>
                      <w:rFonts w:hint="eastAsia" w:ascii="宋体" w:hAnsi="宋体" w:eastAsia="宋体" w:cs="宋体"/>
                      <w:color w:val="auto"/>
                      <w:kern w:val="0"/>
                      <w:szCs w:val="21"/>
                      <w:highlight w:val="none"/>
                      <w:lang w:bidi="ar"/>
                    </w:rPr>
                  </w:pPr>
                </w:p>
              </w:tc>
              <w:tc>
                <w:tcPr>
                  <w:tcW w:w="838" w:type="dxa"/>
                  <w:tcBorders>
                    <w:top w:val="single" w:color="000000" w:sz="4" w:space="0"/>
                    <w:left w:val="single" w:color="000000" w:sz="4" w:space="0"/>
                    <w:bottom w:val="single" w:color="000000" w:sz="4" w:space="0"/>
                    <w:right w:val="single" w:color="000000" w:sz="4" w:space="0"/>
                  </w:tcBorders>
                  <w:noWrap/>
                  <w:vAlign w:val="center"/>
                </w:tcPr>
                <w:p w14:paraId="3D6C9E40">
                  <w:pPr>
                    <w:widowControl/>
                    <w:numPr>
                      <w:ilvl w:val="0"/>
                      <w:numId w:val="0"/>
                    </w:numPr>
                    <w:spacing w:line="400" w:lineRule="exact"/>
                    <w:jc w:val="left"/>
                    <w:rPr>
                      <w:rFonts w:hint="eastAsia" w:ascii="宋体" w:hAnsi="宋体" w:eastAsia="宋体" w:cs="宋体"/>
                      <w:color w:val="auto"/>
                      <w:kern w:val="0"/>
                      <w:szCs w:val="21"/>
                      <w:highlight w:val="none"/>
                      <w:lang w:val="en-US" w:eastAsia="zh-CN" w:bidi="ar"/>
                    </w:rPr>
                  </w:pPr>
                </w:p>
              </w:tc>
              <w:tc>
                <w:tcPr>
                  <w:tcW w:w="768" w:type="dxa"/>
                  <w:tcBorders>
                    <w:top w:val="single" w:color="000000" w:sz="4" w:space="0"/>
                    <w:left w:val="single" w:color="000000" w:sz="4" w:space="0"/>
                    <w:bottom w:val="single" w:color="000000" w:sz="4" w:space="0"/>
                    <w:right w:val="single" w:color="000000" w:sz="4" w:space="0"/>
                  </w:tcBorders>
                  <w:noWrap/>
                  <w:vAlign w:val="center"/>
                </w:tcPr>
                <w:p w14:paraId="2046EE37">
                  <w:pPr>
                    <w:widowControl/>
                    <w:numPr>
                      <w:ilvl w:val="0"/>
                      <w:numId w:val="0"/>
                    </w:numPr>
                    <w:spacing w:line="400" w:lineRule="exact"/>
                    <w:jc w:val="left"/>
                    <w:rPr>
                      <w:rFonts w:hint="eastAsia" w:ascii="宋体" w:hAnsi="宋体" w:eastAsia="宋体" w:cs="宋体"/>
                      <w:color w:val="auto"/>
                      <w:kern w:val="0"/>
                      <w:szCs w:val="21"/>
                      <w:highlight w:val="none"/>
                      <w:lang w:val="en-US" w:eastAsia="zh-CN" w:bidi="ar"/>
                    </w:rPr>
                  </w:pPr>
                </w:p>
              </w:tc>
              <w:tc>
                <w:tcPr>
                  <w:tcW w:w="2087" w:type="dxa"/>
                  <w:tcBorders>
                    <w:top w:val="single" w:color="000000" w:sz="4" w:space="0"/>
                    <w:left w:val="single" w:color="000000" w:sz="4" w:space="0"/>
                    <w:bottom w:val="single" w:color="000000" w:sz="4" w:space="0"/>
                    <w:right w:val="single" w:color="000000" w:sz="4" w:space="0"/>
                  </w:tcBorders>
                  <w:noWrap w:val="0"/>
                  <w:vAlign w:val="center"/>
                </w:tcPr>
                <w:p w14:paraId="15A90A4C">
                  <w:pPr>
                    <w:widowControl/>
                    <w:numPr>
                      <w:ilvl w:val="0"/>
                      <w:numId w:val="0"/>
                    </w:numPr>
                    <w:spacing w:line="400" w:lineRule="exact"/>
                    <w:jc w:val="left"/>
                    <w:rPr>
                      <w:rFonts w:hint="eastAsia" w:ascii="宋体" w:hAnsi="宋体" w:eastAsia="宋体" w:cs="宋体"/>
                      <w:color w:val="auto"/>
                      <w:kern w:val="0"/>
                      <w:szCs w:val="21"/>
                      <w:highlight w:val="none"/>
                      <w:lang w:bidi="ar"/>
                    </w:rPr>
                  </w:pPr>
                </w:p>
              </w:tc>
            </w:tr>
            <w:tr w14:paraId="0BE64DA5">
              <w:tblPrEx>
                <w:tblCellMar>
                  <w:top w:w="0" w:type="dxa"/>
                  <w:left w:w="108" w:type="dxa"/>
                  <w:bottom w:w="0" w:type="dxa"/>
                  <w:right w:w="108" w:type="dxa"/>
                </w:tblCellMar>
              </w:tblPrEx>
              <w:trPr>
                <w:trHeight w:val="23" w:hRule="atLeast"/>
                <w:jc w:val="center"/>
              </w:trPr>
              <w:tc>
                <w:tcPr>
                  <w:tcW w:w="653" w:type="dxa"/>
                  <w:tcBorders>
                    <w:top w:val="single" w:color="000000" w:sz="4" w:space="0"/>
                    <w:left w:val="single" w:color="000000" w:sz="4" w:space="0"/>
                    <w:bottom w:val="single" w:color="000000" w:sz="4" w:space="0"/>
                    <w:right w:val="single" w:color="000000" w:sz="4" w:space="0"/>
                  </w:tcBorders>
                  <w:noWrap/>
                  <w:vAlign w:val="center"/>
                </w:tcPr>
                <w:p w14:paraId="20A1F941">
                  <w:pPr>
                    <w:widowControl/>
                    <w:numPr>
                      <w:ilvl w:val="0"/>
                      <w:numId w:val="0"/>
                    </w:numPr>
                    <w:spacing w:line="400" w:lineRule="exact"/>
                    <w:jc w:val="left"/>
                    <w:textAlignment w:val="auto"/>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2.1</w:t>
                  </w:r>
                </w:p>
              </w:tc>
              <w:tc>
                <w:tcPr>
                  <w:tcW w:w="1100" w:type="dxa"/>
                  <w:tcBorders>
                    <w:top w:val="single" w:color="000000" w:sz="4" w:space="0"/>
                    <w:left w:val="single" w:color="000000" w:sz="4" w:space="0"/>
                    <w:bottom w:val="single" w:color="000000" w:sz="4" w:space="0"/>
                    <w:right w:val="single" w:color="000000" w:sz="4" w:space="0"/>
                  </w:tcBorders>
                  <w:noWrap/>
                  <w:vAlign w:val="center"/>
                </w:tcPr>
                <w:p w14:paraId="27A6756E">
                  <w:pPr>
                    <w:widowControl/>
                    <w:numPr>
                      <w:ilvl w:val="0"/>
                      <w:numId w:val="0"/>
                    </w:numPr>
                    <w:spacing w:line="400" w:lineRule="exact"/>
                    <w:jc w:val="left"/>
                    <w:rPr>
                      <w:rFonts w:hint="eastAsia" w:ascii="宋体" w:hAnsi="宋体" w:eastAsia="宋体" w:cs="宋体"/>
                      <w:color w:val="auto"/>
                      <w:kern w:val="0"/>
                      <w:szCs w:val="21"/>
                      <w:highlight w:val="none"/>
                      <w:lang w:bidi="ar"/>
                    </w:rPr>
                  </w:pP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1191567C">
                  <w:pPr>
                    <w:widowControl/>
                    <w:numPr>
                      <w:ilvl w:val="0"/>
                      <w:numId w:val="0"/>
                    </w:numPr>
                    <w:spacing w:line="400" w:lineRule="exact"/>
                    <w:jc w:val="left"/>
                    <w:textAlignment w:val="auto"/>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胚轴购置及定植</w:t>
                  </w:r>
                </w:p>
              </w:tc>
              <w:tc>
                <w:tcPr>
                  <w:tcW w:w="838" w:type="dxa"/>
                  <w:tcBorders>
                    <w:top w:val="single" w:color="000000" w:sz="4" w:space="0"/>
                    <w:left w:val="single" w:color="000000" w:sz="4" w:space="0"/>
                    <w:bottom w:val="single" w:color="000000" w:sz="4" w:space="0"/>
                    <w:right w:val="single" w:color="000000" w:sz="4" w:space="0"/>
                  </w:tcBorders>
                  <w:noWrap/>
                  <w:vAlign w:val="center"/>
                </w:tcPr>
                <w:p w14:paraId="18CB684C">
                  <w:pPr>
                    <w:widowControl/>
                    <w:numPr>
                      <w:ilvl w:val="0"/>
                      <w:numId w:val="0"/>
                    </w:numPr>
                    <w:spacing w:line="400" w:lineRule="exact"/>
                    <w:jc w:val="left"/>
                    <w:textAlignment w:val="auto"/>
                    <w:rPr>
                      <w:rFonts w:hint="eastAsia" w:ascii="宋体" w:hAnsi="宋体" w:eastAsia="宋体" w:cs="宋体"/>
                      <w:color w:val="auto"/>
                      <w:kern w:val="0"/>
                      <w:szCs w:val="21"/>
                      <w:highlight w:val="none"/>
                      <w:lang w:eastAsia="zh-CN" w:bidi="ar"/>
                    </w:rPr>
                  </w:pPr>
                  <w:r>
                    <w:rPr>
                      <w:rFonts w:hint="eastAsia" w:ascii="宋体" w:hAnsi="宋体" w:eastAsia="宋体" w:cs="宋体"/>
                      <w:color w:val="auto"/>
                      <w:kern w:val="0"/>
                      <w:szCs w:val="21"/>
                      <w:highlight w:val="none"/>
                      <w:lang w:val="en-US" w:eastAsia="zh-CN" w:bidi="ar"/>
                    </w:rPr>
                    <w:t>1</w:t>
                  </w:r>
                </w:p>
              </w:tc>
              <w:tc>
                <w:tcPr>
                  <w:tcW w:w="768" w:type="dxa"/>
                  <w:tcBorders>
                    <w:top w:val="single" w:color="000000" w:sz="4" w:space="0"/>
                    <w:left w:val="single" w:color="000000" w:sz="4" w:space="0"/>
                    <w:bottom w:val="single" w:color="000000" w:sz="4" w:space="0"/>
                    <w:right w:val="single" w:color="000000" w:sz="4" w:space="0"/>
                  </w:tcBorders>
                  <w:noWrap/>
                  <w:vAlign w:val="center"/>
                </w:tcPr>
                <w:p w14:paraId="76F0D70C">
                  <w:pPr>
                    <w:widowControl/>
                    <w:numPr>
                      <w:ilvl w:val="0"/>
                      <w:numId w:val="0"/>
                    </w:numPr>
                    <w:spacing w:line="400" w:lineRule="exact"/>
                    <w:jc w:val="left"/>
                    <w:textAlignment w:val="auto"/>
                    <w:rPr>
                      <w:rFonts w:hint="eastAsia" w:ascii="宋体" w:hAnsi="宋体" w:eastAsia="宋体" w:cs="宋体"/>
                      <w:color w:val="auto"/>
                      <w:kern w:val="0"/>
                      <w:szCs w:val="21"/>
                      <w:highlight w:val="none"/>
                      <w:lang w:eastAsia="zh-CN" w:bidi="ar"/>
                    </w:rPr>
                  </w:pPr>
                  <w:r>
                    <w:rPr>
                      <w:rFonts w:hint="eastAsia" w:ascii="宋体" w:hAnsi="宋体" w:eastAsia="宋体" w:cs="宋体"/>
                      <w:color w:val="auto"/>
                      <w:kern w:val="0"/>
                      <w:szCs w:val="21"/>
                      <w:highlight w:val="none"/>
                      <w:lang w:val="en-US" w:eastAsia="zh-CN" w:bidi="ar"/>
                    </w:rPr>
                    <w:t>株</w:t>
                  </w:r>
                </w:p>
              </w:tc>
              <w:tc>
                <w:tcPr>
                  <w:tcW w:w="2087" w:type="dxa"/>
                  <w:tcBorders>
                    <w:top w:val="single" w:color="000000" w:sz="4" w:space="0"/>
                    <w:left w:val="single" w:color="000000" w:sz="4" w:space="0"/>
                    <w:bottom w:val="single" w:color="000000" w:sz="4" w:space="0"/>
                    <w:right w:val="single" w:color="000000" w:sz="4" w:space="0"/>
                  </w:tcBorders>
                  <w:noWrap/>
                  <w:vAlign w:val="center"/>
                </w:tcPr>
                <w:p w14:paraId="57B5D042">
                  <w:pPr>
                    <w:widowControl/>
                    <w:numPr>
                      <w:ilvl w:val="0"/>
                      <w:numId w:val="0"/>
                    </w:numPr>
                    <w:spacing w:line="400" w:lineRule="exact"/>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每</w:t>
                  </w:r>
                  <w:r>
                    <w:rPr>
                      <w:rFonts w:hint="eastAsia" w:ascii="宋体" w:hAnsi="宋体" w:eastAsia="宋体" w:cs="宋体"/>
                      <w:color w:val="auto"/>
                      <w:kern w:val="0"/>
                      <w:szCs w:val="21"/>
                      <w:highlight w:val="none"/>
                      <w:lang w:val="en-US" w:eastAsia="zh-CN" w:bidi="ar"/>
                    </w:rPr>
                    <w:t>株种植</w:t>
                  </w:r>
                  <w:r>
                    <w:rPr>
                      <w:rFonts w:hint="eastAsia" w:ascii="宋体" w:hAnsi="宋体" w:eastAsia="宋体" w:cs="宋体"/>
                      <w:color w:val="auto"/>
                      <w:kern w:val="0"/>
                      <w:szCs w:val="21"/>
                      <w:highlight w:val="none"/>
                      <w:lang w:bidi="ar"/>
                    </w:rPr>
                    <w:t>不超过2元</w:t>
                  </w:r>
                </w:p>
              </w:tc>
            </w:tr>
            <w:tr w14:paraId="2266C304">
              <w:tblPrEx>
                <w:tblCellMar>
                  <w:top w:w="0" w:type="dxa"/>
                  <w:left w:w="108" w:type="dxa"/>
                  <w:bottom w:w="0" w:type="dxa"/>
                  <w:right w:w="108" w:type="dxa"/>
                </w:tblCellMar>
              </w:tblPrEx>
              <w:trPr>
                <w:trHeight w:val="23" w:hRule="atLeast"/>
                <w:jc w:val="center"/>
              </w:trPr>
              <w:tc>
                <w:tcPr>
                  <w:tcW w:w="653" w:type="dxa"/>
                  <w:tcBorders>
                    <w:top w:val="single" w:color="000000" w:sz="4" w:space="0"/>
                    <w:left w:val="single" w:color="000000" w:sz="4" w:space="0"/>
                    <w:bottom w:val="single" w:color="000000" w:sz="4" w:space="0"/>
                    <w:right w:val="single" w:color="000000" w:sz="4" w:space="0"/>
                  </w:tcBorders>
                  <w:noWrap/>
                  <w:vAlign w:val="center"/>
                </w:tcPr>
                <w:p w14:paraId="64A08F23">
                  <w:pPr>
                    <w:widowControl/>
                    <w:numPr>
                      <w:ilvl w:val="0"/>
                      <w:numId w:val="0"/>
                    </w:numPr>
                    <w:spacing w:line="400" w:lineRule="exact"/>
                    <w:jc w:val="left"/>
                    <w:textAlignment w:val="auto"/>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2.2</w:t>
                  </w:r>
                </w:p>
              </w:tc>
              <w:tc>
                <w:tcPr>
                  <w:tcW w:w="1100" w:type="dxa"/>
                  <w:tcBorders>
                    <w:top w:val="single" w:color="000000" w:sz="4" w:space="0"/>
                    <w:left w:val="single" w:color="000000" w:sz="4" w:space="0"/>
                    <w:bottom w:val="single" w:color="000000" w:sz="4" w:space="0"/>
                    <w:right w:val="single" w:color="000000" w:sz="4" w:space="0"/>
                  </w:tcBorders>
                  <w:noWrap/>
                  <w:vAlign w:val="center"/>
                </w:tcPr>
                <w:p w14:paraId="23B0FEA2">
                  <w:pPr>
                    <w:widowControl/>
                    <w:numPr>
                      <w:ilvl w:val="0"/>
                      <w:numId w:val="0"/>
                    </w:numPr>
                    <w:spacing w:line="400" w:lineRule="exact"/>
                    <w:jc w:val="left"/>
                    <w:rPr>
                      <w:rFonts w:hint="eastAsia" w:ascii="宋体" w:hAnsi="宋体" w:eastAsia="宋体" w:cs="宋体"/>
                      <w:color w:val="auto"/>
                      <w:kern w:val="0"/>
                      <w:szCs w:val="21"/>
                      <w:highlight w:val="none"/>
                      <w:lang w:bidi="ar"/>
                    </w:rPr>
                  </w:pP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0E9662C9">
                  <w:pPr>
                    <w:widowControl/>
                    <w:numPr>
                      <w:ilvl w:val="0"/>
                      <w:numId w:val="0"/>
                    </w:numPr>
                    <w:spacing w:line="400" w:lineRule="exact"/>
                    <w:jc w:val="left"/>
                    <w:textAlignment w:val="auto"/>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警示标志牌</w:t>
                  </w:r>
                </w:p>
              </w:tc>
              <w:tc>
                <w:tcPr>
                  <w:tcW w:w="838" w:type="dxa"/>
                  <w:tcBorders>
                    <w:top w:val="single" w:color="000000" w:sz="4" w:space="0"/>
                    <w:left w:val="single" w:color="000000" w:sz="4" w:space="0"/>
                    <w:bottom w:val="single" w:color="000000" w:sz="4" w:space="0"/>
                    <w:right w:val="single" w:color="000000" w:sz="4" w:space="0"/>
                  </w:tcBorders>
                  <w:noWrap/>
                  <w:vAlign w:val="center"/>
                </w:tcPr>
                <w:p w14:paraId="5F8C6A6E">
                  <w:pPr>
                    <w:widowControl/>
                    <w:numPr>
                      <w:ilvl w:val="0"/>
                      <w:numId w:val="0"/>
                    </w:numPr>
                    <w:spacing w:line="400" w:lineRule="exact"/>
                    <w:jc w:val="left"/>
                    <w:textAlignment w:val="auto"/>
                    <w:rPr>
                      <w:rFonts w:hint="eastAsia" w:ascii="宋体" w:hAnsi="宋体" w:eastAsia="宋体" w:cs="宋体"/>
                      <w:color w:val="auto"/>
                      <w:kern w:val="0"/>
                      <w:szCs w:val="21"/>
                      <w:highlight w:val="none"/>
                      <w:lang w:eastAsia="zh-CN" w:bidi="ar"/>
                    </w:rPr>
                  </w:pPr>
                  <w:r>
                    <w:rPr>
                      <w:rFonts w:hint="eastAsia" w:ascii="宋体" w:hAnsi="宋体" w:eastAsia="宋体" w:cs="宋体"/>
                      <w:color w:val="auto"/>
                      <w:kern w:val="0"/>
                      <w:szCs w:val="21"/>
                      <w:highlight w:val="none"/>
                      <w:lang w:val="en-US" w:eastAsia="zh-CN" w:bidi="ar"/>
                    </w:rPr>
                    <w:t>1</w:t>
                  </w:r>
                </w:p>
              </w:tc>
              <w:tc>
                <w:tcPr>
                  <w:tcW w:w="768" w:type="dxa"/>
                  <w:tcBorders>
                    <w:top w:val="single" w:color="000000" w:sz="4" w:space="0"/>
                    <w:left w:val="single" w:color="000000" w:sz="4" w:space="0"/>
                    <w:bottom w:val="single" w:color="000000" w:sz="4" w:space="0"/>
                    <w:right w:val="single" w:color="000000" w:sz="4" w:space="0"/>
                  </w:tcBorders>
                  <w:noWrap/>
                  <w:vAlign w:val="center"/>
                </w:tcPr>
                <w:p w14:paraId="420818B4">
                  <w:pPr>
                    <w:widowControl/>
                    <w:numPr>
                      <w:ilvl w:val="0"/>
                      <w:numId w:val="0"/>
                    </w:numPr>
                    <w:spacing w:line="400" w:lineRule="exact"/>
                    <w:jc w:val="left"/>
                    <w:textAlignment w:val="auto"/>
                    <w:rPr>
                      <w:rFonts w:hint="eastAsia" w:ascii="宋体" w:hAnsi="宋体" w:eastAsia="宋体" w:cs="宋体"/>
                      <w:color w:val="auto"/>
                      <w:kern w:val="0"/>
                      <w:szCs w:val="21"/>
                      <w:highlight w:val="none"/>
                      <w:lang w:eastAsia="zh-CN" w:bidi="ar"/>
                    </w:rPr>
                  </w:pPr>
                  <w:r>
                    <w:rPr>
                      <w:rFonts w:hint="eastAsia" w:ascii="宋体" w:hAnsi="宋体" w:eastAsia="宋体" w:cs="宋体"/>
                      <w:color w:val="auto"/>
                      <w:kern w:val="0"/>
                      <w:szCs w:val="21"/>
                      <w:highlight w:val="none"/>
                      <w:lang w:val="en-US" w:eastAsia="zh-CN" w:bidi="ar"/>
                    </w:rPr>
                    <w:t>个</w:t>
                  </w:r>
                </w:p>
              </w:tc>
              <w:tc>
                <w:tcPr>
                  <w:tcW w:w="2087" w:type="dxa"/>
                  <w:tcBorders>
                    <w:top w:val="single" w:color="000000" w:sz="4" w:space="0"/>
                    <w:left w:val="single" w:color="000000" w:sz="4" w:space="0"/>
                    <w:bottom w:val="single" w:color="000000" w:sz="4" w:space="0"/>
                    <w:right w:val="single" w:color="000000" w:sz="4" w:space="0"/>
                  </w:tcBorders>
                  <w:noWrap/>
                  <w:vAlign w:val="center"/>
                </w:tcPr>
                <w:p w14:paraId="0E2BB4F0">
                  <w:pPr>
                    <w:widowControl/>
                    <w:numPr>
                      <w:ilvl w:val="0"/>
                      <w:numId w:val="0"/>
                    </w:numPr>
                    <w:spacing w:line="400" w:lineRule="exact"/>
                    <w:jc w:val="left"/>
                    <w:textAlignment w:val="auto"/>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每</w:t>
                  </w:r>
                  <w:r>
                    <w:rPr>
                      <w:rFonts w:hint="eastAsia" w:ascii="宋体" w:hAnsi="宋体" w:eastAsia="宋体" w:cs="宋体"/>
                      <w:color w:val="auto"/>
                      <w:kern w:val="0"/>
                      <w:szCs w:val="21"/>
                      <w:highlight w:val="none"/>
                      <w:lang w:val="en-US" w:eastAsia="zh-CN" w:bidi="ar"/>
                    </w:rPr>
                    <w:t>个</w:t>
                  </w:r>
                  <w:r>
                    <w:rPr>
                      <w:rFonts w:hint="eastAsia" w:ascii="宋体" w:hAnsi="宋体" w:eastAsia="宋体" w:cs="宋体"/>
                      <w:color w:val="auto"/>
                      <w:kern w:val="0"/>
                      <w:szCs w:val="21"/>
                      <w:highlight w:val="none"/>
                      <w:lang w:bidi="ar"/>
                    </w:rPr>
                    <w:t>不超过</w:t>
                  </w:r>
                  <w:r>
                    <w:rPr>
                      <w:rFonts w:hint="eastAsia" w:ascii="宋体" w:hAnsi="宋体" w:eastAsia="宋体" w:cs="宋体"/>
                      <w:color w:val="auto"/>
                      <w:kern w:val="0"/>
                      <w:szCs w:val="21"/>
                      <w:highlight w:val="none"/>
                      <w:lang w:val="en-US" w:eastAsia="zh-CN" w:bidi="ar"/>
                    </w:rPr>
                    <w:t>40</w:t>
                  </w:r>
                  <w:r>
                    <w:rPr>
                      <w:rFonts w:hint="eastAsia" w:ascii="宋体" w:hAnsi="宋体" w:eastAsia="宋体" w:cs="宋体"/>
                      <w:color w:val="auto"/>
                      <w:kern w:val="0"/>
                      <w:szCs w:val="21"/>
                      <w:highlight w:val="none"/>
                      <w:lang w:bidi="ar"/>
                    </w:rPr>
                    <w:t>00元</w:t>
                  </w:r>
                </w:p>
              </w:tc>
            </w:tr>
            <w:tr w14:paraId="5D83407F">
              <w:tblPrEx>
                <w:tblCellMar>
                  <w:top w:w="0" w:type="dxa"/>
                  <w:left w:w="108" w:type="dxa"/>
                  <w:bottom w:w="0" w:type="dxa"/>
                  <w:right w:w="108" w:type="dxa"/>
                </w:tblCellMar>
              </w:tblPrEx>
              <w:trPr>
                <w:trHeight w:val="23" w:hRule="atLeast"/>
                <w:jc w:val="center"/>
              </w:trPr>
              <w:tc>
                <w:tcPr>
                  <w:tcW w:w="653" w:type="dxa"/>
                  <w:tcBorders>
                    <w:top w:val="single" w:color="000000" w:sz="4" w:space="0"/>
                    <w:left w:val="single" w:color="000000" w:sz="4" w:space="0"/>
                    <w:bottom w:val="single" w:color="000000" w:sz="4" w:space="0"/>
                    <w:right w:val="single" w:color="000000" w:sz="4" w:space="0"/>
                  </w:tcBorders>
                  <w:noWrap/>
                  <w:vAlign w:val="center"/>
                </w:tcPr>
                <w:p w14:paraId="29B53B06">
                  <w:pPr>
                    <w:widowControl/>
                    <w:numPr>
                      <w:ilvl w:val="0"/>
                      <w:numId w:val="0"/>
                    </w:numPr>
                    <w:spacing w:line="400" w:lineRule="exact"/>
                    <w:jc w:val="left"/>
                    <w:textAlignment w:val="auto"/>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3</w:t>
                  </w:r>
                </w:p>
              </w:tc>
              <w:tc>
                <w:tcPr>
                  <w:tcW w:w="1100" w:type="dxa"/>
                  <w:tcBorders>
                    <w:top w:val="single" w:color="000000" w:sz="4" w:space="0"/>
                    <w:left w:val="single" w:color="000000" w:sz="4" w:space="0"/>
                    <w:bottom w:val="single" w:color="000000" w:sz="4" w:space="0"/>
                    <w:right w:val="single" w:color="000000" w:sz="4" w:space="0"/>
                  </w:tcBorders>
                  <w:noWrap/>
                  <w:vAlign w:val="center"/>
                </w:tcPr>
                <w:p w14:paraId="2C45D293">
                  <w:pPr>
                    <w:widowControl/>
                    <w:numPr>
                      <w:ilvl w:val="0"/>
                      <w:numId w:val="0"/>
                    </w:numPr>
                    <w:spacing w:line="400" w:lineRule="exact"/>
                    <w:jc w:val="left"/>
                    <w:textAlignment w:val="auto"/>
                    <w:rPr>
                      <w:rFonts w:hint="eastAsia" w:ascii="宋体" w:hAnsi="宋体" w:eastAsia="宋体" w:cs="宋体"/>
                      <w:color w:val="auto"/>
                      <w:kern w:val="0"/>
                      <w:szCs w:val="21"/>
                      <w:highlight w:val="none"/>
                      <w:lang w:eastAsia="zh-CN" w:bidi="ar"/>
                    </w:rPr>
                  </w:pPr>
                  <w:r>
                    <w:rPr>
                      <w:rFonts w:hint="eastAsia" w:ascii="宋体" w:hAnsi="宋体" w:eastAsia="宋体" w:cs="宋体"/>
                      <w:color w:val="auto"/>
                      <w:kern w:val="0"/>
                      <w:szCs w:val="21"/>
                      <w:highlight w:val="none"/>
                      <w:lang w:val="en-US" w:eastAsia="zh-CN" w:bidi="ar"/>
                    </w:rPr>
                    <w:t>围防护网</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61411388">
                  <w:pPr>
                    <w:widowControl/>
                    <w:numPr>
                      <w:ilvl w:val="0"/>
                      <w:numId w:val="0"/>
                    </w:numPr>
                    <w:spacing w:line="400" w:lineRule="exact"/>
                    <w:jc w:val="left"/>
                    <w:rPr>
                      <w:rFonts w:hint="eastAsia" w:ascii="宋体" w:hAnsi="宋体" w:eastAsia="宋体" w:cs="宋体"/>
                      <w:color w:val="auto"/>
                      <w:kern w:val="0"/>
                      <w:szCs w:val="21"/>
                      <w:highlight w:val="none"/>
                      <w:lang w:bidi="ar"/>
                    </w:rPr>
                  </w:pPr>
                </w:p>
              </w:tc>
              <w:tc>
                <w:tcPr>
                  <w:tcW w:w="838" w:type="dxa"/>
                  <w:tcBorders>
                    <w:top w:val="single" w:color="000000" w:sz="4" w:space="0"/>
                    <w:left w:val="single" w:color="000000" w:sz="4" w:space="0"/>
                    <w:bottom w:val="single" w:color="000000" w:sz="4" w:space="0"/>
                    <w:right w:val="single" w:color="000000" w:sz="4" w:space="0"/>
                  </w:tcBorders>
                  <w:noWrap/>
                  <w:vAlign w:val="center"/>
                </w:tcPr>
                <w:p w14:paraId="125F7461">
                  <w:pPr>
                    <w:widowControl/>
                    <w:numPr>
                      <w:ilvl w:val="0"/>
                      <w:numId w:val="0"/>
                    </w:numPr>
                    <w:spacing w:line="400" w:lineRule="exact"/>
                    <w:jc w:val="left"/>
                    <w:textAlignment w:val="auto"/>
                    <w:rPr>
                      <w:rFonts w:hint="eastAsia" w:ascii="宋体" w:hAnsi="宋体" w:eastAsia="宋体" w:cs="宋体"/>
                      <w:color w:val="auto"/>
                      <w:kern w:val="0"/>
                      <w:szCs w:val="21"/>
                      <w:highlight w:val="none"/>
                      <w:lang w:bidi="ar"/>
                    </w:rPr>
                  </w:pPr>
                </w:p>
              </w:tc>
              <w:tc>
                <w:tcPr>
                  <w:tcW w:w="768" w:type="dxa"/>
                  <w:tcBorders>
                    <w:top w:val="single" w:color="000000" w:sz="4" w:space="0"/>
                    <w:left w:val="single" w:color="000000" w:sz="4" w:space="0"/>
                    <w:bottom w:val="single" w:color="000000" w:sz="4" w:space="0"/>
                    <w:right w:val="single" w:color="000000" w:sz="4" w:space="0"/>
                  </w:tcBorders>
                  <w:noWrap/>
                  <w:vAlign w:val="center"/>
                </w:tcPr>
                <w:p w14:paraId="75F9790E">
                  <w:pPr>
                    <w:widowControl/>
                    <w:numPr>
                      <w:ilvl w:val="0"/>
                      <w:numId w:val="0"/>
                    </w:numPr>
                    <w:spacing w:line="400" w:lineRule="exact"/>
                    <w:jc w:val="left"/>
                    <w:textAlignment w:val="auto"/>
                    <w:rPr>
                      <w:rFonts w:hint="eastAsia" w:ascii="宋体" w:hAnsi="宋体" w:eastAsia="宋体" w:cs="宋体"/>
                      <w:color w:val="auto"/>
                      <w:kern w:val="0"/>
                      <w:szCs w:val="21"/>
                      <w:highlight w:val="none"/>
                      <w:lang w:bidi="ar"/>
                    </w:rPr>
                  </w:pPr>
                </w:p>
              </w:tc>
              <w:tc>
                <w:tcPr>
                  <w:tcW w:w="2087" w:type="dxa"/>
                  <w:tcBorders>
                    <w:top w:val="single" w:color="000000" w:sz="4" w:space="0"/>
                    <w:left w:val="single" w:color="000000" w:sz="4" w:space="0"/>
                    <w:bottom w:val="single" w:color="000000" w:sz="4" w:space="0"/>
                    <w:right w:val="single" w:color="000000" w:sz="4" w:space="0"/>
                  </w:tcBorders>
                  <w:noWrap/>
                  <w:vAlign w:val="center"/>
                </w:tcPr>
                <w:p w14:paraId="1769A09E">
                  <w:pPr>
                    <w:widowControl/>
                    <w:numPr>
                      <w:ilvl w:val="0"/>
                      <w:numId w:val="0"/>
                    </w:numPr>
                    <w:spacing w:line="400" w:lineRule="exact"/>
                    <w:jc w:val="left"/>
                    <w:rPr>
                      <w:rFonts w:hint="eastAsia" w:ascii="宋体" w:hAnsi="宋体" w:eastAsia="宋体" w:cs="宋体"/>
                      <w:color w:val="auto"/>
                      <w:kern w:val="0"/>
                      <w:szCs w:val="21"/>
                      <w:highlight w:val="none"/>
                      <w:lang w:bidi="ar"/>
                    </w:rPr>
                  </w:pPr>
                </w:p>
              </w:tc>
            </w:tr>
            <w:tr w14:paraId="54A9DBBE">
              <w:tblPrEx>
                <w:tblCellMar>
                  <w:top w:w="0" w:type="dxa"/>
                  <w:left w:w="108" w:type="dxa"/>
                  <w:bottom w:w="0" w:type="dxa"/>
                  <w:right w:w="108" w:type="dxa"/>
                </w:tblCellMar>
              </w:tblPrEx>
              <w:trPr>
                <w:trHeight w:val="23" w:hRule="atLeast"/>
                <w:jc w:val="center"/>
              </w:trPr>
              <w:tc>
                <w:tcPr>
                  <w:tcW w:w="653" w:type="dxa"/>
                  <w:tcBorders>
                    <w:top w:val="single" w:color="000000" w:sz="4" w:space="0"/>
                    <w:left w:val="single" w:color="000000" w:sz="4" w:space="0"/>
                    <w:bottom w:val="single" w:color="000000" w:sz="4" w:space="0"/>
                    <w:right w:val="single" w:color="000000" w:sz="4" w:space="0"/>
                  </w:tcBorders>
                  <w:noWrap/>
                  <w:vAlign w:val="center"/>
                </w:tcPr>
                <w:p w14:paraId="49180186">
                  <w:pPr>
                    <w:widowControl/>
                    <w:numPr>
                      <w:ilvl w:val="0"/>
                      <w:numId w:val="0"/>
                    </w:numPr>
                    <w:spacing w:line="400" w:lineRule="exact"/>
                    <w:jc w:val="left"/>
                    <w:textAlignment w:val="auto"/>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3.1</w:t>
                  </w:r>
                </w:p>
              </w:tc>
              <w:tc>
                <w:tcPr>
                  <w:tcW w:w="1100" w:type="dxa"/>
                  <w:tcBorders>
                    <w:top w:val="single" w:color="000000" w:sz="4" w:space="0"/>
                    <w:left w:val="single" w:color="000000" w:sz="4" w:space="0"/>
                    <w:bottom w:val="single" w:color="000000" w:sz="4" w:space="0"/>
                    <w:right w:val="single" w:color="000000" w:sz="4" w:space="0"/>
                  </w:tcBorders>
                  <w:noWrap/>
                  <w:vAlign w:val="center"/>
                </w:tcPr>
                <w:p w14:paraId="3D0A1381">
                  <w:pPr>
                    <w:widowControl/>
                    <w:numPr>
                      <w:ilvl w:val="0"/>
                      <w:numId w:val="0"/>
                    </w:numPr>
                    <w:spacing w:line="400" w:lineRule="exact"/>
                    <w:jc w:val="left"/>
                    <w:textAlignment w:val="auto"/>
                    <w:rPr>
                      <w:rFonts w:hint="eastAsia" w:ascii="宋体" w:hAnsi="宋体" w:eastAsia="宋体" w:cs="宋体"/>
                      <w:color w:val="auto"/>
                      <w:kern w:val="0"/>
                      <w:szCs w:val="21"/>
                      <w:highlight w:val="none"/>
                      <w:lang w:bidi="ar"/>
                    </w:rPr>
                  </w:pP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46D2B56B">
                  <w:pPr>
                    <w:widowControl/>
                    <w:numPr>
                      <w:ilvl w:val="0"/>
                      <w:numId w:val="0"/>
                    </w:numPr>
                    <w:spacing w:line="400" w:lineRule="exact"/>
                    <w:jc w:val="left"/>
                    <w:textAlignment w:val="auto"/>
                    <w:rPr>
                      <w:rFonts w:hint="eastAsia" w:ascii="宋体" w:hAnsi="宋体" w:eastAsia="宋体" w:cs="宋体"/>
                      <w:color w:val="auto"/>
                      <w:kern w:val="0"/>
                      <w:szCs w:val="21"/>
                      <w:highlight w:val="none"/>
                      <w:lang w:bidi="ar"/>
                    </w:rPr>
                  </w:pPr>
                  <w:r>
                    <w:rPr>
                      <w:rFonts w:hint="eastAsia" w:ascii="宋体" w:hAnsi="宋体" w:eastAsia="宋体" w:cs="宋体"/>
                      <w:color w:val="auto"/>
                      <w:kern w:val="0"/>
                      <w:sz w:val="21"/>
                      <w:szCs w:val="21"/>
                      <w:highlight w:val="none"/>
                      <w:lang w:val="en-US" w:eastAsia="zh-CN" w:bidi="ar"/>
                    </w:rPr>
                    <w:t>高木桩</w:t>
                  </w:r>
                </w:p>
              </w:tc>
              <w:tc>
                <w:tcPr>
                  <w:tcW w:w="838" w:type="dxa"/>
                  <w:tcBorders>
                    <w:top w:val="single" w:color="000000" w:sz="4" w:space="0"/>
                    <w:left w:val="single" w:color="000000" w:sz="4" w:space="0"/>
                    <w:bottom w:val="single" w:color="000000" w:sz="4" w:space="0"/>
                    <w:right w:val="single" w:color="000000" w:sz="4" w:space="0"/>
                  </w:tcBorders>
                  <w:noWrap/>
                  <w:vAlign w:val="center"/>
                </w:tcPr>
                <w:p w14:paraId="5EC2F389">
                  <w:pPr>
                    <w:widowControl/>
                    <w:numPr>
                      <w:ilvl w:val="0"/>
                      <w:numId w:val="0"/>
                    </w:numPr>
                    <w:spacing w:line="400" w:lineRule="exact"/>
                    <w:jc w:val="left"/>
                    <w:textAlignment w:val="auto"/>
                    <w:rPr>
                      <w:rFonts w:hint="eastAsia" w:ascii="宋体" w:hAnsi="宋体" w:eastAsia="宋体" w:cs="宋体"/>
                      <w:color w:val="auto"/>
                      <w:kern w:val="0"/>
                      <w:szCs w:val="21"/>
                      <w:highlight w:val="none"/>
                      <w:lang w:bidi="ar"/>
                    </w:rPr>
                  </w:pPr>
                  <w:r>
                    <w:rPr>
                      <w:rFonts w:hint="eastAsia" w:ascii="宋体" w:hAnsi="宋体" w:eastAsia="宋体" w:cs="宋体"/>
                      <w:color w:val="auto"/>
                      <w:kern w:val="0"/>
                      <w:sz w:val="21"/>
                      <w:szCs w:val="21"/>
                      <w:highlight w:val="none"/>
                      <w:lang w:val="en-US" w:eastAsia="zh-CN" w:bidi="ar"/>
                    </w:rPr>
                    <w:t>1</w:t>
                  </w:r>
                </w:p>
              </w:tc>
              <w:tc>
                <w:tcPr>
                  <w:tcW w:w="768" w:type="dxa"/>
                  <w:tcBorders>
                    <w:top w:val="single" w:color="000000" w:sz="4" w:space="0"/>
                    <w:left w:val="single" w:color="000000" w:sz="4" w:space="0"/>
                    <w:bottom w:val="single" w:color="000000" w:sz="4" w:space="0"/>
                    <w:right w:val="single" w:color="000000" w:sz="4" w:space="0"/>
                  </w:tcBorders>
                  <w:noWrap/>
                  <w:vAlign w:val="center"/>
                </w:tcPr>
                <w:p w14:paraId="5A0AD730">
                  <w:pPr>
                    <w:widowControl/>
                    <w:numPr>
                      <w:ilvl w:val="0"/>
                      <w:numId w:val="0"/>
                    </w:numPr>
                    <w:spacing w:line="400" w:lineRule="exact"/>
                    <w:jc w:val="left"/>
                    <w:textAlignment w:val="auto"/>
                    <w:rPr>
                      <w:rFonts w:hint="eastAsia" w:ascii="宋体" w:hAnsi="宋体" w:eastAsia="宋体" w:cs="宋体"/>
                      <w:color w:val="auto"/>
                      <w:kern w:val="0"/>
                      <w:szCs w:val="21"/>
                      <w:highlight w:val="none"/>
                      <w:lang w:eastAsia="zh-CN" w:bidi="ar"/>
                    </w:rPr>
                  </w:pPr>
                  <w:r>
                    <w:rPr>
                      <w:rFonts w:hint="eastAsia" w:ascii="宋体" w:hAnsi="宋体" w:eastAsia="宋体" w:cs="宋体"/>
                      <w:color w:val="auto"/>
                      <w:kern w:val="0"/>
                      <w:szCs w:val="21"/>
                      <w:highlight w:val="none"/>
                      <w:lang w:val="en-US" w:eastAsia="zh-CN" w:bidi="ar"/>
                    </w:rPr>
                    <w:t>根</w:t>
                  </w:r>
                </w:p>
              </w:tc>
              <w:tc>
                <w:tcPr>
                  <w:tcW w:w="2087" w:type="dxa"/>
                  <w:tcBorders>
                    <w:top w:val="single" w:color="000000" w:sz="4" w:space="0"/>
                    <w:left w:val="single" w:color="000000" w:sz="4" w:space="0"/>
                    <w:bottom w:val="single" w:color="000000" w:sz="4" w:space="0"/>
                    <w:right w:val="single" w:color="000000" w:sz="4" w:space="0"/>
                  </w:tcBorders>
                  <w:noWrap/>
                  <w:vAlign w:val="center"/>
                </w:tcPr>
                <w:p w14:paraId="42997D62">
                  <w:pPr>
                    <w:widowControl/>
                    <w:numPr>
                      <w:ilvl w:val="0"/>
                      <w:numId w:val="0"/>
                    </w:numPr>
                    <w:spacing w:line="400" w:lineRule="exact"/>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每</w:t>
                  </w:r>
                  <w:r>
                    <w:rPr>
                      <w:rFonts w:hint="eastAsia" w:ascii="宋体" w:hAnsi="宋体" w:eastAsia="宋体" w:cs="宋体"/>
                      <w:color w:val="auto"/>
                      <w:kern w:val="0"/>
                      <w:szCs w:val="21"/>
                      <w:highlight w:val="none"/>
                      <w:lang w:val="en-US" w:eastAsia="zh-CN" w:bidi="ar"/>
                    </w:rPr>
                    <w:t>根</w:t>
                  </w:r>
                  <w:r>
                    <w:rPr>
                      <w:rFonts w:hint="eastAsia" w:ascii="宋体" w:hAnsi="宋体" w:eastAsia="宋体" w:cs="宋体"/>
                      <w:color w:val="auto"/>
                      <w:kern w:val="0"/>
                      <w:szCs w:val="21"/>
                      <w:highlight w:val="none"/>
                      <w:lang w:bidi="ar"/>
                    </w:rPr>
                    <w:t>不超过</w:t>
                  </w:r>
                  <w:r>
                    <w:rPr>
                      <w:rFonts w:hint="eastAsia" w:ascii="宋体" w:hAnsi="宋体" w:eastAsia="宋体" w:cs="宋体"/>
                      <w:color w:val="auto"/>
                      <w:kern w:val="0"/>
                      <w:szCs w:val="21"/>
                      <w:highlight w:val="none"/>
                      <w:lang w:val="en-US" w:eastAsia="zh-CN" w:bidi="ar"/>
                    </w:rPr>
                    <w:t>3</w:t>
                  </w:r>
                  <w:r>
                    <w:rPr>
                      <w:rFonts w:hint="eastAsia" w:ascii="宋体" w:hAnsi="宋体" w:eastAsia="宋体" w:cs="宋体"/>
                      <w:color w:val="auto"/>
                      <w:kern w:val="0"/>
                      <w:szCs w:val="21"/>
                      <w:highlight w:val="none"/>
                      <w:lang w:bidi="ar"/>
                    </w:rPr>
                    <w:t>0元</w:t>
                  </w:r>
                </w:p>
              </w:tc>
            </w:tr>
            <w:tr w14:paraId="58A55F7A">
              <w:tblPrEx>
                <w:tblCellMar>
                  <w:top w:w="0" w:type="dxa"/>
                  <w:left w:w="108" w:type="dxa"/>
                  <w:bottom w:w="0" w:type="dxa"/>
                  <w:right w:w="108" w:type="dxa"/>
                </w:tblCellMar>
              </w:tblPrEx>
              <w:trPr>
                <w:trHeight w:val="23" w:hRule="atLeast"/>
                <w:jc w:val="center"/>
              </w:trPr>
              <w:tc>
                <w:tcPr>
                  <w:tcW w:w="653" w:type="dxa"/>
                  <w:tcBorders>
                    <w:top w:val="single" w:color="000000" w:sz="4" w:space="0"/>
                    <w:left w:val="single" w:color="000000" w:sz="4" w:space="0"/>
                    <w:bottom w:val="single" w:color="000000" w:sz="4" w:space="0"/>
                    <w:right w:val="single" w:color="000000" w:sz="4" w:space="0"/>
                  </w:tcBorders>
                  <w:noWrap/>
                  <w:vAlign w:val="center"/>
                </w:tcPr>
                <w:p w14:paraId="0F87C29A">
                  <w:pPr>
                    <w:widowControl/>
                    <w:numPr>
                      <w:ilvl w:val="0"/>
                      <w:numId w:val="0"/>
                    </w:numPr>
                    <w:spacing w:line="400" w:lineRule="exact"/>
                    <w:jc w:val="left"/>
                    <w:textAlignment w:val="auto"/>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3.2</w:t>
                  </w:r>
                </w:p>
              </w:tc>
              <w:tc>
                <w:tcPr>
                  <w:tcW w:w="1100" w:type="dxa"/>
                  <w:tcBorders>
                    <w:top w:val="single" w:color="000000" w:sz="4" w:space="0"/>
                    <w:left w:val="single" w:color="000000" w:sz="4" w:space="0"/>
                    <w:bottom w:val="single" w:color="000000" w:sz="4" w:space="0"/>
                    <w:right w:val="single" w:color="000000" w:sz="4" w:space="0"/>
                  </w:tcBorders>
                  <w:noWrap/>
                  <w:vAlign w:val="center"/>
                </w:tcPr>
                <w:p w14:paraId="01EF189F">
                  <w:pPr>
                    <w:widowControl/>
                    <w:numPr>
                      <w:ilvl w:val="0"/>
                      <w:numId w:val="0"/>
                    </w:numPr>
                    <w:spacing w:line="400" w:lineRule="exact"/>
                    <w:jc w:val="left"/>
                    <w:textAlignment w:val="auto"/>
                    <w:rPr>
                      <w:rFonts w:hint="eastAsia" w:ascii="宋体" w:hAnsi="宋体" w:eastAsia="宋体" w:cs="宋体"/>
                      <w:color w:val="auto"/>
                      <w:kern w:val="0"/>
                      <w:szCs w:val="21"/>
                      <w:highlight w:val="none"/>
                      <w:lang w:bidi="ar"/>
                    </w:rPr>
                  </w:pP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1BC7969A">
                  <w:pPr>
                    <w:widowControl/>
                    <w:numPr>
                      <w:ilvl w:val="0"/>
                      <w:numId w:val="0"/>
                    </w:numPr>
                    <w:spacing w:line="400" w:lineRule="exact"/>
                    <w:jc w:val="left"/>
                    <w:textAlignment w:val="auto"/>
                    <w:rPr>
                      <w:rFonts w:hint="eastAsia" w:ascii="宋体" w:hAnsi="宋体" w:eastAsia="宋体" w:cs="宋体"/>
                      <w:color w:val="auto"/>
                      <w:kern w:val="0"/>
                      <w:szCs w:val="21"/>
                      <w:highlight w:val="none"/>
                      <w:lang w:bidi="ar"/>
                    </w:rPr>
                  </w:pPr>
                  <w:r>
                    <w:rPr>
                      <w:rFonts w:hint="eastAsia" w:ascii="宋体" w:hAnsi="宋体" w:eastAsia="宋体" w:cs="宋体"/>
                      <w:color w:val="auto"/>
                      <w:kern w:val="0"/>
                      <w:sz w:val="21"/>
                      <w:szCs w:val="21"/>
                      <w:highlight w:val="none"/>
                      <w:lang w:val="en-US" w:eastAsia="zh-CN" w:bidi="ar"/>
                    </w:rPr>
                    <w:t>胶丝网</w:t>
                  </w:r>
                </w:p>
              </w:tc>
              <w:tc>
                <w:tcPr>
                  <w:tcW w:w="838" w:type="dxa"/>
                  <w:tcBorders>
                    <w:top w:val="single" w:color="000000" w:sz="4" w:space="0"/>
                    <w:left w:val="single" w:color="000000" w:sz="4" w:space="0"/>
                    <w:bottom w:val="single" w:color="000000" w:sz="4" w:space="0"/>
                    <w:right w:val="single" w:color="000000" w:sz="4" w:space="0"/>
                  </w:tcBorders>
                  <w:noWrap/>
                  <w:vAlign w:val="center"/>
                </w:tcPr>
                <w:p w14:paraId="484E6694">
                  <w:pPr>
                    <w:widowControl/>
                    <w:numPr>
                      <w:ilvl w:val="0"/>
                      <w:numId w:val="0"/>
                    </w:numPr>
                    <w:spacing w:line="400" w:lineRule="exact"/>
                    <w:jc w:val="left"/>
                    <w:textAlignment w:val="auto"/>
                    <w:rPr>
                      <w:rFonts w:hint="eastAsia" w:ascii="宋体" w:hAnsi="宋体" w:eastAsia="宋体" w:cs="宋体"/>
                      <w:color w:val="auto"/>
                      <w:kern w:val="0"/>
                      <w:szCs w:val="21"/>
                      <w:highlight w:val="none"/>
                      <w:lang w:bidi="ar"/>
                    </w:rPr>
                  </w:pPr>
                  <w:r>
                    <w:rPr>
                      <w:rFonts w:hint="eastAsia" w:ascii="宋体" w:hAnsi="宋体" w:eastAsia="宋体" w:cs="宋体"/>
                      <w:color w:val="auto"/>
                      <w:kern w:val="0"/>
                      <w:sz w:val="21"/>
                      <w:szCs w:val="21"/>
                      <w:highlight w:val="none"/>
                      <w:lang w:val="en-US" w:eastAsia="zh-CN" w:bidi="ar"/>
                    </w:rPr>
                    <w:t>1</w:t>
                  </w:r>
                </w:p>
              </w:tc>
              <w:tc>
                <w:tcPr>
                  <w:tcW w:w="768" w:type="dxa"/>
                  <w:tcBorders>
                    <w:top w:val="single" w:color="000000" w:sz="4" w:space="0"/>
                    <w:left w:val="single" w:color="000000" w:sz="4" w:space="0"/>
                    <w:bottom w:val="single" w:color="000000" w:sz="4" w:space="0"/>
                    <w:right w:val="single" w:color="000000" w:sz="4" w:space="0"/>
                  </w:tcBorders>
                  <w:noWrap/>
                  <w:vAlign w:val="center"/>
                </w:tcPr>
                <w:p w14:paraId="23248046">
                  <w:pPr>
                    <w:widowControl/>
                    <w:numPr>
                      <w:ilvl w:val="0"/>
                      <w:numId w:val="0"/>
                    </w:numPr>
                    <w:spacing w:line="400" w:lineRule="exact"/>
                    <w:jc w:val="left"/>
                    <w:textAlignment w:val="auto"/>
                    <w:rPr>
                      <w:rFonts w:hint="eastAsia" w:ascii="宋体" w:hAnsi="宋体" w:eastAsia="宋体" w:cs="宋体"/>
                      <w:color w:val="auto"/>
                      <w:kern w:val="0"/>
                      <w:szCs w:val="21"/>
                      <w:highlight w:val="none"/>
                      <w:lang w:eastAsia="zh-CN" w:bidi="ar"/>
                    </w:rPr>
                  </w:pPr>
                  <w:r>
                    <w:rPr>
                      <w:rFonts w:hint="eastAsia" w:ascii="宋体" w:hAnsi="宋体" w:eastAsia="宋体" w:cs="宋体"/>
                      <w:color w:val="auto"/>
                      <w:kern w:val="0"/>
                      <w:szCs w:val="21"/>
                      <w:highlight w:val="none"/>
                      <w:lang w:val="en-US" w:eastAsia="zh-CN" w:bidi="ar"/>
                    </w:rPr>
                    <w:t>㎡</w:t>
                  </w:r>
                </w:p>
              </w:tc>
              <w:tc>
                <w:tcPr>
                  <w:tcW w:w="2087" w:type="dxa"/>
                  <w:tcBorders>
                    <w:top w:val="single" w:color="000000" w:sz="4" w:space="0"/>
                    <w:left w:val="single" w:color="000000" w:sz="4" w:space="0"/>
                    <w:bottom w:val="single" w:color="000000" w:sz="4" w:space="0"/>
                    <w:right w:val="single" w:color="000000" w:sz="4" w:space="0"/>
                  </w:tcBorders>
                  <w:noWrap/>
                  <w:vAlign w:val="center"/>
                </w:tcPr>
                <w:p w14:paraId="15AE61A3">
                  <w:pPr>
                    <w:widowControl/>
                    <w:numPr>
                      <w:ilvl w:val="0"/>
                      <w:numId w:val="0"/>
                    </w:numPr>
                    <w:spacing w:line="400" w:lineRule="exact"/>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每</w:t>
                  </w:r>
                  <w:r>
                    <w:rPr>
                      <w:rFonts w:hint="eastAsia" w:ascii="宋体" w:hAnsi="宋体" w:eastAsia="宋体" w:cs="宋体"/>
                      <w:color w:val="auto"/>
                      <w:kern w:val="0"/>
                      <w:szCs w:val="21"/>
                      <w:highlight w:val="none"/>
                      <w:lang w:val="en-US" w:eastAsia="zh-CN" w:bidi="ar"/>
                    </w:rPr>
                    <w:t>平方米</w:t>
                  </w:r>
                  <w:r>
                    <w:rPr>
                      <w:rFonts w:hint="eastAsia" w:ascii="宋体" w:hAnsi="宋体" w:eastAsia="宋体" w:cs="宋体"/>
                      <w:color w:val="auto"/>
                      <w:kern w:val="0"/>
                      <w:szCs w:val="21"/>
                      <w:highlight w:val="none"/>
                      <w:lang w:bidi="ar"/>
                    </w:rPr>
                    <w:t>不超过</w:t>
                  </w:r>
                  <w:r>
                    <w:rPr>
                      <w:rFonts w:hint="eastAsia" w:ascii="宋体" w:hAnsi="宋体" w:eastAsia="宋体" w:cs="宋体"/>
                      <w:color w:val="auto"/>
                      <w:kern w:val="0"/>
                      <w:szCs w:val="21"/>
                      <w:highlight w:val="none"/>
                      <w:lang w:val="en-US" w:eastAsia="zh-CN" w:bidi="ar"/>
                    </w:rPr>
                    <w:t>8</w:t>
                  </w:r>
                  <w:r>
                    <w:rPr>
                      <w:rFonts w:hint="eastAsia" w:ascii="宋体" w:hAnsi="宋体" w:eastAsia="宋体" w:cs="宋体"/>
                      <w:color w:val="auto"/>
                      <w:kern w:val="0"/>
                      <w:szCs w:val="21"/>
                      <w:highlight w:val="none"/>
                      <w:lang w:bidi="ar"/>
                    </w:rPr>
                    <w:t>元</w:t>
                  </w:r>
                </w:p>
              </w:tc>
            </w:tr>
            <w:tr w14:paraId="5FCC05B7">
              <w:tblPrEx>
                <w:tblCellMar>
                  <w:top w:w="0" w:type="dxa"/>
                  <w:left w:w="108" w:type="dxa"/>
                  <w:bottom w:w="0" w:type="dxa"/>
                  <w:right w:w="108" w:type="dxa"/>
                </w:tblCellMar>
              </w:tblPrEx>
              <w:trPr>
                <w:trHeight w:val="23" w:hRule="atLeast"/>
                <w:jc w:val="center"/>
              </w:trPr>
              <w:tc>
                <w:tcPr>
                  <w:tcW w:w="653" w:type="dxa"/>
                  <w:tcBorders>
                    <w:top w:val="single" w:color="000000" w:sz="4" w:space="0"/>
                    <w:left w:val="single" w:color="000000" w:sz="4" w:space="0"/>
                    <w:bottom w:val="single" w:color="000000" w:sz="4" w:space="0"/>
                    <w:right w:val="single" w:color="000000" w:sz="4" w:space="0"/>
                  </w:tcBorders>
                  <w:noWrap/>
                  <w:vAlign w:val="center"/>
                </w:tcPr>
                <w:p w14:paraId="5BC648E3">
                  <w:pPr>
                    <w:widowControl/>
                    <w:numPr>
                      <w:ilvl w:val="0"/>
                      <w:numId w:val="0"/>
                    </w:numPr>
                    <w:spacing w:line="400" w:lineRule="exact"/>
                    <w:jc w:val="left"/>
                    <w:textAlignment w:val="auto"/>
                    <w:rPr>
                      <w:rFonts w:hint="eastAsia" w:ascii="宋体" w:hAnsi="宋体" w:eastAsia="宋体" w:cs="宋体"/>
                      <w:color w:val="auto"/>
                      <w:kern w:val="0"/>
                      <w:szCs w:val="21"/>
                      <w:highlight w:val="none"/>
                      <w:lang w:val="en-US" w:eastAsia="zh-CN" w:bidi="ar"/>
                    </w:rPr>
                  </w:pPr>
                  <w:r>
                    <w:rPr>
                      <w:rFonts w:hint="eastAsia" w:ascii="宋体" w:hAnsi="宋体" w:eastAsia="宋体" w:cs="宋体"/>
                      <w:color w:val="auto"/>
                      <w:kern w:val="0"/>
                      <w:szCs w:val="21"/>
                      <w:highlight w:val="none"/>
                      <w:lang w:val="en-US" w:eastAsia="zh-CN" w:bidi="ar"/>
                    </w:rPr>
                    <w:t>4</w:t>
                  </w:r>
                </w:p>
              </w:tc>
              <w:tc>
                <w:tcPr>
                  <w:tcW w:w="1100" w:type="dxa"/>
                  <w:tcBorders>
                    <w:top w:val="single" w:color="000000" w:sz="4" w:space="0"/>
                    <w:left w:val="single" w:color="000000" w:sz="4" w:space="0"/>
                    <w:bottom w:val="single" w:color="000000" w:sz="4" w:space="0"/>
                    <w:right w:val="single" w:color="000000" w:sz="4" w:space="0"/>
                  </w:tcBorders>
                  <w:noWrap/>
                  <w:vAlign w:val="center"/>
                </w:tcPr>
                <w:p w14:paraId="5C506710">
                  <w:pPr>
                    <w:widowControl/>
                    <w:numPr>
                      <w:ilvl w:val="-1"/>
                      <w:numId w:val="0"/>
                    </w:numPr>
                    <w:spacing w:line="240" w:lineRule="auto"/>
                    <w:jc w:val="left"/>
                    <w:textAlignment w:val="auto"/>
                    <w:rPr>
                      <w:rFonts w:hint="eastAsia" w:ascii="宋体" w:hAnsi="宋体" w:eastAsia="宋体" w:cs="宋体"/>
                      <w:color w:val="auto"/>
                      <w:kern w:val="0"/>
                      <w:szCs w:val="21"/>
                      <w:highlight w:val="none"/>
                      <w:lang w:bidi="ar"/>
                    </w:rPr>
                  </w:pPr>
                  <w:r>
                    <w:rPr>
                      <w:rFonts w:hint="eastAsia" w:ascii="宋体" w:hAnsi="宋体" w:eastAsia="宋体" w:cs="宋体"/>
                      <w:color w:val="auto"/>
                      <w:kern w:val="0"/>
                      <w:sz w:val="21"/>
                      <w:szCs w:val="21"/>
                      <w:highlight w:val="none"/>
                      <w:lang w:val="en-US" w:eastAsia="zh-CN" w:bidi="ar"/>
                    </w:rPr>
                    <w:t>管护人工费</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46E20144">
                  <w:pPr>
                    <w:widowControl/>
                    <w:numPr>
                      <w:ilvl w:val="0"/>
                      <w:numId w:val="0"/>
                    </w:numPr>
                    <w:spacing w:line="400" w:lineRule="exact"/>
                    <w:jc w:val="left"/>
                    <w:textAlignment w:val="auto"/>
                    <w:rPr>
                      <w:rFonts w:hint="eastAsia" w:ascii="宋体" w:hAnsi="宋体" w:eastAsia="宋体" w:cs="宋体"/>
                      <w:color w:val="auto"/>
                      <w:kern w:val="0"/>
                      <w:sz w:val="21"/>
                      <w:szCs w:val="21"/>
                      <w:highlight w:val="none"/>
                      <w:lang w:val="en-US" w:eastAsia="zh-CN" w:bidi="ar"/>
                    </w:rPr>
                  </w:pPr>
                </w:p>
              </w:tc>
              <w:tc>
                <w:tcPr>
                  <w:tcW w:w="838" w:type="dxa"/>
                  <w:tcBorders>
                    <w:top w:val="single" w:color="000000" w:sz="4" w:space="0"/>
                    <w:left w:val="single" w:color="000000" w:sz="4" w:space="0"/>
                    <w:bottom w:val="single" w:color="000000" w:sz="4" w:space="0"/>
                    <w:right w:val="single" w:color="000000" w:sz="4" w:space="0"/>
                  </w:tcBorders>
                  <w:noWrap/>
                  <w:vAlign w:val="center"/>
                </w:tcPr>
                <w:p w14:paraId="6733D4BE">
                  <w:pPr>
                    <w:widowControl/>
                    <w:numPr>
                      <w:ilvl w:val="0"/>
                      <w:numId w:val="0"/>
                    </w:numPr>
                    <w:spacing w:line="400" w:lineRule="exact"/>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w:t>
                  </w:r>
                </w:p>
              </w:tc>
              <w:tc>
                <w:tcPr>
                  <w:tcW w:w="768" w:type="dxa"/>
                  <w:tcBorders>
                    <w:top w:val="single" w:color="000000" w:sz="4" w:space="0"/>
                    <w:left w:val="single" w:color="000000" w:sz="4" w:space="0"/>
                    <w:bottom w:val="single" w:color="000000" w:sz="4" w:space="0"/>
                    <w:right w:val="single" w:color="000000" w:sz="4" w:space="0"/>
                  </w:tcBorders>
                  <w:noWrap/>
                  <w:vAlign w:val="center"/>
                </w:tcPr>
                <w:p w14:paraId="6F22CF51">
                  <w:pPr>
                    <w:widowControl/>
                    <w:numPr>
                      <w:ilvl w:val="0"/>
                      <w:numId w:val="0"/>
                    </w:numPr>
                    <w:spacing w:line="400" w:lineRule="exact"/>
                    <w:jc w:val="left"/>
                    <w:textAlignment w:val="auto"/>
                    <w:rPr>
                      <w:rFonts w:hint="eastAsia" w:ascii="宋体" w:hAnsi="宋体" w:eastAsia="宋体" w:cs="宋体"/>
                      <w:color w:val="auto"/>
                      <w:kern w:val="0"/>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工日</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9B432">
                  <w:pPr>
                    <w:widowControl/>
                    <w:numPr>
                      <w:ilvl w:val="0"/>
                      <w:numId w:val="0"/>
                    </w:numPr>
                    <w:spacing w:line="400" w:lineRule="exact"/>
                    <w:ind w:left="0" w:leftChars="0" w:firstLine="0" w:firstLineChars="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Cs w:val="21"/>
                      <w:highlight w:val="none"/>
                      <w:lang w:val="en-US" w:eastAsia="zh-CN" w:bidi="ar"/>
                    </w:rPr>
                    <w:t>每工日不高于</w:t>
                  </w:r>
                  <w:r>
                    <w:rPr>
                      <w:rFonts w:hint="eastAsia" w:ascii="宋体" w:hAnsi="宋体" w:eastAsia="宋体" w:cs="宋体"/>
                      <w:color w:val="auto"/>
                      <w:kern w:val="0"/>
                      <w:szCs w:val="21"/>
                      <w:highlight w:val="none"/>
                      <w:lang w:bidi="ar"/>
                    </w:rPr>
                    <w:t>290</w:t>
                  </w:r>
                  <w:r>
                    <w:rPr>
                      <w:rFonts w:hint="eastAsia" w:ascii="宋体" w:hAnsi="宋体" w:eastAsia="宋体" w:cs="宋体"/>
                      <w:color w:val="auto"/>
                      <w:kern w:val="0"/>
                      <w:szCs w:val="21"/>
                      <w:highlight w:val="none"/>
                      <w:lang w:val="en-US" w:eastAsia="zh-CN" w:bidi="ar"/>
                    </w:rPr>
                    <w:t>元</w:t>
                  </w:r>
                </w:p>
              </w:tc>
            </w:tr>
          </w:tbl>
          <w:p w14:paraId="4EEE5297">
            <w:pPr>
              <w:pStyle w:val="76"/>
              <w:rPr>
                <w:rFonts w:hint="eastAsia" w:ascii="宋体" w:hAnsi="宋体" w:eastAsia="宋体" w:cs="宋体"/>
                <w:color w:val="auto"/>
                <w:highlight w:val="none"/>
                <w:lang w:val="en-US" w:eastAsia="zh-CN"/>
              </w:rPr>
            </w:pPr>
          </w:p>
          <w:p w14:paraId="7E203F22">
            <w:pPr>
              <w:numPr>
                <w:ilvl w:val="0"/>
                <w:numId w:val="22"/>
              </w:numPr>
              <w:spacing w:line="400" w:lineRule="exact"/>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包含但不限于劳务费用、食宿费用、交通费用、通讯费用、保险、税费、办公费用、专业问题咨询费用、成果论证、评审费、成果公开展示费用、后续技术支持及合同所示的所有责任义务和各种风险、招标代理服务费、验收费用等合同履约过程可预见或不可预见的一切成本、费用。在合同实施时，采购人将不予支付中标人没有列入的项目费用，并认为此项目的费用已包括在总报价中。</w:t>
            </w:r>
          </w:p>
          <w:p w14:paraId="2C11643B">
            <w:pPr>
              <w:numPr>
                <w:ilvl w:val="0"/>
                <w:numId w:val="22"/>
              </w:numPr>
              <w:spacing w:line="400" w:lineRule="exact"/>
              <w:rPr>
                <w:rFonts w:hint="eastAsia" w:ascii="宋体" w:hAnsi="宋体" w:eastAsia="宋体" w:cs="宋体"/>
                <w:color w:val="auto"/>
                <w:szCs w:val="21"/>
                <w:highlight w:val="none"/>
              </w:rPr>
            </w:pPr>
            <w:r>
              <w:rPr>
                <w:rFonts w:hint="eastAsia" w:ascii="宋体" w:hAnsi="宋体" w:eastAsia="宋体" w:cs="宋体"/>
                <w:b/>
                <w:bCs/>
                <w:color w:val="auto"/>
                <w:highlight w:val="none"/>
              </w:rPr>
              <w:t>本标项采用单价进行报价，单价超过各单价最高限价的投标无效；以各单项报价的合计作为价格分计算依据。</w:t>
            </w:r>
          </w:p>
        </w:tc>
      </w:tr>
      <w:tr w14:paraId="66D173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2322" w:type="dxa"/>
            <w:gridSpan w:val="3"/>
            <w:tcBorders>
              <w:top w:val="single" w:color="auto" w:sz="4" w:space="0"/>
              <w:left w:val="single" w:color="auto" w:sz="4" w:space="0"/>
              <w:bottom w:val="single" w:color="auto" w:sz="4" w:space="0"/>
              <w:right w:val="single" w:color="auto" w:sz="4" w:space="0"/>
            </w:tcBorders>
            <w:vAlign w:val="center"/>
          </w:tcPr>
          <w:p w14:paraId="22814AB2">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▲服务要求</w:t>
            </w:r>
          </w:p>
        </w:tc>
        <w:tc>
          <w:tcPr>
            <w:tcW w:w="7342" w:type="dxa"/>
            <w:gridSpan w:val="3"/>
            <w:tcBorders>
              <w:top w:val="single" w:color="auto" w:sz="4" w:space="0"/>
              <w:left w:val="single" w:color="auto" w:sz="4" w:space="0"/>
              <w:bottom w:val="single" w:color="auto" w:sz="4" w:space="0"/>
              <w:right w:val="single" w:color="auto" w:sz="4" w:space="0"/>
            </w:tcBorders>
            <w:vAlign w:val="center"/>
          </w:tcPr>
          <w:p w14:paraId="7A83D631">
            <w:pPr>
              <w:numPr>
                <w:ilvl w:val="0"/>
                <w:numId w:val="0"/>
              </w:numPr>
              <w:spacing w:line="400" w:lineRule="exact"/>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1.中标供应商须严格遵守国家有关法律、法规的规定和广西壮族自治区山口红树林生态国家级自然保护区管理中心有关标准及纪律要求。</w:t>
            </w:r>
          </w:p>
          <w:p w14:paraId="2542A077">
            <w:pPr>
              <w:numPr>
                <w:ilvl w:val="0"/>
                <w:numId w:val="0"/>
              </w:numPr>
              <w:spacing w:line="400" w:lineRule="exact"/>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2.采购人有权对中标供应商的服务内容质量进行监督、检查和考核。</w:t>
            </w:r>
          </w:p>
          <w:p w14:paraId="0F7AED6A">
            <w:pPr>
              <w:numPr>
                <w:ilvl w:val="0"/>
                <w:numId w:val="0"/>
              </w:numPr>
              <w:spacing w:line="400" w:lineRule="exact"/>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3.中标供应商须配合完成采购人安排的临时性和应急性任务。</w:t>
            </w:r>
          </w:p>
          <w:p w14:paraId="5621198D">
            <w:pPr>
              <w:numPr>
                <w:ilvl w:val="0"/>
                <w:numId w:val="0"/>
              </w:numPr>
              <w:spacing w:line="400" w:lineRule="exact"/>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4.提供7*24小时电话热线支持和传真服务。服务期内出现任何问题，中标供应商须及时响应，并到达指定地点协助采购人处理并解决问题。</w:t>
            </w:r>
          </w:p>
          <w:p w14:paraId="0C38231D">
            <w:pPr>
              <w:numPr>
                <w:ilvl w:val="0"/>
                <w:numId w:val="0"/>
              </w:numPr>
              <w:spacing w:line="400" w:lineRule="exact"/>
              <w:ind w:left="0" w:leftChars="0" w:firstLine="0" w:firstLineChars="0"/>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5.在合同履行期限内，采购人如有关于本标项服务内容产生的需要解决的任何问题</w:t>
            </w:r>
            <w:r>
              <w:rPr>
                <w:rFonts w:hint="eastAsia" w:ascii="宋体" w:hAnsi="宋体" w:eastAsia="宋体" w:cs="宋体"/>
                <w:i w:val="0"/>
                <w:iCs w:val="0"/>
                <w:color w:val="auto"/>
                <w:sz w:val="21"/>
                <w:szCs w:val="21"/>
                <w:highlight w:val="none"/>
                <w:u w:val="none"/>
                <w:lang w:val="en-US" w:eastAsia="zh-CN"/>
              </w:rPr>
              <w:t>，中标供应商须无条件对负责处理解决，产生的相关费用含在报价中。</w:t>
            </w:r>
          </w:p>
          <w:p w14:paraId="4BC5DEDE">
            <w:pPr>
              <w:numPr>
                <w:ilvl w:val="0"/>
                <w:numId w:val="0"/>
              </w:numPr>
              <w:spacing w:line="400" w:lineRule="exact"/>
              <w:ind w:left="0" w:leftChars="0" w:firstLine="0" w:firstLineChars="0"/>
              <w:rPr>
                <w:rFonts w:hint="eastAsia" w:ascii="宋体" w:hAnsi="宋体" w:eastAsia="宋体" w:cs="宋体"/>
                <w:color w:val="auto"/>
                <w:szCs w:val="21"/>
                <w:highlight w:val="none"/>
              </w:rPr>
            </w:pPr>
            <w:r>
              <w:rPr>
                <w:rFonts w:hint="eastAsia" w:ascii="宋体" w:hAnsi="宋体" w:eastAsia="宋体" w:cs="宋体"/>
                <w:color w:val="auto"/>
                <w:highlight w:val="none"/>
              </w:rPr>
              <w:t>6.</w:t>
            </w:r>
            <w:r>
              <w:rPr>
                <w:rFonts w:hint="eastAsia" w:ascii="宋体" w:hAnsi="宋体" w:eastAsia="宋体" w:cs="宋体"/>
                <w:color w:val="auto"/>
                <w:highlight w:val="none"/>
                <w:lang w:val="en-US" w:eastAsia="zh-CN"/>
              </w:rPr>
              <w:t>中标</w:t>
            </w:r>
            <w:r>
              <w:rPr>
                <w:rFonts w:hint="eastAsia" w:ascii="宋体" w:hAnsi="宋体" w:eastAsia="宋体" w:cs="宋体"/>
                <w:color w:val="auto"/>
                <w:highlight w:val="none"/>
              </w:rPr>
              <w:t>供应商须安排科学合理的工作方法，提高工作质量。拟投入的项目负责人</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技术负责人</w:t>
            </w:r>
            <w:r>
              <w:rPr>
                <w:rFonts w:hint="eastAsia" w:ascii="宋体" w:hAnsi="宋体" w:eastAsia="宋体" w:cs="宋体"/>
                <w:color w:val="auto"/>
                <w:highlight w:val="none"/>
              </w:rPr>
              <w:t>具备生态学、风景园林或林学类等相关专业中级或以上职称，须提供相关证件复印件证明。应配备安全员、资料员以及有相关作业经验的项目负责人</w:t>
            </w: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项目技术人员</w:t>
            </w:r>
            <w:r>
              <w:rPr>
                <w:rFonts w:hint="eastAsia" w:ascii="宋体" w:hAnsi="宋体" w:eastAsia="宋体" w:cs="宋体"/>
                <w:color w:val="auto"/>
                <w:highlight w:val="none"/>
              </w:rPr>
              <w:t>不少于</w:t>
            </w: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人</w:t>
            </w: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投标</w:t>
            </w:r>
            <w:r>
              <w:rPr>
                <w:rFonts w:hint="eastAsia" w:ascii="宋体" w:hAnsi="宋体" w:eastAsia="宋体" w:cs="宋体"/>
                <w:color w:val="auto"/>
                <w:highlight w:val="none"/>
              </w:rPr>
              <w:t>文件中必须提供①至少1名安全员有效的安全生产考核合格证（C证）复印件、②至少1名资料员有效的施工现场专业人员职业培训合格证书复印件、③项目负责</w:t>
            </w:r>
            <w:r>
              <w:rPr>
                <w:rFonts w:hint="eastAsia" w:ascii="宋体" w:hAnsi="宋体" w:eastAsia="宋体" w:cs="宋体"/>
                <w:color w:val="auto"/>
                <w:highlight w:val="none"/>
              </w:rPr>
              <w:t>人</w:t>
            </w:r>
            <w:r>
              <w:rPr>
                <w:rFonts w:hint="eastAsia" w:ascii="宋体" w:hAnsi="宋体" w:eastAsia="宋体" w:cs="宋体"/>
                <w:color w:val="auto"/>
                <w:highlight w:val="none"/>
                <w:lang w:val="en-US" w:eastAsia="zh-CN"/>
              </w:rPr>
              <w:t>的</w:t>
            </w:r>
            <w:r>
              <w:rPr>
                <w:rFonts w:hint="eastAsia" w:ascii="宋体" w:hAnsi="宋体" w:eastAsia="宋体" w:cs="宋体"/>
                <w:color w:val="auto"/>
                <w:highlight w:val="none"/>
              </w:rPr>
              <w:t>简历（</w:t>
            </w:r>
            <w:r>
              <w:rPr>
                <w:rFonts w:hint="eastAsia" w:ascii="宋体" w:hAnsi="宋体" w:eastAsia="宋体" w:cs="宋体"/>
                <w:color w:val="auto"/>
                <w:highlight w:val="none"/>
              </w:rPr>
              <w:t>涵盖相关作业经验明细）及相关经验证明材料（可以是简历中涉及的业绩</w:t>
            </w:r>
            <w:r>
              <w:rPr>
                <w:rFonts w:hint="eastAsia" w:ascii="宋体" w:hAnsi="宋体" w:eastAsia="宋体" w:cs="宋体"/>
                <w:color w:val="auto"/>
                <w:highlight w:val="none"/>
              </w:rPr>
              <w:t>合同复印件或相关作业图片</w:t>
            </w:r>
            <w:r>
              <w:rPr>
                <w:rFonts w:hint="eastAsia" w:ascii="宋体" w:hAnsi="宋体" w:eastAsia="宋体" w:cs="宋体"/>
                <w:color w:val="auto"/>
                <w:highlight w:val="none"/>
              </w:rPr>
              <w:t>等证明）；上述复印件均须加盖供应商公章，否则按无效</w:t>
            </w:r>
            <w:r>
              <w:rPr>
                <w:rFonts w:hint="eastAsia" w:ascii="宋体" w:hAnsi="宋体" w:eastAsia="宋体" w:cs="宋体"/>
                <w:color w:val="auto"/>
                <w:highlight w:val="none"/>
                <w:lang w:val="en-US" w:eastAsia="zh-CN"/>
              </w:rPr>
              <w:t>投标</w:t>
            </w:r>
            <w:r>
              <w:rPr>
                <w:rFonts w:hint="eastAsia" w:ascii="宋体" w:hAnsi="宋体" w:eastAsia="宋体" w:cs="宋体"/>
                <w:color w:val="auto"/>
                <w:highlight w:val="none"/>
              </w:rPr>
              <w:t>处理】。</w:t>
            </w:r>
          </w:p>
        </w:tc>
      </w:tr>
      <w:tr w14:paraId="0B8ABB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2322" w:type="dxa"/>
            <w:gridSpan w:val="3"/>
            <w:tcBorders>
              <w:top w:val="single" w:color="auto" w:sz="4" w:space="0"/>
              <w:left w:val="single" w:color="auto" w:sz="4" w:space="0"/>
              <w:bottom w:val="single" w:color="auto" w:sz="4" w:space="0"/>
              <w:right w:val="single" w:color="auto" w:sz="4" w:space="0"/>
            </w:tcBorders>
          </w:tcPr>
          <w:p w14:paraId="2555A0EF">
            <w:pPr>
              <w:spacing w:line="360" w:lineRule="auto"/>
              <w:jc w:val="center"/>
              <w:rPr>
                <w:rFonts w:hint="eastAsia" w:ascii="宋体" w:hAnsi="宋体" w:eastAsia="宋体" w:cs="宋体"/>
                <w:color w:val="auto"/>
                <w:szCs w:val="21"/>
                <w:highlight w:val="none"/>
              </w:rPr>
            </w:pPr>
          </w:p>
          <w:p w14:paraId="7BA9370F">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▲验收要求</w:t>
            </w:r>
          </w:p>
        </w:tc>
        <w:tc>
          <w:tcPr>
            <w:tcW w:w="7342" w:type="dxa"/>
            <w:gridSpan w:val="3"/>
            <w:tcBorders>
              <w:top w:val="single" w:color="auto" w:sz="4" w:space="0"/>
              <w:left w:val="single" w:color="auto" w:sz="4" w:space="0"/>
              <w:bottom w:val="single" w:color="auto" w:sz="4" w:space="0"/>
              <w:right w:val="single" w:color="auto" w:sz="4" w:space="0"/>
            </w:tcBorders>
          </w:tcPr>
          <w:p w14:paraId="74F8F0BC">
            <w:pPr>
              <w:tabs>
                <w:tab w:val="left" w:pos="180"/>
                <w:tab w:val="left" w:pos="1620"/>
              </w:tabs>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1.项目验收：在项目结束后进行。</w:t>
            </w:r>
          </w:p>
          <w:p w14:paraId="35F817AD">
            <w:pPr>
              <w:tabs>
                <w:tab w:val="left" w:pos="180"/>
                <w:tab w:val="left" w:pos="1620"/>
              </w:tabs>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2.验收标准：按国家相关标准、行业标准、地方标准或者其他标准、规范，及采购需求规定的要求。项目验收时由采购</w:t>
            </w:r>
            <w:r>
              <w:rPr>
                <w:rFonts w:hint="eastAsia" w:ascii="宋体" w:hAnsi="宋体" w:eastAsia="宋体" w:cs="宋体"/>
                <w:color w:val="auto"/>
                <w:szCs w:val="21"/>
                <w:highlight w:val="none"/>
                <w:lang w:val="en-US" w:eastAsia="zh-CN"/>
              </w:rPr>
              <w:t>人</w:t>
            </w:r>
            <w:r>
              <w:rPr>
                <w:rFonts w:hint="eastAsia" w:ascii="宋体" w:hAnsi="宋体" w:eastAsia="宋体" w:cs="宋体"/>
                <w:color w:val="auto"/>
                <w:szCs w:val="21"/>
                <w:highlight w:val="none"/>
              </w:rPr>
              <w:t>或采购</w:t>
            </w:r>
            <w:r>
              <w:rPr>
                <w:rFonts w:hint="eastAsia" w:ascii="宋体" w:hAnsi="宋体" w:eastAsia="宋体" w:cs="宋体"/>
                <w:color w:val="auto"/>
                <w:szCs w:val="21"/>
                <w:highlight w:val="none"/>
                <w:lang w:val="en-US" w:eastAsia="zh-CN"/>
              </w:rPr>
              <w:t>人</w:t>
            </w:r>
            <w:r>
              <w:rPr>
                <w:rFonts w:hint="eastAsia" w:ascii="宋体" w:hAnsi="宋体" w:eastAsia="宋体" w:cs="宋体"/>
                <w:color w:val="auto"/>
                <w:szCs w:val="21"/>
                <w:highlight w:val="none"/>
              </w:rPr>
              <w:t>委托的第三方验收小组对照</w:t>
            </w:r>
            <w:r>
              <w:rPr>
                <w:rFonts w:hint="eastAsia" w:ascii="宋体" w:hAnsi="宋体" w:eastAsia="宋体" w:cs="宋体"/>
                <w:color w:val="auto"/>
                <w:szCs w:val="21"/>
                <w:highlight w:val="none"/>
                <w:lang w:val="en-US" w:eastAsia="zh-CN"/>
              </w:rPr>
              <w:t>采购</w:t>
            </w:r>
            <w:r>
              <w:rPr>
                <w:rFonts w:hint="eastAsia" w:ascii="宋体" w:hAnsi="宋体" w:eastAsia="宋体" w:cs="宋体"/>
                <w:color w:val="auto"/>
                <w:szCs w:val="21"/>
                <w:highlight w:val="none"/>
              </w:rPr>
              <w:t>文件</w:t>
            </w:r>
            <w:r>
              <w:rPr>
                <w:rFonts w:hint="eastAsia" w:ascii="宋体" w:hAnsi="宋体" w:eastAsia="宋体" w:cs="宋体"/>
                <w:color w:val="auto"/>
                <w:szCs w:val="21"/>
                <w:highlight w:val="none"/>
                <w:lang w:val="en-US" w:eastAsia="zh-CN"/>
              </w:rPr>
              <w:t>要求</w:t>
            </w:r>
            <w:r>
              <w:rPr>
                <w:rFonts w:hint="eastAsia" w:ascii="宋体" w:hAnsi="宋体" w:eastAsia="宋体" w:cs="宋体"/>
                <w:color w:val="auto"/>
                <w:szCs w:val="21"/>
                <w:highlight w:val="none"/>
              </w:rPr>
              <w:t>及</w:t>
            </w:r>
            <w:r>
              <w:rPr>
                <w:rFonts w:hint="eastAsia" w:ascii="宋体" w:hAnsi="宋体" w:eastAsia="宋体" w:cs="宋体"/>
                <w:color w:val="auto"/>
                <w:szCs w:val="21"/>
                <w:highlight w:val="none"/>
                <w:lang w:val="en-US" w:eastAsia="zh-CN"/>
              </w:rPr>
              <w:t>投标</w:t>
            </w:r>
            <w:r>
              <w:rPr>
                <w:rFonts w:hint="eastAsia" w:ascii="宋体" w:hAnsi="宋体" w:eastAsia="宋体" w:cs="宋体"/>
                <w:color w:val="auto"/>
                <w:szCs w:val="21"/>
                <w:highlight w:val="none"/>
              </w:rPr>
              <w:t>文件中的</w:t>
            </w:r>
            <w:r>
              <w:rPr>
                <w:rFonts w:hint="eastAsia" w:ascii="宋体" w:hAnsi="宋体" w:eastAsia="宋体" w:cs="宋体"/>
                <w:color w:val="auto"/>
                <w:szCs w:val="21"/>
                <w:highlight w:val="none"/>
                <w:lang w:val="en-US" w:eastAsia="zh-CN"/>
              </w:rPr>
              <w:t>响应承诺</w:t>
            </w:r>
            <w:r>
              <w:rPr>
                <w:rFonts w:hint="eastAsia" w:ascii="宋体" w:hAnsi="宋体" w:eastAsia="宋体" w:cs="宋体"/>
                <w:color w:val="auto"/>
                <w:szCs w:val="21"/>
                <w:highlight w:val="none"/>
              </w:rPr>
              <w:t>进行验收</w:t>
            </w:r>
            <w:r>
              <w:rPr>
                <w:rFonts w:hint="eastAsia" w:ascii="宋体" w:hAnsi="宋体" w:eastAsia="宋体" w:cs="宋体"/>
                <w:color w:val="auto"/>
                <w:kern w:val="0"/>
                <w:szCs w:val="21"/>
                <w:highlight w:val="none"/>
              </w:rPr>
              <w:t>。</w:t>
            </w:r>
          </w:p>
          <w:p w14:paraId="12A8E74E">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3.验收过程中所产生的一切费用均由中标供应商承担，报价时应考虑相关费用。</w:t>
            </w:r>
          </w:p>
        </w:tc>
      </w:tr>
      <w:tr w14:paraId="5A41E0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8" w:hRule="atLeast"/>
        </w:trPr>
        <w:tc>
          <w:tcPr>
            <w:tcW w:w="2322" w:type="dxa"/>
            <w:gridSpan w:val="3"/>
            <w:tcBorders>
              <w:top w:val="single" w:color="auto" w:sz="4" w:space="0"/>
              <w:left w:val="single" w:color="auto" w:sz="4" w:space="0"/>
              <w:bottom w:val="single" w:color="auto" w:sz="4" w:space="0"/>
              <w:right w:val="single" w:color="auto" w:sz="4" w:space="0"/>
            </w:tcBorders>
            <w:vAlign w:val="center"/>
          </w:tcPr>
          <w:p w14:paraId="735EA60F">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▲付款方式</w:t>
            </w:r>
          </w:p>
        </w:tc>
        <w:tc>
          <w:tcPr>
            <w:tcW w:w="7342" w:type="dxa"/>
            <w:gridSpan w:val="3"/>
            <w:tcBorders>
              <w:top w:val="single" w:color="auto" w:sz="4" w:space="0"/>
              <w:left w:val="single" w:color="auto" w:sz="4" w:space="0"/>
              <w:bottom w:val="single" w:color="auto" w:sz="4" w:space="0"/>
              <w:right w:val="single" w:color="auto" w:sz="4" w:space="0"/>
            </w:tcBorders>
          </w:tcPr>
          <w:p w14:paraId="39EAA9F2">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签订合同且本项目财政资金到位后10个工作日内，甲方向乙方支付合同总金额的50%预付款；乙方根据项目进度向甲方申请进度款，进度款不超过合同总金额的45%；剩余款项待项目验收合格且本项目财政资金到位后10个工作日内一次性支付完毕。</w:t>
            </w:r>
          </w:p>
        </w:tc>
      </w:tr>
      <w:tr w14:paraId="0EB35E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8" w:hRule="atLeast"/>
        </w:trPr>
        <w:tc>
          <w:tcPr>
            <w:tcW w:w="2322" w:type="dxa"/>
            <w:gridSpan w:val="3"/>
            <w:tcBorders>
              <w:top w:val="single" w:color="auto" w:sz="4" w:space="0"/>
              <w:left w:val="single" w:color="auto" w:sz="4" w:space="0"/>
              <w:bottom w:val="single" w:color="auto" w:sz="4" w:space="0"/>
              <w:right w:val="single" w:color="auto" w:sz="4" w:space="0"/>
            </w:tcBorders>
            <w:vAlign w:val="center"/>
          </w:tcPr>
          <w:p w14:paraId="0065931E">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其他要求</w:t>
            </w:r>
          </w:p>
        </w:tc>
        <w:tc>
          <w:tcPr>
            <w:tcW w:w="7342" w:type="dxa"/>
            <w:gridSpan w:val="3"/>
            <w:tcBorders>
              <w:top w:val="single" w:color="auto" w:sz="4" w:space="0"/>
              <w:left w:val="single" w:color="auto" w:sz="4" w:space="0"/>
              <w:bottom w:val="single" w:color="auto" w:sz="4" w:space="0"/>
              <w:right w:val="single" w:color="auto" w:sz="4" w:space="0"/>
            </w:tcBorders>
          </w:tcPr>
          <w:p w14:paraId="67860F73">
            <w:pPr>
              <w:keepNext w:val="0"/>
              <w:keepLines w:val="0"/>
              <w:pageBreakBefore w:val="0"/>
              <w:widowControl/>
              <w:shd w:val="clear" w:color="auto" w:fill="FFFFFF"/>
              <w:kinsoku/>
              <w:wordWrap/>
              <w:overflowPunct/>
              <w:topLinePunct w:val="0"/>
              <w:bidi w:val="0"/>
              <w:adjustRightInd/>
              <w:snapToGrid/>
              <w:spacing w:after="0" w:line="380" w:lineRule="exact"/>
              <w:ind w:firstLine="420" w:firstLineChars="200"/>
              <w:textAlignment w:val="auto"/>
              <w:rPr>
                <w:rFonts w:hint="eastAsia" w:ascii="宋体" w:hAnsi="宋体" w:eastAsia="宋体" w:cs="宋体"/>
                <w:bCs w:val="0"/>
                <w:color w:val="auto"/>
                <w:sz w:val="21"/>
                <w:szCs w:val="21"/>
                <w:highlight w:val="none"/>
                <w:lang w:val="en-US" w:eastAsia="zh-CN"/>
              </w:rPr>
            </w:pPr>
            <w:r>
              <w:rPr>
                <w:rFonts w:hint="eastAsia" w:ascii="宋体" w:hAnsi="宋体" w:eastAsia="宋体" w:cs="宋体"/>
                <w:bCs w:val="0"/>
                <w:color w:val="auto"/>
                <w:sz w:val="21"/>
                <w:szCs w:val="21"/>
                <w:highlight w:val="none"/>
                <w:lang w:val="en-US" w:eastAsia="zh-CN"/>
              </w:rPr>
              <w:t>1.</w:t>
            </w:r>
            <w:r>
              <w:rPr>
                <w:rFonts w:hint="eastAsia" w:ascii="宋体" w:hAnsi="宋体" w:eastAsia="宋体" w:cs="宋体"/>
                <w:bCs w:val="0"/>
                <w:color w:val="auto"/>
                <w:sz w:val="21"/>
                <w:szCs w:val="21"/>
                <w:highlight w:val="none"/>
              </w:rPr>
              <w:t>采购人在中华人民共和国境内使用供应商提供的服务时免受第三方提出的侵犯其专利权或其它知识产权的起诉。如果第三方提出侵权指控，</w:t>
            </w:r>
            <w:r>
              <w:rPr>
                <w:rFonts w:hint="eastAsia" w:ascii="宋体" w:hAnsi="宋体" w:eastAsia="宋体" w:cs="宋体"/>
                <w:bCs w:val="0"/>
                <w:color w:val="auto"/>
                <w:sz w:val="21"/>
                <w:szCs w:val="21"/>
                <w:highlight w:val="none"/>
                <w:lang w:eastAsia="zh-CN"/>
              </w:rPr>
              <w:t>中标</w:t>
            </w:r>
            <w:r>
              <w:rPr>
                <w:rFonts w:hint="eastAsia" w:ascii="宋体" w:hAnsi="宋体" w:eastAsia="宋体" w:cs="宋体"/>
                <w:bCs w:val="0"/>
                <w:color w:val="auto"/>
                <w:sz w:val="21"/>
                <w:szCs w:val="21"/>
                <w:highlight w:val="none"/>
                <w:lang w:val="en-US" w:eastAsia="zh-CN"/>
              </w:rPr>
              <w:t>供应商</w:t>
            </w:r>
            <w:r>
              <w:rPr>
                <w:rFonts w:hint="eastAsia" w:ascii="宋体" w:hAnsi="宋体" w:eastAsia="宋体" w:cs="宋体"/>
                <w:bCs w:val="0"/>
                <w:color w:val="auto"/>
                <w:sz w:val="21"/>
                <w:szCs w:val="21"/>
                <w:highlight w:val="none"/>
              </w:rPr>
              <w:t>应承担由此而引起的一切法律责任和费用。</w:t>
            </w:r>
          </w:p>
          <w:p w14:paraId="409B2F70">
            <w:pPr>
              <w:keepNext w:val="0"/>
              <w:keepLines w:val="0"/>
              <w:pageBreakBefore w:val="0"/>
              <w:widowControl/>
              <w:shd w:val="clear" w:color="auto" w:fill="FFFFFF"/>
              <w:kinsoku/>
              <w:wordWrap/>
              <w:overflowPunct/>
              <w:topLinePunct w:val="0"/>
              <w:bidi w:val="0"/>
              <w:adjustRightInd/>
              <w:snapToGrid/>
              <w:spacing w:after="0" w:line="380" w:lineRule="exact"/>
              <w:ind w:firstLine="420" w:firstLineChars="200"/>
              <w:textAlignment w:val="auto"/>
              <w:rPr>
                <w:rFonts w:hint="eastAsia" w:ascii="宋体" w:hAnsi="宋体" w:eastAsia="宋体" w:cs="宋体"/>
                <w:bCs w:val="0"/>
                <w:color w:val="auto"/>
                <w:sz w:val="21"/>
                <w:szCs w:val="21"/>
                <w:highlight w:val="none"/>
                <w:lang w:val="en-US" w:eastAsia="zh-CN"/>
              </w:rPr>
            </w:pPr>
            <w:r>
              <w:rPr>
                <w:rFonts w:hint="eastAsia" w:ascii="宋体" w:hAnsi="宋体" w:eastAsia="宋体" w:cs="宋体"/>
                <w:bCs w:val="0"/>
                <w:color w:val="auto"/>
                <w:sz w:val="21"/>
                <w:szCs w:val="21"/>
                <w:highlight w:val="none"/>
                <w:lang w:val="en-US" w:eastAsia="zh-CN"/>
              </w:rPr>
              <w:t>2.</w:t>
            </w:r>
            <w:r>
              <w:rPr>
                <w:rFonts w:hint="eastAsia" w:ascii="宋体" w:hAnsi="宋体" w:eastAsia="宋体" w:cs="宋体"/>
                <w:bCs w:val="0"/>
                <w:color w:val="auto"/>
                <w:sz w:val="21"/>
                <w:szCs w:val="21"/>
                <w:highlight w:val="none"/>
              </w:rPr>
              <w:t>本项目所采购服务如需执行国家相关标准、行业标准、地方标准或其他强制性标准、规范</w:t>
            </w:r>
            <w:r>
              <w:rPr>
                <w:rFonts w:hint="eastAsia" w:ascii="宋体" w:hAnsi="宋体" w:eastAsia="宋体" w:cs="宋体"/>
                <w:bCs w:val="0"/>
                <w:color w:val="auto"/>
                <w:sz w:val="21"/>
                <w:szCs w:val="21"/>
                <w:highlight w:val="none"/>
                <w:lang w:val="en-US" w:eastAsia="zh-CN"/>
              </w:rPr>
              <w:t>的</w:t>
            </w:r>
            <w:r>
              <w:rPr>
                <w:rFonts w:hint="eastAsia" w:ascii="宋体" w:hAnsi="宋体" w:eastAsia="宋体" w:cs="宋体"/>
                <w:bCs w:val="0"/>
                <w:color w:val="auto"/>
                <w:sz w:val="21"/>
                <w:szCs w:val="21"/>
                <w:highlight w:val="none"/>
              </w:rPr>
              <w:t>，应执行。</w:t>
            </w:r>
          </w:p>
          <w:p w14:paraId="096B8405">
            <w:pPr>
              <w:pStyle w:val="135"/>
              <w:tabs>
                <w:tab w:val="left" w:pos="319"/>
              </w:tabs>
              <w:spacing w:before="119"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bCs w:val="0"/>
                <w:color w:val="auto"/>
                <w:sz w:val="21"/>
                <w:szCs w:val="21"/>
                <w:highlight w:val="none"/>
                <w:lang w:val="en-US" w:eastAsia="zh-CN"/>
              </w:rPr>
              <w:t>3.未尽事宜参照《关于印发广西壮族自治区政府采购项目履约验收管理办法的通知》[桂财采〔2015〕22 号]以及《财政部关于进一步加强政府采购需求和履约验收管理的指导意见》[财库〔2016〕205 号]规定执行。</w:t>
            </w:r>
          </w:p>
        </w:tc>
      </w:tr>
    </w:tbl>
    <w:p w14:paraId="597B9A9F">
      <w:pPr>
        <w:rPr>
          <w:rFonts w:hint="eastAsia" w:ascii="宋体" w:hAnsi="宋体" w:eastAsia="宋体" w:cs="宋体"/>
          <w:b/>
          <w:bCs/>
          <w:color w:val="auto"/>
          <w:sz w:val="24"/>
          <w:highlight w:val="none"/>
        </w:rPr>
      </w:pPr>
    </w:p>
    <w:p w14:paraId="2BBCB18E">
      <w:pPr>
        <w:jc w:val="left"/>
        <w:rPr>
          <w:rFonts w:hint="eastAsia" w:ascii="宋体" w:hAnsi="宋体" w:eastAsia="宋体" w:cs="宋体"/>
          <w:b/>
          <w:bCs/>
          <w:color w:val="auto"/>
          <w:kern w:val="0"/>
          <w:sz w:val="32"/>
          <w:szCs w:val="32"/>
          <w:highlight w:val="none"/>
        </w:rPr>
      </w:pPr>
    </w:p>
    <w:tbl>
      <w:tblPr>
        <w:tblStyle w:val="61"/>
        <w:tblW w:w="966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89"/>
        <w:gridCol w:w="1341"/>
        <w:gridCol w:w="492"/>
        <w:gridCol w:w="348"/>
        <w:gridCol w:w="780"/>
        <w:gridCol w:w="6214"/>
      </w:tblGrid>
      <w:tr w14:paraId="39659B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8" w:hRule="atLeast"/>
        </w:trPr>
        <w:tc>
          <w:tcPr>
            <w:tcW w:w="9664" w:type="dxa"/>
            <w:gridSpan w:val="6"/>
            <w:tcBorders>
              <w:top w:val="single" w:color="auto" w:sz="4" w:space="0"/>
              <w:left w:val="single" w:color="auto" w:sz="4" w:space="0"/>
              <w:bottom w:val="single" w:color="auto" w:sz="4" w:space="0"/>
              <w:right w:val="single" w:color="auto" w:sz="4" w:space="0"/>
            </w:tcBorders>
            <w:vAlign w:val="center"/>
          </w:tcPr>
          <w:p w14:paraId="52674943">
            <w:pPr>
              <w:tabs>
                <w:tab w:val="left" w:pos="180"/>
                <w:tab w:val="left" w:pos="1620"/>
              </w:tabs>
              <w:spacing w:line="360" w:lineRule="auto"/>
              <w:jc w:val="center"/>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采购需求一览表</w:t>
            </w:r>
          </w:p>
        </w:tc>
      </w:tr>
      <w:tr w14:paraId="22CC08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9" w:hRule="atLeast"/>
        </w:trPr>
        <w:tc>
          <w:tcPr>
            <w:tcW w:w="9664" w:type="dxa"/>
            <w:gridSpan w:val="6"/>
            <w:tcBorders>
              <w:top w:val="single" w:color="auto" w:sz="4" w:space="0"/>
              <w:left w:val="single" w:color="auto" w:sz="4" w:space="0"/>
              <w:bottom w:val="single" w:color="auto" w:sz="4" w:space="0"/>
              <w:right w:val="single" w:color="auto" w:sz="4" w:space="0"/>
            </w:tcBorders>
            <w:vAlign w:val="center"/>
          </w:tcPr>
          <w:p w14:paraId="30733D54">
            <w:pPr>
              <w:tabs>
                <w:tab w:val="left" w:pos="180"/>
                <w:tab w:val="left" w:pos="1620"/>
              </w:tabs>
              <w:spacing w:line="360" w:lineRule="auto"/>
              <w:jc w:val="center"/>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分标2</w:t>
            </w:r>
          </w:p>
        </w:tc>
      </w:tr>
      <w:tr w14:paraId="0FCB50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4" w:hRule="atLeast"/>
        </w:trPr>
        <w:tc>
          <w:tcPr>
            <w:tcW w:w="489" w:type="dxa"/>
            <w:tcBorders>
              <w:top w:val="single" w:color="auto" w:sz="4" w:space="0"/>
            </w:tcBorders>
            <w:vAlign w:val="center"/>
          </w:tcPr>
          <w:p w14:paraId="459B9BEC">
            <w:pPr>
              <w:tabs>
                <w:tab w:val="left" w:pos="180"/>
                <w:tab w:val="left" w:pos="1620"/>
              </w:tabs>
              <w:spacing w:line="360" w:lineRule="auto"/>
              <w:jc w:val="center"/>
              <w:rPr>
                <w:rFonts w:hint="eastAsia" w:ascii="宋体" w:hAnsi="宋体" w:eastAsia="宋体" w:cs="宋体"/>
                <w:b/>
                <w:bCs/>
                <w:color w:val="auto"/>
                <w:szCs w:val="21"/>
                <w:highlight w:val="none"/>
                <w:lang w:eastAsia="zh-CN"/>
              </w:rPr>
            </w:pPr>
            <w:r>
              <w:rPr>
                <w:rFonts w:hint="eastAsia" w:ascii="宋体" w:hAnsi="宋体" w:eastAsia="宋体" w:cs="宋体"/>
                <w:b/>
                <w:bCs/>
                <w:color w:val="auto"/>
                <w:szCs w:val="21"/>
                <w:highlight w:val="none"/>
                <w:lang w:val="en-US" w:eastAsia="zh-CN"/>
              </w:rPr>
              <w:t>序号</w:t>
            </w:r>
          </w:p>
        </w:tc>
        <w:tc>
          <w:tcPr>
            <w:tcW w:w="1341" w:type="dxa"/>
            <w:tcBorders>
              <w:top w:val="single" w:color="auto" w:sz="4" w:space="0"/>
            </w:tcBorders>
            <w:vAlign w:val="center"/>
          </w:tcPr>
          <w:p w14:paraId="05BBE71F">
            <w:pPr>
              <w:tabs>
                <w:tab w:val="left" w:pos="180"/>
                <w:tab w:val="left" w:pos="1620"/>
              </w:tabs>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标的名称</w:t>
            </w:r>
          </w:p>
        </w:tc>
        <w:tc>
          <w:tcPr>
            <w:tcW w:w="840" w:type="dxa"/>
            <w:gridSpan w:val="2"/>
            <w:tcBorders>
              <w:top w:val="single" w:color="auto" w:sz="4" w:space="0"/>
            </w:tcBorders>
            <w:vAlign w:val="center"/>
          </w:tcPr>
          <w:p w14:paraId="45BD241E">
            <w:pPr>
              <w:tabs>
                <w:tab w:val="left" w:pos="180"/>
                <w:tab w:val="left" w:pos="1620"/>
              </w:tabs>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数量</w:t>
            </w:r>
          </w:p>
        </w:tc>
        <w:tc>
          <w:tcPr>
            <w:tcW w:w="780" w:type="dxa"/>
            <w:tcBorders>
              <w:top w:val="single" w:color="auto" w:sz="4" w:space="0"/>
            </w:tcBorders>
            <w:vAlign w:val="center"/>
          </w:tcPr>
          <w:p w14:paraId="1E377B50">
            <w:pPr>
              <w:tabs>
                <w:tab w:val="left" w:pos="180"/>
                <w:tab w:val="left" w:pos="1620"/>
              </w:tabs>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单位</w:t>
            </w:r>
          </w:p>
        </w:tc>
        <w:tc>
          <w:tcPr>
            <w:tcW w:w="6214" w:type="dxa"/>
            <w:tcBorders>
              <w:top w:val="single" w:color="auto" w:sz="4" w:space="0"/>
            </w:tcBorders>
            <w:vAlign w:val="center"/>
          </w:tcPr>
          <w:p w14:paraId="5630C24B">
            <w:pPr>
              <w:tabs>
                <w:tab w:val="left" w:pos="180"/>
                <w:tab w:val="left" w:pos="1620"/>
              </w:tabs>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采购需求</w:t>
            </w:r>
          </w:p>
        </w:tc>
      </w:tr>
      <w:tr w14:paraId="23A252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8" w:hRule="atLeast"/>
        </w:trPr>
        <w:tc>
          <w:tcPr>
            <w:tcW w:w="489" w:type="dxa"/>
            <w:vAlign w:val="center"/>
          </w:tcPr>
          <w:p w14:paraId="4B5A6E3B">
            <w:pPr>
              <w:pStyle w:val="196"/>
              <w:spacing w:line="360" w:lineRule="auto"/>
              <w:ind w:left="0" w:leftChars="0" w:firstLine="0" w:firstLineChars="0"/>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1</w:t>
            </w:r>
          </w:p>
        </w:tc>
        <w:tc>
          <w:tcPr>
            <w:tcW w:w="1341" w:type="dxa"/>
            <w:vAlign w:val="center"/>
          </w:tcPr>
          <w:p w14:paraId="25AFAA68">
            <w:pPr>
              <w:spacing w:line="360" w:lineRule="auto"/>
              <w:jc w:val="center"/>
              <w:rPr>
                <w:rFonts w:hint="eastAsia" w:ascii="宋体" w:hAnsi="宋体" w:eastAsia="宋体" w:cs="宋体"/>
                <w:b/>
                <w:bCs/>
                <w:color w:val="auto"/>
                <w:szCs w:val="21"/>
                <w:highlight w:val="none"/>
              </w:rPr>
            </w:pPr>
            <w:r>
              <w:rPr>
                <w:rFonts w:hint="eastAsia" w:ascii="宋体" w:hAnsi="宋体" w:eastAsia="宋体" w:cs="宋体"/>
                <w:color w:val="auto"/>
                <w:kern w:val="0"/>
                <w:szCs w:val="21"/>
                <w:highlight w:val="none"/>
              </w:rPr>
              <w:t>滩涂环境清理</w:t>
            </w:r>
          </w:p>
        </w:tc>
        <w:tc>
          <w:tcPr>
            <w:tcW w:w="840" w:type="dxa"/>
            <w:gridSpan w:val="2"/>
            <w:vAlign w:val="center"/>
          </w:tcPr>
          <w:p w14:paraId="607AC479">
            <w:pPr>
              <w:widowControl/>
              <w:adjustRightInd w:val="0"/>
              <w:snapToGrid w:val="0"/>
              <w:spacing w:line="336" w:lineRule="auto"/>
              <w:jc w:val="center"/>
              <w:rPr>
                <w:rFonts w:hint="eastAsia" w:ascii="宋体" w:hAnsi="宋体" w:eastAsia="宋体" w:cs="宋体"/>
                <w:b/>
                <w:bCs/>
                <w:color w:val="auto"/>
                <w:szCs w:val="21"/>
                <w:highlight w:val="none"/>
              </w:rPr>
            </w:pPr>
            <w:r>
              <w:rPr>
                <w:rFonts w:hint="eastAsia" w:ascii="宋体" w:hAnsi="宋体" w:eastAsia="宋体" w:cs="宋体"/>
                <w:color w:val="auto"/>
                <w:kern w:val="0"/>
                <w:szCs w:val="21"/>
                <w:highlight w:val="none"/>
              </w:rPr>
              <w:t>1</w:t>
            </w:r>
          </w:p>
        </w:tc>
        <w:tc>
          <w:tcPr>
            <w:tcW w:w="780" w:type="dxa"/>
            <w:vAlign w:val="center"/>
          </w:tcPr>
          <w:p w14:paraId="0791511A">
            <w:pPr>
              <w:widowControl/>
              <w:adjustRightInd w:val="0"/>
              <w:snapToGrid w:val="0"/>
              <w:spacing w:line="336" w:lineRule="auto"/>
              <w:jc w:val="center"/>
              <w:rPr>
                <w:rFonts w:hint="eastAsia" w:ascii="宋体" w:hAnsi="宋体" w:eastAsia="宋体" w:cs="宋体"/>
                <w:b/>
                <w:bCs/>
                <w:color w:val="auto"/>
                <w:szCs w:val="21"/>
                <w:highlight w:val="none"/>
              </w:rPr>
            </w:pPr>
            <w:r>
              <w:rPr>
                <w:rFonts w:hint="eastAsia" w:ascii="宋体" w:hAnsi="宋体" w:eastAsia="宋体" w:cs="宋体"/>
                <w:color w:val="auto"/>
                <w:kern w:val="0"/>
                <w:szCs w:val="21"/>
                <w:highlight w:val="none"/>
              </w:rPr>
              <w:t>项</w:t>
            </w:r>
          </w:p>
        </w:tc>
        <w:tc>
          <w:tcPr>
            <w:tcW w:w="6214" w:type="dxa"/>
            <w:vAlign w:val="center"/>
          </w:tcPr>
          <w:p w14:paraId="6BCB8CA6">
            <w:pPr>
              <w:pStyle w:val="135"/>
              <w:tabs>
                <w:tab w:val="left" w:pos="319"/>
              </w:tabs>
              <w:spacing w:before="119" w:line="360" w:lineRule="auto"/>
              <w:ind w:firstLine="420" w:firstLineChars="200"/>
              <w:rPr>
                <w:rFonts w:hint="eastAsia" w:ascii="宋体" w:hAnsi="宋体" w:eastAsia="宋体" w:cs="宋体"/>
                <w:b/>
                <w:bCs/>
                <w:color w:val="auto"/>
                <w:sz w:val="21"/>
                <w:szCs w:val="21"/>
                <w:highlight w:val="none"/>
                <w:lang w:val="en-US" w:eastAsia="zh-CN"/>
              </w:rPr>
            </w:pPr>
            <w:r>
              <w:rPr>
                <w:rFonts w:hint="eastAsia" w:ascii="宋体" w:hAnsi="宋体" w:eastAsia="宋体" w:cs="宋体"/>
                <w:bCs w:val="0"/>
                <w:color w:val="auto"/>
                <w:sz w:val="21"/>
                <w:szCs w:val="21"/>
                <w:highlight w:val="none"/>
                <w:lang w:val="en-US" w:eastAsia="zh-CN"/>
              </w:rPr>
              <w:t xml:space="preserve"> 在整合优化后的山口保护区的廉州湾片区（新田村、渔江村和莫屋村）等8.22公里岸线滩涂进行清理，对海岸海洋漂浮物进行清理及外运，清理鱼箔、地龙网、高压水枪抽沙虫，“ 三无”船只等。</w:t>
            </w:r>
          </w:p>
          <w:p w14:paraId="510E45EC">
            <w:pPr>
              <w:pStyle w:val="135"/>
              <w:tabs>
                <w:tab w:val="left" w:pos="319"/>
              </w:tabs>
              <w:spacing w:before="119" w:line="360" w:lineRule="auto"/>
              <w:ind w:firstLine="422" w:firstLineChars="200"/>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 xml:space="preserve"> （1）调查方式及位置</w:t>
            </w:r>
          </w:p>
          <w:p w14:paraId="1F5AB808">
            <w:pPr>
              <w:pStyle w:val="135"/>
              <w:tabs>
                <w:tab w:val="left" w:pos="319"/>
              </w:tabs>
              <w:spacing w:before="119" w:line="360" w:lineRule="auto"/>
              <w:ind w:firstLine="420" w:firstLineChars="200"/>
              <w:rPr>
                <w:rFonts w:hint="eastAsia" w:ascii="宋体" w:hAnsi="宋体" w:eastAsia="宋体" w:cs="宋体"/>
                <w:bCs w:val="0"/>
                <w:color w:val="auto"/>
                <w:sz w:val="21"/>
                <w:szCs w:val="21"/>
                <w:highlight w:val="none"/>
                <w:lang w:val="en-US" w:eastAsia="zh-CN"/>
              </w:rPr>
            </w:pPr>
            <w:r>
              <w:rPr>
                <w:rFonts w:hint="eastAsia" w:ascii="宋体" w:hAnsi="宋体" w:eastAsia="宋体" w:cs="宋体"/>
                <w:bCs w:val="0"/>
                <w:color w:val="auto"/>
                <w:sz w:val="21"/>
                <w:szCs w:val="21"/>
                <w:highlight w:val="none"/>
                <w:lang w:val="en-US" w:eastAsia="zh-CN"/>
              </w:rPr>
              <w:t>利用管理中心智能化远程监控平台系统，采用高分辨率无人机航拍结合人工踏查，对岸线滩涂的海洋漂浮物堆积、鱼箔、“ 三无”船只、地龙网、抽沙虫等情况进行调查和评估。根据调查结果，施工方制定具体的清理计划，包括清理区域、清理方式、拆解运输设备、人员配置、工作时间等。</w:t>
            </w:r>
          </w:p>
          <w:p w14:paraId="004A88B6">
            <w:pPr>
              <w:pStyle w:val="135"/>
              <w:tabs>
                <w:tab w:val="left" w:pos="319"/>
              </w:tabs>
              <w:spacing w:before="119" w:line="360" w:lineRule="auto"/>
              <w:ind w:firstLine="422" w:firstLineChars="200"/>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（2）清理方式和频率</w:t>
            </w:r>
          </w:p>
          <w:p w14:paraId="79AAC2FE">
            <w:pPr>
              <w:pStyle w:val="135"/>
              <w:tabs>
                <w:tab w:val="left" w:pos="319"/>
              </w:tabs>
              <w:spacing w:before="119" w:line="360" w:lineRule="auto"/>
              <w:ind w:firstLine="420" w:firstLineChars="200"/>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bCs w:val="0"/>
                <w:color w:val="auto"/>
                <w:sz w:val="21"/>
                <w:szCs w:val="21"/>
                <w:highlight w:val="none"/>
                <w:lang w:val="en-US" w:eastAsia="zh-CN"/>
              </w:rPr>
              <w:t>对滩涂环境清理范围内的海洋漂浮物散布情况进行调查，记录其分布点和数量并登记汇总，采用人工清理方式，将散布沿岸滩涂的海洋漂浮物进行清理运送上岸后运至指定场所进行无害处理。对非法鱼箔进行调查，调查其位置，数量并登记汇总。采用人工方式，利用切割器切断鱼箔的支撑结构。收集清理下来的鱼箔，采用船只运输上岸后运至指定场所进行无害处理。登记“ 三无”船只信息，建立档案，联合地方政府职能部门，对查实的“ 三无”船只，依法予以查处，拆除捕捞设备，强制拖离山口保护区。登记地龙网、抽沙虫等信息，建立档案。联合地方政府职能部门，对查实的地龙网、抽沙虫，依法予以查处和拆除，并运至指定场所进</w:t>
            </w:r>
            <w:r>
              <w:rPr>
                <w:rFonts w:hint="eastAsia" w:ascii="宋体" w:hAnsi="宋体" w:eastAsia="宋体" w:cs="宋体"/>
                <w:i w:val="0"/>
                <w:iCs w:val="0"/>
                <w:color w:val="auto"/>
                <w:sz w:val="21"/>
                <w:szCs w:val="21"/>
                <w:highlight w:val="none"/>
                <w:u w:val="none"/>
                <w:lang w:val="en-US" w:eastAsia="zh-CN"/>
              </w:rPr>
              <w:t>行处理。要求：垃圾清理合格率大于95%，清理区域无明显可见垃圾。</w:t>
            </w:r>
          </w:p>
          <w:p w14:paraId="47BDDEE3">
            <w:pPr>
              <w:pStyle w:val="135"/>
              <w:tabs>
                <w:tab w:val="left" w:pos="319"/>
              </w:tabs>
              <w:spacing w:before="119" w:line="360" w:lineRule="auto"/>
              <w:ind w:firstLine="420" w:firstLineChars="200"/>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（3）清理需求</w:t>
            </w:r>
          </w:p>
          <w:p w14:paraId="1C1BB1D9">
            <w:pPr>
              <w:pStyle w:val="135"/>
              <w:tabs>
                <w:tab w:val="left" w:pos="319"/>
              </w:tabs>
              <w:spacing w:before="119" w:line="360" w:lineRule="auto"/>
              <w:ind w:firstLine="420" w:firstLineChars="200"/>
              <w:rPr>
                <w:rFonts w:hint="eastAsia" w:ascii="宋体" w:hAnsi="宋体" w:eastAsia="宋体" w:cs="宋体"/>
                <w:b/>
                <w:bCs/>
                <w:color w:val="auto"/>
                <w:sz w:val="21"/>
                <w:szCs w:val="21"/>
                <w:highlight w:val="none"/>
                <w:lang w:val="en-US" w:eastAsia="zh-CN"/>
              </w:rPr>
            </w:pPr>
            <w:r>
              <w:rPr>
                <w:rFonts w:hint="eastAsia" w:ascii="宋体" w:hAnsi="宋体" w:eastAsia="宋体" w:cs="宋体"/>
                <w:i w:val="0"/>
                <w:iCs w:val="0"/>
                <w:color w:val="auto"/>
                <w:sz w:val="21"/>
                <w:szCs w:val="21"/>
                <w:highlight w:val="none"/>
                <w:u w:val="none"/>
                <w:lang w:val="en-US" w:eastAsia="zh-CN"/>
              </w:rPr>
              <w:t>垃圾清理合格率需大于 95%，若合格率未达到标准，须第一时间组织复查整改，优化清理作业频次与流程。所有责任清理区域目视范围内无明显可见垃圾，不得遗留塑料袋、饮料瓶、枯枝杂物、生活垃圾等各类废弃物，杜绝零散垃圾长时间滞留。使用运输车辆转运垃圾过程中，须对所载垃圾开展收方计量工作，如实记录垃圾体积、车次、运输时段、清运区域等相关信息，计量数据留存归档，确保清运量有据可查，计量过程做到客观、真实、完整。</w:t>
            </w:r>
          </w:p>
          <w:p w14:paraId="6CBF3BA3">
            <w:pPr>
              <w:pStyle w:val="135"/>
              <w:tabs>
                <w:tab w:val="left" w:pos="319"/>
              </w:tabs>
              <w:spacing w:before="119" w:line="360" w:lineRule="auto"/>
              <w:ind w:firstLine="422" w:firstLineChars="200"/>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（4）作业人员和机械要求</w:t>
            </w:r>
          </w:p>
          <w:p w14:paraId="1B63FD82">
            <w:pPr>
              <w:pStyle w:val="20"/>
              <w:wordWrap w:val="0"/>
              <w:spacing w:line="360" w:lineRule="exact"/>
              <w:ind w:firstLine="420" w:firstLineChars="200"/>
              <w:jc w:val="both"/>
              <w:rPr>
                <w:rFonts w:hint="eastAsia" w:ascii="宋体" w:hAnsi="宋体" w:eastAsia="宋体" w:cs="宋体"/>
                <w:bCs/>
                <w:color w:val="auto"/>
                <w:kern w:val="0"/>
                <w:szCs w:val="21"/>
                <w:highlight w:val="none"/>
                <w:lang w:val="en-US" w:eastAsia="zh-CN" w:bidi="ar"/>
              </w:rPr>
            </w:pPr>
            <w:r>
              <w:rPr>
                <w:rFonts w:hint="eastAsia" w:ascii="宋体" w:hAnsi="宋体" w:eastAsia="宋体" w:cs="宋体"/>
                <w:bCs/>
                <w:color w:val="auto"/>
                <w:kern w:val="0"/>
                <w:szCs w:val="21"/>
                <w:highlight w:val="none"/>
                <w:lang w:val="en-US" w:eastAsia="zh-CN" w:bidi="ar"/>
              </w:rPr>
              <w:t>1</w:t>
            </w:r>
            <w:r>
              <w:rPr>
                <w:rFonts w:hint="eastAsia" w:ascii="宋体" w:hAnsi="宋体" w:eastAsia="宋体" w:cs="宋体"/>
                <w:bCs/>
                <w:color w:val="auto"/>
                <w:kern w:val="0"/>
                <w:szCs w:val="21"/>
                <w:highlight w:val="none"/>
                <w:lang w:eastAsia="zh-CN" w:bidi="ar"/>
              </w:rPr>
              <w:t>）</w:t>
            </w:r>
            <w:r>
              <w:rPr>
                <w:rFonts w:hint="eastAsia" w:ascii="宋体" w:hAnsi="宋体" w:eastAsia="宋体" w:cs="宋体"/>
                <w:bCs/>
                <w:color w:val="auto"/>
                <w:kern w:val="0"/>
                <w:szCs w:val="21"/>
                <w:highlight w:val="none"/>
                <w:lang w:val="en-US" w:eastAsia="zh-CN" w:bidi="ar"/>
              </w:rPr>
              <w:t>船只要求</w:t>
            </w:r>
          </w:p>
          <w:p w14:paraId="2264E703">
            <w:pPr>
              <w:pStyle w:val="20"/>
              <w:wordWrap w:val="0"/>
              <w:spacing w:line="360" w:lineRule="exact"/>
              <w:ind w:firstLine="420" w:firstLineChars="200"/>
              <w:jc w:val="both"/>
              <w:rPr>
                <w:rFonts w:hint="eastAsia" w:ascii="宋体" w:hAnsi="宋体" w:eastAsia="宋体" w:cs="宋体"/>
                <w:bCs/>
                <w:color w:val="auto"/>
                <w:kern w:val="0"/>
                <w:szCs w:val="21"/>
                <w:highlight w:val="none"/>
                <w:lang w:bidi="ar"/>
              </w:rPr>
            </w:pPr>
            <w:r>
              <w:rPr>
                <w:rFonts w:hint="eastAsia" w:ascii="宋体" w:hAnsi="宋体" w:eastAsia="宋体" w:cs="宋体"/>
                <w:bCs/>
                <w:color w:val="auto"/>
                <w:kern w:val="0"/>
                <w:szCs w:val="21"/>
                <w:highlight w:val="none"/>
                <w:lang w:bidi="ar"/>
              </w:rPr>
              <w:t>1.巡查船只要求：平板船，总功率≥15千瓦，长约7米，宽约2米；配备足够船员及必要的安全设施设备，船员需具备相应资格和能力。包含船只燃油费等。每次出海巡查算作1台班。</w:t>
            </w:r>
          </w:p>
          <w:p w14:paraId="76DFDB78">
            <w:pPr>
              <w:pStyle w:val="20"/>
              <w:wordWrap w:val="0"/>
              <w:spacing w:line="360" w:lineRule="exact"/>
              <w:ind w:firstLine="420" w:firstLineChars="200"/>
              <w:jc w:val="both"/>
              <w:rPr>
                <w:rFonts w:hint="eastAsia" w:ascii="宋体" w:hAnsi="宋体" w:eastAsia="宋体" w:cs="宋体"/>
                <w:bCs/>
                <w:color w:val="auto"/>
                <w:kern w:val="0"/>
                <w:szCs w:val="21"/>
                <w:highlight w:val="none"/>
                <w:lang w:bidi="ar"/>
              </w:rPr>
            </w:pPr>
            <w:r>
              <w:rPr>
                <w:rFonts w:hint="eastAsia" w:ascii="宋体" w:hAnsi="宋体" w:eastAsia="宋体" w:cs="宋体"/>
                <w:bCs/>
                <w:color w:val="auto"/>
                <w:kern w:val="0"/>
                <w:szCs w:val="21"/>
                <w:highlight w:val="none"/>
                <w:lang w:bidi="ar"/>
              </w:rPr>
              <w:t>2.作业船只规格要求：平板船，总功率≥30千瓦，长约15米，宽约4米。配备足够船员及必要的安全设施设备，船员需具备相应资格和能力，从海上实施点运送至码头。每次出海作业且装载足够的废弃物算作1台班。</w:t>
            </w:r>
          </w:p>
          <w:p w14:paraId="0DA74551">
            <w:pPr>
              <w:pStyle w:val="20"/>
              <w:wordWrap w:val="0"/>
              <w:spacing w:line="360" w:lineRule="exact"/>
              <w:ind w:firstLine="420" w:firstLineChars="200"/>
              <w:jc w:val="both"/>
              <w:rPr>
                <w:rFonts w:hint="eastAsia" w:ascii="宋体" w:hAnsi="宋体" w:eastAsia="宋体" w:cs="宋体"/>
                <w:bCs/>
                <w:color w:val="auto"/>
                <w:kern w:val="0"/>
                <w:szCs w:val="21"/>
                <w:highlight w:val="none"/>
                <w:lang w:bidi="ar"/>
              </w:rPr>
            </w:pPr>
            <w:r>
              <w:rPr>
                <w:rFonts w:hint="eastAsia" w:ascii="宋体" w:hAnsi="宋体" w:eastAsia="宋体" w:cs="宋体"/>
                <w:bCs/>
                <w:color w:val="auto"/>
                <w:kern w:val="0"/>
                <w:szCs w:val="21"/>
                <w:highlight w:val="none"/>
                <w:lang w:val="en-US" w:eastAsia="zh-CN" w:bidi="ar"/>
              </w:rPr>
              <w:t>2</w:t>
            </w:r>
            <w:r>
              <w:rPr>
                <w:rFonts w:hint="eastAsia" w:ascii="宋体" w:hAnsi="宋体" w:eastAsia="宋体" w:cs="宋体"/>
                <w:bCs/>
                <w:color w:val="auto"/>
                <w:kern w:val="0"/>
                <w:szCs w:val="21"/>
                <w:highlight w:val="none"/>
                <w:lang w:bidi="ar"/>
              </w:rPr>
              <w:t>）人工要求</w:t>
            </w:r>
          </w:p>
          <w:p w14:paraId="0C71092D">
            <w:pPr>
              <w:pStyle w:val="20"/>
              <w:widowControl/>
              <w:wordWrap w:val="0"/>
              <w:spacing w:line="360" w:lineRule="exact"/>
              <w:ind w:firstLine="420" w:firstLineChars="200"/>
              <w:jc w:val="both"/>
              <w:rPr>
                <w:rFonts w:hint="eastAsia" w:ascii="宋体" w:hAnsi="宋体" w:eastAsia="宋体" w:cs="宋体"/>
                <w:color w:val="auto"/>
                <w:szCs w:val="21"/>
                <w:highlight w:val="none"/>
              </w:rPr>
            </w:pPr>
            <w:r>
              <w:rPr>
                <w:rFonts w:hint="eastAsia" w:ascii="宋体" w:hAnsi="宋体" w:eastAsia="宋体" w:cs="宋体"/>
                <w:bCs/>
                <w:color w:val="auto"/>
                <w:kern w:val="0"/>
                <w:szCs w:val="21"/>
                <w:highlight w:val="none"/>
                <w:lang w:bidi="ar"/>
              </w:rPr>
              <w:t>1.海上作业人工：按要求开展</w:t>
            </w:r>
            <w:r>
              <w:rPr>
                <w:rFonts w:hint="eastAsia" w:ascii="宋体" w:hAnsi="宋体" w:eastAsia="宋体" w:cs="宋体"/>
                <w:color w:val="auto"/>
                <w:szCs w:val="21"/>
                <w:highlight w:val="none"/>
              </w:rPr>
              <w:t>清理鱼箔、地笼网、高压水枪、“三无”船只、养殖设施等工作。</w:t>
            </w:r>
            <w:r>
              <w:rPr>
                <w:rFonts w:hint="eastAsia" w:ascii="宋体" w:hAnsi="宋体" w:eastAsia="宋体" w:cs="宋体"/>
                <w:bCs/>
                <w:color w:val="auto"/>
                <w:kern w:val="0"/>
                <w:szCs w:val="21"/>
                <w:highlight w:val="none"/>
                <w:lang w:bidi="ar"/>
              </w:rPr>
              <w:t>完成采购人指定范围的相关工作量。对拆除鱼箔、“三无”船只、地笼网、高压水枪、养殖设施等产生大量的残留物妥善处理，进行人工拆解、搬运装车和移交相关部门。具备海上作业经验及海上自救能力。年龄不超过60岁。供应商须负责购买其项目人员意外保险。每次实施≥7小时，算作1工日。</w:t>
            </w:r>
          </w:p>
          <w:p w14:paraId="7E370C6B">
            <w:pPr>
              <w:pStyle w:val="20"/>
              <w:wordWrap w:val="0"/>
              <w:spacing w:line="360" w:lineRule="exact"/>
              <w:ind w:firstLine="420" w:firstLineChars="200"/>
              <w:jc w:val="both"/>
              <w:rPr>
                <w:rFonts w:hint="eastAsia" w:ascii="宋体" w:hAnsi="宋体" w:eastAsia="宋体" w:cs="宋体"/>
                <w:bCs/>
                <w:color w:val="auto"/>
                <w:kern w:val="0"/>
                <w:szCs w:val="21"/>
                <w:highlight w:val="none"/>
                <w:lang w:bidi="ar"/>
              </w:rPr>
            </w:pPr>
            <w:r>
              <w:rPr>
                <w:rFonts w:hint="eastAsia" w:ascii="宋体" w:hAnsi="宋体" w:eastAsia="宋体" w:cs="宋体"/>
                <w:bCs/>
                <w:color w:val="auto"/>
                <w:kern w:val="0"/>
                <w:szCs w:val="21"/>
                <w:highlight w:val="none"/>
                <w:lang w:bidi="ar"/>
              </w:rPr>
              <w:t>2.锯手：供应商须自带油锯和燃油等作业工具。按要求开展清理鱼箔、地笼网、高压水枪、“三无”船只等工作。完成采购人指定范围的相关工作量。具备海上作业经验及海上自救能力。年龄不超过60岁。供应商须负责购买其项目人员意外保险。每次实施≥7小时，算作1工日。</w:t>
            </w:r>
          </w:p>
          <w:p w14:paraId="7953CA2B">
            <w:pPr>
              <w:pStyle w:val="20"/>
              <w:wordWrap w:val="0"/>
              <w:spacing w:line="360" w:lineRule="exact"/>
              <w:ind w:firstLine="420" w:firstLineChars="200"/>
              <w:jc w:val="both"/>
              <w:rPr>
                <w:rFonts w:hint="eastAsia" w:ascii="宋体" w:hAnsi="宋体" w:eastAsia="宋体" w:cs="宋体"/>
                <w:bCs/>
                <w:color w:val="auto"/>
                <w:kern w:val="0"/>
                <w:szCs w:val="21"/>
                <w:highlight w:val="none"/>
                <w:lang w:bidi="ar"/>
              </w:rPr>
            </w:pPr>
            <w:r>
              <w:rPr>
                <w:rFonts w:hint="eastAsia" w:ascii="宋体" w:hAnsi="宋体" w:eastAsia="宋体" w:cs="宋体"/>
                <w:bCs/>
                <w:color w:val="auto"/>
                <w:kern w:val="0"/>
                <w:szCs w:val="21"/>
                <w:highlight w:val="none"/>
                <w:lang w:val="en-US" w:eastAsia="zh-CN" w:bidi="ar"/>
              </w:rPr>
              <w:t>3</w:t>
            </w:r>
            <w:r>
              <w:rPr>
                <w:rFonts w:hint="eastAsia" w:ascii="宋体" w:hAnsi="宋体" w:eastAsia="宋体" w:cs="宋体"/>
                <w:bCs/>
                <w:color w:val="auto"/>
                <w:kern w:val="0"/>
                <w:szCs w:val="21"/>
                <w:highlight w:val="none"/>
                <w:lang w:bidi="ar"/>
              </w:rPr>
              <w:t>）运输车辆规格要求：</w:t>
            </w:r>
          </w:p>
          <w:p w14:paraId="371FBB3A">
            <w:pPr>
              <w:pStyle w:val="20"/>
              <w:wordWrap w:val="0"/>
              <w:spacing w:line="360" w:lineRule="exact"/>
              <w:ind w:firstLine="420" w:firstLineChars="200"/>
              <w:jc w:val="both"/>
              <w:rPr>
                <w:rFonts w:hint="eastAsia" w:ascii="宋体" w:hAnsi="宋体" w:eastAsia="宋体" w:cs="宋体"/>
                <w:bCs/>
                <w:color w:val="auto"/>
                <w:kern w:val="0"/>
                <w:szCs w:val="21"/>
                <w:highlight w:val="none"/>
                <w:lang w:bidi="ar"/>
              </w:rPr>
            </w:pPr>
            <w:r>
              <w:rPr>
                <w:rFonts w:hint="eastAsia" w:ascii="宋体" w:hAnsi="宋体" w:eastAsia="宋体" w:cs="宋体"/>
                <w:bCs/>
                <w:color w:val="auto"/>
                <w:kern w:val="0"/>
                <w:szCs w:val="21"/>
                <w:highlight w:val="none"/>
                <w:lang w:bidi="ar"/>
              </w:rPr>
              <w:t>1.中型货车。装载能力约20立方米的货车，常见为</w:t>
            </w:r>
            <w:r>
              <w:rPr>
                <w:rStyle w:val="64"/>
                <w:rFonts w:hint="eastAsia" w:ascii="宋体" w:hAnsi="宋体" w:eastAsia="宋体" w:cs="宋体"/>
                <w:b w:val="0"/>
                <w:bCs/>
                <w:color w:val="auto"/>
                <w:kern w:val="0"/>
                <w:szCs w:val="21"/>
                <w:highlight w:val="none"/>
                <w:lang w:bidi="ar"/>
              </w:rPr>
              <w:t>7.2米的货车</w:t>
            </w:r>
            <w:r>
              <w:rPr>
                <w:rStyle w:val="72"/>
                <w:rFonts w:hint="eastAsia" w:ascii="宋体" w:hAnsi="宋体" w:eastAsia="宋体" w:cs="宋体"/>
                <w:color w:val="auto"/>
                <w:highlight w:val="none"/>
              </w:rPr>
              <w:t>，</w:t>
            </w:r>
            <w:r>
              <w:rPr>
                <w:rFonts w:hint="eastAsia" w:ascii="宋体" w:hAnsi="宋体" w:eastAsia="宋体" w:cs="宋体"/>
                <w:bCs/>
                <w:color w:val="auto"/>
                <w:kern w:val="0"/>
                <w:szCs w:val="21"/>
                <w:highlight w:val="none"/>
                <w:lang w:bidi="ar"/>
              </w:rPr>
              <w:t>运输路程约20千米。每次转运且装载≥20立方废弃物，算作一次台班。</w:t>
            </w:r>
          </w:p>
          <w:p w14:paraId="768EDA5C">
            <w:pPr>
              <w:pStyle w:val="20"/>
              <w:wordWrap w:val="0"/>
              <w:spacing w:line="360" w:lineRule="exact"/>
              <w:ind w:firstLine="420" w:firstLineChars="200"/>
              <w:jc w:val="both"/>
              <w:rPr>
                <w:rFonts w:hint="eastAsia" w:ascii="宋体" w:hAnsi="宋体" w:eastAsia="宋体" w:cs="宋体"/>
                <w:bCs/>
                <w:color w:val="auto"/>
                <w:kern w:val="0"/>
                <w:szCs w:val="21"/>
                <w:highlight w:val="none"/>
                <w:lang w:bidi="ar"/>
              </w:rPr>
            </w:pPr>
            <w:r>
              <w:rPr>
                <w:rFonts w:hint="eastAsia" w:ascii="宋体" w:hAnsi="宋体" w:eastAsia="宋体" w:cs="宋体"/>
                <w:bCs/>
                <w:color w:val="auto"/>
                <w:kern w:val="0"/>
                <w:szCs w:val="21"/>
                <w:highlight w:val="none"/>
                <w:lang w:bidi="ar"/>
              </w:rPr>
              <w:t>2.普通三轮装载摩托车。对车辆性能、装载数据不做要求，用于中型平板货车无法到达时，将废弃物转运至合适地点堆放，往返岸线与堆放点之间，一日内多次转运算作1次台班。</w:t>
            </w:r>
          </w:p>
          <w:p w14:paraId="4DF6D90C">
            <w:pPr>
              <w:keepNext w:val="0"/>
              <w:keepLines w:val="0"/>
              <w:numPr>
                <w:ilvl w:val="0"/>
                <w:numId w:val="0"/>
              </w:numPr>
              <w:spacing w:line="400" w:lineRule="exact"/>
              <w:ind w:firstLine="420" w:firstLineChars="200"/>
              <w:rPr>
                <w:rFonts w:hint="eastAsia" w:ascii="宋体" w:hAnsi="宋体" w:eastAsia="宋体" w:cs="宋体"/>
                <w:bCs/>
                <w:color w:val="auto"/>
                <w:kern w:val="0"/>
                <w:szCs w:val="21"/>
                <w:highlight w:val="none"/>
                <w:lang w:val="en-US" w:eastAsia="zh-CN" w:bidi="ar"/>
              </w:rPr>
            </w:pPr>
            <w:r>
              <w:rPr>
                <w:rFonts w:hint="eastAsia" w:ascii="宋体" w:hAnsi="宋体" w:eastAsia="宋体" w:cs="宋体"/>
                <w:bCs/>
                <w:color w:val="auto"/>
                <w:kern w:val="0"/>
                <w:szCs w:val="21"/>
                <w:highlight w:val="none"/>
                <w:lang w:val="en-US" w:eastAsia="zh-CN" w:bidi="ar"/>
              </w:rPr>
              <w:t>4）挖掘机、爪机、拖船等。挖掘机，主机功率≥120千瓦，斗容约1立方米，发电机组≥50千瓦。爪机，总功率≥200千瓦，吃水深1.5米。拖船，总功率≥500千瓦，长约15米。</w:t>
            </w:r>
          </w:p>
          <w:p w14:paraId="2B5EA099">
            <w:pPr>
              <w:keepNext w:val="0"/>
              <w:keepLines w:val="0"/>
              <w:numPr>
                <w:ilvl w:val="0"/>
                <w:numId w:val="0"/>
              </w:numPr>
              <w:spacing w:line="400" w:lineRule="exact"/>
              <w:ind w:firstLine="420" w:firstLineChars="200"/>
              <w:rPr>
                <w:rFonts w:hint="eastAsia" w:ascii="宋体" w:hAnsi="宋体" w:eastAsia="宋体" w:cs="宋体"/>
                <w:color w:val="auto"/>
                <w:highlight w:val="none"/>
                <w:lang w:val="en-US" w:eastAsia="zh-CN"/>
              </w:rPr>
            </w:pPr>
            <w:r>
              <w:rPr>
                <w:rFonts w:hint="eastAsia" w:ascii="宋体" w:hAnsi="宋体" w:eastAsia="宋体" w:cs="宋体"/>
                <w:bCs/>
                <w:color w:val="auto"/>
                <w:kern w:val="0"/>
                <w:szCs w:val="21"/>
                <w:highlight w:val="none"/>
                <w:lang w:val="en-US" w:eastAsia="zh-CN" w:bidi="ar"/>
              </w:rPr>
              <w:t>若清理工作需使用到大型机械，则按台班计算，当日工作超过8小时，超出时间按小时计算。海上作业的机械应装备符合规格的配件，驾驶员要有相关驾驶证明、技能证书等，海上作业相关经验已经海上自救能力。拖船为一次性费用，单独计算。</w:t>
            </w:r>
          </w:p>
          <w:p w14:paraId="39E01234">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0" w:firstLineChars="0"/>
              <w:jc w:val="both"/>
              <w:textAlignment w:val="auto"/>
              <w:rPr>
                <w:rFonts w:hint="eastAsia" w:ascii="宋体" w:hAnsi="宋体" w:eastAsia="宋体" w:cs="宋体"/>
                <w:color w:val="auto"/>
                <w:szCs w:val="21"/>
                <w:highlight w:val="none"/>
              </w:rPr>
            </w:pPr>
            <w:r>
              <w:rPr>
                <w:rFonts w:hint="eastAsia" w:ascii="宋体" w:hAnsi="宋体" w:eastAsia="宋体" w:cs="宋体"/>
                <w:i w:val="0"/>
                <w:iCs w:val="0"/>
                <w:color w:val="auto"/>
                <w:sz w:val="21"/>
                <w:szCs w:val="21"/>
                <w:highlight w:val="none"/>
                <w:u w:val="none"/>
                <w:lang w:val="en-US" w:eastAsia="zh-CN"/>
              </w:rPr>
              <w:t>清理频率为每季度清理 1 次，项目实施期（1 年）内共清理 4 次。</w:t>
            </w:r>
          </w:p>
        </w:tc>
      </w:tr>
      <w:tr w14:paraId="3FCB70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664" w:type="dxa"/>
            <w:gridSpan w:val="6"/>
            <w:tcBorders>
              <w:top w:val="single" w:color="auto" w:sz="4" w:space="0"/>
              <w:left w:val="single" w:color="auto" w:sz="4" w:space="0"/>
              <w:bottom w:val="single" w:color="auto" w:sz="4" w:space="0"/>
              <w:right w:val="single" w:color="auto" w:sz="4" w:space="0"/>
            </w:tcBorders>
          </w:tcPr>
          <w:p w14:paraId="40AD7B66">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二、商务条款</w:t>
            </w:r>
          </w:p>
        </w:tc>
      </w:tr>
      <w:tr w14:paraId="1703C4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322" w:type="dxa"/>
            <w:gridSpan w:val="3"/>
            <w:tcBorders>
              <w:top w:val="single" w:color="auto" w:sz="4" w:space="0"/>
              <w:left w:val="single" w:color="auto" w:sz="4" w:space="0"/>
              <w:bottom w:val="single" w:color="auto" w:sz="4" w:space="0"/>
              <w:right w:val="single" w:color="auto" w:sz="4" w:space="0"/>
            </w:tcBorders>
            <w:vAlign w:val="center"/>
          </w:tcPr>
          <w:p w14:paraId="6BE18929">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▲合同签订期</w:t>
            </w:r>
          </w:p>
        </w:tc>
        <w:tc>
          <w:tcPr>
            <w:tcW w:w="7342" w:type="dxa"/>
            <w:gridSpan w:val="3"/>
            <w:tcBorders>
              <w:top w:val="single" w:color="auto" w:sz="4" w:space="0"/>
              <w:left w:val="single" w:color="auto" w:sz="4" w:space="0"/>
              <w:bottom w:val="single" w:color="auto" w:sz="4" w:space="0"/>
              <w:right w:val="single" w:color="auto" w:sz="4" w:space="0"/>
            </w:tcBorders>
            <w:vAlign w:val="center"/>
          </w:tcPr>
          <w:p w14:paraId="5637FFE1">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自中标通知书发出之日起25日内。</w:t>
            </w:r>
          </w:p>
        </w:tc>
      </w:tr>
      <w:tr w14:paraId="3DB73F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322" w:type="dxa"/>
            <w:gridSpan w:val="3"/>
            <w:tcBorders>
              <w:top w:val="single" w:color="auto" w:sz="4" w:space="0"/>
              <w:left w:val="single" w:color="auto" w:sz="4" w:space="0"/>
              <w:bottom w:val="single" w:color="auto" w:sz="4" w:space="0"/>
              <w:right w:val="single" w:color="auto" w:sz="4" w:space="0"/>
            </w:tcBorders>
            <w:vAlign w:val="center"/>
          </w:tcPr>
          <w:p w14:paraId="3BF6901A">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▲服务期限及服务地点</w:t>
            </w:r>
          </w:p>
        </w:tc>
        <w:tc>
          <w:tcPr>
            <w:tcW w:w="7342" w:type="dxa"/>
            <w:gridSpan w:val="3"/>
            <w:tcBorders>
              <w:top w:val="single" w:color="auto" w:sz="4" w:space="0"/>
              <w:left w:val="single" w:color="auto" w:sz="4" w:space="0"/>
              <w:bottom w:val="single" w:color="auto" w:sz="4" w:space="0"/>
              <w:right w:val="single" w:color="auto" w:sz="4" w:space="0"/>
            </w:tcBorders>
            <w:vAlign w:val="top"/>
          </w:tcPr>
          <w:p w14:paraId="6FF22ADA">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服务期限</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自签订合同之日起至2027年7月底完成验收</w:t>
            </w:r>
            <w:r>
              <w:rPr>
                <w:rFonts w:hint="eastAsia" w:ascii="宋体" w:hAnsi="宋体" w:eastAsia="宋体" w:cs="宋体"/>
                <w:color w:val="auto"/>
                <w:sz w:val="24"/>
                <w:szCs w:val="24"/>
                <w:highlight w:val="none"/>
              </w:rPr>
              <w:t>。</w:t>
            </w:r>
          </w:p>
          <w:p w14:paraId="31AC7E83">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服务地点：</w:t>
            </w:r>
            <w:r>
              <w:rPr>
                <w:rFonts w:hint="eastAsia" w:ascii="宋体" w:hAnsi="宋体" w:eastAsia="宋体" w:cs="宋体"/>
                <w:color w:val="auto"/>
                <w:szCs w:val="21"/>
                <w:highlight w:val="none"/>
                <w:lang w:val="en-US" w:eastAsia="zh-CN"/>
              </w:rPr>
              <w:t>采购人指定地点</w:t>
            </w:r>
            <w:r>
              <w:rPr>
                <w:rFonts w:hint="eastAsia" w:ascii="宋体" w:hAnsi="宋体" w:eastAsia="宋体" w:cs="宋体"/>
                <w:color w:val="auto"/>
                <w:szCs w:val="21"/>
                <w:highlight w:val="none"/>
              </w:rPr>
              <w:t>。</w:t>
            </w:r>
          </w:p>
        </w:tc>
      </w:tr>
      <w:tr w14:paraId="2A68EF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322" w:type="dxa"/>
            <w:gridSpan w:val="3"/>
            <w:tcBorders>
              <w:top w:val="single" w:color="auto" w:sz="4" w:space="0"/>
              <w:left w:val="single" w:color="auto" w:sz="4" w:space="0"/>
              <w:bottom w:val="single" w:color="auto" w:sz="4" w:space="0"/>
              <w:right w:val="single" w:color="auto" w:sz="4" w:space="0"/>
            </w:tcBorders>
            <w:vAlign w:val="center"/>
          </w:tcPr>
          <w:p w14:paraId="12E4E02A">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▲投标报价</w:t>
            </w:r>
          </w:p>
        </w:tc>
        <w:tc>
          <w:tcPr>
            <w:tcW w:w="7342" w:type="dxa"/>
            <w:gridSpan w:val="3"/>
            <w:tcBorders>
              <w:top w:val="single" w:color="auto" w:sz="4" w:space="0"/>
              <w:left w:val="single" w:color="auto" w:sz="4" w:space="0"/>
              <w:bottom w:val="single" w:color="auto" w:sz="4" w:space="0"/>
              <w:right w:val="single" w:color="auto" w:sz="4" w:space="0"/>
            </w:tcBorders>
            <w:vAlign w:val="top"/>
          </w:tcPr>
          <w:p w14:paraId="0373A9FC">
            <w:pPr>
              <w:numPr>
                <w:ilvl w:val="-1"/>
                <w:numId w:val="0"/>
              </w:numPr>
              <w:spacing w:line="400" w:lineRule="exact"/>
              <w:jc w:val="left"/>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报价必须含以下部分，包括：</w:t>
            </w:r>
          </w:p>
          <w:p w14:paraId="0E015958">
            <w:pPr>
              <w:keepNext w:val="0"/>
              <w:keepLines w:val="0"/>
              <w:pageBreakBefore w:val="0"/>
              <w:widowControl/>
              <w:numPr>
                <w:ilvl w:val="-1"/>
                <w:numId w:val="0"/>
              </w:numPr>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（1）服务费用（报价需包含但不限于“采购需求一览表”涉及的所有费用）；</w:t>
            </w:r>
            <w:r>
              <w:rPr>
                <w:rFonts w:hint="eastAsia" w:ascii="宋体" w:hAnsi="宋体" w:eastAsia="宋体" w:cs="宋体"/>
                <w:color w:val="auto"/>
                <w:szCs w:val="21"/>
                <w:highlight w:val="none"/>
              </w:rPr>
              <w:t>本标项采购预算为人民币</w:t>
            </w:r>
            <w:r>
              <w:rPr>
                <w:rFonts w:hint="eastAsia" w:ascii="宋体" w:hAnsi="宋体" w:eastAsia="宋体" w:cs="宋体"/>
                <w:color w:val="auto"/>
                <w:kern w:val="2"/>
                <w:szCs w:val="21"/>
                <w:highlight w:val="none"/>
                <w:lang w:val="en-US" w:eastAsia="zh-CN"/>
              </w:rPr>
              <w:t>90.36</w:t>
            </w:r>
            <w:r>
              <w:rPr>
                <w:rFonts w:hint="eastAsia" w:ascii="宋体" w:hAnsi="宋体" w:eastAsia="宋体" w:cs="宋体"/>
                <w:color w:val="auto"/>
                <w:kern w:val="2"/>
                <w:szCs w:val="21"/>
                <w:highlight w:val="none"/>
              </w:rPr>
              <w:t>万元</w:t>
            </w:r>
            <w:r>
              <w:rPr>
                <w:rFonts w:hint="eastAsia" w:ascii="宋体" w:hAnsi="宋体" w:eastAsia="宋体" w:cs="宋体"/>
                <w:color w:val="auto"/>
                <w:szCs w:val="21"/>
                <w:highlight w:val="none"/>
              </w:rPr>
              <w:t>，单价最高限价如下表：</w:t>
            </w:r>
          </w:p>
          <w:tbl>
            <w:tblPr>
              <w:tblStyle w:val="61"/>
              <w:tblW w:w="8733" w:type="dxa"/>
              <w:jc w:val="center"/>
              <w:tblLayout w:type="fixed"/>
              <w:tblCellMar>
                <w:top w:w="0" w:type="dxa"/>
                <w:left w:w="108" w:type="dxa"/>
                <w:bottom w:w="0" w:type="dxa"/>
                <w:right w:w="108" w:type="dxa"/>
              </w:tblCellMar>
            </w:tblPr>
            <w:tblGrid>
              <w:gridCol w:w="727"/>
              <w:gridCol w:w="916"/>
              <w:gridCol w:w="945"/>
              <w:gridCol w:w="600"/>
              <w:gridCol w:w="765"/>
              <w:gridCol w:w="1005"/>
              <w:gridCol w:w="3775"/>
            </w:tblGrid>
            <w:tr w14:paraId="1AEDB1BA">
              <w:tblPrEx>
                <w:tblCellMar>
                  <w:top w:w="0" w:type="dxa"/>
                  <w:left w:w="108" w:type="dxa"/>
                  <w:bottom w:w="0" w:type="dxa"/>
                  <w:right w:w="108" w:type="dxa"/>
                </w:tblCellMar>
              </w:tblPrEx>
              <w:trPr>
                <w:trHeight w:val="23" w:hRule="atLeast"/>
                <w:jc w:val="center"/>
              </w:trPr>
              <w:tc>
                <w:tcPr>
                  <w:tcW w:w="727" w:type="dxa"/>
                  <w:tcBorders>
                    <w:top w:val="single" w:color="000000" w:sz="4" w:space="0"/>
                    <w:left w:val="single" w:color="000000" w:sz="4" w:space="0"/>
                    <w:bottom w:val="single" w:color="000000" w:sz="4" w:space="0"/>
                    <w:right w:val="single" w:color="000000" w:sz="4" w:space="0"/>
                  </w:tcBorders>
                  <w:noWrap/>
                  <w:vAlign w:val="center"/>
                </w:tcPr>
                <w:p w14:paraId="0D168186">
                  <w:pPr>
                    <w:widowControl/>
                    <w:numPr>
                      <w:ilvl w:val="0"/>
                      <w:numId w:val="0"/>
                    </w:numPr>
                    <w:spacing w:line="400" w:lineRule="exact"/>
                    <w:jc w:val="left"/>
                    <w:textAlignment w:val="auto"/>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序号</w:t>
                  </w:r>
                </w:p>
              </w:tc>
              <w:tc>
                <w:tcPr>
                  <w:tcW w:w="916" w:type="dxa"/>
                  <w:tcBorders>
                    <w:top w:val="single" w:color="000000" w:sz="4" w:space="0"/>
                    <w:left w:val="single" w:color="000000" w:sz="4" w:space="0"/>
                    <w:bottom w:val="single" w:color="000000" w:sz="4" w:space="0"/>
                    <w:right w:val="single" w:color="000000" w:sz="4" w:space="0"/>
                  </w:tcBorders>
                  <w:noWrap/>
                  <w:vAlign w:val="center"/>
                </w:tcPr>
                <w:p w14:paraId="53AA3EC9">
                  <w:pPr>
                    <w:widowControl/>
                    <w:numPr>
                      <w:ilvl w:val="0"/>
                      <w:numId w:val="0"/>
                    </w:numPr>
                    <w:spacing w:line="400" w:lineRule="exact"/>
                    <w:jc w:val="left"/>
                    <w:textAlignment w:val="auto"/>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服务内容</w:t>
                  </w:r>
                </w:p>
              </w:tc>
              <w:tc>
                <w:tcPr>
                  <w:tcW w:w="945" w:type="dxa"/>
                  <w:tcBorders>
                    <w:top w:val="single" w:color="000000" w:sz="4" w:space="0"/>
                    <w:left w:val="single" w:color="000000" w:sz="4" w:space="0"/>
                    <w:bottom w:val="single" w:color="000000" w:sz="4" w:space="0"/>
                    <w:right w:val="single" w:color="000000" w:sz="4" w:space="0"/>
                  </w:tcBorders>
                  <w:noWrap/>
                  <w:vAlign w:val="center"/>
                </w:tcPr>
                <w:p w14:paraId="6326FF86">
                  <w:pPr>
                    <w:widowControl/>
                    <w:numPr>
                      <w:ilvl w:val="0"/>
                      <w:numId w:val="0"/>
                    </w:numPr>
                    <w:spacing w:line="400" w:lineRule="exact"/>
                    <w:jc w:val="left"/>
                    <w:textAlignment w:val="auto"/>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子项</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37D48456">
                  <w:pPr>
                    <w:widowControl/>
                    <w:numPr>
                      <w:ilvl w:val="0"/>
                      <w:numId w:val="0"/>
                    </w:numPr>
                    <w:spacing w:line="400" w:lineRule="exact"/>
                    <w:jc w:val="left"/>
                    <w:textAlignment w:val="auto"/>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数量</w:t>
                  </w:r>
                </w:p>
              </w:tc>
              <w:tc>
                <w:tcPr>
                  <w:tcW w:w="765" w:type="dxa"/>
                  <w:tcBorders>
                    <w:top w:val="single" w:color="000000" w:sz="4" w:space="0"/>
                    <w:left w:val="single" w:color="000000" w:sz="4" w:space="0"/>
                    <w:bottom w:val="single" w:color="000000" w:sz="4" w:space="0"/>
                    <w:right w:val="single" w:color="000000" w:sz="4" w:space="0"/>
                  </w:tcBorders>
                  <w:noWrap/>
                  <w:vAlign w:val="center"/>
                </w:tcPr>
                <w:p w14:paraId="0FFC518E">
                  <w:pPr>
                    <w:widowControl/>
                    <w:numPr>
                      <w:ilvl w:val="0"/>
                      <w:numId w:val="0"/>
                    </w:numPr>
                    <w:spacing w:line="400" w:lineRule="exact"/>
                    <w:jc w:val="left"/>
                    <w:textAlignment w:val="auto"/>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单位</w:t>
                  </w:r>
                </w:p>
              </w:tc>
              <w:tc>
                <w:tcPr>
                  <w:tcW w:w="1005" w:type="dxa"/>
                  <w:tcBorders>
                    <w:top w:val="single" w:color="000000" w:sz="4" w:space="0"/>
                    <w:left w:val="single" w:color="000000" w:sz="4" w:space="0"/>
                    <w:bottom w:val="single" w:color="000000" w:sz="4" w:space="0"/>
                    <w:right w:val="single" w:color="000000" w:sz="4" w:space="0"/>
                  </w:tcBorders>
                  <w:noWrap/>
                  <w:vAlign w:val="center"/>
                </w:tcPr>
                <w:p w14:paraId="041E6BE2">
                  <w:pPr>
                    <w:widowControl/>
                    <w:numPr>
                      <w:ilvl w:val="0"/>
                      <w:numId w:val="0"/>
                    </w:numPr>
                    <w:spacing w:line="400" w:lineRule="exact"/>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单价最高限价</w:t>
                  </w:r>
                </w:p>
              </w:tc>
              <w:tc>
                <w:tcPr>
                  <w:tcW w:w="3775" w:type="dxa"/>
                  <w:tcBorders>
                    <w:top w:val="single" w:color="000000" w:sz="4" w:space="0"/>
                    <w:left w:val="single" w:color="000000" w:sz="4" w:space="0"/>
                    <w:bottom w:val="single" w:color="000000" w:sz="4" w:space="0"/>
                    <w:right w:val="single" w:color="000000" w:sz="4" w:space="0"/>
                  </w:tcBorders>
                  <w:noWrap/>
                  <w:vAlign w:val="center"/>
                </w:tcPr>
                <w:p w14:paraId="39BB4C41">
                  <w:pPr>
                    <w:widowControl/>
                    <w:numPr>
                      <w:ilvl w:val="0"/>
                      <w:numId w:val="0"/>
                    </w:numPr>
                    <w:spacing w:line="400" w:lineRule="exact"/>
                    <w:ind w:firstLine="840" w:firstLineChars="400"/>
                    <w:jc w:val="both"/>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备注</w:t>
                  </w:r>
                </w:p>
              </w:tc>
            </w:tr>
            <w:tr w14:paraId="612E303B">
              <w:tblPrEx>
                <w:tblCellMar>
                  <w:top w:w="0" w:type="dxa"/>
                  <w:left w:w="108" w:type="dxa"/>
                  <w:bottom w:w="0" w:type="dxa"/>
                  <w:right w:w="108" w:type="dxa"/>
                </w:tblCellMar>
              </w:tblPrEx>
              <w:trPr>
                <w:trHeight w:val="23" w:hRule="atLeast"/>
                <w:jc w:val="center"/>
              </w:trPr>
              <w:tc>
                <w:tcPr>
                  <w:tcW w:w="727" w:type="dxa"/>
                  <w:tcBorders>
                    <w:top w:val="single" w:color="000000" w:sz="4" w:space="0"/>
                    <w:left w:val="single" w:color="000000" w:sz="4" w:space="0"/>
                    <w:bottom w:val="single" w:color="000000" w:sz="4" w:space="0"/>
                    <w:right w:val="single" w:color="000000" w:sz="4" w:space="0"/>
                  </w:tcBorders>
                  <w:noWrap/>
                  <w:vAlign w:val="center"/>
                </w:tcPr>
                <w:p w14:paraId="272625B2">
                  <w:pPr>
                    <w:widowControl/>
                    <w:numPr>
                      <w:ilvl w:val="0"/>
                      <w:numId w:val="0"/>
                    </w:numPr>
                    <w:spacing w:line="400" w:lineRule="exact"/>
                    <w:jc w:val="left"/>
                    <w:textAlignment w:val="auto"/>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916" w:type="dxa"/>
                  <w:tcBorders>
                    <w:top w:val="single" w:color="000000" w:sz="4" w:space="0"/>
                    <w:left w:val="single" w:color="000000" w:sz="4" w:space="0"/>
                    <w:bottom w:val="single" w:color="000000" w:sz="4" w:space="0"/>
                    <w:right w:val="single" w:color="000000" w:sz="4" w:space="0"/>
                  </w:tcBorders>
                  <w:noWrap/>
                  <w:vAlign w:val="center"/>
                </w:tcPr>
                <w:p w14:paraId="2557CA9A">
                  <w:pPr>
                    <w:widowControl/>
                    <w:numPr>
                      <w:ilvl w:val="0"/>
                      <w:numId w:val="0"/>
                    </w:numPr>
                    <w:spacing w:line="400" w:lineRule="exact"/>
                    <w:jc w:val="left"/>
                    <w:textAlignment w:val="auto"/>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船只</w:t>
                  </w:r>
                </w:p>
              </w:tc>
              <w:tc>
                <w:tcPr>
                  <w:tcW w:w="945" w:type="dxa"/>
                  <w:tcBorders>
                    <w:top w:val="single" w:color="000000" w:sz="4" w:space="0"/>
                    <w:left w:val="single" w:color="000000" w:sz="4" w:space="0"/>
                    <w:bottom w:val="single" w:color="000000" w:sz="4" w:space="0"/>
                    <w:right w:val="single" w:color="000000" w:sz="4" w:space="0"/>
                  </w:tcBorders>
                  <w:noWrap/>
                  <w:vAlign w:val="center"/>
                </w:tcPr>
                <w:p w14:paraId="360F5424">
                  <w:pPr>
                    <w:numPr>
                      <w:ilvl w:val="0"/>
                      <w:numId w:val="0"/>
                    </w:numPr>
                    <w:spacing w:line="400" w:lineRule="exact"/>
                    <w:rPr>
                      <w:rFonts w:hint="eastAsia" w:ascii="宋体" w:hAnsi="宋体" w:eastAsia="宋体" w:cs="宋体"/>
                      <w:color w:val="auto"/>
                      <w:szCs w:val="21"/>
                      <w:highlight w:val="none"/>
                    </w:rPr>
                  </w:pP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25AFCEBB">
                  <w:pPr>
                    <w:numPr>
                      <w:ilvl w:val="0"/>
                      <w:numId w:val="0"/>
                    </w:numPr>
                    <w:spacing w:line="400" w:lineRule="exact"/>
                    <w:jc w:val="left"/>
                    <w:rPr>
                      <w:rFonts w:hint="eastAsia" w:ascii="宋体" w:hAnsi="宋体" w:eastAsia="宋体" w:cs="宋体"/>
                      <w:color w:val="auto"/>
                      <w:szCs w:val="21"/>
                      <w:highlight w:val="none"/>
                    </w:rPr>
                  </w:pPr>
                </w:p>
              </w:tc>
              <w:tc>
                <w:tcPr>
                  <w:tcW w:w="765" w:type="dxa"/>
                  <w:tcBorders>
                    <w:top w:val="single" w:color="000000" w:sz="4" w:space="0"/>
                    <w:left w:val="single" w:color="000000" w:sz="4" w:space="0"/>
                    <w:bottom w:val="single" w:color="000000" w:sz="4" w:space="0"/>
                    <w:right w:val="single" w:color="000000" w:sz="4" w:space="0"/>
                  </w:tcBorders>
                  <w:noWrap/>
                  <w:vAlign w:val="center"/>
                </w:tcPr>
                <w:p w14:paraId="6E2AAA67">
                  <w:pPr>
                    <w:numPr>
                      <w:ilvl w:val="0"/>
                      <w:numId w:val="0"/>
                    </w:numPr>
                    <w:spacing w:line="400" w:lineRule="exact"/>
                    <w:jc w:val="left"/>
                    <w:rPr>
                      <w:rFonts w:hint="eastAsia" w:ascii="宋体" w:hAnsi="宋体" w:eastAsia="宋体" w:cs="宋体"/>
                      <w:color w:val="auto"/>
                      <w:szCs w:val="21"/>
                      <w:highlight w:val="none"/>
                    </w:rPr>
                  </w:pPr>
                </w:p>
              </w:tc>
              <w:tc>
                <w:tcPr>
                  <w:tcW w:w="1005" w:type="dxa"/>
                  <w:tcBorders>
                    <w:top w:val="single" w:color="000000" w:sz="4" w:space="0"/>
                    <w:left w:val="single" w:color="000000" w:sz="4" w:space="0"/>
                    <w:bottom w:val="single" w:color="000000" w:sz="4" w:space="0"/>
                    <w:right w:val="single" w:color="000000" w:sz="4" w:space="0"/>
                  </w:tcBorders>
                  <w:noWrap w:val="0"/>
                  <w:vAlign w:val="center"/>
                </w:tcPr>
                <w:p w14:paraId="5C3B1452">
                  <w:pPr>
                    <w:numPr>
                      <w:ilvl w:val="0"/>
                      <w:numId w:val="0"/>
                    </w:numPr>
                    <w:spacing w:line="400" w:lineRule="exact"/>
                    <w:jc w:val="left"/>
                    <w:rPr>
                      <w:rFonts w:hint="eastAsia" w:ascii="宋体" w:hAnsi="宋体" w:eastAsia="宋体" w:cs="宋体"/>
                      <w:color w:val="auto"/>
                      <w:szCs w:val="21"/>
                      <w:highlight w:val="none"/>
                    </w:rPr>
                  </w:pPr>
                </w:p>
              </w:tc>
              <w:tc>
                <w:tcPr>
                  <w:tcW w:w="3775" w:type="dxa"/>
                  <w:tcBorders>
                    <w:top w:val="single" w:color="000000" w:sz="4" w:space="0"/>
                    <w:left w:val="single" w:color="000000" w:sz="4" w:space="0"/>
                    <w:bottom w:val="single" w:color="000000" w:sz="4" w:space="0"/>
                    <w:right w:val="single" w:color="000000" w:sz="4" w:space="0"/>
                  </w:tcBorders>
                  <w:noWrap w:val="0"/>
                  <w:vAlign w:val="center"/>
                </w:tcPr>
                <w:p w14:paraId="7BC5BB6F">
                  <w:pPr>
                    <w:numPr>
                      <w:ilvl w:val="0"/>
                      <w:numId w:val="0"/>
                    </w:numPr>
                    <w:spacing w:line="400" w:lineRule="exact"/>
                    <w:jc w:val="left"/>
                    <w:rPr>
                      <w:rFonts w:hint="eastAsia" w:ascii="宋体" w:hAnsi="宋体" w:eastAsia="宋体" w:cs="宋体"/>
                      <w:color w:val="auto"/>
                      <w:szCs w:val="21"/>
                      <w:highlight w:val="none"/>
                    </w:rPr>
                  </w:pPr>
                </w:p>
              </w:tc>
            </w:tr>
            <w:tr w14:paraId="70AC6DE5">
              <w:trPr>
                <w:trHeight w:val="735" w:hRule="atLeast"/>
                <w:jc w:val="center"/>
              </w:trPr>
              <w:tc>
                <w:tcPr>
                  <w:tcW w:w="727" w:type="dxa"/>
                  <w:tcBorders>
                    <w:top w:val="single" w:color="000000" w:sz="4" w:space="0"/>
                    <w:left w:val="single" w:color="000000" w:sz="4" w:space="0"/>
                    <w:bottom w:val="single" w:color="000000" w:sz="4" w:space="0"/>
                    <w:right w:val="single" w:color="000000" w:sz="4" w:space="0"/>
                  </w:tcBorders>
                  <w:noWrap/>
                  <w:vAlign w:val="center"/>
                </w:tcPr>
                <w:p w14:paraId="07839C70">
                  <w:pPr>
                    <w:widowControl/>
                    <w:numPr>
                      <w:ilvl w:val="0"/>
                      <w:numId w:val="0"/>
                    </w:numPr>
                    <w:spacing w:line="400" w:lineRule="exact"/>
                    <w:jc w:val="left"/>
                    <w:textAlignment w:val="auto"/>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1.1</w:t>
                  </w:r>
                </w:p>
              </w:tc>
              <w:tc>
                <w:tcPr>
                  <w:tcW w:w="916" w:type="dxa"/>
                  <w:tcBorders>
                    <w:top w:val="single" w:color="000000" w:sz="4" w:space="0"/>
                    <w:left w:val="single" w:color="000000" w:sz="4" w:space="0"/>
                    <w:bottom w:val="single" w:color="000000" w:sz="4" w:space="0"/>
                    <w:right w:val="single" w:color="000000" w:sz="4" w:space="0"/>
                  </w:tcBorders>
                  <w:noWrap w:val="0"/>
                  <w:vAlign w:val="center"/>
                </w:tcPr>
                <w:p w14:paraId="3FF87B3A">
                  <w:pPr>
                    <w:numPr>
                      <w:ilvl w:val="0"/>
                      <w:numId w:val="0"/>
                    </w:numPr>
                    <w:spacing w:line="400" w:lineRule="exact"/>
                    <w:jc w:val="left"/>
                    <w:rPr>
                      <w:rFonts w:hint="eastAsia" w:ascii="宋体" w:hAnsi="宋体" w:eastAsia="宋体" w:cs="宋体"/>
                      <w:color w:val="auto"/>
                      <w:szCs w:val="21"/>
                      <w:highlight w:val="none"/>
                    </w:rPr>
                  </w:pPr>
                </w:p>
              </w:tc>
              <w:tc>
                <w:tcPr>
                  <w:tcW w:w="945" w:type="dxa"/>
                  <w:tcBorders>
                    <w:top w:val="single" w:color="000000" w:sz="4" w:space="0"/>
                    <w:left w:val="single" w:color="000000" w:sz="4" w:space="0"/>
                    <w:bottom w:val="single" w:color="000000" w:sz="4" w:space="0"/>
                    <w:right w:val="single" w:color="000000" w:sz="4" w:space="0"/>
                  </w:tcBorders>
                  <w:noWrap/>
                  <w:vAlign w:val="center"/>
                </w:tcPr>
                <w:p w14:paraId="079943EF">
                  <w:pPr>
                    <w:widowControl/>
                    <w:numPr>
                      <w:ilvl w:val="0"/>
                      <w:numId w:val="0"/>
                    </w:numPr>
                    <w:spacing w:line="400" w:lineRule="exact"/>
                    <w:jc w:val="left"/>
                    <w:textAlignment w:val="auto"/>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巡查船只</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2DC5113F">
                  <w:pPr>
                    <w:widowControl/>
                    <w:numPr>
                      <w:ilvl w:val="0"/>
                      <w:numId w:val="0"/>
                    </w:numPr>
                    <w:spacing w:line="400" w:lineRule="exact"/>
                    <w:jc w:val="left"/>
                    <w:textAlignment w:val="auto"/>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765" w:type="dxa"/>
                  <w:tcBorders>
                    <w:top w:val="single" w:color="000000" w:sz="4" w:space="0"/>
                    <w:left w:val="single" w:color="000000" w:sz="4" w:space="0"/>
                    <w:bottom w:val="single" w:color="000000" w:sz="4" w:space="0"/>
                    <w:right w:val="single" w:color="000000" w:sz="4" w:space="0"/>
                  </w:tcBorders>
                  <w:noWrap/>
                  <w:vAlign w:val="center"/>
                </w:tcPr>
                <w:p w14:paraId="440A3C95">
                  <w:pPr>
                    <w:widowControl/>
                    <w:numPr>
                      <w:ilvl w:val="0"/>
                      <w:numId w:val="0"/>
                    </w:numPr>
                    <w:spacing w:line="400" w:lineRule="exact"/>
                    <w:jc w:val="left"/>
                    <w:textAlignment w:val="auto"/>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船次</w:t>
                  </w:r>
                </w:p>
              </w:tc>
              <w:tc>
                <w:tcPr>
                  <w:tcW w:w="1005" w:type="dxa"/>
                  <w:tcBorders>
                    <w:top w:val="single" w:color="000000" w:sz="4" w:space="0"/>
                    <w:left w:val="single" w:color="000000" w:sz="4" w:space="0"/>
                    <w:bottom w:val="single" w:color="000000" w:sz="4" w:space="0"/>
                    <w:right w:val="single" w:color="000000" w:sz="4" w:space="0"/>
                  </w:tcBorders>
                  <w:noWrap w:val="0"/>
                  <w:vAlign w:val="center"/>
                </w:tcPr>
                <w:p w14:paraId="6C9D4E2F">
                  <w:pPr>
                    <w:numPr>
                      <w:ilvl w:val="0"/>
                      <w:numId w:val="0"/>
                    </w:numPr>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每</w:t>
                  </w:r>
                  <w:r>
                    <w:rPr>
                      <w:rFonts w:hint="eastAsia" w:ascii="宋体" w:hAnsi="宋体" w:eastAsia="宋体" w:cs="宋体"/>
                      <w:color w:val="auto"/>
                      <w:szCs w:val="21"/>
                      <w:highlight w:val="none"/>
                      <w:lang w:val="en-US" w:eastAsia="zh-CN"/>
                    </w:rPr>
                    <w:t>天</w:t>
                  </w:r>
                  <w:r>
                    <w:rPr>
                      <w:rFonts w:hint="eastAsia" w:ascii="宋体" w:hAnsi="宋体" w:eastAsia="宋体" w:cs="宋体"/>
                      <w:color w:val="auto"/>
                      <w:szCs w:val="21"/>
                      <w:highlight w:val="none"/>
                    </w:rPr>
                    <w:t>不高于600元</w:t>
                  </w:r>
                </w:p>
              </w:tc>
              <w:tc>
                <w:tcPr>
                  <w:tcW w:w="3775" w:type="dxa"/>
                  <w:tcBorders>
                    <w:top w:val="single" w:color="000000" w:sz="4" w:space="0"/>
                    <w:left w:val="single" w:color="000000" w:sz="4" w:space="0"/>
                    <w:bottom w:val="single" w:color="000000" w:sz="4" w:space="0"/>
                    <w:right w:val="single" w:color="000000" w:sz="4" w:space="0"/>
                  </w:tcBorders>
                  <w:noWrap w:val="0"/>
                  <w:vAlign w:val="center"/>
                </w:tcPr>
                <w:p w14:paraId="2D76E430">
                  <w:pPr>
                    <w:numPr>
                      <w:ilvl w:val="0"/>
                      <w:numId w:val="0"/>
                    </w:numPr>
                    <w:spacing w:line="400" w:lineRule="exac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每天清理海洋垃圾至少10立方</w:t>
                  </w:r>
                </w:p>
              </w:tc>
            </w:tr>
            <w:tr w14:paraId="222B4900">
              <w:tblPrEx>
                <w:tblCellMar>
                  <w:top w:w="0" w:type="dxa"/>
                  <w:left w:w="108" w:type="dxa"/>
                  <w:bottom w:w="0" w:type="dxa"/>
                  <w:right w:w="108" w:type="dxa"/>
                </w:tblCellMar>
              </w:tblPrEx>
              <w:trPr>
                <w:trHeight w:val="23" w:hRule="atLeast"/>
                <w:jc w:val="center"/>
              </w:trPr>
              <w:tc>
                <w:tcPr>
                  <w:tcW w:w="727" w:type="dxa"/>
                  <w:tcBorders>
                    <w:top w:val="single" w:color="000000" w:sz="4" w:space="0"/>
                    <w:left w:val="single" w:color="000000" w:sz="4" w:space="0"/>
                    <w:bottom w:val="single" w:color="000000" w:sz="4" w:space="0"/>
                    <w:right w:val="single" w:color="000000" w:sz="4" w:space="0"/>
                  </w:tcBorders>
                  <w:noWrap/>
                  <w:vAlign w:val="center"/>
                </w:tcPr>
                <w:p w14:paraId="7976A479">
                  <w:pPr>
                    <w:widowControl/>
                    <w:numPr>
                      <w:ilvl w:val="0"/>
                      <w:numId w:val="0"/>
                    </w:numPr>
                    <w:spacing w:line="400" w:lineRule="exact"/>
                    <w:jc w:val="left"/>
                    <w:textAlignment w:val="auto"/>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1.2</w:t>
                  </w:r>
                </w:p>
              </w:tc>
              <w:tc>
                <w:tcPr>
                  <w:tcW w:w="916" w:type="dxa"/>
                  <w:tcBorders>
                    <w:top w:val="single" w:color="000000" w:sz="4" w:space="0"/>
                    <w:left w:val="single" w:color="000000" w:sz="4" w:space="0"/>
                    <w:bottom w:val="single" w:color="000000" w:sz="4" w:space="0"/>
                    <w:right w:val="single" w:color="000000" w:sz="4" w:space="0"/>
                  </w:tcBorders>
                  <w:noWrap/>
                  <w:vAlign w:val="center"/>
                </w:tcPr>
                <w:p w14:paraId="5046A33F">
                  <w:pPr>
                    <w:numPr>
                      <w:ilvl w:val="0"/>
                      <w:numId w:val="0"/>
                    </w:numPr>
                    <w:spacing w:line="400" w:lineRule="exact"/>
                    <w:jc w:val="left"/>
                    <w:rPr>
                      <w:rFonts w:hint="eastAsia" w:ascii="宋体" w:hAnsi="宋体" w:eastAsia="宋体" w:cs="宋体"/>
                      <w:color w:val="auto"/>
                      <w:szCs w:val="21"/>
                      <w:highlight w:val="none"/>
                    </w:rPr>
                  </w:pPr>
                </w:p>
              </w:tc>
              <w:tc>
                <w:tcPr>
                  <w:tcW w:w="945" w:type="dxa"/>
                  <w:tcBorders>
                    <w:top w:val="single" w:color="000000" w:sz="4" w:space="0"/>
                    <w:left w:val="single" w:color="000000" w:sz="4" w:space="0"/>
                    <w:bottom w:val="single" w:color="000000" w:sz="4" w:space="0"/>
                    <w:right w:val="single" w:color="000000" w:sz="4" w:space="0"/>
                  </w:tcBorders>
                  <w:noWrap/>
                  <w:vAlign w:val="center"/>
                </w:tcPr>
                <w:p w14:paraId="77ED24A8">
                  <w:pPr>
                    <w:widowControl/>
                    <w:numPr>
                      <w:ilvl w:val="0"/>
                      <w:numId w:val="0"/>
                    </w:numPr>
                    <w:spacing w:line="400" w:lineRule="exact"/>
                    <w:jc w:val="left"/>
                    <w:textAlignment w:val="auto"/>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作业船只</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599FB8C0">
                  <w:pPr>
                    <w:widowControl/>
                    <w:numPr>
                      <w:ilvl w:val="0"/>
                      <w:numId w:val="0"/>
                    </w:numPr>
                    <w:spacing w:line="400" w:lineRule="exact"/>
                    <w:jc w:val="left"/>
                    <w:textAlignment w:val="auto"/>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765" w:type="dxa"/>
                  <w:tcBorders>
                    <w:top w:val="single" w:color="000000" w:sz="4" w:space="0"/>
                    <w:left w:val="single" w:color="000000" w:sz="4" w:space="0"/>
                    <w:bottom w:val="single" w:color="000000" w:sz="4" w:space="0"/>
                    <w:right w:val="single" w:color="000000" w:sz="4" w:space="0"/>
                  </w:tcBorders>
                  <w:noWrap/>
                  <w:vAlign w:val="center"/>
                </w:tcPr>
                <w:p w14:paraId="75AD68DA">
                  <w:pPr>
                    <w:widowControl/>
                    <w:numPr>
                      <w:ilvl w:val="0"/>
                      <w:numId w:val="0"/>
                    </w:numPr>
                    <w:spacing w:line="400" w:lineRule="exact"/>
                    <w:jc w:val="left"/>
                    <w:textAlignment w:val="auto"/>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船次</w:t>
                  </w:r>
                </w:p>
              </w:tc>
              <w:tc>
                <w:tcPr>
                  <w:tcW w:w="1005" w:type="dxa"/>
                  <w:tcBorders>
                    <w:top w:val="single" w:color="000000" w:sz="4" w:space="0"/>
                    <w:left w:val="single" w:color="000000" w:sz="4" w:space="0"/>
                    <w:bottom w:val="single" w:color="000000" w:sz="4" w:space="0"/>
                    <w:right w:val="single" w:color="000000" w:sz="4" w:space="0"/>
                  </w:tcBorders>
                  <w:noWrap w:val="0"/>
                  <w:vAlign w:val="center"/>
                </w:tcPr>
                <w:p w14:paraId="2F952196">
                  <w:pPr>
                    <w:numPr>
                      <w:ilvl w:val="0"/>
                      <w:numId w:val="0"/>
                    </w:numPr>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每</w:t>
                  </w:r>
                  <w:r>
                    <w:rPr>
                      <w:rFonts w:hint="eastAsia" w:ascii="宋体" w:hAnsi="宋体" w:eastAsia="宋体" w:cs="宋体"/>
                      <w:color w:val="auto"/>
                      <w:szCs w:val="21"/>
                      <w:highlight w:val="none"/>
                      <w:lang w:val="en-US" w:eastAsia="zh-CN"/>
                    </w:rPr>
                    <w:t>天</w:t>
                  </w:r>
                  <w:r>
                    <w:rPr>
                      <w:rFonts w:hint="eastAsia" w:ascii="宋体" w:hAnsi="宋体" w:eastAsia="宋体" w:cs="宋体"/>
                      <w:color w:val="auto"/>
                      <w:szCs w:val="21"/>
                      <w:highlight w:val="none"/>
                    </w:rPr>
                    <w:t>不高于2000元</w:t>
                  </w:r>
                </w:p>
              </w:tc>
              <w:tc>
                <w:tcPr>
                  <w:tcW w:w="3775" w:type="dxa"/>
                  <w:tcBorders>
                    <w:top w:val="single" w:color="000000" w:sz="4" w:space="0"/>
                    <w:left w:val="single" w:color="000000" w:sz="4" w:space="0"/>
                    <w:bottom w:val="single" w:color="000000" w:sz="4" w:space="0"/>
                    <w:right w:val="single" w:color="000000" w:sz="4" w:space="0"/>
                  </w:tcBorders>
                  <w:noWrap w:val="0"/>
                  <w:vAlign w:val="center"/>
                </w:tcPr>
                <w:p w14:paraId="1FB2D297">
                  <w:pPr>
                    <w:numPr>
                      <w:ilvl w:val="0"/>
                      <w:numId w:val="0"/>
                    </w:numPr>
                    <w:spacing w:line="400" w:lineRule="exact"/>
                    <w:rPr>
                      <w:rFonts w:hint="eastAsia" w:ascii="宋体" w:hAnsi="宋体" w:eastAsia="宋体" w:cs="宋体"/>
                      <w:color w:val="auto"/>
                      <w:szCs w:val="21"/>
                      <w:highlight w:val="none"/>
                    </w:rPr>
                  </w:pPr>
                </w:p>
              </w:tc>
            </w:tr>
            <w:tr w14:paraId="136F4042">
              <w:tblPrEx>
                <w:tblCellMar>
                  <w:top w:w="0" w:type="dxa"/>
                  <w:left w:w="108" w:type="dxa"/>
                  <w:bottom w:w="0" w:type="dxa"/>
                  <w:right w:w="108" w:type="dxa"/>
                </w:tblCellMar>
              </w:tblPrEx>
              <w:trPr>
                <w:trHeight w:val="23" w:hRule="atLeast"/>
                <w:jc w:val="center"/>
              </w:trPr>
              <w:tc>
                <w:tcPr>
                  <w:tcW w:w="727" w:type="dxa"/>
                  <w:tcBorders>
                    <w:top w:val="single" w:color="000000" w:sz="4" w:space="0"/>
                    <w:left w:val="single" w:color="000000" w:sz="4" w:space="0"/>
                    <w:bottom w:val="single" w:color="000000" w:sz="4" w:space="0"/>
                    <w:right w:val="single" w:color="000000" w:sz="4" w:space="0"/>
                  </w:tcBorders>
                  <w:noWrap/>
                  <w:vAlign w:val="center"/>
                </w:tcPr>
                <w:p w14:paraId="3F0F6025">
                  <w:pPr>
                    <w:widowControl/>
                    <w:numPr>
                      <w:ilvl w:val="0"/>
                      <w:numId w:val="0"/>
                    </w:numPr>
                    <w:spacing w:line="400" w:lineRule="exact"/>
                    <w:jc w:val="left"/>
                    <w:textAlignment w:val="auto"/>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2</w:t>
                  </w:r>
                </w:p>
              </w:tc>
              <w:tc>
                <w:tcPr>
                  <w:tcW w:w="916" w:type="dxa"/>
                  <w:tcBorders>
                    <w:top w:val="single" w:color="000000" w:sz="4" w:space="0"/>
                    <w:left w:val="single" w:color="000000" w:sz="4" w:space="0"/>
                    <w:bottom w:val="single" w:color="000000" w:sz="4" w:space="0"/>
                    <w:right w:val="single" w:color="000000" w:sz="4" w:space="0"/>
                  </w:tcBorders>
                  <w:noWrap/>
                  <w:vAlign w:val="center"/>
                </w:tcPr>
                <w:p w14:paraId="6C694FC7">
                  <w:pPr>
                    <w:widowControl/>
                    <w:numPr>
                      <w:ilvl w:val="0"/>
                      <w:numId w:val="0"/>
                    </w:numPr>
                    <w:spacing w:line="400" w:lineRule="exact"/>
                    <w:jc w:val="left"/>
                    <w:textAlignment w:val="auto"/>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作业人员</w:t>
                  </w:r>
                </w:p>
              </w:tc>
              <w:tc>
                <w:tcPr>
                  <w:tcW w:w="945" w:type="dxa"/>
                  <w:tcBorders>
                    <w:top w:val="single" w:color="000000" w:sz="4" w:space="0"/>
                    <w:left w:val="single" w:color="000000" w:sz="4" w:space="0"/>
                    <w:bottom w:val="single" w:color="000000" w:sz="4" w:space="0"/>
                    <w:right w:val="single" w:color="000000" w:sz="4" w:space="0"/>
                  </w:tcBorders>
                  <w:noWrap/>
                  <w:vAlign w:val="center"/>
                </w:tcPr>
                <w:p w14:paraId="1B0DBFA6">
                  <w:pPr>
                    <w:numPr>
                      <w:ilvl w:val="0"/>
                      <w:numId w:val="0"/>
                    </w:numPr>
                    <w:spacing w:line="400" w:lineRule="exact"/>
                    <w:jc w:val="left"/>
                    <w:rPr>
                      <w:rFonts w:hint="eastAsia" w:ascii="宋体" w:hAnsi="宋体" w:eastAsia="宋体" w:cs="宋体"/>
                      <w:color w:val="auto"/>
                      <w:szCs w:val="21"/>
                      <w:highlight w:val="none"/>
                    </w:rPr>
                  </w:pP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1618DBEA">
                  <w:pPr>
                    <w:numPr>
                      <w:ilvl w:val="0"/>
                      <w:numId w:val="0"/>
                    </w:numPr>
                    <w:spacing w:line="400" w:lineRule="exact"/>
                    <w:jc w:val="left"/>
                    <w:rPr>
                      <w:rFonts w:hint="eastAsia" w:ascii="宋体" w:hAnsi="宋体" w:eastAsia="宋体" w:cs="宋体"/>
                      <w:color w:val="auto"/>
                      <w:szCs w:val="21"/>
                      <w:highlight w:val="none"/>
                    </w:rPr>
                  </w:pPr>
                </w:p>
              </w:tc>
              <w:tc>
                <w:tcPr>
                  <w:tcW w:w="765" w:type="dxa"/>
                  <w:tcBorders>
                    <w:top w:val="single" w:color="000000" w:sz="4" w:space="0"/>
                    <w:left w:val="single" w:color="000000" w:sz="4" w:space="0"/>
                    <w:bottom w:val="single" w:color="000000" w:sz="4" w:space="0"/>
                    <w:right w:val="single" w:color="000000" w:sz="4" w:space="0"/>
                  </w:tcBorders>
                  <w:noWrap/>
                  <w:vAlign w:val="center"/>
                </w:tcPr>
                <w:p w14:paraId="6241551E">
                  <w:pPr>
                    <w:numPr>
                      <w:ilvl w:val="0"/>
                      <w:numId w:val="0"/>
                    </w:numPr>
                    <w:spacing w:line="400" w:lineRule="exact"/>
                    <w:jc w:val="left"/>
                    <w:rPr>
                      <w:rFonts w:hint="eastAsia" w:ascii="宋体" w:hAnsi="宋体" w:eastAsia="宋体" w:cs="宋体"/>
                      <w:color w:val="auto"/>
                      <w:szCs w:val="21"/>
                      <w:highlight w:val="none"/>
                    </w:rPr>
                  </w:pPr>
                </w:p>
              </w:tc>
              <w:tc>
                <w:tcPr>
                  <w:tcW w:w="1005" w:type="dxa"/>
                  <w:tcBorders>
                    <w:top w:val="single" w:color="000000" w:sz="4" w:space="0"/>
                    <w:left w:val="single" w:color="000000" w:sz="4" w:space="0"/>
                    <w:bottom w:val="single" w:color="000000" w:sz="4" w:space="0"/>
                    <w:right w:val="single" w:color="000000" w:sz="4" w:space="0"/>
                  </w:tcBorders>
                  <w:noWrap w:val="0"/>
                  <w:vAlign w:val="center"/>
                </w:tcPr>
                <w:p w14:paraId="38F4848A">
                  <w:pPr>
                    <w:numPr>
                      <w:ilvl w:val="0"/>
                      <w:numId w:val="0"/>
                    </w:numPr>
                    <w:spacing w:line="400" w:lineRule="exact"/>
                    <w:rPr>
                      <w:rFonts w:hint="eastAsia" w:ascii="宋体" w:hAnsi="宋体" w:eastAsia="宋体" w:cs="宋体"/>
                      <w:color w:val="auto"/>
                      <w:szCs w:val="21"/>
                      <w:highlight w:val="none"/>
                    </w:rPr>
                  </w:pPr>
                </w:p>
              </w:tc>
              <w:tc>
                <w:tcPr>
                  <w:tcW w:w="3775" w:type="dxa"/>
                  <w:tcBorders>
                    <w:top w:val="single" w:color="000000" w:sz="4" w:space="0"/>
                    <w:left w:val="single" w:color="000000" w:sz="4" w:space="0"/>
                    <w:bottom w:val="single" w:color="000000" w:sz="4" w:space="0"/>
                    <w:right w:val="single" w:color="000000" w:sz="4" w:space="0"/>
                  </w:tcBorders>
                  <w:noWrap w:val="0"/>
                  <w:vAlign w:val="center"/>
                </w:tcPr>
                <w:p w14:paraId="7C15DF2D">
                  <w:pPr>
                    <w:numPr>
                      <w:ilvl w:val="0"/>
                      <w:numId w:val="0"/>
                    </w:numPr>
                    <w:spacing w:line="400" w:lineRule="exact"/>
                    <w:rPr>
                      <w:rFonts w:hint="eastAsia" w:ascii="宋体" w:hAnsi="宋体" w:eastAsia="宋体" w:cs="宋体"/>
                      <w:color w:val="auto"/>
                      <w:szCs w:val="21"/>
                      <w:highlight w:val="none"/>
                    </w:rPr>
                  </w:pPr>
                </w:p>
              </w:tc>
            </w:tr>
            <w:tr w14:paraId="3C1AEE27">
              <w:tblPrEx>
                <w:tblCellMar>
                  <w:top w:w="0" w:type="dxa"/>
                  <w:left w:w="108" w:type="dxa"/>
                  <w:bottom w:w="0" w:type="dxa"/>
                  <w:right w:w="108" w:type="dxa"/>
                </w:tblCellMar>
              </w:tblPrEx>
              <w:trPr>
                <w:trHeight w:val="23" w:hRule="atLeast"/>
                <w:jc w:val="center"/>
              </w:trPr>
              <w:tc>
                <w:tcPr>
                  <w:tcW w:w="727" w:type="dxa"/>
                  <w:tcBorders>
                    <w:top w:val="single" w:color="000000" w:sz="4" w:space="0"/>
                    <w:left w:val="single" w:color="000000" w:sz="4" w:space="0"/>
                    <w:bottom w:val="single" w:color="000000" w:sz="4" w:space="0"/>
                    <w:right w:val="single" w:color="000000" w:sz="4" w:space="0"/>
                  </w:tcBorders>
                  <w:noWrap/>
                  <w:vAlign w:val="center"/>
                </w:tcPr>
                <w:p w14:paraId="0FDB0E26">
                  <w:pPr>
                    <w:widowControl/>
                    <w:numPr>
                      <w:ilvl w:val="0"/>
                      <w:numId w:val="0"/>
                    </w:numPr>
                    <w:spacing w:line="400" w:lineRule="exact"/>
                    <w:jc w:val="left"/>
                    <w:textAlignment w:val="auto"/>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2.1</w:t>
                  </w:r>
                </w:p>
              </w:tc>
              <w:tc>
                <w:tcPr>
                  <w:tcW w:w="916" w:type="dxa"/>
                  <w:tcBorders>
                    <w:top w:val="single" w:color="000000" w:sz="4" w:space="0"/>
                    <w:left w:val="single" w:color="000000" w:sz="4" w:space="0"/>
                    <w:bottom w:val="single" w:color="000000" w:sz="4" w:space="0"/>
                    <w:right w:val="single" w:color="000000" w:sz="4" w:space="0"/>
                  </w:tcBorders>
                  <w:noWrap/>
                  <w:vAlign w:val="center"/>
                </w:tcPr>
                <w:p w14:paraId="2F7D5D84">
                  <w:pPr>
                    <w:numPr>
                      <w:ilvl w:val="0"/>
                      <w:numId w:val="0"/>
                    </w:numPr>
                    <w:spacing w:line="400" w:lineRule="exact"/>
                    <w:jc w:val="left"/>
                    <w:rPr>
                      <w:rFonts w:hint="eastAsia" w:ascii="宋体" w:hAnsi="宋体" w:eastAsia="宋体" w:cs="宋体"/>
                      <w:color w:val="auto"/>
                      <w:szCs w:val="21"/>
                      <w:highlight w:val="none"/>
                    </w:rPr>
                  </w:pPr>
                </w:p>
              </w:tc>
              <w:tc>
                <w:tcPr>
                  <w:tcW w:w="945" w:type="dxa"/>
                  <w:tcBorders>
                    <w:top w:val="single" w:color="000000" w:sz="4" w:space="0"/>
                    <w:left w:val="single" w:color="000000" w:sz="4" w:space="0"/>
                    <w:bottom w:val="single" w:color="000000" w:sz="4" w:space="0"/>
                    <w:right w:val="single" w:color="000000" w:sz="4" w:space="0"/>
                  </w:tcBorders>
                  <w:noWrap/>
                  <w:vAlign w:val="center"/>
                </w:tcPr>
                <w:p w14:paraId="4B84C0D3">
                  <w:pPr>
                    <w:widowControl/>
                    <w:numPr>
                      <w:ilvl w:val="0"/>
                      <w:numId w:val="0"/>
                    </w:numPr>
                    <w:spacing w:line="400" w:lineRule="exact"/>
                    <w:jc w:val="left"/>
                    <w:textAlignment w:val="auto"/>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作业人员</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053D26F9">
                  <w:pPr>
                    <w:widowControl/>
                    <w:numPr>
                      <w:ilvl w:val="0"/>
                      <w:numId w:val="0"/>
                    </w:numPr>
                    <w:spacing w:line="400" w:lineRule="exact"/>
                    <w:jc w:val="left"/>
                    <w:textAlignment w:val="auto"/>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765" w:type="dxa"/>
                  <w:tcBorders>
                    <w:top w:val="single" w:color="000000" w:sz="4" w:space="0"/>
                    <w:left w:val="single" w:color="000000" w:sz="4" w:space="0"/>
                    <w:bottom w:val="single" w:color="000000" w:sz="4" w:space="0"/>
                    <w:right w:val="single" w:color="000000" w:sz="4" w:space="0"/>
                  </w:tcBorders>
                  <w:noWrap/>
                  <w:vAlign w:val="center"/>
                </w:tcPr>
                <w:p w14:paraId="71221574">
                  <w:pPr>
                    <w:widowControl/>
                    <w:numPr>
                      <w:ilvl w:val="0"/>
                      <w:numId w:val="0"/>
                    </w:numPr>
                    <w:spacing w:line="400" w:lineRule="exact"/>
                    <w:jc w:val="left"/>
                    <w:textAlignment w:val="auto"/>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工日</w:t>
                  </w:r>
                </w:p>
              </w:tc>
              <w:tc>
                <w:tcPr>
                  <w:tcW w:w="1005" w:type="dxa"/>
                  <w:tcBorders>
                    <w:top w:val="single" w:color="000000" w:sz="4" w:space="0"/>
                    <w:left w:val="single" w:color="000000" w:sz="4" w:space="0"/>
                    <w:bottom w:val="single" w:color="000000" w:sz="4" w:space="0"/>
                    <w:right w:val="single" w:color="000000" w:sz="4" w:space="0"/>
                  </w:tcBorders>
                  <w:noWrap/>
                  <w:vAlign w:val="center"/>
                </w:tcPr>
                <w:p w14:paraId="1A1C5780">
                  <w:pPr>
                    <w:numPr>
                      <w:ilvl w:val="0"/>
                      <w:numId w:val="0"/>
                    </w:numPr>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每工日不超过290元</w:t>
                  </w:r>
                </w:p>
              </w:tc>
              <w:tc>
                <w:tcPr>
                  <w:tcW w:w="3775" w:type="dxa"/>
                  <w:tcBorders>
                    <w:top w:val="single" w:color="000000" w:sz="4" w:space="0"/>
                    <w:left w:val="single" w:color="000000" w:sz="4" w:space="0"/>
                    <w:bottom w:val="single" w:color="000000" w:sz="4" w:space="0"/>
                    <w:right w:val="single" w:color="000000" w:sz="4" w:space="0"/>
                  </w:tcBorders>
                  <w:noWrap/>
                  <w:vAlign w:val="center"/>
                </w:tcPr>
                <w:p w14:paraId="6D29F37A">
                  <w:pPr>
                    <w:numPr>
                      <w:ilvl w:val="0"/>
                      <w:numId w:val="0"/>
                    </w:numPr>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每日清理海洋垃圾至少3立方</w:t>
                  </w:r>
                </w:p>
              </w:tc>
            </w:tr>
            <w:tr w14:paraId="52C72891">
              <w:tblPrEx>
                <w:tblCellMar>
                  <w:top w:w="0" w:type="dxa"/>
                  <w:left w:w="108" w:type="dxa"/>
                  <w:bottom w:w="0" w:type="dxa"/>
                  <w:right w:w="108" w:type="dxa"/>
                </w:tblCellMar>
              </w:tblPrEx>
              <w:trPr>
                <w:trHeight w:val="23" w:hRule="atLeast"/>
                <w:jc w:val="center"/>
              </w:trPr>
              <w:tc>
                <w:tcPr>
                  <w:tcW w:w="727" w:type="dxa"/>
                  <w:tcBorders>
                    <w:top w:val="single" w:color="000000" w:sz="4" w:space="0"/>
                    <w:left w:val="single" w:color="000000" w:sz="4" w:space="0"/>
                    <w:bottom w:val="single" w:color="000000" w:sz="4" w:space="0"/>
                    <w:right w:val="single" w:color="000000" w:sz="4" w:space="0"/>
                  </w:tcBorders>
                  <w:noWrap/>
                  <w:vAlign w:val="center"/>
                </w:tcPr>
                <w:p w14:paraId="186BB0A8">
                  <w:pPr>
                    <w:widowControl/>
                    <w:numPr>
                      <w:ilvl w:val="0"/>
                      <w:numId w:val="0"/>
                    </w:numPr>
                    <w:spacing w:line="400" w:lineRule="exact"/>
                    <w:jc w:val="left"/>
                    <w:textAlignment w:val="auto"/>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2.2</w:t>
                  </w:r>
                </w:p>
              </w:tc>
              <w:tc>
                <w:tcPr>
                  <w:tcW w:w="916" w:type="dxa"/>
                  <w:tcBorders>
                    <w:top w:val="single" w:color="000000" w:sz="4" w:space="0"/>
                    <w:left w:val="single" w:color="000000" w:sz="4" w:space="0"/>
                    <w:bottom w:val="single" w:color="000000" w:sz="4" w:space="0"/>
                    <w:right w:val="single" w:color="000000" w:sz="4" w:space="0"/>
                  </w:tcBorders>
                  <w:noWrap/>
                  <w:vAlign w:val="center"/>
                </w:tcPr>
                <w:p w14:paraId="66906D48">
                  <w:pPr>
                    <w:numPr>
                      <w:ilvl w:val="0"/>
                      <w:numId w:val="0"/>
                    </w:numPr>
                    <w:spacing w:line="400" w:lineRule="exact"/>
                    <w:jc w:val="left"/>
                    <w:rPr>
                      <w:rFonts w:hint="eastAsia" w:ascii="宋体" w:hAnsi="宋体" w:eastAsia="宋体" w:cs="宋体"/>
                      <w:color w:val="auto"/>
                      <w:szCs w:val="21"/>
                      <w:highlight w:val="none"/>
                    </w:rPr>
                  </w:pPr>
                </w:p>
              </w:tc>
              <w:tc>
                <w:tcPr>
                  <w:tcW w:w="945" w:type="dxa"/>
                  <w:tcBorders>
                    <w:top w:val="single" w:color="000000" w:sz="4" w:space="0"/>
                    <w:left w:val="single" w:color="000000" w:sz="4" w:space="0"/>
                    <w:bottom w:val="single" w:color="000000" w:sz="4" w:space="0"/>
                    <w:right w:val="single" w:color="000000" w:sz="4" w:space="0"/>
                  </w:tcBorders>
                  <w:noWrap/>
                  <w:vAlign w:val="center"/>
                </w:tcPr>
                <w:p w14:paraId="5EAA4C6E">
                  <w:pPr>
                    <w:widowControl/>
                    <w:numPr>
                      <w:ilvl w:val="0"/>
                      <w:numId w:val="0"/>
                    </w:numPr>
                    <w:spacing w:line="400" w:lineRule="exact"/>
                    <w:jc w:val="left"/>
                    <w:textAlignment w:val="auto"/>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锯手</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406D89E2">
                  <w:pPr>
                    <w:widowControl/>
                    <w:numPr>
                      <w:ilvl w:val="0"/>
                      <w:numId w:val="0"/>
                    </w:numPr>
                    <w:spacing w:line="400" w:lineRule="exact"/>
                    <w:jc w:val="left"/>
                    <w:textAlignment w:val="auto"/>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765" w:type="dxa"/>
                  <w:tcBorders>
                    <w:top w:val="single" w:color="000000" w:sz="4" w:space="0"/>
                    <w:left w:val="single" w:color="000000" w:sz="4" w:space="0"/>
                    <w:bottom w:val="single" w:color="000000" w:sz="4" w:space="0"/>
                    <w:right w:val="single" w:color="000000" w:sz="4" w:space="0"/>
                  </w:tcBorders>
                  <w:noWrap/>
                  <w:vAlign w:val="center"/>
                </w:tcPr>
                <w:p w14:paraId="4166BAC6">
                  <w:pPr>
                    <w:widowControl/>
                    <w:numPr>
                      <w:ilvl w:val="0"/>
                      <w:numId w:val="0"/>
                    </w:numPr>
                    <w:spacing w:line="400" w:lineRule="exact"/>
                    <w:jc w:val="left"/>
                    <w:textAlignment w:val="auto"/>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工日</w:t>
                  </w:r>
                </w:p>
              </w:tc>
              <w:tc>
                <w:tcPr>
                  <w:tcW w:w="1005" w:type="dxa"/>
                  <w:tcBorders>
                    <w:top w:val="single" w:color="000000" w:sz="4" w:space="0"/>
                    <w:left w:val="single" w:color="000000" w:sz="4" w:space="0"/>
                    <w:bottom w:val="single" w:color="000000" w:sz="4" w:space="0"/>
                    <w:right w:val="single" w:color="000000" w:sz="4" w:space="0"/>
                  </w:tcBorders>
                  <w:noWrap/>
                  <w:vAlign w:val="center"/>
                </w:tcPr>
                <w:p w14:paraId="59D3657F">
                  <w:pPr>
                    <w:widowControl/>
                    <w:numPr>
                      <w:ilvl w:val="0"/>
                      <w:numId w:val="0"/>
                    </w:numPr>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每工日不超过500元</w:t>
                  </w:r>
                </w:p>
              </w:tc>
              <w:tc>
                <w:tcPr>
                  <w:tcW w:w="3775" w:type="dxa"/>
                  <w:tcBorders>
                    <w:top w:val="single" w:color="000000" w:sz="4" w:space="0"/>
                    <w:left w:val="single" w:color="000000" w:sz="4" w:space="0"/>
                    <w:bottom w:val="single" w:color="000000" w:sz="4" w:space="0"/>
                    <w:right w:val="single" w:color="000000" w:sz="4" w:space="0"/>
                  </w:tcBorders>
                  <w:noWrap/>
                  <w:vAlign w:val="center"/>
                </w:tcPr>
                <w:p w14:paraId="7E35DAB6">
                  <w:pPr>
                    <w:widowControl/>
                    <w:numPr>
                      <w:ilvl w:val="0"/>
                      <w:numId w:val="0"/>
                    </w:numPr>
                    <w:spacing w:line="400" w:lineRule="exact"/>
                    <w:textAlignment w:val="auto"/>
                    <w:rPr>
                      <w:rFonts w:hint="eastAsia" w:ascii="宋体" w:hAnsi="宋体" w:eastAsia="宋体" w:cs="宋体"/>
                      <w:color w:val="auto"/>
                      <w:szCs w:val="21"/>
                      <w:highlight w:val="none"/>
                    </w:rPr>
                  </w:pPr>
                </w:p>
              </w:tc>
            </w:tr>
            <w:tr w14:paraId="5296BB3D">
              <w:tblPrEx>
                <w:tblCellMar>
                  <w:top w:w="0" w:type="dxa"/>
                  <w:left w:w="108" w:type="dxa"/>
                  <w:bottom w:w="0" w:type="dxa"/>
                  <w:right w:w="108" w:type="dxa"/>
                </w:tblCellMar>
              </w:tblPrEx>
              <w:trPr>
                <w:trHeight w:val="23" w:hRule="atLeast"/>
                <w:jc w:val="center"/>
              </w:trPr>
              <w:tc>
                <w:tcPr>
                  <w:tcW w:w="727" w:type="dxa"/>
                  <w:tcBorders>
                    <w:top w:val="single" w:color="000000" w:sz="4" w:space="0"/>
                    <w:left w:val="single" w:color="000000" w:sz="4" w:space="0"/>
                    <w:bottom w:val="single" w:color="000000" w:sz="4" w:space="0"/>
                    <w:right w:val="single" w:color="000000" w:sz="4" w:space="0"/>
                  </w:tcBorders>
                  <w:noWrap/>
                  <w:vAlign w:val="center"/>
                </w:tcPr>
                <w:p w14:paraId="586E97D7">
                  <w:pPr>
                    <w:widowControl/>
                    <w:numPr>
                      <w:ilvl w:val="0"/>
                      <w:numId w:val="0"/>
                    </w:numPr>
                    <w:spacing w:line="400" w:lineRule="exact"/>
                    <w:jc w:val="left"/>
                    <w:textAlignment w:val="auto"/>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3</w:t>
                  </w:r>
                </w:p>
              </w:tc>
              <w:tc>
                <w:tcPr>
                  <w:tcW w:w="916" w:type="dxa"/>
                  <w:tcBorders>
                    <w:top w:val="single" w:color="000000" w:sz="4" w:space="0"/>
                    <w:left w:val="single" w:color="000000" w:sz="4" w:space="0"/>
                    <w:bottom w:val="single" w:color="000000" w:sz="4" w:space="0"/>
                    <w:right w:val="single" w:color="000000" w:sz="4" w:space="0"/>
                  </w:tcBorders>
                  <w:noWrap/>
                  <w:vAlign w:val="center"/>
                </w:tcPr>
                <w:p w14:paraId="5FF4DD48">
                  <w:pPr>
                    <w:widowControl/>
                    <w:numPr>
                      <w:ilvl w:val="0"/>
                      <w:numId w:val="0"/>
                    </w:numPr>
                    <w:spacing w:line="400" w:lineRule="exact"/>
                    <w:jc w:val="left"/>
                    <w:textAlignment w:val="auto"/>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运输车辆</w:t>
                  </w:r>
                </w:p>
              </w:tc>
              <w:tc>
                <w:tcPr>
                  <w:tcW w:w="945" w:type="dxa"/>
                  <w:tcBorders>
                    <w:top w:val="single" w:color="000000" w:sz="4" w:space="0"/>
                    <w:left w:val="single" w:color="000000" w:sz="4" w:space="0"/>
                    <w:bottom w:val="single" w:color="000000" w:sz="4" w:space="0"/>
                    <w:right w:val="single" w:color="000000" w:sz="4" w:space="0"/>
                  </w:tcBorders>
                  <w:noWrap/>
                  <w:vAlign w:val="center"/>
                </w:tcPr>
                <w:p w14:paraId="5E555C61">
                  <w:pPr>
                    <w:numPr>
                      <w:ilvl w:val="0"/>
                      <w:numId w:val="0"/>
                    </w:numPr>
                    <w:spacing w:line="400" w:lineRule="exact"/>
                    <w:jc w:val="left"/>
                    <w:rPr>
                      <w:rFonts w:hint="eastAsia" w:ascii="宋体" w:hAnsi="宋体" w:eastAsia="宋体" w:cs="宋体"/>
                      <w:color w:val="auto"/>
                      <w:szCs w:val="21"/>
                      <w:highlight w:val="none"/>
                    </w:rPr>
                  </w:pP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78F429CD">
                  <w:pPr>
                    <w:widowControl/>
                    <w:numPr>
                      <w:ilvl w:val="0"/>
                      <w:numId w:val="0"/>
                    </w:numPr>
                    <w:spacing w:line="400" w:lineRule="exact"/>
                    <w:jc w:val="left"/>
                    <w:textAlignment w:val="auto"/>
                    <w:rPr>
                      <w:rFonts w:hint="eastAsia" w:ascii="宋体" w:hAnsi="宋体" w:eastAsia="宋体" w:cs="宋体"/>
                      <w:color w:val="auto"/>
                      <w:szCs w:val="21"/>
                      <w:highlight w:val="none"/>
                    </w:rPr>
                  </w:pPr>
                </w:p>
              </w:tc>
              <w:tc>
                <w:tcPr>
                  <w:tcW w:w="765" w:type="dxa"/>
                  <w:tcBorders>
                    <w:top w:val="single" w:color="000000" w:sz="4" w:space="0"/>
                    <w:left w:val="single" w:color="000000" w:sz="4" w:space="0"/>
                    <w:bottom w:val="single" w:color="000000" w:sz="4" w:space="0"/>
                    <w:right w:val="single" w:color="000000" w:sz="4" w:space="0"/>
                  </w:tcBorders>
                  <w:noWrap/>
                  <w:vAlign w:val="center"/>
                </w:tcPr>
                <w:p w14:paraId="096BE009">
                  <w:pPr>
                    <w:widowControl/>
                    <w:numPr>
                      <w:ilvl w:val="0"/>
                      <w:numId w:val="0"/>
                    </w:numPr>
                    <w:spacing w:line="400" w:lineRule="exact"/>
                    <w:jc w:val="left"/>
                    <w:textAlignment w:val="auto"/>
                    <w:rPr>
                      <w:rFonts w:hint="eastAsia" w:ascii="宋体" w:hAnsi="宋体" w:eastAsia="宋体" w:cs="宋体"/>
                      <w:color w:val="auto"/>
                      <w:szCs w:val="21"/>
                      <w:highlight w:val="none"/>
                    </w:rPr>
                  </w:pPr>
                </w:p>
              </w:tc>
              <w:tc>
                <w:tcPr>
                  <w:tcW w:w="1005" w:type="dxa"/>
                  <w:tcBorders>
                    <w:top w:val="single" w:color="000000" w:sz="4" w:space="0"/>
                    <w:left w:val="single" w:color="000000" w:sz="4" w:space="0"/>
                    <w:bottom w:val="single" w:color="000000" w:sz="4" w:space="0"/>
                    <w:right w:val="single" w:color="000000" w:sz="4" w:space="0"/>
                  </w:tcBorders>
                  <w:noWrap/>
                  <w:vAlign w:val="center"/>
                </w:tcPr>
                <w:p w14:paraId="19EEEC4B">
                  <w:pPr>
                    <w:numPr>
                      <w:ilvl w:val="0"/>
                      <w:numId w:val="0"/>
                    </w:numPr>
                    <w:spacing w:line="400" w:lineRule="exact"/>
                    <w:rPr>
                      <w:rFonts w:hint="eastAsia" w:ascii="宋体" w:hAnsi="宋体" w:eastAsia="宋体" w:cs="宋体"/>
                      <w:color w:val="auto"/>
                      <w:szCs w:val="21"/>
                      <w:highlight w:val="none"/>
                    </w:rPr>
                  </w:pPr>
                </w:p>
              </w:tc>
              <w:tc>
                <w:tcPr>
                  <w:tcW w:w="3775" w:type="dxa"/>
                  <w:tcBorders>
                    <w:top w:val="single" w:color="000000" w:sz="4" w:space="0"/>
                    <w:left w:val="single" w:color="000000" w:sz="4" w:space="0"/>
                    <w:bottom w:val="single" w:color="000000" w:sz="4" w:space="0"/>
                    <w:right w:val="single" w:color="000000" w:sz="4" w:space="0"/>
                  </w:tcBorders>
                  <w:noWrap/>
                  <w:vAlign w:val="center"/>
                </w:tcPr>
                <w:p w14:paraId="7EEE83F7">
                  <w:pPr>
                    <w:numPr>
                      <w:ilvl w:val="0"/>
                      <w:numId w:val="0"/>
                    </w:numPr>
                    <w:spacing w:line="400" w:lineRule="exact"/>
                    <w:rPr>
                      <w:rFonts w:hint="eastAsia" w:ascii="宋体" w:hAnsi="宋体" w:eastAsia="宋体" w:cs="宋体"/>
                      <w:color w:val="auto"/>
                      <w:szCs w:val="21"/>
                      <w:highlight w:val="none"/>
                    </w:rPr>
                  </w:pPr>
                </w:p>
              </w:tc>
            </w:tr>
            <w:tr w14:paraId="2C87BDCE">
              <w:trPr>
                <w:trHeight w:val="23" w:hRule="atLeast"/>
                <w:jc w:val="center"/>
              </w:trPr>
              <w:tc>
                <w:tcPr>
                  <w:tcW w:w="727" w:type="dxa"/>
                  <w:tcBorders>
                    <w:top w:val="single" w:color="000000" w:sz="4" w:space="0"/>
                    <w:left w:val="single" w:color="000000" w:sz="4" w:space="0"/>
                    <w:bottom w:val="single" w:color="000000" w:sz="4" w:space="0"/>
                    <w:right w:val="single" w:color="000000" w:sz="4" w:space="0"/>
                  </w:tcBorders>
                  <w:noWrap/>
                  <w:vAlign w:val="center"/>
                </w:tcPr>
                <w:p w14:paraId="432B1050">
                  <w:pPr>
                    <w:widowControl/>
                    <w:numPr>
                      <w:ilvl w:val="0"/>
                      <w:numId w:val="0"/>
                    </w:numPr>
                    <w:spacing w:line="400" w:lineRule="exact"/>
                    <w:jc w:val="left"/>
                    <w:textAlignment w:val="auto"/>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3.1</w:t>
                  </w:r>
                </w:p>
              </w:tc>
              <w:tc>
                <w:tcPr>
                  <w:tcW w:w="916" w:type="dxa"/>
                  <w:tcBorders>
                    <w:top w:val="single" w:color="000000" w:sz="4" w:space="0"/>
                    <w:left w:val="single" w:color="000000" w:sz="4" w:space="0"/>
                    <w:bottom w:val="single" w:color="000000" w:sz="4" w:space="0"/>
                    <w:right w:val="single" w:color="000000" w:sz="4" w:space="0"/>
                  </w:tcBorders>
                  <w:noWrap/>
                  <w:vAlign w:val="center"/>
                </w:tcPr>
                <w:p w14:paraId="42502CFD">
                  <w:pPr>
                    <w:widowControl/>
                    <w:numPr>
                      <w:ilvl w:val="0"/>
                      <w:numId w:val="0"/>
                    </w:numPr>
                    <w:spacing w:line="400" w:lineRule="exact"/>
                    <w:jc w:val="left"/>
                    <w:textAlignment w:val="auto"/>
                    <w:rPr>
                      <w:rFonts w:hint="eastAsia" w:ascii="宋体" w:hAnsi="宋体" w:eastAsia="宋体" w:cs="宋体"/>
                      <w:color w:val="auto"/>
                      <w:kern w:val="0"/>
                      <w:szCs w:val="21"/>
                      <w:highlight w:val="none"/>
                      <w:lang w:bidi="ar"/>
                    </w:rPr>
                  </w:pPr>
                </w:p>
              </w:tc>
              <w:tc>
                <w:tcPr>
                  <w:tcW w:w="945" w:type="dxa"/>
                  <w:tcBorders>
                    <w:top w:val="single" w:color="000000" w:sz="4" w:space="0"/>
                    <w:left w:val="single" w:color="000000" w:sz="4" w:space="0"/>
                    <w:bottom w:val="single" w:color="000000" w:sz="4" w:space="0"/>
                    <w:right w:val="single" w:color="000000" w:sz="4" w:space="0"/>
                  </w:tcBorders>
                  <w:noWrap/>
                  <w:vAlign w:val="center"/>
                </w:tcPr>
                <w:p w14:paraId="4A33947C">
                  <w:pPr>
                    <w:widowControl/>
                    <w:numPr>
                      <w:ilvl w:val="0"/>
                      <w:numId w:val="0"/>
                    </w:numPr>
                    <w:spacing w:line="400" w:lineRule="exact"/>
                    <w:jc w:val="left"/>
                    <w:textAlignment w:val="auto"/>
                    <w:rPr>
                      <w:rFonts w:hint="eastAsia" w:ascii="宋体" w:hAnsi="宋体" w:eastAsia="宋体" w:cs="宋体"/>
                      <w:color w:val="auto"/>
                      <w:kern w:val="0"/>
                      <w:szCs w:val="21"/>
                      <w:highlight w:val="none"/>
                      <w:lang w:eastAsia="zh-CN" w:bidi="ar"/>
                    </w:rPr>
                  </w:pPr>
                  <w:r>
                    <w:rPr>
                      <w:rFonts w:hint="eastAsia" w:ascii="宋体" w:hAnsi="宋体" w:eastAsia="宋体" w:cs="宋体"/>
                      <w:color w:val="auto"/>
                      <w:kern w:val="0"/>
                      <w:szCs w:val="21"/>
                      <w:highlight w:val="none"/>
                      <w:lang w:bidi="ar"/>
                    </w:rPr>
                    <w:t>中型平板货车</w:t>
                  </w:r>
                  <w:r>
                    <w:rPr>
                      <w:rFonts w:hint="eastAsia" w:ascii="宋体" w:hAnsi="宋体" w:eastAsia="宋体" w:cs="宋体"/>
                      <w:color w:val="auto"/>
                      <w:kern w:val="0"/>
                      <w:szCs w:val="21"/>
                      <w:highlight w:val="none"/>
                      <w:lang w:eastAsia="zh-CN" w:bidi="ar"/>
                    </w:rPr>
                    <w:t>（</w:t>
                  </w:r>
                  <w:r>
                    <w:rPr>
                      <w:rFonts w:hint="eastAsia" w:ascii="宋体" w:hAnsi="宋体" w:eastAsia="宋体" w:cs="宋体"/>
                      <w:color w:val="auto"/>
                      <w:kern w:val="0"/>
                      <w:szCs w:val="21"/>
                      <w:highlight w:val="none"/>
                      <w:lang w:val="en-US" w:eastAsia="zh-CN" w:bidi="ar"/>
                    </w:rPr>
                    <w:t>含装卸</w:t>
                  </w:r>
                  <w:r>
                    <w:rPr>
                      <w:rFonts w:hint="eastAsia" w:ascii="宋体" w:hAnsi="宋体" w:eastAsia="宋体" w:cs="宋体"/>
                      <w:color w:val="auto"/>
                      <w:kern w:val="0"/>
                      <w:szCs w:val="21"/>
                      <w:highlight w:val="none"/>
                      <w:lang w:eastAsia="zh-CN" w:bidi="ar"/>
                    </w:rPr>
                    <w:t>）</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400A6BAA">
                  <w:pPr>
                    <w:widowControl/>
                    <w:numPr>
                      <w:ilvl w:val="0"/>
                      <w:numId w:val="0"/>
                    </w:numPr>
                    <w:spacing w:line="400" w:lineRule="exact"/>
                    <w:jc w:val="left"/>
                    <w:textAlignment w:val="auto"/>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w:t>
                  </w:r>
                </w:p>
              </w:tc>
              <w:tc>
                <w:tcPr>
                  <w:tcW w:w="765" w:type="dxa"/>
                  <w:tcBorders>
                    <w:top w:val="single" w:color="000000" w:sz="4" w:space="0"/>
                    <w:left w:val="single" w:color="000000" w:sz="4" w:space="0"/>
                    <w:bottom w:val="single" w:color="000000" w:sz="4" w:space="0"/>
                    <w:right w:val="single" w:color="000000" w:sz="4" w:space="0"/>
                  </w:tcBorders>
                  <w:noWrap/>
                  <w:vAlign w:val="center"/>
                </w:tcPr>
                <w:p w14:paraId="48505509">
                  <w:pPr>
                    <w:widowControl/>
                    <w:numPr>
                      <w:ilvl w:val="0"/>
                      <w:numId w:val="0"/>
                    </w:numPr>
                    <w:spacing w:line="400" w:lineRule="exact"/>
                    <w:jc w:val="left"/>
                    <w:textAlignment w:val="auto"/>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台班</w:t>
                  </w:r>
                </w:p>
              </w:tc>
              <w:tc>
                <w:tcPr>
                  <w:tcW w:w="1005" w:type="dxa"/>
                  <w:tcBorders>
                    <w:top w:val="single" w:color="000000" w:sz="4" w:space="0"/>
                    <w:left w:val="single" w:color="000000" w:sz="4" w:space="0"/>
                    <w:bottom w:val="single" w:color="000000" w:sz="4" w:space="0"/>
                    <w:right w:val="single" w:color="000000" w:sz="4" w:space="0"/>
                  </w:tcBorders>
                  <w:noWrap/>
                  <w:vAlign w:val="center"/>
                </w:tcPr>
                <w:p w14:paraId="1219E713">
                  <w:pPr>
                    <w:numPr>
                      <w:ilvl w:val="0"/>
                      <w:numId w:val="0"/>
                    </w:numPr>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每台班不超过700元</w:t>
                  </w:r>
                </w:p>
              </w:tc>
              <w:tc>
                <w:tcPr>
                  <w:tcW w:w="3775" w:type="dxa"/>
                  <w:tcBorders>
                    <w:top w:val="single" w:color="000000" w:sz="4" w:space="0"/>
                    <w:left w:val="single" w:color="000000" w:sz="4" w:space="0"/>
                    <w:bottom w:val="single" w:color="000000" w:sz="4" w:space="0"/>
                    <w:right w:val="single" w:color="000000" w:sz="4" w:space="0"/>
                  </w:tcBorders>
                  <w:noWrap/>
                  <w:vAlign w:val="center"/>
                </w:tcPr>
                <w:p w14:paraId="10FBEAEF">
                  <w:pPr>
                    <w:numPr>
                      <w:ilvl w:val="0"/>
                      <w:numId w:val="0"/>
                    </w:numPr>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每次清理海洋垃圾至少20立方</w:t>
                  </w:r>
                </w:p>
              </w:tc>
            </w:tr>
            <w:tr w14:paraId="39C94DF3">
              <w:tblPrEx>
                <w:tblCellMar>
                  <w:top w:w="0" w:type="dxa"/>
                  <w:left w:w="108" w:type="dxa"/>
                  <w:bottom w:w="0" w:type="dxa"/>
                  <w:right w:w="108" w:type="dxa"/>
                </w:tblCellMar>
              </w:tblPrEx>
              <w:trPr>
                <w:trHeight w:val="23" w:hRule="atLeast"/>
                <w:jc w:val="center"/>
              </w:trPr>
              <w:tc>
                <w:tcPr>
                  <w:tcW w:w="727" w:type="dxa"/>
                  <w:tcBorders>
                    <w:top w:val="single" w:color="000000" w:sz="4" w:space="0"/>
                    <w:left w:val="single" w:color="000000" w:sz="4" w:space="0"/>
                    <w:bottom w:val="single" w:color="000000" w:sz="4" w:space="0"/>
                    <w:right w:val="single" w:color="000000" w:sz="4" w:space="0"/>
                  </w:tcBorders>
                  <w:noWrap/>
                  <w:vAlign w:val="center"/>
                </w:tcPr>
                <w:p w14:paraId="5138838E">
                  <w:pPr>
                    <w:widowControl/>
                    <w:numPr>
                      <w:ilvl w:val="0"/>
                      <w:numId w:val="0"/>
                    </w:numPr>
                    <w:spacing w:line="400" w:lineRule="exact"/>
                    <w:jc w:val="left"/>
                    <w:textAlignment w:val="auto"/>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3.2</w:t>
                  </w:r>
                </w:p>
              </w:tc>
              <w:tc>
                <w:tcPr>
                  <w:tcW w:w="916" w:type="dxa"/>
                  <w:tcBorders>
                    <w:top w:val="single" w:color="000000" w:sz="4" w:space="0"/>
                    <w:left w:val="single" w:color="000000" w:sz="4" w:space="0"/>
                    <w:bottom w:val="single" w:color="000000" w:sz="4" w:space="0"/>
                    <w:right w:val="single" w:color="000000" w:sz="4" w:space="0"/>
                  </w:tcBorders>
                  <w:noWrap/>
                  <w:vAlign w:val="center"/>
                </w:tcPr>
                <w:p w14:paraId="0752D898">
                  <w:pPr>
                    <w:widowControl/>
                    <w:numPr>
                      <w:ilvl w:val="0"/>
                      <w:numId w:val="0"/>
                    </w:numPr>
                    <w:spacing w:line="400" w:lineRule="exact"/>
                    <w:jc w:val="left"/>
                    <w:textAlignment w:val="auto"/>
                    <w:rPr>
                      <w:rFonts w:hint="eastAsia" w:ascii="宋体" w:hAnsi="宋体" w:eastAsia="宋体" w:cs="宋体"/>
                      <w:color w:val="auto"/>
                      <w:kern w:val="0"/>
                      <w:szCs w:val="21"/>
                      <w:highlight w:val="none"/>
                      <w:lang w:bidi="ar"/>
                    </w:rPr>
                  </w:pPr>
                </w:p>
              </w:tc>
              <w:tc>
                <w:tcPr>
                  <w:tcW w:w="945" w:type="dxa"/>
                  <w:tcBorders>
                    <w:top w:val="single" w:color="000000" w:sz="4" w:space="0"/>
                    <w:left w:val="single" w:color="000000" w:sz="4" w:space="0"/>
                    <w:bottom w:val="single" w:color="000000" w:sz="4" w:space="0"/>
                    <w:right w:val="single" w:color="000000" w:sz="4" w:space="0"/>
                  </w:tcBorders>
                  <w:noWrap/>
                  <w:vAlign w:val="center"/>
                </w:tcPr>
                <w:p w14:paraId="3EC25C15">
                  <w:pPr>
                    <w:widowControl/>
                    <w:numPr>
                      <w:ilvl w:val="0"/>
                      <w:numId w:val="0"/>
                    </w:numPr>
                    <w:spacing w:line="400" w:lineRule="exact"/>
                    <w:jc w:val="left"/>
                    <w:textAlignment w:val="auto"/>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普通三轮装载摩托车</w:t>
                  </w:r>
                  <w:r>
                    <w:rPr>
                      <w:rFonts w:hint="eastAsia" w:ascii="宋体" w:hAnsi="宋体" w:eastAsia="宋体" w:cs="宋体"/>
                      <w:color w:val="auto"/>
                      <w:kern w:val="0"/>
                      <w:szCs w:val="21"/>
                      <w:highlight w:val="none"/>
                      <w:lang w:eastAsia="zh-CN" w:bidi="ar"/>
                    </w:rPr>
                    <w:t>（</w:t>
                  </w:r>
                  <w:r>
                    <w:rPr>
                      <w:rFonts w:hint="eastAsia" w:ascii="宋体" w:hAnsi="宋体" w:eastAsia="宋体" w:cs="宋体"/>
                      <w:color w:val="auto"/>
                      <w:kern w:val="0"/>
                      <w:szCs w:val="21"/>
                      <w:highlight w:val="none"/>
                      <w:lang w:val="en-US" w:eastAsia="zh-CN" w:bidi="ar"/>
                    </w:rPr>
                    <w:t>含装卸</w:t>
                  </w:r>
                  <w:r>
                    <w:rPr>
                      <w:rFonts w:hint="eastAsia" w:ascii="宋体" w:hAnsi="宋体" w:eastAsia="宋体" w:cs="宋体"/>
                      <w:color w:val="auto"/>
                      <w:kern w:val="0"/>
                      <w:szCs w:val="21"/>
                      <w:highlight w:val="none"/>
                      <w:lang w:eastAsia="zh-CN" w:bidi="ar"/>
                    </w:rPr>
                    <w:t>）</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10B58E0A">
                  <w:pPr>
                    <w:widowControl/>
                    <w:numPr>
                      <w:ilvl w:val="0"/>
                      <w:numId w:val="0"/>
                    </w:numPr>
                    <w:spacing w:line="400" w:lineRule="exact"/>
                    <w:jc w:val="left"/>
                    <w:textAlignment w:val="auto"/>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w:t>
                  </w:r>
                </w:p>
              </w:tc>
              <w:tc>
                <w:tcPr>
                  <w:tcW w:w="765" w:type="dxa"/>
                  <w:tcBorders>
                    <w:top w:val="single" w:color="000000" w:sz="4" w:space="0"/>
                    <w:left w:val="single" w:color="000000" w:sz="4" w:space="0"/>
                    <w:bottom w:val="single" w:color="000000" w:sz="4" w:space="0"/>
                    <w:right w:val="single" w:color="000000" w:sz="4" w:space="0"/>
                  </w:tcBorders>
                  <w:noWrap/>
                  <w:vAlign w:val="center"/>
                </w:tcPr>
                <w:p w14:paraId="036651D2">
                  <w:pPr>
                    <w:widowControl/>
                    <w:numPr>
                      <w:ilvl w:val="0"/>
                      <w:numId w:val="0"/>
                    </w:numPr>
                    <w:spacing w:line="400" w:lineRule="exact"/>
                    <w:jc w:val="left"/>
                    <w:textAlignment w:val="auto"/>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台班</w:t>
                  </w:r>
                </w:p>
              </w:tc>
              <w:tc>
                <w:tcPr>
                  <w:tcW w:w="1005" w:type="dxa"/>
                  <w:tcBorders>
                    <w:top w:val="single" w:color="000000" w:sz="4" w:space="0"/>
                    <w:left w:val="single" w:color="000000" w:sz="4" w:space="0"/>
                    <w:bottom w:val="single" w:color="000000" w:sz="4" w:space="0"/>
                    <w:right w:val="single" w:color="000000" w:sz="4" w:space="0"/>
                  </w:tcBorders>
                  <w:noWrap/>
                  <w:vAlign w:val="center"/>
                </w:tcPr>
                <w:p w14:paraId="2753B701">
                  <w:pPr>
                    <w:numPr>
                      <w:ilvl w:val="0"/>
                      <w:numId w:val="0"/>
                    </w:numPr>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每台班不超过380元</w:t>
                  </w:r>
                </w:p>
              </w:tc>
              <w:tc>
                <w:tcPr>
                  <w:tcW w:w="3775" w:type="dxa"/>
                  <w:tcBorders>
                    <w:top w:val="single" w:color="000000" w:sz="4" w:space="0"/>
                    <w:left w:val="single" w:color="000000" w:sz="4" w:space="0"/>
                    <w:bottom w:val="single" w:color="000000" w:sz="4" w:space="0"/>
                    <w:right w:val="single" w:color="000000" w:sz="4" w:space="0"/>
                  </w:tcBorders>
                  <w:noWrap/>
                  <w:vAlign w:val="center"/>
                </w:tcPr>
                <w:p w14:paraId="09AC70C0">
                  <w:pPr>
                    <w:numPr>
                      <w:ilvl w:val="0"/>
                      <w:numId w:val="0"/>
                    </w:numPr>
                    <w:spacing w:line="400" w:lineRule="exac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每台班清理海洋垃圾至少10立</w:t>
                  </w:r>
                </w:p>
                <w:p w14:paraId="10DAD331">
                  <w:pPr>
                    <w:numPr>
                      <w:ilvl w:val="0"/>
                      <w:numId w:val="0"/>
                    </w:numPr>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方</w:t>
                  </w:r>
                </w:p>
              </w:tc>
            </w:tr>
            <w:tr w14:paraId="1BA4FEB2">
              <w:tblPrEx>
                <w:tblCellMar>
                  <w:top w:w="0" w:type="dxa"/>
                  <w:left w:w="108" w:type="dxa"/>
                  <w:bottom w:w="0" w:type="dxa"/>
                  <w:right w:w="108" w:type="dxa"/>
                </w:tblCellMar>
              </w:tblPrEx>
              <w:trPr>
                <w:trHeight w:val="23" w:hRule="atLeast"/>
                <w:jc w:val="center"/>
              </w:trPr>
              <w:tc>
                <w:tcPr>
                  <w:tcW w:w="727" w:type="dxa"/>
                  <w:tcBorders>
                    <w:top w:val="single" w:color="000000" w:sz="4" w:space="0"/>
                    <w:left w:val="single" w:color="000000" w:sz="4" w:space="0"/>
                    <w:bottom w:val="single" w:color="000000" w:sz="4" w:space="0"/>
                    <w:right w:val="single" w:color="000000" w:sz="4" w:space="0"/>
                  </w:tcBorders>
                  <w:noWrap/>
                  <w:vAlign w:val="center"/>
                </w:tcPr>
                <w:p w14:paraId="76E33193">
                  <w:pPr>
                    <w:widowControl/>
                    <w:numPr>
                      <w:ilvl w:val="0"/>
                      <w:numId w:val="0"/>
                    </w:numPr>
                    <w:spacing w:line="400" w:lineRule="exact"/>
                    <w:jc w:val="left"/>
                    <w:textAlignment w:val="auto"/>
                    <w:rPr>
                      <w:rFonts w:hint="eastAsia" w:ascii="宋体" w:hAnsi="宋体" w:eastAsia="宋体" w:cs="宋体"/>
                      <w:color w:val="auto"/>
                      <w:kern w:val="0"/>
                      <w:szCs w:val="21"/>
                      <w:highlight w:val="none"/>
                      <w:lang w:val="en-US" w:eastAsia="zh-CN" w:bidi="ar"/>
                    </w:rPr>
                  </w:pPr>
                  <w:r>
                    <w:rPr>
                      <w:rFonts w:hint="eastAsia" w:ascii="宋体" w:hAnsi="宋体" w:eastAsia="宋体" w:cs="宋体"/>
                      <w:color w:val="auto"/>
                      <w:kern w:val="0"/>
                      <w:szCs w:val="21"/>
                      <w:highlight w:val="none"/>
                      <w:lang w:val="en-US" w:eastAsia="zh-CN" w:bidi="ar"/>
                    </w:rPr>
                    <w:t>4</w:t>
                  </w:r>
                </w:p>
              </w:tc>
              <w:tc>
                <w:tcPr>
                  <w:tcW w:w="916" w:type="dxa"/>
                  <w:tcBorders>
                    <w:top w:val="single" w:color="000000" w:sz="4" w:space="0"/>
                    <w:left w:val="single" w:color="000000" w:sz="4" w:space="0"/>
                    <w:bottom w:val="single" w:color="000000" w:sz="4" w:space="0"/>
                    <w:right w:val="single" w:color="000000" w:sz="4" w:space="0"/>
                  </w:tcBorders>
                  <w:noWrap/>
                  <w:vAlign w:val="center"/>
                </w:tcPr>
                <w:p w14:paraId="08EEEBAC">
                  <w:pPr>
                    <w:widowControl/>
                    <w:numPr>
                      <w:ilvl w:val="0"/>
                      <w:numId w:val="0"/>
                    </w:numPr>
                    <w:spacing w:line="400" w:lineRule="exact"/>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Cs w:val="21"/>
                      <w:highlight w:val="none"/>
                      <w:lang w:val="en-US" w:eastAsia="zh-CN" w:bidi="ar"/>
                    </w:rPr>
                    <w:t>海上挖掘机</w:t>
                  </w:r>
                </w:p>
              </w:tc>
              <w:tc>
                <w:tcPr>
                  <w:tcW w:w="945" w:type="dxa"/>
                  <w:tcBorders>
                    <w:top w:val="single" w:color="000000" w:sz="4" w:space="0"/>
                    <w:left w:val="single" w:color="000000" w:sz="4" w:space="0"/>
                    <w:bottom w:val="single" w:color="000000" w:sz="4" w:space="0"/>
                    <w:right w:val="single" w:color="000000" w:sz="4" w:space="0"/>
                  </w:tcBorders>
                  <w:noWrap/>
                  <w:vAlign w:val="center"/>
                </w:tcPr>
                <w:p w14:paraId="107B6579">
                  <w:pPr>
                    <w:widowControl/>
                    <w:numPr>
                      <w:ilvl w:val="0"/>
                      <w:numId w:val="0"/>
                    </w:numPr>
                    <w:spacing w:line="400" w:lineRule="exact"/>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Cs w:val="21"/>
                      <w:highlight w:val="none"/>
                      <w:lang w:eastAsia="zh-CN" w:bidi="ar"/>
                    </w:rPr>
                    <w:t>（</w:t>
                  </w:r>
                  <w:r>
                    <w:rPr>
                      <w:rFonts w:hint="eastAsia" w:ascii="宋体" w:hAnsi="宋体" w:eastAsia="宋体" w:cs="宋体"/>
                      <w:color w:val="auto"/>
                      <w:kern w:val="0"/>
                      <w:szCs w:val="21"/>
                      <w:highlight w:val="none"/>
                      <w:lang w:val="en-US" w:eastAsia="zh-CN" w:bidi="ar"/>
                    </w:rPr>
                    <w:t>含驾驶员</w:t>
                  </w:r>
                  <w:r>
                    <w:rPr>
                      <w:rFonts w:hint="eastAsia" w:ascii="宋体" w:hAnsi="宋体" w:eastAsia="宋体" w:cs="宋体"/>
                      <w:color w:val="auto"/>
                      <w:kern w:val="0"/>
                      <w:szCs w:val="21"/>
                      <w:highlight w:val="none"/>
                      <w:lang w:eastAsia="zh-CN" w:bidi="ar"/>
                    </w:rPr>
                    <w:t>）</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198011FC">
                  <w:pPr>
                    <w:widowControl/>
                    <w:numPr>
                      <w:ilvl w:val="0"/>
                      <w:numId w:val="0"/>
                    </w:numPr>
                    <w:spacing w:line="400" w:lineRule="exact"/>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Cs w:val="21"/>
                      <w:highlight w:val="none"/>
                      <w:lang w:val="en-US" w:eastAsia="zh-CN" w:bidi="ar"/>
                    </w:rPr>
                    <w:t>1</w:t>
                  </w:r>
                </w:p>
              </w:tc>
              <w:tc>
                <w:tcPr>
                  <w:tcW w:w="765" w:type="dxa"/>
                  <w:tcBorders>
                    <w:top w:val="single" w:color="000000" w:sz="4" w:space="0"/>
                    <w:left w:val="single" w:color="000000" w:sz="4" w:space="0"/>
                    <w:bottom w:val="single" w:color="000000" w:sz="4" w:space="0"/>
                    <w:right w:val="single" w:color="000000" w:sz="4" w:space="0"/>
                  </w:tcBorders>
                  <w:noWrap/>
                  <w:vAlign w:val="center"/>
                </w:tcPr>
                <w:p w14:paraId="1EC4BAA6">
                  <w:pPr>
                    <w:widowControl/>
                    <w:numPr>
                      <w:ilvl w:val="0"/>
                      <w:numId w:val="0"/>
                    </w:numPr>
                    <w:spacing w:line="400" w:lineRule="exact"/>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Cs w:val="21"/>
                      <w:highlight w:val="none"/>
                      <w:lang w:val="en-US" w:eastAsia="zh-CN" w:bidi="ar"/>
                    </w:rPr>
                    <w:t>台班</w:t>
                  </w:r>
                </w:p>
              </w:tc>
              <w:tc>
                <w:tcPr>
                  <w:tcW w:w="1005" w:type="dxa"/>
                  <w:tcBorders>
                    <w:top w:val="single" w:color="000000" w:sz="4" w:space="0"/>
                    <w:left w:val="single" w:color="000000" w:sz="4" w:space="0"/>
                    <w:bottom w:val="single" w:color="000000" w:sz="4" w:space="0"/>
                    <w:right w:val="single" w:color="000000" w:sz="4" w:space="0"/>
                  </w:tcBorders>
                  <w:noWrap/>
                  <w:vAlign w:val="center"/>
                </w:tcPr>
                <w:p w14:paraId="2EBB73A7">
                  <w:pPr>
                    <w:numPr>
                      <w:ilvl w:val="0"/>
                      <w:numId w:val="0"/>
                    </w:numPr>
                    <w:spacing w:line="400" w:lineRule="exac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每台班不超过4000元</w:t>
                  </w:r>
                </w:p>
              </w:tc>
              <w:tc>
                <w:tcPr>
                  <w:tcW w:w="3775" w:type="dxa"/>
                  <w:tcBorders>
                    <w:top w:val="single" w:color="000000" w:sz="4" w:space="0"/>
                    <w:left w:val="single" w:color="000000" w:sz="4" w:space="0"/>
                    <w:bottom w:val="single" w:color="000000" w:sz="4" w:space="0"/>
                    <w:right w:val="single" w:color="000000" w:sz="4" w:space="0"/>
                  </w:tcBorders>
                  <w:noWrap/>
                  <w:vAlign w:val="center"/>
                </w:tcPr>
                <w:p w14:paraId="7ED2C575">
                  <w:pPr>
                    <w:numPr>
                      <w:ilvl w:val="0"/>
                      <w:numId w:val="0"/>
                    </w:numPr>
                    <w:spacing w:line="400" w:lineRule="exact"/>
                    <w:rPr>
                      <w:rFonts w:hint="eastAsia" w:ascii="宋体" w:hAnsi="宋体" w:eastAsia="宋体" w:cs="宋体"/>
                      <w:color w:val="auto"/>
                      <w:szCs w:val="21"/>
                      <w:highlight w:val="none"/>
                      <w:lang w:val="en-US" w:eastAsia="zh-CN"/>
                    </w:rPr>
                  </w:pPr>
                </w:p>
              </w:tc>
            </w:tr>
            <w:tr w14:paraId="5488FEBC">
              <w:tblPrEx>
                <w:tblCellMar>
                  <w:top w:w="0" w:type="dxa"/>
                  <w:left w:w="108" w:type="dxa"/>
                  <w:bottom w:w="0" w:type="dxa"/>
                  <w:right w:w="108" w:type="dxa"/>
                </w:tblCellMar>
              </w:tblPrEx>
              <w:trPr>
                <w:trHeight w:val="23" w:hRule="atLeast"/>
                <w:jc w:val="center"/>
              </w:trPr>
              <w:tc>
                <w:tcPr>
                  <w:tcW w:w="727" w:type="dxa"/>
                  <w:tcBorders>
                    <w:top w:val="single" w:color="000000" w:sz="4" w:space="0"/>
                    <w:left w:val="single" w:color="000000" w:sz="4" w:space="0"/>
                    <w:bottom w:val="single" w:color="000000" w:sz="4" w:space="0"/>
                    <w:right w:val="single" w:color="000000" w:sz="4" w:space="0"/>
                  </w:tcBorders>
                  <w:noWrap/>
                  <w:vAlign w:val="center"/>
                </w:tcPr>
                <w:p w14:paraId="2B9970E5">
                  <w:pPr>
                    <w:widowControl/>
                    <w:numPr>
                      <w:ilvl w:val="0"/>
                      <w:numId w:val="0"/>
                    </w:numPr>
                    <w:spacing w:line="400" w:lineRule="exact"/>
                    <w:jc w:val="left"/>
                    <w:textAlignment w:val="auto"/>
                    <w:rPr>
                      <w:rFonts w:hint="eastAsia" w:ascii="宋体" w:hAnsi="宋体" w:eastAsia="宋体" w:cs="宋体"/>
                      <w:color w:val="auto"/>
                      <w:kern w:val="0"/>
                      <w:szCs w:val="21"/>
                      <w:highlight w:val="none"/>
                      <w:lang w:val="en-US" w:eastAsia="zh-CN" w:bidi="ar"/>
                    </w:rPr>
                  </w:pPr>
                  <w:r>
                    <w:rPr>
                      <w:rFonts w:hint="eastAsia" w:ascii="宋体" w:hAnsi="宋体" w:eastAsia="宋体" w:cs="宋体"/>
                      <w:color w:val="auto"/>
                      <w:kern w:val="0"/>
                      <w:szCs w:val="21"/>
                      <w:highlight w:val="none"/>
                      <w:lang w:val="en-US" w:eastAsia="zh-CN" w:bidi="ar"/>
                    </w:rPr>
                    <w:t>5</w:t>
                  </w:r>
                </w:p>
              </w:tc>
              <w:tc>
                <w:tcPr>
                  <w:tcW w:w="916" w:type="dxa"/>
                  <w:tcBorders>
                    <w:top w:val="single" w:color="000000" w:sz="4" w:space="0"/>
                    <w:left w:val="single" w:color="000000" w:sz="4" w:space="0"/>
                    <w:bottom w:val="single" w:color="000000" w:sz="4" w:space="0"/>
                    <w:right w:val="single" w:color="000000" w:sz="4" w:space="0"/>
                  </w:tcBorders>
                  <w:noWrap/>
                  <w:vAlign w:val="center"/>
                </w:tcPr>
                <w:p w14:paraId="551E487B">
                  <w:pPr>
                    <w:widowControl/>
                    <w:numPr>
                      <w:ilvl w:val="0"/>
                      <w:numId w:val="0"/>
                    </w:numPr>
                    <w:spacing w:line="400" w:lineRule="exact"/>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Cs w:val="21"/>
                      <w:highlight w:val="none"/>
                      <w:lang w:val="en-US" w:eastAsia="zh-CN" w:bidi="ar"/>
                    </w:rPr>
                    <w:t>岸上爪机</w:t>
                  </w:r>
                </w:p>
              </w:tc>
              <w:tc>
                <w:tcPr>
                  <w:tcW w:w="945" w:type="dxa"/>
                  <w:tcBorders>
                    <w:top w:val="single" w:color="000000" w:sz="4" w:space="0"/>
                    <w:left w:val="single" w:color="000000" w:sz="4" w:space="0"/>
                    <w:bottom w:val="single" w:color="000000" w:sz="4" w:space="0"/>
                    <w:right w:val="single" w:color="000000" w:sz="4" w:space="0"/>
                  </w:tcBorders>
                  <w:noWrap/>
                  <w:vAlign w:val="center"/>
                </w:tcPr>
                <w:p w14:paraId="3B316EB1">
                  <w:pPr>
                    <w:widowControl/>
                    <w:numPr>
                      <w:ilvl w:val="0"/>
                      <w:numId w:val="0"/>
                    </w:numPr>
                    <w:spacing w:line="400" w:lineRule="exact"/>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Cs w:val="21"/>
                      <w:highlight w:val="none"/>
                      <w:lang w:eastAsia="zh-CN" w:bidi="ar"/>
                    </w:rPr>
                    <w:t>（</w:t>
                  </w:r>
                  <w:r>
                    <w:rPr>
                      <w:rFonts w:hint="eastAsia" w:ascii="宋体" w:hAnsi="宋体" w:eastAsia="宋体" w:cs="宋体"/>
                      <w:color w:val="auto"/>
                      <w:kern w:val="0"/>
                      <w:szCs w:val="21"/>
                      <w:highlight w:val="none"/>
                      <w:lang w:val="en-US" w:eastAsia="zh-CN" w:bidi="ar"/>
                    </w:rPr>
                    <w:t>含驾驶员</w:t>
                  </w:r>
                  <w:r>
                    <w:rPr>
                      <w:rFonts w:hint="eastAsia" w:ascii="宋体" w:hAnsi="宋体" w:eastAsia="宋体" w:cs="宋体"/>
                      <w:color w:val="auto"/>
                      <w:kern w:val="0"/>
                      <w:szCs w:val="21"/>
                      <w:highlight w:val="none"/>
                      <w:lang w:eastAsia="zh-CN" w:bidi="ar"/>
                    </w:rPr>
                    <w:t>）</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4A4DA71D">
                  <w:pPr>
                    <w:widowControl/>
                    <w:numPr>
                      <w:ilvl w:val="0"/>
                      <w:numId w:val="0"/>
                    </w:numPr>
                    <w:spacing w:line="400" w:lineRule="exact"/>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Cs w:val="21"/>
                      <w:highlight w:val="none"/>
                      <w:lang w:val="en-US" w:eastAsia="zh-CN" w:bidi="ar"/>
                    </w:rPr>
                    <w:t>1</w:t>
                  </w:r>
                </w:p>
              </w:tc>
              <w:tc>
                <w:tcPr>
                  <w:tcW w:w="765" w:type="dxa"/>
                  <w:tcBorders>
                    <w:top w:val="single" w:color="000000" w:sz="4" w:space="0"/>
                    <w:left w:val="single" w:color="000000" w:sz="4" w:space="0"/>
                    <w:bottom w:val="single" w:color="000000" w:sz="4" w:space="0"/>
                    <w:right w:val="single" w:color="000000" w:sz="4" w:space="0"/>
                  </w:tcBorders>
                  <w:noWrap/>
                  <w:vAlign w:val="center"/>
                </w:tcPr>
                <w:p w14:paraId="2F1F2790">
                  <w:pPr>
                    <w:widowControl/>
                    <w:numPr>
                      <w:ilvl w:val="0"/>
                      <w:numId w:val="0"/>
                    </w:numPr>
                    <w:spacing w:line="400" w:lineRule="exact"/>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Cs w:val="21"/>
                      <w:highlight w:val="none"/>
                      <w:lang w:val="en-US" w:eastAsia="zh-CN" w:bidi="ar"/>
                    </w:rPr>
                    <w:t>台班</w:t>
                  </w:r>
                </w:p>
              </w:tc>
              <w:tc>
                <w:tcPr>
                  <w:tcW w:w="1005" w:type="dxa"/>
                  <w:tcBorders>
                    <w:top w:val="single" w:color="000000" w:sz="4" w:space="0"/>
                    <w:left w:val="single" w:color="000000" w:sz="4" w:space="0"/>
                    <w:bottom w:val="single" w:color="000000" w:sz="4" w:space="0"/>
                    <w:right w:val="single" w:color="000000" w:sz="4" w:space="0"/>
                  </w:tcBorders>
                  <w:noWrap/>
                  <w:vAlign w:val="center"/>
                </w:tcPr>
                <w:p w14:paraId="76BA63CB">
                  <w:pPr>
                    <w:numPr>
                      <w:ilvl w:val="0"/>
                      <w:numId w:val="0"/>
                    </w:numPr>
                    <w:spacing w:line="400" w:lineRule="exac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每台班不超过3500元</w:t>
                  </w:r>
                </w:p>
              </w:tc>
              <w:tc>
                <w:tcPr>
                  <w:tcW w:w="3775" w:type="dxa"/>
                  <w:tcBorders>
                    <w:top w:val="single" w:color="000000" w:sz="4" w:space="0"/>
                    <w:left w:val="single" w:color="000000" w:sz="4" w:space="0"/>
                    <w:bottom w:val="single" w:color="000000" w:sz="4" w:space="0"/>
                    <w:right w:val="single" w:color="000000" w:sz="4" w:space="0"/>
                  </w:tcBorders>
                  <w:noWrap/>
                  <w:vAlign w:val="center"/>
                </w:tcPr>
                <w:p w14:paraId="414D0FFF">
                  <w:pPr>
                    <w:numPr>
                      <w:ilvl w:val="0"/>
                      <w:numId w:val="0"/>
                    </w:numPr>
                    <w:spacing w:line="400" w:lineRule="exact"/>
                    <w:rPr>
                      <w:rFonts w:hint="eastAsia" w:ascii="宋体" w:hAnsi="宋体" w:eastAsia="宋体" w:cs="宋体"/>
                      <w:color w:val="auto"/>
                      <w:szCs w:val="21"/>
                      <w:highlight w:val="none"/>
                      <w:lang w:val="en-US" w:eastAsia="zh-CN"/>
                    </w:rPr>
                  </w:pPr>
                </w:p>
              </w:tc>
            </w:tr>
            <w:tr w14:paraId="2199235C">
              <w:tblPrEx>
                <w:tblCellMar>
                  <w:top w:w="0" w:type="dxa"/>
                  <w:left w:w="108" w:type="dxa"/>
                  <w:bottom w:w="0" w:type="dxa"/>
                  <w:right w:w="108" w:type="dxa"/>
                </w:tblCellMar>
              </w:tblPrEx>
              <w:trPr>
                <w:trHeight w:val="23" w:hRule="atLeast"/>
                <w:jc w:val="center"/>
              </w:trPr>
              <w:tc>
                <w:tcPr>
                  <w:tcW w:w="727" w:type="dxa"/>
                  <w:tcBorders>
                    <w:top w:val="single" w:color="000000" w:sz="4" w:space="0"/>
                    <w:left w:val="single" w:color="000000" w:sz="4" w:space="0"/>
                    <w:bottom w:val="single" w:color="000000" w:sz="4" w:space="0"/>
                    <w:right w:val="single" w:color="000000" w:sz="4" w:space="0"/>
                  </w:tcBorders>
                  <w:noWrap/>
                  <w:vAlign w:val="center"/>
                </w:tcPr>
                <w:p w14:paraId="75680B6D">
                  <w:pPr>
                    <w:widowControl/>
                    <w:numPr>
                      <w:ilvl w:val="0"/>
                      <w:numId w:val="0"/>
                    </w:numPr>
                    <w:spacing w:line="400" w:lineRule="exact"/>
                    <w:jc w:val="left"/>
                    <w:textAlignment w:val="auto"/>
                    <w:rPr>
                      <w:rFonts w:hint="eastAsia" w:ascii="宋体" w:hAnsi="宋体" w:eastAsia="宋体" w:cs="宋体"/>
                      <w:color w:val="auto"/>
                      <w:kern w:val="0"/>
                      <w:szCs w:val="21"/>
                      <w:highlight w:val="none"/>
                      <w:lang w:val="en-US" w:eastAsia="zh-CN" w:bidi="ar"/>
                    </w:rPr>
                  </w:pPr>
                  <w:r>
                    <w:rPr>
                      <w:rFonts w:hint="eastAsia" w:ascii="宋体" w:hAnsi="宋体" w:eastAsia="宋体" w:cs="宋体"/>
                      <w:color w:val="auto"/>
                      <w:kern w:val="0"/>
                      <w:szCs w:val="21"/>
                      <w:highlight w:val="none"/>
                      <w:lang w:val="en-US" w:eastAsia="zh-CN" w:bidi="ar"/>
                    </w:rPr>
                    <w:t>6</w:t>
                  </w:r>
                </w:p>
              </w:tc>
              <w:tc>
                <w:tcPr>
                  <w:tcW w:w="916" w:type="dxa"/>
                  <w:tcBorders>
                    <w:top w:val="single" w:color="000000" w:sz="4" w:space="0"/>
                    <w:left w:val="single" w:color="000000" w:sz="4" w:space="0"/>
                    <w:bottom w:val="single" w:color="000000" w:sz="4" w:space="0"/>
                    <w:right w:val="single" w:color="000000" w:sz="4" w:space="0"/>
                  </w:tcBorders>
                  <w:noWrap/>
                  <w:vAlign w:val="center"/>
                </w:tcPr>
                <w:p w14:paraId="49CECF31">
                  <w:pPr>
                    <w:widowControl/>
                    <w:numPr>
                      <w:ilvl w:val="0"/>
                      <w:numId w:val="0"/>
                    </w:numPr>
                    <w:spacing w:line="400" w:lineRule="exact"/>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Cs w:val="21"/>
                      <w:highlight w:val="none"/>
                      <w:lang w:val="en-US" w:eastAsia="zh-CN" w:bidi="ar"/>
                    </w:rPr>
                    <w:t>拖船</w:t>
                  </w:r>
                </w:p>
              </w:tc>
              <w:tc>
                <w:tcPr>
                  <w:tcW w:w="945" w:type="dxa"/>
                  <w:tcBorders>
                    <w:top w:val="single" w:color="000000" w:sz="4" w:space="0"/>
                    <w:left w:val="single" w:color="000000" w:sz="4" w:space="0"/>
                    <w:bottom w:val="single" w:color="000000" w:sz="4" w:space="0"/>
                    <w:right w:val="single" w:color="000000" w:sz="4" w:space="0"/>
                  </w:tcBorders>
                  <w:noWrap/>
                  <w:vAlign w:val="center"/>
                </w:tcPr>
                <w:p w14:paraId="03D5E65A">
                  <w:pPr>
                    <w:widowControl/>
                    <w:numPr>
                      <w:ilvl w:val="0"/>
                      <w:numId w:val="0"/>
                    </w:numPr>
                    <w:spacing w:line="400" w:lineRule="exact"/>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Cs w:val="21"/>
                      <w:highlight w:val="none"/>
                      <w:lang w:eastAsia="zh-CN" w:bidi="ar"/>
                    </w:rPr>
                    <w:t>（</w:t>
                  </w:r>
                  <w:r>
                    <w:rPr>
                      <w:rFonts w:hint="eastAsia" w:ascii="宋体" w:hAnsi="宋体" w:eastAsia="宋体" w:cs="宋体"/>
                      <w:color w:val="auto"/>
                      <w:kern w:val="0"/>
                      <w:szCs w:val="21"/>
                      <w:highlight w:val="none"/>
                      <w:lang w:val="en-US" w:eastAsia="zh-CN" w:bidi="ar"/>
                    </w:rPr>
                    <w:t>含驾驶员</w:t>
                  </w:r>
                  <w:r>
                    <w:rPr>
                      <w:rFonts w:hint="eastAsia" w:ascii="宋体" w:hAnsi="宋体" w:eastAsia="宋体" w:cs="宋体"/>
                      <w:color w:val="auto"/>
                      <w:kern w:val="0"/>
                      <w:szCs w:val="21"/>
                      <w:highlight w:val="none"/>
                      <w:lang w:eastAsia="zh-CN" w:bidi="ar"/>
                    </w:rPr>
                    <w:t>）</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5C9899EF">
                  <w:pPr>
                    <w:widowControl/>
                    <w:numPr>
                      <w:ilvl w:val="0"/>
                      <w:numId w:val="0"/>
                    </w:numPr>
                    <w:spacing w:line="400" w:lineRule="exact"/>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Cs w:val="21"/>
                      <w:highlight w:val="none"/>
                      <w:lang w:val="en-US" w:eastAsia="zh-CN" w:bidi="ar"/>
                    </w:rPr>
                    <w:t>1</w:t>
                  </w:r>
                </w:p>
              </w:tc>
              <w:tc>
                <w:tcPr>
                  <w:tcW w:w="765" w:type="dxa"/>
                  <w:tcBorders>
                    <w:top w:val="single" w:color="000000" w:sz="4" w:space="0"/>
                    <w:left w:val="single" w:color="000000" w:sz="4" w:space="0"/>
                    <w:bottom w:val="single" w:color="000000" w:sz="4" w:space="0"/>
                    <w:right w:val="single" w:color="000000" w:sz="4" w:space="0"/>
                  </w:tcBorders>
                  <w:noWrap/>
                  <w:vAlign w:val="center"/>
                </w:tcPr>
                <w:p w14:paraId="1C658F12">
                  <w:pPr>
                    <w:widowControl/>
                    <w:numPr>
                      <w:ilvl w:val="0"/>
                      <w:numId w:val="0"/>
                    </w:numPr>
                    <w:spacing w:line="400" w:lineRule="exact"/>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Cs w:val="21"/>
                      <w:highlight w:val="none"/>
                      <w:lang w:val="en-US" w:eastAsia="zh-CN" w:bidi="ar"/>
                    </w:rPr>
                    <w:t>次</w:t>
                  </w:r>
                </w:p>
              </w:tc>
              <w:tc>
                <w:tcPr>
                  <w:tcW w:w="1005" w:type="dxa"/>
                  <w:tcBorders>
                    <w:top w:val="single" w:color="000000" w:sz="4" w:space="0"/>
                    <w:left w:val="single" w:color="000000" w:sz="4" w:space="0"/>
                    <w:bottom w:val="single" w:color="000000" w:sz="4" w:space="0"/>
                    <w:right w:val="single" w:color="000000" w:sz="4" w:space="0"/>
                  </w:tcBorders>
                  <w:noWrap/>
                  <w:vAlign w:val="center"/>
                </w:tcPr>
                <w:p w14:paraId="68C1F27F">
                  <w:pPr>
                    <w:numPr>
                      <w:ilvl w:val="0"/>
                      <w:numId w:val="0"/>
                    </w:numPr>
                    <w:spacing w:line="400" w:lineRule="exac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每次不超过4000元</w:t>
                  </w:r>
                </w:p>
              </w:tc>
              <w:tc>
                <w:tcPr>
                  <w:tcW w:w="3775" w:type="dxa"/>
                  <w:tcBorders>
                    <w:top w:val="single" w:color="000000" w:sz="4" w:space="0"/>
                    <w:left w:val="single" w:color="000000" w:sz="4" w:space="0"/>
                    <w:bottom w:val="single" w:color="000000" w:sz="4" w:space="0"/>
                    <w:right w:val="single" w:color="000000" w:sz="4" w:space="0"/>
                  </w:tcBorders>
                  <w:noWrap/>
                  <w:vAlign w:val="center"/>
                </w:tcPr>
                <w:p w14:paraId="4648DB6F">
                  <w:pPr>
                    <w:numPr>
                      <w:ilvl w:val="0"/>
                      <w:numId w:val="0"/>
                    </w:numPr>
                    <w:spacing w:line="400" w:lineRule="exact"/>
                    <w:rPr>
                      <w:rFonts w:hint="eastAsia" w:ascii="宋体" w:hAnsi="宋体" w:eastAsia="宋体" w:cs="宋体"/>
                      <w:color w:val="auto"/>
                      <w:szCs w:val="21"/>
                      <w:highlight w:val="none"/>
                      <w:lang w:val="en-US" w:eastAsia="zh-CN"/>
                    </w:rPr>
                  </w:pPr>
                </w:p>
              </w:tc>
            </w:tr>
          </w:tbl>
          <w:p w14:paraId="029CB888">
            <w:pPr>
              <w:keepNext w:val="0"/>
              <w:keepLines w:val="0"/>
              <w:pageBreakBefore w:val="0"/>
              <w:widowControl/>
              <w:numPr>
                <w:ilvl w:val="-1"/>
                <w:numId w:val="0"/>
              </w:numPr>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宋体"/>
                <w:i w:val="0"/>
                <w:iCs w:val="0"/>
                <w:color w:val="auto"/>
                <w:sz w:val="24"/>
                <w:szCs w:val="24"/>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备注：</w:t>
            </w:r>
            <w:r>
              <w:rPr>
                <w:rStyle w:val="63"/>
                <w:rFonts w:hint="eastAsia" w:ascii="宋体" w:hAnsi="宋体" w:eastAsia="宋体" w:cs="宋体"/>
                <w:color w:val="auto"/>
                <w:sz w:val="21"/>
                <w:szCs w:val="21"/>
                <w:highlight w:val="none"/>
                <w:u w:val="none"/>
              </w:rPr>
              <w:t>台班</w:t>
            </w:r>
            <w:r>
              <w:rPr>
                <w:rFonts w:hint="eastAsia" w:ascii="宋体" w:hAnsi="宋体" w:eastAsia="宋体" w:cs="宋体"/>
                <w:color w:val="auto"/>
                <w:sz w:val="21"/>
                <w:szCs w:val="21"/>
                <w:highlight w:val="none"/>
                <w:u w:val="none"/>
              </w:rPr>
              <w:t>是工程、建筑、机械行业专用计量单位，指</w:t>
            </w:r>
            <w:r>
              <w:rPr>
                <w:rStyle w:val="63"/>
                <w:rFonts w:hint="eastAsia" w:ascii="宋体" w:hAnsi="宋体" w:eastAsia="宋体" w:cs="宋体"/>
                <w:color w:val="auto"/>
                <w:sz w:val="21"/>
                <w:szCs w:val="21"/>
                <w:highlight w:val="none"/>
                <w:u w:val="none"/>
              </w:rPr>
              <w:t>一</w:t>
            </w:r>
            <w:r>
              <w:rPr>
                <w:rStyle w:val="63"/>
                <w:rFonts w:hint="eastAsia" w:ascii="宋体" w:hAnsi="宋体" w:eastAsia="宋体" w:cs="宋体"/>
                <w:color w:val="auto"/>
                <w:sz w:val="21"/>
                <w:szCs w:val="21"/>
                <w:highlight w:val="none"/>
                <w:u w:val="none"/>
              </w:rPr>
              <w:t>台机械设备工作一个标准工作班次</w:t>
            </w:r>
            <w:r>
              <w:rPr>
                <w:rFonts w:hint="eastAsia" w:ascii="宋体" w:hAnsi="宋体" w:eastAsia="宋体" w:cs="宋体"/>
                <w:color w:val="auto"/>
                <w:sz w:val="21"/>
                <w:szCs w:val="21"/>
                <w:highlight w:val="none"/>
                <w:u w:val="none"/>
              </w:rPr>
              <w:t>的时长与费用单位。简单说：</w:t>
            </w:r>
            <w:r>
              <w:rPr>
                <w:rStyle w:val="63"/>
                <w:rFonts w:hint="eastAsia" w:ascii="宋体" w:hAnsi="宋体" w:eastAsia="宋体" w:cs="宋体"/>
                <w:color w:val="auto"/>
                <w:sz w:val="21"/>
                <w:szCs w:val="21"/>
                <w:highlight w:val="none"/>
                <w:u w:val="none"/>
              </w:rPr>
              <w:t>1台机器干1个班=1台班</w:t>
            </w:r>
            <w:r>
              <w:rPr>
                <w:rFonts w:hint="eastAsia" w:ascii="宋体" w:hAnsi="宋体" w:eastAsia="宋体" w:cs="宋体"/>
                <w:color w:val="auto"/>
                <w:sz w:val="21"/>
                <w:szCs w:val="21"/>
                <w:highlight w:val="none"/>
                <w:u w:val="none"/>
              </w:rPr>
              <w:t>。</w:t>
            </w:r>
          </w:p>
          <w:p w14:paraId="3896C9E0">
            <w:pPr>
              <w:numPr>
                <w:ilvl w:val="-1"/>
                <w:numId w:val="0"/>
              </w:numPr>
              <w:spacing w:line="400" w:lineRule="exact"/>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包含但不限于劳务费用、食宿费用、交通费用、通讯费用、保险、税费、办公费用、专业问题咨询费用、成果论证、评审费、成果公开展示费用、后续技术支持及合同所示的所有责任义务和各种风险、招标代理服务费、验收费用等合同履约过程可预见或不可预见的一切成本、费用。在合同实施时，采购人将不予支付中标人没有列入的项目费用，并认为此项目的费用已包括在总报价中。</w:t>
            </w:r>
          </w:p>
          <w:p w14:paraId="79221B8C">
            <w:pPr>
              <w:numPr>
                <w:ilvl w:val="-1"/>
                <w:numId w:val="0"/>
              </w:numPr>
              <w:spacing w:line="400" w:lineRule="exact"/>
              <w:rPr>
                <w:rFonts w:hint="eastAsia" w:ascii="宋体" w:hAnsi="宋体" w:eastAsia="宋体" w:cs="宋体"/>
                <w:color w:val="auto"/>
                <w:highlight w:val="none"/>
              </w:rPr>
            </w:pPr>
            <w:r>
              <w:rPr>
                <w:rFonts w:hint="eastAsia" w:ascii="宋体" w:hAnsi="宋体" w:eastAsia="宋体" w:cs="宋体"/>
                <w:b/>
                <w:bCs/>
                <w:color w:val="auto"/>
                <w:kern w:val="2"/>
                <w:sz w:val="21"/>
                <w:szCs w:val="21"/>
                <w:highlight w:val="none"/>
                <w:lang w:val="en-US" w:eastAsia="zh-CN" w:bidi="ar-SA"/>
              </w:rPr>
              <w:t>（3）</w:t>
            </w:r>
            <w:r>
              <w:rPr>
                <w:rFonts w:hint="eastAsia" w:ascii="宋体" w:hAnsi="宋体" w:eastAsia="宋体" w:cs="宋体"/>
                <w:b/>
                <w:bCs/>
                <w:color w:val="auto"/>
                <w:highlight w:val="none"/>
              </w:rPr>
              <w:t>本标项采用单价进行报价，单价超过各单价最高限价的投标无效；以各单项报价的合计作为价格分计算依据。</w:t>
            </w:r>
          </w:p>
        </w:tc>
      </w:tr>
      <w:tr w14:paraId="1E0021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2322" w:type="dxa"/>
            <w:gridSpan w:val="3"/>
            <w:tcBorders>
              <w:top w:val="single" w:color="auto" w:sz="4" w:space="0"/>
              <w:left w:val="single" w:color="auto" w:sz="4" w:space="0"/>
              <w:bottom w:val="single" w:color="auto" w:sz="4" w:space="0"/>
              <w:right w:val="single" w:color="auto" w:sz="4" w:space="0"/>
            </w:tcBorders>
            <w:vAlign w:val="center"/>
          </w:tcPr>
          <w:p w14:paraId="39CD32B1">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▲服务要求</w:t>
            </w:r>
          </w:p>
        </w:tc>
        <w:tc>
          <w:tcPr>
            <w:tcW w:w="7342" w:type="dxa"/>
            <w:gridSpan w:val="3"/>
            <w:tcBorders>
              <w:top w:val="single" w:color="auto" w:sz="4" w:space="0"/>
              <w:left w:val="single" w:color="auto" w:sz="4" w:space="0"/>
              <w:bottom w:val="single" w:color="auto" w:sz="4" w:space="0"/>
              <w:right w:val="single" w:color="auto" w:sz="4" w:space="0"/>
            </w:tcBorders>
            <w:vAlign w:val="center"/>
          </w:tcPr>
          <w:p w14:paraId="47D9F58C">
            <w:pPr>
              <w:numPr>
                <w:ilvl w:val="0"/>
                <w:numId w:val="0"/>
              </w:numPr>
              <w:spacing w:line="400" w:lineRule="exact"/>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1.中标供应商须严格遵守国家有关法律、法规的规定和广西壮族自治区山口红树林生态国家级自然保护区管理中心有关标准及纪律要求。</w:t>
            </w:r>
          </w:p>
          <w:p w14:paraId="1CAE9816">
            <w:pPr>
              <w:numPr>
                <w:ilvl w:val="0"/>
                <w:numId w:val="0"/>
              </w:numPr>
              <w:spacing w:line="400" w:lineRule="exact"/>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2.采购人有权对中标供应商的服务内容质量进行监督、检查和考核。</w:t>
            </w:r>
          </w:p>
          <w:p w14:paraId="569F5D1F">
            <w:pPr>
              <w:numPr>
                <w:ilvl w:val="0"/>
                <w:numId w:val="0"/>
              </w:numPr>
              <w:spacing w:line="400" w:lineRule="exact"/>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3.中标供应商须配合完成采购人安排的临时性和应急性任务。</w:t>
            </w:r>
          </w:p>
          <w:p w14:paraId="0ED49C70">
            <w:pPr>
              <w:numPr>
                <w:ilvl w:val="0"/>
                <w:numId w:val="0"/>
              </w:numPr>
              <w:spacing w:line="400" w:lineRule="exact"/>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4.提供7*24小时电话热线支持和传真服务。服务期内出现任何问题，中标供应商须在30分钟内电话响应，5小时内到达指定地点协助采购人处理并解决问题。</w:t>
            </w:r>
          </w:p>
          <w:p w14:paraId="05F0C42D">
            <w:pPr>
              <w:numPr>
                <w:ilvl w:val="0"/>
                <w:numId w:val="0"/>
              </w:numPr>
              <w:spacing w:line="400" w:lineRule="exact"/>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5.在合同履行期限内，采购人如有关于本标项服务内容产生的需要解决的任何问题，中标供应商须无条件对负责处理解决，产生的相关费用含在报价中。</w:t>
            </w:r>
          </w:p>
          <w:p w14:paraId="1F79B2A0">
            <w:pPr>
              <w:numPr>
                <w:ilvl w:val="0"/>
                <w:numId w:val="0"/>
              </w:numPr>
              <w:spacing w:line="400" w:lineRule="exact"/>
              <w:rPr>
                <w:rFonts w:hint="eastAsia" w:ascii="宋体" w:hAnsi="宋体" w:eastAsia="宋体" w:cs="宋体"/>
                <w:color w:val="auto"/>
                <w:highlight w:val="none"/>
              </w:rPr>
            </w:pPr>
            <w:r>
              <w:rPr>
                <w:rFonts w:hint="eastAsia" w:ascii="宋体" w:hAnsi="宋体" w:eastAsia="宋体" w:cs="宋体"/>
                <w:i w:val="0"/>
                <w:iCs w:val="0"/>
                <w:color w:val="auto"/>
                <w:sz w:val="21"/>
                <w:szCs w:val="21"/>
                <w:highlight w:val="none"/>
                <w:u w:val="none"/>
                <w:lang w:val="en-US" w:eastAsia="zh-CN"/>
              </w:rPr>
              <w:t>6.</w:t>
            </w:r>
            <w:r>
              <w:rPr>
                <w:rFonts w:hint="eastAsia" w:ascii="宋体" w:hAnsi="宋体" w:eastAsia="宋体" w:cs="宋体"/>
                <w:bCs/>
                <w:color w:val="auto"/>
                <w:szCs w:val="21"/>
                <w:highlight w:val="none"/>
                <w:lang w:val="en-US" w:eastAsia="zh-CN"/>
              </w:rPr>
              <w:t>中标</w:t>
            </w:r>
            <w:r>
              <w:rPr>
                <w:rFonts w:hint="eastAsia" w:ascii="宋体" w:hAnsi="宋体" w:eastAsia="宋体" w:cs="宋体"/>
                <w:bCs/>
                <w:color w:val="auto"/>
                <w:szCs w:val="21"/>
                <w:highlight w:val="none"/>
              </w:rPr>
              <w:t>供应商须安排科学合理的工作方法，提高工作质量。拟投入本项目人员应配备安全员、资料员以及有相关作业经验的项目负责人，</w:t>
            </w:r>
            <w:r>
              <w:rPr>
                <w:rFonts w:hint="eastAsia" w:ascii="宋体" w:hAnsi="宋体" w:eastAsia="宋体" w:cs="宋体"/>
                <w:bCs/>
                <w:color w:val="auto"/>
                <w:szCs w:val="21"/>
                <w:highlight w:val="none"/>
                <w:lang w:val="en-US" w:eastAsia="zh-CN"/>
              </w:rPr>
              <w:t>项目技术人员</w:t>
            </w:r>
            <w:r>
              <w:rPr>
                <w:rFonts w:hint="eastAsia" w:ascii="宋体" w:hAnsi="宋体" w:eastAsia="宋体" w:cs="宋体"/>
                <w:bCs/>
                <w:color w:val="auto"/>
                <w:szCs w:val="21"/>
                <w:highlight w:val="none"/>
              </w:rPr>
              <w:t>不少于3人。</w:t>
            </w:r>
            <w:r>
              <w:rPr>
                <w:rFonts w:hint="eastAsia" w:ascii="宋体" w:hAnsi="宋体" w:eastAsia="宋体" w:cs="宋体"/>
                <w:b/>
                <w:color w:val="auto"/>
                <w:szCs w:val="21"/>
                <w:highlight w:val="none"/>
              </w:rPr>
              <w:t>【</w:t>
            </w:r>
            <w:r>
              <w:rPr>
                <w:rFonts w:hint="eastAsia" w:ascii="宋体" w:hAnsi="宋体" w:eastAsia="宋体" w:cs="宋体"/>
                <w:b/>
                <w:color w:val="auto"/>
                <w:szCs w:val="21"/>
                <w:highlight w:val="none"/>
                <w:lang w:val="en-US" w:eastAsia="zh-CN"/>
              </w:rPr>
              <w:t>投标</w:t>
            </w:r>
            <w:r>
              <w:rPr>
                <w:rFonts w:hint="eastAsia" w:ascii="宋体" w:hAnsi="宋体" w:eastAsia="宋体" w:cs="宋体"/>
                <w:b/>
                <w:color w:val="auto"/>
                <w:szCs w:val="21"/>
                <w:highlight w:val="none"/>
              </w:rPr>
              <w:t>文件中必须提供①至少1名</w:t>
            </w:r>
            <w:r>
              <w:rPr>
                <w:rFonts w:hint="eastAsia" w:ascii="宋体" w:hAnsi="宋体" w:eastAsia="宋体" w:cs="宋体"/>
                <w:b/>
                <w:color w:val="auto"/>
                <w:highlight w:val="none"/>
              </w:rPr>
              <w:t>安全员有效的安全生产考核合格证（C证）复印件、②至少1名资料员有效的施工现场专业人员职业培训合格</w:t>
            </w:r>
            <w:r>
              <w:rPr>
                <w:rFonts w:hint="eastAsia" w:ascii="宋体" w:hAnsi="宋体" w:eastAsia="宋体" w:cs="宋体"/>
                <w:b/>
                <w:color w:val="auto"/>
                <w:szCs w:val="21"/>
                <w:highlight w:val="none"/>
              </w:rPr>
              <w:t>证书复印件、③项目负责人的简历（涵盖相关作业经验明细）及</w:t>
            </w:r>
            <w:r>
              <w:rPr>
                <w:rFonts w:hint="eastAsia" w:ascii="宋体" w:hAnsi="宋体" w:eastAsia="宋体" w:cs="宋体"/>
                <w:b/>
                <w:color w:val="auto"/>
                <w:szCs w:val="21"/>
                <w:highlight w:val="none"/>
                <w:lang w:eastAsia="zh-CN"/>
              </w:rPr>
              <w:t>相关经验证明材料（可以是简历中涉及的业绩合同复印件或相关作业图片等证明）</w:t>
            </w:r>
            <w:r>
              <w:rPr>
                <w:rFonts w:hint="eastAsia" w:ascii="宋体" w:hAnsi="宋体" w:eastAsia="宋体" w:cs="宋体"/>
                <w:b/>
                <w:color w:val="auto"/>
                <w:szCs w:val="21"/>
                <w:highlight w:val="none"/>
              </w:rPr>
              <w:t>；上述复印件均须加盖供应商公章，否则按无效</w:t>
            </w:r>
            <w:r>
              <w:rPr>
                <w:rFonts w:hint="eastAsia" w:ascii="宋体" w:hAnsi="宋体" w:eastAsia="宋体" w:cs="宋体"/>
                <w:b/>
                <w:color w:val="auto"/>
                <w:szCs w:val="21"/>
                <w:highlight w:val="none"/>
                <w:lang w:val="en-US" w:eastAsia="zh-CN"/>
              </w:rPr>
              <w:t>投标</w:t>
            </w:r>
            <w:r>
              <w:rPr>
                <w:rFonts w:hint="eastAsia" w:ascii="宋体" w:hAnsi="宋体" w:eastAsia="宋体" w:cs="宋体"/>
                <w:b/>
                <w:color w:val="auto"/>
                <w:szCs w:val="21"/>
                <w:highlight w:val="none"/>
              </w:rPr>
              <w:t>处理</w:t>
            </w:r>
            <w:r>
              <w:rPr>
                <w:rFonts w:hint="eastAsia" w:ascii="宋体" w:hAnsi="宋体" w:eastAsia="宋体" w:cs="宋体"/>
                <w:bCs/>
                <w:color w:val="auto"/>
                <w:szCs w:val="21"/>
                <w:highlight w:val="none"/>
              </w:rPr>
              <w:t>】。</w:t>
            </w:r>
          </w:p>
        </w:tc>
      </w:tr>
      <w:tr w14:paraId="23FA31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2322" w:type="dxa"/>
            <w:gridSpan w:val="3"/>
            <w:tcBorders>
              <w:top w:val="single" w:color="auto" w:sz="4" w:space="0"/>
              <w:left w:val="single" w:color="auto" w:sz="4" w:space="0"/>
              <w:bottom w:val="single" w:color="auto" w:sz="4" w:space="0"/>
              <w:right w:val="single" w:color="auto" w:sz="4" w:space="0"/>
            </w:tcBorders>
          </w:tcPr>
          <w:p w14:paraId="66549922">
            <w:pPr>
              <w:spacing w:line="360" w:lineRule="auto"/>
              <w:jc w:val="center"/>
              <w:rPr>
                <w:rFonts w:hint="eastAsia" w:ascii="宋体" w:hAnsi="宋体" w:eastAsia="宋体" w:cs="宋体"/>
                <w:color w:val="auto"/>
                <w:szCs w:val="21"/>
                <w:highlight w:val="none"/>
              </w:rPr>
            </w:pPr>
          </w:p>
          <w:p w14:paraId="0CF73C4A">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▲验收要求</w:t>
            </w:r>
          </w:p>
        </w:tc>
        <w:tc>
          <w:tcPr>
            <w:tcW w:w="7342" w:type="dxa"/>
            <w:gridSpan w:val="3"/>
            <w:tcBorders>
              <w:top w:val="single" w:color="auto" w:sz="4" w:space="0"/>
              <w:left w:val="single" w:color="auto" w:sz="4" w:space="0"/>
              <w:bottom w:val="single" w:color="auto" w:sz="4" w:space="0"/>
              <w:right w:val="single" w:color="auto" w:sz="4" w:space="0"/>
            </w:tcBorders>
          </w:tcPr>
          <w:p w14:paraId="4E8406CE">
            <w:pPr>
              <w:tabs>
                <w:tab w:val="left" w:pos="180"/>
                <w:tab w:val="left" w:pos="1620"/>
              </w:tabs>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1.项目验收：在项目结束后进行。</w:t>
            </w:r>
          </w:p>
          <w:p w14:paraId="334EF1F6">
            <w:pPr>
              <w:tabs>
                <w:tab w:val="left" w:pos="180"/>
                <w:tab w:val="left" w:pos="1620"/>
              </w:tabs>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2.验收标准：按国家相关标准、行业标准、地方标准或者其他标准、规范，及采购需求规定的要求。项目验收时由采购</w:t>
            </w:r>
            <w:r>
              <w:rPr>
                <w:rFonts w:hint="eastAsia" w:ascii="宋体" w:hAnsi="宋体" w:eastAsia="宋体" w:cs="宋体"/>
                <w:color w:val="auto"/>
                <w:szCs w:val="21"/>
                <w:highlight w:val="none"/>
                <w:lang w:val="en-US" w:eastAsia="zh-CN"/>
              </w:rPr>
              <w:t>人</w:t>
            </w:r>
            <w:r>
              <w:rPr>
                <w:rFonts w:hint="eastAsia" w:ascii="宋体" w:hAnsi="宋体" w:eastAsia="宋体" w:cs="宋体"/>
                <w:color w:val="auto"/>
                <w:szCs w:val="21"/>
                <w:highlight w:val="none"/>
              </w:rPr>
              <w:t>或采购</w:t>
            </w:r>
            <w:r>
              <w:rPr>
                <w:rFonts w:hint="eastAsia" w:ascii="宋体" w:hAnsi="宋体" w:eastAsia="宋体" w:cs="宋体"/>
                <w:color w:val="auto"/>
                <w:szCs w:val="21"/>
                <w:highlight w:val="none"/>
                <w:lang w:val="en-US" w:eastAsia="zh-CN"/>
              </w:rPr>
              <w:t>人</w:t>
            </w:r>
            <w:r>
              <w:rPr>
                <w:rFonts w:hint="eastAsia" w:ascii="宋体" w:hAnsi="宋体" w:eastAsia="宋体" w:cs="宋体"/>
                <w:color w:val="auto"/>
                <w:szCs w:val="21"/>
                <w:highlight w:val="none"/>
              </w:rPr>
              <w:t>委托的第三方验收小组对照</w:t>
            </w:r>
            <w:r>
              <w:rPr>
                <w:rFonts w:hint="eastAsia" w:ascii="宋体" w:hAnsi="宋体" w:eastAsia="宋体" w:cs="宋体"/>
                <w:color w:val="auto"/>
                <w:szCs w:val="21"/>
                <w:highlight w:val="none"/>
                <w:lang w:val="en-US" w:eastAsia="zh-CN"/>
              </w:rPr>
              <w:t>采购</w:t>
            </w:r>
            <w:r>
              <w:rPr>
                <w:rFonts w:hint="eastAsia" w:ascii="宋体" w:hAnsi="宋体" w:eastAsia="宋体" w:cs="宋体"/>
                <w:color w:val="auto"/>
                <w:szCs w:val="21"/>
                <w:highlight w:val="none"/>
              </w:rPr>
              <w:t>文件</w:t>
            </w:r>
            <w:r>
              <w:rPr>
                <w:rFonts w:hint="eastAsia" w:ascii="宋体" w:hAnsi="宋体" w:eastAsia="宋体" w:cs="宋体"/>
                <w:color w:val="auto"/>
                <w:szCs w:val="21"/>
                <w:highlight w:val="none"/>
                <w:lang w:val="en-US" w:eastAsia="zh-CN"/>
              </w:rPr>
              <w:t>要求</w:t>
            </w:r>
            <w:r>
              <w:rPr>
                <w:rFonts w:hint="eastAsia" w:ascii="宋体" w:hAnsi="宋体" w:eastAsia="宋体" w:cs="宋体"/>
                <w:color w:val="auto"/>
                <w:szCs w:val="21"/>
                <w:highlight w:val="none"/>
              </w:rPr>
              <w:t>及</w:t>
            </w:r>
            <w:r>
              <w:rPr>
                <w:rFonts w:hint="eastAsia" w:ascii="宋体" w:hAnsi="宋体" w:eastAsia="宋体" w:cs="宋体"/>
                <w:color w:val="auto"/>
                <w:szCs w:val="21"/>
                <w:highlight w:val="none"/>
                <w:lang w:val="en-US" w:eastAsia="zh-CN"/>
              </w:rPr>
              <w:t>投标</w:t>
            </w:r>
            <w:r>
              <w:rPr>
                <w:rFonts w:hint="eastAsia" w:ascii="宋体" w:hAnsi="宋体" w:eastAsia="宋体" w:cs="宋体"/>
                <w:color w:val="auto"/>
                <w:szCs w:val="21"/>
                <w:highlight w:val="none"/>
              </w:rPr>
              <w:t>文件中的</w:t>
            </w:r>
            <w:r>
              <w:rPr>
                <w:rFonts w:hint="eastAsia" w:ascii="宋体" w:hAnsi="宋体" w:eastAsia="宋体" w:cs="宋体"/>
                <w:color w:val="auto"/>
                <w:szCs w:val="21"/>
                <w:highlight w:val="none"/>
                <w:lang w:val="en-US" w:eastAsia="zh-CN"/>
              </w:rPr>
              <w:t>响应承诺</w:t>
            </w:r>
            <w:r>
              <w:rPr>
                <w:rFonts w:hint="eastAsia" w:ascii="宋体" w:hAnsi="宋体" w:eastAsia="宋体" w:cs="宋体"/>
                <w:color w:val="auto"/>
                <w:szCs w:val="21"/>
                <w:highlight w:val="none"/>
              </w:rPr>
              <w:t>进行验收</w:t>
            </w:r>
            <w:r>
              <w:rPr>
                <w:rFonts w:hint="eastAsia" w:ascii="宋体" w:hAnsi="宋体" w:eastAsia="宋体" w:cs="宋体"/>
                <w:color w:val="auto"/>
                <w:kern w:val="0"/>
                <w:szCs w:val="21"/>
                <w:highlight w:val="none"/>
              </w:rPr>
              <w:t>。</w:t>
            </w:r>
          </w:p>
          <w:p w14:paraId="24E35A12">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3.验收过程中所产生的一切费用均由中标供应商承担，报价时应考虑相关费用。</w:t>
            </w:r>
          </w:p>
        </w:tc>
      </w:tr>
      <w:tr w14:paraId="7C1DD4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8" w:hRule="atLeast"/>
        </w:trPr>
        <w:tc>
          <w:tcPr>
            <w:tcW w:w="2322" w:type="dxa"/>
            <w:gridSpan w:val="3"/>
            <w:tcBorders>
              <w:top w:val="single" w:color="auto" w:sz="4" w:space="0"/>
              <w:left w:val="single" w:color="auto" w:sz="4" w:space="0"/>
              <w:bottom w:val="single" w:color="auto" w:sz="4" w:space="0"/>
              <w:right w:val="single" w:color="auto" w:sz="4" w:space="0"/>
            </w:tcBorders>
            <w:vAlign w:val="center"/>
          </w:tcPr>
          <w:p w14:paraId="3796EF3D">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▲付款方式</w:t>
            </w:r>
          </w:p>
        </w:tc>
        <w:tc>
          <w:tcPr>
            <w:tcW w:w="7342" w:type="dxa"/>
            <w:gridSpan w:val="3"/>
            <w:tcBorders>
              <w:top w:val="single" w:color="auto" w:sz="4" w:space="0"/>
              <w:left w:val="single" w:color="auto" w:sz="4" w:space="0"/>
              <w:bottom w:val="single" w:color="auto" w:sz="4" w:space="0"/>
              <w:right w:val="single" w:color="auto" w:sz="4" w:space="0"/>
            </w:tcBorders>
          </w:tcPr>
          <w:p w14:paraId="0C4C0136">
            <w:pPr>
              <w:spacing w:line="360" w:lineRule="auto"/>
              <w:ind w:firstLine="0" w:firstLine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签订合同且本项目财政资金到位后10个工作日内，甲方向乙方支付合同总金额的50%预付款；乙方根据项目进度向甲方申请进度款，进度款不超过合同总金额的45%；剩余款项待项目验收合格且本项目财政资金到位后10个工作日内一次性支付完毕。</w:t>
            </w:r>
          </w:p>
        </w:tc>
      </w:tr>
      <w:tr w14:paraId="77DC97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8" w:hRule="atLeast"/>
        </w:trPr>
        <w:tc>
          <w:tcPr>
            <w:tcW w:w="2322" w:type="dxa"/>
            <w:gridSpan w:val="3"/>
            <w:tcBorders>
              <w:top w:val="single" w:color="auto" w:sz="4" w:space="0"/>
              <w:left w:val="single" w:color="auto" w:sz="4" w:space="0"/>
              <w:bottom w:val="single" w:color="auto" w:sz="4" w:space="0"/>
              <w:right w:val="single" w:color="auto" w:sz="4" w:space="0"/>
            </w:tcBorders>
            <w:vAlign w:val="center"/>
          </w:tcPr>
          <w:p w14:paraId="16E36EC7">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其他要求</w:t>
            </w:r>
          </w:p>
        </w:tc>
        <w:tc>
          <w:tcPr>
            <w:tcW w:w="7342" w:type="dxa"/>
            <w:gridSpan w:val="3"/>
            <w:tcBorders>
              <w:top w:val="single" w:color="auto" w:sz="4" w:space="0"/>
              <w:left w:val="single" w:color="auto" w:sz="4" w:space="0"/>
              <w:bottom w:val="single" w:color="auto" w:sz="4" w:space="0"/>
              <w:right w:val="single" w:color="auto" w:sz="4" w:space="0"/>
            </w:tcBorders>
          </w:tcPr>
          <w:p w14:paraId="6A96BD32">
            <w:pPr>
              <w:keepNext w:val="0"/>
              <w:keepLines w:val="0"/>
              <w:pageBreakBefore w:val="0"/>
              <w:widowControl/>
              <w:shd w:val="clear" w:color="auto" w:fill="FFFFFF"/>
              <w:kinsoku/>
              <w:wordWrap/>
              <w:overflowPunct/>
              <w:topLinePunct w:val="0"/>
              <w:bidi w:val="0"/>
              <w:adjustRightInd/>
              <w:snapToGrid/>
              <w:spacing w:after="0" w:line="380" w:lineRule="exact"/>
              <w:ind w:firstLine="420" w:firstLineChars="200"/>
              <w:textAlignment w:val="auto"/>
              <w:rPr>
                <w:rFonts w:hint="eastAsia" w:ascii="宋体" w:hAnsi="宋体" w:eastAsia="宋体" w:cs="宋体"/>
                <w:bCs w:val="0"/>
                <w:color w:val="auto"/>
                <w:sz w:val="21"/>
                <w:szCs w:val="21"/>
                <w:highlight w:val="none"/>
                <w:lang w:val="en-US" w:eastAsia="zh-CN"/>
              </w:rPr>
            </w:pPr>
            <w:r>
              <w:rPr>
                <w:rFonts w:hint="eastAsia" w:ascii="宋体" w:hAnsi="宋体" w:eastAsia="宋体" w:cs="宋体"/>
                <w:bCs w:val="0"/>
                <w:color w:val="auto"/>
                <w:sz w:val="21"/>
                <w:szCs w:val="21"/>
                <w:highlight w:val="none"/>
                <w:lang w:val="en-US" w:eastAsia="zh-CN"/>
              </w:rPr>
              <w:t>1.</w:t>
            </w:r>
            <w:r>
              <w:rPr>
                <w:rFonts w:hint="eastAsia" w:ascii="宋体" w:hAnsi="宋体" w:eastAsia="宋体" w:cs="宋体"/>
                <w:bCs w:val="0"/>
                <w:color w:val="auto"/>
                <w:sz w:val="21"/>
                <w:szCs w:val="21"/>
                <w:highlight w:val="none"/>
              </w:rPr>
              <w:t>采购人在中华人民共和国境内使用供应商提供的服务时免受第三方提出的侵犯其专利权或其它知识产权的起诉。如果第三方提出侵权指控，</w:t>
            </w:r>
            <w:r>
              <w:rPr>
                <w:rFonts w:hint="eastAsia" w:ascii="宋体" w:hAnsi="宋体" w:eastAsia="宋体" w:cs="宋体"/>
                <w:bCs w:val="0"/>
                <w:color w:val="auto"/>
                <w:sz w:val="21"/>
                <w:szCs w:val="21"/>
                <w:highlight w:val="none"/>
                <w:lang w:eastAsia="zh-CN"/>
              </w:rPr>
              <w:t>中标</w:t>
            </w:r>
            <w:r>
              <w:rPr>
                <w:rFonts w:hint="eastAsia" w:ascii="宋体" w:hAnsi="宋体" w:eastAsia="宋体" w:cs="宋体"/>
                <w:bCs w:val="0"/>
                <w:color w:val="auto"/>
                <w:sz w:val="21"/>
                <w:szCs w:val="21"/>
                <w:highlight w:val="none"/>
                <w:lang w:val="en-US" w:eastAsia="zh-CN"/>
              </w:rPr>
              <w:t>供应商</w:t>
            </w:r>
            <w:r>
              <w:rPr>
                <w:rFonts w:hint="eastAsia" w:ascii="宋体" w:hAnsi="宋体" w:eastAsia="宋体" w:cs="宋体"/>
                <w:bCs w:val="0"/>
                <w:color w:val="auto"/>
                <w:sz w:val="21"/>
                <w:szCs w:val="21"/>
                <w:highlight w:val="none"/>
              </w:rPr>
              <w:t>应承担由此而引起的一切法律责任和费用。</w:t>
            </w:r>
          </w:p>
          <w:p w14:paraId="36CAD676">
            <w:pPr>
              <w:keepNext w:val="0"/>
              <w:keepLines w:val="0"/>
              <w:pageBreakBefore w:val="0"/>
              <w:widowControl/>
              <w:shd w:val="clear" w:color="auto" w:fill="FFFFFF"/>
              <w:kinsoku/>
              <w:wordWrap/>
              <w:overflowPunct/>
              <w:topLinePunct w:val="0"/>
              <w:bidi w:val="0"/>
              <w:adjustRightInd/>
              <w:snapToGrid/>
              <w:spacing w:after="0" w:line="380" w:lineRule="exact"/>
              <w:ind w:firstLine="420" w:firstLineChars="200"/>
              <w:textAlignment w:val="auto"/>
              <w:rPr>
                <w:rFonts w:hint="eastAsia" w:ascii="宋体" w:hAnsi="宋体" w:eastAsia="宋体" w:cs="宋体"/>
                <w:bCs w:val="0"/>
                <w:color w:val="auto"/>
                <w:sz w:val="21"/>
                <w:szCs w:val="21"/>
                <w:highlight w:val="none"/>
                <w:lang w:val="en-US" w:eastAsia="zh-CN"/>
              </w:rPr>
            </w:pPr>
            <w:r>
              <w:rPr>
                <w:rFonts w:hint="eastAsia" w:ascii="宋体" w:hAnsi="宋体" w:eastAsia="宋体" w:cs="宋体"/>
                <w:bCs w:val="0"/>
                <w:color w:val="auto"/>
                <w:sz w:val="21"/>
                <w:szCs w:val="21"/>
                <w:highlight w:val="none"/>
                <w:lang w:val="en-US" w:eastAsia="zh-CN"/>
              </w:rPr>
              <w:t>2.</w:t>
            </w:r>
            <w:r>
              <w:rPr>
                <w:rFonts w:hint="eastAsia" w:ascii="宋体" w:hAnsi="宋体" w:eastAsia="宋体" w:cs="宋体"/>
                <w:bCs w:val="0"/>
                <w:color w:val="auto"/>
                <w:sz w:val="21"/>
                <w:szCs w:val="21"/>
                <w:highlight w:val="none"/>
              </w:rPr>
              <w:t>本项目所采购服务如需执行国家相关标准、行业标准、地方标准或其他强制性标准、规范</w:t>
            </w:r>
            <w:r>
              <w:rPr>
                <w:rFonts w:hint="eastAsia" w:ascii="宋体" w:hAnsi="宋体" w:eastAsia="宋体" w:cs="宋体"/>
                <w:bCs w:val="0"/>
                <w:color w:val="auto"/>
                <w:sz w:val="21"/>
                <w:szCs w:val="21"/>
                <w:highlight w:val="none"/>
                <w:lang w:val="en-US" w:eastAsia="zh-CN"/>
              </w:rPr>
              <w:t>的</w:t>
            </w:r>
            <w:r>
              <w:rPr>
                <w:rFonts w:hint="eastAsia" w:ascii="宋体" w:hAnsi="宋体" w:eastAsia="宋体" w:cs="宋体"/>
                <w:bCs w:val="0"/>
                <w:color w:val="auto"/>
                <w:sz w:val="21"/>
                <w:szCs w:val="21"/>
                <w:highlight w:val="none"/>
              </w:rPr>
              <w:t>，应执行。</w:t>
            </w:r>
          </w:p>
          <w:p w14:paraId="486038BA">
            <w:pPr>
              <w:pStyle w:val="135"/>
              <w:tabs>
                <w:tab w:val="left" w:pos="319"/>
              </w:tabs>
              <w:spacing w:before="119"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bCs w:val="0"/>
                <w:color w:val="auto"/>
                <w:sz w:val="21"/>
                <w:szCs w:val="21"/>
                <w:highlight w:val="none"/>
                <w:lang w:val="en-US" w:eastAsia="zh-CN"/>
              </w:rPr>
              <w:t>3.未尽事宜参照《关于印发广西壮族自治区政府采购项目履约验收管理办法的通知》[桂财采〔2015〕22 号]以及《财政部关于进一步加强政府采购需求和履约验收管理的指导意见》[财库〔2016〕205 号]规定执行。</w:t>
            </w:r>
          </w:p>
        </w:tc>
      </w:tr>
    </w:tbl>
    <w:p w14:paraId="1B5AFF29">
      <w:pPr>
        <w:jc w:val="left"/>
        <w:rPr>
          <w:rFonts w:hint="eastAsia" w:ascii="宋体" w:hAnsi="宋体" w:eastAsia="宋体" w:cs="宋体"/>
          <w:b/>
          <w:bCs/>
          <w:color w:val="auto"/>
          <w:kern w:val="0"/>
          <w:sz w:val="32"/>
          <w:szCs w:val="32"/>
          <w:highlight w:val="none"/>
        </w:rPr>
      </w:pPr>
    </w:p>
    <w:p w14:paraId="398899F7">
      <w:pPr>
        <w:jc w:val="left"/>
        <w:rPr>
          <w:rFonts w:hint="eastAsia" w:ascii="宋体" w:hAnsi="宋体" w:eastAsia="宋体" w:cs="宋体"/>
          <w:b/>
          <w:bCs/>
          <w:color w:val="auto"/>
          <w:kern w:val="0"/>
          <w:sz w:val="32"/>
          <w:szCs w:val="32"/>
          <w:highlight w:val="none"/>
        </w:rPr>
      </w:pPr>
    </w:p>
    <w:p w14:paraId="2DAB23AA">
      <w:pPr>
        <w:jc w:val="left"/>
        <w:rPr>
          <w:rFonts w:hint="eastAsia" w:ascii="宋体" w:hAnsi="宋体" w:eastAsia="宋体" w:cs="宋体"/>
          <w:b/>
          <w:bCs/>
          <w:color w:val="auto"/>
          <w:kern w:val="0"/>
          <w:sz w:val="32"/>
          <w:szCs w:val="32"/>
          <w:highlight w:val="none"/>
        </w:rPr>
      </w:pPr>
    </w:p>
    <w:p w14:paraId="13480A81">
      <w:pPr>
        <w:jc w:val="left"/>
        <w:rPr>
          <w:rFonts w:hint="eastAsia" w:ascii="宋体" w:hAnsi="宋体" w:eastAsia="宋体" w:cs="宋体"/>
          <w:b/>
          <w:bCs/>
          <w:color w:val="auto"/>
          <w:kern w:val="0"/>
          <w:sz w:val="32"/>
          <w:szCs w:val="32"/>
          <w:highlight w:val="none"/>
        </w:rPr>
      </w:pPr>
    </w:p>
    <w:p w14:paraId="4E09CB5D">
      <w:pPr>
        <w:jc w:val="left"/>
        <w:rPr>
          <w:rFonts w:hint="eastAsia" w:ascii="宋体" w:hAnsi="宋体" w:eastAsia="宋体" w:cs="宋体"/>
          <w:b/>
          <w:bCs/>
          <w:color w:val="auto"/>
          <w:kern w:val="0"/>
          <w:sz w:val="32"/>
          <w:szCs w:val="32"/>
          <w:highlight w:val="none"/>
        </w:rPr>
      </w:pPr>
    </w:p>
    <w:p w14:paraId="1617A209">
      <w:pPr>
        <w:jc w:val="left"/>
        <w:rPr>
          <w:rFonts w:hint="eastAsia" w:ascii="宋体" w:hAnsi="宋体" w:eastAsia="宋体" w:cs="宋体"/>
          <w:b/>
          <w:bCs/>
          <w:color w:val="auto"/>
          <w:kern w:val="0"/>
          <w:sz w:val="32"/>
          <w:szCs w:val="32"/>
          <w:highlight w:val="none"/>
        </w:rPr>
      </w:pPr>
    </w:p>
    <w:p w14:paraId="7B1F6D0A">
      <w:pPr>
        <w:jc w:val="left"/>
        <w:rPr>
          <w:rFonts w:hint="eastAsia" w:ascii="宋体" w:hAnsi="宋体" w:eastAsia="宋体" w:cs="宋体"/>
          <w:b/>
          <w:bCs/>
          <w:color w:val="auto"/>
          <w:kern w:val="0"/>
          <w:sz w:val="32"/>
          <w:szCs w:val="32"/>
          <w:highlight w:val="none"/>
        </w:rPr>
      </w:pPr>
    </w:p>
    <w:p w14:paraId="4BA7A96D">
      <w:pPr>
        <w:jc w:val="left"/>
        <w:rPr>
          <w:rFonts w:hint="eastAsia" w:ascii="宋体" w:hAnsi="宋体" w:eastAsia="宋体" w:cs="宋体"/>
          <w:b/>
          <w:bCs/>
          <w:color w:val="auto"/>
          <w:kern w:val="0"/>
          <w:sz w:val="32"/>
          <w:szCs w:val="32"/>
          <w:highlight w:val="none"/>
        </w:rPr>
      </w:pPr>
    </w:p>
    <w:p w14:paraId="59CF527E">
      <w:pPr>
        <w:jc w:val="left"/>
        <w:rPr>
          <w:rFonts w:hint="eastAsia" w:ascii="宋体" w:hAnsi="宋体" w:eastAsia="宋体" w:cs="宋体"/>
          <w:b/>
          <w:bCs/>
          <w:color w:val="auto"/>
          <w:kern w:val="0"/>
          <w:sz w:val="32"/>
          <w:szCs w:val="32"/>
          <w:highlight w:val="none"/>
        </w:rPr>
      </w:pPr>
    </w:p>
    <w:p w14:paraId="36184F42">
      <w:pPr>
        <w:jc w:val="left"/>
        <w:rPr>
          <w:rFonts w:hint="eastAsia" w:ascii="宋体" w:hAnsi="宋体" w:eastAsia="宋体" w:cs="宋体"/>
          <w:b/>
          <w:bCs/>
          <w:color w:val="auto"/>
          <w:kern w:val="0"/>
          <w:sz w:val="32"/>
          <w:szCs w:val="32"/>
          <w:highlight w:val="none"/>
        </w:rPr>
      </w:pPr>
    </w:p>
    <w:p w14:paraId="0A609CA4">
      <w:pPr>
        <w:jc w:val="left"/>
        <w:rPr>
          <w:rFonts w:hint="eastAsia" w:ascii="宋体" w:hAnsi="宋体" w:eastAsia="宋体" w:cs="宋体"/>
          <w:b/>
          <w:bCs/>
          <w:color w:val="auto"/>
          <w:kern w:val="0"/>
          <w:sz w:val="32"/>
          <w:szCs w:val="32"/>
          <w:highlight w:val="none"/>
        </w:rPr>
      </w:pPr>
    </w:p>
    <w:p w14:paraId="654D92D7">
      <w:pPr>
        <w:jc w:val="left"/>
        <w:rPr>
          <w:rFonts w:hint="eastAsia" w:ascii="宋体" w:hAnsi="宋体" w:eastAsia="宋体" w:cs="宋体"/>
          <w:b/>
          <w:bCs/>
          <w:color w:val="auto"/>
          <w:kern w:val="0"/>
          <w:sz w:val="32"/>
          <w:szCs w:val="32"/>
          <w:highlight w:val="none"/>
        </w:rPr>
      </w:pPr>
    </w:p>
    <w:p w14:paraId="0CF778B6">
      <w:pPr>
        <w:jc w:val="left"/>
        <w:rPr>
          <w:rFonts w:hint="eastAsia" w:ascii="宋体" w:hAnsi="宋体" w:eastAsia="宋体" w:cs="宋体"/>
          <w:b/>
          <w:bCs/>
          <w:color w:val="auto"/>
          <w:kern w:val="0"/>
          <w:sz w:val="32"/>
          <w:szCs w:val="32"/>
          <w:highlight w:val="none"/>
        </w:rPr>
      </w:pPr>
    </w:p>
    <w:p w14:paraId="6F2218BE">
      <w:pPr>
        <w:jc w:val="left"/>
        <w:rPr>
          <w:rFonts w:hint="eastAsia" w:ascii="宋体" w:hAnsi="宋体" w:eastAsia="宋体" w:cs="宋体"/>
          <w:b/>
          <w:bCs/>
          <w:color w:val="auto"/>
          <w:kern w:val="0"/>
          <w:sz w:val="32"/>
          <w:szCs w:val="32"/>
          <w:highlight w:val="none"/>
        </w:rPr>
      </w:pPr>
    </w:p>
    <w:p w14:paraId="04C0D45E">
      <w:pPr>
        <w:jc w:val="left"/>
        <w:rPr>
          <w:rFonts w:hint="eastAsia" w:ascii="宋体" w:hAnsi="宋体" w:eastAsia="宋体" w:cs="宋体"/>
          <w:b/>
          <w:bCs/>
          <w:color w:val="auto"/>
          <w:kern w:val="0"/>
          <w:sz w:val="32"/>
          <w:szCs w:val="32"/>
          <w:highlight w:val="none"/>
        </w:rPr>
      </w:pPr>
    </w:p>
    <w:p w14:paraId="7D70B8CD">
      <w:pPr>
        <w:jc w:val="left"/>
        <w:rPr>
          <w:rFonts w:hint="eastAsia" w:ascii="宋体" w:hAnsi="宋体" w:eastAsia="宋体" w:cs="宋体"/>
          <w:b/>
          <w:bCs/>
          <w:color w:val="auto"/>
          <w:kern w:val="0"/>
          <w:sz w:val="32"/>
          <w:szCs w:val="32"/>
          <w:highlight w:val="none"/>
        </w:rPr>
      </w:pPr>
    </w:p>
    <w:p w14:paraId="3884439F">
      <w:pPr>
        <w:jc w:val="left"/>
        <w:rPr>
          <w:rFonts w:hint="eastAsia" w:ascii="宋体" w:hAnsi="宋体" w:eastAsia="宋体" w:cs="宋体"/>
          <w:b/>
          <w:bCs/>
          <w:color w:val="auto"/>
          <w:kern w:val="0"/>
          <w:sz w:val="32"/>
          <w:szCs w:val="32"/>
          <w:highlight w:val="none"/>
        </w:rPr>
      </w:pPr>
    </w:p>
    <w:tbl>
      <w:tblPr>
        <w:tblStyle w:val="61"/>
        <w:tblpPr w:leftFromText="180" w:rightFromText="180" w:vertAnchor="text" w:horzAnchor="page" w:tblpX="1110" w:tblpY="409"/>
        <w:tblOverlap w:val="never"/>
        <w:tblW w:w="966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89"/>
        <w:gridCol w:w="1341"/>
        <w:gridCol w:w="492"/>
        <w:gridCol w:w="348"/>
        <w:gridCol w:w="780"/>
        <w:gridCol w:w="6214"/>
      </w:tblGrid>
      <w:tr w14:paraId="52F595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8" w:hRule="atLeast"/>
        </w:trPr>
        <w:tc>
          <w:tcPr>
            <w:tcW w:w="9664" w:type="dxa"/>
            <w:gridSpan w:val="6"/>
            <w:tcBorders>
              <w:top w:val="single" w:color="auto" w:sz="4" w:space="0"/>
              <w:left w:val="single" w:color="auto" w:sz="4" w:space="0"/>
              <w:bottom w:val="single" w:color="auto" w:sz="4" w:space="0"/>
              <w:right w:val="single" w:color="auto" w:sz="4" w:space="0"/>
            </w:tcBorders>
            <w:vAlign w:val="center"/>
          </w:tcPr>
          <w:p w14:paraId="610DDA54">
            <w:pPr>
              <w:tabs>
                <w:tab w:val="left" w:pos="180"/>
                <w:tab w:val="left" w:pos="1620"/>
              </w:tabs>
              <w:spacing w:line="360" w:lineRule="auto"/>
              <w:jc w:val="center"/>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采购需求一览表</w:t>
            </w:r>
          </w:p>
        </w:tc>
      </w:tr>
      <w:tr w14:paraId="5E3802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9" w:hRule="atLeast"/>
        </w:trPr>
        <w:tc>
          <w:tcPr>
            <w:tcW w:w="9664" w:type="dxa"/>
            <w:gridSpan w:val="6"/>
            <w:tcBorders>
              <w:top w:val="single" w:color="auto" w:sz="4" w:space="0"/>
              <w:left w:val="single" w:color="auto" w:sz="4" w:space="0"/>
              <w:bottom w:val="single" w:color="auto" w:sz="4" w:space="0"/>
              <w:right w:val="single" w:color="auto" w:sz="4" w:space="0"/>
            </w:tcBorders>
            <w:vAlign w:val="center"/>
          </w:tcPr>
          <w:p w14:paraId="0E513440">
            <w:pPr>
              <w:tabs>
                <w:tab w:val="left" w:pos="180"/>
                <w:tab w:val="left" w:pos="1620"/>
              </w:tabs>
              <w:spacing w:line="360" w:lineRule="auto"/>
              <w:jc w:val="center"/>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分标3</w:t>
            </w:r>
          </w:p>
        </w:tc>
      </w:tr>
      <w:tr w14:paraId="1A6CEF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4" w:hRule="atLeast"/>
        </w:trPr>
        <w:tc>
          <w:tcPr>
            <w:tcW w:w="489" w:type="dxa"/>
            <w:tcBorders>
              <w:top w:val="single" w:color="auto" w:sz="4" w:space="0"/>
            </w:tcBorders>
            <w:vAlign w:val="center"/>
          </w:tcPr>
          <w:p w14:paraId="05105011">
            <w:pPr>
              <w:tabs>
                <w:tab w:val="left" w:pos="180"/>
                <w:tab w:val="left" w:pos="1620"/>
              </w:tabs>
              <w:spacing w:line="360" w:lineRule="auto"/>
              <w:jc w:val="center"/>
              <w:rPr>
                <w:rFonts w:hint="eastAsia" w:ascii="宋体" w:hAnsi="宋体" w:eastAsia="宋体" w:cs="宋体"/>
                <w:b/>
                <w:bCs/>
                <w:color w:val="auto"/>
                <w:szCs w:val="21"/>
                <w:highlight w:val="none"/>
                <w:lang w:eastAsia="zh-CN"/>
              </w:rPr>
            </w:pPr>
            <w:r>
              <w:rPr>
                <w:rFonts w:hint="eastAsia" w:ascii="宋体" w:hAnsi="宋体" w:eastAsia="宋体" w:cs="宋体"/>
                <w:b/>
                <w:bCs/>
                <w:color w:val="auto"/>
                <w:szCs w:val="21"/>
                <w:highlight w:val="none"/>
                <w:lang w:val="en-US" w:eastAsia="zh-CN"/>
              </w:rPr>
              <w:t>序号</w:t>
            </w:r>
          </w:p>
        </w:tc>
        <w:tc>
          <w:tcPr>
            <w:tcW w:w="1341" w:type="dxa"/>
            <w:tcBorders>
              <w:top w:val="single" w:color="auto" w:sz="4" w:space="0"/>
            </w:tcBorders>
            <w:vAlign w:val="center"/>
          </w:tcPr>
          <w:p w14:paraId="1FB04B32">
            <w:pPr>
              <w:tabs>
                <w:tab w:val="left" w:pos="180"/>
                <w:tab w:val="left" w:pos="1620"/>
              </w:tabs>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标的名称</w:t>
            </w:r>
          </w:p>
        </w:tc>
        <w:tc>
          <w:tcPr>
            <w:tcW w:w="840" w:type="dxa"/>
            <w:gridSpan w:val="2"/>
            <w:tcBorders>
              <w:top w:val="single" w:color="auto" w:sz="4" w:space="0"/>
            </w:tcBorders>
            <w:vAlign w:val="center"/>
          </w:tcPr>
          <w:p w14:paraId="4A4F986B">
            <w:pPr>
              <w:tabs>
                <w:tab w:val="left" w:pos="180"/>
                <w:tab w:val="left" w:pos="1620"/>
              </w:tabs>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数量</w:t>
            </w:r>
          </w:p>
        </w:tc>
        <w:tc>
          <w:tcPr>
            <w:tcW w:w="780" w:type="dxa"/>
            <w:tcBorders>
              <w:top w:val="single" w:color="auto" w:sz="4" w:space="0"/>
            </w:tcBorders>
            <w:vAlign w:val="center"/>
          </w:tcPr>
          <w:p w14:paraId="1F622EB5">
            <w:pPr>
              <w:tabs>
                <w:tab w:val="left" w:pos="180"/>
                <w:tab w:val="left" w:pos="1620"/>
              </w:tabs>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单位</w:t>
            </w:r>
          </w:p>
        </w:tc>
        <w:tc>
          <w:tcPr>
            <w:tcW w:w="6214" w:type="dxa"/>
            <w:tcBorders>
              <w:top w:val="single" w:color="auto" w:sz="4" w:space="0"/>
            </w:tcBorders>
            <w:vAlign w:val="center"/>
          </w:tcPr>
          <w:p w14:paraId="78B0F7D7">
            <w:pPr>
              <w:tabs>
                <w:tab w:val="left" w:pos="180"/>
                <w:tab w:val="left" w:pos="1620"/>
              </w:tabs>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采购需求</w:t>
            </w:r>
          </w:p>
        </w:tc>
      </w:tr>
      <w:tr w14:paraId="134C40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8" w:hRule="atLeast"/>
        </w:trPr>
        <w:tc>
          <w:tcPr>
            <w:tcW w:w="489" w:type="dxa"/>
            <w:vAlign w:val="center"/>
          </w:tcPr>
          <w:p w14:paraId="0B2726C4">
            <w:pPr>
              <w:pStyle w:val="196"/>
              <w:spacing w:line="360" w:lineRule="auto"/>
              <w:ind w:left="0" w:leftChars="0" w:firstLine="0" w:firstLineChars="0"/>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1</w:t>
            </w:r>
          </w:p>
        </w:tc>
        <w:tc>
          <w:tcPr>
            <w:tcW w:w="1341" w:type="dxa"/>
            <w:vAlign w:val="center"/>
          </w:tcPr>
          <w:p w14:paraId="2684CFF1">
            <w:pPr>
              <w:spacing w:line="360" w:lineRule="auto"/>
              <w:jc w:val="center"/>
              <w:rPr>
                <w:rFonts w:hint="eastAsia" w:ascii="宋体" w:hAnsi="宋体" w:eastAsia="宋体" w:cs="宋体"/>
                <w:b/>
                <w:bCs/>
                <w:color w:val="auto"/>
                <w:szCs w:val="21"/>
                <w:highlight w:val="none"/>
              </w:rPr>
            </w:pPr>
            <w:r>
              <w:rPr>
                <w:rFonts w:hint="eastAsia" w:ascii="宋体" w:hAnsi="宋体" w:eastAsia="宋体" w:cs="宋体"/>
                <w:color w:val="auto"/>
                <w:kern w:val="0"/>
                <w:szCs w:val="21"/>
                <w:highlight w:val="none"/>
              </w:rPr>
              <w:t>拆除滩涂废弃养殖设施</w:t>
            </w:r>
          </w:p>
        </w:tc>
        <w:tc>
          <w:tcPr>
            <w:tcW w:w="840" w:type="dxa"/>
            <w:gridSpan w:val="2"/>
            <w:vAlign w:val="center"/>
          </w:tcPr>
          <w:p w14:paraId="57CADC98">
            <w:pPr>
              <w:widowControl/>
              <w:adjustRightInd w:val="0"/>
              <w:snapToGrid w:val="0"/>
              <w:spacing w:line="336" w:lineRule="auto"/>
              <w:jc w:val="center"/>
              <w:rPr>
                <w:rFonts w:hint="eastAsia" w:ascii="宋体" w:hAnsi="宋体" w:eastAsia="宋体" w:cs="宋体"/>
                <w:b/>
                <w:bCs/>
                <w:color w:val="auto"/>
                <w:szCs w:val="21"/>
                <w:highlight w:val="none"/>
              </w:rPr>
            </w:pPr>
            <w:r>
              <w:rPr>
                <w:rFonts w:hint="eastAsia" w:ascii="宋体" w:hAnsi="宋体" w:eastAsia="宋体" w:cs="宋体"/>
                <w:color w:val="auto"/>
                <w:kern w:val="0"/>
                <w:szCs w:val="21"/>
                <w:highlight w:val="none"/>
              </w:rPr>
              <w:t>1</w:t>
            </w:r>
          </w:p>
        </w:tc>
        <w:tc>
          <w:tcPr>
            <w:tcW w:w="780" w:type="dxa"/>
            <w:vAlign w:val="center"/>
          </w:tcPr>
          <w:p w14:paraId="4B6E5F6E">
            <w:pPr>
              <w:widowControl/>
              <w:adjustRightInd w:val="0"/>
              <w:snapToGrid w:val="0"/>
              <w:spacing w:line="336" w:lineRule="auto"/>
              <w:jc w:val="center"/>
              <w:rPr>
                <w:rFonts w:hint="eastAsia" w:ascii="宋体" w:hAnsi="宋体" w:eastAsia="宋体" w:cs="宋体"/>
                <w:b/>
                <w:bCs/>
                <w:color w:val="auto"/>
                <w:szCs w:val="21"/>
                <w:highlight w:val="none"/>
              </w:rPr>
            </w:pPr>
            <w:r>
              <w:rPr>
                <w:rFonts w:hint="eastAsia" w:ascii="宋体" w:hAnsi="宋体" w:eastAsia="宋体" w:cs="宋体"/>
                <w:color w:val="auto"/>
                <w:kern w:val="0"/>
                <w:szCs w:val="21"/>
                <w:highlight w:val="none"/>
              </w:rPr>
              <w:t>项</w:t>
            </w:r>
          </w:p>
        </w:tc>
        <w:tc>
          <w:tcPr>
            <w:tcW w:w="6214" w:type="dxa"/>
            <w:vAlign w:val="center"/>
          </w:tcPr>
          <w:p w14:paraId="435EFB99">
            <w:pPr>
              <w:spacing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对</w:t>
            </w:r>
            <w:r>
              <w:rPr>
                <w:rFonts w:hint="eastAsia" w:ascii="宋体" w:hAnsi="宋体" w:eastAsia="宋体" w:cs="宋体"/>
                <w:color w:val="auto"/>
                <w:highlight w:val="none"/>
                <w:lang w:val="en-US" w:eastAsia="zh-CN"/>
              </w:rPr>
              <w:t>优化整合后的</w:t>
            </w:r>
            <w:r>
              <w:rPr>
                <w:rFonts w:hint="eastAsia" w:ascii="宋体" w:hAnsi="宋体" w:eastAsia="宋体" w:cs="宋体"/>
                <w:color w:val="auto"/>
                <w:kern w:val="0"/>
                <w:szCs w:val="21"/>
                <w:highlight w:val="none"/>
              </w:rPr>
              <w:t>山口保护区廉州湾片区</w:t>
            </w:r>
            <w:r>
              <w:rPr>
                <w:rFonts w:hint="eastAsia" w:ascii="宋体" w:hAnsi="宋体" w:eastAsia="宋体" w:cs="宋体"/>
                <w:color w:val="auto"/>
                <w:kern w:val="0"/>
                <w:szCs w:val="21"/>
                <w:highlight w:val="none"/>
                <w:lang w:val="en-US" w:eastAsia="zh-CN"/>
              </w:rPr>
              <w:t>等</w:t>
            </w:r>
            <w:r>
              <w:rPr>
                <w:rFonts w:hint="eastAsia" w:ascii="宋体" w:hAnsi="宋体" w:eastAsia="宋体" w:cs="宋体"/>
                <w:color w:val="auto"/>
                <w:kern w:val="0"/>
                <w:szCs w:val="21"/>
                <w:highlight w:val="none"/>
              </w:rPr>
              <w:t xml:space="preserve"> 100 亩的海域滩涂废弃养殖设施（含蚝排、蚝桩、螺场）进行清理。</w:t>
            </w:r>
          </w:p>
          <w:p w14:paraId="400AE480">
            <w:pPr>
              <w:spacing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（1）利用无人机和实地调查方式，对山口保护区废弃养殖设施进行全面调查，统计海域滩涂废弃养殖设施的范围、类型。</w:t>
            </w:r>
          </w:p>
          <w:p w14:paraId="08922E32">
            <w:pPr>
              <w:spacing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（2）因涉及群众利益，请求政府部门协助，对拟拆除的必要性进行宣传，对拆除的范围进行公示。</w:t>
            </w:r>
          </w:p>
          <w:p w14:paraId="137DD2B6">
            <w:pPr>
              <w:spacing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根据调查和公示结果，针对不同类型，采取不同的清理措施。对海域滩涂废弃养殖蚝排，采用海上专用勾机捣毁蚝排、船只拖运上岸，再对其进行运输清理。对海域滩涂废弃养殖蚝桩（柱），采用海上挖掘机或人工方式对蚝桩（柱）等养殖设施进行拔除，船只拖运上岸，再对其进行运输清理。</w:t>
            </w:r>
          </w:p>
          <w:p w14:paraId="25605A5A">
            <w:pPr>
              <w:spacing w:line="24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一）船只要求：</w:t>
            </w:r>
          </w:p>
          <w:p w14:paraId="3D35D84D">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1.巡查船只要求：平板船，总功率≥15千瓦，长约7米，宽约2米；配备足够船员及必要的安全设施设备，船员需具备相应资格和能力。包含船只燃油费等。每次出海巡查算作1台班。</w:t>
            </w:r>
          </w:p>
          <w:p w14:paraId="5F1E472C">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2.作业船只规格要求：平板船，总功率≥30千瓦，长约15米，宽约4米。配备足够船员及必要的安全设施设备，船员需具备相应资格和能力，从海上实施点运送至码头。每次出海作业且装载足够的废弃物算作1台班。</w:t>
            </w:r>
          </w:p>
          <w:p w14:paraId="2288EDB6">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二）人工要求</w:t>
            </w:r>
          </w:p>
          <w:p w14:paraId="361BC7E8">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海上作业人工：按要求开展清理滩涂废弃养殖设施（含蚝排、蚝桩、螺场）等工作。完成采购人指定范围的相关工作量。对拆除滩涂废弃养殖设施（含蚝排、蚝桩、螺场）等产生大量的残留物妥善处理，进行人工拆解、搬运装车和移交相关部门。具备海上作业经验及海上自救能力。年龄不超过60岁。供应商须负责购买其项目人员意外保险。每次实施≥7小时，算作1工日。</w:t>
            </w:r>
          </w:p>
          <w:p w14:paraId="2736B02C">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2.锯手：供应商须自带油锯和燃油等作业工具。按要求开展清理滩涂废弃养殖设施（含蚝排、蚝桩、螺场）等工作。完成采购人指定范围的相关工作量。具备海上作业经验及海上自救能力。年龄不超过60岁。供应商须负责购买其项目人员意外保险。每次实施≥7小时，算作1工日。</w:t>
            </w:r>
          </w:p>
          <w:p w14:paraId="219F8194">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三）运输车辆规格要求：</w:t>
            </w:r>
          </w:p>
          <w:p w14:paraId="6FEC0CBE">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1.中型货车。装载能力约20立方米的货车，常见为7.2米的货车，运输路程约20千米。每次转运且装载≥20立方废弃物，算作一次台班。</w:t>
            </w:r>
          </w:p>
          <w:p w14:paraId="2C0303AE">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2.普通三轮装载摩托车。对车辆性能、装载数据不做要求，用于中型平板货车无法到达时，将废弃物转运至合适地点堆放，往返岸线与堆放点之间，一日内多次转运算作1次台班。</w:t>
            </w:r>
          </w:p>
          <w:p w14:paraId="7E97AC41">
            <w:pPr>
              <w:spacing w:line="360" w:lineRule="auto"/>
              <w:ind w:firstLine="420" w:firstLineChars="200"/>
              <w:jc w:val="lef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四）挖掘机、爪机、拖船等。若清理工作需使用到大型机械，则按台班计算，当日工作超过8小时，超出时间按小时计算。海上作业的机械应装备符合规格的配件，驾驶员要有相关驾驶证明、技能证书等，海上作业相关经验已经海上自救能力。拖船为一次性费用，单独计算。 </w:t>
            </w:r>
          </w:p>
          <w:p w14:paraId="11337946">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b w:val="0"/>
                <w:bCs w:val="0"/>
                <w:color w:val="auto"/>
                <w:sz w:val="21"/>
                <w:szCs w:val="24"/>
                <w:highlight w:val="none"/>
                <w:lang w:val="en-US" w:eastAsia="zh-CN"/>
              </w:rPr>
              <w:t>五）对护区海域内非法养殖蚝桩（柱）等非法养殖进行专项清理，按照每亩地单独计算价格，不参与以上两项要求报价，清理对象为1.5米以下的矮木蚝桩。此价格包含清理所产生的人工（含保险、餐费等）、器械、运输、破碎销毁已经等全部费用，发包人不应再支付此价格外的其他一切费用。</w:t>
            </w:r>
          </w:p>
          <w:p w14:paraId="4A3B8999">
            <w:pPr>
              <w:spacing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（4）清退养殖设施后，养殖户极有可能重新建造设施进行养殖，为防止反弹，对清退的区域进行定期巡护，协商政府部门协助，及时发现，及时拆除，维护期 1 年。</w:t>
            </w:r>
          </w:p>
          <w:p w14:paraId="5A0D58C1">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w:t>
            </w:r>
            <w:r>
              <w:rPr>
                <w:rFonts w:hint="eastAsia" w:ascii="宋体" w:hAnsi="宋体" w:eastAsia="宋体" w:cs="宋体"/>
                <w:color w:val="auto"/>
                <w:szCs w:val="24"/>
                <w:highlight w:val="none"/>
              </w:rPr>
              <w:t>保障服务</w:t>
            </w:r>
          </w:p>
          <w:p w14:paraId="0E28AFC7">
            <w:pPr>
              <w:spacing w:line="360" w:lineRule="auto"/>
              <w:ind w:firstLine="420" w:firstLineChars="200"/>
              <w:jc w:val="left"/>
              <w:rPr>
                <w:rFonts w:hint="eastAsia" w:ascii="宋体" w:hAnsi="宋体" w:eastAsia="宋体" w:cs="宋体"/>
                <w:color w:val="auto"/>
                <w:szCs w:val="24"/>
                <w:highlight w:val="none"/>
              </w:rPr>
            </w:pPr>
            <w:r>
              <w:rPr>
                <w:rFonts w:hint="eastAsia" w:ascii="宋体" w:hAnsi="宋体" w:eastAsia="宋体" w:cs="宋体"/>
                <w:color w:val="auto"/>
                <w:szCs w:val="24"/>
                <w:highlight w:val="none"/>
              </w:rPr>
              <w:t xml:space="preserve">1.确保清理工作安全。要做好安全评估，排查可能的危险因素，采取相应的防护措施。清理工作人员要严格执行安全操作规程，做好个人防护，确保现场作业环境安全。 还要防范意外事故的发生，制定应急预案，做好应急演练，以便能够及时处置突发情况。 </w:t>
            </w:r>
          </w:p>
          <w:p w14:paraId="4141C164">
            <w:pPr>
              <w:spacing w:line="360" w:lineRule="auto"/>
              <w:ind w:firstLine="420" w:firstLineChars="200"/>
              <w:jc w:val="left"/>
              <w:rPr>
                <w:rFonts w:hint="eastAsia" w:ascii="宋体" w:hAnsi="宋体" w:eastAsia="宋体" w:cs="宋体"/>
                <w:color w:val="auto"/>
                <w:szCs w:val="24"/>
                <w:highlight w:val="none"/>
              </w:rPr>
            </w:pPr>
            <w:r>
              <w:rPr>
                <w:rFonts w:hint="eastAsia" w:ascii="宋体" w:hAnsi="宋体" w:eastAsia="宋体" w:cs="宋体"/>
                <w:color w:val="auto"/>
                <w:szCs w:val="24"/>
                <w:highlight w:val="none"/>
              </w:rPr>
              <w:t>2. 最小化对周边环境的干扰。要对清理工作范围和时间进行合理规划，做好生态环境保护相应措施。采取隔离、吸附等方式控制扬尘、泥浆等污染物外溢。还要及时清理工作现场，避免遗留废弃物对周边环境造成二次污染。</w:t>
            </w:r>
          </w:p>
          <w:p w14:paraId="6CCE0B79">
            <w:pPr>
              <w:spacing w:line="360" w:lineRule="auto"/>
              <w:ind w:firstLine="420" w:firstLineChars="200"/>
              <w:jc w:val="left"/>
              <w:rPr>
                <w:rFonts w:hint="eastAsia" w:ascii="宋体" w:hAnsi="宋体" w:eastAsia="宋体" w:cs="宋体"/>
                <w:color w:val="auto"/>
                <w:szCs w:val="24"/>
                <w:highlight w:val="none"/>
              </w:rPr>
            </w:pPr>
            <w:r>
              <w:rPr>
                <w:rFonts w:hint="eastAsia" w:ascii="宋体" w:hAnsi="宋体" w:eastAsia="宋体" w:cs="宋体"/>
                <w:color w:val="auto"/>
                <w:szCs w:val="24"/>
                <w:highlight w:val="none"/>
              </w:rPr>
              <w:t>3.妥善处理拆除残留物。需要对拆除</w:t>
            </w:r>
            <w:r>
              <w:rPr>
                <w:rFonts w:hint="eastAsia" w:ascii="宋体" w:hAnsi="宋体" w:eastAsia="宋体" w:cs="宋体"/>
                <w:color w:val="auto"/>
                <w:highlight w:val="none"/>
              </w:rPr>
              <w:t>滩涂废弃养殖设施（含蚝排、蚝桩、螺场）</w:t>
            </w:r>
            <w:r>
              <w:rPr>
                <w:rFonts w:hint="eastAsia" w:ascii="宋体" w:hAnsi="宋体" w:eastAsia="宋体" w:cs="宋体"/>
                <w:bCs w:val="0"/>
                <w:color w:val="auto"/>
                <w:kern w:val="2"/>
                <w:szCs w:val="24"/>
                <w:highlight w:val="none"/>
                <w:lang w:bidi="ar"/>
              </w:rPr>
              <w:t>等</w:t>
            </w:r>
            <w:r>
              <w:rPr>
                <w:rFonts w:hint="eastAsia" w:ascii="宋体" w:hAnsi="宋体" w:eastAsia="宋体" w:cs="宋体"/>
                <w:color w:val="auto"/>
                <w:szCs w:val="24"/>
                <w:highlight w:val="none"/>
              </w:rPr>
              <w:t>产生大量的残留物，如木桩、金属配件等进行分类收集、妥善处理；应采取机械破碎、切割等方式，缩减残留物的体积和污染风险；要根据不同性质的残留物采取不同的处理方式，如可回收利用的须交给专业回收单位</w:t>
            </w:r>
            <w:r>
              <w:rPr>
                <w:rFonts w:hint="eastAsia" w:ascii="宋体" w:hAnsi="宋体" w:eastAsia="宋体" w:cs="宋体"/>
                <w:color w:val="auto"/>
                <w:highlight w:val="none"/>
              </w:rPr>
              <w:t>（由此产生的费</w:t>
            </w:r>
            <w:r>
              <w:rPr>
                <w:rFonts w:hint="eastAsia" w:ascii="宋体" w:hAnsi="宋体" w:eastAsia="宋体" w:cs="宋体"/>
                <w:color w:val="auto"/>
                <w:highlight w:val="none"/>
              </w:rPr>
              <w:t>用归</w:t>
            </w:r>
            <w:r>
              <w:rPr>
                <w:rFonts w:hint="eastAsia" w:ascii="宋体" w:hAnsi="宋体" w:eastAsia="宋体" w:cs="宋体"/>
                <w:color w:val="auto"/>
                <w:highlight w:val="none"/>
                <w:lang w:val="en-US" w:eastAsia="zh-CN"/>
              </w:rPr>
              <w:t>中标</w:t>
            </w:r>
            <w:r>
              <w:rPr>
                <w:rFonts w:hint="eastAsia" w:ascii="宋体" w:hAnsi="宋体" w:eastAsia="宋体" w:cs="宋体"/>
                <w:color w:val="auto"/>
                <w:highlight w:val="none"/>
              </w:rPr>
              <w:t>供应商所有）</w:t>
            </w:r>
            <w:r>
              <w:rPr>
                <w:rFonts w:hint="eastAsia" w:ascii="宋体" w:hAnsi="宋体" w:eastAsia="宋体" w:cs="宋体"/>
                <w:color w:val="auto"/>
                <w:szCs w:val="24"/>
                <w:highlight w:val="none"/>
              </w:rPr>
              <w:t>，不可回收的送至指定场所进行无害化处理；</w:t>
            </w:r>
            <w:r>
              <w:rPr>
                <w:rFonts w:hint="eastAsia" w:ascii="宋体" w:hAnsi="宋体" w:eastAsia="宋体" w:cs="宋体"/>
                <w:color w:val="auto"/>
                <w:szCs w:val="24"/>
                <w:highlight w:val="none"/>
              </w:rPr>
              <w:t>要加强对残留物处理全过程的监管，防止出现二次污染事故。规范做好清理前、清理中、清理后影像相片等清理工作</w:t>
            </w:r>
            <w:r>
              <w:rPr>
                <w:rFonts w:hint="eastAsia" w:ascii="宋体" w:hAnsi="宋体" w:eastAsia="宋体" w:cs="宋体"/>
                <w:color w:val="auto"/>
                <w:szCs w:val="24"/>
                <w:highlight w:val="none"/>
                <w:lang w:eastAsia="zh-CN"/>
              </w:rPr>
              <w:t>日志</w:t>
            </w:r>
            <w:r>
              <w:rPr>
                <w:rFonts w:hint="eastAsia" w:ascii="宋体" w:hAnsi="宋体" w:eastAsia="宋体" w:cs="宋体"/>
                <w:color w:val="auto"/>
                <w:szCs w:val="24"/>
                <w:highlight w:val="none"/>
              </w:rPr>
              <w:t>台账，并及时提交给采购人</w:t>
            </w:r>
            <w:r>
              <w:rPr>
                <w:rFonts w:hint="eastAsia" w:ascii="宋体" w:hAnsi="宋体" w:eastAsia="宋体" w:cs="宋体"/>
                <w:color w:val="auto"/>
                <w:szCs w:val="24"/>
                <w:highlight w:val="none"/>
                <w:lang w:eastAsia="zh-CN"/>
              </w:rPr>
              <w:t>审核</w:t>
            </w:r>
            <w:r>
              <w:rPr>
                <w:rFonts w:hint="eastAsia" w:ascii="宋体" w:hAnsi="宋体" w:eastAsia="宋体" w:cs="宋体"/>
                <w:color w:val="auto"/>
                <w:szCs w:val="24"/>
                <w:highlight w:val="none"/>
              </w:rPr>
              <w:t>。</w:t>
            </w:r>
          </w:p>
          <w:p w14:paraId="382A0781">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szCs w:val="24"/>
                <w:highlight w:val="none"/>
              </w:rPr>
              <w:t>4.</w:t>
            </w:r>
            <w:r>
              <w:rPr>
                <w:rFonts w:hint="eastAsia" w:ascii="宋体" w:hAnsi="宋体" w:eastAsia="宋体" w:cs="宋体"/>
                <w:color w:val="auto"/>
                <w:highlight w:val="none"/>
              </w:rPr>
              <w:t>清理合格率：≥95%。</w:t>
            </w:r>
          </w:p>
        </w:tc>
      </w:tr>
      <w:tr w14:paraId="6FA425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664" w:type="dxa"/>
            <w:gridSpan w:val="6"/>
            <w:tcBorders>
              <w:top w:val="single" w:color="auto" w:sz="4" w:space="0"/>
              <w:left w:val="single" w:color="auto" w:sz="4" w:space="0"/>
              <w:bottom w:val="single" w:color="auto" w:sz="4" w:space="0"/>
              <w:right w:val="single" w:color="auto" w:sz="4" w:space="0"/>
            </w:tcBorders>
          </w:tcPr>
          <w:p w14:paraId="70A93307">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二、商务条款</w:t>
            </w:r>
          </w:p>
        </w:tc>
      </w:tr>
      <w:tr w14:paraId="0F0903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322" w:type="dxa"/>
            <w:gridSpan w:val="3"/>
            <w:tcBorders>
              <w:top w:val="single" w:color="auto" w:sz="4" w:space="0"/>
              <w:left w:val="single" w:color="auto" w:sz="4" w:space="0"/>
              <w:bottom w:val="single" w:color="auto" w:sz="4" w:space="0"/>
              <w:right w:val="single" w:color="auto" w:sz="4" w:space="0"/>
            </w:tcBorders>
            <w:vAlign w:val="center"/>
          </w:tcPr>
          <w:p w14:paraId="351B829C">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▲合同签订期</w:t>
            </w:r>
          </w:p>
        </w:tc>
        <w:tc>
          <w:tcPr>
            <w:tcW w:w="7342" w:type="dxa"/>
            <w:gridSpan w:val="3"/>
            <w:tcBorders>
              <w:top w:val="single" w:color="auto" w:sz="4" w:space="0"/>
              <w:left w:val="single" w:color="auto" w:sz="4" w:space="0"/>
              <w:bottom w:val="single" w:color="auto" w:sz="4" w:space="0"/>
              <w:right w:val="single" w:color="auto" w:sz="4" w:space="0"/>
            </w:tcBorders>
            <w:vAlign w:val="center"/>
          </w:tcPr>
          <w:p w14:paraId="267AF5ED">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自中标通知书发出之日起25日内。</w:t>
            </w:r>
          </w:p>
        </w:tc>
      </w:tr>
      <w:tr w14:paraId="2A99D2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322" w:type="dxa"/>
            <w:gridSpan w:val="3"/>
            <w:tcBorders>
              <w:top w:val="single" w:color="auto" w:sz="4" w:space="0"/>
              <w:left w:val="single" w:color="auto" w:sz="4" w:space="0"/>
              <w:bottom w:val="single" w:color="auto" w:sz="4" w:space="0"/>
              <w:right w:val="single" w:color="auto" w:sz="4" w:space="0"/>
            </w:tcBorders>
            <w:vAlign w:val="center"/>
          </w:tcPr>
          <w:p w14:paraId="6E0FD497">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▲服务期限及服务地点</w:t>
            </w:r>
          </w:p>
        </w:tc>
        <w:tc>
          <w:tcPr>
            <w:tcW w:w="7342" w:type="dxa"/>
            <w:gridSpan w:val="3"/>
            <w:tcBorders>
              <w:top w:val="single" w:color="auto" w:sz="4" w:space="0"/>
              <w:left w:val="single" w:color="auto" w:sz="4" w:space="0"/>
              <w:bottom w:val="single" w:color="auto" w:sz="4" w:space="0"/>
              <w:right w:val="single" w:color="auto" w:sz="4" w:space="0"/>
            </w:tcBorders>
            <w:vAlign w:val="top"/>
          </w:tcPr>
          <w:p w14:paraId="4D4AB7D7">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服务期限：</w:t>
            </w:r>
            <w:r>
              <w:rPr>
                <w:rFonts w:hint="eastAsia" w:ascii="宋体" w:hAnsi="宋体" w:eastAsia="宋体" w:cs="宋体"/>
                <w:color w:val="auto"/>
                <w:szCs w:val="21"/>
                <w:highlight w:val="none"/>
                <w:lang w:val="en-US" w:eastAsia="zh-CN"/>
              </w:rPr>
              <w:t>自签订合同之日起至2027年7月底完成验收</w:t>
            </w:r>
            <w:r>
              <w:rPr>
                <w:rFonts w:hint="eastAsia" w:ascii="宋体" w:hAnsi="宋体" w:eastAsia="宋体" w:cs="宋体"/>
                <w:color w:val="auto"/>
                <w:sz w:val="24"/>
                <w:szCs w:val="24"/>
                <w:highlight w:val="none"/>
              </w:rPr>
              <w:t>。</w:t>
            </w:r>
          </w:p>
          <w:p w14:paraId="4D12D8D9">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服务地点：</w:t>
            </w:r>
            <w:r>
              <w:rPr>
                <w:rFonts w:hint="eastAsia" w:ascii="宋体" w:hAnsi="宋体" w:eastAsia="宋体" w:cs="宋体"/>
                <w:color w:val="auto"/>
                <w:szCs w:val="21"/>
                <w:highlight w:val="none"/>
                <w:lang w:val="en-US" w:eastAsia="zh-CN"/>
              </w:rPr>
              <w:t>采购人指定地点</w:t>
            </w:r>
            <w:r>
              <w:rPr>
                <w:rFonts w:hint="eastAsia" w:ascii="宋体" w:hAnsi="宋体" w:eastAsia="宋体" w:cs="宋体"/>
                <w:color w:val="auto"/>
                <w:szCs w:val="21"/>
                <w:highlight w:val="none"/>
              </w:rPr>
              <w:t>。</w:t>
            </w:r>
          </w:p>
        </w:tc>
      </w:tr>
      <w:tr w14:paraId="5DF3AC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322" w:type="dxa"/>
            <w:gridSpan w:val="3"/>
            <w:tcBorders>
              <w:top w:val="single" w:color="auto" w:sz="4" w:space="0"/>
              <w:left w:val="single" w:color="auto" w:sz="4" w:space="0"/>
              <w:bottom w:val="single" w:color="auto" w:sz="4" w:space="0"/>
              <w:right w:val="single" w:color="auto" w:sz="4" w:space="0"/>
            </w:tcBorders>
            <w:vAlign w:val="center"/>
          </w:tcPr>
          <w:p w14:paraId="479E7131">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▲投标报价</w:t>
            </w:r>
          </w:p>
        </w:tc>
        <w:tc>
          <w:tcPr>
            <w:tcW w:w="7342" w:type="dxa"/>
            <w:gridSpan w:val="3"/>
            <w:tcBorders>
              <w:top w:val="single" w:color="auto" w:sz="4" w:space="0"/>
              <w:left w:val="single" w:color="auto" w:sz="4" w:space="0"/>
              <w:bottom w:val="single" w:color="auto" w:sz="4" w:space="0"/>
              <w:right w:val="single" w:color="auto" w:sz="4" w:space="0"/>
            </w:tcBorders>
            <w:vAlign w:val="top"/>
          </w:tcPr>
          <w:p w14:paraId="1CA6A54A">
            <w:pPr>
              <w:numPr>
                <w:ilvl w:val="0"/>
                <w:numId w:val="0"/>
              </w:numPr>
              <w:spacing w:line="400" w:lineRule="exact"/>
              <w:jc w:val="both"/>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1.</w:t>
            </w:r>
            <w:r>
              <w:rPr>
                <w:rFonts w:hint="eastAsia" w:ascii="宋体" w:hAnsi="宋体" w:eastAsia="宋体" w:cs="宋体"/>
                <w:color w:val="auto"/>
                <w:szCs w:val="21"/>
                <w:highlight w:val="none"/>
              </w:rPr>
              <w:t>本标项采购预算为人民币</w:t>
            </w:r>
            <w:r>
              <w:rPr>
                <w:rFonts w:hint="eastAsia" w:ascii="宋体" w:hAnsi="宋体" w:eastAsia="宋体" w:cs="宋体"/>
                <w:color w:val="auto"/>
                <w:szCs w:val="21"/>
                <w:highlight w:val="none"/>
                <w:lang w:val="en-US" w:eastAsia="zh-CN"/>
              </w:rPr>
              <w:t>600</w:t>
            </w:r>
            <w:r>
              <w:rPr>
                <w:rFonts w:hint="eastAsia" w:ascii="宋体" w:hAnsi="宋体" w:eastAsia="宋体" w:cs="宋体"/>
                <w:color w:val="auto"/>
                <w:szCs w:val="21"/>
                <w:highlight w:val="none"/>
              </w:rPr>
              <w:t>000.00元，单价最高限价如下表：</w:t>
            </w:r>
          </w:p>
          <w:tbl>
            <w:tblPr>
              <w:tblStyle w:val="61"/>
              <w:tblW w:w="6646" w:type="dxa"/>
              <w:jc w:val="center"/>
              <w:tblLayout w:type="fixed"/>
              <w:tblCellMar>
                <w:top w:w="0" w:type="dxa"/>
                <w:left w:w="108" w:type="dxa"/>
                <w:bottom w:w="0" w:type="dxa"/>
                <w:right w:w="108" w:type="dxa"/>
              </w:tblCellMar>
            </w:tblPr>
            <w:tblGrid>
              <w:gridCol w:w="727"/>
              <w:gridCol w:w="1118"/>
              <w:gridCol w:w="1186"/>
              <w:gridCol w:w="737"/>
              <w:gridCol w:w="791"/>
              <w:gridCol w:w="2087"/>
            </w:tblGrid>
            <w:tr w14:paraId="3D07B8CB">
              <w:tblPrEx>
                <w:tblCellMar>
                  <w:top w:w="0" w:type="dxa"/>
                  <w:left w:w="108" w:type="dxa"/>
                  <w:bottom w:w="0" w:type="dxa"/>
                  <w:right w:w="108" w:type="dxa"/>
                </w:tblCellMar>
              </w:tblPrEx>
              <w:trPr>
                <w:trHeight w:val="23" w:hRule="atLeast"/>
                <w:jc w:val="center"/>
              </w:trPr>
              <w:tc>
                <w:tcPr>
                  <w:tcW w:w="727" w:type="dxa"/>
                  <w:tcBorders>
                    <w:top w:val="single" w:color="000000" w:sz="4" w:space="0"/>
                    <w:left w:val="single" w:color="000000" w:sz="4" w:space="0"/>
                    <w:bottom w:val="single" w:color="000000" w:sz="4" w:space="0"/>
                    <w:right w:val="single" w:color="000000" w:sz="4" w:space="0"/>
                  </w:tcBorders>
                  <w:noWrap/>
                  <w:vAlign w:val="center"/>
                </w:tcPr>
                <w:p w14:paraId="37A16DE4">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序号</w:t>
                  </w:r>
                </w:p>
              </w:tc>
              <w:tc>
                <w:tcPr>
                  <w:tcW w:w="1118" w:type="dxa"/>
                  <w:tcBorders>
                    <w:top w:val="single" w:color="000000" w:sz="4" w:space="0"/>
                    <w:left w:val="single" w:color="000000" w:sz="4" w:space="0"/>
                    <w:bottom w:val="single" w:color="000000" w:sz="4" w:space="0"/>
                    <w:right w:val="single" w:color="000000" w:sz="4" w:space="0"/>
                  </w:tcBorders>
                  <w:noWrap/>
                  <w:vAlign w:val="center"/>
                </w:tcPr>
                <w:p w14:paraId="150EB0B8">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服务内容</w:t>
                  </w:r>
                </w:p>
              </w:tc>
              <w:tc>
                <w:tcPr>
                  <w:tcW w:w="1186" w:type="dxa"/>
                  <w:tcBorders>
                    <w:top w:val="single" w:color="000000" w:sz="4" w:space="0"/>
                    <w:left w:val="single" w:color="000000" w:sz="4" w:space="0"/>
                    <w:bottom w:val="single" w:color="000000" w:sz="4" w:space="0"/>
                    <w:right w:val="single" w:color="000000" w:sz="4" w:space="0"/>
                  </w:tcBorders>
                  <w:noWrap/>
                  <w:vAlign w:val="center"/>
                </w:tcPr>
                <w:p w14:paraId="631A9753">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子项</w:t>
                  </w:r>
                </w:p>
              </w:tc>
              <w:tc>
                <w:tcPr>
                  <w:tcW w:w="737" w:type="dxa"/>
                  <w:tcBorders>
                    <w:top w:val="single" w:color="000000" w:sz="4" w:space="0"/>
                    <w:left w:val="single" w:color="000000" w:sz="4" w:space="0"/>
                    <w:bottom w:val="single" w:color="000000" w:sz="4" w:space="0"/>
                    <w:right w:val="single" w:color="000000" w:sz="4" w:space="0"/>
                  </w:tcBorders>
                  <w:noWrap/>
                  <w:vAlign w:val="center"/>
                </w:tcPr>
                <w:p w14:paraId="6EDA7C66">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数量</w:t>
                  </w:r>
                </w:p>
              </w:tc>
              <w:tc>
                <w:tcPr>
                  <w:tcW w:w="791" w:type="dxa"/>
                  <w:tcBorders>
                    <w:top w:val="single" w:color="000000" w:sz="4" w:space="0"/>
                    <w:left w:val="single" w:color="000000" w:sz="4" w:space="0"/>
                    <w:bottom w:val="single" w:color="000000" w:sz="4" w:space="0"/>
                    <w:right w:val="single" w:color="000000" w:sz="4" w:space="0"/>
                  </w:tcBorders>
                  <w:noWrap/>
                  <w:vAlign w:val="center"/>
                </w:tcPr>
                <w:p w14:paraId="608D6206">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单位</w:t>
                  </w:r>
                </w:p>
              </w:tc>
              <w:tc>
                <w:tcPr>
                  <w:tcW w:w="2087" w:type="dxa"/>
                  <w:tcBorders>
                    <w:top w:val="single" w:color="000000" w:sz="4" w:space="0"/>
                    <w:left w:val="single" w:color="000000" w:sz="4" w:space="0"/>
                    <w:bottom w:val="single" w:color="000000" w:sz="4" w:space="0"/>
                    <w:right w:val="single" w:color="000000" w:sz="4" w:space="0"/>
                  </w:tcBorders>
                  <w:noWrap/>
                  <w:vAlign w:val="center"/>
                </w:tcPr>
                <w:p w14:paraId="37C9ED9B">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单价最高限价</w:t>
                  </w:r>
                </w:p>
              </w:tc>
            </w:tr>
            <w:tr w14:paraId="1B84AB82">
              <w:tblPrEx>
                <w:tblCellMar>
                  <w:top w:w="0" w:type="dxa"/>
                  <w:left w:w="108" w:type="dxa"/>
                  <w:bottom w:w="0" w:type="dxa"/>
                  <w:right w:w="108" w:type="dxa"/>
                </w:tblCellMar>
              </w:tblPrEx>
              <w:trPr>
                <w:trHeight w:val="23" w:hRule="atLeast"/>
                <w:jc w:val="center"/>
              </w:trPr>
              <w:tc>
                <w:tcPr>
                  <w:tcW w:w="727" w:type="dxa"/>
                  <w:tcBorders>
                    <w:top w:val="single" w:color="000000" w:sz="4" w:space="0"/>
                    <w:left w:val="single" w:color="000000" w:sz="4" w:space="0"/>
                    <w:bottom w:val="single" w:color="000000" w:sz="4" w:space="0"/>
                    <w:right w:val="single" w:color="000000" w:sz="4" w:space="0"/>
                  </w:tcBorders>
                  <w:noWrap/>
                  <w:vAlign w:val="center"/>
                </w:tcPr>
                <w:p w14:paraId="3DC612B5">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1118" w:type="dxa"/>
                  <w:tcBorders>
                    <w:top w:val="single" w:color="000000" w:sz="4" w:space="0"/>
                    <w:left w:val="single" w:color="000000" w:sz="4" w:space="0"/>
                    <w:bottom w:val="single" w:color="000000" w:sz="4" w:space="0"/>
                    <w:right w:val="single" w:color="000000" w:sz="4" w:space="0"/>
                  </w:tcBorders>
                  <w:noWrap/>
                  <w:vAlign w:val="center"/>
                </w:tcPr>
                <w:p w14:paraId="6B21EA98">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船只</w:t>
                  </w:r>
                </w:p>
              </w:tc>
              <w:tc>
                <w:tcPr>
                  <w:tcW w:w="1186" w:type="dxa"/>
                  <w:tcBorders>
                    <w:top w:val="single" w:color="000000" w:sz="4" w:space="0"/>
                    <w:left w:val="single" w:color="000000" w:sz="4" w:space="0"/>
                    <w:bottom w:val="single" w:color="000000" w:sz="4" w:space="0"/>
                    <w:right w:val="single" w:color="000000" w:sz="4" w:space="0"/>
                  </w:tcBorders>
                  <w:noWrap/>
                  <w:vAlign w:val="center"/>
                </w:tcPr>
                <w:p w14:paraId="421E6B9B">
                  <w:pPr>
                    <w:rPr>
                      <w:rFonts w:hint="eastAsia" w:ascii="宋体" w:hAnsi="宋体" w:eastAsia="宋体" w:cs="宋体"/>
                      <w:color w:val="auto"/>
                      <w:szCs w:val="21"/>
                      <w:highlight w:val="none"/>
                    </w:rPr>
                  </w:pPr>
                </w:p>
              </w:tc>
              <w:tc>
                <w:tcPr>
                  <w:tcW w:w="737" w:type="dxa"/>
                  <w:tcBorders>
                    <w:top w:val="single" w:color="000000" w:sz="4" w:space="0"/>
                    <w:left w:val="single" w:color="000000" w:sz="4" w:space="0"/>
                    <w:bottom w:val="single" w:color="000000" w:sz="4" w:space="0"/>
                    <w:right w:val="single" w:color="000000" w:sz="4" w:space="0"/>
                  </w:tcBorders>
                  <w:noWrap/>
                  <w:vAlign w:val="center"/>
                </w:tcPr>
                <w:p w14:paraId="3209E4FB">
                  <w:pPr>
                    <w:jc w:val="center"/>
                    <w:rPr>
                      <w:rFonts w:hint="eastAsia" w:ascii="宋体" w:hAnsi="宋体" w:eastAsia="宋体" w:cs="宋体"/>
                      <w:color w:val="auto"/>
                      <w:szCs w:val="21"/>
                      <w:highlight w:val="none"/>
                    </w:rPr>
                  </w:pPr>
                </w:p>
              </w:tc>
              <w:tc>
                <w:tcPr>
                  <w:tcW w:w="791" w:type="dxa"/>
                  <w:tcBorders>
                    <w:top w:val="single" w:color="000000" w:sz="4" w:space="0"/>
                    <w:left w:val="single" w:color="000000" w:sz="4" w:space="0"/>
                    <w:bottom w:val="single" w:color="000000" w:sz="4" w:space="0"/>
                    <w:right w:val="single" w:color="000000" w:sz="4" w:space="0"/>
                  </w:tcBorders>
                  <w:noWrap/>
                  <w:vAlign w:val="center"/>
                </w:tcPr>
                <w:p w14:paraId="6245ABD4">
                  <w:pPr>
                    <w:jc w:val="center"/>
                    <w:rPr>
                      <w:rFonts w:hint="eastAsia" w:ascii="宋体" w:hAnsi="宋体" w:eastAsia="宋体" w:cs="宋体"/>
                      <w:color w:val="auto"/>
                      <w:szCs w:val="21"/>
                      <w:highlight w:val="none"/>
                    </w:rPr>
                  </w:pPr>
                </w:p>
              </w:tc>
              <w:tc>
                <w:tcPr>
                  <w:tcW w:w="2087" w:type="dxa"/>
                  <w:tcBorders>
                    <w:top w:val="single" w:color="000000" w:sz="4" w:space="0"/>
                    <w:left w:val="single" w:color="000000" w:sz="4" w:space="0"/>
                    <w:bottom w:val="single" w:color="000000" w:sz="4" w:space="0"/>
                    <w:right w:val="single" w:color="000000" w:sz="4" w:space="0"/>
                  </w:tcBorders>
                  <w:noWrap w:val="0"/>
                  <w:vAlign w:val="center"/>
                </w:tcPr>
                <w:p w14:paraId="1CA1F11F">
                  <w:pPr>
                    <w:jc w:val="center"/>
                    <w:rPr>
                      <w:rFonts w:hint="eastAsia" w:ascii="宋体" w:hAnsi="宋体" w:eastAsia="宋体" w:cs="宋体"/>
                      <w:color w:val="auto"/>
                      <w:szCs w:val="21"/>
                      <w:highlight w:val="none"/>
                    </w:rPr>
                  </w:pPr>
                </w:p>
              </w:tc>
            </w:tr>
            <w:tr w14:paraId="6C064211">
              <w:tblPrEx>
                <w:tblCellMar>
                  <w:top w:w="0" w:type="dxa"/>
                  <w:left w:w="108" w:type="dxa"/>
                  <w:bottom w:w="0" w:type="dxa"/>
                  <w:right w:w="108" w:type="dxa"/>
                </w:tblCellMar>
              </w:tblPrEx>
              <w:trPr>
                <w:trHeight w:val="23" w:hRule="atLeast"/>
                <w:jc w:val="center"/>
              </w:trPr>
              <w:tc>
                <w:tcPr>
                  <w:tcW w:w="727" w:type="dxa"/>
                  <w:tcBorders>
                    <w:top w:val="single" w:color="000000" w:sz="4" w:space="0"/>
                    <w:left w:val="single" w:color="000000" w:sz="4" w:space="0"/>
                    <w:bottom w:val="single" w:color="000000" w:sz="4" w:space="0"/>
                    <w:right w:val="single" w:color="000000" w:sz="4" w:space="0"/>
                  </w:tcBorders>
                  <w:noWrap/>
                  <w:vAlign w:val="center"/>
                </w:tcPr>
                <w:p w14:paraId="2077BA16">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1.1</w:t>
                  </w:r>
                </w:p>
              </w:tc>
              <w:tc>
                <w:tcPr>
                  <w:tcW w:w="1118" w:type="dxa"/>
                  <w:tcBorders>
                    <w:top w:val="single" w:color="000000" w:sz="4" w:space="0"/>
                    <w:left w:val="single" w:color="000000" w:sz="4" w:space="0"/>
                    <w:bottom w:val="single" w:color="000000" w:sz="4" w:space="0"/>
                    <w:right w:val="single" w:color="000000" w:sz="4" w:space="0"/>
                  </w:tcBorders>
                  <w:noWrap w:val="0"/>
                  <w:vAlign w:val="center"/>
                </w:tcPr>
                <w:p w14:paraId="3FFF7946">
                  <w:pPr>
                    <w:jc w:val="center"/>
                    <w:rPr>
                      <w:rFonts w:hint="eastAsia" w:ascii="宋体" w:hAnsi="宋体" w:eastAsia="宋体" w:cs="宋体"/>
                      <w:color w:val="auto"/>
                      <w:szCs w:val="21"/>
                      <w:highlight w:val="none"/>
                    </w:rPr>
                  </w:pPr>
                </w:p>
              </w:tc>
              <w:tc>
                <w:tcPr>
                  <w:tcW w:w="1186" w:type="dxa"/>
                  <w:tcBorders>
                    <w:top w:val="single" w:color="000000" w:sz="4" w:space="0"/>
                    <w:left w:val="single" w:color="000000" w:sz="4" w:space="0"/>
                    <w:bottom w:val="single" w:color="000000" w:sz="4" w:space="0"/>
                    <w:right w:val="single" w:color="000000" w:sz="4" w:space="0"/>
                  </w:tcBorders>
                  <w:noWrap/>
                  <w:vAlign w:val="center"/>
                </w:tcPr>
                <w:p w14:paraId="58E92195">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巡查船只</w:t>
                  </w:r>
                </w:p>
              </w:tc>
              <w:tc>
                <w:tcPr>
                  <w:tcW w:w="737" w:type="dxa"/>
                  <w:tcBorders>
                    <w:top w:val="single" w:color="000000" w:sz="4" w:space="0"/>
                    <w:left w:val="single" w:color="000000" w:sz="4" w:space="0"/>
                    <w:bottom w:val="single" w:color="000000" w:sz="4" w:space="0"/>
                    <w:right w:val="single" w:color="000000" w:sz="4" w:space="0"/>
                  </w:tcBorders>
                  <w:noWrap/>
                  <w:vAlign w:val="center"/>
                </w:tcPr>
                <w:p w14:paraId="4566BD13">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791" w:type="dxa"/>
                  <w:tcBorders>
                    <w:top w:val="single" w:color="000000" w:sz="4" w:space="0"/>
                    <w:left w:val="single" w:color="000000" w:sz="4" w:space="0"/>
                    <w:bottom w:val="single" w:color="000000" w:sz="4" w:space="0"/>
                    <w:right w:val="single" w:color="000000" w:sz="4" w:space="0"/>
                  </w:tcBorders>
                  <w:noWrap/>
                  <w:vAlign w:val="center"/>
                </w:tcPr>
                <w:p w14:paraId="4440FCFE">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船次</w:t>
                  </w:r>
                </w:p>
              </w:tc>
              <w:tc>
                <w:tcPr>
                  <w:tcW w:w="2087" w:type="dxa"/>
                  <w:tcBorders>
                    <w:top w:val="single" w:color="000000" w:sz="4" w:space="0"/>
                    <w:left w:val="single" w:color="000000" w:sz="4" w:space="0"/>
                    <w:bottom w:val="single" w:color="000000" w:sz="4" w:space="0"/>
                    <w:right w:val="single" w:color="000000" w:sz="4" w:space="0"/>
                  </w:tcBorders>
                  <w:noWrap w:val="0"/>
                  <w:vAlign w:val="center"/>
                </w:tcPr>
                <w:p w14:paraId="4ED2AB85">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每船次不高于600元</w:t>
                  </w:r>
                </w:p>
              </w:tc>
            </w:tr>
            <w:tr w14:paraId="5C7AF597">
              <w:tblPrEx>
                <w:tblCellMar>
                  <w:top w:w="0" w:type="dxa"/>
                  <w:left w:w="108" w:type="dxa"/>
                  <w:bottom w:w="0" w:type="dxa"/>
                  <w:right w:w="108" w:type="dxa"/>
                </w:tblCellMar>
              </w:tblPrEx>
              <w:trPr>
                <w:trHeight w:val="23" w:hRule="atLeast"/>
                <w:jc w:val="center"/>
              </w:trPr>
              <w:tc>
                <w:tcPr>
                  <w:tcW w:w="727" w:type="dxa"/>
                  <w:tcBorders>
                    <w:top w:val="single" w:color="000000" w:sz="4" w:space="0"/>
                    <w:left w:val="single" w:color="000000" w:sz="4" w:space="0"/>
                    <w:bottom w:val="single" w:color="000000" w:sz="4" w:space="0"/>
                    <w:right w:val="single" w:color="000000" w:sz="4" w:space="0"/>
                  </w:tcBorders>
                  <w:noWrap/>
                  <w:vAlign w:val="center"/>
                </w:tcPr>
                <w:p w14:paraId="59815F4E">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1.2</w:t>
                  </w:r>
                </w:p>
              </w:tc>
              <w:tc>
                <w:tcPr>
                  <w:tcW w:w="1118" w:type="dxa"/>
                  <w:tcBorders>
                    <w:top w:val="single" w:color="000000" w:sz="4" w:space="0"/>
                    <w:left w:val="single" w:color="000000" w:sz="4" w:space="0"/>
                    <w:bottom w:val="single" w:color="000000" w:sz="4" w:space="0"/>
                    <w:right w:val="single" w:color="000000" w:sz="4" w:space="0"/>
                  </w:tcBorders>
                  <w:noWrap/>
                  <w:vAlign w:val="center"/>
                </w:tcPr>
                <w:p w14:paraId="70BAA2A5">
                  <w:pPr>
                    <w:jc w:val="center"/>
                    <w:rPr>
                      <w:rFonts w:hint="eastAsia" w:ascii="宋体" w:hAnsi="宋体" w:eastAsia="宋体" w:cs="宋体"/>
                      <w:color w:val="auto"/>
                      <w:szCs w:val="21"/>
                      <w:highlight w:val="none"/>
                    </w:rPr>
                  </w:pPr>
                </w:p>
              </w:tc>
              <w:tc>
                <w:tcPr>
                  <w:tcW w:w="1186" w:type="dxa"/>
                  <w:tcBorders>
                    <w:top w:val="single" w:color="000000" w:sz="4" w:space="0"/>
                    <w:left w:val="single" w:color="000000" w:sz="4" w:space="0"/>
                    <w:bottom w:val="single" w:color="000000" w:sz="4" w:space="0"/>
                    <w:right w:val="single" w:color="000000" w:sz="4" w:space="0"/>
                  </w:tcBorders>
                  <w:noWrap/>
                  <w:vAlign w:val="center"/>
                </w:tcPr>
                <w:p w14:paraId="0433BDF1">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作业船只</w:t>
                  </w:r>
                </w:p>
              </w:tc>
              <w:tc>
                <w:tcPr>
                  <w:tcW w:w="737" w:type="dxa"/>
                  <w:tcBorders>
                    <w:top w:val="single" w:color="000000" w:sz="4" w:space="0"/>
                    <w:left w:val="single" w:color="000000" w:sz="4" w:space="0"/>
                    <w:bottom w:val="single" w:color="000000" w:sz="4" w:space="0"/>
                    <w:right w:val="single" w:color="000000" w:sz="4" w:space="0"/>
                  </w:tcBorders>
                  <w:noWrap/>
                  <w:vAlign w:val="center"/>
                </w:tcPr>
                <w:p w14:paraId="4BAAC981">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791" w:type="dxa"/>
                  <w:tcBorders>
                    <w:top w:val="single" w:color="000000" w:sz="4" w:space="0"/>
                    <w:left w:val="single" w:color="000000" w:sz="4" w:space="0"/>
                    <w:bottom w:val="single" w:color="000000" w:sz="4" w:space="0"/>
                    <w:right w:val="single" w:color="000000" w:sz="4" w:space="0"/>
                  </w:tcBorders>
                  <w:noWrap/>
                  <w:vAlign w:val="center"/>
                </w:tcPr>
                <w:p w14:paraId="545EC208">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船次</w:t>
                  </w:r>
                </w:p>
              </w:tc>
              <w:tc>
                <w:tcPr>
                  <w:tcW w:w="2087" w:type="dxa"/>
                  <w:tcBorders>
                    <w:top w:val="single" w:color="000000" w:sz="4" w:space="0"/>
                    <w:left w:val="single" w:color="000000" w:sz="4" w:space="0"/>
                    <w:bottom w:val="single" w:color="000000" w:sz="4" w:space="0"/>
                    <w:right w:val="single" w:color="000000" w:sz="4" w:space="0"/>
                  </w:tcBorders>
                  <w:noWrap w:val="0"/>
                  <w:vAlign w:val="center"/>
                </w:tcPr>
                <w:p w14:paraId="475D9A43">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每船次不高于2000元</w:t>
                  </w:r>
                </w:p>
              </w:tc>
            </w:tr>
            <w:tr w14:paraId="06FC4063">
              <w:tblPrEx>
                <w:tblCellMar>
                  <w:top w:w="0" w:type="dxa"/>
                  <w:left w:w="108" w:type="dxa"/>
                  <w:bottom w:w="0" w:type="dxa"/>
                  <w:right w:w="108" w:type="dxa"/>
                </w:tblCellMar>
              </w:tblPrEx>
              <w:trPr>
                <w:trHeight w:val="23" w:hRule="atLeast"/>
                <w:jc w:val="center"/>
              </w:trPr>
              <w:tc>
                <w:tcPr>
                  <w:tcW w:w="727" w:type="dxa"/>
                  <w:tcBorders>
                    <w:top w:val="single" w:color="000000" w:sz="4" w:space="0"/>
                    <w:left w:val="single" w:color="000000" w:sz="4" w:space="0"/>
                    <w:bottom w:val="single" w:color="000000" w:sz="4" w:space="0"/>
                    <w:right w:val="single" w:color="000000" w:sz="4" w:space="0"/>
                  </w:tcBorders>
                  <w:noWrap/>
                  <w:vAlign w:val="center"/>
                </w:tcPr>
                <w:p w14:paraId="13D4E245">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2</w:t>
                  </w:r>
                </w:p>
              </w:tc>
              <w:tc>
                <w:tcPr>
                  <w:tcW w:w="1118" w:type="dxa"/>
                  <w:tcBorders>
                    <w:top w:val="single" w:color="000000" w:sz="4" w:space="0"/>
                    <w:left w:val="single" w:color="000000" w:sz="4" w:space="0"/>
                    <w:bottom w:val="single" w:color="000000" w:sz="4" w:space="0"/>
                    <w:right w:val="single" w:color="000000" w:sz="4" w:space="0"/>
                  </w:tcBorders>
                  <w:noWrap/>
                  <w:vAlign w:val="center"/>
                </w:tcPr>
                <w:p w14:paraId="531F7877">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作业人员</w:t>
                  </w:r>
                </w:p>
              </w:tc>
              <w:tc>
                <w:tcPr>
                  <w:tcW w:w="1186" w:type="dxa"/>
                  <w:tcBorders>
                    <w:top w:val="single" w:color="000000" w:sz="4" w:space="0"/>
                    <w:left w:val="single" w:color="000000" w:sz="4" w:space="0"/>
                    <w:bottom w:val="single" w:color="000000" w:sz="4" w:space="0"/>
                    <w:right w:val="single" w:color="000000" w:sz="4" w:space="0"/>
                  </w:tcBorders>
                  <w:noWrap/>
                  <w:vAlign w:val="center"/>
                </w:tcPr>
                <w:p w14:paraId="6191F13E">
                  <w:pPr>
                    <w:jc w:val="center"/>
                    <w:rPr>
                      <w:rFonts w:hint="eastAsia" w:ascii="宋体" w:hAnsi="宋体" w:eastAsia="宋体" w:cs="宋体"/>
                      <w:color w:val="auto"/>
                      <w:szCs w:val="21"/>
                      <w:highlight w:val="none"/>
                    </w:rPr>
                  </w:pPr>
                </w:p>
              </w:tc>
              <w:tc>
                <w:tcPr>
                  <w:tcW w:w="737" w:type="dxa"/>
                  <w:tcBorders>
                    <w:top w:val="single" w:color="000000" w:sz="4" w:space="0"/>
                    <w:left w:val="single" w:color="000000" w:sz="4" w:space="0"/>
                    <w:bottom w:val="single" w:color="000000" w:sz="4" w:space="0"/>
                    <w:right w:val="single" w:color="000000" w:sz="4" w:space="0"/>
                  </w:tcBorders>
                  <w:noWrap/>
                  <w:vAlign w:val="center"/>
                </w:tcPr>
                <w:p w14:paraId="3726C0A2">
                  <w:pPr>
                    <w:jc w:val="center"/>
                    <w:rPr>
                      <w:rFonts w:hint="eastAsia" w:ascii="宋体" w:hAnsi="宋体" w:eastAsia="宋体" w:cs="宋体"/>
                      <w:color w:val="auto"/>
                      <w:szCs w:val="21"/>
                      <w:highlight w:val="none"/>
                    </w:rPr>
                  </w:pPr>
                </w:p>
              </w:tc>
              <w:tc>
                <w:tcPr>
                  <w:tcW w:w="791" w:type="dxa"/>
                  <w:tcBorders>
                    <w:top w:val="single" w:color="000000" w:sz="4" w:space="0"/>
                    <w:left w:val="single" w:color="000000" w:sz="4" w:space="0"/>
                    <w:bottom w:val="single" w:color="000000" w:sz="4" w:space="0"/>
                    <w:right w:val="single" w:color="000000" w:sz="4" w:space="0"/>
                  </w:tcBorders>
                  <w:noWrap/>
                  <w:vAlign w:val="center"/>
                </w:tcPr>
                <w:p w14:paraId="2BC8BDE2">
                  <w:pPr>
                    <w:jc w:val="center"/>
                    <w:rPr>
                      <w:rFonts w:hint="eastAsia" w:ascii="宋体" w:hAnsi="宋体" w:eastAsia="宋体" w:cs="宋体"/>
                      <w:color w:val="auto"/>
                      <w:szCs w:val="21"/>
                      <w:highlight w:val="none"/>
                    </w:rPr>
                  </w:pPr>
                </w:p>
              </w:tc>
              <w:tc>
                <w:tcPr>
                  <w:tcW w:w="2087" w:type="dxa"/>
                  <w:tcBorders>
                    <w:top w:val="single" w:color="000000" w:sz="4" w:space="0"/>
                    <w:left w:val="single" w:color="000000" w:sz="4" w:space="0"/>
                    <w:bottom w:val="single" w:color="000000" w:sz="4" w:space="0"/>
                    <w:right w:val="single" w:color="000000" w:sz="4" w:space="0"/>
                  </w:tcBorders>
                  <w:noWrap w:val="0"/>
                  <w:vAlign w:val="center"/>
                </w:tcPr>
                <w:p w14:paraId="140C4C0F">
                  <w:pPr>
                    <w:rPr>
                      <w:rFonts w:hint="eastAsia" w:ascii="宋体" w:hAnsi="宋体" w:eastAsia="宋体" w:cs="宋体"/>
                      <w:color w:val="auto"/>
                      <w:szCs w:val="21"/>
                      <w:highlight w:val="none"/>
                    </w:rPr>
                  </w:pPr>
                </w:p>
              </w:tc>
            </w:tr>
            <w:tr w14:paraId="27CA32AD">
              <w:tblPrEx>
                <w:tblCellMar>
                  <w:top w:w="0" w:type="dxa"/>
                  <w:left w:w="108" w:type="dxa"/>
                  <w:bottom w:w="0" w:type="dxa"/>
                  <w:right w:w="108" w:type="dxa"/>
                </w:tblCellMar>
              </w:tblPrEx>
              <w:trPr>
                <w:trHeight w:val="23" w:hRule="atLeast"/>
                <w:jc w:val="center"/>
              </w:trPr>
              <w:tc>
                <w:tcPr>
                  <w:tcW w:w="727" w:type="dxa"/>
                  <w:tcBorders>
                    <w:top w:val="single" w:color="000000" w:sz="4" w:space="0"/>
                    <w:left w:val="single" w:color="000000" w:sz="4" w:space="0"/>
                    <w:bottom w:val="single" w:color="000000" w:sz="4" w:space="0"/>
                    <w:right w:val="single" w:color="000000" w:sz="4" w:space="0"/>
                  </w:tcBorders>
                  <w:noWrap/>
                  <w:vAlign w:val="center"/>
                </w:tcPr>
                <w:p w14:paraId="66447F02">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2.1</w:t>
                  </w:r>
                </w:p>
              </w:tc>
              <w:tc>
                <w:tcPr>
                  <w:tcW w:w="1118" w:type="dxa"/>
                  <w:tcBorders>
                    <w:top w:val="single" w:color="000000" w:sz="4" w:space="0"/>
                    <w:left w:val="single" w:color="000000" w:sz="4" w:space="0"/>
                    <w:bottom w:val="single" w:color="000000" w:sz="4" w:space="0"/>
                    <w:right w:val="single" w:color="000000" w:sz="4" w:space="0"/>
                  </w:tcBorders>
                  <w:noWrap/>
                  <w:vAlign w:val="center"/>
                </w:tcPr>
                <w:p w14:paraId="1D741AF5">
                  <w:pPr>
                    <w:jc w:val="center"/>
                    <w:rPr>
                      <w:rFonts w:hint="eastAsia" w:ascii="宋体" w:hAnsi="宋体" w:eastAsia="宋体" w:cs="宋体"/>
                      <w:color w:val="auto"/>
                      <w:szCs w:val="21"/>
                      <w:highlight w:val="none"/>
                    </w:rPr>
                  </w:pPr>
                </w:p>
              </w:tc>
              <w:tc>
                <w:tcPr>
                  <w:tcW w:w="1186" w:type="dxa"/>
                  <w:tcBorders>
                    <w:top w:val="single" w:color="000000" w:sz="4" w:space="0"/>
                    <w:left w:val="single" w:color="000000" w:sz="4" w:space="0"/>
                    <w:bottom w:val="single" w:color="000000" w:sz="4" w:space="0"/>
                    <w:right w:val="single" w:color="000000" w:sz="4" w:space="0"/>
                  </w:tcBorders>
                  <w:noWrap/>
                  <w:vAlign w:val="center"/>
                </w:tcPr>
                <w:p w14:paraId="2A0F2545">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作业人员</w:t>
                  </w:r>
                </w:p>
              </w:tc>
              <w:tc>
                <w:tcPr>
                  <w:tcW w:w="737" w:type="dxa"/>
                  <w:tcBorders>
                    <w:top w:val="single" w:color="000000" w:sz="4" w:space="0"/>
                    <w:left w:val="single" w:color="000000" w:sz="4" w:space="0"/>
                    <w:bottom w:val="single" w:color="000000" w:sz="4" w:space="0"/>
                    <w:right w:val="single" w:color="000000" w:sz="4" w:space="0"/>
                  </w:tcBorders>
                  <w:noWrap/>
                  <w:vAlign w:val="center"/>
                </w:tcPr>
                <w:p w14:paraId="7C75C288">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791" w:type="dxa"/>
                  <w:tcBorders>
                    <w:top w:val="single" w:color="000000" w:sz="4" w:space="0"/>
                    <w:left w:val="single" w:color="000000" w:sz="4" w:space="0"/>
                    <w:bottom w:val="single" w:color="000000" w:sz="4" w:space="0"/>
                    <w:right w:val="single" w:color="000000" w:sz="4" w:space="0"/>
                  </w:tcBorders>
                  <w:noWrap/>
                  <w:vAlign w:val="center"/>
                </w:tcPr>
                <w:p w14:paraId="4276782B">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工日</w:t>
                  </w:r>
                </w:p>
              </w:tc>
              <w:tc>
                <w:tcPr>
                  <w:tcW w:w="2087" w:type="dxa"/>
                  <w:tcBorders>
                    <w:top w:val="single" w:color="000000" w:sz="4" w:space="0"/>
                    <w:left w:val="single" w:color="000000" w:sz="4" w:space="0"/>
                    <w:bottom w:val="single" w:color="000000" w:sz="4" w:space="0"/>
                    <w:right w:val="single" w:color="000000" w:sz="4" w:space="0"/>
                  </w:tcBorders>
                  <w:noWrap/>
                  <w:vAlign w:val="center"/>
                </w:tcPr>
                <w:p w14:paraId="032F70D7">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每工日不超过290元</w:t>
                  </w:r>
                </w:p>
              </w:tc>
            </w:tr>
            <w:tr w14:paraId="0F716C3B">
              <w:tblPrEx>
                <w:tblCellMar>
                  <w:top w:w="0" w:type="dxa"/>
                  <w:left w:w="108" w:type="dxa"/>
                  <w:bottom w:w="0" w:type="dxa"/>
                  <w:right w:w="108" w:type="dxa"/>
                </w:tblCellMar>
              </w:tblPrEx>
              <w:trPr>
                <w:trHeight w:val="23" w:hRule="atLeast"/>
                <w:jc w:val="center"/>
              </w:trPr>
              <w:tc>
                <w:tcPr>
                  <w:tcW w:w="727" w:type="dxa"/>
                  <w:tcBorders>
                    <w:top w:val="single" w:color="000000" w:sz="4" w:space="0"/>
                    <w:left w:val="single" w:color="000000" w:sz="4" w:space="0"/>
                    <w:bottom w:val="single" w:color="000000" w:sz="4" w:space="0"/>
                    <w:right w:val="single" w:color="000000" w:sz="4" w:space="0"/>
                  </w:tcBorders>
                  <w:noWrap/>
                  <w:vAlign w:val="center"/>
                </w:tcPr>
                <w:p w14:paraId="1EEE7CAA">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2.2</w:t>
                  </w:r>
                </w:p>
              </w:tc>
              <w:tc>
                <w:tcPr>
                  <w:tcW w:w="1118" w:type="dxa"/>
                  <w:tcBorders>
                    <w:top w:val="single" w:color="000000" w:sz="4" w:space="0"/>
                    <w:left w:val="single" w:color="000000" w:sz="4" w:space="0"/>
                    <w:bottom w:val="single" w:color="000000" w:sz="4" w:space="0"/>
                    <w:right w:val="single" w:color="000000" w:sz="4" w:space="0"/>
                  </w:tcBorders>
                  <w:noWrap/>
                  <w:vAlign w:val="center"/>
                </w:tcPr>
                <w:p w14:paraId="71C4F550">
                  <w:pPr>
                    <w:jc w:val="center"/>
                    <w:rPr>
                      <w:rFonts w:hint="eastAsia" w:ascii="宋体" w:hAnsi="宋体" w:eastAsia="宋体" w:cs="宋体"/>
                      <w:color w:val="auto"/>
                      <w:szCs w:val="21"/>
                      <w:highlight w:val="none"/>
                    </w:rPr>
                  </w:pPr>
                </w:p>
              </w:tc>
              <w:tc>
                <w:tcPr>
                  <w:tcW w:w="1186" w:type="dxa"/>
                  <w:tcBorders>
                    <w:top w:val="single" w:color="000000" w:sz="4" w:space="0"/>
                    <w:left w:val="single" w:color="000000" w:sz="4" w:space="0"/>
                    <w:bottom w:val="single" w:color="000000" w:sz="4" w:space="0"/>
                    <w:right w:val="single" w:color="000000" w:sz="4" w:space="0"/>
                  </w:tcBorders>
                  <w:noWrap/>
                  <w:vAlign w:val="center"/>
                </w:tcPr>
                <w:p w14:paraId="17934AED">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锯手</w:t>
                  </w:r>
                </w:p>
              </w:tc>
              <w:tc>
                <w:tcPr>
                  <w:tcW w:w="737" w:type="dxa"/>
                  <w:tcBorders>
                    <w:top w:val="single" w:color="000000" w:sz="4" w:space="0"/>
                    <w:left w:val="single" w:color="000000" w:sz="4" w:space="0"/>
                    <w:bottom w:val="single" w:color="000000" w:sz="4" w:space="0"/>
                    <w:right w:val="single" w:color="000000" w:sz="4" w:space="0"/>
                  </w:tcBorders>
                  <w:noWrap/>
                  <w:vAlign w:val="center"/>
                </w:tcPr>
                <w:p w14:paraId="24F25542">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791" w:type="dxa"/>
                  <w:tcBorders>
                    <w:top w:val="single" w:color="000000" w:sz="4" w:space="0"/>
                    <w:left w:val="single" w:color="000000" w:sz="4" w:space="0"/>
                    <w:bottom w:val="single" w:color="000000" w:sz="4" w:space="0"/>
                    <w:right w:val="single" w:color="000000" w:sz="4" w:space="0"/>
                  </w:tcBorders>
                  <w:noWrap/>
                  <w:vAlign w:val="center"/>
                </w:tcPr>
                <w:p w14:paraId="4B12128B">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工日</w:t>
                  </w:r>
                </w:p>
              </w:tc>
              <w:tc>
                <w:tcPr>
                  <w:tcW w:w="2087" w:type="dxa"/>
                  <w:tcBorders>
                    <w:top w:val="single" w:color="000000" w:sz="4" w:space="0"/>
                    <w:left w:val="single" w:color="000000" w:sz="4" w:space="0"/>
                    <w:bottom w:val="single" w:color="000000" w:sz="4" w:space="0"/>
                    <w:right w:val="single" w:color="000000" w:sz="4" w:space="0"/>
                  </w:tcBorders>
                  <w:noWrap/>
                  <w:vAlign w:val="center"/>
                </w:tcPr>
                <w:p w14:paraId="71071DAB">
                  <w:pPr>
                    <w:widowControl/>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每工日不超过500元</w:t>
                  </w:r>
                </w:p>
              </w:tc>
            </w:tr>
            <w:tr w14:paraId="178F78DE">
              <w:tblPrEx>
                <w:tblCellMar>
                  <w:top w:w="0" w:type="dxa"/>
                  <w:left w:w="108" w:type="dxa"/>
                  <w:bottom w:w="0" w:type="dxa"/>
                  <w:right w:w="108" w:type="dxa"/>
                </w:tblCellMar>
              </w:tblPrEx>
              <w:trPr>
                <w:trHeight w:val="23" w:hRule="atLeast"/>
                <w:jc w:val="center"/>
              </w:trPr>
              <w:tc>
                <w:tcPr>
                  <w:tcW w:w="727" w:type="dxa"/>
                  <w:tcBorders>
                    <w:top w:val="single" w:color="000000" w:sz="4" w:space="0"/>
                    <w:left w:val="single" w:color="000000" w:sz="4" w:space="0"/>
                    <w:bottom w:val="single" w:color="000000" w:sz="4" w:space="0"/>
                    <w:right w:val="single" w:color="000000" w:sz="4" w:space="0"/>
                  </w:tcBorders>
                  <w:noWrap/>
                  <w:vAlign w:val="center"/>
                </w:tcPr>
                <w:p w14:paraId="5C2D4319">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3</w:t>
                  </w:r>
                </w:p>
              </w:tc>
              <w:tc>
                <w:tcPr>
                  <w:tcW w:w="1118" w:type="dxa"/>
                  <w:tcBorders>
                    <w:top w:val="single" w:color="000000" w:sz="4" w:space="0"/>
                    <w:left w:val="single" w:color="000000" w:sz="4" w:space="0"/>
                    <w:bottom w:val="single" w:color="000000" w:sz="4" w:space="0"/>
                    <w:right w:val="single" w:color="000000" w:sz="4" w:space="0"/>
                  </w:tcBorders>
                  <w:noWrap/>
                  <w:vAlign w:val="center"/>
                </w:tcPr>
                <w:p w14:paraId="7DE72D47">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运输车辆</w:t>
                  </w:r>
                </w:p>
              </w:tc>
              <w:tc>
                <w:tcPr>
                  <w:tcW w:w="1186" w:type="dxa"/>
                  <w:tcBorders>
                    <w:top w:val="single" w:color="000000" w:sz="4" w:space="0"/>
                    <w:left w:val="single" w:color="000000" w:sz="4" w:space="0"/>
                    <w:bottom w:val="single" w:color="000000" w:sz="4" w:space="0"/>
                    <w:right w:val="single" w:color="000000" w:sz="4" w:space="0"/>
                  </w:tcBorders>
                  <w:noWrap/>
                  <w:vAlign w:val="center"/>
                </w:tcPr>
                <w:p w14:paraId="16D1D32F">
                  <w:pPr>
                    <w:jc w:val="center"/>
                    <w:rPr>
                      <w:rFonts w:hint="eastAsia" w:ascii="宋体" w:hAnsi="宋体" w:eastAsia="宋体" w:cs="宋体"/>
                      <w:color w:val="auto"/>
                      <w:szCs w:val="21"/>
                      <w:highlight w:val="none"/>
                    </w:rPr>
                  </w:pPr>
                </w:p>
              </w:tc>
              <w:tc>
                <w:tcPr>
                  <w:tcW w:w="737" w:type="dxa"/>
                  <w:tcBorders>
                    <w:top w:val="single" w:color="000000" w:sz="4" w:space="0"/>
                    <w:left w:val="single" w:color="000000" w:sz="4" w:space="0"/>
                    <w:bottom w:val="single" w:color="000000" w:sz="4" w:space="0"/>
                    <w:right w:val="single" w:color="000000" w:sz="4" w:space="0"/>
                  </w:tcBorders>
                  <w:noWrap/>
                  <w:vAlign w:val="center"/>
                </w:tcPr>
                <w:p w14:paraId="6B4293BE">
                  <w:pPr>
                    <w:widowControl/>
                    <w:jc w:val="center"/>
                    <w:textAlignment w:val="center"/>
                    <w:rPr>
                      <w:rFonts w:hint="eastAsia" w:ascii="宋体" w:hAnsi="宋体" w:eastAsia="宋体" w:cs="宋体"/>
                      <w:color w:val="auto"/>
                      <w:szCs w:val="21"/>
                      <w:highlight w:val="none"/>
                    </w:rPr>
                  </w:pPr>
                </w:p>
              </w:tc>
              <w:tc>
                <w:tcPr>
                  <w:tcW w:w="791" w:type="dxa"/>
                  <w:tcBorders>
                    <w:top w:val="single" w:color="000000" w:sz="4" w:space="0"/>
                    <w:left w:val="single" w:color="000000" w:sz="4" w:space="0"/>
                    <w:bottom w:val="single" w:color="000000" w:sz="4" w:space="0"/>
                    <w:right w:val="single" w:color="000000" w:sz="4" w:space="0"/>
                  </w:tcBorders>
                  <w:noWrap/>
                  <w:vAlign w:val="center"/>
                </w:tcPr>
                <w:p w14:paraId="77BD4359">
                  <w:pPr>
                    <w:widowControl/>
                    <w:jc w:val="center"/>
                    <w:textAlignment w:val="center"/>
                    <w:rPr>
                      <w:rFonts w:hint="eastAsia" w:ascii="宋体" w:hAnsi="宋体" w:eastAsia="宋体" w:cs="宋体"/>
                      <w:color w:val="auto"/>
                      <w:szCs w:val="21"/>
                      <w:highlight w:val="none"/>
                    </w:rPr>
                  </w:pPr>
                </w:p>
              </w:tc>
              <w:tc>
                <w:tcPr>
                  <w:tcW w:w="2087" w:type="dxa"/>
                  <w:tcBorders>
                    <w:top w:val="single" w:color="000000" w:sz="4" w:space="0"/>
                    <w:left w:val="single" w:color="000000" w:sz="4" w:space="0"/>
                    <w:bottom w:val="single" w:color="000000" w:sz="4" w:space="0"/>
                    <w:right w:val="single" w:color="000000" w:sz="4" w:space="0"/>
                  </w:tcBorders>
                  <w:noWrap/>
                  <w:vAlign w:val="center"/>
                </w:tcPr>
                <w:p w14:paraId="2EE82343">
                  <w:pPr>
                    <w:rPr>
                      <w:rFonts w:hint="eastAsia" w:ascii="宋体" w:hAnsi="宋体" w:eastAsia="宋体" w:cs="宋体"/>
                      <w:color w:val="auto"/>
                      <w:szCs w:val="21"/>
                      <w:highlight w:val="none"/>
                    </w:rPr>
                  </w:pPr>
                </w:p>
              </w:tc>
            </w:tr>
            <w:tr w14:paraId="1D7042CB">
              <w:tblPrEx>
                <w:tblCellMar>
                  <w:top w:w="0" w:type="dxa"/>
                  <w:left w:w="108" w:type="dxa"/>
                  <w:bottom w:w="0" w:type="dxa"/>
                  <w:right w:w="108" w:type="dxa"/>
                </w:tblCellMar>
              </w:tblPrEx>
              <w:trPr>
                <w:trHeight w:val="23" w:hRule="atLeast"/>
                <w:jc w:val="center"/>
              </w:trPr>
              <w:tc>
                <w:tcPr>
                  <w:tcW w:w="727" w:type="dxa"/>
                  <w:tcBorders>
                    <w:top w:val="single" w:color="000000" w:sz="4" w:space="0"/>
                    <w:left w:val="single" w:color="000000" w:sz="4" w:space="0"/>
                    <w:bottom w:val="single" w:color="000000" w:sz="4" w:space="0"/>
                    <w:right w:val="single" w:color="000000" w:sz="4" w:space="0"/>
                  </w:tcBorders>
                  <w:noWrap/>
                  <w:vAlign w:val="center"/>
                </w:tcPr>
                <w:p w14:paraId="17449A33">
                  <w:pPr>
                    <w:widowControl/>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3.1</w:t>
                  </w:r>
                </w:p>
              </w:tc>
              <w:tc>
                <w:tcPr>
                  <w:tcW w:w="1118" w:type="dxa"/>
                  <w:tcBorders>
                    <w:top w:val="single" w:color="000000" w:sz="4" w:space="0"/>
                    <w:left w:val="single" w:color="000000" w:sz="4" w:space="0"/>
                    <w:bottom w:val="single" w:color="000000" w:sz="4" w:space="0"/>
                    <w:right w:val="single" w:color="000000" w:sz="4" w:space="0"/>
                  </w:tcBorders>
                  <w:noWrap/>
                  <w:vAlign w:val="center"/>
                </w:tcPr>
                <w:p w14:paraId="5759D27D">
                  <w:pPr>
                    <w:widowControl/>
                    <w:jc w:val="center"/>
                    <w:textAlignment w:val="center"/>
                    <w:rPr>
                      <w:rFonts w:hint="eastAsia" w:ascii="宋体" w:hAnsi="宋体" w:eastAsia="宋体" w:cs="宋体"/>
                      <w:color w:val="auto"/>
                      <w:kern w:val="0"/>
                      <w:szCs w:val="21"/>
                      <w:highlight w:val="none"/>
                      <w:lang w:bidi="ar"/>
                    </w:rPr>
                  </w:pPr>
                </w:p>
              </w:tc>
              <w:tc>
                <w:tcPr>
                  <w:tcW w:w="1186" w:type="dxa"/>
                  <w:tcBorders>
                    <w:top w:val="single" w:color="000000" w:sz="4" w:space="0"/>
                    <w:left w:val="single" w:color="000000" w:sz="4" w:space="0"/>
                    <w:bottom w:val="single" w:color="000000" w:sz="4" w:space="0"/>
                    <w:right w:val="single" w:color="000000" w:sz="4" w:space="0"/>
                  </w:tcBorders>
                  <w:noWrap/>
                  <w:vAlign w:val="center"/>
                </w:tcPr>
                <w:p w14:paraId="1612C3D6">
                  <w:pPr>
                    <w:widowControl/>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中型平板货车</w:t>
                  </w:r>
                </w:p>
              </w:tc>
              <w:tc>
                <w:tcPr>
                  <w:tcW w:w="737" w:type="dxa"/>
                  <w:tcBorders>
                    <w:top w:val="single" w:color="000000" w:sz="4" w:space="0"/>
                    <w:left w:val="single" w:color="000000" w:sz="4" w:space="0"/>
                    <w:bottom w:val="single" w:color="000000" w:sz="4" w:space="0"/>
                    <w:right w:val="single" w:color="000000" w:sz="4" w:space="0"/>
                  </w:tcBorders>
                  <w:noWrap/>
                  <w:vAlign w:val="center"/>
                </w:tcPr>
                <w:p w14:paraId="0B2D5D27">
                  <w:pPr>
                    <w:widowControl/>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w:t>
                  </w:r>
                </w:p>
              </w:tc>
              <w:tc>
                <w:tcPr>
                  <w:tcW w:w="791" w:type="dxa"/>
                  <w:tcBorders>
                    <w:top w:val="single" w:color="000000" w:sz="4" w:space="0"/>
                    <w:left w:val="single" w:color="000000" w:sz="4" w:space="0"/>
                    <w:bottom w:val="single" w:color="000000" w:sz="4" w:space="0"/>
                    <w:right w:val="single" w:color="000000" w:sz="4" w:space="0"/>
                  </w:tcBorders>
                  <w:noWrap/>
                  <w:vAlign w:val="center"/>
                </w:tcPr>
                <w:p w14:paraId="621627B0">
                  <w:pPr>
                    <w:widowControl/>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台班</w:t>
                  </w:r>
                </w:p>
              </w:tc>
              <w:tc>
                <w:tcPr>
                  <w:tcW w:w="2087" w:type="dxa"/>
                  <w:tcBorders>
                    <w:top w:val="single" w:color="000000" w:sz="4" w:space="0"/>
                    <w:left w:val="single" w:color="000000" w:sz="4" w:space="0"/>
                    <w:bottom w:val="single" w:color="000000" w:sz="4" w:space="0"/>
                    <w:right w:val="single" w:color="000000" w:sz="4" w:space="0"/>
                  </w:tcBorders>
                  <w:noWrap/>
                  <w:vAlign w:val="center"/>
                </w:tcPr>
                <w:p w14:paraId="29549192">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每台班不超过700元</w:t>
                  </w:r>
                </w:p>
              </w:tc>
            </w:tr>
            <w:tr w14:paraId="1FB8007F">
              <w:tblPrEx>
                <w:tblCellMar>
                  <w:top w:w="0" w:type="dxa"/>
                  <w:left w:w="108" w:type="dxa"/>
                  <w:bottom w:w="0" w:type="dxa"/>
                  <w:right w:w="108" w:type="dxa"/>
                </w:tblCellMar>
              </w:tblPrEx>
              <w:trPr>
                <w:trHeight w:val="23" w:hRule="atLeast"/>
                <w:jc w:val="center"/>
              </w:trPr>
              <w:tc>
                <w:tcPr>
                  <w:tcW w:w="727" w:type="dxa"/>
                  <w:tcBorders>
                    <w:top w:val="single" w:color="000000" w:sz="4" w:space="0"/>
                    <w:left w:val="single" w:color="000000" w:sz="4" w:space="0"/>
                    <w:bottom w:val="single" w:color="000000" w:sz="4" w:space="0"/>
                    <w:right w:val="single" w:color="000000" w:sz="4" w:space="0"/>
                  </w:tcBorders>
                  <w:noWrap/>
                  <w:vAlign w:val="center"/>
                </w:tcPr>
                <w:p w14:paraId="08C39E3B">
                  <w:pPr>
                    <w:widowControl/>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3.2</w:t>
                  </w:r>
                </w:p>
              </w:tc>
              <w:tc>
                <w:tcPr>
                  <w:tcW w:w="1118" w:type="dxa"/>
                  <w:tcBorders>
                    <w:top w:val="single" w:color="000000" w:sz="4" w:space="0"/>
                    <w:left w:val="single" w:color="000000" w:sz="4" w:space="0"/>
                    <w:bottom w:val="single" w:color="000000" w:sz="4" w:space="0"/>
                    <w:right w:val="single" w:color="000000" w:sz="4" w:space="0"/>
                  </w:tcBorders>
                  <w:noWrap/>
                  <w:vAlign w:val="center"/>
                </w:tcPr>
                <w:p w14:paraId="71CDDDAB">
                  <w:pPr>
                    <w:widowControl/>
                    <w:jc w:val="center"/>
                    <w:textAlignment w:val="center"/>
                    <w:rPr>
                      <w:rFonts w:hint="eastAsia" w:ascii="宋体" w:hAnsi="宋体" w:eastAsia="宋体" w:cs="宋体"/>
                      <w:color w:val="auto"/>
                      <w:kern w:val="0"/>
                      <w:szCs w:val="21"/>
                      <w:highlight w:val="none"/>
                      <w:lang w:bidi="ar"/>
                    </w:rPr>
                  </w:pPr>
                </w:p>
              </w:tc>
              <w:tc>
                <w:tcPr>
                  <w:tcW w:w="1186" w:type="dxa"/>
                  <w:tcBorders>
                    <w:top w:val="single" w:color="000000" w:sz="4" w:space="0"/>
                    <w:left w:val="single" w:color="000000" w:sz="4" w:space="0"/>
                    <w:bottom w:val="single" w:color="000000" w:sz="4" w:space="0"/>
                    <w:right w:val="single" w:color="000000" w:sz="4" w:space="0"/>
                  </w:tcBorders>
                  <w:noWrap/>
                  <w:vAlign w:val="center"/>
                </w:tcPr>
                <w:p w14:paraId="763A8632">
                  <w:pPr>
                    <w:widowControl/>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普通三轮装载摩托车</w:t>
                  </w:r>
                </w:p>
              </w:tc>
              <w:tc>
                <w:tcPr>
                  <w:tcW w:w="737" w:type="dxa"/>
                  <w:tcBorders>
                    <w:top w:val="single" w:color="000000" w:sz="4" w:space="0"/>
                    <w:left w:val="single" w:color="000000" w:sz="4" w:space="0"/>
                    <w:bottom w:val="single" w:color="000000" w:sz="4" w:space="0"/>
                    <w:right w:val="single" w:color="000000" w:sz="4" w:space="0"/>
                  </w:tcBorders>
                  <w:noWrap/>
                  <w:vAlign w:val="center"/>
                </w:tcPr>
                <w:p w14:paraId="65A5F3E4">
                  <w:pPr>
                    <w:widowControl/>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w:t>
                  </w:r>
                </w:p>
              </w:tc>
              <w:tc>
                <w:tcPr>
                  <w:tcW w:w="791" w:type="dxa"/>
                  <w:tcBorders>
                    <w:top w:val="single" w:color="000000" w:sz="4" w:space="0"/>
                    <w:left w:val="single" w:color="000000" w:sz="4" w:space="0"/>
                    <w:bottom w:val="single" w:color="000000" w:sz="4" w:space="0"/>
                    <w:right w:val="single" w:color="000000" w:sz="4" w:space="0"/>
                  </w:tcBorders>
                  <w:noWrap/>
                  <w:vAlign w:val="center"/>
                </w:tcPr>
                <w:p w14:paraId="139A5633">
                  <w:pPr>
                    <w:widowControl/>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台班</w:t>
                  </w:r>
                </w:p>
              </w:tc>
              <w:tc>
                <w:tcPr>
                  <w:tcW w:w="2087" w:type="dxa"/>
                  <w:tcBorders>
                    <w:top w:val="single" w:color="000000" w:sz="4" w:space="0"/>
                    <w:left w:val="single" w:color="000000" w:sz="4" w:space="0"/>
                    <w:bottom w:val="single" w:color="000000" w:sz="4" w:space="0"/>
                    <w:right w:val="single" w:color="000000" w:sz="4" w:space="0"/>
                  </w:tcBorders>
                  <w:noWrap/>
                  <w:vAlign w:val="center"/>
                </w:tcPr>
                <w:p w14:paraId="2840521D">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每台班不超过380元</w:t>
                  </w:r>
                </w:p>
              </w:tc>
            </w:tr>
            <w:tr w14:paraId="1D762F95">
              <w:tblPrEx>
                <w:tblCellMar>
                  <w:top w:w="0" w:type="dxa"/>
                  <w:left w:w="108" w:type="dxa"/>
                  <w:bottom w:w="0" w:type="dxa"/>
                  <w:right w:w="108" w:type="dxa"/>
                </w:tblCellMar>
              </w:tblPrEx>
              <w:trPr>
                <w:trHeight w:val="23" w:hRule="atLeast"/>
                <w:jc w:val="center"/>
              </w:trPr>
              <w:tc>
                <w:tcPr>
                  <w:tcW w:w="727" w:type="dxa"/>
                  <w:tcBorders>
                    <w:top w:val="single" w:color="000000" w:sz="4" w:space="0"/>
                    <w:left w:val="single" w:color="000000" w:sz="4" w:space="0"/>
                    <w:bottom w:val="single" w:color="000000" w:sz="4" w:space="0"/>
                    <w:right w:val="single" w:color="000000" w:sz="4" w:space="0"/>
                  </w:tcBorders>
                  <w:noWrap/>
                  <w:vAlign w:val="center"/>
                </w:tcPr>
                <w:p w14:paraId="66AC1FFF">
                  <w:pPr>
                    <w:widowControl/>
                    <w:jc w:val="center"/>
                    <w:textAlignment w:val="center"/>
                    <w:rPr>
                      <w:rFonts w:hint="eastAsia" w:ascii="宋体" w:hAnsi="宋体" w:eastAsia="宋体" w:cs="宋体"/>
                      <w:color w:val="auto"/>
                      <w:kern w:val="0"/>
                      <w:szCs w:val="21"/>
                      <w:highlight w:val="none"/>
                      <w:lang w:val="en-US" w:eastAsia="zh-CN" w:bidi="ar"/>
                    </w:rPr>
                  </w:pPr>
                  <w:r>
                    <w:rPr>
                      <w:rFonts w:hint="eastAsia" w:ascii="宋体" w:hAnsi="宋体" w:eastAsia="宋体" w:cs="宋体"/>
                      <w:color w:val="auto"/>
                      <w:kern w:val="0"/>
                      <w:szCs w:val="21"/>
                      <w:highlight w:val="none"/>
                      <w:lang w:val="en-US" w:eastAsia="zh-CN" w:bidi="ar"/>
                    </w:rPr>
                    <w:t>4</w:t>
                  </w:r>
                </w:p>
              </w:tc>
              <w:tc>
                <w:tcPr>
                  <w:tcW w:w="1118" w:type="dxa"/>
                  <w:tcBorders>
                    <w:top w:val="single" w:color="000000" w:sz="4" w:space="0"/>
                    <w:left w:val="single" w:color="000000" w:sz="4" w:space="0"/>
                    <w:bottom w:val="single" w:color="000000" w:sz="4" w:space="0"/>
                    <w:right w:val="single" w:color="000000" w:sz="4" w:space="0"/>
                  </w:tcBorders>
                  <w:noWrap/>
                  <w:vAlign w:val="center"/>
                </w:tcPr>
                <w:p w14:paraId="12395340">
                  <w:pPr>
                    <w:widowControl/>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Cs w:val="21"/>
                      <w:highlight w:val="none"/>
                      <w:lang w:val="en-US" w:eastAsia="zh-CN" w:bidi="ar"/>
                    </w:rPr>
                    <w:t>海上挖掘机</w:t>
                  </w:r>
                </w:p>
              </w:tc>
              <w:tc>
                <w:tcPr>
                  <w:tcW w:w="1186" w:type="dxa"/>
                  <w:tcBorders>
                    <w:top w:val="single" w:color="000000" w:sz="4" w:space="0"/>
                    <w:left w:val="single" w:color="000000" w:sz="4" w:space="0"/>
                    <w:bottom w:val="single" w:color="000000" w:sz="4" w:space="0"/>
                    <w:right w:val="single" w:color="000000" w:sz="4" w:space="0"/>
                  </w:tcBorders>
                  <w:noWrap/>
                  <w:vAlign w:val="center"/>
                </w:tcPr>
                <w:p w14:paraId="503586F5">
                  <w:pPr>
                    <w:widowControl/>
                    <w:jc w:val="center"/>
                    <w:textAlignment w:val="center"/>
                    <w:rPr>
                      <w:rFonts w:hint="eastAsia" w:ascii="宋体" w:hAnsi="宋体" w:eastAsia="宋体" w:cs="宋体"/>
                      <w:color w:val="auto"/>
                      <w:kern w:val="0"/>
                      <w:sz w:val="21"/>
                      <w:szCs w:val="21"/>
                      <w:highlight w:val="none"/>
                      <w:lang w:val="en-US" w:eastAsia="zh-CN" w:bidi="ar"/>
                    </w:rPr>
                  </w:pPr>
                </w:p>
              </w:tc>
              <w:tc>
                <w:tcPr>
                  <w:tcW w:w="737" w:type="dxa"/>
                  <w:tcBorders>
                    <w:top w:val="single" w:color="000000" w:sz="4" w:space="0"/>
                    <w:left w:val="single" w:color="000000" w:sz="4" w:space="0"/>
                    <w:bottom w:val="single" w:color="000000" w:sz="4" w:space="0"/>
                    <w:right w:val="single" w:color="000000" w:sz="4" w:space="0"/>
                  </w:tcBorders>
                  <w:noWrap/>
                  <w:vAlign w:val="center"/>
                </w:tcPr>
                <w:p w14:paraId="7E3A271D">
                  <w:pPr>
                    <w:widowControl/>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Cs w:val="21"/>
                      <w:highlight w:val="none"/>
                      <w:lang w:val="en-US" w:eastAsia="zh-CN" w:bidi="ar"/>
                    </w:rPr>
                    <w:t>1</w:t>
                  </w:r>
                </w:p>
              </w:tc>
              <w:tc>
                <w:tcPr>
                  <w:tcW w:w="791" w:type="dxa"/>
                  <w:tcBorders>
                    <w:top w:val="single" w:color="000000" w:sz="4" w:space="0"/>
                    <w:left w:val="single" w:color="000000" w:sz="4" w:space="0"/>
                    <w:bottom w:val="single" w:color="000000" w:sz="4" w:space="0"/>
                    <w:right w:val="single" w:color="000000" w:sz="4" w:space="0"/>
                  </w:tcBorders>
                  <w:noWrap/>
                  <w:vAlign w:val="center"/>
                </w:tcPr>
                <w:p w14:paraId="22414CFC">
                  <w:pPr>
                    <w:widowControl/>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Cs w:val="21"/>
                      <w:highlight w:val="none"/>
                      <w:lang w:val="en-US" w:eastAsia="zh-CN" w:bidi="ar"/>
                    </w:rPr>
                    <w:t>台班</w:t>
                  </w:r>
                </w:p>
              </w:tc>
              <w:tc>
                <w:tcPr>
                  <w:tcW w:w="2087" w:type="dxa"/>
                  <w:tcBorders>
                    <w:top w:val="single" w:color="000000" w:sz="4" w:space="0"/>
                    <w:left w:val="single" w:color="000000" w:sz="4" w:space="0"/>
                    <w:bottom w:val="single" w:color="000000" w:sz="4" w:space="0"/>
                    <w:right w:val="single" w:color="000000" w:sz="4" w:space="0"/>
                  </w:tcBorders>
                  <w:noWrap/>
                  <w:vAlign w:val="center"/>
                </w:tcPr>
                <w:p w14:paraId="34946E11">
                  <w:pP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每台班不超过4000元</w:t>
                  </w:r>
                </w:p>
              </w:tc>
            </w:tr>
            <w:tr w14:paraId="1F0A1E5D">
              <w:tblPrEx>
                <w:tblCellMar>
                  <w:top w:w="0" w:type="dxa"/>
                  <w:left w:w="108" w:type="dxa"/>
                  <w:bottom w:w="0" w:type="dxa"/>
                  <w:right w:w="108" w:type="dxa"/>
                </w:tblCellMar>
              </w:tblPrEx>
              <w:trPr>
                <w:trHeight w:val="23" w:hRule="atLeast"/>
                <w:jc w:val="center"/>
              </w:trPr>
              <w:tc>
                <w:tcPr>
                  <w:tcW w:w="727" w:type="dxa"/>
                  <w:tcBorders>
                    <w:top w:val="single" w:color="000000" w:sz="4" w:space="0"/>
                    <w:left w:val="single" w:color="000000" w:sz="4" w:space="0"/>
                    <w:bottom w:val="single" w:color="000000" w:sz="4" w:space="0"/>
                    <w:right w:val="single" w:color="000000" w:sz="4" w:space="0"/>
                  </w:tcBorders>
                  <w:noWrap/>
                  <w:vAlign w:val="center"/>
                </w:tcPr>
                <w:p w14:paraId="13555B41">
                  <w:pPr>
                    <w:widowControl/>
                    <w:jc w:val="center"/>
                    <w:textAlignment w:val="center"/>
                    <w:rPr>
                      <w:rFonts w:hint="eastAsia" w:ascii="宋体" w:hAnsi="宋体" w:eastAsia="宋体" w:cs="宋体"/>
                      <w:color w:val="auto"/>
                      <w:kern w:val="0"/>
                      <w:szCs w:val="21"/>
                      <w:highlight w:val="none"/>
                      <w:lang w:val="en-US" w:eastAsia="zh-CN" w:bidi="ar"/>
                    </w:rPr>
                  </w:pPr>
                  <w:r>
                    <w:rPr>
                      <w:rFonts w:hint="eastAsia" w:ascii="宋体" w:hAnsi="宋体" w:eastAsia="宋体" w:cs="宋体"/>
                      <w:color w:val="auto"/>
                      <w:kern w:val="0"/>
                      <w:szCs w:val="21"/>
                      <w:highlight w:val="none"/>
                      <w:lang w:val="en-US" w:eastAsia="zh-CN" w:bidi="ar"/>
                    </w:rPr>
                    <w:t>5</w:t>
                  </w:r>
                </w:p>
              </w:tc>
              <w:tc>
                <w:tcPr>
                  <w:tcW w:w="1118" w:type="dxa"/>
                  <w:tcBorders>
                    <w:top w:val="single" w:color="000000" w:sz="4" w:space="0"/>
                    <w:left w:val="single" w:color="000000" w:sz="4" w:space="0"/>
                    <w:bottom w:val="single" w:color="000000" w:sz="4" w:space="0"/>
                    <w:right w:val="single" w:color="000000" w:sz="4" w:space="0"/>
                  </w:tcBorders>
                  <w:noWrap/>
                  <w:vAlign w:val="center"/>
                </w:tcPr>
                <w:p w14:paraId="1140AD3C">
                  <w:pPr>
                    <w:widowControl/>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Cs w:val="21"/>
                      <w:highlight w:val="none"/>
                      <w:lang w:val="en-US" w:eastAsia="zh-CN" w:bidi="ar"/>
                    </w:rPr>
                    <w:t>岸上爪机</w:t>
                  </w:r>
                </w:p>
              </w:tc>
              <w:tc>
                <w:tcPr>
                  <w:tcW w:w="1186" w:type="dxa"/>
                  <w:tcBorders>
                    <w:top w:val="single" w:color="000000" w:sz="4" w:space="0"/>
                    <w:left w:val="single" w:color="000000" w:sz="4" w:space="0"/>
                    <w:bottom w:val="single" w:color="000000" w:sz="4" w:space="0"/>
                    <w:right w:val="single" w:color="000000" w:sz="4" w:space="0"/>
                  </w:tcBorders>
                  <w:noWrap/>
                  <w:vAlign w:val="center"/>
                </w:tcPr>
                <w:p w14:paraId="627E34F9">
                  <w:pPr>
                    <w:widowControl/>
                    <w:jc w:val="center"/>
                    <w:textAlignment w:val="center"/>
                    <w:rPr>
                      <w:rFonts w:hint="eastAsia" w:ascii="宋体" w:hAnsi="宋体" w:eastAsia="宋体" w:cs="宋体"/>
                      <w:color w:val="auto"/>
                      <w:kern w:val="0"/>
                      <w:sz w:val="21"/>
                      <w:szCs w:val="21"/>
                      <w:highlight w:val="none"/>
                      <w:lang w:val="en-US" w:eastAsia="zh-CN" w:bidi="ar"/>
                    </w:rPr>
                  </w:pPr>
                </w:p>
              </w:tc>
              <w:tc>
                <w:tcPr>
                  <w:tcW w:w="737" w:type="dxa"/>
                  <w:tcBorders>
                    <w:top w:val="single" w:color="000000" w:sz="4" w:space="0"/>
                    <w:left w:val="single" w:color="000000" w:sz="4" w:space="0"/>
                    <w:bottom w:val="single" w:color="000000" w:sz="4" w:space="0"/>
                    <w:right w:val="single" w:color="000000" w:sz="4" w:space="0"/>
                  </w:tcBorders>
                  <w:noWrap/>
                  <w:vAlign w:val="center"/>
                </w:tcPr>
                <w:p w14:paraId="62AE9713">
                  <w:pPr>
                    <w:widowControl/>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Cs w:val="21"/>
                      <w:highlight w:val="none"/>
                      <w:lang w:val="en-US" w:eastAsia="zh-CN" w:bidi="ar"/>
                    </w:rPr>
                    <w:t>1</w:t>
                  </w:r>
                </w:p>
              </w:tc>
              <w:tc>
                <w:tcPr>
                  <w:tcW w:w="791" w:type="dxa"/>
                  <w:tcBorders>
                    <w:top w:val="single" w:color="000000" w:sz="4" w:space="0"/>
                    <w:left w:val="single" w:color="000000" w:sz="4" w:space="0"/>
                    <w:bottom w:val="single" w:color="000000" w:sz="4" w:space="0"/>
                    <w:right w:val="single" w:color="000000" w:sz="4" w:space="0"/>
                  </w:tcBorders>
                  <w:noWrap/>
                  <w:vAlign w:val="center"/>
                </w:tcPr>
                <w:p w14:paraId="6F47B5DD">
                  <w:pPr>
                    <w:widowControl/>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Cs w:val="21"/>
                      <w:highlight w:val="none"/>
                      <w:lang w:val="en-US" w:eastAsia="zh-CN" w:bidi="ar"/>
                    </w:rPr>
                    <w:t>台班</w:t>
                  </w:r>
                </w:p>
              </w:tc>
              <w:tc>
                <w:tcPr>
                  <w:tcW w:w="2087" w:type="dxa"/>
                  <w:tcBorders>
                    <w:top w:val="single" w:color="000000" w:sz="4" w:space="0"/>
                    <w:left w:val="single" w:color="000000" w:sz="4" w:space="0"/>
                    <w:bottom w:val="single" w:color="000000" w:sz="4" w:space="0"/>
                    <w:right w:val="single" w:color="000000" w:sz="4" w:space="0"/>
                  </w:tcBorders>
                  <w:noWrap/>
                  <w:vAlign w:val="center"/>
                </w:tcPr>
                <w:p w14:paraId="0625280F">
                  <w:pP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每台班不超过3500元</w:t>
                  </w:r>
                </w:p>
              </w:tc>
            </w:tr>
            <w:tr w14:paraId="7CF46AD5">
              <w:tblPrEx>
                <w:tblCellMar>
                  <w:top w:w="0" w:type="dxa"/>
                  <w:left w:w="108" w:type="dxa"/>
                  <w:bottom w:w="0" w:type="dxa"/>
                  <w:right w:w="108" w:type="dxa"/>
                </w:tblCellMar>
              </w:tblPrEx>
              <w:trPr>
                <w:trHeight w:val="23" w:hRule="atLeast"/>
                <w:jc w:val="center"/>
              </w:trPr>
              <w:tc>
                <w:tcPr>
                  <w:tcW w:w="727" w:type="dxa"/>
                  <w:tcBorders>
                    <w:top w:val="single" w:color="000000" w:sz="4" w:space="0"/>
                    <w:left w:val="single" w:color="000000" w:sz="4" w:space="0"/>
                    <w:bottom w:val="single" w:color="000000" w:sz="4" w:space="0"/>
                    <w:right w:val="single" w:color="000000" w:sz="4" w:space="0"/>
                  </w:tcBorders>
                  <w:noWrap/>
                  <w:vAlign w:val="center"/>
                </w:tcPr>
                <w:p w14:paraId="40473242">
                  <w:pPr>
                    <w:widowControl/>
                    <w:jc w:val="center"/>
                    <w:textAlignment w:val="center"/>
                    <w:rPr>
                      <w:rFonts w:hint="eastAsia" w:ascii="宋体" w:hAnsi="宋体" w:eastAsia="宋体" w:cs="宋体"/>
                      <w:color w:val="auto"/>
                      <w:kern w:val="0"/>
                      <w:szCs w:val="21"/>
                      <w:highlight w:val="none"/>
                      <w:lang w:val="en-US" w:eastAsia="zh-CN" w:bidi="ar"/>
                    </w:rPr>
                  </w:pPr>
                  <w:r>
                    <w:rPr>
                      <w:rFonts w:hint="eastAsia" w:ascii="宋体" w:hAnsi="宋体" w:eastAsia="宋体" w:cs="宋体"/>
                      <w:color w:val="auto"/>
                      <w:kern w:val="0"/>
                      <w:szCs w:val="21"/>
                      <w:highlight w:val="none"/>
                      <w:lang w:val="en-US" w:eastAsia="zh-CN" w:bidi="ar"/>
                    </w:rPr>
                    <w:t>6</w:t>
                  </w:r>
                </w:p>
              </w:tc>
              <w:tc>
                <w:tcPr>
                  <w:tcW w:w="1118" w:type="dxa"/>
                  <w:tcBorders>
                    <w:top w:val="single" w:color="000000" w:sz="4" w:space="0"/>
                    <w:left w:val="single" w:color="000000" w:sz="4" w:space="0"/>
                    <w:bottom w:val="single" w:color="000000" w:sz="4" w:space="0"/>
                    <w:right w:val="single" w:color="000000" w:sz="4" w:space="0"/>
                  </w:tcBorders>
                  <w:noWrap/>
                  <w:vAlign w:val="center"/>
                </w:tcPr>
                <w:p w14:paraId="113E4AFE">
                  <w:pPr>
                    <w:widowControl/>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Cs w:val="21"/>
                      <w:highlight w:val="none"/>
                      <w:lang w:val="en-US" w:eastAsia="zh-CN" w:bidi="ar"/>
                    </w:rPr>
                    <w:t>拖船</w:t>
                  </w:r>
                </w:p>
              </w:tc>
              <w:tc>
                <w:tcPr>
                  <w:tcW w:w="1186" w:type="dxa"/>
                  <w:tcBorders>
                    <w:top w:val="single" w:color="000000" w:sz="4" w:space="0"/>
                    <w:left w:val="single" w:color="000000" w:sz="4" w:space="0"/>
                    <w:bottom w:val="single" w:color="000000" w:sz="4" w:space="0"/>
                    <w:right w:val="single" w:color="000000" w:sz="4" w:space="0"/>
                  </w:tcBorders>
                  <w:noWrap/>
                  <w:vAlign w:val="center"/>
                </w:tcPr>
                <w:p w14:paraId="20F11F43">
                  <w:pPr>
                    <w:widowControl/>
                    <w:jc w:val="center"/>
                    <w:textAlignment w:val="center"/>
                    <w:rPr>
                      <w:rFonts w:hint="eastAsia" w:ascii="宋体" w:hAnsi="宋体" w:eastAsia="宋体" w:cs="宋体"/>
                      <w:color w:val="auto"/>
                      <w:kern w:val="0"/>
                      <w:sz w:val="21"/>
                      <w:szCs w:val="21"/>
                      <w:highlight w:val="none"/>
                      <w:lang w:val="en-US" w:eastAsia="zh-CN" w:bidi="ar"/>
                    </w:rPr>
                  </w:pPr>
                </w:p>
              </w:tc>
              <w:tc>
                <w:tcPr>
                  <w:tcW w:w="737" w:type="dxa"/>
                  <w:tcBorders>
                    <w:top w:val="single" w:color="000000" w:sz="4" w:space="0"/>
                    <w:left w:val="single" w:color="000000" w:sz="4" w:space="0"/>
                    <w:bottom w:val="single" w:color="000000" w:sz="4" w:space="0"/>
                    <w:right w:val="single" w:color="000000" w:sz="4" w:space="0"/>
                  </w:tcBorders>
                  <w:noWrap/>
                  <w:vAlign w:val="center"/>
                </w:tcPr>
                <w:p w14:paraId="0D1AA6B4">
                  <w:pPr>
                    <w:widowControl/>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Cs w:val="21"/>
                      <w:highlight w:val="none"/>
                      <w:lang w:val="en-US" w:eastAsia="zh-CN" w:bidi="ar"/>
                    </w:rPr>
                    <w:t>1</w:t>
                  </w:r>
                </w:p>
              </w:tc>
              <w:tc>
                <w:tcPr>
                  <w:tcW w:w="791" w:type="dxa"/>
                  <w:tcBorders>
                    <w:top w:val="single" w:color="000000" w:sz="4" w:space="0"/>
                    <w:left w:val="single" w:color="000000" w:sz="4" w:space="0"/>
                    <w:bottom w:val="single" w:color="000000" w:sz="4" w:space="0"/>
                    <w:right w:val="single" w:color="000000" w:sz="4" w:space="0"/>
                  </w:tcBorders>
                  <w:noWrap/>
                  <w:vAlign w:val="center"/>
                </w:tcPr>
                <w:p w14:paraId="0D4A2DB6">
                  <w:pPr>
                    <w:widowControl/>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Cs w:val="21"/>
                      <w:highlight w:val="none"/>
                      <w:lang w:val="en-US" w:eastAsia="zh-CN" w:bidi="ar"/>
                    </w:rPr>
                    <w:t>次</w:t>
                  </w:r>
                </w:p>
              </w:tc>
              <w:tc>
                <w:tcPr>
                  <w:tcW w:w="2087" w:type="dxa"/>
                  <w:tcBorders>
                    <w:top w:val="single" w:color="000000" w:sz="4" w:space="0"/>
                    <w:left w:val="single" w:color="000000" w:sz="4" w:space="0"/>
                    <w:bottom w:val="single" w:color="000000" w:sz="4" w:space="0"/>
                    <w:right w:val="single" w:color="000000" w:sz="4" w:space="0"/>
                  </w:tcBorders>
                  <w:noWrap/>
                  <w:vAlign w:val="center"/>
                </w:tcPr>
                <w:p w14:paraId="7DE1E158">
                  <w:pP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每次不超过4000元</w:t>
                  </w:r>
                </w:p>
              </w:tc>
            </w:tr>
            <w:tr w14:paraId="708E06A6">
              <w:tblPrEx>
                <w:tblCellMar>
                  <w:top w:w="0" w:type="dxa"/>
                  <w:left w:w="108" w:type="dxa"/>
                  <w:bottom w:w="0" w:type="dxa"/>
                  <w:right w:w="108" w:type="dxa"/>
                </w:tblCellMar>
              </w:tblPrEx>
              <w:trPr>
                <w:trHeight w:val="23" w:hRule="atLeast"/>
                <w:jc w:val="center"/>
              </w:trPr>
              <w:tc>
                <w:tcPr>
                  <w:tcW w:w="727" w:type="dxa"/>
                  <w:tcBorders>
                    <w:top w:val="single" w:color="000000" w:sz="4" w:space="0"/>
                    <w:left w:val="single" w:color="000000" w:sz="4" w:space="0"/>
                    <w:bottom w:val="single" w:color="000000" w:sz="4" w:space="0"/>
                    <w:right w:val="single" w:color="000000" w:sz="4" w:space="0"/>
                  </w:tcBorders>
                  <w:noWrap/>
                  <w:vAlign w:val="center"/>
                </w:tcPr>
                <w:p w14:paraId="041EA210">
                  <w:pPr>
                    <w:widowControl/>
                    <w:jc w:val="center"/>
                    <w:textAlignment w:val="center"/>
                    <w:rPr>
                      <w:rFonts w:hint="eastAsia" w:ascii="宋体" w:hAnsi="宋体" w:eastAsia="宋体" w:cs="宋体"/>
                      <w:color w:val="auto"/>
                      <w:kern w:val="0"/>
                      <w:szCs w:val="21"/>
                      <w:highlight w:val="none"/>
                      <w:lang w:val="en-US" w:eastAsia="zh-CN" w:bidi="ar"/>
                    </w:rPr>
                  </w:pPr>
                  <w:r>
                    <w:rPr>
                      <w:rFonts w:hint="eastAsia" w:ascii="宋体" w:hAnsi="宋体" w:eastAsia="宋体" w:cs="宋体"/>
                      <w:color w:val="auto"/>
                      <w:kern w:val="0"/>
                      <w:szCs w:val="21"/>
                      <w:highlight w:val="none"/>
                      <w:lang w:val="en-US" w:eastAsia="zh-CN" w:bidi="ar"/>
                    </w:rPr>
                    <w:t>7</w:t>
                  </w:r>
                </w:p>
              </w:tc>
              <w:tc>
                <w:tcPr>
                  <w:tcW w:w="1118" w:type="dxa"/>
                  <w:tcBorders>
                    <w:top w:val="single" w:color="000000" w:sz="4" w:space="0"/>
                    <w:left w:val="single" w:color="000000" w:sz="4" w:space="0"/>
                    <w:bottom w:val="single" w:color="000000" w:sz="4" w:space="0"/>
                    <w:right w:val="single" w:color="000000" w:sz="4" w:space="0"/>
                  </w:tcBorders>
                  <w:noWrap/>
                  <w:vAlign w:val="center"/>
                </w:tcPr>
                <w:p w14:paraId="7A22E79C">
                  <w:pPr>
                    <w:widowControl/>
                    <w:jc w:val="center"/>
                    <w:textAlignment w:val="center"/>
                    <w:rPr>
                      <w:rFonts w:hint="eastAsia" w:ascii="宋体" w:hAnsi="宋体" w:eastAsia="宋体" w:cs="宋体"/>
                      <w:color w:val="auto"/>
                      <w:kern w:val="0"/>
                      <w:szCs w:val="21"/>
                      <w:highlight w:val="none"/>
                      <w:lang w:val="en-US" w:eastAsia="zh-CN" w:bidi="ar"/>
                    </w:rPr>
                  </w:pPr>
                  <w:r>
                    <w:rPr>
                      <w:rFonts w:hint="eastAsia" w:ascii="宋体" w:hAnsi="宋体" w:eastAsia="宋体" w:cs="宋体"/>
                      <w:color w:val="auto"/>
                      <w:szCs w:val="24"/>
                      <w:highlight w:val="none"/>
                      <w:lang w:val="en-US" w:eastAsia="zh-CN"/>
                    </w:rPr>
                    <w:t>清理</w:t>
                  </w:r>
                  <w:r>
                    <w:rPr>
                      <w:rFonts w:hint="eastAsia" w:ascii="宋体" w:hAnsi="宋体" w:eastAsia="宋体" w:cs="宋体"/>
                      <w:color w:val="auto"/>
                      <w:highlight w:val="none"/>
                    </w:rPr>
                    <w:t>滩涂废弃养殖设施（含蚝排、蚝桩、螺场）</w:t>
                  </w:r>
                </w:p>
              </w:tc>
              <w:tc>
                <w:tcPr>
                  <w:tcW w:w="1186" w:type="dxa"/>
                  <w:tcBorders>
                    <w:top w:val="single" w:color="000000" w:sz="4" w:space="0"/>
                    <w:left w:val="single" w:color="000000" w:sz="4" w:space="0"/>
                    <w:bottom w:val="single" w:color="000000" w:sz="4" w:space="0"/>
                    <w:right w:val="single" w:color="000000" w:sz="4" w:space="0"/>
                  </w:tcBorders>
                  <w:noWrap/>
                  <w:vAlign w:val="center"/>
                </w:tcPr>
                <w:p w14:paraId="6FDAF668">
                  <w:pPr>
                    <w:widowControl/>
                    <w:jc w:val="center"/>
                    <w:textAlignment w:val="center"/>
                    <w:rPr>
                      <w:rFonts w:hint="eastAsia" w:ascii="宋体" w:hAnsi="宋体" w:eastAsia="宋体" w:cs="宋体"/>
                      <w:color w:val="auto"/>
                      <w:kern w:val="0"/>
                      <w:sz w:val="21"/>
                      <w:szCs w:val="21"/>
                      <w:highlight w:val="none"/>
                      <w:lang w:val="en-US" w:eastAsia="zh-CN" w:bidi="ar"/>
                    </w:rPr>
                  </w:pPr>
                </w:p>
              </w:tc>
              <w:tc>
                <w:tcPr>
                  <w:tcW w:w="737" w:type="dxa"/>
                  <w:tcBorders>
                    <w:top w:val="single" w:color="000000" w:sz="4" w:space="0"/>
                    <w:left w:val="single" w:color="000000" w:sz="4" w:space="0"/>
                    <w:bottom w:val="single" w:color="000000" w:sz="4" w:space="0"/>
                    <w:right w:val="single" w:color="000000" w:sz="4" w:space="0"/>
                  </w:tcBorders>
                  <w:noWrap/>
                  <w:vAlign w:val="center"/>
                </w:tcPr>
                <w:p w14:paraId="1F1CCBBC">
                  <w:pPr>
                    <w:widowControl/>
                    <w:tabs>
                      <w:tab w:val="left" w:pos="440"/>
                    </w:tabs>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1</w:t>
                  </w:r>
                </w:p>
              </w:tc>
              <w:tc>
                <w:tcPr>
                  <w:tcW w:w="791" w:type="dxa"/>
                  <w:tcBorders>
                    <w:top w:val="single" w:color="000000" w:sz="4" w:space="0"/>
                    <w:left w:val="single" w:color="000000" w:sz="4" w:space="0"/>
                    <w:bottom w:val="single" w:color="000000" w:sz="4" w:space="0"/>
                    <w:right w:val="single" w:color="000000" w:sz="4" w:space="0"/>
                  </w:tcBorders>
                  <w:noWrap/>
                  <w:vAlign w:val="center"/>
                </w:tcPr>
                <w:p w14:paraId="1D936DD2">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亩</w:t>
                  </w:r>
                </w:p>
              </w:tc>
              <w:tc>
                <w:tcPr>
                  <w:tcW w:w="2087" w:type="dxa"/>
                  <w:tcBorders>
                    <w:top w:val="single" w:color="000000" w:sz="4" w:space="0"/>
                    <w:left w:val="single" w:color="000000" w:sz="4" w:space="0"/>
                    <w:bottom w:val="single" w:color="000000" w:sz="4" w:space="0"/>
                    <w:right w:val="single" w:color="000000" w:sz="4" w:space="0"/>
                  </w:tcBorders>
                  <w:noWrap/>
                  <w:vAlign w:val="center"/>
                </w:tcPr>
                <w:p w14:paraId="4AA22EE2">
                  <w:pPr>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每亩地清除价格不超过1250元</w:t>
                  </w:r>
                </w:p>
              </w:tc>
            </w:tr>
          </w:tbl>
          <w:p w14:paraId="712B1E69">
            <w:pPr>
              <w:numPr>
                <w:ilvl w:val="0"/>
                <w:numId w:val="0"/>
              </w:numPr>
              <w:spacing w:line="400" w:lineRule="exact"/>
              <w:jc w:val="both"/>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报价必须含以下部分，包括：</w:t>
            </w:r>
          </w:p>
          <w:p w14:paraId="2696CD3D">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0" w:firstLineChars="0"/>
              <w:jc w:val="both"/>
              <w:textAlignment w:val="auto"/>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（1）服务费用（报价需包含但不限于“采购需求一览表”涉及的所有费用）；</w:t>
            </w:r>
          </w:p>
          <w:p w14:paraId="2C7FFF56">
            <w:pPr>
              <w:numPr>
                <w:ilvl w:val="0"/>
                <w:numId w:val="0"/>
              </w:numPr>
              <w:spacing w:line="400" w:lineRule="exact"/>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2）包含但不限于劳务费用、食宿费用、交通费用、通讯费用、保险、税费、办公费用、专业问题咨询费用、成果论证、评审费、成果公开展示费用、后续技术支持及合同所示的所有责任义务和各种风险、招标代理服务费、验收费用等合同履约过程可预见或不可预见的一切成本、费用。在合同实施时，采购人将不予支付中标人没有列入的项目费用，并认为此项目的费用已包括在总报价中。</w:t>
            </w:r>
          </w:p>
          <w:p w14:paraId="746A2193">
            <w:pPr>
              <w:numPr>
                <w:ilvl w:val="0"/>
                <w:numId w:val="0"/>
              </w:numPr>
              <w:spacing w:line="400" w:lineRule="exact"/>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b/>
                <w:bCs/>
                <w:i w:val="0"/>
                <w:iCs w:val="0"/>
                <w:color w:val="auto"/>
                <w:sz w:val="21"/>
                <w:szCs w:val="21"/>
                <w:highlight w:val="none"/>
                <w:u w:val="none"/>
                <w:lang w:val="en-US" w:eastAsia="zh-CN"/>
              </w:rPr>
              <w:t>（3）本标项采用单价进行报价，单价超过各单价最高限价的投标无效；以各单项报价的合计作为价格分计算依据。</w:t>
            </w:r>
          </w:p>
        </w:tc>
      </w:tr>
      <w:tr w14:paraId="229364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2322" w:type="dxa"/>
            <w:gridSpan w:val="3"/>
            <w:tcBorders>
              <w:top w:val="single" w:color="auto" w:sz="4" w:space="0"/>
              <w:left w:val="single" w:color="auto" w:sz="4" w:space="0"/>
              <w:bottom w:val="single" w:color="auto" w:sz="4" w:space="0"/>
              <w:right w:val="single" w:color="auto" w:sz="4" w:space="0"/>
            </w:tcBorders>
            <w:vAlign w:val="center"/>
          </w:tcPr>
          <w:p w14:paraId="610E5D59">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▲服务要求</w:t>
            </w:r>
          </w:p>
        </w:tc>
        <w:tc>
          <w:tcPr>
            <w:tcW w:w="7342" w:type="dxa"/>
            <w:gridSpan w:val="3"/>
            <w:tcBorders>
              <w:top w:val="single" w:color="auto" w:sz="4" w:space="0"/>
              <w:left w:val="single" w:color="auto" w:sz="4" w:space="0"/>
              <w:bottom w:val="single" w:color="auto" w:sz="4" w:space="0"/>
              <w:right w:val="single" w:color="auto" w:sz="4" w:space="0"/>
            </w:tcBorders>
            <w:vAlign w:val="center"/>
          </w:tcPr>
          <w:p w14:paraId="28DAEB10">
            <w:pPr>
              <w:numPr>
                <w:ilvl w:val="0"/>
                <w:numId w:val="0"/>
              </w:numPr>
              <w:spacing w:line="400" w:lineRule="exact"/>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1.中标供应商须严格遵守国家有关法律、法规的规定和广西壮族自治区山口红树林生态国家级自然保护区管理中心有关标准及纪律要求。</w:t>
            </w:r>
          </w:p>
          <w:p w14:paraId="3BCD5CCA">
            <w:pPr>
              <w:numPr>
                <w:ilvl w:val="0"/>
                <w:numId w:val="0"/>
              </w:numPr>
              <w:spacing w:line="400" w:lineRule="exact"/>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2.采购人有权对中标供应商的服务内容质量进行监督、检查和考核。</w:t>
            </w:r>
          </w:p>
          <w:p w14:paraId="3766012A">
            <w:pPr>
              <w:numPr>
                <w:ilvl w:val="0"/>
                <w:numId w:val="0"/>
              </w:numPr>
              <w:spacing w:line="400" w:lineRule="exact"/>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3.中标供应商须配合完成采购人安排的临时性和应急性任务。</w:t>
            </w:r>
          </w:p>
          <w:p w14:paraId="133265C9">
            <w:pPr>
              <w:numPr>
                <w:ilvl w:val="0"/>
                <w:numId w:val="0"/>
              </w:numPr>
              <w:spacing w:line="400" w:lineRule="exact"/>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4.提供7*24小时电话热线支持和传真服务。服务期内出现任何问题，中标供应商须及时响应，并到达指定地点协助采购人处理并解决问题。</w:t>
            </w:r>
          </w:p>
          <w:p w14:paraId="12A3B13F">
            <w:pPr>
              <w:numPr>
                <w:ilvl w:val="0"/>
                <w:numId w:val="0"/>
              </w:numPr>
              <w:spacing w:line="400" w:lineRule="exact"/>
              <w:ind w:left="0" w:leftChars="0" w:firstLine="0" w:firstLineChars="0"/>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5.在合同履行期限内，采购人如有关于本标项服务内容产生的需要解决的任何问题，中标供应商须无条件对负责处理解决，产生的相关费用含在报价中。</w:t>
            </w:r>
          </w:p>
          <w:p w14:paraId="6EB33FFF">
            <w:pPr>
              <w:numPr>
                <w:ilvl w:val="0"/>
                <w:numId w:val="0"/>
              </w:numPr>
              <w:spacing w:line="400" w:lineRule="exact"/>
              <w:ind w:left="0" w:leftChars="0" w:firstLine="0" w:firstLineChars="0"/>
              <w:rPr>
                <w:rFonts w:hint="eastAsia" w:ascii="宋体" w:hAnsi="宋体" w:eastAsia="宋体" w:cs="宋体"/>
                <w:color w:val="auto"/>
                <w:szCs w:val="21"/>
                <w:highlight w:val="none"/>
              </w:rPr>
            </w:pPr>
            <w:r>
              <w:rPr>
                <w:rFonts w:hint="eastAsia" w:ascii="宋体" w:hAnsi="宋体" w:eastAsia="宋体" w:cs="宋体"/>
                <w:bCs/>
                <w:color w:val="auto"/>
                <w:szCs w:val="21"/>
                <w:highlight w:val="none"/>
                <w:lang w:val="en-US" w:eastAsia="zh-CN"/>
              </w:rPr>
              <w:t>6</w:t>
            </w:r>
            <w:r>
              <w:rPr>
                <w:rFonts w:hint="eastAsia" w:ascii="宋体" w:hAnsi="宋体" w:eastAsia="宋体" w:cs="宋体"/>
                <w:bCs/>
                <w:color w:val="auto"/>
                <w:szCs w:val="21"/>
                <w:highlight w:val="none"/>
              </w:rPr>
              <w:t>.</w:t>
            </w:r>
            <w:r>
              <w:rPr>
                <w:rFonts w:hint="eastAsia" w:ascii="宋体" w:hAnsi="宋体" w:eastAsia="宋体" w:cs="宋体"/>
                <w:bCs/>
                <w:color w:val="auto"/>
                <w:szCs w:val="21"/>
                <w:highlight w:val="none"/>
                <w:lang w:val="en-US" w:eastAsia="zh-CN"/>
              </w:rPr>
              <w:t>中标</w:t>
            </w:r>
            <w:r>
              <w:rPr>
                <w:rFonts w:hint="eastAsia" w:ascii="宋体" w:hAnsi="宋体" w:eastAsia="宋体" w:cs="宋体"/>
                <w:bCs/>
                <w:color w:val="auto"/>
                <w:szCs w:val="21"/>
                <w:highlight w:val="none"/>
              </w:rPr>
              <w:t>供应商须安排科学合理的工作方法，提高工作质量。拟投入本项目人员应配备安全员、资料员以及有相关作业经验的项目负责人，</w:t>
            </w:r>
            <w:r>
              <w:rPr>
                <w:rFonts w:hint="eastAsia" w:ascii="宋体" w:hAnsi="宋体" w:eastAsia="宋体" w:cs="宋体"/>
                <w:bCs/>
                <w:color w:val="auto"/>
                <w:szCs w:val="21"/>
                <w:highlight w:val="none"/>
                <w:lang w:val="en-US" w:eastAsia="zh-CN"/>
              </w:rPr>
              <w:t>项目技术人员</w:t>
            </w:r>
            <w:r>
              <w:rPr>
                <w:rFonts w:hint="eastAsia" w:ascii="宋体" w:hAnsi="宋体" w:eastAsia="宋体" w:cs="宋体"/>
                <w:bCs/>
                <w:color w:val="auto"/>
                <w:szCs w:val="21"/>
                <w:highlight w:val="none"/>
              </w:rPr>
              <w:t>不少于3人。</w:t>
            </w:r>
            <w:r>
              <w:rPr>
                <w:rFonts w:hint="eastAsia" w:ascii="宋体" w:hAnsi="宋体" w:eastAsia="宋体" w:cs="宋体"/>
                <w:b/>
                <w:color w:val="auto"/>
                <w:szCs w:val="21"/>
                <w:highlight w:val="none"/>
              </w:rPr>
              <w:t>【</w:t>
            </w:r>
            <w:r>
              <w:rPr>
                <w:rFonts w:hint="eastAsia" w:ascii="宋体" w:hAnsi="宋体" w:eastAsia="宋体" w:cs="宋体"/>
                <w:b/>
                <w:color w:val="auto"/>
                <w:szCs w:val="21"/>
                <w:highlight w:val="none"/>
                <w:lang w:val="en-US" w:eastAsia="zh-CN"/>
              </w:rPr>
              <w:t>投标</w:t>
            </w:r>
            <w:r>
              <w:rPr>
                <w:rFonts w:hint="eastAsia" w:ascii="宋体" w:hAnsi="宋体" w:eastAsia="宋体" w:cs="宋体"/>
                <w:b/>
                <w:color w:val="auto"/>
                <w:szCs w:val="21"/>
                <w:highlight w:val="none"/>
              </w:rPr>
              <w:t>文件中必须提供①至少1名</w:t>
            </w:r>
            <w:r>
              <w:rPr>
                <w:rFonts w:hint="eastAsia" w:ascii="宋体" w:hAnsi="宋体" w:eastAsia="宋体" w:cs="宋体"/>
                <w:b/>
                <w:color w:val="auto"/>
                <w:highlight w:val="none"/>
              </w:rPr>
              <w:t>安全员有效的安全生产考核合格证（C证）复印件、②至少1名资料员有效的施工现场专业人员职业培训合格</w:t>
            </w:r>
            <w:r>
              <w:rPr>
                <w:rFonts w:hint="eastAsia" w:ascii="宋体" w:hAnsi="宋体" w:eastAsia="宋体" w:cs="宋体"/>
                <w:b/>
                <w:color w:val="auto"/>
                <w:szCs w:val="21"/>
                <w:highlight w:val="none"/>
              </w:rPr>
              <w:t>证书复印件、③项目负责人的简历（涵盖相关作业经验明细）及</w:t>
            </w:r>
            <w:r>
              <w:rPr>
                <w:rFonts w:hint="eastAsia" w:ascii="宋体" w:hAnsi="宋体" w:eastAsia="宋体" w:cs="宋体"/>
                <w:b/>
                <w:color w:val="auto"/>
                <w:szCs w:val="21"/>
                <w:highlight w:val="none"/>
                <w:lang w:eastAsia="zh-CN"/>
              </w:rPr>
              <w:t>相关经验证明材料（可以是简历中涉及的业绩合同复印件或相关作业图片等证明）</w:t>
            </w:r>
            <w:r>
              <w:rPr>
                <w:rFonts w:hint="eastAsia" w:ascii="宋体" w:hAnsi="宋体" w:eastAsia="宋体" w:cs="宋体"/>
                <w:b/>
                <w:color w:val="auto"/>
                <w:szCs w:val="21"/>
                <w:highlight w:val="none"/>
              </w:rPr>
              <w:t>；上述复印件均须加盖供应商公章，否则按无效处理</w:t>
            </w:r>
            <w:r>
              <w:rPr>
                <w:rFonts w:hint="eastAsia" w:ascii="宋体" w:hAnsi="宋体" w:eastAsia="宋体" w:cs="宋体"/>
                <w:bCs/>
                <w:color w:val="auto"/>
                <w:szCs w:val="21"/>
                <w:highlight w:val="none"/>
              </w:rPr>
              <w:t>】。</w:t>
            </w:r>
          </w:p>
        </w:tc>
      </w:tr>
      <w:tr w14:paraId="3BE2D4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2322" w:type="dxa"/>
            <w:gridSpan w:val="3"/>
            <w:tcBorders>
              <w:top w:val="single" w:color="auto" w:sz="4" w:space="0"/>
              <w:left w:val="single" w:color="auto" w:sz="4" w:space="0"/>
              <w:bottom w:val="single" w:color="auto" w:sz="4" w:space="0"/>
              <w:right w:val="single" w:color="auto" w:sz="4" w:space="0"/>
            </w:tcBorders>
          </w:tcPr>
          <w:p w14:paraId="5A49A8D7">
            <w:pPr>
              <w:spacing w:line="360" w:lineRule="auto"/>
              <w:jc w:val="center"/>
              <w:rPr>
                <w:rFonts w:hint="eastAsia" w:ascii="宋体" w:hAnsi="宋体" w:eastAsia="宋体" w:cs="宋体"/>
                <w:color w:val="auto"/>
                <w:szCs w:val="21"/>
                <w:highlight w:val="none"/>
              </w:rPr>
            </w:pPr>
          </w:p>
          <w:p w14:paraId="651A36A4">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▲验收要求</w:t>
            </w:r>
          </w:p>
        </w:tc>
        <w:tc>
          <w:tcPr>
            <w:tcW w:w="7342" w:type="dxa"/>
            <w:gridSpan w:val="3"/>
            <w:tcBorders>
              <w:top w:val="single" w:color="auto" w:sz="4" w:space="0"/>
              <w:left w:val="single" w:color="auto" w:sz="4" w:space="0"/>
              <w:bottom w:val="single" w:color="auto" w:sz="4" w:space="0"/>
              <w:right w:val="single" w:color="auto" w:sz="4" w:space="0"/>
            </w:tcBorders>
          </w:tcPr>
          <w:p w14:paraId="60956279">
            <w:pPr>
              <w:tabs>
                <w:tab w:val="left" w:pos="180"/>
                <w:tab w:val="left" w:pos="1620"/>
              </w:tabs>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1.项目验收：在项目结束后进行。</w:t>
            </w:r>
          </w:p>
          <w:p w14:paraId="6F0EAA8B">
            <w:pPr>
              <w:tabs>
                <w:tab w:val="left" w:pos="180"/>
                <w:tab w:val="left" w:pos="1620"/>
              </w:tabs>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2.验收标准：按国家相关标准、行业标准、地方标准或者其他标准、规范，及采购需求规定的要求。项目验收时由采购</w:t>
            </w:r>
            <w:r>
              <w:rPr>
                <w:rFonts w:hint="eastAsia" w:ascii="宋体" w:hAnsi="宋体" w:eastAsia="宋体" w:cs="宋体"/>
                <w:color w:val="auto"/>
                <w:szCs w:val="21"/>
                <w:highlight w:val="none"/>
                <w:lang w:val="en-US" w:eastAsia="zh-CN"/>
              </w:rPr>
              <w:t>人</w:t>
            </w:r>
            <w:r>
              <w:rPr>
                <w:rFonts w:hint="eastAsia" w:ascii="宋体" w:hAnsi="宋体" w:eastAsia="宋体" w:cs="宋体"/>
                <w:color w:val="auto"/>
                <w:szCs w:val="21"/>
                <w:highlight w:val="none"/>
              </w:rPr>
              <w:t>或采购</w:t>
            </w:r>
            <w:r>
              <w:rPr>
                <w:rFonts w:hint="eastAsia" w:ascii="宋体" w:hAnsi="宋体" w:eastAsia="宋体" w:cs="宋体"/>
                <w:color w:val="auto"/>
                <w:szCs w:val="21"/>
                <w:highlight w:val="none"/>
                <w:lang w:val="en-US" w:eastAsia="zh-CN"/>
              </w:rPr>
              <w:t>人</w:t>
            </w:r>
            <w:r>
              <w:rPr>
                <w:rFonts w:hint="eastAsia" w:ascii="宋体" w:hAnsi="宋体" w:eastAsia="宋体" w:cs="宋体"/>
                <w:color w:val="auto"/>
                <w:szCs w:val="21"/>
                <w:highlight w:val="none"/>
              </w:rPr>
              <w:t>委托的第三方验收小组对照</w:t>
            </w:r>
            <w:r>
              <w:rPr>
                <w:rFonts w:hint="eastAsia" w:ascii="宋体" w:hAnsi="宋体" w:eastAsia="宋体" w:cs="宋体"/>
                <w:color w:val="auto"/>
                <w:szCs w:val="21"/>
                <w:highlight w:val="none"/>
                <w:lang w:val="en-US" w:eastAsia="zh-CN"/>
              </w:rPr>
              <w:t>采购</w:t>
            </w:r>
            <w:r>
              <w:rPr>
                <w:rFonts w:hint="eastAsia" w:ascii="宋体" w:hAnsi="宋体" w:eastAsia="宋体" w:cs="宋体"/>
                <w:color w:val="auto"/>
                <w:szCs w:val="21"/>
                <w:highlight w:val="none"/>
              </w:rPr>
              <w:t>文件</w:t>
            </w:r>
            <w:r>
              <w:rPr>
                <w:rFonts w:hint="eastAsia" w:ascii="宋体" w:hAnsi="宋体" w:eastAsia="宋体" w:cs="宋体"/>
                <w:color w:val="auto"/>
                <w:szCs w:val="21"/>
                <w:highlight w:val="none"/>
                <w:lang w:val="en-US" w:eastAsia="zh-CN"/>
              </w:rPr>
              <w:t>要求</w:t>
            </w:r>
            <w:r>
              <w:rPr>
                <w:rFonts w:hint="eastAsia" w:ascii="宋体" w:hAnsi="宋体" w:eastAsia="宋体" w:cs="宋体"/>
                <w:color w:val="auto"/>
                <w:szCs w:val="21"/>
                <w:highlight w:val="none"/>
              </w:rPr>
              <w:t>及</w:t>
            </w:r>
            <w:r>
              <w:rPr>
                <w:rFonts w:hint="eastAsia" w:ascii="宋体" w:hAnsi="宋体" w:eastAsia="宋体" w:cs="宋体"/>
                <w:color w:val="auto"/>
                <w:szCs w:val="21"/>
                <w:highlight w:val="none"/>
                <w:lang w:val="en-US" w:eastAsia="zh-CN"/>
              </w:rPr>
              <w:t>投标</w:t>
            </w:r>
            <w:r>
              <w:rPr>
                <w:rFonts w:hint="eastAsia" w:ascii="宋体" w:hAnsi="宋体" w:eastAsia="宋体" w:cs="宋体"/>
                <w:color w:val="auto"/>
                <w:szCs w:val="21"/>
                <w:highlight w:val="none"/>
              </w:rPr>
              <w:t>文件中的</w:t>
            </w:r>
            <w:r>
              <w:rPr>
                <w:rFonts w:hint="eastAsia" w:ascii="宋体" w:hAnsi="宋体" w:eastAsia="宋体" w:cs="宋体"/>
                <w:color w:val="auto"/>
                <w:szCs w:val="21"/>
                <w:highlight w:val="none"/>
                <w:lang w:val="en-US" w:eastAsia="zh-CN"/>
              </w:rPr>
              <w:t>响应承诺</w:t>
            </w:r>
            <w:r>
              <w:rPr>
                <w:rFonts w:hint="eastAsia" w:ascii="宋体" w:hAnsi="宋体" w:eastAsia="宋体" w:cs="宋体"/>
                <w:color w:val="auto"/>
                <w:szCs w:val="21"/>
                <w:highlight w:val="none"/>
              </w:rPr>
              <w:t>进行验收</w:t>
            </w:r>
            <w:r>
              <w:rPr>
                <w:rFonts w:hint="eastAsia" w:ascii="宋体" w:hAnsi="宋体" w:eastAsia="宋体" w:cs="宋体"/>
                <w:color w:val="auto"/>
                <w:kern w:val="0"/>
                <w:szCs w:val="21"/>
                <w:highlight w:val="none"/>
              </w:rPr>
              <w:t>。</w:t>
            </w:r>
          </w:p>
          <w:p w14:paraId="0B02DF8D">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3.验收过程中所产生的一切费用均由中标供应商承担，报价时应考虑相关费用。</w:t>
            </w:r>
          </w:p>
        </w:tc>
      </w:tr>
      <w:tr w14:paraId="476774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8" w:hRule="atLeast"/>
        </w:trPr>
        <w:tc>
          <w:tcPr>
            <w:tcW w:w="2322" w:type="dxa"/>
            <w:gridSpan w:val="3"/>
            <w:tcBorders>
              <w:top w:val="single" w:color="auto" w:sz="4" w:space="0"/>
              <w:left w:val="single" w:color="auto" w:sz="4" w:space="0"/>
              <w:bottom w:val="single" w:color="auto" w:sz="4" w:space="0"/>
              <w:right w:val="single" w:color="auto" w:sz="4" w:space="0"/>
            </w:tcBorders>
            <w:vAlign w:val="center"/>
          </w:tcPr>
          <w:p w14:paraId="56E90E80">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▲付款方式</w:t>
            </w:r>
          </w:p>
        </w:tc>
        <w:tc>
          <w:tcPr>
            <w:tcW w:w="7342" w:type="dxa"/>
            <w:gridSpan w:val="3"/>
            <w:tcBorders>
              <w:top w:val="single" w:color="auto" w:sz="4" w:space="0"/>
              <w:left w:val="single" w:color="auto" w:sz="4" w:space="0"/>
              <w:bottom w:val="single" w:color="auto" w:sz="4" w:space="0"/>
              <w:right w:val="single" w:color="auto" w:sz="4" w:space="0"/>
            </w:tcBorders>
          </w:tcPr>
          <w:p w14:paraId="55B00126">
            <w:pPr>
              <w:spacing w:line="360" w:lineRule="auto"/>
              <w:ind w:firstLine="0" w:firstLine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签订合同且本项目财政资金到位后10个工作日内，甲方向乙方支付合同总金额的50%预付款；乙方根据项目进度向甲方申请进度款，进度款不超过合同总金额的45%；剩余款项待项目验收合格且本项目财政资金到位后10个工作日内一次性支付完毕。</w:t>
            </w:r>
          </w:p>
        </w:tc>
      </w:tr>
      <w:tr w14:paraId="270C9B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8" w:hRule="atLeast"/>
        </w:trPr>
        <w:tc>
          <w:tcPr>
            <w:tcW w:w="2322" w:type="dxa"/>
            <w:gridSpan w:val="3"/>
            <w:tcBorders>
              <w:top w:val="single" w:color="auto" w:sz="4" w:space="0"/>
              <w:left w:val="single" w:color="auto" w:sz="4" w:space="0"/>
              <w:bottom w:val="single" w:color="auto" w:sz="4" w:space="0"/>
              <w:right w:val="single" w:color="auto" w:sz="4" w:space="0"/>
            </w:tcBorders>
            <w:vAlign w:val="center"/>
          </w:tcPr>
          <w:p w14:paraId="799B55F9">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其他要求</w:t>
            </w:r>
          </w:p>
        </w:tc>
        <w:tc>
          <w:tcPr>
            <w:tcW w:w="7342" w:type="dxa"/>
            <w:gridSpan w:val="3"/>
            <w:tcBorders>
              <w:top w:val="single" w:color="auto" w:sz="4" w:space="0"/>
              <w:left w:val="single" w:color="auto" w:sz="4" w:space="0"/>
              <w:bottom w:val="single" w:color="auto" w:sz="4" w:space="0"/>
              <w:right w:val="single" w:color="auto" w:sz="4" w:space="0"/>
            </w:tcBorders>
          </w:tcPr>
          <w:p w14:paraId="02E1A346">
            <w:pPr>
              <w:keepNext w:val="0"/>
              <w:keepLines w:val="0"/>
              <w:pageBreakBefore w:val="0"/>
              <w:widowControl/>
              <w:shd w:val="clear" w:color="auto" w:fill="FFFFFF"/>
              <w:kinsoku/>
              <w:wordWrap/>
              <w:overflowPunct/>
              <w:topLinePunct w:val="0"/>
              <w:bidi w:val="0"/>
              <w:adjustRightInd/>
              <w:snapToGrid/>
              <w:spacing w:after="0" w:line="380" w:lineRule="exact"/>
              <w:ind w:firstLine="420" w:firstLineChars="200"/>
              <w:textAlignment w:val="auto"/>
              <w:rPr>
                <w:rFonts w:hint="eastAsia" w:ascii="宋体" w:hAnsi="宋体" w:eastAsia="宋体" w:cs="宋体"/>
                <w:bCs w:val="0"/>
                <w:color w:val="auto"/>
                <w:sz w:val="21"/>
                <w:szCs w:val="21"/>
                <w:highlight w:val="none"/>
                <w:lang w:val="en-US" w:eastAsia="zh-CN"/>
              </w:rPr>
            </w:pPr>
            <w:r>
              <w:rPr>
                <w:rFonts w:hint="eastAsia" w:ascii="宋体" w:hAnsi="宋体" w:eastAsia="宋体" w:cs="宋体"/>
                <w:bCs w:val="0"/>
                <w:color w:val="auto"/>
                <w:sz w:val="21"/>
                <w:szCs w:val="21"/>
                <w:highlight w:val="none"/>
                <w:lang w:val="en-US" w:eastAsia="zh-CN"/>
              </w:rPr>
              <w:t>1.</w:t>
            </w:r>
            <w:r>
              <w:rPr>
                <w:rFonts w:hint="eastAsia" w:ascii="宋体" w:hAnsi="宋体" w:eastAsia="宋体" w:cs="宋体"/>
                <w:bCs w:val="0"/>
                <w:color w:val="auto"/>
                <w:sz w:val="21"/>
                <w:szCs w:val="21"/>
                <w:highlight w:val="none"/>
              </w:rPr>
              <w:t>采购人在中华人民共和国境内使用供应商提供的服务时免受第三方提出的侵犯其专利权或其它知识产权的起诉。如果第三方提出侵权指控，</w:t>
            </w:r>
            <w:r>
              <w:rPr>
                <w:rFonts w:hint="eastAsia" w:ascii="宋体" w:hAnsi="宋体" w:eastAsia="宋体" w:cs="宋体"/>
                <w:bCs w:val="0"/>
                <w:color w:val="auto"/>
                <w:sz w:val="21"/>
                <w:szCs w:val="21"/>
                <w:highlight w:val="none"/>
                <w:lang w:eastAsia="zh-CN"/>
              </w:rPr>
              <w:t>中标</w:t>
            </w:r>
            <w:r>
              <w:rPr>
                <w:rFonts w:hint="eastAsia" w:ascii="宋体" w:hAnsi="宋体" w:eastAsia="宋体" w:cs="宋体"/>
                <w:bCs w:val="0"/>
                <w:color w:val="auto"/>
                <w:sz w:val="21"/>
                <w:szCs w:val="21"/>
                <w:highlight w:val="none"/>
                <w:lang w:val="en-US" w:eastAsia="zh-CN"/>
              </w:rPr>
              <w:t>供应商</w:t>
            </w:r>
            <w:r>
              <w:rPr>
                <w:rFonts w:hint="eastAsia" w:ascii="宋体" w:hAnsi="宋体" w:eastAsia="宋体" w:cs="宋体"/>
                <w:bCs w:val="0"/>
                <w:color w:val="auto"/>
                <w:sz w:val="21"/>
                <w:szCs w:val="21"/>
                <w:highlight w:val="none"/>
              </w:rPr>
              <w:t>应承担由此而引起的一切法律责任和费用。</w:t>
            </w:r>
          </w:p>
          <w:p w14:paraId="789D0902">
            <w:pPr>
              <w:keepNext w:val="0"/>
              <w:keepLines w:val="0"/>
              <w:pageBreakBefore w:val="0"/>
              <w:widowControl/>
              <w:shd w:val="clear" w:color="auto" w:fill="FFFFFF"/>
              <w:kinsoku/>
              <w:wordWrap/>
              <w:overflowPunct/>
              <w:topLinePunct w:val="0"/>
              <w:bidi w:val="0"/>
              <w:adjustRightInd/>
              <w:snapToGrid/>
              <w:spacing w:after="0" w:line="380" w:lineRule="exact"/>
              <w:ind w:firstLine="420" w:firstLineChars="200"/>
              <w:textAlignment w:val="auto"/>
              <w:rPr>
                <w:rFonts w:hint="eastAsia" w:ascii="宋体" w:hAnsi="宋体" w:eastAsia="宋体" w:cs="宋体"/>
                <w:bCs w:val="0"/>
                <w:color w:val="auto"/>
                <w:sz w:val="21"/>
                <w:szCs w:val="21"/>
                <w:highlight w:val="none"/>
                <w:lang w:val="en-US" w:eastAsia="zh-CN"/>
              </w:rPr>
            </w:pPr>
            <w:r>
              <w:rPr>
                <w:rFonts w:hint="eastAsia" w:ascii="宋体" w:hAnsi="宋体" w:eastAsia="宋体" w:cs="宋体"/>
                <w:bCs w:val="0"/>
                <w:color w:val="auto"/>
                <w:sz w:val="21"/>
                <w:szCs w:val="21"/>
                <w:highlight w:val="none"/>
                <w:lang w:val="en-US" w:eastAsia="zh-CN"/>
              </w:rPr>
              <w:t>2.</w:t>
            </w:r>
            <w:r>
              <w:rPr>
                <w:rFonts w:hint="eastAsia" w:ascii="宋体" w:hAnsi="宋体" w:eastAsia="宋体" w:cs="宋体"/>
                <w:bCs w:val="0"/>
                <w:color w:val="auto"/>
                <w:sz w:val="21"/>
                <w:szCs w:val="21"/>
                <w:highlight w:val="none"/>
              </w:rPr>
              <w:t>本项目所采购服务如需执行国家相关标准、行业标准、地方标准或其他强制性标准、规范</w:t>
            </w:r>
            <w:r>
              <w:rPr>
                <w:rFonts w:hint="eastAsia" w:ascii="宋体" w:hAnsi="宋体" w:eastAsia="宋体" w:cs="宋体"/>
                <w:bCs w:val="0"/>
                <w:color w:val="auto"/>
                <w:sz w:val="21"/>
                <w:szCs w:val="21"/>
                <w:highlight w:val="none"/>
                <w:lang w:val="en-US" w:eastAsia="zh-CN"/>
              </w:rPr>
              <w:t>的</w:t>
            </w:r>
            <w:r>
              <w:rPr>
                <w:rFonts w:hint="eastAsia" w:ascii="宋体" w:hAnsi="宋体" w:eastAsia="宋体" w:cs="宋体"/>
                <w:bCs w:val="0"/>
                <w:color w:val="auto"/>
                <w:sz w:val="21"/>
                <w:szCs w:val="21"/>
                <w:highlight w:val="none"/>
              </w:rPr>
              <w:t>，应执行。</w:t>
            </w:r>
          </w:p>
          <w:p w14:paraId="07100C8A">
            <w:pPr>
              <w:pStyle w:val="135"/>
              <w:tabs>
                <w:tab w:val="left" w:pos="319"/>
              </w:tabs>
              <w:spacing w:before="119"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bCs w:val="0"/>
                <w:color w:val="auto"/>
                <w:sz w:val="21"/>
                <w:szCs w:val="21"/>
                <w:highlight w:val="none"/>
                <w:lang w:val="en-US" w:eastAsia="zh-CN"/>
              </w:rPr>
              <w:t>3.未尽事宜参照《关于印发广西壮族自治区政府采购项目履约验收管理办法的通知》[桂财采〔2015〕22 号]以及《财政部关于进一步加强政府采购需求和履约验收管理的指导意见》[财库〔2016〕205 号]规定执行。</w:t>
            </w:r>
          </w:p>
        </w:tc>
      </w:tr>
    </w:tbl>
    <w:p w14:paraId="6ACE662D">
      <w:pPr>
        <w:jc w:val="left"/>
        <w:rPr>
          <w:rFonts w:hint="eastAsia" w:ascii="宋体" w:hAnsi="宋体" w:eastAsia="宋体" w:cs="宋体"/>
          <w:b/>
          <w:bCs/>
          <w:color w:val="auto"/>
          <w:kern w:val="0"/>
          <w:sz w:val="32"/>
          <w:szCs w:val="32"/>
          <w:highlight w:val="none"/>
        </w:rPr>
      </w:pPr>
    </w:p>
    <w:tbl>
      <w:tblPr>
        <w:tblStyle w:val="61"/>
        <w:tblpPr w:leftFromText="180" w:rightFromText="180" w:vertAnchor="text" w:horzAnchor="page" w:tblpX="1110" w:tblpY="409"/>
        <w:tblOverlap w:val="never"/>
        <w:tblW w:w="966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89"/>
        <w:gridCol w:w="1341"/>
        <w:gridCol w:w="492"/>
        <w:gridCol w:w="348"/>
        <w:gridCol w:w="780"/>
        <w:gridCol w:w="6214"/>
      </w:tblGrid>
      <w:tr w14:paraId="7913F1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8" w:hRule="atLeast"/>
        </w:trPr>
        <w:tc>
          <w:tcPr>
            <w:tcW w:w="9664" w:type="dxa"/>
            <w:gridSpan w:val="6"/>
            <w:tcBorders>
              <w:top w:val="single" w:color="auto" w:sz="4" w:space="0"/>
              <w:left w:val="single" w:color="auto" w:sz="4" w:space="0"/>
              <w:bottom w:val="single" w:color="auto" w:sz="4" w:space="0"/>
              <w:right w:val="single" w:color="auto" w:sz="4" w:space="0"/>
            </w:tcBorders>
            <w:vAlign w:val="center"/>
          </w:tcPr>
          <w:p w14:paraId="28A6EAA9">
            <w:pPr>
              <w:tabs>
                <w:tab w:val="left" w:pos="180"/>
                <w:tab w:val="left" w:pos="1620"/>
              </w:tabs>
              <w:spacing w:line="360" w:lineRule="auto"/>
              <w:jc w:val="center"/>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采购需求一览表</w:t>
            </w:r>
          </w:p>
        </w:tc>
      </w:tr>
      <w:tr w14:paraId="2C65BB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9" w:hRule="atLeast"/>
        </w:trPr>
        <w:tc>
          <w:tcPr>
            <w:tcW w:w="9664" w:type="dxa"/>
            <w:gridSpan w:val="6"/>
            <w:tcBorders>
              <w:top w:val="single" w:color="auto" w:sz="4" w:space="0"/>
              <w:left w:val="single" w:color="auto" w:sz="4" w:space="0"/>
              <w:bottom w:val="single" w:color="auto" w:sz="4" w:space="0"/>
              <w:right w:val="single" w:color="auto" w:sz="4" w:space="0"/>
            </w:tcBorders>
            <w:vAlign w:val="center"/>
          </w:tcPr>
          <w:p w14:paraId="06CD534A">
            <w:pPr>
              <w:tabs>
                <w:tab w:val="left" w:pos="180"/>
                <w:tab w:val="left" w:pos="1620"/>
              </w:tabs>
              <w:spacing w:line="360" w:lineRule="auto"/>
              <w:jc w:val="center"/>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分标4</w:t>
            </w:r>
          </w:p>
        </w:tc>
      </w:tr>
      <w:tr w14:paraId="26CB2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4" w:hRule="atLeast"/>
        </w:trPr>
        <w:tc>
          <w:tcPr>
            <w:tcW w:w="489" w:type="dxa"/>
            <w:tcBorders>
              <w:top w:val="single" w:color="auto" w:sz="4" w:space="0"/>
            </w:tcBorders>
            <w:vAlign w:val="center"/>
          </w:tcPr>
          <w:p w14:paraId="77614685">
            <w:pPr>
              <w:tabs>
                <w:tab w:val="left" w:pos="180"/>
                <w:tab w:val="left" w:pos="1620"/>
              </w:tabs>
              <w:spacing w:line="360" w:lineRule="auto"/>
              <w:jc w:val="center"/>
              <w:rPr>
                <w:rFonts w:hint="eastAsia" w:ascii="宋体" w:hAnsi="宋体" w:eastAsia="宋体" w:cs="宋体"/>
                <w:b/>
                <w:bCs/>
                <w:color w:val="auto"/>
                <w:szCs w:val="21"/>
                <w:highlight w:val="none"/>
                <w:lang w:eastAsia="zh-CN"/>
              </w:rPr>
            </w:pPr>
            <w:r>
              <w:rPr>
                <w:rFonts w:hint="eastAsia" w:ascii="宋体" w:hAnsi="宋体" w:eastAsia="宋体" w:cs="宋体"/>
                <w:b/>
                <w:bCs/>
                <w:color w:val="auto"/>
                <w:szCs w:val="21"/>
                <w:highlight w:val="none"/>
                <w:lang w:val="en-US" w:eastAsia="zh-CN"/>
              </w:rPr>
              <w:t>序号</w:t>
            </w:r>
          </w:p>
        </w:tc>
        <w:tc>
          <w:tcPr>
            <w:tcW w:w="1341" w:type="dxa"/>
            <w:tcBorders>
              <w:top w:val="single" w:color="auto" w:sz="4" w:space="0"/>
            </w:tcBorders>
            <w:vAlign w:val="center"/>
          </w:tcPr>
          <w:p w14:paraId="4A1AE656">
            <w:pPr>
              <w:tabs>
                <w:tab w:val="left" w:pos="180"/>
                <w:tab w:val="left" w:pos="1620"/>
              </w:tabs>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标的名称</w:t>
            </w:r>
          </w:p>
        </w:tc>
        <w:tc>
          <w:tcPr>
            <w:tcW w:w="840" w:type="dxa"/>
            <w:gridSpan w:val="2"/>
            <w:tcBorders>
              <w:top w:val="single" w:color="auto" w:sz="4" w:space="0"/>
            </w:tcBorders>
            <w:vAlign w:val="center"/>
          </w:tcPr>
          <w:p w14:paraId="23AD8E10">
            <w:pPr>
              <w:tabs>
                <w:tab w:val="left" w:pos="180"/>
                <w:tab w:val="left" w:pos="1620"/>
              </w:tabs>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数量</w:t>
            </w:r>
          </w:p>
        </w:tc>
        <w:tc>
          <w:tcPr>
            <w:tcW w:w="780" w:type="dxa"/>
            <w:tcBorders>
              <w:top w:val="single" w:color="auto" w:sz="4" w:space="0"/>
            </w:tcBorders>
            <w:vAlign w:val="center"/>
          </w:tcPr>
          <w:p w14:paraId="07C89ED2">
            <w:pPr>
              <w:tabs>
                <w:tab w:val="left" w:pos="180"/>
                <w:tab w:val="left" w:pos="1620"/>
              </w:tabs>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单位</w:t>
            </w:r>
          </w:p>
        </w:tc>
        <w:tc>
          <w:tcPr>
            <w:tcW w:w="6214" w:type="dxa"/>
            <w:tcBorders>
              <w:top w:val="single" w:color="auto" w:sz="4" w:space="0"/>
            </w:tcBorders>
            <w:vAlign w:val="center"/>
          </w:tcPr>
          <w:p w14:paraId="0DE20385">
            <w:pPr>
              <w:tabs>
                <w:tab w:val="left" w:pos="180"/>
                <w:tab w:val="left" w:pos="1620"/>
              </w:tabs>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采购需求</w:t>
            </w:r>
          </w:p>
        </w:tc>
      </w:tr>
      <w:tr w14:paraId="68CDEA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8" w:hRule="atLeast"/>
        </w:trPr>
        <w:tc>
          <w:tcPr>
            <w:tcW w:w="489" w:type="dxa"/>
            <w:vAlign w:val="center"/>
          </w:tcPr>
          <w:p w14:paraId="4FB11469">
            <w:pPr>
              <w:pStyle w:val="196"/>
              <w:spacing w:line="360" w:lineRule="auto"/>
              <w:ind w:left="0" w:leftChars="0" w:firstLine="0" w:firstLineChars="0"/>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1</w:t>
            </w:r>
          </w:p>
        </w:tc>
        <w:tc>
          <w:tcPr>
            <w:tcW w:w="1341" w:type="dxa"/>
            <w:vAlign w:val="center"/>
          </w:tcPr>
          <w:p w14:paraId="29B1F315">
            <w:pPr>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val="0"/>
                <w:bCs w:val="0"/>
                <w:color w:val="auto"/>
                <w:spacing w:val="0"/>
                <w:kern w:val="0"/>
                <w:sz w:val="21"/>
                <w:szCs w:val="21"/>
                <w:highlight w:val="none"/>
              </w:rPr>
              <w:t>红树林病虫害防治</w:t>
            </w:r>
          </w:p>
        </w:tc>
        <w:tc>
          <w:tcPr>
            <w:tcW w:w="840" w:type="dxa"/>
            <w:gridSpan w:val="2"/>
            <w:vAlign w:val="center"/>
          </w:tcPr>
          <w:p w14:paraId="5795FF18">
            <w:pPr>
              <w:widowControl/>
              <w:adjustRightInd w:val="0"/>
              <w:snapToGrid w:val="0"/>
              <w:spacing w:line="336" w:lineRule="auto"/>
              <w:jc w:val="center"/>
              <w:rPr>
                <w:rFonts w:hint="eastAsia" w:ascii="宋体" w:hAnsi="宋体" w:eastAsia="宋体" w:cs="宋体"/>
                <w:b/>
                <w:bCs/>
                <w:color w:val="auto"/>
                <w:szCs w:val="21"/>
                <w:highlight w:val="none"/>
              </w:rPr>
            </w:pPr>
            <w:r>
              <w:rPr>
                <w:rFonts w:hint="eastAsia" w:ascii="宋体" w:hAnsi="宋体" w:eastAsia="宋体" w:cs="宋体"/>
                <w:color w:val="auto"/>
                <w:kern w:val="0"/>
                <w:szCs w:val="21"/>
                <w:highlight w:val="none"/>
              </w:rPr>
              <w:t>1</w:t>
            </w:r>
          </w:p>
        </w:tc>
        <w:tc>
          <w:tcPr>
            <w:tcW w:w="780" w:type="dxa"/>
            <w:vAlign w:val="center"/>
          </w:tcPr>
          <w:p w14:paraId="30B21A07">
            <w:pPr>
              <w:widowControl/>
              <w:adjustRightInd w:val="0"/>
              <w:snapToGrid w:val="0"/>
              <w:spacing w:line="336" w:lineRule="auto"/>
              <w:jc w:val="center"/>
              <w:rPr>
                <w:rFonts w:hint="eastAsia" w:ascii="宋体" w:hAnsi="宋体" w:eastAsia="宋体" w:cs="宋体"/>
                <w:b/>
                <w:bCs/>
                <w:color w:val="auto"/>
                <w:szCs w:val="21"/>
                <w:highlight w:val="none"/>
              </w:rPr>
            </w:pPr>
            <w:r>
              <w:rPr>
                <w:rFonts w:hint="eastAsia" w:ascii="宋体" w:hAnsi="宋体" w:eastAsia="宋体" w:cs="宋体"/>
                <w:color w:val="auto"/>
                <w:kern w:val="0"/>
                <w:szCs w:val="21"/>
                <w:highlight w:val="none"/>
              </w:rPr>
              <w:t>项</w:t>
            </w:r>
          </w:p>
        </w:tc>
        <w:tc>
          <w:tcPr>
            <w:tcW w:w="6214" w:type="dxa"/>
            <w:vAlign w:val="center"/>
          </w:tcPr>
          <w:p w14:paraId="1CA16E7D">
            <w:pPr>
              <w:spacing w:before="119" w:line="400" w:lineRule="exact"/>
              <w:ind w:firstLine="420" w:firstLineChars="200"/>
              <w:rPr>
                <w:rFonts w:hint="eastAsia" w:ascii="宋体" w:hAnsi="宋体" w:eastAsia="宋体" w:cs="宋体"/>
                <w:bCs w:val="0"/>
                <w:color w:val="auto"/>
                <w:sz w:val="21"/>
                <w:szCs w:val="21"/>
                <w:highlight w:val="none"/>
                <w:lang w:val="en-US" w:eastAsia="zh-CN"/>
              </w:rPr>
            </w:pPr>
            <w:r>
              <w:rPr>
                <w:rFonts w:hint="eastAsia" w:ascii="宋体" w:hAnsi="宋体" w:eastAsia="宋体" w:cs="宋体"/>
                <w:bCs w:val="0"/>
                <w:color w:val="auto"/>
                <w:sz w:val="21"/>
                <w:szCs w:val="21"/>
                <w:highlight w:val="none"/>
                <w:lang w:val="en-US" w:eastAsia="zh-CN"/>
              </w:rPr>
              <w:t>在山口保护区的廉州湾片区、铁山港片区、丹兜海片区和英罗港片区，采用无人机投放赤眼蜂卵球、喷洒对环境和生物无害的极小颗粒悬浮物等方式防治红树林病虫害，防治面积6500亩以上。其中在整合优化后铁山港片区和廉州湾片区的病虫害防治工作在《广西壮族自治区自然保护</w:t>
            </w:r>
            <w:r>
              <w:rPr>
                <w:rFonts w:hint="eastAsia" w:ascii="宋体" w:hAnsi="宋体" w:eastAsia="宋体" w:cs="宋体"/>
                <w:bCs w:val="0"/>
                <w:color w:val="auto"/>
                <w:sz w:val="21"/>
                <w:szCs w:val="21"/>
                <w:highlight w:val="none"/>
                <w:lang w:val="en-US" w:eastAsia="zh-CN"/>
              </w:rPr>
              <w:t>地整合优化方案》批复后才开展。</w:t>
            </w:r>
            <w:r>
              <w:rPr>
                <w:rFonts w:hint="eastAsia" w:ascii="宋体" w:hAnsi="宋体" w:eastAsia="宋体" w:cs="宋体"/>
                <w:color w:val="auto"/>
                <w:sz w:val="21"/>
                <w:szCs w:val="21"/>
                <w:highlight w:val="none"/>
              </w:rPr>
              <w:t>具体实施地点根据当年虫害发生情况和采购人实际需求而定。</w:t>
            </w:r>
          </w:p>
          <w:p w14:paraId="38581F0A">
            <w:pPr>
              <w:spacing w:before="119" w:line="400" w:lineRule="exact"/>
              <w:ind w:firstLine="420" w:firstLineChars="200"/>
              <w:rPr>
                <w:rFonts w:hint="eastAsia" w:ascii="宋体" w:hAnsi="宋体" w:eastAsia="宋体" w:cs="宋体"/>
                <w:bCs w:val="0"/>
                <w:color w:val="auto"/>
                <w:sz w:val="21"/>
                <w:szCs w:val="21"/>
                <w:highlight w:val="none"/>
                <w:lang w:val="en-US" w:eastAsia="zh-CN"/>
              </w:rPr>
            </w:pPr>
            <w:r>
              <w:rPr>
                <w:rFonts w:hint="eastAsia" w:ascii="宋体" w:hAnsi="宋体" w:eastAsia="宋体" w:cs="宋体"/>
                <w:bCs w:val="0"/>
                <w:color w:val="auto"/>
                <w:sz w:val="21"/>
                <w:szCs w:val="21"/>
                <w:highlight w:val="none"/>
                <w:lang w:val="en-US" w:eastAsia="zh-CN"/>
              </w:rPr>
              <w:t>一、防治对象</w:t>
            </w:r>
          </w:p>
          <w:p w14:paraId="61A122F3">
            <w:pPr>
              <w:spacing w:before="119" w:line="400" w:lineRule="exact"/>
              <w:ind w:firstLine="420" w:firstLineChars="200"/>
              <w:rPr>
                <w:rFonts w:hint="eastAsia" w:ascii="宋体" w:hAnsi="宋体" w:eastAsia="宋体" w:cs="宋体"/>
                <w:bCs w:val="0"/>
                <w:color w:val="auto"/>
                <w:sz w:val="21"/>
                <w:szCs w:val="21"/>
                <w:highlight w:val="none"/>
                <w:lang w:val="en-US" w:eastAsia="zh-CN"/>
              </w:rPr>
            </w:pPr>
            <w:r>
              <w:rPr>
                <w:rFonts w:hint="eastAsia" w:ascii="宋体" w:hAnsi="宋体" w:eastAsia="宋体" w:cs="宋体"/>
                <w:bCs w:val="0"/>
                <w:color w:val="auto"/>
                <w:sz w:val="21"/>
                <w:szCs w:val="21"/>
                <w:highlight w:val="none"/>
                <w:lang w:val="en-US" w:eastAsia="zh-CN"/>
              </w:rPr>
              <w:t>根据近年来红树林虫害监测情况，白骨壤、桐花树易发生较大规模虫害，威胁到其生长发育甚至其生命，其余树种如秋茄、红海榄虽也时有虫害发生，但影响较小，因此主要的防治对象为危害白骨壤和桐花树的害虫。</w:t>
            </w:r>
          </w:p>
          <w:p w14:paraId="2BE561D9">
            <w:pPr>
              <w:spacing w:before="119" w:line="400" w:lineRule="exact"/>
              <w:ind w:firstLine="420" w:firstLineChars="200"/>
              <w:rPr>
                <w:rFonts w:hint="eastAsia" w:ascii="宋体" w:hAnsi="宋体" w:eastAsia="宋体" w:cs="宋体"/>
                <w:bCs w:val="0"/>
                <w:color w:val="auto"/>
                <w:sz w:val="21"/>
                <w:szCs w:val="21"/>
                <w:highlight w:val="none"/>
                <w:lang w:val="en-US" w:eastAsia="zh-CN"/>
              </w:rPr>
            </w:pPr>
            <w:r>
              <w:rPr>
                <w:rFonts w:hint="eastAsia" w:ascii="宋体" w:hAnsi="宋体" w:eastAsia="宋体" w:cs="宋体"/>
                <w:bCs w:val="0"/>
                <w:color w:val="auto"/>
                <w:sz w:val="21"/>
                <w:szCs w:val="21"/>
                <w:highlight w:val="none"/>
                <w:lang w:val="en-US" w:eastAsia="zh-CN"/>
              </w:rPr>
              <w:t>二、虫害种类及危害性</w:t>
            </w:r>
          </w:p>
          <w:p w14:paraId="026FA61F">
            <w:pPr>
              <w:spacing w:before="119" w:line="400" w:lineRule="exact"/>
              <w:ind w:firstLine="420" w:firstLineChars="200"/>
              <w:rPr>
                <w:rFonts w:hint="eastAsia" w:ascii="宋体" w:hAnsi="宋体" w:eastAsia="宋体" w:cs="宋体"/>
                <w:bCs w:val="0"/>
                <w:color w:val="auto"/>
                <w:sz w:val="21"/>
                <w:szCs w:val="21"/>
                <w:highlight w:val="none"/>
                <w:lang w:val="en-US" w:eastAsia="zh-CN"/>
              </w:rPr>
            </w:pPr>
            <w:r>
              <w:rPr>
                <w:rFonts w:hint="eastAsia" w:ascii="宋体" w:hAnsi="宋体" w:eastAsia="宋体" w:cs="宋体"/>
                <w:bCs w:val="0"/>
                <w:color w:val="auto"/>
                <w:sz w:val="21"/>
                <w:szCs w:val="21"/>
                <w:highlight w:val="none"/>
                <w:lang w:val="en-US" w:eastAsia="zh-CN"/>
              </w:rPr>
              <w:t>经实地监测与分析，危害白骨壤、桐花树的病虫害主要为鳞翅目害虫，如柚木肖弄蝶夜蛾、广州小斑螟、毛颚小卷蛾等，以白骨壤、桐花树叶片为食，导致叶片被大量啃食，严重影响白骨壤的光合作用和生长发育。</w:t>
            </w:r>
          </w:p>
          <w:p w14:paraId="16AE2D92">
            <w:pPr>
              <w:spacing w:before="119" w:line="400" w:lineRule="exact"/>
              <w:ind w:firstLine="420" w:firstLineChars="200"/>
              <w:rPr>
                <w:rFonts w:hint="eastAsia" w:ascii="宋体" w:hAnsi="宋体" w:eastAsia="宋体" w:cs="宋体"/>
                <w:bCs w:val="0"/>
                <w:color w:val="auto"/>
                <w:sz w:val="21"/>
                <w:szCs w:val="21"/>
                <w:highlight w:val="none"/>
                <w:lang w:val="en-US" w:eastAsia="zh-CN"/>
              </w:rPr>
            </w:pPr>
            <w:r>
              <w:rPr>
                <w:rFonts w:hint="eastAsia" w:ascii="宋体" w:hAnsi="宋体" w:eastAsia="宋体" w:cs="宋体"/>
                <w:bCs w:val="0"/>
                <w:color w:val="auto"/>
                <w:sz w:val="21"/>
                <w:szCs w:val="21"/>
                <w:highlight w:val="none"/>
                <w:lang w:val="en-US" w:eastAsia="zh-CN"/>
              </w:rPr>
              <w:t>三、防治原理及方法</w:t>
            </w:r>
          </w:p>
          <w:p w14:paraId="2253CDC3">
            <w:pPr>
              <w:spacing w:before="119" w:line="400" w:lineRule="exact"/>
              <w:ind w:firstLine="420" w:firstLineChars="200"/>
              <w:rPr>
                <w:rFonts w:hint="eastAsia" w:ascii="宋体" w:hAnsi="宋体" w:eastAsia="宋体" w:cs="宋体"/>
                <w:bCs w:val="0"/>
                <w:color w:val="auto"/>
                <w:sz w:val="21"/>
                <w:szCs w:val="21"/>
                <w:highlight w:val="none"/>
                <w:lang w:val="en-US" w:eastAsia="zh-CN"/>
              </w:rPr>
            </w:pPr>
            <w:r>
              <w:rPr>
                <w:rFonts w:hint="eastAsia" w:ascii="宋体" w:hAnsi="宋体" w:eastAsia="宋体" w:cs="宋体"/>
                <w:bCs w:val="0"/>
                <w:color w:val="auto"/>
                <w:sz w:val="21"/>
                <w:szCs w:val="21"/>
                <w:highlight w:val="none"/>
                <w:lang w:val="en-US" w:eastAsia="zh-CN"/>
              </w:rPr>
              <w:t>赤眼蜂是卵寄生蜂，可将卵产在多种鳞翅目害虫的卵内，其幼虫在害虫卵内发育，以害虫卵的营养物质为食，从而破坏害虫卵的正常发育，使害虫无法孵化，达到控制害虫种群数量的目的。对于危害白骨壤的柚木肖弄蝶夜蛾、广州小斑螟等鳞翅目害虫，赤眼蜂能够精准识别并寄生其卵，有效阻断害虫繁殖链。投放赤眼蜂防治面积与无人机飞防防治面积可根据当年虫害发生实际情况进行调整</w:t>
            </w:r>
            <w:r>
              <w:rPr>
                <w:rFonts w:hint="eastAsia" w:ascii="宋体" w:hAnsi="宋体" w:eastAsia="宋体" w:cs="宋体"/>
                <w:color w:val="auto"/>
                <w:szCs w:val="21"/>
                <w:highlight w:val="none"/>
              </w:rPr>
              <w:t>，费用依照赤眼蜂卵球</w:t>
            </w:r>
            <w:r>
              <w:rPr>
                <w:rFonts w:hint="eastAsia" w:ascii="宋体" w:hAnsi="宋体" w:eastAsia="宋体" w:cs="宋体"/>
                <w:color w:val="auto"/>
                <w:szCs w:val="21"/>
                <w:highlight w:val="none"/>
                <w:lang w:val="en-US" w:eastAsia="zh-CN"/>
              </w:rPr>
              <w:t>和</w:t>
            </w:r>
            <w:r>
              <w:rPr>
                <w:rFonts w:hint="eastAsia" w:ascii="宋体" w:hAnsi="宋体" w:eastAsia="宋体" w:cs="宋体"/>
                <w:color w:val="auto"/>
                <w:szCs w:val="21"/>
                <w:highlight w:val="none"/>
              </w:rPr>
              <w:t>无人机喷药的单价换算核算。</w:t>
            </w:r>
          </w:p>
          <w:p w14:paraId="3B62C5FB">
            <w:pPr>
              <w:spacing w:before="119" w:line="400" w:lineRule="exact"/>
              <w:ind w:firstLine="420" w:firstLineChars="200"/>
              <w:rPr>
                <w:rFonts w:hint="eastAsia" w:ascii="宋体" w:hAnsi="宋体" w:eastAsia="宋体" w:cs="宋体"/>
                <w:bCs w:val="0"/>
                <w:color w:val="auto"/>
                <w:sz w:val="21"/>
                <w:szCs w:val="21"/>
                <w:highlight w:val="none"/>
                <w:lang w:val="en-US" w:eastAsia="zh-CN"/>
              </w:rPr>
            </w:pPr>
            <w:r>
              <w:rPr>
                <w:rFonts w:hint="eastAsia" w:ascii="宋体" w:hAnsi="宋体" w:eastAsia="宋体" w:cs="宋体"/>
                <w:bCs w:val="0"/>
                <w:color w:val="auto"/>
                <w:sz w:val="21"/>
                <w:szCs w:val="21"/>
                <w:highlight w:val="none"/>
                <w:lang w:val="en-US" w:eastAsia="zh-CN"/>
              </w:rPr>
              <w:t>1.</w:t>
            </w:r>
            <w:r>
              <w:rPr>
                <w:rFonts w:hint="eastAsia" w:ascii="宋体" w:hAnsi="宋体" w:eastAsia="宋体" w:cs="宋体"/>
                <w:color w:val="auto"/>
                <w:sz w:val="21"/>
                <w:szCs w:val="21"/>
                <w:highlight w:val="none"/>
              </w:rPr>
              <w:t>投放赤眼蜂：</w:t>
            </w:r>
            <w:r>
              <w:rPr>
                <w:rFonts w:hint="eastAsia" w:ascii="宋体" w:hAnsi="宋体" w:eastAsia="宋体" w:cs="宋体"/>
                <w:bCs w:val="0"/>
                <w:color w:val="auto"/>
                <w:sz w:val="21"/>
                <w:szCs w:val="21"/>
                <w:highlight w:val="none"/>
                <w:lang w:val="en-US" w:eastAsia="zh-CN"/>
              </w:rPr>
              <w:t>采用无人机投放赤眼蜂卵球，在无人机上安装定制的卵球投放装置，该装置可根据预设程序准确控制卵球投放时间和间隔。投放装置具有自动计数功能，可实时记录已投放卵球数量，确保投放剂量准确。</w:t>
            </w:r>
          </w:p>
          <w:p w14:paraId="4811BBE6">
            <w:pPr>
              <w:spacing w:before="119" w:line="400" w:lineRule="exact"/>
              <w:ind w:firstLine="420" w:firstLineChars="200"/>
              <w:rPr>
                <w:rFonts w:hint="eastAsia" w:ascii="宋体" w:hAnsi="宋体" w:eastAsia="宋体" w:cs="宋体"/>
                <w:bCs w:val="0"/>
                <w:color w:val="auto"/>
                <w:sz w:val="21"/>
                <w:szCs w:val="21"/>
                <w:highlight w:val="none"/>
                <w:lang w:val="en-US" w:eastAsia="zh-CN"/>
              </w:rPr>
            </w:pPr>
            <w:r>
              <w:rPr>
                <w:rFonts w:hint="eastAsia" w:ascii="宋体" w:hAnsi="宋体" w:eastAsia="宋体" w:cs="宋体"/>
                <w:bCs w:val="0"/>
                <w:color w:val="auto"/>
                <w:sz w:val="21"/>
                <w:szCs w:val="21"/>
                <w:highlight w:val="none"/>
                <w:lang w:val="en-US" w:eastAsia="zh-CN"/>
              </w:rPr>
              <w:t>在成虫高</w:t>
            </w:r>
            <w:r>
              <w:rPr>
                <w:rFonts w:hint="eastAsia" w:ascii="宋体" w:hAnsi="宋体" w:eastAsia="宋体" w:cs="宋体"/>
                <w:bCs w:val="0"/>
                <w:color w:val="auto"/>
                <w:sz w:val="21"/>
                <w:szCs w:val="21"/>
                <w:highlight w:val="none"/>
                <w:lang w:val="en-US" w:eastAsia="zh-CN"/>
              </w:rPr>
              <w:t>峰期5～6月及9～10月时投放，每亩每次均匀投放至少5个赤眼蜂卵球，每个含赤眼蜂卵至少3000头，隔10天再进行投放1次。</w:t>
            </w:r>
            <w:r>
              <w:rPr>
                <w:rFonts w:hint="eastAsia" w:ascii="宋体" w:hAnsi="宋体" w:eastAsia="宋体" w:cs="宋体"/>
                <w:color w:val="auto"/>
                <w:sz w:val="21"/>
                <w:szCs w:val="21"/>
                <w:highlight w:val="none"/>
              </w:rPr>
              <w:t>1年内至少投放2次（具体投放次数以实际虫害发生情况为准）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防治面积6500亩以上</w:t>
            </w:r>
            <w:r>
              <w:rPr>
                <w:rFonts w:hint="eastAsia" w:ascii="宋体" w:hAnsi="宋体" w:eastAsia="宋体" w:cs="宋体"/>
                <w:color w:val="auto"/>
                <w:sz w:val="21"/>
                <w:szCs w:val="21"/>
                <w:highlight w:val="none"/>
              </w:rPr>
              <w:t>（具体投放面积以实际虫害发生面积为准）。</w:t>
            </w:r>
          </w:p>
          <w:p w14:paraId="0F1F2E8E">
            <w:pPr>
              <w:spacing w:before="119" w:line="400" w:lineRule="exact"/>
              <w:ind w:firstLine="420" w:firstLineChars="200"/>
              <w:rPr>
                <w:rFonts w:hint="eastAsia" w:ascii="宋体" w:hAnsi="宋体" w:eastAsia="宋体" w:cs="宋体"/>
                <w:bCs w:val="0"/>
                <w:color w:val="auto"/>
                <w:sz w:val="21"/>
                <w:szCs w:val="21"/>
                <w:highlight w:val="none"/>
                <w:lang w:val="en-US" w:eastAsia="zh-CN"/>
              </w:rPr>
            </w:pPr>
            <w:r>
              <w:rPr>
                <w:rFonts w:hint="eastAsia" w:ascii="宋体" w:hAnsi="宋体" w:eastAsia="宋体" w:cs="宋体"/>
                <w:bCs w:val="0"/>
                <w:color w:val="auto"/>
                <w:sz w:val="21"/>
                <w:szCs w:val="21"/>
                <w:highlight w:val="none"/>
                <w:lang w:val="en-US" w:eastAsia="zh-CN"/>
              </w:rPr>
              <w:t>2.无人机飞防：在红树林病虫害暴发前期时，采用的防治方法是选用无人机喷洒对环境和生物无害的极小颗粒悬浮物。应在阴天或晴天进行，需在气温18℃以上，宜傍晚施药，可发挥最佳作用。飞行相对高度6米，飞行速度2.5—3米/秒，行距4.5米。防治面积1950亩以上</w:t>
            </w:r>
            <w:r>
              <w:rPr>
                <w:rFonts w:hint="eastAsia" w:ascii="宋体" w:hAnsi="宋体" w:eastAsia="宋体" w:cs="宋体"/>
                <w:color w:val="auto"/>
                <w:sz w:val="21"/>
                <w:szCs w:val="21"/>
                <w:highlight w:val="none"/>
              </w:rPr>
              <w:t>（具体</w:t>
            </w:r>
            <w:r>
              <w:rPr>
                <w:rFonts w:hint="eastAsia" w:ascii="宋体" w:hAnsi="宋体" w:eastAsia="宋体" w:cs="宋体"/>
                <w:color w:val="auto"/>
                <w:sz w:val="21"/>
                <w:szCs w:val="21"/>
                <w:highlight w:val="none"/>
                <w:lang w:val="en-US" w:eastAsia="zh-CN"/>
              </w:rPr>
              <w:t>飞防</w:t>
            </w:r>
            <w:r>
              <w:rPr>
                <w:rFonts w:hint="eastAsia" w:ascii="宋体" w:hAnsi="宋体" w:eastAsia="宋体" w:cs="宋体"/>
                <w:color w:val="auto"/>
                <w:sz w:val="21"/>
                <w:szCs w:val="21"/>
                <w:highlight w:val="none"/>
              </w:rPr>
              <w:t>面积以实际虫害发生面积为准）</w:t>
            </w:r>
            <w:r>
              <w:rPr>
                <w:rFonts w:hint="eastAsia" w:ascii="宋体" w:hAnsi="宋体" w:eastAsia="宋体" w:cs="宋体"/>
                <w:bCs w:val="0"/>
                <w:color w:val="auto"/>
                <w:sz w:val="21"/>
                <w:szCs w:val="21"/>
                <w:highlight w:val="none"/>
                <w:lang w:val="en-US" w:eastAsia="zh-CN"/>
              </w:rPr>
              <w:t>。</w:t>
            </w:r>
          </w:p>
          <w:p w14:paraId="6757FF57">
            <w:pPr>
              <w:spacing w:line="400" w:lineRule="exact"/>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val="en-US" w:eastAsia="zh-CN"/>
              </w:rPr>
              <w:t>四、</w:t>
            </w:r>
            <w:r>
              <w:rPr>
                <w:rFonts w:hint="eastAsia" w:ascii="宋体" w:hAnsi="宋体" w:eastAsia="宋体" w:cs="宋体"/>
                <w:b/>
                <w:bCs/>
                <w:color w:val="auto"/>
                <w:szCs w:val="21"/>
                <w:highlight w:val="none"/>
              </w:rPr>
              <w:t>定期监测</w:t>
            </w:r>
          </w:p>
          <w:p w14:paraId="479E7B23">
            <w:pPr>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每月定期对红树林区域进行虫害监测，按照固定路线和监测点，观察记录红树林树木的叶片、枝干等部位的虫害发生情况，包括害虫种类、</w:t>
            </w:r>
            <w:r>
              <w:rPr>
                <w:rFonts w:hint="eastAsia" w:ascii="宋体" w:hAnsi="宋体" w:eastAsia="宋体" w:cs="宋体"/>
                <w:color w:val="auto"/>
                <w:szCs w:val="21"/>
                <w:highlight w:val="none"/>
                <w:lang w:val="en-US" w:eastAsia="zh-CN"/>
              </w:rPr>
              <w:t>虫口密度</w:t>
            </w:r>
            <w:r>
              <w:rPr>
                <w:rFonts w:hint="eastAsia" w:ascii="宋体" w:hAnsi="宋体" w:eastAsia="宋体" w:cs="宋体"/>
                <w:color w:val="auto"/>
                <w:szCs w:val="21"/>
                <w:highlight w:val="none"/>
              </w:rPr>
              <w:t>、危害程度等信息。</w:t>
            </w:r>
            <w:r>
              <w:rPr>
                <w:rFonts w:hint="eastAsia" w:ascii="宋体" w:hAnsi="宋体" w:eastAsia="宋体" w:cs="宋体"/>
                <w:color w:val="auto"/>
                <w:szCs w:val="21"/>
                <w:highlight w:val="none"/>
                <w:lang w:val="en-US" w:eastAsia="zh-CN"/>
              </w:rPr>
              <w:t>分析虫害</w:t>
            </w:r>
            <w:r>
              <w:rPr>
                <w:rFonts w:hint="eastAsia" w:ascii="宋体" w:hAnsi="宋体" w:eastAsia="宋体" w:cs="宋体"/>
                <w:color w:val="auto"/>
                <w:szCs w:val="21"/>
                <w:highlight w:val="none"/>
              </w:rPr>
              <w:t>种群动态变化趋势，以便及时掌握病虫害的发生发展态势，为防治工作提供科学依据，适时调整防治措施，确保红树林生态系统的健康稳定。</w:t>
            </w:r>
          </w:p>
          <w:p w14:paraId="4B3054C5">
            <w:pPr>
              <w:spacing w:line="400" w:lineRule="exact"/>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val="en-US" w:eastAsia="zh-CN"/>
              </w:rPr>
              <w:t>五、</w:t>
            </w:r>
            <w:r>
              <w:rPr>
                <w:rFonts w:hint="eastAsia" w:ascii="宋体" w:hAnsi="宋体" w:eastAsia="宋体" w:cs="宋体"/>
                <w:b/>
                <w:bCs/>
                <w:color w:val="auto"/>
                <w:szCs w:val="21"/>
                <w:highlight w:val="none"/>
              </w:rPr>
              <w:t>防治效果评估</w:t>
            </w:r>
          </w:p>
          <w:p w14:paraId="10AB3E2E">
            <w:pPr>
              <w:spacing w:before="119" w:line="400" w:lineRule="exact"/>
              <w:ind w:firstLine="420" w:firstLineChars="200"/>
              <w:rPr>
                <w:rFonts w:hint="eastAsia" w:ascii="宋体" w:hAnsi="宋体" w:eastAsia="宋体" w:cs="宋体"/>
                <w:bCs w:val="0"/>
                <w:color w:val="auto"/>
                <w:sz w:val="21"/>
                <w:szCs w:val="21"/>
                <w:highlight w:val="none"/>
                <w:lang w:val="en-US" w:eastAsia="zh-CN"/>
              </w:rPr>
            </w:pPr>
            <w:r>
              <w:rPr>
                <w:rFonts w:hint="eastAsia" w:ascii="宋体" w:hAnsi="宋体" w:eastAsia="宋体" w:cs="宋体"/>
                <w:color w:val="auto"/>
                <w:szCs w:val="21"/>
                <w:highlight w:val="none"/>
              </w:rPr>
              <w:t>在投放赤眼蜂或无人机飞防防治工作前、中、后进行红树林虫害监测，采取有效措施防止防治过程中环境污染事件发生，完成后对防治区域的防治效果进行监测和评估，通过对虫害死亡情况、红树林受危害情况和恢复情况进行监测，评估投放赤眼蜂或飞防的防治效果，防治效果需防治率达9</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及</w:t>
            </w:r>
            <w:r>
              <w:rPr>
                <w:rFonts w:hint="eastAsia" w:ascii="宋体" w:hAnsi="宋体" w:eastAsia="宋体" w:cs="宋体"/>
                <w:color w:val="auto"/>
                <w:szCs w:val="21"/>
                <w:highlight w:val="none"/>
              </w:rPr>
              <w:t>以上。</w:t>
            </w:r>
          </w:p>
        </w:tc>
      </w:tr>
      <w:tr w14:paraId="37708D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664" w:type="dxa"/>
            <w:gridSpan w:val="6"/>
            <w:tcBorders>
              <w:top w:val="single" w:color="auto" w:sz="4" w:space="0"/>
              <w:left w:val="single" w:color="auto" w:sz="4" w:space="0"/>
              <w:bottom w:val="single" w:color="auto" w:sz="4" w:space="0"/>
              <w:right w:val="single" w:color="auto" w:sz="4" w:space="0"/>
            </w:tcBorders>
          </w:tcPr>
          <w:p w14:paraId="21CCD2CA">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二、商务条款</w:t>
            </w:r>
          </w:p>
        </w:tc>
      </w:tr>
      <w:tr w14:paraId="1D88DC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322" w:type="dxa"/>
            <w:gridSpan w:val="3"/>
            <w:tcBorders>
              <w:top w:val="single" w:color="auto" w:sz="4" w:space="0"/>
              <w:left w:val="single" w:color="auto" w:sz="4" w:space="0"/>
              <w:bottom w:val="single" w:color="auto" w:sz="4" w:space="0"/>
              <w:right w:val="single" w:color="auto" w:sz="4" w:space="0"/>
            </w:tcBorders>
            <w:vAlign w:val="center"/>
          </w:tcPr>
          <w:p w14:paraId="5FD72817">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▲合同签订期</w:t>
            </w:r>
          </w:p>
        </w:tc>
        <w:tc>
          <w:tcPr>
            <w:tcW w:w="7342" w:type="dxa"/>
            <w:gridSpan w:val="3"/>
            <w:tcBorders>
              <w:top w:val="single" w:color="auto" w:sz="4" w:space="0"/>
              <w:left w:val="single" w:color="auto" w:sz="4" w:space="0"/>
              <w:bottom w:val="single" w:color="auto" w:sz="4" w:space="0"/>
              <w:right w:val="single" w:color="auto" w:sz="4" w:space="0"/>
            </w:tcBorders>
            <w:vAlign w:val="center"/>
          </w:tcPr>
          <w:p w14:paraId="407703FD">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自中标通知书发出之日起25日内。</w:t>
            </w:r>
          </w:p>
        </w:tc>
      </w:tr>
      <w:tr w14:paraId="20E237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322" w:type="dxa"/>
            <w:gridSpan w:val="3"/>
            <w:tcBorders>
              <w:top w:val="single" w:color="auto" w:sz="4" w:space="0"/>
              <w:left w:val="single" w:color="auto" w:sz="4" w:space="0"/>
              <w:bottom w:val="single" w:color="auto" w:sz="4" w:space="0"/>
              <w:right w:val="single" w:color="auto" w:sz="4" w:space="0"/>
            </w:tcBorders>
            <w:vAlign w:val="center"/>
          </w:tcPr>
          <w:p w14:paraId="5518DBA7">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▲服务期限及服务地点</w:t>
            </w:r>
          </w:p>
        </w:tc>
        <w:tc>
          <w:tcPr>
            <w:tcW w:w="7342" w:type="dxa"/>
            <w:gridSpan w:val="3"/>
            <w:tcBorders>
              <w:top w:val="single" w:color="auto" w:sz="4" w:space="0"/>
              <w:left w:val="single" w:color="auto" w:sz="4" w:space="0"/>
              <w:bottom w:val="single" w:color="auto" w:sz="4" w:space="0"/>
              <w:right w:val="single" w:color="auto" w:sz="4" w:space="0"/>
            </w:tcBorders>
            <w:vAlign w:val="top"/>
          </w:tcPr>
          <w:p w14:paraId="50528ED2">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服务</w:t>
            </w:r>
            <w:r>
              <w:rPr>
                <w:rFonts w:hint="eastAsia" w:ascii="宋体" w:hAnsi="宋体" w:eastAsia="宋体" w:cs="宋体"/>
                <w:color w:val="auto"/>
                <w:szCs w:val="21"/>
                <w:highlight w:val="none"/>
              </w:rPr>
              <w:t>期限：</w:t>
            </w:r>
            <w:r>
              <w:rPr>
                <w:rFonts w:hint="eastAsia" w:ascii="宋体" w:hAnsi="宋体" w:eastAsia="宋体" w:cs="宋体"/>
                <w:color w:val="auto"/>
                <w:szCs w:val="21"/>
                <w:highlight w:val="none"/>
                <w:lang w:val="en-US" w:eastAsia="zh-CN"/>
              </w:rPr>
              <w:t>自签订合同之日起至2027年6月底完成验收</w:t>
            </w:r>
            <w:r>
              <w:rPr>
                <w:rFonts w:hint="eastAsia" w:ascii="宋体" w:hAnsi="宋体" w:eastAsia="宋体" w:cs="宋体"/>
                <w:color w:val="auto"/>
                <w:sz w:val="24"/>
                <w:szCs w:val="24"/>
                <w:highlight w:val="none"/>
              </w:rPr>
              <w:t>。</w:t>
            </w:r>
          </w:p>
          <w:p w14:paraId="13D49371">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服务地点：</w:t>
            </w:r>
            <w:r>
              <w:rPr>
                <w:rFonts w:hint="eastAsia" w:ascii="宋体" w:hAnsi="宋体" w:eastAsia="宋体" w:cs="宋体"/>
                <w:color w:val="auto"/>
                <w:szCs w:val="21"/>
                <w:highlight w:val="none"/>
                <w:lang w:val="en-US" w:eastAsia="zh-CN"/>
              </w:rPr>
              <w:t>采购人指定地点</w:t>
            </w:r>
            <w:r>
              <w:rPr>
                <w:rFonts w:hint="eastAsia" w:ascii="宋体" w:hAnsi="宋体" w:eastAsia="宋体" w:cs="宋体"/>
                <w:color w:val="auto"/>
                <w:szCs w:val="21"/>
                <w:highlight w:val="none"/>
              </w:rPr>
              <w:t>。</w:t>
            </w:r>
          </w:p>
        </w:tc>
      </w:tr>
      <w:tr w14:paraId="291A57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322" w:type="dxa"/>
            <w:gridSpan w:val="3"/>
            <w:tcBorders>
              <w:top w:val="single" w:color="auto" w:sz="4" w:space="0"/>
              <w:left w:val="single" w:color="auto" w:sz="4" w:space="0"/>
              <w:bottom w:val="single" w:color="auto" w:sz="4" w:space="0"/>
              <w:right w:val="single" w:color="auto" w:sz="4" w:space="0"/>
            </w:tcBorders>
            <w:vAlign w:val="center"/>
          </w:tcPr>
          <w:p w14:paraId="5B561B04">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▲投标报价</w:t>
            </w:r>
          </w:p>
        </w:tc>
        <w:tc>
          <w:tcPr>
            <w:tcW w:w="7342" w:type="dxa"/>
            <w:gridSpan w:val="3"/>
            <w:tcBorders>
              <w:top w:val="single" w:color="auto" w:sz="4" w:space="0"/>
              <w:left w:val="single" w:color="auto" w:sz="4" w:space="0"/>
              <w:bottom w:val="single" w:color="auto" w:sz="4" w:space="0"/>
              <w:right w:val="single" w:color="auto" w:sz="4" w:space="0"/>
            </w:tcBorders>
            <w:vAlign w:val="top"/>
          </w:tcPr>
          <w:p w14:paraId="79BA4295">
            <w:pPr>
              <w:numPr>
                <w:ilvl w:val="0"/>
                <w:numId w:val="0"/>
              </w:numPr>
              <w:spacing w:line="400" w:lineRule="exact"/>
              <w:jc w:val="both"/>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报价必须含以下部分，包括：</w:t>
            </w:r>
          </w:p>
          <w:p w14:paraId="4B90D01F">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0" w:firstLineChars="0"/>
              <w:jc w:val="both"/>
              <w:textAlignment w:val="auto"/>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（1）服务费用（报价需包含但不限于“采购需求一览表”涉及的所有费用）；</w:t>
            </w:r>
          </w:p>
          <w:p w14:paraId="5C5B5966">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0" w:firstLineChars="0"/>
              <w:jc w:val="both"/>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本标项采购预算为人民币</w:t>
            </w:r>
            <w:r>
              <w:rPr>
                <w:rFonts w:hint="eastAsia" w:ascii="宋体" w:hAnsi="宋体" w:eastAsia="宋体" w:cs="宋体"/>
                <w:color w:val="auto"/>
                <w:kern w:val="2"/>
                <w:szCs w:val="21"/>
                <w:highlight w:val="none"/>
                <w:lang w:val="en-US" w:eastAsia="zh-CN"/>
              </w:rPr>
              <w:t>81.25</w:t>
            </w:r>
            <w:r>
              <w:rPr>
                <w:rFonts w:hint="eastAsia" w:ascii="宋体" w:hAnsi="宋体" w:eastAsia="宋体" w:cs="宋体"/>
                <w:color w:val="auto"/>
                <w:kern w:val="2"/>
                <w:szCs w:val="21"/>
                <w:highlight w:val="none"/>
              </w:rPr>
              <w:t>万元</w:t>
            </w:r>
            <w:r>
              <w:rPr>
                <w:rFonts w:hint="eastAsia" w:ascii="宋体" w:hAnsi="宋体" w:eastAsia="宋体" w:cs="宋体"/>
                <w:color w:val="auto"/>
                <w:szCs w:val="21"/>
                <w:highlight w:val="none"/>
              </w:rPr>
              <w:t>，单价最高限价如下表：</w:t>
            </w:r>
          </w:p>
          <w:tbl>
            <w:tblPr>
              <w:tblStyle w:val="61"/>
              <w:tblW w:w="6374" w:type="dxa"/>
              <w:jc w:val="center"/>
              <w:tblLayout w:type="fixed"/>
              <w:tblCellMar>
                <w:top w:w="0" w:type="dxa"/>
                <w:left w:w="108" w:type="dxa"/>
                <w:bottom w:w="0" w:type="dxa"/>
                <w:right w:w="108" w:type="dxa"/>
              </w:tblCellMar>
            </w:tblPr>
            <w:tblGrid>
              <w:gridCol w:w="710"/>
              <w:gridCol w:w="1470"/>
              <w:gridCol w:w="840"/>
              <w:gridCol w:w="720"/>
              <w:gridCol w:w="2634"/>
            </w:tblGrid>
            <w:tr w14:paraId="3DCEEB8D">
              <w:tblPrEx>
                <w:tblCellMar>
                  <w:top w:w="0" w:type="dxa"/>
                  <w:left w:w="108" w:type="dxa"/>
                  <w:bottom w:w="0" w:type="dxa"/>
                  <w:right w:w="108" w:type="dxa"/>
                </w:tblCellMar>
              </w:tblPrEx>
              <w:trPr>
                <w:trHeight w:val="23" w:hRule="atLeast"/>
                <w:jc w:val="center"/>
              </w:trPr>
              <w:tc>
                <w:tcPr>
                  <w:tcW w:w="710" w:type="dxa"/>
                  <w:tcBorders>
                    <w:top w:val="single" w:color="000000" w:sz="4" w:space="0"/>
                    <w:left w:val="single" w:color="000000" w:sz="4" w:space="0"/>
                    <w:bottom w:val="single" w:color="000000" w:sz="4" w:space="0"/>
                    <w:right w:val="single" w:color="000000" w:sz="4" w:space="0"/>
                  </w:tcBorders>
                  <w:noWrap/>
                  <w:vAlign w:val="center"/>
                </w:tcPr>
                <w:p w14:paraId="1AB82BA4">
                  <w:pPr>
                    <w:widowControl/>
                    <w:numPr>
                      <w:ilvl w:val="0"/>
                      <w:numId w:val="0"/>
                    </w:numPr>
                    <w:spacing w:line="400" w:lineRule="exact"/>
                    <w:jc w:val="left"/>
                    <w:textAlignment w:val="auto"/>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序号</w:t>
                  </w:r>
                </w:p>
              </w:tc>
              <w:tc>
                <w:tcPr>
                  <w:tcW w:w="1470" w:type="dxa"/>
                  <w:tcBorders>
                    <w:top w:val="single" w:color="000000" w:sz="4" w:space="0"/>
                    <w:left w:val="single" w:color="000000" w:sz="4" w:space="0"/>
                    <w:bottom w:val="single" w:color="000000" w:sz="4" w:space="0"/>
                    <w:right w:val="single" w:color="000000" w:sz="4" w:space="0"/>
                  </w:tcBorders>
                  <w:noWrap/>
                  <w:vAlign w:val="center"/>
                </w:tcPr>
                <w:p w14:paraId="0552F7D8">
                  <w:pPr>
                    <w:widowControl/>
                    <w:numPr>
                      <w:ilvl w:val="0"/>
                      <w:numId w:val="0"/>
                    </w:numPr>
                    <w:spacing w:line="400" w:lineRule="exact"/>
                    <w:jc w:val="left"/>
                    <w:textAlignment w:val="auto"/>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服务内容</w:t>
                  </w:r>
                </w:p>
              </w:tc>
              <w:tc>
                <w:tcPr>
                  <w:tcW w:w="840" w:type="dxa"/>
                  <w:tcBorders>
                    <w:top w:val="single" w:color="000000" w:sz="4" w:space="0"/>
                    <w:left w:val="single" w:color="000000" w:sz="4" w:space="0"/>
                    <w:bottom w:val="single" w:color="000000" w:sz="4" w:space="0"/>
                    <w:right w:val="single" w:color="000000" w:sz="4" w:space="0"/>
                  </w:tcBorders>
                  <w:noWrap/>
                  <w:vAlign w:val="center"/>
                </w:tcPr>
                <w:p w14:paraId="7ADAAE2F">
                  <w:pPr>
                    <w:widowControl/>
                    <w:numPr>
                      <w:ilvl w:val="0"/>
                      <w:numId w:val="0"/>
                    </w:numPr>
                    <w:spacing w:line="400" w:lineRule="exact"/>
                    <w:jc w:val="left"/>
                    <w:textAlignment w:val="auto"/>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数量</w:t>
                  </w:r>
                </w:p>
              </w:tc>
              <w:tc>
                <w:tcPr>
                  <w:tcW w:w="720" w:type="dxa"/>
                  <w:tcBorders>
                    <w:top w:val="single" w:color="000000" w:sz="4" w:space="0"/>
                    <w:left w:val="single" w:color="000000" w:sz="4" w:space="0"/>
                    <w:bottom w:val="single" w:color="000000" w:sz="4" w:space="0"/>
                    <w:right w:val="single" w:color="000000" w:sz="4" w:space="0"/>
                  </w:tcBorders>
                  <w:noWrap/>
                  <w:vAlign w:val="center"/>
                </w:tcPr>
                <w:p w14:paraId="3E17B887">
                  <w:pPr>
                    <w:widowControl/>
                    <w:numPr>
                      <w:ilvl w:val="0"/>
                      <w:numId w:val="0"/>
                    </w:numPr>
                    <w:spacing w:line="400" w:lineRule="exact"/>
                    <w:jc w:val="left"/>
                    <w:textAlignment w:val="auto"/>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单位</w:t>
                  </w:r>
                </w:p>
              </w:tc>
              <w:tc>
                <w:tcPr>
                  <w:tcW w:w="2634" w:type="dxa"/>
                  <w:tcBorders>
                    <w:top w:val="single" w:color="000000" w:sz="4" w:space="0"/>
                    <w:left w:val="single" w:color="000000" w:sz="4" w:space="0"/>
                    <w:bottom w:val="single" w:color="000000" w:sz="4" w:space="0"/>
                    <w:right w:val="single" w:color="000000" w:sz="4" w:space="0"/>
                  </w:tcBorders>
                  <w:noWrap/>
                  <w:vAlign w:val="center"/>
                </w:tcPr>
                <w:p w14:paraId="684C81C4">
                  <w:pPr>
                    <w:widowControl/>
                    <w:numPr>
                      <w:ilvl w:val="0"/>
                      <w:numId w:val="0"/>
                    </w:numPr>
                    <w:spacing w:line="400" w:lineRule="exact"/>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单价最高限价</w:t>
                  </w:r>
                </w:p>
              </w:tc>
            </w:tr>
            <w:tr w14:paraId="2048C3A6">
              <w:tblPrEx>
                <w:tblCellMar>
                  <w:top w:w="0" w:type="dxa"/>
                  <w:left w:w="108" w:type="dxa"/>
                  <w:bottom w:w="0" w:type="dxa"/>
                  <w:right w:w="108" w:type="dxa"/>
                </w:tblCellMar>
              </w:tblPrEx>
              <w:trPr>
                <w:trHeight w:val="23" w:hRule="atLeast"/>
                <w:jc w:val="center"/>
              </w:trPr>
              <w:tc>
                <w:tcPr>
                  <w:tcW w:w="710" w:type="dxa"/>
                  <w:tcBorders>
                    <w:top w:val="single" w:color="000000" w:sz="4" w:space="0"/>
                    <w:left w:val="single" w:color="000000" w:sz="4" w:space="0"/>
                    <w:bottom w:val="single" w:color="000000" w:sz="4" w:space="0"/>
                    <w:right w:val="single" w:color="000000" w:sz="4" w:space="0"/>
                  </w:tcBorders>
                  <w:noWrap/>
                  <w:vAlign w:val="center"/>
                </w:tcPr>
                <w:p w14:paraId="6641E971">
                  <w:pPr>
                    <w:widowControl/>
                    <w:numPr>
                      <w:ilvl w:val="0"/>
                      <w:numId w:val="0"/>
                    </w:numPr>
                    <w:spacing w:line="400" w:lineRule="exact"/>
                    <w:jc w:val="left"/>
                    <w:textAlignment w:val="auto"/>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w:t>
                  </w:r>
                </w:p>
              </w:tc>
              <w:tc>
                <w:tcPr>
                  <w:tcW w:w="1470" w:type="dxa"/>
                  <w:tcBorders>
                    <w:top w:val="single" w:color="000000" w:sz="4" w:space="0"/>
                    <w:left w:val="single" w:color="000000" w:sz="4" w:space="0"/>
                    <w:bottom w:val="single" w:color="000000" w:sz="4" w:space="0"/>
                    <w:right w:val="single" w:color="000000" w:sz="4" w:space="0"/>
                  </w:tcBorders>
                  <w:noWrap/>
                  <w:vAlign w:val="center"/>
                </w:tcPr>
                <w:p w14:paraId="53028ED7">
                  <w:pPr>
                    <w:widowControl/>
                    <w:numPr>
                      <w:ilvl w:val="0"/>
                      <w:numId w:val="0"/>
                    </w:numPr>
                    <w:spacing w:line="400" w:lineRule="exact"/>
                    <w:jc w:val="left"/>
                    <w:textAlignment w:val="auto"/>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val="en-US" w:eastAsia="zh-CN" w:bidi="ar"/>
                    </w:rPr>
                    <w:t>赤眼蜂卵球</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3F9F2">
                  <w:pPr>
                    <w:widowControl/>
                    <w:numPr>
                      <w:ilvl w:val="0"/>
                      <w:numId w:val="0"/>
                    </w:numPr>
                    <w:spacing w:line="400" w:lineRule="exact"/>
                    <w:ind w:left="0" w:leftChars="0" w:firstLine="0" w:firstLineChars="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Cs w:val="21"/>
                      <w:highlight w:val="none"/>
                      <w:lang w:bidi="ar"/>
                    </w:rPr>
                    <w:t>65000</w:t>
                  </w:r>
                </w:p>
              </w:tc>
              <w:tc>
                <w:tcPr>
                  <w:tcW w:w="720" w:type="dxa"/>
                  <w:tcBorders>
                    <w:top w:val="single" w:color="000000" w:sz="4" w:space="0"/>
                    <w:left w:val="single" w:color="000000" w:sz="4" w:space="0"/>
                    <w:bottom w:val="single" w:color="000000" w:sz="4" w:space="0"/>
                    <w:right w:val="single" w:color="000000" w:sz="4" w:space="0"/>
                  </w:tcBorders>
                  <w:noWrap/>
                  <w:vAlign w:val="center"/>
                </w:tcPr>
                <w:p w14:paraId="357462B2">
                  <w:pPr>
                    <w:widowControl/>
                    <w:numPr>
                      <w:ilvl w:val="0"/>
                      <w:numId w:val="0"/>
                    </w:numPr>
                    <w:spacing w:line="400" w:lineRule="exact"/>
                    <w:jc w:val="left"/>
                    <w:rPr>
                      <w:rFonts w:hint="eastAsia" w:ascii="宋体" w:hAnsi="宋体" w:eastAsia="宋体" w:cs="宋体"/>
                      <w:color w:val="auto"/>
                      <w:kern w:val="0"/>
                      <w:szCs w:val="21"/>
                      <w:highlight w:val="none"/>
                      <w:lang w:val="en-US" w:eastAsia="zh-CN" w:bidi="ar"/>
                    </w:rPr>
                  </w:pPr>
                  <w:r>
                    <w:rPr>
                      <w:rFonts w:hint="eastAsia" w:ascii="宋体" w:hAnsi="宋体" w:eastAsia="宋体" w:cs="宋体"/>
                      <w:color w:val="auto"/>
                      <w:kern w:val="0"/>
                      <w:szCs w:val="21"/>
                      <w:highlight w:val="none"/>
                      <w:lang w:val="en-US" w:eastAsia="zh-CN" w:bidi="ar"/>
                    </w:rPr>
                    <w:t>个</w:t>
                  </w:r>
                </w:p>
              </w:tc>
              <w:tc>
                <w:tcPr>
                  <w:tcW w:w="2634" w:type="dxa"/>
                  <w:tcBorders>
                    <w:top w:val="single" w:color="000000" w:sz="4" w:space="0"/>
                    <w:left w:val="single" w:color="000000" w:sz="4" w:space="0"/>
                    <w:bottom w:val="single" w:color="000000" w:sz="4" w:space="0"/>
                    <w:right w:val="single" w:color="000000" w:sz="4" w:space="0"/>
                  </w:tcBorders>
                  <w:noWrap w:val="0"/>
                  <w:vAlign w:val="center"/>
                </w:tcPr>
                <w:p w14:paraId="4EEB4A69">
                  <w:pPr>
                    <w:widowControl/>
                    <w:numPr>
                      <w:ilvl w:val="0"/>
                      <w:numId w:val="0"/>
                    </w:numPr>
                    <w:spacing w:line="400" w:lineRule="exact"/>
                    <w:jc w:val="left"/>
                    <w:rPr>
                      <w:rFonts w:hint="eastAsia" w:ascii="宋体" w:hAnsi="宋体" w:eastAsia="宋体" w:cs="宋体"/>
                      <w:color w:val="auto"/>
                      <w:kern w:val="0"/>
                      <w:szCs w:val="21"/>
                      <w:highlight w:val="none"/>
                      <w:lang w:val="en-US" w:eastAsia="zh-CN" w:bidi="ar"/>
                    </w:rPr>
                  </w:pPr>
                  <w:r>
                    <w:rPr>
                      <w:rFonts w:hint="eastAsia" w:ascii="宋体" w:hAnsi="宋体" w:eastAsia="宋体" w:cs="宋体"/>
                      <w:color w:val="auto"/>
                      <w:kern w:val="0"/>
                      <w:szCs w:val="21"/>
                      <w:highlight w:val="none"/>
                      <w:lang w:val="en-US" w:eastAsia="zh-CN" w:bidi="ar"/>
                    </w:rPr>
                    <w:t>每个不高于11.00元</w:t>
                  </w:r>
                </w:p>
              </w:tc>
            </w:tr>
            <w:tr w14:paraId="5C52FCBE">
              <w:tblPrEx>
                <w:tblCellMar>
                  <w:top w:w="0" w:type="dxa"/>
                  <w:left w:w="108" w:type="dxa"/>
                  <w:bottom w:w="0" w:type="dxa"/>
                  <w:right w:w="108" w:type="dxa"/>
                </w:tblCellMar>
              </w:tblPrEx>
              <w:trPr>
                <w:trHeight w:val="23" w:hRule="atLeast"/>
                <w:jc w:val="center"/>
              </w:trPr>
              <w:tc>
                <w:tcPr>
                  <w:tcW w:w="710" w:type="dxa"/>
                  <w:tcBorders>
                    <w:top w:val="single" w:color="000000" w:sz="4" w:space="0"/>
                    <w:left w:val="single" w:color="000000" w:sz="4" w:space="0"/>
                    <w:bottom w:val="single" w:color="000000" w:sz="4" w:space="0"/>
                    <w:right w:val="single" w:color="000000" w:sz="4" w:space="0"/>
                  </w:tcBorders>
                  <w:noWrap/>
                  <w:vAlign w:val="center"/>
                </w:tcPr>
                <w:p w14:paraId="73FEBFDD">
                  <w:pPr>
                    <w:widowControl/>
                    <w:numPr>
                      <w:ilvl w:val="0"/>
                      <w:numId w:val="0"/>
                    </w:numPr>
                    <w:spacing w:line="400" w:lineRule="exact"/>
                    <w:jc w:val="left"/>
                    <w:textAlignment w:val="auto"/>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2</w:t>
                  </w:r>
                </w:p>
              </w:tc>
              <w:tc>
                <w:tcPr>
                  <w:tcW w:w="1470" w:type="dxa"/>
                  <w:tcBorders>
                    <w:top w:val="single" w:color="000000" w:sz="4" w:space="0"/>
                    <w:left w:val="single" w:color="000000" w:sz="4" w:space="0"/>
                    <w:bottom w:val="single" w:color="000000" w:sz="4" w:space="0"/>
                    <w:right w:val="single" w:color="000000" w:sz="4" w:space="0"/>
                  </w:tcBorders>
                  <w:noWrap/>
                  <w:vAlign w:val="center"/>
                </w:tcPr>
                <w:p w14:paraId="7EB5EE4F">
                  <w:pPr>
                    <w:widowControl/>
                    <w:numPr>
                      <w:ilvl w:val="0"/>
                      <w:numId w:val="0"/>
                    </w:numPr>
                    <w:spacing w:line="400" w:lineRule="exact"/>
                    <w:jc w:val="left"/>
                    <w:textAlignment w:val="auto"/>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无人机喷药</w:t>
                  </w:r>
                </w:p>
              </w:tc>
              <w:tc>
                <w:tcPr>
                  <w:tcW w:w="840" w:type="dxa"/>
                  <w:tcBorders>
                    <w:top w:val="single" w:color="000000" w:sz="4" w:space="0"/>
                    <w:left w:val="single" w:color="000000" w:sz="4" w:space="0"/>
                    <w:bottom w:val="single" w:color="000000" w:sz="4" w:space="0"/>
                    <w:right w:val="single" w:color="000000" w:sz="4" w:space="0"/>
                  </w:tcBorders>
                  <w:noWrap/>
                  <w:vAlign w:val="center"/>
                </w:tcPr>
                <w:p w14:paraId="3D8F83E2">
                  <w:pPr>
                    <w:widowControl/>
                    <w:numPr>
                      <w:ilvl w:val="0"/>
                      <w:numId w:val="0"/>
                    </w:numPr>
                    <w:spacing w:line="400" w:lineRule="exact"/>
                    <w:jc w:val="left"/>
                    <w:rPr>
                      <w:rFonts w:hint="eastAsia" w:ascii="宋体" w:hAnsi="宋体" w:eastAsia="宋体" w:cs="宋体"/>
                      <w:color w:val="auto"/>
                      <w:kern w:val="0"/>
                      <w:szCs w:val="21"/>
                      <w:highlight w:val="none"/>
                      <w:lang w:val="en-US" w:eastAsia="zh-CN" w:bidi="ar"/>
                    </w:rPr>
                  </w:pPr>
                  <w:r>
                    <w:rPr>
                      <w:rFonts w:hint="eastAsia" w:ascii="宋体" w:hAnsi="宋体" w:eastAsia="宋体" w:cs="宋体"/>
                      <w:color w:val="auto"/>
                      <w:kern w:val="0"/>
                      <w:szCs w:val="21"/>
                      <w:highlight w:val="none"/>
                      <w:lang w:bidi="ar"/>
                    </w:rPr>
                    <w:t>1950</w:t>
                  </w:r>
                </w:p>
              </w:tc>
              <w:tc>
                <w:tcPr>
                  <w:tcW w:w="720" w:type="dxa"/>
                  <w:tcBorders>
                    <w:top w:val="single" w:color="000000" w:sz="4" w:space="0"/>
                    <w:left w:val="single" w:color="000000" w:sz="4" w:space="0"/>
                    <w:bottom w:val="single" w:color="000000" w:sz="4" w:space="0"/>
                    <w:right w:val="single" w:color="000000" w:sz="4" w:space="0"/>
                  </w:tcBorders>
                  <w:noWrap/>
                  <w:vAlign w:val="center"/>
                </w:tcPr>
                <w:p w14:paraId="4F82EF80">
                  <w:pPr>
                    <w:widowControl/>
                    <w:numPr>
                      <w:ilvl w:val="0"/>
                      <w:numId w:val="0"/>
                    </w:numPr>
                    <w:spacing w:line="400" w:lineRule="exact"/>
                    <w:jc w:val="left"/>
                    <w:rPr>
                      <w:rFonts w:hint="eastAsia" w:ascii="宋体" w:hAnsi="宋体" w:eastAsia="宋体" w:cs="宋体"/>
                      <w:color w:val="auto"/>
                      <w:kern w:val="0"/>
                      <w:szCs w:val="21"/>
                      <w:highlight w:val="none"/>
                      <w:lang w:val="en-US" w:eastAsia="zh-CN" w:bidi="ar"/>
                    </w:rPr>
                  </w:pPr>
                  <w:r>
                    <w:rPr>
                      <w:rFonts w:hint="eastAsia" w:ascii="宋体" w:hAnsi="宋体" w:eastAsia="宋体" w:cs="宋体"/>
                      <w:color w:val="auto"/>
                      <w:kern w:val="0"/>
                      <w:szCs w:val="21"/>
                      <w:highlight w:val="none"/>
                      <w:lang w:val="en-US" w:eastAsia="zh-CN" w:bidi="ar"/>
                    </w:rPr>
                    <w:t>亩</w:t>
                  </w:r>
                </w:p>
              </w:tc>
              <w:tc>
                <w:tcPr>
                  <w:tcW w:w="2634" w:type="dxa"/>
                  <w:tcBorders>
                    <w:top w:val="single" w:color="000000" w:sz="4" w:space="0"/>
                    <w:left w:val="single" w:color="000000" w:sz="4" w:space="0"/>
                    <w:bottom w:val="single" w:color="000000" w:sz="4" w:space="0"/>
                    <w:right w:val="single" w:color="000000" w:sz="4" w:space="0"/>
                  </w:tcBorders>
                  <w:noWrap w:val="0"/>
                  <w:vAlign w:val="center"/>
                </w:tcPr>
                <w:p w14:paraId="3B82FCBF">
                  <w:pPr>
                    <w:widowControl/>
                    <w:numPr>
                      <w:ilvl w:val="0"/>
                      <w:numId w:val="0"/>
                    </w:numPr>
                    <w:spacing w:line="400" w:lineRule="exact"/>
                    <w:jc w:val="left"/>
                    <w:rPr>
                      <w:rFonts w:hint="eastAsia" w:ascii="宋体" w:hAnsi="宋体" w:eastAsia="宋体" w:cs="宋体"/>
                      <w:color w:val="auto"/>
                      <w:kern w:val="0"/>
                      <w:szCs w:val="21"/>
                      <w:highlight w:val="none"/>
                      <w:lang w:val="en-US" w:eastAsia="zh-CN" w:bidi="ar"/>
                    </w:rPr>
                  </w:pPr>
                  <w:r>
                    <w:rPr>
                      <w:rFonts w:hint="eastAsia" w:ascii="宋体" w:hAnsi="宋体" w:eastAsia="宋体" w:cs="宋体"/>
                      <w:color w:val="auto"/>
                      <w:kern w:val="0"/>
                      <w:szCs w:val="21"/>
                      <w:highlight w:val="none"/>
                      <w:lang w:val="en-US" w:eastAsia="zh-CN" w:bidi="ar"/>
                    </w:rPr>
                    <w:t>每亩不高于50.00元</w:t>
                  </w:r>
                </w:p>
              </w:tc>
            </w:tr>
          </w:tbl>
          <w:p w14:paraId="029A90D9">
            <w:pPr>
              <w:numPr>
                <w:ilvl w:val="0"/>
                <w:numId w:val="23"/>
              </w:numPr>
              <w:spacing w:line="400" w:lineRule="exact"/>
              <w:rPr>
                <w:rFonts w:hint="eastAsia" w:ascii="宋体" w:hAnsi="宋体" w:eastAsia="宋体" w:cs="宋体"/>
                <w:color w:val="auto"/>
                <w:szCs w:val="21"/>
                <w:highlight w:val="none"/>
              </w:rPr>
            </w:pPr>
            <w:r>
              <w:rPr>
                <w:rFonts w:hint="eastAsia" w:ascii="宋体" w:hAnsi="宋体" w:eastAsia="宋体" w:cs="宋体"/>
                <w:i w:val="0"/>
                <w:iCs w:val="0"/>
                <w:color w:val="auto"/>
                <w:sz w:val="21"/>
                <w:szCs w:val="21"/>
                <w:highlight w:val="none"/>
                <w:u w:val="none"/>
                <w:lang w:val="en-US" w:eastAsia="zh-CN"/>
              </w:rPr>
              <w:t>包含但不限于材料费、劳务费用、食宿费用、交通费用、通讯费用、保险、税费、办公费用、专业问题咨询费用、成果论证、评审费、成果公开展示费用、后续技术支持及合同所示的所有责任义务和各种风险、招标代理服务费、验收费用等合同履</w:t>
            </w:r>
            <w:r>
              <w:rPr>
                <w:rFonts w:hint="eastAsia" w:ascii="宋体" w:hAnsi="宋体" w:eastAsia="宋体" w:cs="宋体"/>
                <w:i w:val="0"/>
                <w:iCs w:val="0"/>
                <w:color w:val="auto"/>
                <w:sz w:val="21"/>
                <w:szCs w:val="21"/>
                <w:highlight w:val="none"/>
                <w:u w:val="none"/>
                <w:lang w:val="en-US" w:eastAsia="zh-CN"/>
              </w:rPr>
              <w:t>约过程可预见或不可预见的一切成本、费用。在合同实施时，采购人将不予支付中标人</w:t>
            </w:r>
            <w:r>
              <w:rPr>
                <w:rFonts w:hint="eastAsia" w:ascii="宋体" w:hAnsi="宋体" w:eastAsia="宋体" w:cs="宋体"/>
                <w:color w:val="auto"/>
                <w:szCs w:val="21"/>
                <w:highlight w:val="none"/>
              </w:rPr>
              <w:t>合同以外的其他费用</w:t>
            </w:r>
            <w:r>
              <w:rPr>
                <w:rFonts w:hint="eastAsia" w:ascii="宋体" w:hAnsi="宋体" w:eastAsia="宋体" w:cs="宋体"/>
                <w:i w:val="0"/>
                <w:iCs w:val="0"/>
                <w:color w:val="auto"/>
                <w:sz w:val="21"/>
                <w:szCs w:val="21"/>
                <w:highlight w:val="none"/>
                <w:u w:val="none"/>
                <w:lang w:val="en-US" w:eastAsia="zh-CN"/>
              </w:rPr>
              <w:t>，并认为此项目的费用已包括在总报价中。</w:t>
            </w:r>
            <w:r>
              <w:rPr>
                <w:rFonts w:hint="eastAsia" w:ascii="宋体" w:hAnsi="宋体" w:eastAsia="宋体" w:cs="宋体"/>
                <w:color w:val="auto"/>
                <w:szCs w:val="21"/>
                <w:highlight w:val="none"/>
                <w:lang w:val="en-US" w:eastAsia="zh-CN"/>
              </w:rPr>
              <w:t>中标人</w:t>
            </w:r>
            <w:r>
              <w:rPr>
                <w:rFonts w:hint="eastAsia" w:ascii="宋体" w:hAnsi="宋体" w:eastAsia="宋体" w:cs="宋体"/>
                <w:color w:val="auto"/>
                <w:szCs w:val="21"/>
                <w:highlight w:val="none"/>
              </w:rPr>
              <w:t>负责实施人员人身、设备安全，验收前，设备丢失自行负责。除此之外，采购人无需再另外支付与项目有关的任何费用。</w:t>
            </w:r>
          </w:p>
          <w:p w14:paraId="4B81486A">
            <w:pPr>
              <w:numPr>
                <w:ilvl w:val="0"/>
                <w:numId w:val="23"/>
              </w:numPr>
              <w:spacing w:line="400" w:lineRule="exact"/>
              <w:rPr>
                <w:rFonts w:hint="eastAsia" w:ascii="宋体" w:hAnsi="宋体" w:eastAsia="宋体" w:cs="宋体"/>
                <w:color w:val="auto"/>
                <w:szCs w:val="21"/>
                <w:highlight w:val="none"/>
              </w:rPr>
            </w:pPr>
            <w:r>
              <w:rPr>
                <w:rFonts w:hint="eastAsia" w:ascii="宋体" w:hAnsi="宋体" w:eastAsia="宋体" w:cs="宋体"/>
                <w:b/>
                <w:bCs/>
                <w:color w:val="auto"/>
                <w:szCs w:val="21"/>
                <w:highlight w:val="none"/>
                <w:lang w:val="en-US" w:eastAsia="zh-CN"/>
              </w:rPr>
              <w:t>本标项采用单价进行报价，单价超过各单价最高限价的投标无效；以各单项报价的合计作为价格分计算依据。</w:t>
            </w:r>
          </w:p>
        </w:tc>
      </w:tr>
      <w:tr w14:paraId="39E000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2322" w:type="dxa"/>
            <w:gridSpan w:val="3"/>
            <w:tcBorders>
              <w:top w:val="single" w:color="auto" w:sz="4" w:space="0"/>
              <w:left w:val="single" w:color="auto" w:sz="4" w:space="0"/>
              <w:bottom w:val="single" w:color="auto" w:sz="4" w:space="0"/>
              <w:right w:val="single" w:color="auto" w:sz="4" w:space="0"/>
            </w:tcBorders>
            <w:vAlign w:val="center"/>
          </w:tcPr>
          <w:p w14:paraId="20EF1862">
            <w:pPr>
              <w:numPr>
                <w:ilvl w:val="0"/>
                <w:numId w:val="0"/>
              </w:numPr>
              <w:spacing w:line="400" w:lineRule="exact"/>
              <w:jc w:val="center"/>
              <w:rPr>
                <w:rFonts w:hint="eastAsia" w:ascii="宋体" w:hAnsi="宋体" w:eastAsia="宋体" w:cs="宋体"/>
                <w:color w:val="auto"/>
                <w:szCs w:val="21"/>
                <w:highlight w:val="none"/>
              </w:rPr>
            </w:pPr>
            <w:r>
              <w:rPr>
                <w:rFonts w:hint="eastAsia" w:ascii="宋体" w:hAnsi="宋体" w:eastAsia="宋体" w:cs="宋体"/>
                <w:i w:val="0"/>
                <w:iCs w:val="0"/>
                <w:color w:val="auto"/>
                <w:sz w:val="21"/>
                <w:szCs w:val="21"/>
                <w:highlight w:val="none"/>
                <w:u w:val="none"/>
                <w:lang w:val="en-US" w:eastAsia="zh-CN"/>
              </w:rPr>
              <w:t>▲服务要求</w:t>
            </w:r>
          </w:p>
        </w:tc>
        <w:tc>
          <w:tcPr>
            <w:tcW w:w="7342" w:type="dxa"/>
            <w:gridSpan w:val="3"/>
            <w:tcBorders>
              <w:top w:val="single" w:color="auto" w:sz="4" w:space="0"/>
              <w:left w:val="single" w:color="auto" w:sz="4" w:space="0"/>
              <w:bottom w:val="single" w:color="auto" w:sz="4" w:space="0"/>
              <w:right w:val="single" w:color="auto" w:sz="4" w:space="0"/>
            </w:tcBorders>
          </w:tcPr>
          <w:p w14:paraId="51A9DCB6">
            <w:pPr>
              <w:numPr>
                <w:ilvl w:val="0"/>
                <w:numId w:val="0"/>
              </w:numPr>
              <w:spacing w:line="400" w:lineRule="exact"/>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1.中标供应商须严格遵守国家有关法律、法规的规定和广西壮族自治区山口红树林生态国家级自然保护区管理中心有关标准及纪律要求，确保报告结果真实有效。</w:t>
            </w:r>
          </w:p>
          <w:p w14:paraId="64BA14BB">
            <w:pPr>
              <w:numPr>
                <w:ilvl w:val="0"/>
                <w:numId w:val="0"/>
              </w:numPr>
              <w:spacing w:line="400" w:lineRule="exact"/>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2.采购人有权对中标供应商的服务内容质量进行监督、检查和考核。</w:t>
            </w:r>
          </w:p>
          <w:p w14:paraId="459E89F4">
            <w:pPr>
              <w:numPr>
                <w:ilvl w:val="0"/>
                <w:numId w:val="0"/>
              </w:numPr>
              <w:spacing w:line="400" w:lineRule="exact"/>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3.中标供应商须配合完成采购人安排的临时性和应急性任务。</w:t>
            </w:r>
          </w:p>
          <w:p w14:paraId="4CB2B6E3">
            <w:pPr>
              <w:numPr>
                <w:ilvl w:val="0"/>
                <w:numId w:val="0"/>
              </w:numPr>
              <w:spacing w:line="400" w:lineRule="exact"/>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4.提供7*24小时电话热线支持和传真服务。服务期内出现任何问题，中标供应商须在1小时内电话响应，5小时内到达指定地点协助采购人处理并解决问题。</w:t>
            </w:r>
          </w:p>
          <w:p w14:paraId="2FCF2F88">
            <w:pPr>
              <w:numPr>
                <w:ilvl w:val="0"/>
                <w:numId w:val="0"/>
              </w:numPr>
              <w:spacing w:line="400" w:lineRule="exact"/>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color w:val="auto"/>
                <w:szCs w:val="21"/>
                <w:highlight w:val="none"/>
                <w:u w:val="none"/>
              </w:rPr>
              <w:t>5</w:t>
            </w:r>
            <w:r>
              <w:rPr>
                <w:rFonts w:hint="eastAsia" w:ascii="宋体" w:hAnsi="宋体" w:eastAsia="宋体" w:cs="宋体"/>
                <w:color w:val="auto"/>
                <w:sz w:val="21"/>
                <w:szCs w:val="21"/>
                <w:highlight w:val="none"/>
                <w:u w:val="none"/>
              </w:rPr>
              <w:t>.</w:t>
            </w:r>
            <w:r>
              <w:rPr>
                <w:rFonts w:hint="eastAsia" w:ascii="宋体" w:hAnsi="宋体" w:eastAsia="宋体" w:cs="宋体"/>
                <w:i w:val="0"/>
                <w:iCs w:val="0"/>
                <w:color w:val="auto"/>
                <w:sz w:val="21"/>
                <w:szCs w:val="21"/>
                <w:highlight w:val="none"/>
                <w:u w:val="none"/>
                <w:lang w:val="en-US" w:eastAsia="zh-CN"/>
              </w:rPr>
              <w:t>中标</w:t>
            </w:r>
            <w:r>
              <w:rPr>
                <w:rFonts w:hint="eastAsia" w:ascii="宋体" w:hAnsi="宋体" w:eastAsia="宋体" w:cs="宋体"/>
                <w:color w:val="auto"/>
                <w:sz w:val="21"/>
                <w:szCs w:val="21"/>
                <w:highlight w:val="none"/>
                <w:u w:val="none"/>
              </w:rPr>
              <w:t>供应商须安排科学合理的工作方法，提高工作质量。拟投入本项目人员应具备相关专业知识，项目总负责人不少于1人且具有环境工程或生物学或生态学或林业工程相关专业高级工程师职称，项目技术人员不少于5人，技术负责人具有相关领域副高职称人员担任。</w:t>
            </w:r>
          </w:p>
          <w:p w14:paraId="7274D5E5">
            <w:pPr>
              <w:numPr>
                <w:ilvl w:val="0"/>
                <w:numId w:val="0"/>
              </w:numPr>
              <w:spacing w:line="400" w:lineRule="exact"/>
              <w:rPr>
                <w:rFonts w:hint="eastAsia" w:ascii="宋体" w:hAnsi="宋体" w:eastAsia="宋体" w:cs="宋体"/>
                <w:color w:val="auto"/>
                <w:szCs w:val="21"/>
                <w:highlight w:val="none"/>
              </w:rPr>
            </w:pPr>
            <w:r>
              <w:rPr>
                <w:rFonts w:hint="eastAsia" w:ascii="宋体" w:hAnsi="宋体" w:eastAsia="宋体" w:cs="宋体"/>
                <w:i w:val="0"/>
                <w:iCs w:val="0"/>
                <w:color w:val="auto"/>
                <w:sz w:val="21"/>
                <w:szCs w:val="21"/>
                <w:highlight w:val="none"/>
                <w:u w:val="none"/>
                <w:lang w:val="en-US" w:eastAsia="zh-CN"/>
              </w:rPr>
              <w:t>6.在合同履行期限内，采购人如有关于本标项服务内容产生的需要解决的任何问题，中标供应商须无条件对负责处理解决，产生的相关费用含在报价中。</w:t>
            </w:r>
          </w:p>
        </w:tc>
      </w:tr>
      <w:tr w14:paraId="5B5606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2322" w:type="dxa"/>
            <w:gridSpan w:val="3"/>
            <w:tcBorders>
              <w:top w:val="single" w:color="auto" w:sz="4" w:space="0"/>
              <w:left w:val="single" w:color="auto" w:sz="4" w:space="0"/>
              <w:bottom w:val="single" w:color="auto" w:sz="4" w:space="0"/>
              <w:right w:val="single" w:color="auto" w:sz="4" w:space="0"/>
            </w:tcBorders>
          </w:tcPr>
          <w:p w14:paraId="3E6CF8E7">
            <w:pPr>
              <w:spacing w:line="360" w:lineRule="auto"/>
              <w:jc w:val="center"/>
              <w:rPr>
                <w:rFonts w:hint="eastAsia" w:ascii="宋体" w:hAnsi="宋体" w:eastAsia="宋体" w:cs="宋体"/>
                <w:color w:val="auto"/>
                <w:szCs w:val="21"/>
                <w:highlight w:val="none"/>
              </w:rPr>
            </w:pPr>
          </w:p>
          <w:p w14:paraId="259C67D8">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▲验收要求</w:t>
            </w:r>
          </w:p>
        </w:tc>
        <w:tc>
          <w:tcPr>
            <w:tcW w:w="7342" w:type="dxa"/>
            <w:gridSpan w:val="3"/>
            <w:tcBorders>
              <w:top w:val="single" w:color="auto" w:sz="4" w:space="0"/>
              <w:left w:val="single" w:color="auto" w:sz="4" w:space="0"/>
              <w:bottom w:val="single" w:color="auto" w:sz="4" w:space="0"/>
              <w:right w:val="single" w:color="auto" w:sz="4" w:space="0"/>
            </w:tcBorders>
          </w:tcPr>
          <w:p w14:paraId="1ED37670">
            <w:pPr>
              <w:tabs>
                <w:tab w:val="left" w:pos="180"/>
                <w:tab w:val="left" w:pos="1620"/>
              </w:tabs>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1.项目验收：在项目结束后进行。</w:t>
            </w:r>
          </w:p>
          <w:p w14:paraId="30753DE0">
            <w:pPr>
              <w:tabs>
                <w:tab w:val="left" w:pos="180"/>
                <w:tab w:val="left" w:pos="1620"/>
              </w:tabs>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2.验收标准：按国家相关标准、行业标准、地方标准或者其他标准、规范，及采购需求规定的要求。项目验收时由采购</w:t>
            </w:r>
            <w:r>
              <w:rPr>
                <w:rFonts w:hint="eastAsia" w:ascii="宋体" w:hAnsi="宋体" w:eastAsia="宋体" w:cs="宋体"/>
                <w:color w:val="auto"/>
                <w:szCs w:val="21"/>
                <w:highlight w:val="none"/>
                <w:lang w:val="en-US" w:eastAsia="zh-CN"/>
              </w:rPr>
              <w:t>人</w:t>
            </w:r>
            <w:r>
              <w:rPr>
                <w:rFonts w:hint="eastAsia" w:ascii="宋体" w:hAnsi="宋体" w:eastAsia="宋体" w:cs="宋体"/>
                <w:color w:val="auto"/>
                <w:szCs w:val="21"/>
                <w:highlight w:val="none"/>
              </w:rPr>
              <w:t>或采购</w:t>
            </w:r>
            <w:r>
              <w:rPr>
                <w:rFonts w:hint="eastAsia" w:ascii="宋体" w:hAnsi="宋体" w:eastAsia="宋体" w:cs="宋体"/>
                <w:color w:val="auto"/>
                <w:szCs w:val="21"/>
                <w:highlight w:val="none"/>
                <w:lang w:val="en-US" w:eastAsia="zh-CN"/>
              </w:rPr>
              <w:t>人</w:t>
            </w:r>
            <w:r>
              <w:rPr>
                <w:rFonts w:hint="eastAsia" w:ascii="宋体" w:hAnsi="宋体" w:eastAsia="宋体" w:cs="宋体"/>
                <w:color w:val="auto"/>
                <w:szCs w:val="21"/>
                <w:highlight w:val="none"/>
              </w:rPr>
              <w:t>委托的第三方验收小组对照</w:t>
            </w:r>
            <w:r>
              <w:rPr>
                <w:rFonts w:hint="eastAsia" w:ascii="宋体" w:hAnsi="宋体" w:eastAsia="宋体" w:cs="宋体"/>
                <w:color w:val="auto"/>
                <w:szCs w:val="21"/>
                <w:highlight w:val="none"/>
                <w:lang w:val="en-US" w:eastAsia="zh-CN"/>
              </w:rPr>
              <w:t>采购</w:t>
            </w:r>
            <w:r>
              <w:rPr>
                <w:rFonts w:hint="eastAsia" w:ascii="宋体" w:hAnsi="宋体" w:eastAsia="宋体" w:cs="宋体"/>
                <w:color w:val="auto"/>
                <w:szCs w:val="21"/>
                <w:highlight w:val="none"/>
              </w:rPr>
              <w:t>文件</w:t>
            </w:r>
            <w:r>
              <w:rPr>
                <w:rFonts w:hint="eastAsia" w:ascii="宋体" w:hAnsi="宋体" w:eastAsia="宋体" w:cs="宋体"/>
                <w:color w:val="auto"/>
                <w:szCs w:val="21"/>
                <w:highlight w:val="none"/>
                <w:lang w:val="en-US" w:eastAsia="zh-CN"/>
              </w:rPr>
              <w:t>要求</w:t>
            </w:r>
            <w:r>
              <w:rPr>
                <w:rFonts w:hint="eastAsia" w:ascii="宋体" w:hAnsi="宋体" w:eastAsia="宋体" w:cs="宋体"/>
                <w:color w:val="auto"/>
                <w:szCs w:val="21"/>
                <w:highlight w:val="none"/>
              </w:rPr>
              <w:t>及</w:t>
            </w:r>
            <w:r>
              <w:rPr>
                <w:rFonts w:hint="eastAsia" w:ascii="宋体" w:hAnsi="宋体" w:eastAsia="宋体" w:cs="宋体"/>
                <w:color w:val="auto"/>
                <w:szCs w:val="21"/>
                <w:highlight w:val="none"/>
                <w:lang w:val="en-US" w:eastAsia="zh-CN"/>
              </w:rPr>
              <w:t>投标</w:t>
            </w:r>
            <w:r>
              <w:rPr>
                <w:rFonts w:hint="eastAsia" w:ascii="宋体" w:hAnsi="宋体" w:eastAsia="宋体" w:cs="宋体"/>
                <w:color w:val="auto"/>
                <w:szCs w:val="21"/>
                <w:highlight w:val="none"/>
              </w:rPr>
              <w:t>文件中的</w:t>
            </w:r>
            <w:r>
              <w:rPr>
                <w:rFonts w:hint="eastAsia" w:ascii="宋体" w:hAnsi="宋体" w:eastAsia="宋体" w:cs="宋体"/>
                <w:color w:val="auto"/>
                <w:szCs w:val="21"/>
                <w:highlight w:val="none"/>
                <w:lang w:val="en-US" w:eastAsia="zh-CN"/>
              </w:rPr>
              <w:t>响应承诺</w:t>
            </w:r>
            <w:r>
              <w:rPr>
                <w:rFonts w:hint="eastAsia" w:ascii="宋体" w:hAnsi="宋体" w:eastAsia="宋体" w:cs="宋体"/>
                <w:color w:val="auto"/>
                <w:szCs w:val="21"/>
                <w:highlight w:val="none"/>
              </w:rPr>
              <w:t>进行验收</w:t>
            </w:r>
            <w:r>
              <w:rPr>
                <w:rFonts w:hint="eastAsia" w:ascii="宋体" w:hAnsi="宋体" w:eastAsia="宋体" w:cs="宋体"/>
                <w:color w:val="auto"/>
                <w:kern w:val="0"/>
                <w:szCs w:val="21"/>
                <w:highlight w:val="none"/>
              </w:rPr>
              <w:t>。</w:t>
            </w:r>
            <w:r>
              <w:rPr>
                <w:rFonts w:hint="eastAsia" w:ascii="宋体" w:hAnsi="宋体" w:eastAsia="宋体" w:cs="宋体"/>
                <w:color w:val="auto"/>
                <w:szCs w:val="21"/>
                <w:highlight w:val="none"/>
                <w:lang w:val="en-US" w:eastAsia="zh-CN"/>
              </w:rPr>
              <w:t>验收时需</w:t>
            </w:r>
            <w:r>
              <w:rPr>
                <w:rFonts w:hint="eastAsia" w:ascii="宋体" w:hAnsi="宋体" w:eastAsia="宋体" w:cs="宋体"/>
                <w:color w:val="auto"/>
                <w:szCs w:val="21"/>
                <w:highlight w:val="none"/>
              </w:rPr>
              <w:t>提交</w:t>
            </w:r>
            <w:r>
              <w:rPr>
                <w:rFonts w:hint="eastAsia" w:ascii="宋体" w:hAnsi="宋体" w:eastAsia="宋体" w:cs="宋体"/>
                <w:color w:val="auto"/>
                <w:szCs w:val="21"/>
                <w:highlight w:val="none"/>
                <w:lang w:val="en-US" w:eastAsia="zh-CN"/>
              </w:rPr>
              <w:t>的材料包括：</w:t>
            </w:r>
            <w:r>
              <w:rPr>
                <w:rFonts w:hint="eastAsia" w:ascii="宋体" w:hAnsi="宋体" w:eastAsia="宋体" w:cs="宋体"/>
                <w:color w:val="auto"/>
                <w:szCs w:val="21"/>
                <w:highlight w:val="none"/>
              </w:rPr>
              <w:t>项目实施方案、病虫害防治总结报告、防治实施范围图</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防治记录及相关影像资料</w:t>
            </w:r>
            <w:r>
              <w:rPr>
                <w:rFonts w:hint="eastAsia" w:ascii="宋体" w:hAnsi="宋体" w:eastAsia="宋体" w:cs="宋体"/>
                <w:color w:val="auto"/>
                <w:szCs w:val="21"/>
                <w:highlight w:val="none"/>
              </w:rPr>
              <w:t>。</w:t>
            </w:r>
          </w:p>
          <w:p w14:paraId="53B7A2FB">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3.验收过程中所产生的一切费用均由中标供应商承担，报价时应考虑相关费用。</w:t>
            </w:r>
          </w:p>
        </w:tc>
      </w:tr>
      <w:tr w14:paraId="516B66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8" w:hRule="atLeast"/>
        </w:trPr>
        <w:tc>
          <w:tcPr>
            <w:tcW w:w="2322" w:type="dxa"/>
            <w:gridSpan w:val="3"/>
            <w:tcBorders>
              <w:top w:val="single" w:color="auto" w:sz="4" w:space="0"/>
              <w:left w:val="single" w:color="auto" w:sz="4" w:space="0"/>
              <w:bottom w:val="single" w:color="auto" w:sz="4" w:space="0"/>
              <w:right w:val="single" w:color="auto" w:sz="4" w:space="0"/>
            </w:tcBorders>
            <w:vAlign w:val="center"/>
          </w:tcPr>
          <w:p w14:paraId="12D997AC">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▲付款方式</w:t>
            </w:r>
          </w:p>
        </w:tc>
        <w:tc>
          <w:tcPr>
            <w:tcW w:w="7342" w:type="dxa"/>
            <w:gridSpan w:val="3"/>
            <w:tcBorders>
              <w:top w:val="single" w:color="auto" w:sz="4" w:space="0"/>
              <w:left w:val="single" w:color="auto" w:sz="4" w:space="0"/>
              <w:bottom w:val="single" w:color="auto" w:sz="4" w:space="0"/>
              <w:right w:val="single" w:color="auto" w:sz="4" w:space="0"/>
            </w:tcBorders>
          </w:tcPr>
          <w:p w14:paraId="17AF1597">
            <w:pPr>
              <w:spacing w:line="360" w:lineRule="auto"/>
              <w:ind w:firstLine="0" w:firstLine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签订合同且本项目财政资金到位后10个工作日内，甲方向乙方支付合同总金额的50%预付款；乙方根据项目进度向甲方申请进度款，进度款不超过合同总金额的45%；剩余款项待项目验收合格且本项目财政资金到位后10个工作日内一次性支付完毕。</w:t>
            </w:r>
          </w:p>
        </w:tc>
      </w:tr>
      <w:tr w14:paraId="2F9876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8" w:hRule="atLeast"/>
        </w:trPr>
        <w:tc>
          <w:tcPr>
            <w:tcW w:w="2322" w:type="dxa"/>
            <w:gridSpan w:val="3"/>
            <w:tcBorders>
              <w:top w:val="single" w:color="auto" w:sz="4" w:space="0"/>
              <w:left w:val="single" w:color="auto" w:sz="4" w:space="0"/>
              <w:bottom w:val="single" w:color="auto" w:sz="4" w:space="0"/>
              <w:right w:val="single" w:color="auto" w:sz="4" w:space="0"/>
            </w:tcBorders>
            <w:vAlign w:val="center"/>
          </w:tcPr>
          <w:p w14:paraId="00D8BA09">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其他要求</w:t>
            </w:r>
          </w:p>
        </w:tc>
        <w:tc>
          <w:tcPr>
            <w:tcW w:w="7342" w:type="dxa"/>
            <w:gridSpan w:val="3"/>
            <w:tcBorders>
              <w:top w:val="single" w:color="auto" w:sz="4" w:space="0"/>
              <w:left w:val="single" w:color="auto" w:sz="4" w:space="0"/>
              <w:bottom w:val="single" w:color="auto" w:sz="4" w:space="0"/>
              <w:right w:val="single" w:color="auto" w:sz="4" w:space="0"/>
            </w:tcBorders>
          </w:tcPr>
          <w:p w14:paraId="7715EEAA">
            <w:pPr>
              <w:keepNext w:val="0"/>
              <w:keepLines w:val="0"/>
              <w:pageBreakBefore w:val="0"/>
              <w:widowControl/>
              <w:shd w:val="clear" w:color="auto" w:fill="FFFFFF"/>
              <w:kinsoku/>
              <w:wordWrap/>
              <w:overflowPunct/>
              <w:topLinePunct w:val="0"/>
              <w:bidi w:val="0"/>
              <w:adjustRightInd/>
              <w:snapToGrid/>
              <w:spacing w:after="0" w:line="380" w:lineRule="exact"/>
              <w:ind w:firstLine="420" w:firstLineChars="200"/>
              <w:textAlignment w:val="auto"/>
              <w:rPr>
                <w:rFonts w:hint="eastAsia" w:ascii="宋体" w:hAnsi="宋体" w:eastAsia="宋体" w:cs="宋体"/>
                <w:bCs w:val="0"/>
                <w:color w:val="auto"/>
                <w:sz w:val="21"/>
                <w:szCs w:val="21"/>
                <w:highlight w:val="none"/>
                <w:lang w:val="en-US" w:eastAsia="zh-CN"/>
              </w:rPr>
            </w:pPr>
            <w:r>
              <w:rPr>
                <w:rFonts w:hint="eastAsia" w:ascii="宋体" w:hAnsi="宋体" w:eastAsia="宋体" w:cs="宋体"/>
                <w:bCs w:val="0"/>
                <w:color w:val="auto"/>
                <w:sz w:val="21"/>
                <w:szCs w:val="21"/>
                <w:highlight w:val="none"/>
                <w:lang w:val="en-US" w:eastAsia="zh-CN"/>
              </w:rPr>
              <w:t>1.</w:t>
            </w:r>
            <w:r>
              <w:rPr>
                <w:rFonts w:hint="eastAsia" w:ascii="宋体" w:hAnsi="宋体" w:eastAsia="宋体" w:cs="宋体"/>
                <w:bCs w:val="0"/>
                <w:color w:val="auto"/>
                <w:sz w:val="21"/>
                <w:szCs w:val="21"/>
                <w:highlight w:val="none"/>
              </w:rPr>
              <w:t>采购人在中华人民共和国境内使用供应商提供的服务时免受第三方提出的侵犯其专利权或其它知识产权的起诉。如果第三方提出侵权指控，</w:t>
            </w:r>
            <w:r>
              <w:rPr>
                <w:rFonts w:hint="eastAsia" w:ascii="宋体" w:hAnsi="宋体" w:eastAsia="宋体" w:cs="宋体"/>
                <w:bCs w:val="0"/>
                <w:color w:val="auto"/>
                <w:sz w:val="21"/>
                <w:szCs w:val="21"/>
                <w:highlight w:val="none"/>
                <w:lang w:eastAsia="zh-CN"/>
              </w:rPr>
              <w:t>中标</w:t>
            </w:r>
            <w:r>
              <w:rPr>
                <w:rFonts w:hint="eastAsia" w:ascii="宋体" w:hAnsi="宋体" w:eastAsia="宋体" w:cs="宋体"/>
                <w:bCs w:val="0"/>
                <w:color w:val="auto"/>
                <w:sz w:val="21"/>
                <w:szCs w:val="21"/>
                <w:highlight w:val="none"/>
                <w:lang w:val="en-US" w:eastAsia="zh-CN"/>
              </w:rPr>
              <w:t>供应商</w:t>
            </w:r>
            <w:r>
              <w:rPr>
                <w:rFonts w:hint="eastAsia" w:ascii="宋体" w:hAnsi="宋体" w:eastAsia="宋体" w:cs="宋体"/>
                <w:bCs w:val="0"/>
                <w:color w:val="auto"/>
                <w:sz w:val="21"/>
                <w:szCs w:val="21"/>
                <w:highlight w:val="none"/>
              </w:rPr>
              <w:t>应承担由此而引起的一切法律责任和费用。</w:t>
            </w:r>
          </w:p>
          <w:p w14:paraId="243F0824">
            <w:pPr>
              <w:keepNext w:val="0"/>
              <w:keepLines w:val="0"/>
              <w:pageBreakBefore w:val="0"/>
              <w:widowControl/>
              <w:shd w:val="clear" w:color="auto" w:fill="FFFFFF"/>
              <w:kinsoku/>
              <w:wordWrap/>
              <w:overflowPunct/>
              <w:topLinePunct w:val="0"/>
              <w:bidi w:val="0"/>
              <w:adjustRightInd/>
              <w:snapToGrid/>
              <w:spacing w:after="0" w:line="380" w:lineRule="exact"/>
              <w:ind w:firstLine="420" w:firstLineChars="200"/>
              <w:textAlignment w:val="auto"/>
              <w:rPr>
                <w:rFonts w:hint="eastAsia" w:ascii="宋体" w:hAnsi="宋体" w:eastAsia="宋体" w:cs="宋体"/>
                <w:bCs w:val="0"/>
                <w:color w:val="auto"/>
                <w:sz w:val="21"/>
                <w:szCs w:val="21"/>
                <w:highlight w:val="none"/>
                <w:lang w:val="en-US" w:eastAsia="zh-CN"/>
              </w:rPr>
            </w:pPr>
            <w:r>
              <w:rPr>
                <w:rFonts w:hint="eastAsia" w:ascii="宋体" w:hAnsi="宋体" w:eastAsia="宋体" w:cs="宋体"/>
                <w:bCs w:val="0"/>
                <w:color w:val="auto"/>
                <w:sz w:val="21"/>
                <w:szCs w:val="21"/>
                <w:highlight w:val="none"/>
                <w:lang w:val="en-US" w:eastAsia="zh-CN"/>
              </w:rPr>
              <w:t>2.</w:t>
            </w:r>
            <w:r>
              <w:rPr>
                <w:rFonts w:hint="eastAsia" w:ascii="宋体" w:hAnsi="宋体" w:eastAsia="宋体" w:cs="宋体"/>
                <w:bCs w:val="0"/>
                <w:color w:val="auto"/>
                <w:sz w:val="21"/>
                <w:szCs w:val="21"/>
                <w:highlight w:val="none"/>
              </w:rPr>
              <w:t>本项目所采购服务如需执行国家相关标准、行业标准、地方标准或其他强制性标准、规范</w:t>
            </w:r>
            <w:r>
              <w:rPr>
                <w:rFonts w:hint="eastAsia" w:ascii="宋体" w:hAnsi="宋体" w:eastAsia="宋体" w:cs="宋体"/>
                <w:bCs w:val="0"/>
                <w:color w:val="auto"/>
                <w:sz w:val="21"/>
                <w:szCs w:val="21"/>
                <w:highlight w:val="none"/>
                <w:lang w:val="en-US" w:eastAsia="zh-CN"/>
              </w:rPr>
              <w:t>的</w:t>
            </w:r>
            <w:r>
              <w:rPr>
                <w:rFonts w:hint="eastAsia" w:ascii="宋体" w:hAnsi="宋体" w:eastAsia="宋体" w:cs="宋体"/>
                <w:bCs w:val="0"/>
                <w:color w:val="auto"/>
                <w:sz w:val="21"/>
                <w:szCs w:val="21"/>
                <w:highlight w:val="none"/>
              </w:rPr>
              <w:t>，应执行。</w:t>
            </w:r>
          </w:p>
          <w:p w14:paraId="7EEAC615">
            <w:pPr>
              <w:pStyle w:val="135"/>
              <w:tabs>
                <w:tab w:val="left" w:pos="319"/>
              </w:tabs>
              <w:spacing w:before="119"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bCs w:val="0"/>
                <w:color w:val="auto"/>
                <w:sz w:val="21"/>
                <w:szCs w:val="21"/>
                <w:highlight w:val="none"/>
                <w:lang w:val="en-US" w:eastAsia="zh-CN"/>
              </w:rPr>
              <w:t>3.未尽事宜参照《关于印发广西壮族自治区政府采购项目履约验收管理办法的通知》[桂财采〔2015〕22 号]以及《财政部关于进一步加强政府采购需求和履约验收管理的指导意见》[财库〔2016〕205 号]规定执行。</w:t>
            </w:r>
          </w:p>
        </w:tc>
      </w:tr>
    </w:tbl>
    <w:p w14:paraId="38D05785">
      <w:pPr>
        <w:rPr>
          <w:rFonts w:hint="eastAsia" w:ascii="宋体" w:hAnsi="宋体" w:eastAsia="宋体" w:cs="宋体"/>
          <w:color w:val="auto"/>
          <w:highlight w:val="none"/>
        </w:rPr>
      </w:pPr>
    </w:p>
    <w:tbl>
      <w:tblPr>
        <w:tblStyle w:val="61"/>
        <w:tblpPr w:leftFromText="180" w:rightFromText="180" w:vertAnchor="text" w:horzAnchor="page" w:tblpX="1110" w:tblpY="409"/>
        <w:tblOverlap w:val="never"/>
        <w:tblW w:w="966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89"/>
        <w:gridCol w:w="1341"/>
        <w:gridCol w:w="492"/>
        <w:gridCol w:w="348"/>
        <w:gridCol w:w="780"/>
        <w:gridCol w:w="6214"/>
      </w:tblGrid>
      <w:tr w14:paraId="3685A2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8" w:hRule="atLeast"/>
        </w:trPr>
        <w:tc>
          <w:tcPr>
            <w:tcW w:w="9664" w:type="dxa"/>
            <w:gridSpan w:val="6"/>
            <w:tcBorders>
              <w:top w:val="single" w:color="auto" w:sz="4" w:space="0"/>
              <w:left w:val="single" w:color="auto" w:sz="4" w:space="0"/>
              <w:bottom w:val="single" w:color="auto" w:sz="4" w:space="0"/>
              <w:right w:val="single" w:color="auto" w:sz="4" w:space="0"/>
            </w:tcBorders>
            <w:vAlign w:val="center"/>
          </w:tcPr>
          <w:p w14:paraId="59C4653E">
            <w:pPr>
              <w:tabs>
                <w:tab w:val="left" w:pos="180"/>
                <w:tab w:val="left" w:pos="1620"/>
              </w:tabs>
              <w:spacing w:line="360" w:lineRule="auto"/>
              <w:jc w:val="center"/>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采购需求一览表</w:t>
            </w:r>
          </w:p>
        </w:tc>
      </w:tr>
      <w:tr w14:paraId="23F253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9" w:hRule="atLeast"/>
        </w:trPr>
        <w:tc>
          <w:tcPr>
            <w:tcW w:w="9664" w:type="dxa"/>
            <w:gridSpan w:val="6"/>
            <w:tcBorders>
              <w:top w:val="single" w:color="auto" w:sz="4" w:space="0"/>
              <w:left w:val="single" w:color="auto" w:sz="4" w:space="0"/>
              <w:bottom w:val="single" w:color="auto" w:sz="4" w:space="0"/>
              <w:right w:val="single" w:color="auto" w:sz="4" w:space="0"/>
            </w:tcBorders>
            <w:vAlign w:val="center"/>
          </w:tcPr>
          <w:p w14:paraId="6784748B">
            <w:pPr>
              <w:tabs>
                <w:tab w:val="left" w:pos="180"/>
                <w:tab w:val="left" w:pos="1620"/>
              </w:tabs>
              <w:spacing w:line="360" w:lineRule="auto"/>
              <w:jc w:val="center"/>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分标5</w:t>
            </w:r>
          </w:p>
        </w:tc>
      </w:tr>
      <w:tr w14:paraId="644384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4" w:hRule="atLeast"/>
        </w:trPr>
        <w:tc>
          <w:tcPr>
            <w:tcW w:w="489" w:type="dxa"/>
            <w:tcBorders>
              <w:top w:val="single" w:color="auto" w:sz="4" w:space="0"/>
            </w:tcBorders>
            <w:vAlign w:val="center"/>
          </w:tcPr>
          <w:p w14:paraId="370197D1">
            <w:pPr>
              <w:tabs>
                <w:tab w:val="left" w:pos="180"/>
                <w:tab w:val="left" w:pos="1620"/>
              </w:tabs>
              <w:spacing w:line="360" w:lineRule="auto"/>
              <w:jc w:val="center"/>
              <w:rPr>
                <w:rFonts w:hint="eastAsia" w:ascii="宋体" w:hAnsi="宋体" w:eastAsia="宋体" w:cs="宋体"/>
                <w:b/>
                <w:bCs/>
                <w:color w:val="auto"/>
                <w:szCs w:val="21"/>
                <w:highlight w:val="none"/>
                <w:lang w:eastAsia="zh-CN"/>
              </w:rPr>
            </w:pPr>
            <w:r>
              <w:rPr>
                <w:rFonts w:hint="eastAsia" w:ascii="宋体" w:hAnsi="宋体" w:eastAsia="宋体" w:cs="宋体"/>
                <w:b/>
                <w:bCs/>
                <w:color w:val="auto"/>
                <w:szCs w:val="21"/>
                <w:highlight w:val="none"/>
                <w:lang w:val="en-US" w:eastAsia="zh-CN"/>
              </w:rPr>
              <w:t>序号</w:t>
            </w:r>
          </w:p>
        </w:tc>
        <w:tc>
          <w:tcPr>
            <w:tcW w:w="1341" w:type="dxa"/>
            <w:tcBorders>
              <w:top w:val="single" w:color="auto" w:sz="4" w:space="0"/>
            </w:tcBorders>
            <w:vAlign w:val="center"/>
          </w:tcPr>
          <w:p w14:paraId="18A07687">
            <w:pPr>
              <w:tabs>
                <w:tab w:val="left" w:pos="180"/>
                <w:tab w:val="left" w:pos="1620"/>
              </w:tabs>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标的名称</w:t>
            </w:r>
          </w:p>
        </w:tc>
        <w:tc>
          <w:tcPr>
            <w:tcW w:w="840" w:type="dxa"/>
            <w:gridSpan w:val="2"/>
            <w:tcBorders>
              <w:top w:val="single" w:color="auto" w:sz="4" w:space="0"/>
            </w:tcBorders>
            <w:vAlign w:val="center"/>
          </w:tcPr>
          <w:p w14:paraId="478F0F47">
            <w:pPr>
              <w:tabs>
                <w:tab w:val="left" w:pos="180"/>
                <w:tab w:val="left" w:pos="1620"/>
              </w:tabs>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数量</w:t>
            </w:r>
          </w:p>
        </w:tc>
        <w:tc>
          <w:tcPr>
            <w:tcW w:w="780" w:type="dxa"/>
            <w:tcBorders>
              <w:top w:val="single" w:color="auto" w:sz="4" w:space="0"/>
            </w:tcBorders>
            <w:vAlign w:val="center"/>
          </w:tcPr>
          <w:p w14:paraId="47683E39">
            <w:pPr>
              <w:tabs>
                <w:tab w:val="left" w:pos="180"/>
                <w:tab w:val="left" w:pos="1620"/>
              </w:tabs>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单位</w:t>
            </w:r>
          </w:p>
        </w:tc>
        <w:tc>
          <w:tcPr>
            <w:tcW w:w="6214" w:type="dxa"/>
            <w:tcBorders>
              <w:top w:val="single" w:color="auto" w:sz="4" w:space="0"/>
            </w:tcBorders>
            <w:vAlign w:val="center"/>
          </w:tcPr>
          <w:p w14:paraId="1D186C52">
            <w:pPr>
              <w:tabs>
                <w:tab w:val="left" w:pos="180"/>
                <w:tab w:val="left" w:pos="1620"/>
              </w:tabs>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采购需求</w:t>
            </w:r>
          </w:p>
        </w:tc>
      </w:tr>
      <w:tr w14:paraId="3E1518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8" w:hRule="atLeast"/>
        </w:trPr>
        <w:tc>
          <w:tcPr>
            <w:tcW w:w="489" w:type="dxa"/>
            <w:vAlign w:val="center"/>
          </w:tcPr>
          <w:p w14:paraId="5D560C36">
            <w:pPr>
              <w:pStyle w:val="196"/>
              <w:spacing w:line="360" w:lineRule="auto"/>
              <w:ind w:left="0" w:leftChars="0" w:firstLine="0" w:firstLineChars="0"/>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1</w:t>
            </w:r>
          </w:p>
        </w:tc>
        <w:tc>
          <w:tcPr>
            <w:tcW w:w="1341" w:type="dxa"/>
            <w:vAlign w:val="center"/>
          </w:tcPr>
          <w:p w14:paraId="7B90974B">
            <w:pPr>
              <w:spacing w:line="360" w:lineRule="auto"/>
              <w:jc w:val="center"/>
              <w:rPr>
                <w:rFonts w:hint="eastAsia" w:ascii="宋体" w:hAnsi="宋体" w:eastAsia="宋体" w:cs="宋体"/>
                <w:b/>
                <w:bCs/>
                <w:color w:val="auto"/>
                <w:szCs w:val="21"/>
                <w:highlight w:val="none"/>
              </w:rPr>
            </w:pPr>
            <w:r>
              <w:rPr>
                <w:rFonts w:hint="eastAsia" w:ascii="宋体" w:hAnsi="宋体" w:eastAsia="宋体" w:cs="宋体"/>
                <w:color w:val="auto"/>
                <w:kern w:val="0"/>
                <w:szCs w:val="21"/>
                <w:highlight w:val="none"/>
              </w:rPr>
              <w:t>巡护管护</w:t>
            </w:r>
          </w:p>
        </w:tc>
        <w:tc>
          <w:tcPr>
            <w:tcW w:w="840" w:type="dxa"/>
            <w:gridSpan w:val="2"/>
            <w:vAlign w:val="center"/>
          </w:tcPr>
          <w:p w14:paraId="3D8A28F8">
            <w:pPr>
              <w:widowControl/>
              <w:adjustRightInd w:val="0"/>
              <w:snapToGrid w:val="0"/>
              <w:spacing w:line="336" w:lineRule="auto"/>
              <w:jc w:val="center"/>
              <w:rPr>
                <w:rFonts w:hint="eastAsia" w:ascii="宋体" w:hAnsi="宋体" w:eastAsia="宋体" w:cs="宋体"/>
                <w:b/>
                <w:bCs/>
                <w:color w:val="auto"/>
                <w:szCs w:val="21"/>
                <w:highlight w:val="none"/>
              </w:rPr>
            </w:pPr>
            <w:r>
              <w:rPr>
                <w:rFonts w:hint="eastAsia" w:ascii="宋体" w:hAnsi="宋体" w:eastAsia="宋体" w:cs="宋体"/>
                <w:color w:val="auto"/>
                <w:kern w:val="0"/>
                <w:szCs w:val="21"/>
                <w:highlight w:val="none"/>
              </w:rPr>
              <w:t>1</w:t>
            </w:r>
          </w:p>
        </w:tc>
        <w:tc>
          <w:tcPr>
            <w:tcW w:w="780" w:type="dxa"/>
            <w:vAlign w:val="center"/>
          </w:tcPr>
          <w:p w14:paraId="22F16F1B">
            <w:pPr>
              <w:widowControl/>
              <w:adjustRightInd w:val="0"/>
              <w:snapToGrid w:val="0"/>
              <w:spacing w:line="336" w:lineRule="auto"/>
              <w:jc w:val="center"/>
              <w:rPr>
                <w:rFonts w:hint="eastAsia" w:ascii="宋体" w:hAnsi="宋体" w:eastAsia="宋体" w:cs="宋体"/>
                <w:b/>
                <w:bCs/>
                <w:color w:val="auto"/>
                <w:szCs w:val="21"/>
                <w:highlight w:val="none"/>
              </w:rPr>
            </w:pPr>
            <w:r>
              <w:rPr>
                <w:rFonts w:hint="eastAsia" w:ascii="宋体" w:hAnsi="宋体" w:eastAsia="宋体" w:cs="宋体"/>
                <w:color w:val="auto"/>
                <w:kern w:val="0"/>
                <w:szCs w:val="21"/>
                <w:highlight w:val="none"/>
              </w:rPr>
              <w:t>项</w:t>
            </w:r>
          </w:p>
        </w:tc>
        <w:tc>
          <w:tcPr>
            <w:tcW w:w="6214" w:type="dxa"/>
            <w:vAlign w:val="center"/>
          </w:tcPr>
          <w:p w14:paraId="2119AF71">
            <w:pPr>
              <w:widowControl/>
              <w:numPr>
                <w:ilvl w:val="-1"/>
                <w:numId w:val="0"/>
              </w:numPr>
              <w:spacing w:line="240" w:lineRule="auto"/>
              <w:jc w:val="left"/>
              <w:rPr>
                <w:rFonts w:hint="eastAsia" w:ascii="宋体" w:hAnsi="宋体" w:eastAsia="宋体" w:cs="宋体"/>
                <w:b/>
                <w:bCs/>
                <w:i w:val="0"/>
                <w:iCs w:val="0"/>
                <w:color w:val="auto"/>
                <w:sz w:val="21"/>
                <w:szCs w:val="21"/>
                <w:highlight w:val="none"/>
                <w:u w:val="none"/>
                <w:lang w:val="en-US" w:eastAsia="zh-CN"/>
              </w:rPr>
            </w:pPr>
            <w:r>
              <w:rPr>
                <w:rFonts w:hint="eastAsia" w:ascii="宋体" w:hAnsi="宋体" w:eastAsia="宋体" w:cs="宋体"/>
                <w:b/>
                <w:bCs/>
                <w:i w:val="0"/>
                <w:iCs w:val="0"/>
                <w:color w:val="auto"/>
                <w:sz w:val="21"/>
                <w:szCs w:val="21"/>
                <w:highlight w:val="none"/>
                <w:u w:val="none"/>
                <w:lang w:val="en-US" w:eastAsia="zh-CN"/>
              </w:rPr>
              <w:t xml:space="preserve">    一、管护巡护区域划分</w:t>
            </w:r>
          </w:p>
          <w:p w14:paraId="47088579">
            <w:pPr>
              <w:widowControl/>
              <w:numPr>
                <w:ilvl w:val="-1"/>
                <w:numId w:val="0"/>
              </w:numPr>
              <w:shd w:val="clear" w:color="auto" w:fill="FFFFFF"/>
              <w:spacing w:line="380" w:lineRule="exact"/>
              <w:ind w:firstLine="420" w:firstLineChars="200"/>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管护巡护区域以丹兜海片区、英罗港片区内分布有红树林的区域为主。依据巡护区域内的地理特征、红树林的生长区域、周边人类活动情况以及生态敏感度，划分出不同的巡护子区域，包括重点巡护区及一般巡护区。重点巡护区内红树林生态系统较为脆弱且具有代表性，安排经验丰富的巡护人员重点巡查；因靠近人类活动频繁区域，易受干扰的重点巡护区，增加巡护频次。远离人类活动密集区的红树林分布区作为一般巡护区域，但仍需保证巡护质量。</w:t>
            </w:r>
          </w:p>
          <w:p w14:paraId="07DB861B">
            <w:pPr>
              <w:widowControl/>
              <w:numPr>
                <w:ilvl w:val="-1"/>
                <w:numId w:val="0"/>
              </w:numPr>
              <w:spacing w:line="240" w:lineRule="auto"/>
              <w:ind w:firstLine="422" w:firstLineChars="200"/>
              <w:jc w:val="left"/>
              <w:rPr>
                <w:rFonts w:hint="eastAsia" w:ascii="宋体" w:hAnsi="宋体" w:eastAsia="宋体" w:cs="宋体"/>
                <w:b/>
                <w:bCs/>
                <w:i w:val="0"/>
                <w:iCs w:val="0"/>
                <w:color w:val="auto"/>
                <w:sz w:val="21"/>
                <w:szCs w:val="21"/>
                <w:highlight w:val="none"/>
                <w:u w:val="none"/>
                <w:lang w:val="en-US" w:eastAsia="zh-CN"/>
              </w:rPr>
            </w:pPr>
            <w:r>
              <w:rPr>
                <w:rFonts w:hint="eastAsia" w:ascii="宋体" w:hAnsi="宋体" w:eastAsia="宋体" w:cs="宋体"/>
                <w:b/>
                <w:bCs/>
                <w:i w:val="0"/>
                <w:iCs w:val="0"/>
                <w:color w:val="auto"/>
                <w:sz w:val="21"/>
                <w:szCs w:val="21"/>
                <w:highlight w:val="none"/>
                <w:u w:val="none"/>
                <w:lang w:val="en-US" w:eastAsia="zh-CN"/>
              </w:rPr>
              <w:t>二、管护巡护频率与人员配置</w:t>
            </w:r>
          </w:p>
          <w:p w14:paraId="0E087C3E">
            <w:pPr>
              <w:widowControl/>
              <w:numPr>
                <w:ilvl w:val="-1"/>
                <w:numId w:val="0"/>
              </w:numPr>
              <w:shd w:val="clear" w:color="auto" w:fill="FFFFFF"/>
              <w:spacing w:line="380" w:lineRule="exact"/>
              <w:ind w:firstLine="420" w:firstLineChars="200"/>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根据不同片区红树林分布特点及地形条件，将人员分为不同小组，每组负责特定区域的巡护工作，同时根据天气情况还可使用无人机机场全天24 小时自动巡查， 以实现精细化管护确保对区域内红树林资源进行高频次、全方位的监测与保护。管护巡护 1 年，丹兜海片区、英罗港片区每月巡护均不少于 23 次；项目安排管护人员丹兜海片区8人、英罗港片区3人。采购人可根据实际工作需求，在不降低服务质量、不低于保底工作量的前提下，调整巡护片区、路线及频次要求。供应商应自行组织人员落实调整后的服务要求。项目服务总人次数不少于132人次，总合计工日不少于3036工日。</w:t>
            </w:r>
          </w:p>
          <w:p w14:paraId="3EBDB430">
            <w:pPr>
              <w:widowControl/>
              <w:numPr>
                <w:ilvl w:val="-1"/>
                <w:numId w:val="0"/>
              </w:numPr>
              <w:spacing w:line="380" w:lineRule="exact"/>
              <w:ind w:firstLine="420" w:firstLineChars="200"/>
              <w:jc w:val="left"/>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本项目以服务工日为工作量核算依据，供应商应确保每个有效服务工日完成约定的巡护管护任务。</w:t>
            </w:r>
          </w:p>
          <w:p w14:paraId="548E9E7A">
            <w:pPr>
              <w:widowControl/>
              <w:numPr>
                <w:ilvl w:val="-1"/>
                <w:numId w:val="0"/>
              </w:numPr>
              <w:shd w:val="clear" w:color="auto" w:fill="FFFFFF"/>
              <w:spacing w:line="380" w:lineRule="exact"/>
              <w:ind w:firstLine="0" w:firstLineChars="0"/>
              <w:rPr>
                <w:rFonts w:hint="eastAsia" w:ascii="宋体" w:hAnsi="宋体" w:eastAsia="宋体" w:cs="宋体"/>
                <w:i w:val="0"/>
                <w:iCs w:val="0"/>
                <w:color w:val="auto"/>
                <w:sz w:val="21"/>
                <w:szCs w:val="21"/>
                <w:highlight w:val="none"/>
                <w:u w:val="none"/>
                <w:lang w:val="en-US" w:eastAsia="zh-CN"/>
              </w:rPr>
            </w:pPr>
          </w:p>
          <w:p w14:paraId="07653F48">
            <w:pPr>
              <w:widowControl/>
              <w:numPr>
                <w:ilvl w:val="-1"/>
                <w:numId w:val="0"/>
              </w:numPr>
              <w:spacing w:line="240" w:lineRule="auto"/>
              <w:ind w:firstLine="422" w:firstLineChars="200"/>
              <w:jc w:val="left"/>
              <w:rPr>
                <w:rFonts w:hint="eastAsia" w:ascii="宋体" w:hAnsi="宋体" w:eastAsia="宋体" w:cs="宋体"/>
                <w:b/>
                <w:bCs/>
                <w:i w:val="0"/>
                <w:iCs w:val="0"/>
                <w:color w:val="auto"/>
                <w:sz w:val="21"/>
                <w:szCs w:val="21"/>
                <w:highlight w:val="none"/>
                <w:u w:val="none"/>
                <w:lang w:val="en-US" w:eastAsia="zh-CN"/>
              </w:rPr>
            </w:pPr>
            <w:r>
              <w:rPr>
                <w:rFonts w:hint="eastAsia" w:ascii="宋体" w:hAnsi="宋体" w:eastAsia="宋体" w:cs="宋体"/>
                <w:b/>
                <w:bCs/>
                <w:i w:val="0"/>
                <w:iCs w:val="0"/>
                <w:color w:val="auto"/>
                <w:sz w:val="21"/>
                <w:szCs w:val="21"/>
                <w:highlight w:val="none"/>
                <w:u w:val="none"/>
                <w:lang w:val="en-US" w:eastAsia="zh-CN"/>
              </w:rPr>
              <w:t>三、管护服务内容</w:t>
            </w:r>
          </w:p>
          <w:p w14:paraId="0694789D">
            <w:pPr>
              <w:widowControl/>
              <w:numPr>
                <w:ilvl w:val="-1"/>
                <w:numId w:val="0"/>
              </w:numPr>
              <w:shd w:val="clear" w:color="auto" w:fill="FFFFFF"/>
              <w:spacing w:line="380" w:lineRule="exact"/>
              <w:ind w:firstLine="420" w:firstLineChars="200"/>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供应商应以服务成果为导向，自行组织人员、设备和技术力量完成下列服务内容。</w:t>
            </w:r>
          </w:p>
          <w:p w14:paraId="79BD1270">
            <w:pPr>
              <w:widowControl/>
              <w:numPr>
                <w:ilvl w:val="-1"/>
                <w:numId w:val="0"/>
              </w:numPr>
              <w:shd w:val="clear" w:color="auto" w:fill="FFFFFF"/>
              <w:spacing w:line="380" w:lineRule="exact"/>
              <w:ind w:firstLine="420" w:firstLineChars="200"/>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1.巡护管护服务。在巡护管护期间，监控红树林及其周边环境，如病虫害、污染、人为破坏（非法采伐、放牧、狩猎、捕捞、网鸟、采种、采药、开垦、烧荒、开矿、采石、挖沙、养殖、污水直排，外来人员非法采集动植物标本等）、自然灾害等情况，及时发现、劝阻、制止并上报破坏红树林资源的违法行为。巡护频率为每周巡护 5 次。</w:t>
            </w:r>
          </w:p>
          <w:p w14:paraId="4FDD832B">
            <w:pPr>
              <w:widowControl/>
              <w:numPr>
                <w:ilvl w:val="-1"/>
                <w:numId w:val="0"/>
              </w:numPr>
              <w:shd w:val="clear" w:color="auto" w:fill="FFFFFF"/>
              <w:spacing w:line="380" w:lineRule="exact"/>
              <w:ind w:firstLine="420" w:firstLineChars="200"/>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2.资源管理服务。负责红树林、野生动植物、森林、林地等资源的保护和监管，参与红树林的修复和管护、互花米草治理等项目实施工作，养殖塘监管等工作。管理湿地内的基础设施，如瞭望塔、界碑界桩、步道、标牌、指示牌、宣传牌等。涉及保护区图斑核查、督查等资源调查工作；相关工作数据的调查、统计、更新和归档工作</w:t>
            </w:r>
          </w:p>
          <w:p w14:paraId="0AD641FF">
            <w:pPr>
              <w:widowControl/>
              <w:numPr>
                <w:ilvl w:val="-1"/>
                <w:numId w:val="0"/>
              </w:numPr>
              <w:shd w:val="clear" w:color="auto" w:fill="FFFFFF"/>
              <w:spacing w:line="380" w:lineRule="exact"/>
              <w:ind w:firstLine="420" w:firstLineChars="200"/>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3.科研宣教服务。协助管理中心或科研团队进行生态调查和数据收集等科研工作，参与科普宣传等工作。协助红树林资源保护的宣传教育工作策划和执行，制定活动方案、组织宣传活动及科普讲解；组织参与各类科普宣教活动，如场地布置、设备、人员配备等；科普宣传资料的收集、整理和发布，制作科普宣传材料等；红树林资源信息收集、传播渠道的管理与运营；相关项目申报和实施；协助进行保护区内的资源调查、动植物、病虫害、外来物种监测和相关科研工作。负责科研监测、生态修复类、资源管护等项目方案的进度跟踪，收集统计相关项目进度信息及台账的收集整理归档等工作。</w:t>
            </w:r>
          </w:p>
          <w:p w14:paraId="76DB276E">
            <w:pPr>
              <w:widowControl/>
              <w:numPr>
                <w:ilvl w:val="-1"/>
                <w:numId w:val="0"/>
              </w:numPr>
              <w:shd w:val="clear" w:color="auto" w:fill="FFFFFF"/>
              <w:spacing w:line="380" w:lineRule="exact"/>
              <w:ind w:firstLine="420" w:firstLineChars="200"/>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4.记录与报告。做好服务内容记录，定期提交服务报告。</w:t>
            </w:r>
          </w:p>
          <w:p w14:paraId="726AC0EC">
            <w:pPr>
              <w:widowControl/>
              <w:numPr>
                <w:ilvl w:val="0"/>
                <w:numId w:val="0"/>
              </w:numPr>
              <w:shd w:val="clear" w:color="auto" w:fill="FFFFFF"/>
              <w:wordWrap/>
              <w:spacing w:line="380" w:lineRule="exact"/>
              <w:ind w:firstLine="420" w:firstLineChars="200"/>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5.群众人为活动引导与监管。对保护区内的游客、周边居民及其他人员开展生态保护宣传与行为规范指导，及时劝阻不文明游览行为（如污染环境、践踏植被、惊扰野生动物等），同时对集体赶海、观鸟等聚集性活动实施动态巡查，防止破坏湿地生态或引发安全隐患。</w:t>
            </w:r>
          </w:p>
          <w:p w14:paraId="705F807C">
            <w:pPr>
              <w:keepNext w:val="0"/>
              <w:keepLines w:val="0"/>
              <w:widowControl/>
              <w:numPr>
                <w:ilvl w:val="0"/>
                <w:numId w:val="0"/>
              </w:numPr>
              <w:suppressLineNumbers w:val="0"/>
              <w:shd w:val="clear" w:color="auto" w:fill="FFFFFF"/>
              <w:spacing w:line="380" w:lineRule="exact"/>
              <w:ind w:firstLine="420" w:firstLineChars="200"/>
              <w:jc w:val="left"/>
              <w:rPr>
                <w:rFonts w:hint="eastAsia" w:ascii="宋体" w:hAnsi="宋体" w:eastAsia="宋体" w:cs="宋体"/>
                <w:color w:val="auto"/>
                <w:kern w:val="2"/>
                <w:sz w:val="21"/>
                <w:szCs w:val="21"/>
                <w:highlight w:val="none"/>
                <w:u w:val="none"/>
                <w:lang w:val="en-US" w:eastAsia="zh-CN" w:bidi="ar"/>
              </w:rPr>
            </w:pPr>
            <w:r>
              <w:rPr>
                <w:rFonts w:hint="eastAsia" w:ascii="宋体" w:hAnsi="宋体" w:eastAsia="宋体" w:cs="宋体"/>
                <w:i w:val="0"/>
                <w:iCs w:val="0"/>
                <w:color w:val="auto"/>
                <w:sz w:val="21"/>
                <w:szCs w:val="21"/>
                <w:highlight w:val="none"/>
                <w:u w:val="none"/>
                <w:lang w:val="en-US" w:eastAsia="zh-CN"/>
              </w:rPr>
              <w:t>6.红树林巡护管护其他配套服务工作。</w:t>
            </w:r>
          </w:p>
          <w:p w14:paraId="2FA716A5">
            <w:pPr>
              <w:widowControl/>
              <w:numPr>
                <w:ilvl w:val="0"/>
                <w:numId w:val="0"/>
              </w:numPr>
              <w:shd w:val="clear" w:color="auto" w:fill="FFFFFF"/>
              <w:wordWrap/>
              <w:spacing w:line="380" w:lineRule="exact"/>
              <w:ind w:firstLine="420" w:firstLineChars="200"/>
              <w:jc w:val="left"/>
              <w:rPr>
                <w:rStyle w:val="63"/>
                <w:rFonts w:hint="eastAsia" w:ascii="宋体" w:hAnsi="宋体" w:eastAsia="宋体" w:cs="宋体"/>
                <w:color w:val="auto"/>
                <w:kern w:val="2"/>
                <w:sz w:val="21"/>
                <w:szCs w:val="21"/>
                <w:highlight w:val="none"/>
                <w:u w:val="none"/>
                <w:lang w:val="en-US" w:eastAsia="zh-CN" w:bidi="ar"/>
              </w:rPr>
            </w:pPr>
            <w:r>
              <w:rPr>
                <w:rStyle w:val="63"/>
                <w:rFonts w:hint="eastAsia" w:ascii="宋体" w:hAnsi="宋体" w:eastAsia="宋体" w:cs="宋体"/>
                <w:color w:val="auto"/>
                <w:kern w:val="2"/>
                <w:sz w:val="21"/>
                <w:szCs w:val="21"/>
                <w:highlight w:val="none"/>
                <w:u w:val="none"/>
                <w:lang w:val="en-US" w:eastAsia="zh-CN" w:bidi="ar"/>
              </w:rPr>
              <w:t>四、质量总体要求</w:t>
            </w:r>
          </w:p>
          <w:p w14:paraId="0AA9446E">
            <w:pPr>
              <w:widowControl/>
              <w:numPr>
                <w:ilvl w:val="0"/>
                <w:numId w:val="0"/>
              </w:numPr>
              <w:shd w:val="clear" w:color="auto" w:fill="FFFFFF"/>
              <w:wordWrap/>
              <w:spacing w:line="380" w:lineRule="exact"/>
              <w:ind w:firstLine="420" w:firstLineChars="200"/>
              <w:jc w:val="left"/>
              <w:rPr>
                <w:rStyle w:val="63"/>
                <w:rFonts w:hint="eastAsia" w:ascii="宋体" w:hAnsi="宋体" w:eastAsia="宋体" w:cs="宋体"/>
                <w:color w:val="auto"/>
                <w:kern w:val="2"/>
                <w:sz w:val="21"/>
                <w:szCs w:val="21"/>
                <w:highlight w:val="none"/>
                <w:u w:val="none"/>
                <w:lang w:val="en-US" w:eastAsia="zh-CN" w:bidi="ar"/>
              </w:rPr>
            </w:pPr>
            <w:r>
              <w:rPr>
                <w:rStyle w:val="63"/>
                <w:rFonts w:hint="eastAsia" w:ascii="宋体" w:hAnsi="宋体" w:eastAsia="宋体" w:cs="宋体"/>
                <w:color w:val="auto"/>
                <w:kern w:val="2"/>
                <w:sz w:val="21"/>
                <w:szCs w:val="21"/>
                <w:highlight w:val="none"/>
                <w:u w:val="none"/>
                <w:lang w:val="en-US" w:eastAsia="zh-CN" w:bidi="ar"/>
              </w:rPr>
              <w:t>1.按采购文件要求完成各项巡护管护、资源监管、科研宣教、群众引导、服务报告、临时应急等全部交办任务；</w:t>
            </w:r>
          </w:p>
          <w:p w14:paraId="2275D1EE">
            <w:pPr>
              <w:widowControl/>
              <w:numPr>
                <w:ilvl w:val="0"/>
                <w:numId w:val="0"/>
              </w:numPr>
              <w:shd w:val="clear" w:color="auto" w:fill="FFFFFF"/>
              <w:wordWrap/>
              <w:spacing w:line="380" w:lineRule="exact"/>
              <w:ind w:firstLine="420" w:firstLineChars="200"/>
              <w:jc w:val="left"/>
              <w:rPr>
                <w:rStyle w:val="63"/>
                <w:rFonts w:hint="eastAsia" w:ascii="宋体" w:hAnsi="宋体" w:eastAsia="宋体" w:cs="宋体"/>
                <w:color w:val="auto"/>
                <w:kern w:val="2"/>
                <w:sz w:val="21"/>
                <w:szCs w:val="21"/>
                <w:highlight w:val="none"/>
                <w:u w:val="none"/>
                <w:lang w:val="en-US" w:eastAsia="zh-CN" w:bidi="ar"/>
              </w:rPr>
            </w:pPr>
            <w:r>
              <w:rPr>
                <w:rStyle w:val="63"/>
                <w:rFonts w:hint="eastAsia" w:ascii="宋体" w:hAnsi="宋体" w:eastAsia="宋体" w:cs="宋体"/>
                <w:color w:val="auto"/>
                <w:kern w:val="2"/>
                <w:sz w:val="21"/>
                <w:szCs w:val="21"/>
                <w:highlight w:val="none"/>
                <w:u w:val="none"/>
                <w:lang w:val="en-US" w:eastAsia="zh-CN" w:bidi="ar"/>
              </w:rPr>
              <w:t>2.服务工时满足项目保底要求，隐患问题做到记录并按规定上报；</w:t>
            </w:r>
          </w:p>
          <w:p w14:paraId="5DDA3F57">
            <w:pPr>
              <w:widowControl/>
              <w:numPr>
                <w:ilvl w:val="0"/>
                <w:numId w:val="0"/>
              </w:numPr>
              <w:shd w:val="clear" w:color="auto" w:fill="FFFFFF"/>
              <w:wordWrap/>
              <w:spacing w:line="380" w:lineRule="exact"/>
              <w:ind w:firstLine="420" w:firstLineChars="200"/>
              <w:jc w:val="left"/>
              <w:rPr>
                <w:rStyle w:val="63"/>
                <w:rFonts w:hint="eastAsia" w:ascii="宋体" w:hAnsi="宋体" w:eastAsia="宋体" w:cs="宋体"/>
                <w:color w:val="auto"/>
                <w:kern w:val="2"/>
                <w:sz w:val="21"/>
                <w:szCs w:val="21"/>
                <w:highlight w:val="none"/>
                <w:u w:val="none"/>
                <w:lang w:val="en-US" w:eastAsia="zh-CN" w:bidi="ar"/>
              </w:rPr>
            </w:pPr>
            <w:r>
              <w:rPr>
                <w:rStyle w:val="63"/>
                <w:rFonts w:hint="eastAsia" w:ascii="宋体" w:hAnsi="宋体" w:eastAsia="宋体" w:cs="宋体"/>
                <w:color w:val="auto"/>
                <w:kern w:val="2"/>
                <w:sz w:val="21"/>
                <w:szCs w:val="21"/>
                <w:highlight w:val="none"/>
                <w:u w:val="none"/>
                <w:lang w:val="en-US" w:eastAsia="zh-CN" w:bidi="ar"/>
              </w:rPr>
              <w:t>3.服务成果真实完整，按时提交；配合采购人抽查、核查工作；</w:t>
            </w:r>
          </w:p>
          <w:p w14:paraId="5A8A444A">
            <w:pPr>
              <w:widowControl/>
              <w:numPr>
                <w:ilvl w:val="0"/>
                <w:numId w:val="0"/>
              </w:numPr>
              <w:shd w:val="clear" w:color="auto" w:fill="FFFFFF"/>
              <w:wordWrap/>
              <w:spacing w:line="380" w:lineRule="exact"/>
              <w:ind w:firstLine="420" w:firstLineChars="200"/>
              <w:jc w:val="left"/>
              <w:rPr>
                <w:rStyle w:val="63"/>
                <w:rFonts w:hint="eastAsia" w:ascii="宋体" w:hAnsi="宋体" w:eastAsia="宋体" w:cs="宋体"/>
                <w:color w:val="auto"/>
                <w:kern w:val="2"/>
                <w:sz w:val="21"/>
                <w:szCs w:val="21"/>
                <w:highlight w:val="none"/>
                <w:u w:val="none"/>
                <w:lang w:val="en-US" w:eastAsia="zh-CN" w:bidi="ar"/>
              </w:rPr>
            </w:pPr>
            <w:r>
              <w:rPr>
                <w:rStyle w:val="63"/>
                <w:rFonts w:hint="eastAsia" w:ascii="宋体" w:hAnsi="宋体" w:eastAsia="宋体" w:cs="宋体"/>
                <w:color w:val="auto"/>
                <w:kern w:val="2"/>
                <w:sz w:val="21"/>
                <w:szCs w:val="21"/>
                <w:highlight w:val="none"/>
                <w:u w:val="none"/>
                <w:lang w:val="en-US" w:eastAsia="zh-CN" w:bidi="ar"/>
              </w:rPr>
              <w:t>4.供应商应服从采购人在服务范围、服务标准、验收要求等方面的合理要求，积极统筹本方人员配合各类服务；</w:t>
            </w:r>
          </w:p>
          <w:p w14:paraId="270A42F6">
            <w:pPr>
              <w:widowControl/>
              <w:numPr>
                <w:ilvl w:val="0"/>
                <w:numId w:val="0"/>
              </w:numPr>
              <w:shd w:val="clear" w:color="auto" w:fill="FFFFFF"/>
              <w:wordWrap/>
              <w:spacing w:line="380" w:lineRule="exact"/>
              <w:ind w:firstLine="420" w:firstLineChars="200"/>
              <w:jc w:val="left"/>
              <w:rPr>
                <w:rStyle w:val="63"/>
                <w:rFonts w:hint="eastAsia" w:ascii="宋体" w:hAnsi="宋体" w:eastAsia="宋体" w:cs="宋体"/>
                <w:color w:val="auto"/>
                <w:kern w:val="2"/>
                <w:sz w:val="21"/>
                <w:szCs w:val="21"/>
                <w:highlight w:val="none"/>
                <w:u w:val="none"/>
                <w:lang w:val="en-US" w:eastAsia="zh-CN" w:bidi="ar"/>
              </w:rPr>
            </w:pPr>
            <w:r>
              <w:rPr>
                <w:rStyle w:val="63"/>
                <w:rFonts w:hint="eastAsia" w:ascii="宋体" w:hAnsi="宋体" w:eastAsia="宋体" w:cs="宋体"/>
                <w:color w:val="auto"/>
                <w:kern w:val="2"/>
                <w:sz w:val="21"/>
                <w:szCs w:val="21"/>
                <w:highlight w:val="none"/>
                <w:u w:val="none"/>
                <w:lang w:val="en-US" w:eastAsia="zh-CN" w:bidi="ar"/>
              </w:rPr>
              <w:t>5.落实相关安全作业要求。</w:t>
            </w:r>
          </w:p>
          <w:p w14:paraId="4E8E4A7C">
            <w:pPr>
              <w:widowControl/>
              <w:numPr>
                <w:ilvl w:val="0"/>
                <w:numId w:val="0"/>
              </w:numPr>
              <w:shd w:val="clear" w:color="auto" w:fill="FFFFFF"/>
              <w:wordWrap/>
              <w:spacing w:line="380" w:lineRule="exact"/>
              <w:ind w:firstLine="420" w:firstLineChars="200"/>
              <w:jc w:val="left"/>
              <w:rPr>
                <w:rStyle w:val="63"/>
                <w:rFonts w:hint="eastAsia" w:ascii="宋体" w:hAnsi="宋体" w:eastAsia="宋体" w:cs="宋体"/>
                <w:color w:val="auto"/>
                <w:kern w:val="2"/>
                <w:sz w:val="21"/>
                <w:szCs w:val="21"/>
                <w:highlight w:val="none"/>
                <w:u w:val="none"/>
                <w:lang w:val="en-US" w:eastAsia="zh-CN" w:bidi="ar"/>
              </w:rPr>
            </w:pPr>
            <w:r>
              <w:rPr>
                <w:rStyle w:val="63"/>
                <w:rFonts w:hint="eastAsia" w:ascii="宋体" w:hAnsi="宋体" w:eastAsia="宋体" w:cs="宋体"/>
                <w:color w:val="auto"/>
                <w:kern w:val="2"/>
                <w:sz w:val="21"/>
                <w:szCs w:val="21"/>
                <w:highlight w:val="none"/>
                <w:u w:val="none"/>
                <w:lang w:val="en-US" w:eastAsia="zh-CN" w:bidi="ar"/>
              </w:rPr>
              <w:t>五、服务不达要求情形</w:t>
            </w:r>
          </w:p>
          <w:p w14:paraId="2BAA2C87">
            <w:pPr>
              <w:widowControl/>
              <w:numPr>
                <w:ilvl w:val="0"/>
                <w:numId w:val="0"/>
              </w:numPr>
              <w:shd w:val="clear" w:color="auto" w:fill="FFFFFF"/>
              <w:wordWrap/>
              <w:spacing w:line="380" w:lineRule="exact"/>
              <w:ind w:firstLine="420" w:firstLineChars="200"/>
              <w:jc w:val="left"/>
              <w:rPr>
                <w:rStyle w:val="63"/>
                <w:rFonts w:hint="eastAsia" w:ascii="宋体" w:hAnsi="宋体" w:eastAsia="宋体" w:cs="宋体"/>
                <w:color w:val="auto"/>
                <w:kern w:val="2"/>
                <w:sz w:val="21"/>
                <w:szCs w:val="21"/>
                <w:highlight w:val="none"/>
                <w:u w:val="none"/>
                <w:lang w:val="en-US" w:eastAsia="zh-CN" w:bidi="ar"/>
              </w:rPr>
            </w:pPr>
            <w:r>
              <w:rPr>
                <w:rStyle w:val="63"/>
                <w:rFonts w:hint="eastAsia" w:ascii="宋体" w:hAnsi="宋体" w:eastAsia="宋体" w:cs="宋体"/>
                <w:color w:val="auto"/>
                <w:kern w:val="2"/>
                <w:sz w:val="21"/>
                <w:szCs w:val="21"/>
                <w:highlight w:val="none"/>
                <w:u w:val="none"/>
                <w:lang w:val="en-US" w:eastAsia="zh-CN" w:bidi="ar"/>
              </w:rPr>
              <w:t>出现下列任意一类行为，视为服务存在问题： ①管护任务不到位，违规问题未及时排查、上报，造成风险扩大； ②消极推诿，拒不落实资源监管、科研宣教、专项管护服务及采购人合理提出的服务要求； ③台账记录弄虚作假、漏记缺记，报告迟报、不报，多次整改仍达不到基本要求； ④对群众违规行为不劝阻、不引导，引发生态扰动或安全隐患； ⑤对临时性管护服务事项处置懈怠，不满足工时与质量要求； ⑥不落实服务任务安全相关作业要求。</w:t>
            </w:r>
          </w:p>
          <w:p w14:paraId="47086784">
            <w:pPr>
              <w:pStyle w:val="76"/>
              <w:spacing w:line="380" w:lineRule="exact"/>
              <w:ind w:firstLine="210" w:firstLineChars="100"/>
              <w:rPr>
                <w:rStyle w:val="63"/>
                <w:rFonts w:hint="eastAsia" w:ascii="宋体" w:hAnsi="宋体" w:eastAsia="宋体" w:cs="宋体"/>
                <w:color w:val="auto"/>
                <w:kern w:val="2"/>
                <w:sz w:val="21"/>
                <w:szCs w:val="21"/>
                <w:highlight w:val="none"/>
                <w:u w:val="none"/>
                <w:lang w:val="en-US" w:eastAsia="zh-CN" w:bidi="ar"/>
              </w:rPr>
            </w:pPr>
            <w:r>
              <w:rPr>
                <w:rStyle w:val="63"/>
                <w:rFonts w:hint="eastAsia" w:ascii="宋体" w:hAnsi="宋体" w:eastAsia="宋体" w:cs="宋体"/>
                <w:color w:val="auto"/>
                <w:kern w:val="2"/>
                <w:sz w:val="21"/>
                <w:szCs w:val="21"/>
                <w:highlight w:val="none"/>
                <w:u w:val="none"/>
                <w:lang w:val="en-US" w:eastAsia="zh-CN" w:bidi="ar"/>
              </w:rPr>
              <w:t>无论服务工作内容如何变化，供应商均应当遵守本文件全部质量标准及违约追责要求</w:t>
            </w:r>
            <w:r>
              <w:rPr>
                <w:rStyle w:val="63"/>
                <w:rFonts w:hint="eastAsia" w:ascii="宋体" w:hAnsi="宋体" w:eastAsia="宋体" w:cs="宋体"/>
                <w:color w:val="auto"/>
                <w:kern w:val="2"/>
                <w:sz w:val="21"/>
                <w:szCs w:val="21"/>
                <w:highlight w:val="none"/>
                <w:u w:val="none"/>
                <w:lang w:eastAsia="zh-CN" w:bidi="ar"/>
              </w:rPr>
              <w:t>。</w:t>
            </w:r>
          </w:p>
          <w:p w14:paraId="74AB7F24">
            <w:pPr>
              <w:pStyle w:val="6"/>
              <w:spacing w:before="0" w:after="0" w:line="380" w:lineRule="exact"/>
              <w:ind w:firstLine="420" w:firstLineChars="200"/>
              <w:rPr>
                <w:rStyle w:val="63"/>
                <w:rFonts w:hint="eastAsia" w:ascii="宋体" w:hAnsi="宋体" w:eastAsia="宋体" w:cs="宋体"/>
                <w:b w:val="0"/>
                <w:bCs w:val="0"/>
                <w:color w:val="auto"/>
                <w:sz w:val="21"/>
                <w:szCs w:val="21"/>
                <w:highlight w:val="none"/>
                <w:u w:val="none"/>
                <w:lang w:bidi="ar"/>
              </w:rPr>
            </w:pPr>
            <w:r>
              <w:rPr>
                <w:rStyle w:val="63"/>
                <w:rFonts w:hint="eastAsia" w:ascii="宋体" w:hAnsi="宋体" w:eastAsia="宋体" w:cs="宋体"/>
                <w:b w:val="0"/>
                <w:bCs w:val="0"/>
                <w:color w:val="auto"/>
                <w:sz w:val="21"/>
                <w:szCs w:val="21"/>
                <w:highlight w:val="none"/>
                <w:u w:val="none"/>
                <w:lang w:val="en-US" w:eastAsia="zh-CN" w:bidi="ar"/>
              </w:rPr>
              <w:t>六、</w:t>
            </w:r>
            <w:r>
              <w:rPr>
                <w:rStyle w:val="63"/>
                <w:rFonts w:hint="eastAsia" w:ascii="宋体" w:hAnsi="宋体" w:eastAsia="宋体" w:cs="宋体"/>
                <w:b w:val="0"/>
                <w:bCs w:val="0"/>
                <w:color w:val="auto"/>
                <w:sz w:val="21"/>
                <w:szCs w:val="21"/>
                <w:highlight w:val="none"/>
                <w:u w:val="none"/>
                <w:lang w:bidi="ar"/>
              </w:rPr>
              <w:t>服务人员要求</w:t>
            </w:r>
          </w:p>
          <w:p w14:paraId="6B5829A5">
            <w:pPr>
              <w:pStyle w:val="6"/>
              <w:spacing w:before="0" w:after="0" w:line="380" w:lineRule="exact"/>
              <w:ind w:firstLine="420" w:firstLineChars="200"/>
              <w:rPr>
                <w:rStyle w:val="63"/>
                <w:rFonts w:hint="eastAsia" w:ascii="宋体" w:hAnsi="宋体" w:eastAsia="宋体" w:cs="宋体"/>
                <w:b w:val="0"/>
                <w:bCs w:val="0"/>
                <w:color w:val="auto"/>
                <w:sz w:val="21"/>
                <w:szCs w:val="21"/>
                <w:highlight w:val="none"/>
                <w:u w:val="none"/>
                <w:lang w:bidi="ar"/>
              </w:rPr>
            </w:pPr>
            <w:r>
              <w:rPr>
                <w:rStyle w:val="63"/>
                <w:rFonts w:hint="eastAsia" w:ascii="宋体" w:hAnsi="宋体" w:eastAsia="宋体" w:cs="宋体"/>
                <w:b w:val="0"/>
                <w:bCs w:val="0"/>
                <w:color w:val="auto"/>
                <w:sz w:val="21"/>
                <w:szCs w:val="21"/>
                <w:highlight w:val="none"/>
                <w:u w:val="none"/>
                <w:lang w:val="en-US" w:eastAsia="zh-CN" w:bidi="ar"/>
              </w:rPr>
              <w:t>1.服务人员应相对固定，年龄在18至60周岁之间，身体健康，能适应野外巡护作业，</w:t>
            </w:r>
            <w:r>
              <w:rPr>
                <w:rStyle w:val="63"/>
                <w:rFonts w:hint="eastAsia" w:ascii="宋体" w:hAnsi="宋体" w:eastAsia="宋体" w:cs="宋体"/>
                <w:b w:val="0"/>
                <w:bCs w:val="0"/>
                <w:color w:val="auto"/>
                <w:sz w:val="21"/>
                <w:szCs w:val="21"/>
                <w:highlight w:val="none"/>
                <w:u w:val="none"/>
                <w:lang w:bidi="ar"/>
              </w:rPr>
              <w:t>具备胜任岗位工作的身体条件</w:t>
            </w:r>
            <w:r>
              <w:rPr>
                <w:rStyle w:val="63"/>
                <w:rFonts w:hint="eastAsia" w:ascii="宋体" w:hAnsi="宋体" w:eastAsia="宋体" w:cs="宋体"/>
                <w:b w:val="0"/>
                <w:bCs w:val="0"/>
                <w:color w:val="auto"/>
                <w:sz w:val="21"/>
                <w:szCs w:val="21"/>
                <w:highlight w:val="none"/>
                <w:u w:val="none"/>
                <w:lang w:val="en-US" w:eastAsia="zh-CN" w:bidi="ar"/>
              </w:rPr>
              <w:t>。</w:t>
            </w:r>
          </w:p>
          <w:p w14:paraId="3E83F589">
            <w:pPr>
              <w:widowControl/>
              <w:numPr>
                <w:ilvl w:val="0"/>
                <w:numId w:val="0"/>
              </w:numPr>
              <w:shd w:val="clear" w:color="auto" w:fill="FFFFFF"/>
              <w:spacing w:line="380" w:lineRule="exact"/>
              <w:ind w:firstLine="420" w:firstLineChars="200"/>
              <w:jc w:val="left"/>
              <w:rPr>
                <w:rStyle w:val="63"/>
                <w:rFonts w:hint="eastAsia" w:ascii="宋体" w:hAnsi="宋体" w:eastAsia="宋体" w:cs="宋体"/>
                <w:color w:val="auto"/>
                <w:sz w:val="21"/>
                <w:szCs w:val="21"/>
                <w:highlight w:val="none"/>
                <w:u w:val="none"/>
              </w:rPr>
            </w:pPr>
            <w:r>
              <w:rPr>
                <w:rStyle w:val="63"/>
                <w:rFonts w:hint="eastAsia" w:ascii="宋体" w:hAnsi="宋体" w:eastAsia="宋体" w:cs="宋体"/>
                <w:b w:val="0"/>
                <w:bCs w:val="0"/>
                <w:color w:val="auto"/>
                <w:sz w:val="21"/>
                <w:szCs w:val="21"/>
                <w:highlight w:val="none"/>
                <w:u w:val="none"/>
                <w:lang w:val="en-US" w:eastAsia="zh-CN" w:bidi="ar"/>
              </w:rPr>
              <w:t>2.</w:t>
            </w:r>
            <w:r>
              <w:rPr>
                <w:rStyle w:val="63"/>
                <w:rFonts w:hint="eastAsia" w:ascii="宋体" w:hAnsi="宋体" w:eastAsia="宋体" w:cs="宋体"/>
                <w:color w:val="auto"/>
                <w:sz w:val="21"/>
                <w:szCs w:val="21"/>
                <w:highlight w:val="none"/>
                <w:u w:val="none"/>
              </w:rPr>
              <w:t>供应商</w:t>
            </w:r>
            <w:r>
              <w:rPr>
                <w:rStyle w:val="63"/>
                <w:rFonts w:hint="eastAsia" w:ascii="宋体" w:hAnsi="宋体" w:eastAsia="宋体" w:cs="宋体"/>
                <w:color w:val="auto"/>
                <w:sz w:val="21"/>
                <w:szCs w:val="21"/>
                <w:highlight w:val="none"/>
                <w:u w:val="none"/>
                <w:lang w:val="en-US" w:eastAsia="zh-CN"/>
              </w:rPr>
              <w:t>应承诺</w:t>
            </w:r>
            <w:r>
              <w:rPr>
                <w:rStyle w:val="63"/>
                <w:rFonts w:hint="eastAsia" w:ascii="宋体" w:hAnsi="宋体" w:eastAsia="宋体" w:cs="宋体"/>
                <w:b w:val="0"/>
                <w:bCs w:val="0"/>
                <w:color w:val="auto"/>
                <w:sz w:val="21"/>
                <w:szCs w:val="21"/>
                <w:highlight w:val="none"/>
                <w:u w:val="none"/>
                <w:lang w:val="en-US" w:eastAsia="zh-CN" w:bidi="ar"/>
              </w:rPr>
              <w:t>拟投入服务人员中至少有3名本科及以上学历，至少有4名</w:t>
            </w:r>
            <w:r>
              <w:rPr>
                <w:rStyle w:val="63"/>
                <w:rFonts w:hint="eastAsia" w:ascii="宋体" w:hAnsi="宋体" w:eastAsia="宋体" w:cs="宋体"/>
                <w:color w:val="auto"/>
                <w:sz w:val="21"/>
                <w:szCs w:val="21"/>
                <w:highlight w:val="none"/>
                <w:u w:val="none"/>
              </w:rPr>
              <w:t>大专学历，一半以上人员有相关工作经验。</w:t>
            </w:r>
          </w:p>
          <w:p w14:paraId="62223666">
            <w:pPr>
              <w:pStyle w:val="6"/>
              <w:spacing w:line="380" w:lineRule="exact"/>
              <w:ind w:firstLine="422" w:firstLineChars="200"/>
              <w:rPr>
                <w:rFonts w:hint="eastAsia" w:ascii="宋体" w:hAnsi="宋体" w:eastAsia="宋体" w:cs="宋体"/>
                <w:color w:val="auto"/>
                <w:highlight w:val="none"/>
                <w:lang w:val="en-US" w:eastAsia="zh-CN"/>
              </w:rPr>
            </w:pPr>
            <w:r>
              <w:rPr>
                <w:rStyle w:val="63"/>
                <w:rFonts w:hint="eastAsia" w:ascii="宋体" w:hAnsi="宋体" w:eastAsia="宋体" w:cs="宋体"/>
                <w:color w:val="auto"/>
                <w:sz w:val="21"/>
                <w:szCs w:val="21"/>
                <w:highlight w:val="none"/>
                <w:u w:val="none"/>
              </w:rPr>
              <w:t>3.供应商</w:t>
            </w:r>
            <w:r>
              <w:rPr>
                <w:rStyle w:val="63"/>
                <w:rFonts w:hint="eastAsia" w:ascii="宋体" w:hAnsi="宋体" w:eastAsia="宋体" w:cs="宋体"/>
                <w:color w:val="auto"/>
                <w:sz w:val="21"/>
                <w:szCs w:val="21"/>
                <w:highlight w:val="none"/>
                <w:u w:val="none"/>
                <w:lang w:eastAsia="zh-CN"/>
              </w:rPr>
              <w:t>应</w:t>
            </w:r>
            <w:r>
              <w:rPr>
                <w:rStyle w:val="63"/>
                <w:rFonts w:hint="eastAsia" w:ascii="宋体" w:hAnsi="宋体" w:eastAsia="宋体" w:cs="宋体"/>
                <w:color w:val="auto"/>
                <w:sz w:val="21"/>
                <w:szCs w:val="21"/>
                <w:highlight w:val="none"/>
                <w:u w:val="none"/>
                <w:lang w:val="en-US" w:eastAsia="zh-CN"/>
              </w:rPr>
              <w:t>在项目实施前</w:t>
            </w:r>
            <w:r>
              <w:rPr>
                <w:rStyle w:val="63"/>
                <w:rFonts w:hint="eastAsia" w:ascii="宋体" w:hAnsi="宋体" w:eastAsia="宋体" w:cs="宋体"/>
                <w:color w:val="auto"/>
                <w:sz w:val="21"/>
                <w:szCs w:val="21"/>
                <w:highlight w:val="none"/>
                <w:u w:val="none"/>
              </w:rPr>
              <w:t>向采购人报备拟投入服务团队的主要人员名单及资质证明材料，作为供应商履约能力的证明。采购人有权审查供应商的整体履约能力。供应商应确保实际投入人员符合本文件要求，并对人员资质的真实性和适岗性承担全部责任。</w:t>
            </w:r>
          </w:p>
          <w:p w14:paraId="15EB21A4">
            <w:pPr>
              <w:widowControl/>
              <w:numPr>
                <w:ilvl w:val="0"/>
                <w:numId w:val="0"/>
              </w:numPr>
              <w:shd w:val="clear" w:color="auto" w:fill="FFFFFF"/>
              <w:wordWrap/>
              <w:spacing w:line="380" w:lineRule="exact"/>
              <w:ind w:firstLine="420" w:firstLineChars="200"/>
              <w:rPr>
                <w:rFonts w:hint="eastAsia" w:ascii="宋体" w:hAnsi="宋体" w:eastAsia="宋体" w:cs="宋体"/>
                <w:color w:val="auto"/>
                <w:szCs w:val="21"/>
                <w:highlight w:val="none"/>
                <w:u w:val="none"/>
              </w:rPr>
            </w:pPr>
            <w:r>
              <w:rPr>
                <w:rFonts w:hint="eastAsia" w:ascii="宋体" w:hAnsi="宋体" w:eastAsia="宋体" w:cs="宋体"/>
                <w:color w:val="auto"/>
                <w:szCs w:val="21"/>
                <w:highlight w:val="none"/>
                <w:u w:val="none"/>
                <w:lang w:val="en-US" w:eastAsia="zh-CN"/>
              </w:rPr>
              <w:t>七、安全</w:t>
            </w:r>
            <w:r>
              <w:rPr>
                <w:rFonts w:hint="eastAsia" w:ascii="宋体" w:hAnsi="宋体" w:eastAsia="宋体" w:cs="宋体"/>
                <w:color w:val="auto"/>
                <w:szCs w:val="21"/>
                <w:highlight w:val="none"/>
                <w:u w:val="none"/>
              </w:rPr>
              <w:t>要求</w:t>
            </w:r>
          </w:p>
          <w:p w14:paraId="25AE2CAF">
            <w:pPr>
              <w:keepNext w:val="0"/>
              <w:keepLines w:val="0"/>
              <w:widowControl/>
              <w:numPr>
                <w:ilvl w:val="0"/>
                <w:numId w:val="0"/>
              </w:numPr>
              <w:suppressLineNumbers w:val="0"/>
              <w:shd w:val="clear" w:color="auto" w:fill="FFFFFF"/>
              <w:spacing w:line="380" w:lineRule="exact"/>
              <w:ind w:firstLine="422" w:firstLineChars="200"/>
              <w:jc w:val="left"/>
              <w:rPr>
                <w:rFonts w:hint="eastAsia" w:ascii="宋体" w:hAnsi="宋体" w:eastAsia="宋体" w:cs="宋体"/>
                <w:b/>
                <w:bCs/>
                <w:color w:val="auto"/>
                <w:kern w:val="2"/>
                <w:sz w:val="21"/>
                <w:szCs w:val="21"/>
                <w:highlight w:val="none"/>
                <w:u w:val="none"/>
                <w:lang w:val="en-US" w:eastAsia="zh-CN" w:bidi="ar"/>
              </w:rPr>
            </w:pPr>
            <w:r>
              <w:rPr>
                <w:rFonts w:hint="eastAsia" w:ascii="宋体" w:hAnsi="宋体" w:eastAsia="宋体" w:cs="宋体"/>
                <w:b/>
                <w:bCs/>
                <w:color w:val="auto"/>
                <w:kern w:val="2"/>
                <w:sz w:val="21"/>
                <w:szCs w:val="21"/>
                <w:highlight w:val="none"/>
                <w:u w:val="none"/>
                <w:lang w:val="en-US" w:eastAsia="zh-CN" w:bidi="ar"/>
              </w:rPr>
              <w:t>1.供应商应统一为全员购买不低于100万元保额的意外伤害保险，相关费用包含在报价中。</w:t>
            </w:r>
          </w:p>
          <w:p w14:paraId="2C9FEAE3">
            <w:pPr>
              <w:keepNext w:val="0"/>
              <w:keepLines w:val="0"/>
              <w:widowControl/>
              <w:numPr>
                <w:ilvl w:val="0"/>
                <w:numId w:val="0"/>
              </w:numPr>
              <w:suppressLineNumbers w:val="0"/>
              <w:shd w:val="clear" w:color="auto" w:fill="FFFFFF"/>
              <w:spacing w:line="380" w:lineRule="exact"/>
              <w:ind w:firstLine="420" w:firstLineChars="200"/>
              <w:jc w:val="left"/>
              <w:rPr>
                <w:rFonts w:hint="eastAsia" w:ascii="宋体" w:hAnsi="宋体" w:eastAsia="宋体" w:cs="宋体"/>
                <w:color w:val="auto"/>
                <w:kern w:val="2"/>
                <w:sz w:val="21"/>
                <w:szCs w:val="21"/>
                <w:highlight w:val="none"/>
                <w:u w:val="none"/>
                <w:lang w:val="en-US" w:eastAsia="zh-CN" w:bidi="ar"/>
              </w:rPr>
            </w:pPr>
            <w:r>
              <w:rPr>
                <w:rFonts w:hint="eastAsia" w:ascii="宋体" w:hAnsi="宋体" w:eastAsia="宋体" w:cs="宋体"/>
                <w:color w:val="auto"/>
                <w:kern w:val="2"/>
                <w:sz w:val="21"/>
                <w:szCs w:val="21"/>
                <w:highlight w:val="none"/>
                <w:u w:val="none"/>
                <w:lang w:val="en-US" w:eastAsia="zh-CN" w:bidi="ar"/>
              </w:rPr>
              <w:t>2.供应商应组织服务人员开展安全生产等业务培训，培训记录报采购人备查。</w:t>
            </w:r>
          </w:p>
          <w:p w14:paraId="767EFCC7">
            <w:pPr>
              <w:pStyle w:val="6"/>
              <w:spacing w:before="0" w:after="0" w:line="380" w:lineRule="exact"/>
              <w:ind w:left="420" w:leftChars="200" w:firstLine="0" w:firstLineChars="0"/>
              <w:rPr>
                <w:rFonts w:hint="eastAsia" w:ascii="宋体" w:hAnsi="宋体" w:eastAsia="宋体" w:cs="宋体"/>
                <w:b w:val="0"/>
                <w:bCs w:val="0"/>
                <w:color w:val="auto"/>
                <w:sz w:val="21"/>
                <w:szCs w:val="21"/>
                <w:highlight w:val="none"/>
                <w:u w:val="none"/>
                <w:lang w:bidi="ar"/>
              </w:rPr>
            </w:pPr>
            <w:r>
              <w:rPr>
                <w:rFonts w:hint="eastAsia" w:ascii="宋体" w:hAnsi="宋体" w:eastAsia="宋体" w:cs="宋体"/>
                <w:b w:val="0"/>
                <w:bCs w:val="0"/>
                <w:color w:val="auto"/>
                <w:sz w:val="21"/>
                <w:szCs w:val="21"/>
                <w:highlight w:val="none"/>
                <w:u w:val="none"/>
                <w:lang w:val="en-US" w:eastAsia="zh-CN" w:bidi="ar"/>
              </w:rPr>
              <w:t>八</w:t>
            </w:r>
            <w:r>
              <w:rPr>
                <w:rFonts w:hint="eastAsia" w:ascii="宋体" w:hAnsi="宋体" w:eastAsia="宋体" w:cs="宋体"/>
                <w:b w:val="0"/>
                <w:bCs w:val="0"/>
                <w:color w:val="auto"/>
                <w:sz w:val="21"/>
                <w:szCs w:val="21"/>
                <w:highlight w:val="none"/>
                <w:u w:val="none"/>
                <w:lang w:bidi="ar"/>
              </w:rPr>
              <w:t>、</w:t>
            </w:r>
            <w:r>
              <w:rPr>
                <w:rFonts w:hint="eastAsia" w:ascii="宋体" w:hAnsi="宋体" w:eastAsia="宋体" w:cs="宋体"/>
                <w:b w:val="0"/>
                <w:bCs w:val="0"/>
                <w:color w:val="auto"/>
                <w:sz w:val="21"/>
                <w:szCs w:val="21"/>
                <w:highlight w:val="none"/>
                <w:u w:val="none"/>
                <w:lang w:val="en-US" w:eastAsia="zh-CN" w:bidi="ar"/>
              </w:rPr>
              <w:t>服务成果</w:t>
            </w:r>
            <w:r>
              <w:rPr>
                <w:rFonts w:hint="eastAsia" w:ascii="宋体" w:hAnsi="宋体" w:eastAsia="宋体" w:cs="宋体"/>
                <w:b w:val="0"/>
                <w:bCs w:val="0"/>
                <w:color w:val="auto"/>
                <w:sz w:val="21"/>
                <w:szCs w:val="21"/>
                <w:highlight w:val="none"/>
                <w:u w:val="none"/>
                <w:lang w:bidi="ar"/>
              </w:rPr>
              <w:br w:type="textWrapping"/>
            </w:r>
            <w:r>
              <w:rPr>
                <w:rFonts w:hint="eastAsia" w:ascii="宋体" w:hAnsi="宋体" w:eastAsia="宋体" w:cs="宋体"/>
                <w:b w:val="0"/>
                <w:bCs w:val="0"/>
                <w:color w:val="auto"/>
                <w:sz w:val="21"/>
                <w:szCs w:val="21"/>
                <w:highlight w:val="none"/>
                <w:u w:val="none"/>
                <w:lang w:eastAsia="zh-CN" w:bidi="ar"/>
              </w:rPr>
              <w:t>1</w:t>
            </w:r>
            <w:r>
              <w:rPr>
                <w:rFonts w:hint="eastAsia" w:ascii="宋体" w:hAnsi="宋体" w:eastAsia="宋体" w:cs="宋体"/>
                <w:b w:val="0"/>
                <w:bCs w:val="0"/>
                <w:color w:val="auto"/>
                <w:sz w:val="21"/>
                <w:szCs w:val="21"/>
                <w:highlight w:val="none"/>
                <w:u w:val="none"/>
                <w:lang w:val="en-US" w:eastAsia="zh-CN" w:bidi="ar"/>
              </w:rPr>
              <w:t>.</w:t>
            </w:r>
            <w:r>
              <w:rPr>
                <w:rFonts w:hint="eastAsia" w:ascii="宋体" w:hAnsi="宋体" w:eastAsia="宋体" w:cs="宋体"/>
                <w:b w:val="0"/>
                <w:bCs w:val="0"/>
                <w:color w:val="auto"/>
                <w:sz w:val="21"/>
                <w:szCs w:val="21"/>
                <w:highlight w:val="none"/>
                <w:u w:val="none"/>
                <w:lang w:bidi="ar"/>
              </w:rPr>
              <w:t>每月末后</w:t>
            </w:r>
            <w:r>
              <w:rPr>
                <w:rFonts w:hint="eastAsia" w:ascii="宋体" w:hAnsi="宋体" w:eastAsia="宋体" w:cs="宋体"/>
                <w:b w:val="0"/>
                <w:bCs w:val="0"/>
                <w:color w:val="auto"/>
                <w:sz w:val="21"/>
                <w:szCs w:val="21"/>
                <w:highlight w:val="none"/>
                <w:u w:val="none"/>
                <w:lang w:eastAsia="zh-CN" w:bidi="ar"/>
              </w:rPr>
              <w:t>5</w:t>
            </w:r>
            <w:r>
              <w:rPr>
                <w:rFonts w:hint="eastAsia" w:ascii="宋体" w:hAnsi="宋体" w:eastAsia="宋体" w:cs="宋体"/>
                <w:b w:val="0"/>
                <w:bCs w:val="0"/>
                <w:color w:val="auto"/>
                <w:sz w:val="21"/>
                <w:szCs w:val="21"/>
                <w:highlight w:val="none"/>
                <w:u w:val="none"/>
                <w:lang w:bidi="ar"/>
              </w:rPr>
              <w:t>个工作日内提交月度工作报告。</w:t>
            </w:r>
          </w:p>
          <w:p w14:paraId="32CCFCCD">
            <w:pPr>
              <w:pStyle w:val="6"/>
              <w:spacing w:before="0" w:after="0" w:line="380" w:lineRule="exact"/>
              <w:ind w:firstLine="420" w:firstLineChars="200"/>
              <w:rPr>
                <w:rFonts w:hint="eastAsia" w:ascii="宋体" w:hAnsi="宋体" w:eastAsia="宋体" w:cs="宋体"/>
                <w:b w:val="0"/>
                <w:bCs w:val="0"/>
                <w:color w:val="auto"/>
                <w:sz w:val="21"/>
                <w:szCs w:val="21"/>
                <w:highlight w:val="none"/>
                <w:u w:val="none"/>
                <w:lang w:bidi="ar"/>
              </w:rPr>
            </w:pPr>
            <w:r>
              <w:rPr>
                <w:rFonts w:hint="eastAsia" w:ascii="宋体" w:hAnsi="宋体" w:eastAsia="宋体" w:cs="宋体"/>
                <w:b w:val="0"/>
                <w:bCs w:val="0"/>
                <w:color w:val="auto"/>
                <w:sz w:val="21"/>
                <w:szCs w:val="21"/>
                <w:highlight w:val="none"/>
                <w:u w:val="none"/>
                <w:lang w:eastAsia="zh-CN" w:bidi="ar"/>
              </w:rPr>
              <w:t>2</w:t>
            </w:r>
            <w:r>
              <w:rPr>
                <w:rFonts w:hint="eastAsia" w:ascii="宋体" w:hAnsi="宋体" w:eastAsia="宋体" w:cs="宋体"/>
                <w:b w:val="0"/>
                <w:bCs w:val="0"/>
                <w:color w:val="auto"/>
                <w:sz w:val="21"/>
                <w:szCs w:val="21"/>
                <w:highlight w:val="none"/>
                <w:u w:val="none"/>
                <w:lang w:val="en-US" w:eastAsia="zh-CN" w:bidi="ar"/>
              </w:rPr>
              <w:t>.</w:t>
            </w:r>
            <w:r>
              <w:rPr>
                <w:rFonts w:hint="eastAsia" w:ascii="宋体" w:hAnsi="宋体" w:eastAsia="宋体" w:cs="宋体"/>
                <w:b w:val="0"/>
                <w:bCs w:val="0"/>
                <w:color w:val="auto"/>
                <w:sz w:val="21"/>
                <w:szCs w:val="21"/>
                <w:highlight w:val="none"/>
                <w:u w:val="none"/>
                <w:lang w:bidi="ar"/>
              </w:rPr>
              <w:t>服务期满后 1</w:t>
            </w:r>
            <w:r>
              <w:rPr>
                <w:rFonts w:hint="eastAsia" w:ascii="宋体" w:hAnsi="宋体" w:eastAsia="宋体" w:cs="宋体"/>
                <w:b w:val="0"/>
                <w:bCs w:val="0"/>
                <w:color w:val="auto"/>
                <w:sz w:val="21"/>
                <w:szCs w:val="21"/>
                <w:highlight w:val="none"/>
                <w:u w:val="none"/>
                <w:lang w:eastAsia="zh-CN" w:bidi="ar"/>
              </w:rPr>
              <w:t>5</w:t>
            </w:r>
            <w:r>
              <w:rPr>
                <w:rFonts w:hint="eastAsia" w:ascii="宋体" w:hAnsi="宋体" w:eastAsia="宋体" w:cs="宋体"/>
                <w:b w:val="0"/>
                <w:bCs w:val="0"/>
                <w:color w:val="auto"/>
                <w:sz w:val="21"/>
                <w:szCs w:val="21"/>
                <w:highlight w:val="none"/>
                <w:u w:val="none"/>
                <w:lang w:bidi="ar"/>
              </w:rPr>
              <w:t>个工作日内提交</w:t>
            </w:r>
            <w:r>
              <w:rPr>
                <w:rFonts w:hint="eastAsia" w:ascii="宋体" w:hAnsi="宋体" w:eastAsia="宋体" w:cs="宋体"/>
                <w:b w:val="0"/>
                <w:bCs w:val="0"/>
                <w:color w:val="auto"/>
                <w:sz w:val="21"/>
                <w:szCs w:val="21"/>
                <w:highlight w:val="none"/>
                <w:u w:val="none"/>
                <w:lang w:val="en-US" w:eastAsia="zh-CN" w:bidi="ar"/>
              </w:rPr>
              <w:t>项目服务</w:t>
            </w:r>
            <w:r>
              <w:rPr>
                <w:rFonts w:hint="eastAsia" w:ascii="宋体" w:hAnsi="宋体" w:eastAsia="宋体" w:cs="宋体"/>
                <w:b w:val="0"/>
                <w:bCs w:val="0"/>
                <w:color w:val="auto"/>
                <w:sz w:val="21"/>
                <w:szCs w:val="21"/>
                <w:highlight w:val="none"/>
                <w:u w:val="none"/>
                <w:lang w:bidi="ar"/>
              </w:rPr>
              <w:t>工作总结报告及全套档案资料。</w:t>
            </w:r>
          </w:p>
          <w:p w14:paraId="6A00D4D9">
            <w:pPr>
              <w:keepNext w:val="0"/>
              <w:keepLines w:val="0"/>
              <w:widowControl/>
              <w:suppressLineNumbers w:val="0"/>
              <w:shd w:val="clear" w:color="auto" w:fill="FFFFFF"/>
              <w:spacing w:before="0" w:after="0"/>
              <w:ind w:firstLine="420" w:firstLineChars="200"/>
              <w:jc w:val="both"/>
              <w:rPr>
                <w:rFonts w:hint="eastAsia" w:ascii="宋体" w:hAnsi="宋体" w:eastAsia="宋体" w:cs="宋体"/>
                <w:b w:val="0"/>
                <w:bCs w:val="0"/>
                <w:color w:val="auto"/>
                <w:sz w:val="21"/>
                <w:szCs w:val="21"/>
                <w:highlight w:val="none"/>
                <w:u w:val="none"/>
                <w:lang w:bidi="ar"/>
              </w:rPr>
            </w:pPr>
            <w:r>
              <w:rPr>
                <w:rFonts w:hint="eastAsia" w:ascii="宋体" w:hAnsi="宋体" w:eastAsia="宋体" w:cs="宋体"/>
                <w:b w:val="0"/>
                <w:bCs w:val="0"/>
                <w:color w:val="auto"/>
                <w:sz w:val="21"/>
                <w:szCs w:val="21"/>
                <w:highlight w:val="none"/>
                <w:u w:val="none"/>
                <w:lang w:eastAsia="zh-CN" w:bidi="ar"/>
              </w:rPr>
              <w:t>3</w:t>
            </w:r>
            <w:r>
              <w:rPr>
                <w:rFonts w:hint="eastAsia" w:ascii="宋体" w:hAnsi="宋体" w:eastAsia="宋体" w:cs="宋体"/>
                <w:b w:val="0"/>
                <w:bCs w:val="0"/>
                <w:color w:val="auto"/>
                <w:sz w:val="21"/>
                <w:szCs w:val="21"/>
                <w:highlight w:val="none"/>
                <w:u w:val="none"/>
                <w:lang w:val="en-US" w:eastAsia="zh-CN" w:bidi="ar"/>
              </w:rPr>
              <w:t>.</w:t>
            </w:r>
            <w:r>
              <w:rPr>
                <w:rFonts w:hint="eastAsia" w:ascii="宋体" w:hAnsi="宋体" w:eastAsia="宋体" w:cs="宋体"/>
                <w:b w:val="0"/>
                <w:bCs w:val="0"/>
                <w:color w:val="auto"/>
                <w:sz w:val="21"/>
                <w:szCs w:val="21"/>
                <w:highlight w:val="none"/>
                <w:u w:val="none"/>
                <w:lang w:bidi="ar"/>
              </w:rPr>
              <w:t>所有成果资料真实、规范，采购人有权随时调阅检查。</w:t>
            </w:r>
          </w:p>
          <w:p w14:paraId="078ED913">
            <w:pPr>
              <w:widowControl/>
              <w:numPr>
                <w:ilvl w:val="0"/>
                <w:numId w:val="0"/>
              </w:numPr>
              <w:shd w:val="clear" w:color="auto" w:fill="FFFFFF"/>
              <w:spacing w:line="380" w:lineRule="exact"/>
              <w:ind w:firstLine="420" w:firstLineChars="200"/>
              <w:jc w:val="left"/>
              <w:rPr>
                <w:rFonts w:hint="eastAsia" w:ascii="宋体" w:hAnsi="宋体" w:eastAsia="宋体" w:cs="宋体"/>
                <w:color w:val="auto"/>
                <w:szCs w:val="21"/>
                <w:highlight w:val="none"/>
                <w:u w:val="none"/>
                <w:lang w:val="en-US" w:eastAsia="zh-CN" w:bidi="ar"/>
              </w:rPr>
            </w:pPr>
            <w:r>
              <w:rPr>
                <w:rFonts w:hint="eastAsia" w:ascii="宋体" w:hAnsi="宋体" w:eastAsia="宋体" w:cs="宋体"/>
                <w:color w:val="auto"/>
                <w:szCs w:val="21"/>
                <w:highlight w:val="none"/>
                <w:u w:val="none"/>
                <w:lang w:val="en-US" w:eastAsia="zh-CN" w:bidi="ar"/>
              </w:rPr>
              <w:t xml:space="preserve">九、供应商违约 </w:t>
            </w:r>
          </w:p>
          <w:p w14:paraId="194B9E24">
            <w:pPr>
              <w:widowControl/>
              <w:numPr>
                <w:ilvl w:val="0"/>
                <w:numId w:val="0"/>
              </w:numPr>
              <w:shd w:val="clear" w:color="auto" w:fill="FFFFFF"/>
              <w:spacing w:line="380" w:lineRule="exact"/>
              <w:ind w:firstLine="420" w:firstLineChars="200"/>
              <w:jc w:val="left"/>
              <w:rPr>
                <w:rFonts w:hint="eastAsia" w:ascii="宋体" w:hAnsi="宋体" w:eastAsia="宋体" w:cs="宋体"/>
                <w:color w:val="auto"/>
                <w:szCs w:val="21"/>
                <w:highlight w:val="none"/>
                <w:u w:val="none"/>
                <w:lang w:val="en-US" w:eastAsia="zh-CN" w:bidi="ar"/>
              </w:rPr>
            </w:pPr>
            <w:r>
              <w:rPr>
                <w:rFonts w:hint="eastAsia" w:ascii="宋体" w:hAnsi="宋体" w:eastAsia="宋体" w:cs="宋体"/>
                <w:color w:val="auto"/>
                <w:szCs w:val="21"/>
                <w:highlight w:val="none"/>
                <w:u w:val="none"/>
                <w:lang w:val="en-US" w:eastAsia="zh-CN" w:bidi="ar"/>
              </w:rPr>
              <w:t>本项目违约主体为供应商。供应商违反采购文件、投标承诺等义务，或其行为与第五章“服务不达要求情形”相符的，即构成违约。</w:t>
            </w:r>
          </w:p>
          <w:p w14:paraId="428C2323">
            <w:pPr>
              <w:widowControl/>
              <w:numPr>
                <w:ilvl w:val="0"/>
                <w:numId w:val="0"/>
              </w:numPr>
              <w:shd w:val="clear" w:color="auto" w:fill="FFFFFF"/>
              <w:spacing w:line="38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szCs w:val="21"/>
                <w:highlight w:val="none"/>
                <w:u w:val="none"/>
                <w:lang w:val="en-US" w:eastAsia="zh-CN" w:bidi="ar"/>
              </w:rPr>
              <w:t>采购人可根据问题情节轻重，认定为一般违约或严重违约，出具书面问题告知，供应商可在规定时限内陈述申辩，采购人结合证据核实后作出处理。扣款可直接在进度款、结算款或履约保证金中抵扣，供应商无异议。</w:t>
            </w:r>
          </w:p>
          <w:p w14:paraId="75682B6D">
            <w:pPr>
              <w:widowControl/>
              <w:numPr>
                <w:ilvl w:val="0"/>
                <w:numId w:val="0"/>
              </w:numPr>
              <w:shd w:val="clear" w:color="auto" w:fill="FFFFFF"/>
              <w:wordWrap/>
              <w:spacing w:line="380" w:lineRule="exact"/>
              <w:ind w:firstLine="420" w:firstLineChars="200"/>
              <w:jc w:val="both"/>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 xml:space="preserve">9.1 一般违约 </w:t>
            </w:r>
          </w:p>
          <w:p w14:paraId="70D8F3F1">
            <w:pPr>
              <w:widowControl/>
              <w:numPr>
                <w:ilvl w:val="0"/>
                <w:numId w:val="0"/>
              </w:numPr>
              <w:shd w:val="clear" w:color="auto" w:fill="FFFFFF"/>
              <w:wordWrap/>
              <w:spacing w:line="380" w:lineRule="exact"/>
              <w:ind w:firstLine="420" w:firstLineChars="200"/>
              <w:jc w:val="both"/>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供应商存在下列情形，认定为一般违约，单次扣当月服务费的 5%—10%；当月累计2次及以上的，扣当月服务费15%，并约谈供应商项目负责人、限期整改：</w:t>
            </w:r>
          </w:p>
          <w:p w14:paraId="6357956A">
            <w:pPr>
              <w:widowControl/>
              <w:numPr>
                <w:ilvl w:val="0"/>
                <w:numId w:val="0"/>
              </w:numPr>
              <w:shd w:val="clear" w:color="auto" w:fill="FFFFFF"/>
              <w:wordWrap/>
              <w:spacing w:line="380" w:lineRule="exact"/>
              <w:ind w:firstLine="420" w:firstLineChars="200"/>
              <w:jc w:val="both"/>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 xml:space="preserve">1.漏巡空巡，缩短工时、提前离岗、虚假凑工日； </w:t>
            </w:r>
          </w:p>
          <w:p w14:paraId="06AD1ABD">
            <w:pPr>
              <w:widowControl/>
              <w:numPr>
                <w:ilvl w:val="0"/>
                <w:numId w:val="0"/>
              </w:numPr>
              <w:shd w:val="clear" w:color="auto" w:fill="FFFFFF"/>
              <w:wordWrap/>
              <w:spacing w:line="380" w:lineRule="exact"/>
              <w:ind w:firstLine="420" w:firstLineChars="200"/>
              <w:jc w:val="both"/>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 xml:space="preserve">2. 供应商擅自更换核心服务人员且未提前书面通知采购人，或实际投入人员资质明显不符合采购文件要求的； </w:t>
            </w:r>
          </w:p>
          <w:p w14:paraId="1E71D9A8">
            <w:pPr>
              <w:widowControl/>
              <w:numPr>
                <w:ilvl w:val="0"/>
                <w:numId w:val="0"/>
              </w:numPr>
              <w:shd w:val="clear" w:color="auto" w:fill="FFFFFF"/>
              <w:wordWrap/>
              <w:spacing w:line="380" w:lineRule="exact"/>
              <w:ind w:firstLine="420" w:firstLineChars="200"/>
              <w:jc w:val="both"/>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 xml:space="preserve">3.消极推诿、拒不服从采购人在服务成果、服务标准方面的合理调度要求，对临时、应急服务事项处置懈怠； </w:t>
            </w:r>
          </w:p>
          <w:p w14:paraId="010B2E69">
            <w:pPr>
              <w:widowControl/>
              <w:numPr>
                <w:ilvl w:val="0"/>
                <w:numId w:val="0"/>
              </w:numPr>
              <w:shd w:val="clear" w:color="auto" w:fill="FFFFFF"/>
              <w:wordWrap/>
              <w:spacing w:line="380" w:lineRule="exact"/>
              <w:ind w:firstLine="420" w:firstLineChars="200"/>
              <w:jc w:val="both"/>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4.台账记录不规范、报告迟报，经提醒可补正但整改不到位。</w:t>
            </w:r>
          </w:p>
          <w:p w14:paraId="1DC705F3">
            <w:pPr>
              <w:widowControl/>
              <w:numPr>
                <w:ilvl w:val="0"/>
                <w:numId w:val="0"/>
              </w:numPr>
              <w:shd w:val="clear" w:color="auto" w:fill="FFFFFF"/>
              <w:wordWrap/>
              <w:spacing w:line="380" w:lineRule="exact"/>
              <w:ind w:firstLine="420" w:firstLineChars="200"/>
              <w:jc w:val="both"/>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5. 巡护管护服务不到位，对管护区域内发生的病虫害、污染、人为破坏未及时发现、劝阻、制止或上报的；重点巡护区内红树林生态系统异常未在当日上报的；</w:t>
            </w:r>
          </w:p>
          <w:p w14:paraId="3D672D6A">
            <w:pPr>
              <w:widowControl/>
              <w:numPr>
                <w:ilvl w:val="0"/>
                <w:numId w:val="0"/>
              </w:numPr>
              <w:shd w:val="clear" w:color="auto" w:fill="FFFFFF"/>
              <w:wordWrap/>
              <w:spacing w:line="380" w:lineRule="exact"/>
              <w:ind w:firstLine="420" w:firstLineChars="200"/>
              <w:jc w:val="both"/>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6. 资源管理服务不到位，对红树林、野生动植物等资源未按要求进行日常监管导致受损未及时发现的；未参与修复管护、互花米草治理等项目实施的；养殖塘监管流于形式；湿地基础设施损坏未及时报告的；</w:t>
            </w:r>
          </w:p>
          <w:p w14:paraId="4651C175">
            <w:pPr>
              <w:widowControl/>
              <w:numPr>
                <w:ilvl w:val="0"/>
                <w:numId w:val="0"/>
              </w:numPr>
              <w:shd w:val="clear" w:color="auto" w:fill="FFFFFF"/>
              <w:wordWrap/>
              <w:spacing w:line="380" w:lineRule="exact"/>
              <w:ind w:firstLine="420" w:firstLineChars="200"/>
              <w:jc w:val="both"/>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7. 科研宣教服务不到位，未按要求协助生态调查和数据收集的；科普宣传活动未按要求策划执行的；</w:t>
            </w:r>
          </w:p>
          <w:p w14:paraId="78BF1C17">
            <w:pPr>
              <w:widowControl/>
              <w:numPr>
                <w:ilvl w:val="0"/>
                <w:numId w:val="0"/>
              </w:numPr>
              <w:shd w:val="clear" w:color="auto" w:fill="FFFFFF"/>
              <w:wordWrap/>
              <w:spacing w:line="380" w:lineRule="exact"/>
              <w:ind w:firstLine="420" w:firstLineChars="200"/>
              <w:jc w:val="both"/>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 xml:space="preserve">8. 群众引导监管不到位，对不文明游览行为未及时劝阻的；对集体赶海、观鸟等聚集性活动未进行动态巡查的。 </w:t>
            </w:r>
          </w:p>
          <w:p w14:paraId="40E2C844">
            <w:pPr>
              <w:widowControl/>
              <w:numPr>
                <w:ilvl w:val="0"/>
                <w:numId w:val="0"/>
              </w:numPr>
              <w:shd w:val="clear" w:color="auto" w:fill="FFFFFF"/>
              <w:wordWrap/>
              <w:spacing w:line="380" w:lineRule="exact"/>
              <w:ind w:firstLine="420" w:firstLineChars="200"/>
              <w:jc w:val="both"/>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 xml:space="preserve">9.2 严重违约 </w:t>
            </w:r>
          </w:p>
          <w:p w14:paraId="0F432F56">
            <w:pPr>
              <w:widowControl/>
              <w:numPr>
                <w:ilvl w:val="0"/>
                <w:numId w:val="0"/>
              </w:numPr>
              <w:shd w:val="clear" w:color="auto" w:fill="FFFFFF"/>
              <w:wordWrap/>
              <w:spacing w:line="380" w:lineRule="exact"/>
              <w:ind w:firstLine="420" w:firstLineChars="200"/>
              <w:jc w:val="both"/>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供应商存在下列情形，认定为严重违约，单次扣当月服务费 30%；年度累计2次严重违约的，采购人有权扣除全部履约保证金、中止或单方解除合同，全部损失与法律责任由供应商承担：</w:t>
            </w:r>
          </w:p>
          <w:p w14:paraId="0803B22C">
            <w:pPr>
              <w:widowControl/>
              <w:numPr>
                <w:ilvl w:val="0"/>
                <w:numId w:val="0"/>
              </w:numPr>
              <w:shd w:val="clear" w:color="auto" w:fill="FFFFFF"/>
              <w:wordWrap/>
              <w:spacing w:line="380" w:lineRule="exact"/>
              <w:ind w:firstLine="420" w:firstLineChars="200"/>
              <w:jc w:val="both"/>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 xml:space="preserve">1.虚报、伪造服务及成果资料； </w:t>
            </w:r>
          </w:p>
          <w:p w14:paraId="4533D6F8">
            <w:pPr>
              <w:widowControl/>
              <w:numPr>
                <w:ilvl w:val="0"/>
                <w:numId w:val="0"/>
              </w:numPr>
              <w:shd w:val="clear" w:color="auto" w:fill="FFFFFF"/>
              <w:wordWrap/>
              <w:spacing w:line="380" w:lineRule="exact"/>
              <w:ind w:firstLine="420" w:firstLineChars="200"/>
              <w:jc w:val="both"/>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 xml:space="preserve">2.服务严重失职，造成红树林生态破坏、重大生态隐患，或因服务不到位引发生态损害、舆情投诉、被上级通报或行政机关处罚； </w:t>
            </w:r>
          </w:p>
          <w:p w14:paraId="16EEC8E7">
            <w:pPr>
              <w:widowControl/>
              <w:numPr>
                <w:ilvl w:val="0"/>
                <w:numId w:val="0"/>
              </w:numPr>
              <w:shd w:val="clear" w:color="auto" w:fill="FFFFFF"/>
              <w:wordWrap/>
              <w:spacing w:line="380" w:lineRule="exact"/>
              <w:ind w:firstLine="420" w:firstLineChars="200"/>
              <w:jc w:val="both"/>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 xml:space="preserve">3.拒不服从采购人管理、屡改屡犯，或擅自转包、违法分包本项目； </w:t>
            </w:r>
          </w:p>
          <w:p w14:paraId="3A185190">
            <w:pPr>
              <w:widowControl/>
              <w:numPr>
                <w:ilvl w:val="0"/>
                <w:numId w:val="0"/>
              </w:numPr>
              <w:shd w:val="clear" w:color="auto" w:fill="FFFFFF"/>
              <w:wordWrap/>
              <w:spacing w:line="380" w:lineRule="exact"/>
              <w:ind w:firstLine="420" w:firstLineChars="200"/>
              <w:jc w:val="both"/>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 xml:space="preserve">4.未按要求购买意外险、拖欠人员费用，或发生安全事故； </w:t>
            </w:r>
          </w:p>
          <w:p w14:paraId="738CB7C7">
            <w:pPr>
              <w:widowControl/>
              <w:numPr>
                <w:ilvl w:val="0"/>
                <w:numId w:val="0"/>
              </w:numPr>
              <w:shd w:val="clear" w:color="auto" w:fill="FFFFFF"/>
              <w:wordWrap/>
              <w:spacing w:line="380" w:lineRule="exact"/>
              <w:ind w:firstLine="420" w:firstLineChars="200"/>
              <w:jc w:val="both"/>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5.挪用项目费用，或因供应商违约导致采购人被起诉、仲裁、调查、处罚及造成其他重大损失。</w:t>
            </w:r>
          </w:p>
          <w:p w14:paraId="268DEBF9">
            <w:pPr>
              <w:widowControl/>
              <w:numPr>
                <w:ilvl w:val="0"/>
                <w:numId w:val="0"/>
              </w:numPr>
              <w:shd w:val="clear" w:color="auto" w:fill="FFFFFF"/>
              <w:wordWrap/>
              <w:spacing w:line="380" w:lineRule="exact"/>
              <w:ind w:firstLine="420" w:firstLineChars="200"/>
              <w:jc w:val="both"/>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6. 资源管理严重失职，因巡护不到位导致红树林资源遭受实质性破坏的；互花米草等外来入侵物种因监管不力大面积扩散的；</w:t>
            </w:r>
          </w:p>
          <w:p w14:paraId="4CE49EDF">
            <w:pPr>
              <w:widowControl/>
              <w:numPr>
                <w:ilvl w:val="0"/>
                <w:numId w:val="0"/>
              </w:numPr>
              <w:shd w:val="clear" w:color="auto" w:fill="FFFFFF"/>
              <w:wordWrap/>
              <w:spacing w:line="380" w:lineRule="exact"/>
              <w:ind w:firstLine="420" w:firstLineChars="200"/>
              <w:jc w:val="both"/>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7. 群众引导严重失职，对聚集性活动监管不力，引发安全事故、人员伤亡或重大生态损害的；</w:t>
            </w:r>
          </w:p>
          <w:p w14:paraId="40E65AE9">
            <w:pPr>
              <w:widowControl/>
              <w:numPr>
                <w:ilvl w:val="0"/>
                <w:numId w:val="0"/>
              </w:numPr>
              <w:shd w:val="clear" w:color="auto" w:fill="FFFFFF"/>
              <w:wordWrap/>
              <w:spacing w:line="380" w:lineRule="exact"/>
              <w:ind w:firstLine="420" w:firstLineChars="200"/>
              <w:jc w:val="both"/>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 xml:space="preserve">8. 对一般违约第5—8项经采购人书面责令整改后仍不改正的，直接升级为严重违约。 </w:t>
            </w:r>
          </w:p>
          <w:p w14:paraId="1DF4076F">
            <w:pPr>
              <w:widowControl/>
              <w:numPr>
                <w:ilvl w:val="0"/>
                <w:numId w:val="0"/>
              </w:numPr>
              <w:shd w:val="clear" w:color="auto" w:fill="FFFFFF"/>
              <w:wordWrap/>
              <w:spacing w:line="380" w:lineRule="exact"/>
              <w:ind w:firstLine="420" w:firstLineChars="200"/>
              <w:jc w:val="both"/>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供应商及其服务人员必须严格遵守采购人的各项规章制度。因违反上述制度造成的一切后果由供应商承担。若采购人在合同履行期间修订或出台新的保护管理制度，供应商须无条件遵守，本条款的扣罚标准随新制度同步适用。</w:t>
            </w:r>
          </w:p>
          <w:p w14:paraId="03DEB112">
            <w:pPr>
              <w:widowControl/>
              <w:numPr>
                <w:ilvl w:val="0"/>
                <w:numId w:val="0"/>
              </w:numPr>
              <w:shd w:val="clear" w:color="auto" w:fill="FFFFFF"/>
              <w:wordWrap/>
              <w:spacing w:line="380" w:lineRule="exact"/>
              <w:ind w:firstLine="420" w:firstLineChars="200"/>
              <w:jc w:val="both"/>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lang w:val="en-US" w:eastAsia="zh-CN"/>
              </w:rPr>
              <w:t>十、</w:t>
            </w:r>
            <w:r>
              <w:rPr>
                <w:rFonts w:hint="eastAsia" w:ascii="宋体" w:hAnsi="宋体" w:eastAsia="宋体" w:cs="宋体"/>
                <w:color w:val="auto"/>
                <w:sz w:val="21"/>
                <w:szCs w:val="21"/>
                <w:highlight w:val="none"/>
                <w:u w:val="none"/>
              </w:rPr>
              <w:t>其他要求</w:t>
            </w:r>
          </w:p>
          <w:p w14:paraId="1F62F2E4">
            <w:pPr>
              <w:widowControl/>
              <w:numPr>
                <w:ilvl w:val="0"/>
                <w:numId w:val="0"/>
              </w:numPr>
              <w:shd w:val="clear" w:color="auto" w:fill="FFFFFF"/>
              <w:wordWrap/>
              <w:spacing w:line="380" w:lineRule="exact"/>
              <w:ind w:firstLine="420" w:firstLineChars="200"/>
              <w:rPr>
                <w:rFonts w:hint="eastAsia" w:ascii="宋体" w:hAnsi="宋体" w:eastAsia="宋体" w:cs="宋体"/>
                <w:color w:val="auto"/>
                <w:szCs w:val="21"/>
                <w:highlight w:val="none"/>
                <w:u w:val="none"/>
              </w:rPr>
            </w:pPr>
            <w:r>
              <w:rPr>
                <w:rFonts w:hint="eastAsia" w:ascii="宋体" w:hAnsi="宋体" w:eastAsia="宋体" w:cs="宋体"/>
                <w:color w:val="auto"/>
                <w:szCs w:val="21"/>
                <w:highlight w:val="none"/>
                <w:u w:val="none"/>
                <w:lang w:val="en-US" w:eastAsia="zh-CN"/>
              </w:rPr>
              <w:t>1.供应商应建立稳定的服务团队，确保核心人员相对固定，以保障服务连续性。供应商应与服务人员依法签订劳动或劳务合同，并独立负责人员管理、费用发放、劳动关系及人身安全保障等全部事项。供应商应将本项目的服务要求传达至服务人员，确保服务标准落实到位。供应商与服务人员之间的用工关系由供应商独立管理。</w:t>
            </w:r>
          </w:p>
          <w:p w14:paraId="0E8D7DD2">
            <w:pPr>
              <w:widowControl/>
              <w:numPr>
                <w:ilvl w:val="0"/>
                <w:numId w:val="0"/>
              </w:numPr>
              <w:shd w:val="clear" w:color="auto" w:fill="FFFFFF"/>
              <w:wordWrap/>
              <w:spacing w:line="380" w:lineRule="exact"/>
              <w:ind w:firstLine="420" w:firstLineChars="200"/>
              <w:rPr>
                <w:rFonts w:hint="eastAsia" w:ascii="宋体" w:hAnsi="宋体" w:eastAsia="宋体" w:cs="宋体"/>
                <w:color w:val="auto"/>
                <w:szCs w:val="21"/>
                <w:highlight w:val="none"/>
                <w:u w:val="none"/>
              </w:rPr>
            </w:pPr>
            <w:r>
              <w:rPr>
                <w:rFonts w:hint="eastAsia" w:ascii="宋体" w:hAnsi="宋体" w:eastAsia="宋体" w:cs="宋体"/>
                <w:color w:val="auto"/>
                <w:szCs w:val="21"/>
                <w:highlight w:val="none"/>
                <w:u w:val="none"/>
                <w:lang w:val="en-US" w:eastAsia="zh-CN"/>
              </w:rPr>
              <w:t xml:space="preserve">2.供应商负责管理服务人员工作档案、处理劳务纠纷和涉及劳动关系的所有事宜等。 </w:t>
            </w:r>
          </w:p>
          <w:p w14:paraId="04492AB7">
            <w:pPr>
              <w:widowControl/>
              <w:numPr>
                <w:ilvl w:val="0"/>
                <w:numId w:val="0"/>
              </w:numPr>
              <w:shd w:val="clear" w:color="auto" w:fill="FFFFFF"/>
              <w:wordWrap/>
              <w:spacing w:line="380" w:lineRule="exact"/>
              <w:ind w:firstLine="420" w:firstLineChars="200"/>
              <w:rPr>
                <w:rFonts w:hint="eastAsia" w:ascii="宋体" w:hAnsi="宋体" w:eastAsia="宋体" w:cs="宋体"/>
                <w:color w:val="auto"/>
                <w:szCs w:val="21"/>
                <w:highlight w:val="none"/>
                <w:u w:val="none"/>
              </w:rPr>
            </w:pPr>
            <w:r>
              <w:rPr>
                <w:rFonts w:hint="eastAsia" w:ascii="宋体" w:hAnsi="宋体" w:eastAsia="宋体" w:cs="宋体"/>
                <w:color w:val="auto"/>
                <w:szCs w:val="21"/>
                <w:highlight w:val="none"/>
                <w:u w:val="none"/>
                <w:lang w:val="en-US" w:eastAsia="zh-CN"/>
              </w:rPr>
              <w:t>3.如采购人认为供应商投入的服务能力不足以保证服务质量，有权要求供应商在 10日内补充或调整服务资源。供应商应积极响应，自行组织人员调配，确保服务标准不降低。如因监管要求</w:t>
            </w:r>
            <w:bookmarkStart w:id="41" w:name="page59"/>
            <w:bookmarkEnd w:id="41"/>
            <w:r>
              <w:rPr>
                <w:rFonts w:hint="eastAsia" w:ascii="宋体" w:hAnsi="宋体" w:eastAsia="宋体" w:cs="宋体"/>
                <w:color w:val="auto"/>
                <w:szCs w:val="21"/>
                <w:highlight w:val="none"/>
                <w:u w:val="none"/>
                <w:lang w:val="en-US" w:eastAsia="zh-CN"/>
              </w:rPr>
              <w:t>或上级的制度要求，采购人需停止该项目服务，采购人会提前30日书面通知供应商、供应商应予以理解和支持，采购人不另行支付违约金。</w:t>
            </w:r>
          </w:p>
          <w:p w14:paraId="0FD3FC75">
            <w:pPr>
              <w:widowControl/>
              <w:numPr>
                <w:ilvl w:val="0"/>
                <w:numId w:val="0"/>
              </w:numPr>
              <w:shd w:val="clear" w:color="auto" w:fill="FFFFFF"/>
              <w:wordWrap/>
              <w:spacing w:line="380" w:lineRule="exact"/>
              <w:ind w:firstLine="420" w:firstLineChars="200"/>
              <w:rPr>
                <w:rFonts w:hint="eastAsia" w:ascii="宋体" w:hAnsi="宋体" w:eastAsia="宋体" w:cs="宋体"/>
                <w:color w:val="auto"/>
                <w:szCs w:val="21"/>
                <w:highlight w:val="none"/>
                <w:u w:val="none"/>
              </w:rPr>
            </w:pPr>
            <w:r>
              <w:rPr>
                <w:rFonts w:hint="eastAsia" w:ascii="宋体" w:hAnsi="宋体" w:eastAsia="宋体" w:cs="宋体"/>
                <w:color w:val="auto"/>
                <w:szCs w:val="21"/>
                <w:highlight w:val="none"/>
                <w:u w:val="none"/>
                <w:lang w:val="en-US" w:eastAsia="zh-CN"/>
              </w:rPr>
              <w:t xml:space="preserve">4..供应商需为服务人员办理因工伤、疾病、意外伤害等事故中国家规定的赔偿手续等相关服务事宜。 </w:t>
            </w:r>
          </w:p>
          <w:p w14:paraId="54E03DCB">
            <w:pPr>
              <w:widowControl/>
              <w:numPr>
                <w:ilvl w:val="0"/>
                <w:numId w:val="0"/>
              </w:numPr>
              <w:shd w:val="clear" w:color="auto" w:fill="FFFFFF"/>
              <w:wordWrap/>
              <w:spacing w:line="380" w:lineRule="exact"/>
              <w:ind w:firstLine="420" w:firstLineChars="200"/>
              <w:rPr>
                <w:rFonts w:hint="eastAsia" w:ascii="宋体" w:hAnsi="宋体" w:eastAsia="宋体" w:cs="宋体"/>
                <w:color w:val="auto"/>
                <w:szCs w:val="21"/>
                <w:highlight w:val="none"/>
                <w:u w:val="none"/>
              </w:rPr>
            </w:pPr>
            <w:r>
              <w:rPr>
                <w:rFonts w:hint="eastAsia" w:ascii="宋体" w:hAnsi="宋体" w:eastAsia="宋体" w:cs="宋体"/>
                <w:color w:val="auto"/>
                <w:szCs w:val="21"/>
                <w:highlight w:val="none"/>
                <w:u w:val="none"/>
                <w:lang w:val="en-US" w:eastAsia="zh-CN"/>
              </w:rPr>
              <w:t>5.供应商挪用项目费用，除承担由此引发的一切法律责任外，采购人有权终止服务合同。</w:t>
            </w:r>
          </w:p>
          <w:p w14:paraId="43AF125F">
            <w:pPr>
              <w:widowControl/>
              <w:numPr>
                <w:ilvl w:val="0"/>
                <w:numId w:val="0"/>
              </w:numPr>
              <w:shd w:val="clear" w:color="auto" w:fill="FFFFFF"/>
              <w:wordWrap/>
              <w:spacing w:line="380" w:lineRule="exact"/>
              <w:ind w:firstLine="420" w:firstLineChars="200"/>
              <w:rPr>
                <w:rFonts w:hint="eastAsia" w:ascii="宋体" w:hAnsi="宋体" w:eastAsia="宋体" w:cs="宋体"/>
                <w:color w:val="auto"/>
                <w:szCs w:val="21"/>
                <w:highlight w:val="none"/>
                <w:u w:val="none"/>
                <w:lang w:val="en-US" w:eastAsia="zh-CN"/>
              </w:rPr>
            </w:pPr>
            <w:r>
              <w:rPr>
                <w:rFonts w:hint="eastAsia" w:ascii="宋体" w:hAnsi="宋体" w:eastAsia="宋体" w:cs="宋体"/>
                <w:color w:val="auto"/>
                <w:szCs w:val="21"/>
                <w:highlight w:val="none"/>
                <w:u w:val="none"/>
                <w:lang w:val="en-US" w:eastAsia="zh-CN"/>
              </w:rPr>
              <w:t>6.由于供应商未能履行本条约定的各项义务或由于供应商服务存在瑕疵，导致采购人遭受损失的，包括但不限于被起诉、仲裁，或被行政机关调查、检查或</w:t>
            </w:r>
            <w:r>
              <w:rPr>
                <w:rFonts w:hint="eastAsia" w:ascii="宋体" w:hAnsi="宋体" w:eastAsia="宋体" w:cs="宋体"/>
                <w:color w:val="auto"/>
                <w:szCs w:val="21"/>
                <w:highlight w:val="none"/>
                <w:u w:val="none"/>
                <w:lang w:val="en-US" w:eastAsia="zh-CN"/>
              </w:rPr>
              <w:t>处罚，中标供应商应对采购人承担全部赔偿责任。</w:t>
            </w:r>
          </w:p>
          <w:p w14:paraId="4E006E96">
            <w:pPr>
              <w:widowControl/>
              <w:numPr>
                <w:ilvl w:val="0"/>
                <w:numId w:val="0"/>
              </w:numPr>
              <w:shd w:val="clear" w:color="auto" w:fill="FFFFFF"/>
              <w:wordWrap/>
              <w:spacing w:line="380" w:lineRule="exact"/>
              <w:ind w:firstLine="420" w:firstLineChars="200"/>
              <w:rPr>
                <w:rFonts w:hint="eastAsia" w:ascii="宋体" w:hAnsi="宋体" w:eastAsia="宋体" w:cs="宋体"/>
                <w:color w:val="auto"/>
                <w:szCs w:val="21"/>
                <w:highlight w:val="none"/>
                <w:u w:val="none"/>
              </w:rPr>
            </w:pPr>
            <w:r>
              <w:rPr>
                <w:rFonts w:hint="eastAsia" w:ascii="宋体" w:hAnsi="宋体" w:eastAsia="宋体" w:cs="宋体"/>
                <w:color w:val="auto"/>
                <w:szCs w:val="21"/>
                <w:highlight w:val="none"/>
                <w:u w:val="none"/>
                <w:lang w:val="en-US" w:eastAsia="zh-CN"/>
              </w:rPr>
              <w:t>7.供应商应确保其投入的服务人员在服务过程中遵守采购人有关保护区管理、现场作业及安全管理的各项规定，切实承担相应责任。如因违约或服务不合格，或在服务期间发生事故，造成采购人损失，均应由供应商承担，采购人有权在应结算支付的费用中直接扣除。</w:t>
            </w:r>
          </w:p>
          <w:p w14:paraId="6C949CDB">
            <w:pPr>
              <w:widowControl/>
              <w:numPr>
                <w:ilvl w:val="0"/>
                <w:numId w:val="0"/>
              </w:numPr>
              <w:shd w:val="clear" w:color="auto" w:fill="FFFFFF"/>
              <w:wordWrap/>
              <w:spacing w:line="380" w:lineRule="exact"/>
              <w:ind w:firstLine="420" w:firstLineChars="200"/>
              <w:rPr>
                <w:rFonts w:hint="eastAsia" w:ascii="宋体" w:hAnsi="宋体" w:eastAsia="宋体" w:cs="宋体"/>
                <w:color w:val="auto"/>
                <w:szCs w:val="21"/>
                <w:highlight w:val="none"/>
                <w:u w:val="none"/>
                <w:lang w:val="en-US" w:eastAsia="zh-CN"/>
              </w:rPr>
            </w:pPr>
            <w:r>
              <w:rPr>
                <w:rFonts w:hint="eastAsia" w:ascii="宋体" w:hAnsi="宋体" w:eastAsia="宋体" w:cs="宋体"/>
                <w:color w:val="auto"/>
                <w:szCs w:val="21"/>
                <w:highlight w:val="none"/>
                <w:u w:val="none"/>
                <w:lang w:val="en-US" w:eastAsia="zh-CN"/>
              </w:rPr>
              <w:t>8.供应商拖欠其服务人员相关费用，除承担由此引发的一切法律责任外，采购人有权依法终止服务合同。</w:t>
            </w:r>
          </w:p>
          <w:p w14:paraId="5967495B">
            <w:pPr>
              <w:widowControl/>
              <w:numPr>
                <w:ilvl w:val="0"/>
                <w:numId w:val="0"/>
              </w:numPr>
              <w:shd w:val="clear" w:color="auto" w:fill="FFFFFF"/>
              <w:wordWrap/>
              <w:spacing w:line="380" w:lineRule="exact"/>
              <w:ind w:firstLine="420" w:firstLineChars="200"/>
              <w:rPr>
                <w:rFonts w:hint="eastAsia" w:ascii="宋体" w:hAnsi="宋体" w:eastAsia="宋体" w:cs="宋体"/>
                <w:color w:val="auto"/>
                <w:szCs w:val="21"/>
                <w:highlight w:val="none"/>
                <w:u w:val="none"/>
                <w:lang w:val="en-US" w:eastAsia="zh-CN"/>
              </w:rPr>
            </w:pPr>
            <w:r>
              <w:rPr>
                <w:rFonts w:hint="eastAsia" w:ascii="宋体" w:hAnsi="宋体" w:eastAsia="宋体" w:cs="宋体"/>
                <w:color w:val="auto"/>
                <w:szCs w:val="21"/>
                <w:highlight w:val="none"/>
                <w:u w:val="none"/>
                <w:lang w:val="en-US" w:eastAsia="zh-CN"/>
              </w:rPr>
              <w:t>9.本项目存在两种服务终止情形：①服务期限满 1 年；②实际结算金额达到预算上限 880400 元，二者以先到为准。此种情形下双方据实结算已完成合格服务费用，甲方不承担额外补偿。因上级监管政策要求停止服务的，甲方提前 30 日书面通知即可终止，不支付违约金。</w:t>
            </w:r>
          </w:p>
          <w:p w14:paraId="04C4BD76">
            <w:pPr>
              <w:widowControl/>
              <w:numPr>
                <w:ilvl w:val="-1"/>
                <w:numId w:val="0"/>
              </w:numPr>
              <w:spacing w:line="240" w:lineRule="auto"/>
              <w:ind w:firstLine="420" w:firstLineChars="200"/>
              <w:jc w:val="left"/>
              <w:rPr>
                <w:rFonts w:hint="eastAsia" w:ascii="宋体" w:hAnsi="宋体" w:eastAsia="宋体" w:cs="宋体"/>
                <w:color w:val="auto"/>
                <w:szCs w:val="21"/>
                <w:highlight w:val="none"/>
              </w:rPr>
            </w:pPr>
          </w:p>
        </w:tc>
      </w:tr>
      <w:tr w14:paraId="34D886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664" w:type="dxa"/>
            <w:gridSpan w:val="6"/>
            <w:tcBorders>
              <w:top w:val="single" w:color="auto" w:sz="4" w:space="0"/>
              <w:left w:val="single" w:color="auto" w:sz="4" w:space="0"/>
              <w:bottom w:val="single" w:color="auto" w:sz="4" w:space="0"/>
              <w:right w:val="single" w:color="auto" w:sz="4" w:space="0"/>
            </w:tcBorders>
          </w:tcPr>
          <w:p w14:paraId="72C2BE3A">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二、商务条款</w:t>
            </w:r>
          </w:p>
        </w:tc>
      </w:tr>
      <w:tr w14:paraId="5BB01B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322" w:type="dxa"/>
            <w:gridSpan w:val="3"/>
            <w:tcBorders>
              <w:top w:val="single" w:color="auto" w:sz="4" w:space="0"/>
              <w:left w:val="single" w:color="auto" w:sz="4" w:space="0"/>
              <w:bottom w:val="single" w:color="auto" w:sz="4" w:space="0"/>
              <w:right w:val="single" w:color="auto" w:sz="4" w:space="0"/>
            </w:tcBorders>
            <w:vAlign w:val="center"/>
          </w:tcPr>
          <w:p w14:paraId="7B1BFD9E">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▲合同签订期</w:t>
            </w:r>
          </w:p>
        </w:tc>
        <w:tc>
          <w:tcPr>
            <w:tcW w:w="7342" w:type="dxa"/>
            <w:gridSpan w:val="3"/>
            <w:tcBorders>
              <w:top w:val="single" w:color="auto" w:sz="4" w:space="0"/>
              <w:left w:val="single" w:color="auto" w:sz="4" w:space="0"/>
              <w:bottom w:val="single" w:color="auto" w:sz="4" w:space="0"/>
              <w:right w:val="single" w:color="auto" w:sz="4" w:space="0"/>
            </w:tcBorders>
            <w:vAlign w:val="center"/>
          </w:tcPr>
          <w:p w14:paraId="6480C1C3">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自中标通知书发出之日起25日内。</w:t>
            </w:r>
          </w:p>
        </w:tc>
      </w:tr>
      <w:tr w14:paraId="1B4409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322" w:type="dxa"/>
            <w:gridSpan w:val="3"/>
            <w:tcBorders>
              <w:top w:val="single" w:color="auto" w:sz="4" w:space="0"/>
              <w:left w:val="single" w:color="auto" w:sz="4" w:space="0"/>
              <w:bottom w:val="single" w:color="auto" w:sz="4" w:space="0"/>
              <w:right w:val="single" w:color="auto" w:sz="4" w:space="0"/>
            </w:tcBorders>
            <w:vAlign w:val="center"/>
          </w:tcPr>
          <w:p w14:paraId="7D547D9C">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▲服务期限及服务地点</w:t>
            </w:r>
          </w:p>
        </w:tc>
        <w:tc>
          <w:tcPr>
            <w:tcW w:w="7342" w:type="dxa"/>
            <w:gridSpan w:val="3"/>
            <w:tcBorders>
              <w:top w:val="single" w:color="auto" w:sz="4" w:space="0"/>
              <w:left w:val="single" w:color="auto" w:sz="4" w:space="0"/>
              <w:bottom w:val="single" w:color="auto" w:sz="4" w:space="0"/>
              <w:right w:val="single" w:color="auto" w:sz="4" w:space="0"/>
            </w:tcBorders>
            <w:vAlign w:val="top"/>
          </w:tcPr>
          <w:p w14:paraId="5726014A">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服务期限：自签订合同之日起1年或本标项采购预算使用完为止。</w:t>
            </w:r>
          </w:p>
          <w:p w14:paraId="6E5A7BE8">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服务地</w:t>
            </w:r>
            <w:r>
              <w:rPr>
                <w:rFonts w:hint="eastAsia" w:ascii="宋体" w:hAnsi="宋体" w:eastAsia="宋体" w:cs="宋体"/>
                <w:color w:val="auto"/>
                <w:szCs w:val="21"/>
                <w:highlight w:val="none"/>
              </w:rPr>
              <w:t>点：</w:t>
            </w:r>
            <w:r>
              <w:rPr>
                <w:rFonts w:hint="eastAsia" w:ascii="宋体" w:hAnsi="宋体" w:eastAsia="宋体" w:cs="宋体"/>
                <w:color w:val="auto"/>
                <w:szCs w:val="21"/>
                <w:highlight w:val="none"/>
                <w:lang w:val="en-US" w:eastAsia="zh-CN"/>
              </w:rPr>
              <w:t>采购人指定地点</w:t>
            </w:r>
            <w:r>
              <w:rPr>
                <w:rFonts w:hint="eastAsia" w:ascii="宋体" w:hAnsi="宋体" w:eastAsia="宋体" w:cs="宋体"/>
                <w:color w:val="auto"/>
                <w:szCs w:val="21"/>
                <w:highlight w:val="none"/>
              </w:rPr>
              <w:t>。</w:t>
            </w:r>
          </w:p>
        </w:tc>
      </w:tr>
      <w:tr w14:paraId="04EB17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322" w:type="dxa"/>
            <w:gridSpan w:val="3"/>
            <w:tcBorders>
              <w:top w:val="single" w:color="auto" w:sz="4" w:space="0"/>
              <w:left w:val="single" w:color="auto" w:sz="4" w:space="0"/>
              <w:bottom w:val="single" w:color="auto" w:sz="4" w:space="0"/>
              <w:right w:val="single" w:color="auto" w:sz="4" w:space="0"/>
            </w:tcBorders>
            <w:vAlign w:val="center"/>
          </w:tcPr>
          <w:p w14:paraId="52BDEDE9">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▲投标报价</w:t>
            </w:r>
          </w:p>
        </w:tc>
        <w:tc>
          <w:tcPr>
            <w:tcW w:w="7342" w:type="dxa"/>
            <w:gridSpan w:val="3"/>
            <w:tcBorders>
              <w:top w:val="single" w:color="auto" w:sz="4" w:space="0"/>
              <w:left w:val="single" w:color="auto" w:sz="4" w:space="0"/>
              <w:bottom w:val="single" w:color="auto" w:sz="4" w:space="0"/>
              <w:right w:val="single" w:color="auto" w:sz="4" w:space="0"/>
            </w:tcBorders>
            <w:vAlign w:val="top"/>
          </w:tcPr>
          <w:p w14:paraId="09ED5E2B">
            <w:pPr>
              <w:widowControl/>
              <w:spacing w:line="400" w:lineRule="exact"/>
              <w:rPr>
                <w:rFonts w:hint="eastAsia" w:ascii="宋体" w:hAnsi="宋体" w:eastAsia="宋体" w:cs="宋体"/>
                <w:color w:val="auto"/>
                <w:kern w:val="0"/>
                <w:szCs w:val="21"/>
                <w:highlight w:val="none"/>
                <w:lang w:bidi="ar"/>
              </w:rPr>
            </w:pPr>
            <w:r>
              <w:rPr>
                <w:rFonts w:hint="eastAsia" w:ascii="宋体" w:hAnsi="宋体" w:eastAsia="宋体" w:cs="宋体"/>
                <w:color w:val="auto"/>
                <w:szCs w:val="21"/>
                <w:highlight w:val="none"/>
              </w:rPr>
              <w:t>1.</w:t>
            </w:r>
            <w:r>
              <w:rPr>
                <w:rFonts w:hint="eastAsia" w:ascii="宋体" w:hAnsi="宋体" w:eastAsia="宋体" w:cs="宋体"/>
                <w:color w:val="auto"/>
                <w:kern w:val="0"/>
                <w:szCs w:val="21"/>
                <w:highlight w:val="none"/>
                <w:lang w:bidi="ar"/>
              </w:rPr>
              <w:t>本项目采购预算（合同总价款）为人民币</w:t>
            </w:r>
            <w:r>
              <w:rPr>
                <w:rFonts w:hint="eastAsia" w:ascii="宋体" w:hAnsi="宋体" w:eastAsia="宋体" w:cs="宋体"/>
                <w:color w:val="auto"/>
                <w:szCs w:val="21"/>
                <w:highlight w:val="none"/>
                <w:lang w:val="en-US" w:eastAsia="zh-CN"/>
              </w:rPr>
              <w:t>8804</w:t>
            </w:r>
            <w:r>
              <w:rPr>
                <w:rFonts w:hint="eastAsia" w:ascii="宋体" w:hAnsi="宋体" w:eastAsia="宋体" w:cs="宋体"/>
                <w:color w:val="auto"/>
                <w:szCs w:val="21"/>
                <w:highlight w:val="none"/>
              </w:rPr>
              <w:t>00.00</w:t>
            </w:r>
            <w:r>
              <w:rPr>
                <w:rFonts w:hint="eastAsia" w:ascii="宋体" w:hAnsi="宋体" w:eastAsia="宋体" w:cs="宋体"/>
                <w:color w:val="auto"/>
                <w:kern w:val="0"/>
                <w:szCs w:val="21"/>
                <w:highlight w:val="none"/>
                <w:lang w:bidi="ar"/>
              </w:rPr>
              <w:t>元，每位项目服务人员的工日单价最高限价为290.00元/工日/人；该工日单价包含人员</w:t>
            </w:r>
            <w:r>
              <w:rPr>
                <w:rFonts w:hint="eastAsia" w:ascii="宋体" w:hAnsi="宋体" w:eastAsia="宋体" w:cs="宋体"/>
                <w:color w:val="auto"/>
                <w:kern w:val="0"/>
                <w:szCs w:val="21"/>
                <w:highlight w:val="none"/>
                <w:lang w:val="en-US" w:eastAsia="zh-CN" w:bidi="ar"/>
              </w:rPr>
              <w:t>费用</w:t>
            </w:r>
            <w:r>
              <w:rPr>
                <w:rFonts w:hint="eastAsia" w:ascii="宋体" w:hAnsi="宋体" w:eastAsia="宋体" w:cs="宋体"/>
                <w:color w:val="auto"/>
                <w:kern w:val="0"/>
                <w:szCs w:val="21"/>
                <w:highlight w:val="none"/>
                <w:lang w:bidi="ar"/>
              </w:rPr>
              <w:t>、保险、培训、管理、税费等全部费用。</w:t>
            </w:r>
            <w:r>
              <w:rPr>
                <w:rFonts w:hint="eastAsia" w:ascii="宋体" w:hAnsi="宋体" w:eastAsia="宋体" w:cs="宋体"/>
                <w:b/>
                <w:bCs/>
                <w:color w:val="auto"/>
                <w:kern w:val="0"/>
                <w:szCs w:val="21"/>
                <w:highlight w:val="none"/>
                <w:lang w:bidi="ar"/>
              </w:rPr>
              <w:t>供应商按人员工日单价进行报价，</w:t>
            </w:r>
            <w:r>
              <w:rPr>
                <w:rFonts w:hint="eastAsia" w:ascii="宋体" w:hAnsi="宋体" w:eastAsia="宋体" w:cs="宋体"/>
                <w:b/>
                <w:bCs/>
                <w:color w:val="auto"/>
                <w:kern w:val="0"/>
                <w:szCs w:val="21"/>
                <w:highlight w:val="none"/>
                <w:lang w:val="en-US" w:eastAsia="zh-CN" w:bidi="ar"/>
              </w:rPr>
              <w:t>投标</w:t>
            </w:r>
            <w:r>
              <w:rPr>
                <w:rFonts w:hint="eastAsia" w:ascii="宋体" w:hAnsi="宋体" w:eastAsia="宋体" w:cs="宋体"/>
                <w:b/>
                <w:bCs/>
                <w:color w:val="auto"/>
                <w:kern w:val="0"/>
                <w:szCs w:val="21"/>
                <w:highlight w:val="none"/>
                <w:lang w:bidi="ar"/>
              </w:rPr>
              <w:t>报价超过人员工日单价最高限价的，按无效</w:t>
            </w:r>
            <w:r>
              <w:rPr>
                <w:rFonts w:hint="eastAsia" w:ascii="宋体" w:hAnsi="宋体" w:eastAsia="宋体" w:cs="宋体"/>
                <w:b/>
                <w:bCs/>
                <w:color w:val="auto"/>
                <w:kern w:val="0"/>
                <w:szCs w:val="21"/>
                <w:highlight w:val="none"/>
                <w:lang w:val="en-US" w:eastAsia="zh-CN" w:bidi="ar"/>
              </w:rPr>
              <w:t>投标</w:t>
            </w:r>
            <w:r>
              <w:rPr>
                <w:rFonts w:hint="eastAsia" w:ascii="宋体" w:hAnsi="宋体" w:eastAsia="宋体" w:cs="宋体"/>
                <w:b/>
                <w:bCs/>
                <w:color w:val="auto"/>
                <w:kern w:val="0"/>
                <w:szCs w:val="21"/>
                <w:highlight w:val="none"/>
                <w:lang w:bidi="ar"/>
              </w:rPr>
              <w:t>处理</w:t>
            </w:r>
            <w:r>
              <w:rPr>
                <w:rFonts w:hint="eastAsia" w:ascii="宋体" w:hAnsi="宋体" w:eastAsia="宋体" w:cs="宋体"/>
                <w:color w:val="auto"/>
                <w:kern w:val="0"/>
                <w:szCs w:val="21"/>
                <w:highlight w:val="none"/>
                <w:lang w:bidi="ar"/>
              </w:rPr>
              <w:t>。</w:t>
            </w:r>
          </w:p>
          <w:p w14:paraId="4C3C894C">
            <w:pPr>
              <w:wordWrap w:val="0"/>
              <w:autoSpaceDE w:val="0"/>
              <w:autoSpaceDN w:val="0"/>
              <w:adjustRightInd w:val="0"/>
              <w:snapToGrid w:val="0"/>
              <w:spacing w:line="360" w:lineRule="exac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2.结算金额＝实际工日量</w:t>
            </w:r>
            <w:r>
              <w:rPr>
                <w:rFonts w:hint="eastAsia" w:ascii="宋体" w:hAnsi="宋体" w:eastAsia="宋体" w:cs="宋体"/>
                <w:color w:val="auto"/>
                <w:kern w:val="0"/>
                <w:szCs w:val="21"/>
                <w:highlight w:val="none"/>
                <w:lang w:bidi="ar"/>
              </w:rPr>
              <w:t>×</w:t>
            </w:r>
            <w:r>
              <w:rPr>
                <w:rFonts w:hint="eastAsia" w:ascii="宋体" w:hAnsi="宋体" w:eastAsia="宋体" w:cs="宋体"/>
                <w:color w:val="auto"/>
                <w:szCs w:val="21"/>
                <w:highlight w:val="none"/>
                <w:lang w:val="en-US" w:eastAsia="zh-CN"/>
              </w:rPr>
              <w:t>中标</w:t>
            </w:r>
            <w:r>
              <w:rPr>
                <w:rFonts w:hint="eastAsia" w:ascii="宋体" w:hAnsi="宋体" w:eastAsia="宋体" w:cs="宋体"/>
                <w:color w:val="auto"/>
                <w:szCs w:val="21"/>
                <w:highlight w:val="none"/>
              </w:rPr>
              <w:t>单</w:t>
            </w:r>
            <w:r>
              <w:rPr>
                <w:rFonts w:hint="eastAsia" w:ascii="宋体" w:hAnsi="宋体" w:eastAsia="宋体" w:cs="宋体"/>
                <w:color w:val="auto"/>
                <w:szCs w:val="21"/>
                <w:highlight w:val="none"/>
              </w:rPr>
              <w:t>价金额</w:t>
            </w:r>
            <w:r>
              <w:rPr>
                <w:rFonts w:hint="eastAsia" w:ascii="宋体" w:hAnsi="宋体" w:eastAsia="宋体" w:cs="宋体"/>
                <w:color w:val="auto"/>
                <w:kern w:val="0"/>
                <w:szCs w:val="21"/>
                <w:highlight w:val="none"/>
                <w:lang w:bidi="ar"/>
              </w:rPr>
              <w:t>，结算总金额不得超过合同总价款，合同履行期限1年</w:t>
            </w:r>
            <w:r>
              <w:rPr>
                <w:rFonts w:hint="eastAsia" w:ascii="宋体" w:hAnsi="宋体" w:eastAsia="宋体" w:cs="宋体"/>
                <w:color w:val="auto"/>
                <w:kern w:val="0"/>
                <w:szCs w:val="21"/>
                <w:highlight w:val="none"/>
                <w:lang w:bidi="ar"/>
              </w:rPr>
              <w:t>内，采购人的结算总金额达到合同总价款且项目验收合格的，采购人不再继续进行委托任务。</w:t>
            </w:r>
          </w:p>
          <w:p w14:paraId="4EED0FA3">
            <w:pPr>
              <w:wordWrap w:val="0"/>
              <w:autoSpaceDE w:val="0"/>
              <w:autoSpaceDN w:val="0"/>
              <w:adjustRightInd w:val="0"/>
              <w:snapToGrid w:val="0"/>
              <w:spacing w:line="36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投</w:t>
            </w:r>
            <w:r>
              <w:rPr>
                <w:rFonts w:hint="eastAsia" w:ascii="宋体" w:hAnsi="宋体" w:eastAsia="宋体" w:cs="宋体"/>
                <w:color w:val="auto"/>
                <w:szCs w:val="21"/>
                <w:highlight w:val="none"/>
              </w:rPr>
              <w:t>标报价是履行合同的最终价格，即满足全部采购需求所应提供的服务，以及伴随的货物和工程的价格；包含但不限于人工费、服务费、设备设施购置成本及费用、安装调试费、材料费、误工费、食宿费、通讯费、税费、保险、验收及合同所示的所有责任义务和各种风险等合同履约过程可预见或不可预见的一切成本、费用。供应商在固定总价中必须考虑各种风险费用。在合同履行过程中，采购人不予支付合同以外的其他费用。项目</w:t>
            </w:r>
            <w:r>
              <w:rPr>
                <w:rFonts w:hint="eastAsia" w:ascii="宋体" w:hAnsi="宋体" w:eastAsia="宋体" w:cs="宋体"/>
                <w:color w:val="auto"/>
                <w:szCs w:val="21"/>
                <w:highlight w:val="none"/>
                <w:lang w:val="en-US" w:eastAsia="zh-CN"/>
              </w:rPr>
              <w:t>服务</w:t>
            </w:r>
            <w:r>
              <w:rPr>
                <w:rFonts w:hint="eastAsia" w:ascii="宋体" w:hAnsi="宋体" w:eastAsia="宋体" w:cs="宋体"/>
                <w:color w:val="auto"/>
                <w:szCs w:val="21"/>
                <w:highlight w:val="none"/>
              </w:rPr>
              <w:t>人员人身、设备</w:t>
            </w:r>
            <w:r>
              <w:rPr>
                <w:rFonts w:hint="eastAsia" w:ascii="宋体" w:hAnsi="宋体" w:eastAsia="宋体" w:cs="宋体"/>
                <w:color w:val="auto"/>
                <w:szCs w:val="21"/>
                <w:highlight w:val="none"/>
                <w:lang w:eastAsia="zh-CN"/>
              </w:rPr>
              <w:t>安全部</w:t>
            </w:r>
            <w:r>
              <w:rPr>
                <w:rFonts w:hint="eastAsia" w:ascii="宋体" w:hAnsi="宋体" w:eastAsia="宋体" w:cs="宋体"/>
                <w:color w:val="auto"/>
                <w:szCs w:val="21"/>
                <w:highlight w:val="none"/>
              </w:rPr>
              <w:t>由供应商负责。除此之外，采购人无需再另行支付与项目有关的任何费用。</w:t>
            </w:r>
          </w:p>
          <w:p w14:paraId="020F0A1B">
            <w:pPr>
              <w:numPr>
                <w:ilvl w:val="0"/>
                <w:numId w:val="0"/>
              </w:numPr>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4</w:t>
            </w:r>
            <w:r>
              <w:rPr>
                <w:rFonts w:hint="eastAsia" w:ascii="宋体" w:hAnsi="宋体" w:eastAsia="宋体" w:cs="宋体"/>
                <w:b/>
                <w:bCs/>
                <w:color w:val="auto"/>
                <w:szCs w:val="21"/>
                <w:highlight w:val="none"/>
              </w:rPr>
              <w:t>.本标项按人员工日单价报价作为价格分计算依据。</w:t>
            </w:r>
          </w:p>
        </w:tc>
      </w:tr>
      <w:tr w14:paraId="668A4B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2322" w:type="dxa"/>
            <w:gridSpan w:val="3"/>
            <w:tcBorders>
              <w:top w:val="single" w:color="auto" w:sz="4" w:space="0"/>
              <w:left w:val="single" w:color="auto" w:sz="4" w:space="0"/>
              <w:bottom w:val="single" w:color="auto" w:sz="4" w:space="0"/>
              <w:right w:val="single" w:color="auto" w:sz="4" w:space="0"/>
            </w:tcBorders>
            <w:vAlign w:val="center"/>
          </w:tcPr>
          <w:p w14:paraId="0EDEB0D8">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▲服务要求</w:t>
            </w:r>
          </w:p>
        </w:tc>
        <w:tc>
          <w:tcPr>
            <w:tcW w:w="7342" w:type="dxa"/>
            <w:gridSpan w:val="3"/>
            <w:tcBorders>
              <w:top w:val="single" w:color="auto" w:sz="4" w:space="0"/>
              <w:left w:val="single" w:color="auto" w:sz="4" w:space="0"/>
              <w:bottom w:val="single" w:color="auto" w:sz="4" w:space="0"/>
              <w:right w:val="single" w:color="auto" w:sz="4" w:space="0"/>
            </w:tcBorders>
          </w:tcPr>
          <w:p w14:paraId="7E11BC77">
            <w:pPr>
              <w:numPr>
                <w:ilvl w:val="0"/>
                <w:numId w:val="0"/>
              </w:numPr>
              <w:spacing w:line="400" w:lineRule="exact"/>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1.中标供应商须严格遵守国家有关法律法规的规定和广西壮族自治区山口红树林生态国家级自然保护区管理中心有关标准及纪律要求。</w:t>
            </w:r>
          </w:p>
          <w:p w14:paraId="6247EC22">
            <w:pPr>
              <w:numPr>
                <w:ilvl w:val="0"/>
                <w:numId w:val="0"/>
              </w:numPr>
              <w:spacing w:line="400" w:lineRule="exact"/>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2.采购人有权对中标供应商的服务内容质量进行监督、检查和考核。</w:t>
            </w:r>
          </w:p>
          <w:p w14:paraId="6315EB80">
            <w:pPr>
              <w:numPr>
                <w:ilvl w:val="0"/>
                <w:numId w:val="0"/>
              </w:numPr>
              <w:spacing w:line="400" w:lineRule="exact"/>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3.中标供应商须配合完成采购人安排的临时性和应急性任务。</w:t>
            </w:r>
          </w:p>
          <w:p w14:paraId="1356D44F">
            <w:pPr>
              <w:numPr>
                <w:ilvl w:val="0"/>
                <w:numId w:val="0"/>
              </w:numPr>
              <w:spacing w:line="400" w:lineRule="exact"/>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4.提供7*24小时电话热线支持和传真服务。服务期内出现任何问题，中标供应商须在1小时电话响应，5小时内到达指定地点协助采购人处理并解决问题。</w:t>
            </w:r>
          </w:p>
          <w:p w14:paraId="5A3141EA">
            <w:pPr>
              <w:numPr>
                <w:ilvl w:val="0"/>
                <w:numId w:val="0"/>
              </w:numPr>
              <w:spacing w:line="400" w:lineRule="exact"/>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5.在合同履行期限内，采购人如有关于本标项服务内容产生的需要解决的任何问题，中标供应商须无条件负责处理解决，产生的相关费用含在报价中。</w:t>
            </w:r>
          </w:p>
          <w:p w14:paraId="45878AEE">
            <w:pPr>
              <w:numPr>
                <w:ilvl w:val="0"/>
                <w:numId w:val="0"/>
              </w:numPr>
              <w:spacing w:line="400" w:lineRule="exact"/>
              <w:rPr>
                <w:rFonts w:hint="eastAsia" w:ascii="宋体" w:hAnsi="宋体" w:eastAsia="宋体" w:cs="宋体"/>
                <w:color w:val="auto"/>
                <w:highlight w:val="none"/>
              </w:rPr>
            </w:pPr>
            <w:r>
              <w:rPr>
                <w:rFonts w:hint="eastAsia" w:ascii="宋体" w:hAnsi="宋体" w:eastAsia="宋体" w:cs="宋体"/>
                <w:bCs w:val="0"/>
                <w:color w:val="auto"/>
                <w:szCs w:val="21"/>
                <w:highlight w:val="none"/>
                <w:u w:val="none"/>
                <w:lang w:val="en-US" w:eastAsia="zh-CN"/>
              </w:rPr>
              <w:t>6</w:t>
            </w:r>
            <w:r>
              <w:rPr>
                <w:rFonts w:hint="eastAsia" w:ascii="宋体" w:hAnsi="宋体" w:eastAsia="宋体" w:cs="宋体"/>
                <w:bCs w:val="0"/>
                <w:color w:val="auto"/>
                <w:szCs w:val="21"/>
                <w:highlight w:val="none"/>
                <w:u w:val="none"/>
              </w:rPr>
              <w:t>.</w:t>
            </w:r>
            <w:r>
              <w:rPr>
                <w:rFonts w:hint="eastAsia" w:ascii="宋体" w:hAnsi="宋体" w:eastAsia="宋体" w:cs="宋体"/>
                <w:bCs w:val="0"/>
                <w:color w:val="auto"/>
                <w:szCs w:val="21"/>
                <w:highlight w:val="none"/>
                <w:u w:val="none"/>
                <w:lang w:val="en-US" w:eastAsia="zh-CN"/>
              </w:rPr>
              <w:t>中标</w:t>
            </w:r>
            <w:r>
              <w:rPr>
                <w:rFonts w:hint="eastAsia" w:ascii="宋体" w:hAnsi="宋体" w:eastAsia="宋体" w:cs="宋体"/>
                <w:bCs w:val="0"/>
                <w:color w:val="auto"/>
                <w:szCs w:val="21"/>
                <w:highlight w:val="none"/>
                <w:u w:val="none"/>
              </w:rPr>
              <w:t>供应商</w:t>
            </w:r>
            <w:r>
              <w:rPr>
                <w:rFonts w:hint="eastAsia" w:ascii="宋体" w:hAnsi="宋体" w:eastAsia="宋体" w:cs="宋体"/>
                <w:bCs w:val="0"/>
                <w:color w:val="auto"/>
                <w:szCs w:val="21"/>
                <w:highlight w:val="none"/>
                <w:u w:val="none"/>
              </w:rPr>
              <w:t>须安排科学合理的工作方法，提高工作质量。拟投入本项目人员应具备相关专业知识。</w:t>
            </w:r>
          </w:p>
        </w:tc>
      </w:tr>
      <w:tr w14:paraId="3176D1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2322" w:type="dxa"/>
            <w:gridSpan w:val="3"/>
            <w:tcBorders>
              <w:top w:val="single" w:color="auto" w:sz="4" w:space="0"/>
              <w:left w:val="single" w:color="auto" w:sz="4" w:space="0"/>
              <w:bottom w:val="single" w:color="auto" w:sz="4" w:space="0"/>
              <w:right w:val="single" w:color="auto" w:sz="4" w:space="0"/>
            </w:tcBorders>
          </w:tcPr>
          <w:p w14:paraId="065DFDEE">
            <w:pPr>
              <w:spacing w:line="360" w:lineRule="auto"/>
              <w:jc w:val="center"/>
              <w:rPr>
                <w:rFonts w:hint="eastAsia" w:ascii="宋体" w:hAnsi="宋体" w:eastAsia="宋体" w:cs="宋体"/>
                <w:color w:val="auto"/>
                <w:szCs w:val="21"/>
                <w:highlight w:val="none"/>
              </w:rPr>
            </w:pPr>
          </w:p>
          <w:p w14:paraId="75B99AED">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▲验收要求</w:t>
            </w:r>
          </w:p>
        </w:tc>
        <w:tc>
          <w:tcPr>
            <w:tcW w:w="7342" w:type="dxa"/>
            <w:gridSpan w:val="3"/>
            <w:tcBorders>
              <w:top w:val="single" w:color="auto" w:sz="4" w:space="0"/>
              <w:left w:val="single" w:color="auto" w:sz="4" w:space="0"/>
              <w:bottom w:val="single" w:color="auto" w:sz="4" w:space="0"/>
              <w:right w:val="single" w:color="auto" w:sz="4" w:space="0"/>
            </w:tcBorders>
          </w:tcPr>
          <w:p w14:paraId="0018C678">
            <w:pPr>
              <w:tabs>
                <w:tab w:val="left" w:pos="180"/>
                <w:tab w:val="left" w:pos="1620"/>
              </w:tabs>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1.项目验收：</w:t>
            </w:r>
            <w:r>
              <w:rPr>
                <w:rFonts w:hint="eastAsia" w:ascii="宋体" w:hAnsi="宋体" w:eastAsia="宋体" w:cs="宋体"/>
                <w:color w:val="auto"/>
                <w:szCs w:val="21"/>
                <w:highlight w:val="none"/>
              </w:rPr>
              <w:t>符合本项目采购需求及</w:t>
            </w:r>
            <w:r>
              <w:rPr>
                <w:rFonts w:hint="eastAsia" w:ascii="宋体" w:hAnsi="宋体" w:eastAsia="宋体" w:cs="宋体"/>
                <w:color w:val="auto"/>
                <w:szCs w:val="21"/>
                <w:highlight w:val="none"/>
                <w:lang w:val="en-US" w:eastAsia="zh-CN"/>
              </w:rPr>
              <w:t>投标</w:t>
            </w:r>
            <w:r>
              <w:rPr>
                <w:rFonts w:hint="eastAsia" w:ascii="宋体" w:hAnsi="宋体" w:eastAsia="宋体" w:cs="宋体"/>
                <w:color w:val="auto"/>
                <w:szCs w:val="21"/>
                <w:highlight w:val="none"/>
              </w:rPr>
              <w:t>文件具体承诺内容（完成项目目标任务）。</w:t>
            </w:r>
          </w:p>
          <w:p w14:paraId="49AF5C14">
            <w:pPr>
              <w:tabs>
                <w:tab w:val="left" w:pos="180"/>
                <w:tab w:val="left" w:pos="1620"/>
              </w:tabs>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2.验收标准：按国家相关标准、行业标准、地方标准或者其他标准、规范，及采购需求规定的要求。项目验收时由采购</w:t>
            </w:r>
            <w:r>
              <w:rPr>
                <w:rFonts w:hint="eastAsia" w:ascii="宋体" w:hAnsi="宋体" w:eastAsia="宋体" w:cs="宋体"/>
                <w:color w:val="auto"/>
                <w:szCs w:val="21"/>
                <w:highlight w:val="none"/>
                <w:lang w:val="en-US" w:eastAsia="zh-CN"/>
              </w:rPr>
              <w:t>人</w:t>
            </w:r>
            <w:r>
              <w:rPr>
                <w:rFonts w:hint="eastAsia" w:ascii="宋体" w:hAnsi="宋体" w:eastAsia="宋体" w:cs="宋体"/>
                <w:color w:val="auto"/>
                <w:szCs w:val="21"/>
                <w:highlight w:val="none"/>
              </w:rPr>
              <w:t>或采购</w:t>
            </w:r>
            <w:r>
              <w:rPr>
                <w:rFonts w:hint="eastAsia" w:ascii="宋体" w:hAnsi="宋体" w:eastAsia="宋体" w:cs="宋体"/>
                <w:color w:val="auto"/>
                <w:szCs w:val="21"/>
                <w:highlight w:val="none"/>
                <w:lang w:val="en-US" w:eastAsia="zh-CN"/>
              </w:rPr>
              <w:t>人</w:t>
            </w:r>
            <w:r>
              <w:rPr>
                <w:rFonts w:hint="eastAsia" w:ascii="宋体" w:hAnsi="宋体" w:eastAsia="宋体" w:cs="宋体"/>
                <w:color w:val="auto"/>
                <w:szCs w:val="21"/>
                <w:highlight w:val="none"/>
              </w:rPr>
              <w:t>委托的第三方验收小组对照</w:t>
            </w:r>
            <w:r>
              <w:rPr>
                <w:rFonts w:hint="eastAsia" w:ascii="宋体" w:hAnsi="宋体" w:eastAsia="宋体" w:cs="宋体"/>
                <w:color w:val="auto"/>
                <w:szCs w:val="21"/>
                <w:highlight w:val="none"/>
                <w:lang w:val="en-US" w:eastAsia="zh-CN"/>
              </w:rPr>
              <w:t>采购</w:t>
            </w:r>
            <w:r>
              <w:rPr>
                <w:rFonts w:hint="eastAsia" w:ascii="宋体" w:hAnsi="宋体" w:eastAsia="宋体" w:cs="宋体"/>
                <w:color w:val="auto"/>
                <w:szCs w:val="21"/>
                <w:highlight w:val="none"/>
              </w:rPr>
              <w:t>文件</w:t>
            </w:r>
            <w:r>
              <w:rPr>
                <w:rFonts w:hint="eastAsia" w:ascii="宋体" w:hAnsi="宋体" w:eastAsia="宋体" w:cs="宋体"/>
                <w:color w:val="auto"/>
                <w:szCs w:val="21"/>
                <w:highlight w:val="none"/>
                <w:lang w:val="en-US" w:eastAsia="zh-CN"/>
              </w:rPr>
              <w:t>要求</w:t>
            </w:r>
            <w:r>
              <w:rPr>
                <w:rFonts w:hint="eastAsia" w:ascii="宋体" w:hAnsi="宋体" w:eastAsia="宋体" w:cs="宋体"/>
                <w:color w:val="auto"/>
                <w:szCs w:val="21"/>
                <w:highlight w:val="none"/>
              </w:rPr>
              <w:t>及</w:t>
            </w:r>
            <w:r>
              <w:rPr>
                <w:rFonts w:hint="eastAsia" w:ascii="宋体" w:hAnsi="宋体" w:eastAsia="宋体" w:cs="宋体"/>
                <w:color w:val="auto"/>
                <w:szCs w:val="21"/>
                <w:highlight w:val="none"/>
                <w:lang w:val="en-US" w:eastAsia="zh-CN"/>
              </w:rPr>
              <w:t>投标</w:t>
            </w:r>
            <w:r>
              <w:rPr>
                <w:rFonts w:hint="eastAsia" w:ascii="宋体" w:hAnsi="宋体" w:eastAsia="宋体" w:cs="宋体"/>
                <w:color w:val="auto"/>
                <w:szCs w:val="21"/>
                <w:highlight w:val="none"/>
              </w:rPr>
              <w:t>文件中的</w:t>
            </w:r>
            <w:r>
              <w:rPr>
                <w:rFonts w:hint="eastAsia" w:ascii="宋体" w:hAnsi="宋体" w:eastAsia="宋体" w:cs="宋体"/>
                <w:color w:val="auto"/>
                <w:szCs w:val="21"/>
                <w:highlight w:val="none"/>
                <w:lang w:val="en-US" w:eastAsia="zh-CN"/>
              </w:rPr>
              <w:t>响应承诺</w:t>
            </w:r>
            <w:r>
              <w:rPr>
                <w:rFonts w:hint="eastAsia" w:ascii="宋体" w:hAnsi="宋体" w:eastAsia="宋体" w:cs="宋体"/>
                <w:color w:val="auto"/>
                <w:szCs w:val="21"/>
                <w:highlight w:val="none"/>
              </w:rPr>
              <w:t>进行验收</w:t>
            </w:r>
            <w:r>
              <w:rPr>
                <w:rFonts w:hint="eastAsia" w:ascii="宋体" w:hAnsi="宋体" w:eastAsia="宋体" w:cs="宋体"/>
                <w:color w:val="auto"/>
                <w:kern w:val="0"/>
                <w:szCs w:val="21"/>
                <w:highlight w:val="none"/>
              </w:rPr>
              <w:t>。</w:t>
            </w:r>
          </w:p>
          <w:p w14:paraId="77C4984A">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3.验收过程中所产生的一切费用均由中标供应商承担，报价时应考虑相关费用。</w:t>
            </w:r>
          </w:p>
        </w:tc>
      </w:tr>
      <w:tr w14:paraId="14F883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8" w:hRule="atLeast"/>
        </w:trPr>
        <w:tc>
          <w:tcPr>
            <w:tcW w:w="2322" w:type="dxa"/>
            <w:gridSpan w:val="3"/>
            <w:tcBorders>
              <w:top w:val="single" w:color="auto" w:sz="4" w:space="0"/>
              <w:left w:val="single" w:color="auto" w:sz="4" w:space="0"/>
              <w:bottom w:val="single" w:color="auto" w:sz="4" w:space="0"/>
              <w:right w:val="single" w:color="auto" w:sz="4" w:space="0"/>
            </w:tcBorders>
            <w:vAlign w:val="center"/>
          </w:tcPr>
          <w:p w14:paraId="58BCFEC1">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▲付款方式</w:t>
            </w:r>
          </w:p>
        </w:tc>
        <w:tc>
          <w:tcPr>
            <w:tcW w:w="7342" w:type="dxa"/>
            <w:gridSpan w:val="3"/>
            <w:tcBorders>
              <w:top w:val="single" w:color="auto" w:sz="4" w:space="0"/>
              <w:left w:val="single" w:color="auto" w:sz="4" w:space="0"/>
              <w:bottom w:val="single" w:color="auto" w:sz="4" w:space="0"/>
              <w:right w:val="single" w:color="auto" w:sz="4" w:space="0"/>
            </w:tcBorders>
          </w:tcPr>
          <w:p w14:paraId="1B66890B">
            <w:pPr>
              <w:widowControl/>
              <w:spacing w:line="400" w:lineRule="exact"/>
              <w:ind w:firstLine="0" w:firstLineChars="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1.结算金额＝实际工日量×</w:t>
            </w:r>
            <w:r>
              <w:rPr>
                <w:rFonts w:hint="eastAsia" w:ascii="宋体" w:hAnsi="宋体" w:eastAsia="宋体" w:cs="宋体"/>
                <w:color w:val="auto"/>
                <w:szCs w:val="21"/>
                <w:highlight w:val="none"/>
                <w:lang w:val="en-US" w:eastAsia="zh-CN"/>
              </w:rPr>
              <w:t>中标</w:t>
            </w:r>
            <w:r>
              <w:rPr>
                <w:rFonts w:hint="eastAsia" w:ascii="宋体" w:hAnsi="宋体" w:eastAsia="宋体" w:cs="宋体"/>
                <w:color w:val="auto"/>
                <w:szCs w:val="21"/>
                <w:highlight w:val="none"/>
              </w:rPr>
              <w:t>工日单价金额</w:t>
            </w:r>
            <w:r>
              <w:rPr>
                <w:rFonts w:hint="eastAsia" w:ascii="宋体" w:hAnsi="宋体" w:eastAsia="宋体" w:cs="宋体"/>
                <w:color w:val="auto"/>
                <w:kern w:val="0"/>
                <w:szCs w:val="21"/>
                <w:highlight w:val="none"/>
                <w:lang w:bidi="ar"/>
              </w:rPr>
              <w:t>；</w:t>
            </w:r>
          </w:p>
          <w:p w14:paraId="221EA351">
            <w:pPr>
              <w:spacing w:line="360" w:lineRule="auto"/>
              <w:ind w:firstLine="0" w:firstLineChars="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签订合同且本项目财政资金到位后10个工作日内，甲方向乙方支付合同总金额的</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0%预付款；乙方根据项目进度向甲方申请进度款，进度款不超过合同总金额的</w:t>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5%；剩余款项待项目验收合格且本项目财政资金到位后10个工作日内一次性支付完毕。</w:t>
            </w:r>
          </w:p>
        </w:tc>
      </w:tr>
      <w:tr w14:paraId="3B2DC1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8" w:hRule="atLeast"/>
        </w:trPr>
        <w:tc>
          <w:tcPr>
            <w:tcW w:w="2322" w:type="dxa"/>
            <w:gridSpan w:val="3"/>
            <w:tcBorders>
              <w:top w:val="single" w:color="auto" w:sz="4" w:space="0"/>
              <w:left w:val="single" w:color="auto" w:sz="4" w:space="0"/>
              <w:bottom w:val="single" w:color="auto" w:sz="4" w:space="0"/>
              <w:right w:val="single" w:color="auto" w:sz="4" w:space="0"/>
            </w:tcBorders>
            <w:vAlign w:val="center"/>
          </w:tcPr>
          <w:p w14:paraId="4261F945">
            <w:pPr>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保密要求</w:t>
            </w:r>
          </w:p>
        </w:tc>
        <w:tc>
          <w:tcPr>
            <w:tcW w:w="7342" w:type="dxa"/>
            <w:gridSpan w:val="3"/>
            <w:tcBorders>
              <w:top w:val="single" w:color="auto" w:sz="4" w:space="0"/>
              <w:left w:val="single" w:color="auto" w:sz="4" w:space="0"/>
              <w:bottom w:val="single" w:color="auto" w:sz="4" w:space="0"/>
              <w:right w:val="single" w:color="auto" w:sz="4" w:space="0"/>
            </w:tcBorders>
          </w:tcPr>
          <w:p w14:paraId="4E7567B5">
            <w:pPr>
              <w:spacing w:line="360" w:lineRule="auto"/>
              <w:ind w:firstLine="0" w:firstLineChars="0"/>
              <w:rPr>
                <w:rFonts w:hint="eastAsia" w:ascii="宋体" w:hAnsi="宋体" w:eastAsia="宋体" w:cs="宋体"/>
                <w:bCs w:val="0"/>
                <w:color w:val="auto"/>
                <w:sz w:val="21"/>
                <w:szCs w:val="21"/>
                <w:highlight w:val="none"/>
                <w:lang w:val="en-US" w:eastAsia="zh-CN"/>
              </w:rPr>
            </w:pPr>
            <w:r>
              <w:rPr>
                <w:rFonts w:hint="eastAsia" w:ascii="宋体" w:hAnsi="宋体" w:eastAsia="宋体" w:cs="宋体"/>
                <w:color w:val="auto"/>
                <w:szCs w:val="21"/>
                <w:highlight w:val="none"/>
                <w:lang w:val="en-US" w:eastAsia="zh-CN"/>
              </w:rPr>
              <w:t>中标</w:t>
            </w:r>
            <w:r>
              <w:rPr>
                <w:rFonts w:hint="eastAsia" w:ascii="宋体" w:hAnsi="宋体" w:eastAsia="宋体" w:cs="宋体"/>
                <w:color w:val="auto"/>
                <w:szCs w:val="21"/>
                <w:highlight w:val="none"/>
              </w:rPr>
              <w:t>供应商在项目实施过程中获取的各类技术文件、信息或采购人提供的内部资料、技术文档和信息，未经采购人许可，不得以任何形式泄露给第三方。签订合同时</w:t>
            </w:r>
            <w:r>
              <w:rPr>
                <w:rFonts w:hint="eastAsia" w:ascii="宋体" w:hAnsi="宋体" w:eastAsia="宋体" w:cs="宋体"/>
                <w:color w:val="auto"/>
                <w:szCs w:val="21"/>
                <w:highlight w:val="none"/>
                <w:lang w:eastAsia="zh-CN"/>
              </w:rPr>
              <w:t>需</w:t>
            </w:r>
            <w:r>
              <w:rPr>
                <w:rFonts w:hint="eastAsia" w:ascii="宋体" w:hAnsi="宋体" w:eastAsia="宋体" w:cs="宋体"/>
                <w:color w:val="auto"/>
                <w:szCs w:val="21"/>
                <w:highlight w:val="none"/>
              </w:rPr>
              <w:t>提供保密承诺函。</w:t>
            </w:r>
          </w:p>
        </w:tc>
      </w:tr>
      <w:tr w14:paraId="56142A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8" w:hRule="atLeast"/>
        </w:trPr>
        <w:tc>
          <w:tcPr>
            <w:tcW w:w="2322" w:type="dxa"/>
            <w:gridSpan w:val="3"/>
            <w:tcBorders>
              <w:top w:val="single" w:color="auto" w:sz="4" w:space="0"/>
              <w:left w:val="single" w:color="auto" w:sz="4" w:space="0"/>
              <w:bottom w:val="single" w:color="auto" w:sz="4" w:space="0"/>
              <w:right w:val="single" w:color="auto" w:sz="4" w:space="0"/>
            </w:tcBorders>
            <w:vAlign w:val="center"/>
          </w:tcPr>
          <w:p w14:paraId="5B3D8EC7">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其他要求</w:t>
            </w:r>
          </w:p>
        </w:tc>
        <w:tc>
          <w:tcPr>
            <w:tcW w:w="7342" w:type="dxa"/>
            <w:gridSpan w:val="3"/>
            <w:tcBorders>
              <w:top w:val="single" w:color="auto" w:sz="4" w:space="0"/>
              <w:left w:val="single" w:color="auto" w:sz="4" w:space="0"/>
              <w:bottom w:val="single" w:color="auto" w:sz="4" w:space="0"/>
              <w:right w:val="single" w:color="auto" w:sz="4" w:space="0"/>
            </w:tcBorders>
          </w:tcPr>
          <w:p w14:paraId="60A7682A">
            <w:pPr>
              <w:keepNext w:val="0"/>
              <w:keepLines w:val="0"/>
              <w:pageBreakBefore w:val="0"/>
              <w:widowControl/>
              <w:shd w:val="clear" w:color="auto" w:fill="FFFFFF"/>
              <w:kinsoku/>
              <w:wordWrap/>
              <w:overflowPunct/>
              <w:topLinePunct w:val="0"/>
              <w:bidi w:val="0"/>
              <w:adjustRightInd/>
              <w:snapToGrid/>
              <w:spacing w:after="0" w:line="380" w:lineRule="exact"/>
              <w:ind w:firstLine="420" w:firstLineChars="200"/>
              <w:textAlignment w:val="auto"/>
              <w:rPr>
                <w:rFonts w:hint="eastAsia" w:ascii="宋体" w:hAnsi="宋体" w:eastAsia="宋体" w:cs="宋体"/>
                <w:bCs w:val="0"/>
                <w:color w:val="auto"/>
                <w:sz w:val="21"/>
                <w:szCs w:val="21"/>
                <w:highlight w:val="none"/>
                <w:lang w:val="en-US" w:eastAsia="zh-CN"/>
              </w:rPr>
            </w:pPr>
            <w:r>
              <w:rPr>
                <w:rFonts w:hint="eastAsia" w:ascii="宋体" w:hAnsi="宋体" w:eastAsia="宋体" w:cs="宋体"/>
                <w:bCs w:val="0"/>
                <w:color w:val="auto"/>
                <w:sz w:val="21"/>
                <w:szCs w:val="21"/>
                <w:highlight w:val="none"/>
                <w:lang w:val="en-US" w:eastAsia="zh-CN"/>
              </w:rPr>
              <w:t>1.</w:t>
            </w:r>
            <w:r>
              <w:rPr>
                <w:rFonts w:hint="eastAsia" w:ascii="宋体" w:hAnsi="宋体" w:eastAsia="宋体" w:cs="宋体"/>
                <w:bCs w:val="0"/>
                <w:color w:val="auto"/>
                <w:sz w:val="21"/>
                <w:szCs w:val="21"/>
                <w:highlight w:val="none"/>
              </w:rPr>
              <w:t>采购人在中华人民共和国境内使用供应商提供的服务时免受第三方提出的侵犯其专利权或</w:t>
            </w:r>
            <w:r>
              <w:rPr>
                <w:rFonts w:hint="eastAsia" w:ascii="宋体" w:hAnsi="宋体" w:eastAsia="宋体" w:cs="宋体"/>
                <w:bCs w:val="0"/>
                <w:color w:val="auto"/>
                <w:sz w:val="21"/>
                <w:szCs w:val="21"/>
                <w:highlight w:val="none"/>
                <w:lang w:eastAsia="zh-CN"/>
              </w:rPr>
              <w:t>其他</w:t>
            </w:r>
            <w:r>
              <w:rPr>
                <w:rFonts w:hint="eastAsia" w:ascii="宋体" w:hAnsi="宋体" w:eastAsia="宋体" w:cs="宋体"/>
                <w:bCs w:val="0"/>
                <w:color w:val="auto"/>
                <w:sz w:val="21"/>
                <w:szCs w:val="21"/>
                <w:highlight w:val="none"/>
              </w:rPr>
              <w:t>知识产权的起诉。如果第三方提出侵权指控，</w:t>
            </w:r>
            <w:r>
              <w:rPr>
                <w:rFonts w:hint="eastAsia" w:ascii="宋体" w:hAnsi="宋体" w:eastAsia="宋体" w:cs="宋体"/>
                <w:bCs w:val="0"/>
                <w:color w:val="auto"/>
                <w:sz w:val="21"/>
                <w:szCs w:val="21"/>
                <w:highlight w:val="none"/>
                <w:lang w:eastAsia="zh-CN"/>
              </w:rPr>
              <w:t>中标</w:t>
            </w:r>
            <w:r>
              <w:rPr>
                <w:rFonts w:hint="eastAsia" w:ascii="宋体" w:hAnsi="宋体" w:eastAsia="宋体" w:cs="宋体"/>
                <w:bCs w:val="0"/>
                <w:color w:val="auto"/>
                <w:sz w:val="21"/>
                <w:szCs w:val="21"/>
                <w:highlight w:val="none"/>
                <w:lang w:val="en-US" w:eastAsia="zh-CN"/>
              </w:rPr>
              <w:t>供应商</w:t>
            </w:r>
            <w:r>
              <w:rPr>
                <w:rFonts w:hint="eastAsia" w:ascii="宋体" w:hAnsi="宋体" w:eastAsia="宋体" w:cs="宋体"/>
                <w:bCs w:val="0"/>
                <w:color w:val="auto"/>
                <w:sz w:val="21"/>
                <w:szCs w:val="21"/>
                <w:highlight w:val="none"/>
              </w:rPr>
              <w:t>应承担由此而引起的一切法律责任和费用。</w:t>
            </w:r>
          </w:p>
          <w:p w14:paraId="7FCCDC94">
            <w:pPr>
              <w:keepNext w:val="0"/>
              <w:keepLines w:val="0"/>
              <w:pageBreakBefore w:val="0"/>
              <w:widowControl/>
              <w:shd w:val="clear" w:color="auto" w:fill="FFFFFF"/>
              <w:kinsoku/>
              <w:wordWrap/>
              <w:overflowPunct/>
              <w:topLinePunct w:val="0"/>
              <w:bidi w:val="0"/>
              <w:adjustRightInd/>
              <w:snapToGrid/>
              <w:spacing w:after="0" w:line="380" w:lineRule="exact"/>
              <w:ind w:firstLine="420" w:firstLineChars="200"/>
              <w:textAlignment w:val="auto"/>
              <w:rPr>
                <w:rFonts w:hint="eastAsia" w:ascii="宋体" w:hAnsi="宋体" w:eastAsia="宋体" w:cs="宋体"/>
                <w:bCs w:val="0"/>
                <w:color w:val="auto"/>
                <w:sz w:val="21"/>
                <w:szCs w:val="21"/>
                <w:highlight w:val="none"/>
                <w:lang w:val="en-US" w:eastAsia="zh-CN"/>
              </w:rPr>
            </w:pPr>
            <w:r>
              <w:rPr>
                <w:rFonts w:hint="eastAsia" w:ascii="宋体" w:hAnsi="宋体" w:eastAsia="宋体" w:cs="宋体"/>
                <w:bCs w:val="0"/>
                <w:color w:val="auto"/>
                <w:sz w:val="21"/>
                <w:szCs w:val="21"/>
                <w:highlight w:val="none"/>
                <w:lang w:val="en-US" w:eastAsia="zh-CN"/>
              </w:rPr>
              <w:t>2.</w:t>
            </w:r>
            <w:r>
              <w:rPr>
                <w:rFonts w:hint="eastAsia" w:ascii="宋体" w:hAnsi="宋体" w:eastAsia="宋体" w:cs="宋体"/>
                <w:bCs w:val="0"/>
                <w:color w:val="auto"/>
                <w:sz w:val="21"/>
                <w:szCs w:val="21"/>
                <w:highlight w:val="none"/>
              </w:rPr>
              <w:t>本项目所采购服务如需执行国家相关标准、行业标准、地方标准或其他强制性标准、规范</w:t>
            </w:r>
            <w:r>
              <w:rPr>
                <w:rFonts w:hint="eastAsia" w:ascii="宋体" w:hAnsi="宋体" w:eastAsia="宋体" w:cs="宋体"/>
                <w:bCs w:val="0"/>
                <w:color w:val="auto"/>
                <w:sz w:val="21"/>
                <w:szCs w:val="21"/>
                <w:highlight w:val="none"/>
                <w:lang w:val="en-US" w:eastAsia="zh-CN"/>
              </w:rPr>
              <w:t>的</w:t>
            </w:r>
            <w:r>
              <w:rPr>
                <w:rFonts w:hint="eastAsia" w:ascii="宋体" w:hAnsi="宋体" w:eastAsia="宋体" w:cs="宋体"/>
                <w:bCs w:val="0"/>
                <w:color w:val="auto"/>
                <w:sz w:val="21"/>
                <w:szCs w:val="21"/>
                <w:highlight w:val="none"/>
              </w:rPr>
              <w:t>，应执行。</w:t>
            </w:r>
          </w:p>
          <w:p w14:paraId="33CA8AF1">
            <w:pPr>
              <w:pStyle w:val="135"/>
              <w:tabs>
                <w:tab w:val="left" w:pos="319"/>
              </w:tabs>
              <w:spacing w:before="119"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bCs w:val="0"/>
                <w:color w:val="auto"/>
                <w:sz w:val="21"/>
                <w:szCs w:val="21"/>
                <w:highlight w:val="none"/>
                <w:lang w:val="en-US" w:eastAsia="zh-CN"/>
              </w:rPr>
              <w:t>3.未尽事宜参照《关于印发广西壮族自治区政府采购项目履约验收管理办法的通知》[桂财采〔2015〕22 号]以及《财政部关于进一步加强政府采购需求和履约验收管理的指导意见》[财库〔2016〕205 号]规定执行。</w:t>
            </w:r>
          </w:p>
        </w:tc>
      </w:tr>
    </w:tbl>
    <w:p w14:paraId="1A4D9FE8">
      <w:pPr>
        <w:jc w:val="left"/>
        <w:rPr>
          <w:rFonts w:hint="eastAsia" w:ascii="宋体" w:hAnsi="宋体" w:eastAsia="宋体" w:cs="宋体"/>
          <w:b/>
          <w:bCs/>
          <w:color w:val="auto"/>
          <w:kern w:val="0"/>
          <w:sz w:val="32"/>
          <w:szCs w:val="32"/>
          <w:highlight w:val="none"/>
        </w:rPr>
      </w:pPr>
    </w:p>
    <w:p w14:paraId="01B7F43B">
      <w:pPr>
        <w:jc w:val="left"/>
        <w:rPr>
          <w:rFonts w:hint="eastAsia" w:ascii="宋体" w:hAnsi="宋体" w:eastAsia="宋体" w:cs="宋体"/>
          <w:b/>
          <w:bCs/>
          <w:color w:val="auto"/>
          <w:kern w:val="0"/>
          <w:sz w:val="32"/>
          <w:szCs w:val="32"/>
          <w:highlight w:val="none"/>
        </w:rPr>
      </w:pPr>
    </w:p>
    <w:p w14:paraId="52277520">
      <w:pPr>
        <w:pStyle w:val="38"/>
        <w:rPr>
          <w:rFonts w:hint="eastAsia" w:ascii="宋体" w:hAnsi="宋体" w:eastAsia="宋体" w:cs="宋体"/>
          <w:b/>
          <w:bCs/>
          <w:color w:val="auto"/>
          <w:kern w:val="0"/>
          <w:sz w:val="32"/>
          <w:szCs w:val="32"/>
          <w:highlight w:val="none"/>
        </w:rPr>
      </w:pPr>
    </w:p>
    <w:p w14:paraId="576E7588">
      <w:pPr>
        <w:rPr>
          <w:rFonts w:hint="eastAsia" w:ascii="宋体" w:hAnsi="宋体" w:eastAsia="宋体" w:cs="宋体"/>
          <w:b/>
          <w:bCs/>
          <w:color w:val="auto"/>
          <w:kern w:val="0"/>
          <w:sz w:val="32"/>
          <w:szCs w:val="32"/>
          <w:highlight w:val="none"/>
        </w:rPr>
      </w:pPr>
    </w:p>
    <w:p w14:paraId="47CECB94">
      <w:pPr>
        <w:pStyle w:val="38"/>
        <w:rPr>
          <w:rFonts w:hint="eastAsia" w:ascii="宋体" w:hAnsi="宋体" w:eastAsia="宋体" w:cs="宋体"/>
          <w:b/>
          <w:bCs/>
          <w:color w:val="auto"/>
          <w:kern w:val="0"/>
          <w:sz w:val="32"/>
          <w:szCs w:val="32"/>
          <w:highlight w:val="none"/>
        </w:rPr>
      </w:pPr>
    </w:p>
    <w:p w14:paraId="222EA329">
      <w:pPr>
        <w:rPr>
          <w:rFonts w:hint="eastAsia" w:ascii="宋体" w:hAnsi="宋体" w:eastAsia="宋体" w:cs="宋体"/>
          <w:b/>
          <w:bCs/>
          <w:color w:val="auto"/>
          <w:kern w:val="0"/>
          <w:sz w:val="32"/>
          <w:szCs w:val="32"/>
          <w:highlight w:val="none"/>
        </w:rPr>
      </w:pPr>
    </w:p>
    <w:p w14:paraId="37FFCEC1">
      <w:pPr>
        <w:pStyle w:val="38"/>
        <w:rPr>
          <w:rFonts w:hint="eastAsia" w:ascii="宋体" w:hAnsi="宋体" w:eastAsia="宋体" w:cs="宋体"/>
          <w:b/>
          <w:bCs/>
          <w:color w:val="auto"/>
          <w:kern w:val="0"/>
          <w:sz w:val="32"/>
          <w:szCs w:val="32"/>
          <w:highlight w:val="none"/>
        </w:rPr>
      </w:pPr>
    </w:p>
    <w:p w14:paraId="2E693D38">
      <w:pPr>
        <w:rPr>
          <w:rFonts w:hint="eastAsia" w:ascii="宋体" w:hAnsi="宋体" w:eastAsia="宋体" w:cs="宋体"/>
          <w:b/>
          <w:bCs/>
          <w:color w:val="auto"/>
          <w:kern w:val="0"/>
          <w:sz w:val="32"/>
          <w:szCs w:val="32"/>
          <w:highlight w:val="none"/>
        </w:rPr>
      </w:pPr>
    </w:p>
    <w:p w14:paraId="769155B9">
      <w:pPr>
        <w:pStyle w:val="38"/>
        <w:rPr>
          <w:rFonts w:hint="eastAsia" w:ascii="宋体" w:hAnsi="宋体" w:eastAsia="宋体" w:cs="宋体"/>
          <w:b/>
          <w:bCs/>
          <w:color w:val="auto"/>
          <w:kern w:val="0"/>
          <w:sz w:val="32"/>
          <w:szCs w:val="32"/>
          <w:highlight w:val="none"/>
        </w:rPr>
      </w:pPr>
    </w:p>
    <w:p w14:paraId="30280851">
      <w:pPr>
        <w:rPr>
          <w:rFonts w:hint="eastAsia" w:ascii="宋体" w:hAnsi="宋体" w:eastAsia="宋体" w:cs="宋体"/>
          <w:b/>
          <w:bCs/>
          <w:color w:val="auto"/>
          <w:kern w:val="0"/>
          <w:sz w:val="32"/>
          <w:szCs w:val="32"/>
          <w:highlight w:val="none"/>
        </w:rPr>
      </w:pPr>
    </w:p>
    <w:p w14:paraId="60E88346">
      <w:pPr>
        <w:pStyle w:val="76"/>
        <w:rPr>
          <w:rFonts w:hint="eastAsia" w:ascii="宋体" w:hAnsi="宋体" w:eastAsia="宋体" w:cs="宋体"/>
          <w:b/>
          <w:bCs/>
          <w:color w:val="auto"/>
          <w:kern w:val="0"/>
          <w:sz w:val="32"/>
          <w:szCs w:val="32"/>
          <w:highlight w:val="none"/>
        </w:rPr>
      </w:pPr>
    </w:p>
    <w:p w14:paraId="2996B14B">
      <w:pPr>
        <w:pStyle w:val="76"/>
        <w:rPr>
          <w:rFonts w:hint="eastAsia" w:ascii="宋体" w:hAnsi="宋体" w:eastAsia="宋体" w:cs="宋体"/>
          <w:b/>
          <w:bCs/>
          <w:color w:val="auto"/>
          <w:kern w:val="0"/>
          <w:sz w:val="32"/>
          <w:szCs w:val="32"/>
          <w:highlight w:val="none"/>
        </w:rPr>
      </w:pPr>
    </w:p>
    <w:p w14:paraId="77831370">
      <w:pPr>
        <w:pStyle w:val="76"/>
        <w:rPr>
          <w:rFonts w:hint="eastAsia" w:ascii="宋体" w:hAnsi="宋体" w:eastAsia="宋体" w:cs="宋体"/>
          <w:b/>
          <w:bCs/>
          <w:color w:val="auto"/>
          <w:kern w:val="0"/>
          <w:sz w:val="32"/>
          <w:szCs w:val="32"/>
          <w:highlight w:val="none"/>
        </w:rPr>
      </w:pPr>
    </w:p>
    <w:p w14:paraId="498A9F70">
      <w:pPr>
        <w:pStyle w:val="76"/>
        <w:rPr>
          <w:rFonts w:hint="eastAsia" w:ascii="宋体" w:hAnsi="宋体" w:eastAsia="宋体" w:cs="宋体"/>
          <w:b/>
          <w:bCs/>
          <w:color w:val="auto"/>
          <w:kern w:val="0"/>
          <w:sz w:val="32"/>
          <w:szCs w:val="32"/>
          <w:highlight w:val="none"/>
        </w:rPr>
      </w:pPr>
    </w:p>
    <w:p w14:paraId="6A3F84A3">
      <w:pPr>
        <w:pStyle w:val="76"/>
        <w:rPr>
          <w:rFonts w:hint="eastAsia" w:ascii="宋体" w:hAnsi="宋体" w:eastAsia="宋体" w:cs="宋体"/>
          <w:b/>
          <w:bCs/>
          <w:color w:val="auto"/>
          <w:kern w:val="0"/>
          <w:sz w:val="32"/>
          <w:szCs w:val="32"/>
          <w:highlight w:val="none"/>
        </w:rPr>
      </w:pPr>
    </w:p>
    <w:p w14:paraId="23FD0588">
      <w:pPr>
        <w:pStyle w:val="76"/>
        <w:rPr>
          <w:rFonts w:hint="eastAsia" w:ascii="宋体" w:hAnsi="宋体" w:eastAsia="宋体" w:cs="宋体"/>
          <w:b/>
          <w:bCs/>
          <w:color w:val="auto"/>
          <w:kern w:val="0"/>
          <w:sz w:val="32"/>
          <w:szCs w:val="32"/>
          <w:highlight w:val="none"/>
        </w:rPr>
      </w:pPr>
    </w:p>
    <w:p w14:paraId="44525F23">
      <w:pPr>
        <w:jc w:val="left"/>
        <w:rPr>
          <w:rFonts w:hint="eastAsia" w:ascii="宋体" w:hAnsi="宋体" w:eastAsia="宋体" w:cs="宋体"/>
          <w:b/>
          <w:bCs/>
          <w:color w:val="auto"/>
          <w:kern w:val="0"/>
          <w:sz w:val="32"/>
          <w:szCs w:val="32"/>
          <w:highlight w:val="none"/>
        </w:rPr>
      </w:pPr>
    </w:p>
    <w:p w14:paraId="4172522E">
      <w:pPr>
        <w:jc w:val="left"/>
        <w:rPr>
          <w:rFonts w:hint="eastAsia" w:ascii="宋体" w:hAnsi="宋体" w:eastAsia="宋体" w:cs="宋体"/>
          <w:b/>
          <w:bCs/>
          <w:color w:val="auto"/>
          <w:kern w:val="0"/>
          <w:sz w:val="32"/>
          <w:szCs w:val="32"/>
          <w:highlight w:val="none"/>
        </w:rPr>
      </w:pPr>
      <w:r>
        <w:rPr>
          <w:rFonts w:hint="eastAsia" w:ascii="宋体" w:hAnsi="宋体" w:eastAsia="宋体" w:cs="宋体"/>
          <w:b/>
          <w:bCs/>
          <w:color w:val="auto"/>
          <w:kern w:val="0"/>
          <w:sz w:val="32"/>
          <w:szCs w:val="32"/>
          <w:highlight w:val="none"/>
        </w:rPr>
        <w:t>附件1：</w:t>
      </w:r>
    </w:p>
    <w:p w14:paraId="51631E01">
      <w:pPr>
        <w:pStyle w:val="163"/>
        <w:rPr>
          <w:rFonts w:hint="eastAsia" w:ascii="宋体" w:hAnsi="宋体" w:eastAsia="宋体" w:cs="宋体"/>
          <w:color w:val="auto"/>
          <w:sz w:val="21"/>
          <w:szCs w:val="21"/>
          <w:highlight w:val="none"/>
        </w:rPr>
      </w:pPr>
    </w:p>
    <w:p w14:paraId="07BF2FFB">
      <w:pPr>
        <w:spacing w:line="230" w:lineRule="auto"/>
        <w:rPr>
          <w:rFonts w:hint="eastAsia" w:ascii="宋体" w:hAnsi="宋体" w:eastAsia="宋体" w:cs="宋体"/>
          <w:color w:val="auto"/>
          <w:spacing w:val="5"/>
          <w:sz w:val="20"/>
          <w:szCs w:val="20"/>
          <w:highlight w:val="none"/>
        </w:rPr>
      </w:pPr>
    </w:p>
    <w:p w14:paraId="1197FD92">
      <w:pPr>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节能产品政府采购品目清单</w:t>
      </w:r>
    </w:p>
    <w:tbl>
      <w:tblPr>
        <w:tblStyle w:val="61"/>
        <w:tblW w:w="902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
        <w:gridCol w:w="554"/>
        <w:gridCol w:w="1614"/>
        <w:gridCol w:w="1350"/>
        <w:gridCol w:w="1868"/>
        <w:gridCol w:w="3632"/>
      </w:tblGrid>
      <w:tr w14:paraId="5FC0BC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2" w:hRule="atLeast"/>
          <w:jc w:val="center"/>
        </w:trPr>
        <w:tc>
          <w:tcPr>
            <w:tcW w:w="564" w:type="dxa"/>
            <w:gridSpan w:val="2"/>
            <w:vAlign w:val="center"/>
          </w:tcPr>
          <w:p w14:paraId="6A10B7AB">
            <w:pPr>
              <w:autoSpaceDE w:val="0"/>
              <w:autoSpaceDN w:val="0"/>
              <w:jc w:val="center"/>
              <w:rPr>
                <w:rFonts w:hint="eastAsia" w:ascii="宋体" w:hAnsi="宋体" w:eastAsia="宋体" w:cs="宋体"/>
                <w:b/>
                <w:bCs/>
                <w:color w:val="auto"/>
                <w:highlight w:val="none"/>
              </w:rPr>
            </w:pPr>
            <w:bookmarkStart w:id="42" w:name="_Hlk72765337"/>
            <w:r>
              <w:rPr>
                <w:rFonts w:hint="eastAsia" w:ascii="宋体" w:hAnsi="宋体" w:eastAsia="宋体" w:cs="宋体"/>
                <w:b/>
                <w:bCs/>
                <w:color w:val="auto"/>
                <w:highlight w:val="none"/>
              </w:rPr>
              <w:t>品目序号</w:t>
            </w:r>
          </w:p>
        </w:tc>
        <w:tc>
          <w:tcPr>
            <w:tcW w:w="4832" w:type="dxa"/>
            <w:gridSpan w:val="3"/>
            <w:vAlign w:val="center"/>
          </w:tcPr>
          <w:p w14:paraId="15C941DA">
            <w:pPr>
              <w:autoSpaceDE w:val="0"/>
              <w:autoSpaceDN w:val="0"/>
              <w:jc w:val="center"/>
              <w:rPr>
                <w:rFonts w:hint="eastAsia" w:ascii="宋体" w:hAnsi="宋体" w:eastAsia="宋体" w:cs="宋体"/>
                <w:b/>
                <w:bCs/>
                <w:color w:val="auto"/>
                <w:highlight w:val="none"/>
              </w:rPr>
            </w:pPr>
            <w:r>
              <w:rPr>
                <w:rFonts w:hint="eastAsia" w:ascii="宋体" w:hAnsi="宋体" w:eastAsia="宋体" w:cs="宋体"/>
                <w:b/>
                <w:bCs/>
                <w:color w:val="auto"/>
                <w:highlight w:val="none"/>
              </w:rPr>
              <w:t>名称</w:t>
            </w:r>
          </w:p>
        </w:tc>
        <w:tc>
          <w:tcPr>
            <w:tcW w:w="3632" w:type="dxa"/>
            <w:vAlign w:val="center"/>
          </w:tcPr>
          <w:p w14:paraId="6D6A1BE5">
            <w:pPr>
              <w:autoSpaceDE w:val="0"/>
              <w:autoSpaceDN w:val="0"/>
              <w:jc w:val="center"/>
              <w:rPr>
                <w:rFonts w:hint="eastAsia" w:ascii="宋体" w:hAnsi="宋体" w:eastAsia="宋体" w:cs="宋体"/>
                <w:b/>
                <w:bCs/>
                <w:color w:val="auto"/>
                <w:highlight w:val="none"/>
              </w:rPr>
            </w:pPr>
            <w:r>
              <w:rPr>
                <w:rFonts w:hint="eastAsia" w:ascii="宋体" w:hAnsi="宋体" w:eastAsia="宋体" w:cs="宋体"/>
                <w:b/>
                <w:bCs/>
                <w:color w:val="auto"/>
                <w:highlight w:val="none"/>
              </w:rPr>
              <w:t>依据的标准</w:t>
            </w:r>
          </w:p>
        </w:tc>
      </w:tr>
      <w:tr w14:paraId="7A41D7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0" w:hRule="atLeast"/>
          <w:jc w:val="center"/>
        </w:trPr>
        <w:tc>
          <w:tcPr>
            <w:tcW w:w="564" w:type="dxa"/>
            <w:gridSpan w:val="2"/>
            <w:vMerge w:val="restart"/>
            <w:vAlign w:val="center"/>
          </w:tcPr>
          <w:p w14:paraId="4B9060A5">
            <w:pPr>
              <w:autoSpaceDE w:val="0"/>
              <w:autoSpaceDN w:val="0"/>
              <w:jc w:val="center"/>
              <w:rPr>
                <w:rFonts w:hint="eastAsia" w:ascii="宋体" w:hAnsi="宋体" w:eastAsia="宋体" w:cs="宋体"/>
                <w:color w:val="auto"/>
                <w:highlight w:val="none"/>
              </w:rPr>
            </w:pPr>
            <w:r>
              <w:rPr>
                <w:rFonts w:hint="eastAsia" w:ascii="宋体" w:hAnsi="宋体" w:eastAsia="宋体" w:cs="宋体"/>
                <w:color w:val="auto"/>
                <w:highlight w:val="none"/>
              </w:rPr>
              <w:t>1</w:t>
            </w:r>
          </w:p>
        </w:tc>
        <w:tc>
          <w:tcPr>
            <w:tcW w:w="1614" w:type="dxa"/>
            <w:vMerge w:val="restart"/>
            <w:vAlign w:val="center"/>
          </w:tcPr>
          <w:p w14:paraId="0EC241BE">
            <w:pPr>
              <w:autoSpaceDE w:val="0"/>
              <w:autoSpaceDN w:val="0"/>
              <w:jc w:val="center"/>
              <w:rPr>
                <w:rFonts w:hint="eastAsia" w:ascii="宋体" w:hAnsi="宋体" w:eastAsia="宋体" w:cs="宋体"/>
                <w:color w:val="auto"/>
                <w:highlight w:val="none"/>
              </w:rPr>
            </w:pPr>
            <w:r>
              <w:rPr>
                <w:rFonts w:hint="eastAsia" w:ascii="宋体" w:hAnsi="宋体" w:eastAsia="宋体" w:cs="宋体"/>
                <w:color w:val="auto"/>
                <w:highlight w:val="none"/>
              </w:rPr>
              <w:t>A020101</w:t>
            </w:r>
            <w:r>
              <w:rPr>
                <w:rFonts w:hint="eastAsia" w:ascii="宋体" w:hAnsi="宋体" w:eastAsia="宋体" w:cs="宋体"/>
                <w:color w:val="auto"/>
                <w:spacing w:val="-20"/>
                <w:highlight w:val="none"/>
              </w:rPr>
              <w:t xml:space="preserve"> 计算</w:t>
            </w:r>
            <w:r>
              <w:rPr>
                <w:rFonts w:hint="eastAsia" w:ascii="宋体" w:hAnsi="宋体" w:eastAsia="宋体" w:cs="宋体"/>
                <w:color w:val="auto"/>
                <w:highlight w:val="none"/>
              </w:rPr>
              <w:t>机设备</w:t>
            </w:r>
          </w:p>
        </w:tc>
        <w:tc>
          <w:tcPr>
            <w:tcW w:w="1350" w:type="dxa"/>
            <w:vAlign w:val="center"/>
          </w:tcPr>
          <w:p w14:paraId="51F6D1D9">
            <w:pPr>
              <w:autoSpaceDE w:val="0"/>
              <w:autoSpaceDN w:val="0"/>
              <w:jc w:val="center"/>
              <w:rPr>
                <w:rFonts w:hint="eastAsia" w:ascii="宋体" w:hAnsi="宋体" w:eastAsia="宋体" w:cs="宋体"/>
                <w:color w:val="auto"/>
                <w:highlight w:val="none"/>
              </w:rPr>
            </w:pPr>
            <w:r>
              <w:rPr>
                <w:rFonts w:hint="eastAsia" w:ascii="宋体" w:hAnsi="宋体" w:eastAsia="宋体" w:cs="宋体"/>
                <w:color w:val="auto"/>
                <w:highlight w:val="none"/>
              </w:rPr>
              <w:t>★A02010104</w:t>
            </w:r>
            <w:r>
              <w:rPr>
                <w:rFonts w:hint="eastAsia" w:ascii="宋体" w:hAnsi="宋体" w:eastAsia="宋体" w:cs="宋体"/>
                <w:color w:val="auto"/>
                <w:spacing w:val="-7"/>
                <w:highlight w:val="none"/>
              </w:rPr>
              <w:t xml:space="preserve"> 台式计</w:t>
            </w:r>
            <w:r>
              <w:rPr>
                <w:rFonts w:hint="eastAsia" w:ascii="宋体" w:hAnsi="宋体" w:eastAsia="宋体" w:cs="宋体"/>
                <w:color w:val="auto"/>
                <w:highlight w:val="none"/>
              </w:rPr>
              <w:t>算机</w:t>
            </w:r>
          </w:p>
        </w:tc>
        <w:tc>
          <w:tcPr>
            <w:tcW w:w="1868" w:type="dxa"/>
            <w:vAlign w:val="center"/>
          </w:tcPr>
          <w:p w14:paraId="6044C1F3">
            <w:pPr>
              <w:autoSpaceDE w:val="0"/>
              <w:autoSpaceDN w:val="0"/>
              <w:jc w:val="center"/>
              <w:rPr>
                <w:rFonts w:hint="eastAsia" w:ascii="宋体" w:hAnsi="宋体" w:eastAsia="宋体" w:cs="宋体"/>
                <w:color w:val="auto"/>
                <w:highlight w:val="none"/>
              </w:rPr>
            </w:pPr>
          </w:p>
        </w:tc>
        <w:tc>
          <w:tcPr>
            <w:tcW w:w="3632" w:type="dxa"/>
            <w:vAlign w:val="center"/>
          </w:tcPr>
          <w:p w14:paraId="21F5A7A2">
            <w:pPr>
              <w:autoSpaceDE w:val="0"/>
              <w:autoSpaceDN w:val="0"/>
              <w:jc w:val="center"/>
              <w:rPr>
                <w:rFonts w:hint="eastAsia" w:ascii="宋体" w:hAnsi="宋体" w:eastAsia="宋体" w:cs="宋体"/>
                <w:color w:val="auto"/>
                <w:highlight w:val="none"/>
              </w:rPr>
            </w:pPr>
            <w:r>
              <w:rPr>
                <w:rFonts w:hint="eastAsia" w:ascii="宋体" w:hAnsi="宋体" w:eastAsia="宋体" w:cs="宋体"/>
                <w:color w:val="auto"/>
                <w:spacing w:val="9"/>
                <w:highlight w:val="none"/>
              </w:rPr>
              <w:t>《微型计算机能效限定值及能效</w:t>
            </w:r>
            <w:r>
              <w:rPr>
                <w:rFonts w:hint="eastAsia" w:ascii="宋体" w:hAnsi="宋体" w:eastAsia="宋体" w:cs="宋体"/>
                <w:color w:val="auto"/>
                <w:highlight w:val="none"/>
              </w:rPr>
              <w:t>等级》（GB28380）</w:t>
            </w:r>
          </w:p>
        </w:tc>
      </w:tr>
      <w:tr w14:paraId="5F8A19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7" w:hRule="atLeast"/>
          <w:jc w:val="center"/>
        </w:trPr>
        <w:tc>
          <w:tcPr>
            <w:tcW w:w="564" w:type="dxa"/>
            <w:gridSpan w:val="2"/>
            <w:vMerge w:val="continue"/>
            <w:vAlign w:val="center"/>
          </w:tcPr>
          <w:p w14:paraId="11BB575D">
            <w:pPr>
              <w:autoSpaceDE w:val="0"/>
              <w:autoSpaceDN w:val="0"/>
              <w:jc w:val="center"/>
              <w:rPr>
                <w:rFonts w:hint="eastAsia" w:ascii="宋体" w:hAnsi="宋体" w:eastAsia="宋体" w:cs="宋体"/>
                <w:color w:val="auto"/>
                <w:highlight w:val="none"/>
              </w:rPr>
            </w:pPr>
          </w:p>
        </w:tc>
        <w:tc>
          <w:tcPr>
            <w:tcW w:w="1614" w:type="dxa"/>
            <w:vMerge w:val="continue"/>
            <w:vAlign w:val="center"/>
          </w:tcPr>
          <w:p w14:paraId="1FA21FC5">
            <w:pPr>
              <w:autoSpaceDE w:val="0"/>
              <w:autoSpaceDN w:val="0"/>
              <w:jc w:val="center"/>
              <w:rPr>
                <w:rFonts w:hint="eastAsia" w:ascii="宋体" w:hAnsi="宋体" w:eastAsia="宋体" w:cs="宋体"/>
                <w:color w:val="auto"/>
                <w:highlight w:val="none"/>
              </w:rPr>
            </w:pPr>
          </w:p>
        </w:tc>
        <w:tc>
          <w:tcPr>
            <w:tcW w:w="1350" w:type="dxa"/>
            <w:vAlign w:val="center"/>
          </w:tcPr>
          <w:p w14:paraId="4B58679D">
            <w:pPr>
              <w:autoSpaceDE w:val="0"/>
              <w:autoSpaceDN w:val="0"/>
              <w:jc w:val="center"/>
              <w:rPr>
                <w:rFonts w:hint="eastAsia" w:ascii="宋体" w:hAnsi="宋体" w:eastAsia="宋体" w:cs="宋体"/>
                <w:color w:val="auto"/>
                <w:highlight w:val="none"/>
              </w:rPr>
            </w:pPr>
            <w:r>
              <w:rPr>
                <w:rFonts w:hint="eastAsia" w:ascii="宋体" w:hAnsi="宋体" w:eastAsia="宋体" w:cs="宋体"/>
                <w:color w:val="auto"/>
                <w:highlight w:val="none"/>
              </w:rPr>
              <w:t>★A02010105</w:t>
            </w:r>
            <w:r>
              <w:rPr>
                <w:rFonts w:hint="eastAsia" w:ascii="宋体" w:hAnsi="宋体" w:eastAsia="宋体" w:cs="宋体"/>
                <w:color w:val="auto"/>
                <w:spacing w:val="-7"/>
                <w:highlight w:val="none"/>
              </w:rPr>
              <w:t xml:space="preserve"> 便携式</w:t>
            </w:r>
            <w:r>
              <w:rPr>
                <w:rFonts w:hint="eastAsia" w:ascii="宋体" w:hAnsi="宋体" w:eastAsia="宋体" w:cs="宋体"/>
                <w:color w:val="auto"/>
                <w:highlight w:val="none"/>
              </w:rPr>
              <w:t>计算机</w:t>
            </w:r>
          </w:p>
        </w:tc>
        <w:tc>
          <w:tcPr>
            <w:tcW w:w="1868" w:type="dxa"/>
            <w:vAlign w:val="center"/>
          </w:tcPr>
          <w:p w14:paraId="4C302FD0">
            <w:pPr>
              <w:autoSpaceDE w:val="0"/>
              <w:autoSpaceDN w:val="0"/>
              <w:jc w:val="center"/>
              <w:rPr>
                <w:rFonts w:hint="eastAsia" w:ascii="宋体" w:hAnsi="宋体" w:eastAsia="宋体" w:cs="宋体"/>
                <w:color w:val="auto"/>
                <w:highlight w:val="none"/>
              </w:rPr>
            </w:pPr>
          </w:p>
        </w:tc>
        <w:tc>
          <w:tcPr>
            <w:tcW w:w="3632" w:type="dxa"/>
            <w:vAlign w:val="center"/>
          </w:tcPr>
          <w:p w14:paraId="6678589B">
            <w:pPr>
              <w:autoSpaceDE w:val="0"/>
              <w:autoSpaceDN w:val="0"/>
              <w:jc w:val="center"/>
              <w:rPr>
                <w:rFonts w:hint="eastAsia" w:ascii="宋体" w:hAnsi="宋体" w:eastAsia="宋体" w:cs="宋体"/>
                <w:color w:val="auto"/>
                <w:highlight w:val="none"/>
              </w:rPr>
            </w:pPr>
            <w:r>
              <w:rPr>
                <w:rFonts w:hint="eastAsia" w:ascii="宋体" w:hAnsi="宋体" w:eastAsia="宋体" w:cs="宋体"/>
                <w:color w:val="auto"/>
                <w:spacing w:val="9"/>
                <w:highlight w:val="none"/>
              </w:rPr>
              <w:t>《微型计算机能效限定值及能效</w:t>
            </w:r>
            <w:r>
              <w:rPr>
                <w:rFonts w:hint="eastAsia" w:ascii="宋体" w:hAnsi="宋体" w:eastAsia="宋体" w:cs="宋体"/>
                <w:color w:val="auto"/>
                <w:highlight w:val="none"/>
              </w:rPr>
              <w:t>等级》（GB28380）</w:t>
            </w:r>
          </w:p>
        </w:tc>
      </w:tr>
      <w:tr w14:paraId="54B797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3" w:hRule="atLeast"/>
          <w:jc w:val="center"/>
        </w:trPr>
        <w:tc>
          <w:tcPr>
            <w:tcW w:w="564" w:type="dxa"/>
            <w:gridSpan w:val="2"/>
            <w:vMerge w:val="continue"/>
            <w:vAlign w:val="center"/>
          </w:tcPr>
          <w:p w14:paraId="3D991389">
            <w:pPr>
              <w:autoSpaceDE w:val="0"/>
              <w:autoSpaceDN w:val="0"/>
              <w:jc w:val="center"/>
              <w:rPr>
                <w:rFonts w:hint="eastAsia" w:ascii="宋体" w:hAnsi="宋体" w:eastAsia="宋体" w:cs="宋体"/>
                <w:color w:val="auto"/>
                <w:highlight w:val="none"/>
              </w:rPr>
            </w:pPr>
          </w:p>
        </w:tc>
        <w:tc>
          <w:tcPr>
            <w:tcW w:w="1614" w:type="dxa"/>
            <w:vMerge w:val="continue"/>
            <w:vAlign w:val="center"/>
          </w:tcPr>
          <w:p w14:paraId="7469A4D8">
            <w:pPr>
              <w:autoSpaceDE w:val="0"/>
              <w:autoSpaceDN w:val="0"/>
              <w:jc w:val="center"/>
              <w:rPr>
                <w:rFonts w:hint="eastAsia" w:ascii="宋体" w:hAnsi="宋体" w:eastAsia="宋体" w:cs="宋体"/>
                <w:color w:val="auto"/>
                <w:highlight w:val="none"/>
              </w:rPr>
            </w:pPr>
          </w:p>
        </w:tc>
        <w:tc>
          <w:tcPr>
            <w:tcW w:w="1350" w:type="dxa"/>
            <w:vAlign w:val="center"/>
          </w:tcPr>
          <w:p w14:paraId="7949D0FC">
            <w:pPr>
              <w:autoSpaceDE w:val="0"/>
              <w:autoSpaceDN w:val="0"/>
              <w:jc w:val="center"/>
              <w:rPr>
                <w:rFonts w:hint="eastAsia" w:ascii="宋体" w:hAnsi="宋体" w:eastAsia="宋体" w:cs="宋体"/>
                <w:color w:val="auto"/>
                <w:highlight w:val="none"/>
              </w:rPr>
            </w:pPr>
            <w:r>
              <w:rPr>
                <w:rFonts w:hint="eastAsia" w:ascii="宋体" w:hAnsi="宋体" w:eastAsia="宋体" w:cs="宋体"/>
                <w:color w:val="auto"/>
                <w:highlight w:val="none"/>
              </w:rPr>
              <w:t>★A02010107</w:t>
            </w:r>
            <w:r>
              <w:rPr>
                <w:rFonts w:hint="eastAsia" w:ascii="宋体" w:hAnsi="宋体" w:eastAsia="宋体" w:cs="宋体"/>
                <w:color w:val="auto"/>
                <w:spacing w:val="-7"/>
                <w:highlight w:val="none"/>
              </w:rPr>
              <w:t xml:space="preserve"> 平板式</w:t>
            </w:r>
            <w:r>
              <w:rPr>
                <w:rFonts w:hint="eastAsia" w:ascii="宋体" w:hAnsi="宋体" w:eastAsia="宋体" w:cs="宋体"/>
                <w:color w:val="auto"/>
                <w:highlight w:val="none"/>
              </w:rPr>
              <w:t>微型计算机</w:t>
            </w:r>
          </w:p>
        </w:tc>
        <w:tc>
          <w:tcPr>
            <w:tcW w:w="1868" w:type="dxa"/>
            <w:vAlign w:val="center"/>
          </w:tcPr>
          <w:p w14:paraId="1C678306">
            <w:pPr>
              <w:autoSpaceDE w:val="0"/>
              <w:autoSpaceDN w:val="0"/>
              <w:jc w:val="center"/>
              <w:rPr>
                <w:rFonts w:hint="eastAsia" w:ascii="宋体" w:hAnsi="宋体" w:eastAsia="宋体" w:cs="宋体"/>
                <w:color w:val="auto"/>
                <w:highlight w:val="none"/>
              </w:rPr>
            </w:pPr>
          </w:p>
        </w:tc>
        <w:tc>
          <w:tcPr>
            <w:tcW w:w="3632" w:type="dxa"/>
            <w:vAlign w:val="center"/>
          </w:tcPr>
          <w:p w14:paraId="4A0F7804">
            <w:pPr>
              <w:autoSpaceDE w:val="0"/>
              <w:autoSpaceDN w:val="0"/>
              <w:jc w:val="center"/>
              <w:rPr>
                <w:rFonts w:hint="eastAsia" w:ascii="宋体" w:hAnsi="宋体" w:eastAsia="宋体" w:cs="宋体"/>
                <w:color w:val="auto"/>
                <w:highlight w:val="none"/>
              </w:rPr>
            </w:pPr>
            <w:r>
              <w:rPr>
                <w:rFonts w:hint="eastAsia" w:ascii="宋体" w:hAnsi="宋体" w:eastAsia="宋体" w:cs="宋体"/>
                <w:color w:val="auto"/>
                <w:spacing w:val="9"/>
                <w:highlight w:val="none"/>
              </w:rPr>
              <w:t>《微型计算机能效限定值及能效</w:t>
            </w:r>
            <w:r>
              <w:rPr>
                <w:rFonts w:hint="eastAsia" w:ascii="宋体" w:hAnsi="宋体" w:eastAsia="宋体" w:cs="宋体"/>
                <w:color w:val="auto"/>
                <w:highlight w:val="none"/>
              </w:rPr>
              <w:t>等级》（GB 28380）</w:t>
            </w:r>
          </w:p>
        </w:tc>
      </w:tr>
      <w:tr w14:paraId="4C2F2B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1" w:hRule="atLeast"/>
          <w:jc w:val="center"/>
        </w:trPr>
        <w:tc>
          <w:tcPr>
            <w:tcW w:w="564" w:type="dxa"/>
            <w:gridSpan w:val="2"/>
            <w:vMerge w:val="restart"/>
            <w:vAlign w:val="center"/>
          </w:tcPr>
          <w:p w14:paraId="249C94C1">
            <w:pPr>
              <w:autoSpaceDE w:val="0"/>
              <w:autoSpaceDN w:val="0"/>
              <w:jc w:val="center"/>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1614" w:type="dxa"/>
            <w:vMerge w:val="restart"/>
            <w:vAlign w:val="center"/>
          </w:tcPr>
          <w:p w14:paraId="29DA5301">
            <w:pPr>
              <w:autoSpaceDE w:val="0"/>
              <w:autoSpaceDN w:val="0"/>
              <w:jc w:val="center"/>
              <w:rPr>
                <w:rFonts w:hint="eastAsia" w:ascii="宋体" w:hAnsi="宋体" w:eastAsia="宋体" w:cs="宋体"/>
                <w:color w:val="auto"/>
                <w:highlight w:val="none"/>
              </w:rPr>
            </w:pPr>
            <w:r>
              <w:rPr>
                <w:rFonts w:hint="eastAsia" w:ascii="宋体" w:hAnsi="宋体" w:eastAsia="宋体" w:cs="宋体"/>
                <w:color w:val="auto"/>
                <w:highlight w:val="none"/>
              </w:rPr>
              <w:t>A020106</w:t>
            </w:r>
            <w:r>
              <w:rPr>
                <w:rFonts w:hint="eastAsia" w:ascii="宋体" w:hAnsi="宋体" w:eastAsia="宋体" w:cs="宋体"/>
                <w:color w:val="auto"/>
                <w:spacing w:val="-20"/>
                <w:highlight w:val="none"/>
              </w:rPr>
              <w:t xml:space="preserve"> 输入</w:t>
            </w:r>
            <w:r>
              <w:rPr>
                <w:rFonts w:hint="eastAsia" w:ascii="宋体" w:hAnsi="宋体" w:eastAsia="宋体" w:cs="宋体"/>
                <w:color w:val="auto"/>
                <w:highlight w:val="none"/>
              </w:rPr>
              <w:t>输出设备</w:t>
            </w:r>
          </w:p>
        </w:tc>
        <w:tc>
          <w:tcPr>
            <w:tcW w:w="1350" w:type="dxa"/>
            <w:vMerge w:val="restart"/>
            <w:vAlign w:val="center"/>
          </w:tcPr>
          <w:p w14:paraId="21512F6D">
            <w:pPr>
              <w:autoSpaceDE w:val="0"/>
              <w:autoSpaceDN w:val="0"/>
              <w:jc w:val="center"/>
              <w:rPr>
                <w:rFonts w:hint="eastAsia" w:ascii="宋体" w:hAnsi="宋体" w:eastAsia="宋体" w:cs="宋体"/>
                <w:color w:val="auto"/>
                <w:highlight w:val="none"/>
              </w:rPr>
            </w:pPr>
            <w:r>
              <w:rPr>
                <w:rFonts w:hint="eastAsia" w:ascii="宋体" w:hAnsi="宋体" w:eastAsia="宋体" w:cs="宋体"/>
                <w:color w:val="auto"/>
                <w:highlight w:val="none"/>
              </w:rPr>
              <w:t>A02010601 打印设备</w:t>
            </w:r>
          </w:p>
        </w:tc>
        <w:tc>
          <w:tcPr>
            <w:tcW w:w="1868" w:type="dxa"/>
            <w:vAlign w:val="center"/>
          </w:tcPr>
          <w:p w14:paraId="57DA0B7A">
            <w:pPr>
              <w:autoSpaceDE w:val="0"/>
              <w:autoSpaceDN w:val="0"/>
              <w:jc w:val="center"/>
              <w:rPr>
                <w:rFonts w:hint="eastAsia" w:ascii="宋体" w:hAnsi="宋体" w:eastAsia="宋体" w:cs="宋体"/>
                <w:color w:val="auto"/>
                <w:highlight w:val="none"/>
              </w:rPr>
            </w:pPr>
            <w:r>
              <w:rPr>
                <w:rFonts w:hint="eastAsia" w:ascii="宋体" w:hAnsi="宋体" w:eastAsia="宋体" w:cs="宋体"/>
                <w:color w:val="auto"/>
                <w:highlight w:val="none"/>
              </w:rPr>
              <w:t>A0201060101</w:t>
            </w:r>
            <w:r>
              <w:rPr>
                <w:rFonts w:hint="eastAsia" w:ascii="宋体" w:hAnsi="宋体" w:eastAsia="宋体" w:cs="宋体"/>
                <w:color w:val="auto"/>
                <w:spacing w:val="18"/>
                <w:highlight w:val="none"/>
              </w:rPr>
              <w:t xml:space="preserve"> 喷墨打</w:t>
            </w:r>
            <w:r>
              <w:rPr>
                <w:rFonts w:hint="eastAsia" w:ascii="宋体" w:hAnsi="宋体" w:eastAsia="宋体" w:cs="宋体"/>
                <w:color w:val="auto"/>
                <w:highlight w:val="none"/>
              </w:rPr>
              <w:t>印机</w:t>
            </w:r>
          </w:p>
        </w:tc>
        <w:tc>
          <w:tcPr>
            <w:tcW w:w="3632" w:type="dxa"/>
            <w:vAlign w:val="center"/>
          </w:tcPr>
          <w:p w14:paraId="5AC0EDC5">
            <w:pPr>
              <w:autoSpaceDE w:val="0"/>
              <w:autoSpaceDN w:val="0"/>
              <w:jc w:val="center"/>
              <w:rPr>
                <w:rFonts w:hint="eastAsia" w:ascii="宋体" w:hAnsi="宋体" w:eastAsia="宋体" w:cs="宋体"/>
                <w:color w:val="auto"/>
                <w:highlight w:val="none"/>
              </w:rPr>
            </w:pPr>
            <w:r>
              <w:rPr>
                <w:rFonts w:hint="eastAsia" w:ascii="宋体" w:hAnsi="宋体" w:eastAsia="宋体" w:cs="宋体"/>
                <w:color w:val="auto"/>
                <w:spacing w:val="-8"/>
                <w:highlight w:val="none"/>
              </w:rPr>
              <w:t>《复印机、打印机和传真机能效限</w:t>
            </w:r>
            <w:r>
              <w:rPr>
                <w:rFonts w:hint="eastAsia" w:ascii="宋体" w:hAnsi="宋体" w:eastAsia="宋体" w:cs="宋体"/>
                <w:color w:val="auto"/>
                <w:highlight w:val="none"/>
              </w:rPr>
              <w:t>定值及能效等级》（GB 21521）</w:t>
            </w:r>
          </w:p>
        </w:tc>
      </w:tr>
      <w:tr w14:paraId="3764C5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1" w:hRule="atLeast"/>
          <w:jc w:val="center"/>
        </w:trPr>
        <w:tc>
          <w:tcPr>
            <w:tcW w:w="564" w:type="dxa"/>
            <w:gridSpan w:val="2"/>
            <w:vMerge w:val="continue"/>
            <w:vAlign w:val="center"/>
          </w:tcPr>
          <w:p w14:paraId="3B657207">
            <w:pPr>
              <w:autoSpaceDE w:val="0"/>
              <w:autoSpaceDN w:val="0"/>
              <w:jc w:val="center"/>
              <w:rPr>
                <w:rFonts w:hint="eastAsia" w:ascii="宋体" w:hAnsi="宋体" w:eastAsia="宋体" w:cs="宋体"/>
                <w:color w:val="auto"/>
                <w:highlight w:val="none"/>
              </w:rPr>
            </w:pPr>
          </w:p>
        </w:tc>
        <w:tc>
          <w:tcPr>
            <w:tcW w:w="1614" w:type="dxa"/>
            <w:vMerge w:val="continue"/>
            <w:vAlign w:val="center"/>
          </w:tcPr>
          <w:p w14:paraId="6D2C8D16">
            <w:pPr>
              <w:autoSpaceDE w:val="0"/>
              <w:autoSpaceDN w:val="0"/>
              <w:jc w:val="center"/>
              <w:rPr>
                <w:rFonts w:hint="eastAsia" w:ascii="宋体" w:hAnsi="宋体" w:eastAsia="宋体" w:cs="宋体"/>
                <w:color w:val="auto"/>
                <w:highlight w:val="none"/>
              </w:rPr>
            </w:pPr>
          </w:p>
        </w:tc>
        <w:tc>
          <w:tcPr>
            <w:tcW w:w="1350" w:type="dxa"/>
            <w:vMerge w:val="continue"/>
            <w:vAlign w:val="center"/>
          </w:tcPr>
          <w:p w14:paraId="28727677">
            <w:pPr>
              <w:autoSpaceDE w:val="0"/>
              <w:autoSpaceDN w:val="0"/>
              <w:jc w:val="center"/>
              <w:rPr>
                <w:rFonts w:hint="eastAsia" w:ascii="宋体" w:hAnsi="宋体" w:eastAsia="宋体" w:cs="宋体"/>
                <w:color w:val="auto"/>
                <w:highlight w:val="none"/>
              </w:rPr>
            </w:pPr>
          </w:p>
        </w:tc>
        <w:tc>
          <w:tcPr>
            <w:tcW w:w="1868" w:type="dxa"/>
            <w:vAlign w:val="center"/>
          </w:tcPr>
          <w:p w14:paraId="72FAE91C">
            <w:pPr>
              <w:autoSpaceDE w:val="0"/>
              <w:autoSpaceDN w:val="0"/>
              <w:jc w:val="center"/>
              <w:rPr>
                <w:rFonts w:hint="eastAsia" w:ascii="宋体" w:hAnsi="宋体" w:eastAsia="宋体" w:cs="宋体"/>
                <w:color w:val="auto"/>
                <w:highlight w:val="none"/>
              </w:rPr>
            </w:pPr>
            <w:r>
              <w:rPr>
                <w:rFonts w:hint="eastAsia" w:ascii="宋体" w:hAnsi="宋体" w:eastAsia="宋体" w:cs="宋体"/>
                <w:color w:val="auto"/>
                <w:spacing w:val="-26"/>
                <w:highlight w:val="none"/>
              </w:rPr>
              <w:t xml:space="preserve">★ </w:t>
            </w:r>
            <w:r>
              <w:rPr>
                <w:rFonts w:hint="eastAsia" w:ascii="宋体" w:hAnsi="宋体" w:eastAsia="宋体" w:cs="宋体"/>
                <w:color w:val="auto"/>
                <w:highlight w:val="none"/>
              </w:rPr>
              <w:t>A0201060102</w:t>
            </w:r>
            <w:r>
              <w:rPr>
                <w:rFonts w:hint="eastAsia" w:ascii="宋体" w:hAnsi="宋体" w:eastAsia="宋体" w:cs="宋体"/>
                <w:color w:val="auto"/>
                <w:spacing w:val="38"/>
                <w:highlight w:val="none"/>
              </w:rPr>
              <w:t xml:space="preserve"> 激光</w:t>
            </w:r>
            <w:r>
              <w:rPr>
                <w:rFonts w:hint="eastAsia" w:ascii="宋体" w:hAnsi="宋体" w:eastAsia="宋体" w:cs="宋体"/>
                <w:color w:val="auto"/>
                <w:highlight w:val="none"/>
              </w:rPr>
              <w:t>打印机</w:t>
            </w:r>
          </w:p>
        </w:tc>
        <w:tc>
          <w:tcPr>
            <w:tcW w:w="3632" w:type="dxa"/>
            <w:vAlign w:val="center"/>
          </w:tcPr>
          <w:p w14:paraId="5F19B3FB">
            <w:pPr>
              <w:autoSpaceDE w:val="0"/>
              <w:autoSpaceDN w:val="0"/>
              <w:jc w:val="center"/>
              <w:rPr>
                <w:rFonts w:hint="eastAsia" w:ascii="宋体" w:hAnsi="宋体" w:eastAsia="宋体" w:cs="宋体"/>
                <w:color w:val="auto"/>
                <w:highlight w:val="none"/>
              </w:rPr>
            </w:pPr>
            <w:r>
              <w:rPr>
                <w:rFonts w:hint="eastAsia" w:ascii="宋体" w:hAnsi="宋体" w:eastAsia="宋体" w:cs="宋体"/>
                <w:color w:val="auto"/>
                <w:spacing w:val="-8"/>
                <w:highlight w:val="none"/>
              </w:rPr>
              <w:t>《复印机、打印机和传真机能效限</w:t>
            </w:r>
            <w:r>
              <w:rPr>
                <w:rFonts w:hint="eastAsia" w:ascii="宋体" w:hAnsi="宋体" w:eastAsia="宋体" w:cs="宋体"/>
                <w:color w:val="auto"/>
                <w:highlight w:val="none"/>
              </w:rPr>
              <w:t>定值及能效等级》（GB 21521）</w:t>
            </w:r>
          </w:p>
        </w:tc>
      </w:tr>
      <w:tr w14:paraId="5974F7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1" w:hRule="atLeast"/>
          <w:jc w:val="center"/>
        </w:trPr>
        <w:tc>
          <w:tcPr>
            <w:tcW w:w="564" w:type="dxa"/>
            <w:gridSpan w:val="2"/>
            <w:vMerge w:val="continue"/>
            <w:vAlign w:val="center"/>
          </w:tcPr>
          <w:p w14:paraId="2B1FC236">
            <w:pPr>
              <w:autoSpaceDE w:val="0"/>
              <w:autoSpaceDN w:val="0"/>
              <w:jc w:val="center"/>
              <w:rPr>
                <w:rFonts w:hint="eastAsia" w:ascii="宋体" w:hAnsi="宋体" w:eastAsia="宋体" w:cs="宋体"/>
                <w:color w:val="auto"/>
                <w:highlight w:val="none"/>
              </w:rPr>
            </w:pPr>
          </w:p>
        </w:tc>
        <w:tc>
          <w:tcPr>
            <w:tcW w:w="1614" w:type="dxa"/>
            <w:vMerge w:val="continue"/>
            <w:vAlign w:val="center"/>
          </w:tcPr>
          <w:p w14:paraId="49B8E48A">
            <w:pPr>
              <w:autoSpaceDE w:val="0"/>
              <w:autoSpaceDN w:val="0"/>
              <w:jc w:val="center"/>
              <w:rPr>
                <w:rFonts w:hint="eastAsia" w:ascii="宋体" w:hAnsi="宋体" w:eastAsia="宋体" w:cs="宋体"/>
                <w:color w:val="auto"/>
                <w:highlight w:val="none"/>
              </w:rPr>
            </w:pPr>
          </w:p>
        </w:tc>
        <w:tc>
          <w:tcPr>
            <w:tcW w:w="1350" w:type="dxa"/>
            <w:vMerge w:val="continue"/>
            <w:vAlign w:val="center"/>
          </w:tcPr>
          <w:p w14:paraId="4CB166F3">
            <w:pPr>
              <w:autoSpaceDE w:val="0"/>
              <w:autoSpaceDN w:val="0"/>
              <w:jc w:val="center"/>
              <w:rPr>
                <w:rFonts w:hint="eastAsia" w:ascii="宋体" w:hAnsi="宋体" w:eastAsia="宋体" w:cs="宋体"/>
                <w:color w:val="auto"/>
                <w:highlight w:val="none"/>
              </w:rPr>
            </w:pPr>
          </w:p>
        </w:tc>
        <w:tc>
          <w:tcPr>
            <w:tcW w:w="1868" w:type="dxa"/>
            <w:vAlign w:val="center"/>
          </w:tcPr>
          <w:p w14:paraId="34ED9794">
            <w:pPr>
              <w:autoSpaceDE w:val="0"/>
              <w:autoSpaceDN w:val="0"/>
              <w:jc w:val="center"/>
              <w:rPr>
                <w:rFonts w:hint="eastAsia" w:ascii="宋体" w:hAnsi="宋体" w:eastAsia="宋体" w:cs="宋体"/>
                <w:color w:val="auto"/>
                <w:highlight w:val="none"/>
              </w:rPr>
            </w:pPr>
            <w:r>
              <w:rPr>
                <w:rFonts w:hint="eastAsia" w:ascii="宋体" w:hAnsi="宋体" w:eastAsia="宋体" w:cs="宋体"/>
                <w:color w:val="auto"/>
                <w:spacing w:val="-26"/>
                <w:highlight w:val="none"/>
              </w:rPr>
              <w:t xml:space="preserve">★ </w:t>
            </w:r>
            <w:r>
              <w:rPr>
                <w:rFonts w:hint="eastAsia" w:ascii="宋体" w:hAnsi="宋体" w:eastAsia="宋体" w:cs="宋体"/>
                <w:color w:val="auto"/>
                <w:highlight w:val="none"/>
              </w:rPr>
              <w:t>A0201060104</w:t>
            </w:r>
            <w:r>
              <w:rPr>
                <w:rFonts w:hint="eastAsia" w:ascii="宋体" w:hAnsi="宋体" w:eastAsia="宋体" w:cs="宋体"/>
                <w:color w:val="auto"/>
                <w:spacing w:val="38"/>
                <w:highlight w:val="none"/>
              </w:rPr>
              <w:t xml:space="preserve"> 针式</w:t>
            </w:r>
            <w:r>
              <w:rPr>
                <w:rFonts w:hint="eastAsia" w:ascii="宋体" w:hAnsi="宋体" w:eastAsia="宋体" w:cs="宋体"/>
                <w:color w:val="auto"/>
                <w:highlight w:val="none"/>
              </w:rPr>
              <w:t>打印机</w:t>
            </w:r>
          </w:p>
        </w:tc>
        <w:tc>
          <w:tcPr>
            <w:tcW w:w="3632" w:type="dxa"/>
            <w:vAlign w:val="center"/>
          </w:tcPr>
          <w:p w14:paraId="0EA9CF5D">
            <w:pPr>
              <w:autoSpaceDE w:val="0"/>
              <w:autoSpaceDN w:val="0"/>
              <w:jc w:val="center"/>
              <w:rPr>
                <w:rFonts w:hint="eastAsia" w:ascii="宋体" w:hAnsi="宋体" w:eastAsia="宋体" w:cs="宋体"/>
                <w:color w:val="auto"/>
                <w:highlight w:val="none"/>
              </w:rPr>
            </w:pPr>
            <w:r>
              <w:rPr>
                <w:rFonts w:hint="eastAsia" w:ascii="宋体" w:hAnsi="宋体" w:eastAsia="宋体" w:cs="宋体"/>
                <w:color w:val="auto"/>
                <w:spacing w:val="-8"/>
                <w:highlight w:val="none"/>
              </w:rPr>
              <w:t>《复印机、打印机和传真机能效限</w:t>
            </w:r>
            <w:r>
              <w:rPr>
                <w:rFonts w:hint="eastAsia" w:ascii="宋体" w:hAnsi="宋体" w:eastAsia="宋体" w:cs="宋体"/>
                <w:color w:val="auto"/>
                <w:highlight w:val="none"/>
              </w:rPr>
              <w:t>定值及能效等级》（GB 21521）</w:t>
            </w:r>
          </w:p>
        </w:tc>
      </w:tr>
      <w:tr w14:paraId="5D8FBC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2" w:hRule="atLeast"/>
          <w:jc w:val="center"/>
        </w:trPr>
        <w:tc>
          <w:tcPr>
            <w:tcW w:w="564" w:type="dxa"/>
            <w:gridSpan w:val="2"/>
            <w:vMerge w:val="continue"/>
            <w:vAlign w:val="center"/>
          </w:tcPr>
          <w:p w14:paraId="7F5F9D3B">
            <w:pPr>
              <w:autoSpaceDE w:val="0"/>
              <w:autoSpaceDN w:val="0"/>
              <w:jc w:val="center"/>
              <w:rPr>
                <w:rFonts w:hint="eastAsia" w:ascii="宋体" w:hAnsi="宋体" w:eastAsia="宋体" w:cs="宋体"/>
                <w:color w:val="auto"/>
                <w:highlight w:val="none"/>
              </w:rPr>
            </w:pPr>
          </w:p>
        </w:tc>
        <w:tc>
          <w:tcPr>
            <w:tcW w:w="1614" w:type="dxa"/>
            <w:vMerge w:val="continue"/>
            <w:vAlign w:val="center"/>
          </w:tcPr>
          <w:p w14:paraId="0572E9F2">
            <w:pPr>
              <w:autoSpaceDE w:val="0"/>
              <w:autoSpaceDN w:val="0"/>
              <w:jc w:val="center"/>
              <w:rPr>
                <w:rFonts w:hint="eastAsia" w:ascii="宋体" w:hAnsi="宋体" w:eastAsia="宋体" w:cs="宋体"/>
                <w:color w:val="auto"/>
                <w:highlight w:val="none"/>
              </w:rPr>
            </w:pPr>
          </w:p>
        </w:tc>
        <w:tc>
          <w:tcPr>
            <w:tcW w:w="1350" w:type="dxa"/>
            <w:vAlign w:val="center"/>
          </w:tcPr>
          <w:p w14:paraId="2343651C">
            <w:pPr>
              <w:autoSpaceDE w:val="0"/>
              <w:autoSpaceDN w:val="0"/>
              <w:jc w:val="center"/>
              <w:rPr>
                <w:rFonts w:hint="eastAsia" w:ascii="宋体" w:hAnsi="宋体" w:eastAsia="宋体" w:cs="宋体"/>
                <w:color w:val="auto"/>
                <w:highlight w:val="none"/>
              </w:rPr>
            </w:pPr>
            <w:r>
              <w:rPr>
                <w:rFonts w:hint="eastAsia" w:ascii="宋体" w:hAnsi="宋体" w:eastAsia="宋体" w:cs="宋体"/>
                <w:color w:val="auto"/>
                <w:highlight w:val="none"/>
              </w:rPr>
              <w:t>A02010604 显示设备</w:t>
            </w:r>
          </w:p>
        </w:tc>
        <w:tc>
          <w:tcPr>
            <w:tcW w:w="1868" w:type="dxa"/>
            <w:vAlign w:val="center"/>
          </w:tcPr>
          <w:p w14:paraId="398A39BD">
            <w:pPr>
              <w:autoSpaceDE w:val="0"/>
              <w:autoSpaceDN w:val="0"/>
              <w:jc w:val="center"/>
              <w:rPr>
                <w:rFonts w:hint="eastAsia" w:ascii="宋体" w:hAnsi="宋体" w:eastAsia="宋体" w:cs="宋体"/>
                <w:color w:val="auto"/>
                <w:highlight w:val="none"/>
              </w:rPr>
            </w:pPr>
            <w:r>
              <w:rPr>
                <w:rFonts w:hint="eastAsia" w:ascii="宋体" w:hAnsi="宋体" w:eastAsia="宋体" w:cs="宋体"/>
                <w:color w:val="auto"/>
                <w:spacing w:val="-26"/>
                <w:highlight w:val="none"/>
              </w:rPr>
              <w:t xml:space="preserve">★ </w:t>
            </w:r>
            <w:r>
              <w:rPr>
                <w:rFonts w:hint="eastAsia" w:ascii="宋体" w:hAnsi="宋体" w:eastAsia="宋体" w:cs="宋体"/>
                <w:color w:val="auto"/>
                <w:highlight w:val="none"/>
              </w:rPr>
              <w:t>A0201060401</w:t>
            </w:r>
            <w:r>
              <w:rPr>
                <w:rFonts w:hint="eastAsia" w:ascii="宋体" w:hAnsi="宋体" w:eastAsia="宋体" w:cs="宋体"/>
                <w:color w:val="auto"/>
                <w:spacing w:val="38"/>
                <w:highlight w:val="none"/>
              </w:rPr>
              <w:t xml:space="preserve"> 液晶</w:t>
            </w:r>
            <w:r>
              <w:rPr>
                <w:rFonts w:hint="eastAsia" w:ascii="宋体" w:hAnsi="宋体" w:eastAsia="宋体" w:cs="宋体"/>
                <w:color w:val="auto"/>
                <w:highlight w:val="none"/>
              </w:rPr>
              <w:t>显示器</w:t>
            </w:r>
          </w:p>
        </w:tc>
        <w:tc>
          <w:tcPr>
            <w:tcW w:w="3632" w:type="dxa"/>
            <w:vAlign w:val="center"/>
          </w:tcPr>
          <w:p w14:paraId="44134C93">
            <w:pPr>
              <w:autoSpaceDE w:val="0"/>
              <w:autoSpaceDN w:val="0"/>
              <w:jc w:val="center"/>
              <w:rPr>
                <w:rFonts w:hint="eastAsia" w:ascii="宋体" w:hAnsi="宋体" w:eastAsia="宋体" w:cs="宋体"/>
                <w:color w:val="auto"/>
                <w:highlight w:val="none"/>
              </w:rPr>
            </w:pPr>
            <w:r>
              <w:rPr>
                <w:rFonts w:hint="eastAsia" w:ascii="宋体" w:hAnsi="宋体" w:eastAsia="宋体" w:cs="宋体"/>
                <w:color w:val="auto"/>
                <w:spacing w:val="9"/>
                <w:highlight w:val="none"/>
              </w:rPr>
              <w:t>《计算机显示器能效限定值及能</w:t>
            </w:r>
            <w:r>
              <w:rPr>
                <w:rFonts w:hint="eastAsia" w:ascii="宋体" w:hAnsi="宋体" w:eastAsia="宋体" w:cs="宋体"/>
                <w:color w:val="auto"/>
                <w:highlight w:val="none"/>
              </w:rPr>
              <w:t>效等级》（GB21520）</w:t>
            </w:r>
          </w:p>
        </w:tc>
      </w:tr>
      <w:tr w14:paraId="2E49D8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0" w:hRule="atLeast"/>
          <w:jc w:val="center"/>
        </w:trPr>
        <w:tc>
          <w:tcPr>
            <w:tcW w:w="564" w:type="dxa"/>
            <w:gridSpan w:val="2"/>
            <w:vMerge w:val="continue"/>
            <w:vAlign w:val="center"/>
          </w:tcPr>
          <w:p w14:paraId="0014F8AE">
            <w:pPr>
              <w:autoSpaceDE w:val="0"/>
              <w:autoSpaceDN w:val="0"/>
              <w:jc w:val="center"/>
              <w:rPr>
                <w:rFonts w:hint="eastAsia" w:ascii="宋体" w:hAnsi="宋体" w:eastAsia="宋体" w:cs="宋体"/>
                <w:color w:val="auto"/>
                <w:highlight w:val="none"/>
              </w:rPr>
            </w:pPr>
          </w:p>
        </w:tc>
        <w:tc>
          <w:tcPr>
            <w:tcW w:w="1614" w:type="dxa"/>
            <w:vMerge w:val="continue"/>
            <w:vAlign w:val="center"/>
          </w:tcPr>
          <w:p w14:paraId="717D9781">
            <w:pPr>
              <w:autoSpaceDE w:val="0"/>
              <w:autoSpaceDN w:val="0"/>
              <w:jc w:val="center"/>
              <w:rPr>
                <w:rFonts w:hint="eastAsia" w:ascii="宋体" w:hAnsi="宋体" w:eastAsia="宋体" w:cs="宋体"/>
                <w:color w:val="auto"/>
                <w:highlight w:val="none"/>
              </w:rPr>
            </w:pPr>
          </w:p>
        </w:tc>
        <w:tc>
          <w:tcPr>
            <w:tcW w:w="1350" w:type="dxa"/>
            <w:vAlign w:val="center"/>
          </w:tcPr>
          <w:p w14:paraId="4146813F">
            <w:pPr>
              <w:autoSpaceDE w:val="0"/>
              <w:autoSpaceDN w:val="0"/>
              <w:jc w:val="center"/>
              <w:rPr>
                <w:rFonts w:hint="eastAsia" w:ascii="宋体" w:hAnsi="宋体" w:eastAsia="宋体" w:cs="宋体"/>
                <w:color w:val="auto"/>
                <w:highlight w:val="none"/>
              </w:rPr>
            </w:pPr>
            <w:r>
              <w:rPr>
                <w:rFonts w:hint="eastAsia" w:ascii="宋体" w:hAnsi="宋体" w:eastAsia="宋体" w:cs="宋体"/>
                <w:color w:val="auto"/>
                <w:highlight w:val="none"/>
              </w:rPr>
              <w:t>A02010609</w:t>
            </w:r>
            <w:r>
              <w:rPr>
                <w:rFonts w:hint="eastAsia" w:ascii="宋体" w:hAnsi="宋体" w:eastAsia="宋体" w:cs="宋体"/>
                <w:color w:val="auto"/>
                <w:spacing w:val="-6"/>
                <w:highlight w:val="none"/>
              </w:rPr>
              <w:t xml:space="preserve"> 图形图像</w:t>
            </w:r>
            <w:r>
              <w:rPr>
                <w:rFonts w:hint="eastAsia" w:ascii="宋体" w:hAnsi="宋体" w:eastAsia="宋体" w:cs="宋体"/>
                <w:color w:val="auto"/>
                <w:highlight w:val="none"/>
              </w:rPr>
              <w:t>输入设备</w:t>
            </w:r>
          </w:p>
        </w:tc>
        <w:tc>
          <w:tcPr>
            <w:tcW w:w="1868" w:type="dxa"/>
            <w:vAlign w:val="center"/>
          </w:tcPr>
          <w:p w14:paraId="057EF288">
            <w:pPr>
              <w:autoSpaceDE w:val="0"/>
              <w:autoSpaceDN w:val="0"/>
              <w:jc w:val="center"/>
              <w:rPr>
                <w:rFonts w:hint="eastAsia" w:ascii="宋体" w:hAnsi="宋体" w:eastAsia="宋体" w:cs="宋体"/>
                <w:color w:val="auto"/>
                <w:highlight w:val="none"/>
              </w:rPr>
            </w:pPr>
            <w:r>
              <w:rPr>
                <w:rFonts w:hint="eastAsia" w:ascii="宋体" w:hAnsi="宋体" w:eastAsia="宋体" w:cs="宋体"/>
                <w:color w:val="auto"/>
                <w:highlight w:val="none"/>
              </w:rPr>
              <w:t>A0201060901</w:t>
            </w:r>
            <w:r>
              <w:rPr>
                <w:rFonts w:hint="eastAsia" w:ascii="宋体" w:hAnsi="宋体" w:eastAsia="宋体" w:cs="宋体"/>
                <w:color w:val="auto"/>
                <w:spacing w:val="-7"/>
                <w:highlight w:val="none"/>
              </w:rPr>
              <w:t xml:space="preserve"> 扫描仪</w:t>
            </w:r>
          </w:p>
        </w:tc>
        <w:tc>
          <w:tcPr>
            <w:tcW w:w="3632" w:type="dxa"/>
            <w:vAlign w:val="center"/>
          </w:tcPr>
          <w:p w14:paraId="491FE2C1">
            <w:pPr>
              <w:autoSpaceDE w:val="0"/>
              <w:autoSpaceDN w:val="0"/>
              <w:jc w:val="center"/>
              <w:rPr>
                <w:rFonts w:hint="eastAsia" w:ascii="宋体" w:hAnsi="宋体" w:eastAsia="宋体" w:cs="宋体"/>
                <w:color w:val="auto"/>
                <w:highlight w:val="none"/>
              </w:rPr>
            </w:pPr>
            <w:r>
              <w:rPr>
                <w:rFonts w:hint="eastAsia" w:ascii="宋体" w:hAnsi="宋体" w:eastAsia="宋体" w:cs="宋体"/>
                <w:color w:val="auto"/>
                <w:highlight w:val="none"/>
              </w:rPr>
              <w:t>参照《复印机、打印机和传真机能</w:t>
            </w:r>
            <w:r>
              <w:rPr>
                <w:rFonts w:hint="eastAsia" w:ascii="宋体" w:hAnsi="宋体" w:eastAsia="宋体" w:cs="宋体"/>
                <w:color w:val="auto"/>
                <w:spacing w:val="-11"/>
                <w:highlight w:val="none"/>
              </w:rPr>
              <w:t>效限定值及能效等级》</w:t>
            </w:r>
            <w:r>
              <w:rPr>
                <w:rFonts w:hint="eastAsia" w:ascii="宋体" w:hAnsi="宋体" w:eastAsia="宋体" w:cs="宋体"/>
                <w:color w:val="auto"/>
                <w:highlight w:val="none"/>
              </w:rPr>
              <w:t>（GB21521）</w:t>
            </w:r>
            <w:r>
              <w:rPr>
                <w:rFonts w:hint="eastAsia" w:ascii="宋体" w:hAnsi="宋体" w:eastAsia="宋体" w:cs="宋体"/>
                <w:color w:val="auto"/>
                <w:spacing w:val="1"/>
                <w:highlight w:val="none"/>
              </w:rPr>
              <w:t xml:space="preserve">中打印速度为 </w:t>
            </w:r>
            <w:r>
              <w:rPr>
                <w:rFonts w:hint="eastAsia" w:ascii="宋体" w:hAnsi="宋体" w:eastAsia="宋体" w:cs="宋体"/>
                <w:color w:val="auto"/>
                <w:highlight w:val="none"/>
              </w:rPr>
              <w:t>15</w:t>
            </w:r>
            <w:r>
              <w:rPr>
                <w:rFonts w:hint="eastAsia" w:ascii="宋体" w:hAnsi="宋体" w:eastAsia="宋体" w:cs="宋体"/>
                <w:color w:val="auto"/>
                <w:spacing w:val="6"/>
                <w:highlight w:val="none"/>
              </w:rPr>
              <w:t xml:space="preserve"> 页</w:t>
            </w:r>
            <w:r>
              <w:rPr>
                <w:rFonts w:hint="eastAsia" w:ascii="宋体" w:hAnsi="宋体" w:eastAsia="宋体" w:cs="宋体"/>
                <w:color w:val="auto"/>
                <w:highlight w:val="none"/>
              </w:rPr>
              <w:t>/分的针式打印机相关要求</w:t>
            </w:r>
          </w:p>
        </w:tc>
      </w:tr>
      <w:tr w14:paraId="7CEB19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3" w:hRule="atLeast"/>
          <w:jc w:val="center"/>
        </w:trPr>
        <w:tc>
          <w:tcPr>
            <w:tcW w:w="564" w:type="dxa"/>
            <w:gridSpan w:val="2"/>
            <w:vAlign w:val="center"/>
          </w:tcPr>
          <w:p w14:paraId="17BDBFD9">
            <w:pPr>
              <w:autoSpaceDE w:val="0"/>
              <w:autoSpaceDN w:val="0"/>
              <w:jc w:val="center"/>
              <w:rPr>
                <w:rFonts w:hint="eastAsia" w:ascii="宋体" w:hAnsi="宋体" w:eastAsia="宋体" w:cs="宋体"/>
                <w:color w:val="auto"/>
                <w:highlight w:val="none"/>
              </w:rPr>
            </w:pPr>
            <w:r>
              <w:rPr>
                <w:rFonts w:hint="eastAsia" w:ascii="宋体" w:hAnsi="宋体" w:eastAsia="宋体" w:cs="宋体"/>
                <w:color w:val="auto"/>
                <w:highlight w:val="none"/>
              </w:rPr>
              <w:t>3</w:t>
            </w:r>
          </w:p>
        </w:tc>
        <w:tc>
          <w:tcPr>
            <w:tcW w:w="1614" w:type="dxa"/>
            <w:vAlign w:val="center"/>
          </w:tcPr>
          <w:p w14:paraId="20168836">
            <w:pPr>
              <w:autoSpaceDE w:val="0"/>
              <w:autoSpaceDN w:val="0"/>
              <w:jc w:val="center"/>
              <w:rPr>
                <w:rFonts w:hint="eastAsia" w:ascii="宋体" w:hAnsi="宋体" w:eastAsia="宋体" w:cs="宋体"/>
                <w:color w:val="auto"/>
                <w:highlight w:val="none"/>
              </w:rPr>
            </w:pPr>
            <w:r>
              <w:rPr>
                <w:rFonts w:hint="eastAsia" w:ascii="宋体" w:hAnsi="宋体" w:eastAsia="宋体" w:cs="宋体"/>
                <w:color w:val="auto"/>
                <w:highlight w:val="none"/>
              </w:rPr>
              <w:t>A020202</w:t>
            </w:r>
            <w:r>
              <w:rPr>
                <w:rFonts w:hint="eastAsia" w:ascii="宋体" w:hAnsi="宋体" w:eastAsia="宋体" w:cs="宋体"/>
                <w:color w:val="auto"/>
                <w:spacing w:val="-20"/>
                <w:highlight w:val="none"/>
              </w:rPr>
              <w:t xml:space="preserve"> 投影</w:t>
            </w:r>
            <w:r>
              <w:rPr>
                <w:rFonts w:hint="eastAsia" w:ascii="宋体" w:hAnsi="宋体" w:eastAsia="宋体" w:cs="宋体"/>
                <w:color w:val="auto"/>
                <w:highlight w:val="none"/>
              </w:rPr>
              <w:t>仪</w:t>
            </w:r>
          </w:p>
        </w:tc>
        <w:tc>
          <w:tcPr>
            <w:tcW w:w="1350" w:type="dxa"/>
            <w:vAlign w:val="center"/>
          </w:tcPr>
          <w:p w14:paraId="4C676F0F">
            <w:pPr>
              <w:autoSpaceDE w:val="0"/>
              <w:autoSpaceDN w:val="0"/>
              <w:jc w:val="center"/>
              <w:rPr>
                <w:rFonts w:hint="eastAsia" w:ascii="宋体" w:hAnsi="宋体" w:eastAsia="宋体" w:cs="宋体"/>
                <w:color w:val="auto"/>
                <w:highlight w:val="none"/>
              </w:rPr>
            </w:pPr>
          </w:p>
        </w:tc>
        <w:tc>
          <w:tcPr>
            <w:tcW w:w="1868" w:type="dxa"/>
            <w:vAlign w:val="center"/>
          </w:tcPr>
          <w:p w14:paraId="25920C6D">
            <w:pPr>
              <w:autoSpaceDE w:val="0"/>
              <w:autoSpaceDN w:val="0"/>
              <w:jc w:val="center"/>
              <w:rPr>
                <w:rFonts w:hint="eastAsia" w:ascii="宋体" w:hAnsi="宋体" w:eastAsia="宋体" w:cs="宋体"/>
                <w:color w:val="auto"/>
                <w:highlight w:val="none"/>
              </w:rPr>
            </w:pPr>
          </w:p>
        </w:tc>
        <w:tc>
          <w:tcPr>
            <w:tcW w:w="3632" w:type="dxa"/>
            <w:vAlign w:val="center"/>
          </w:tcPr>
          <w:p w14:paraId="320E57F8">
            <w:pPr>
              <w:autoSpaceDE w:val="0"/>
              <w:autoSpaceDN w:val="0"/>
              <w:jc w:val="center"/>
              <w:rPr>
                <w:rFonts w:hint="eastAsia" w:ascii="宋体" w:hAnsi="宋体" w:eastAsia="宋体" w:cs="宋体"/>
                <w:color w:val="auto"/>
                <w:highlight w:val="none"/>
              </w:rPr>
            </w:pPr>
            <w:r>
              <w:rPr>
                <w:rFonts w:hint="eastAsia" w:ascii="宋体" w:hAnsi="宋体" w:eastAsia="宋体" w:cs="宋体"/>
                <w:color w:val="auto"/>
                <w:highlight w:val="none"/>
              </w:rPr>
              <w:t>《投影机能效限定值及能效等级》（GB32028）</w:t>
            </w:r>
          </w:p>
        </w:tc>
      </w:tr>
      <w:tr w14:paraId="2554A1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0" w:hRule="atLeast"/>
          <w:jc w:val="center"/>
        </w:trPr>
        <w:tc>
          <w:tcPr>
            <w:tcW w:w="564" w:type="dxa"/>
            <w:gridSpan w:val="2"/>
            <w:vAlign w:val="center"/>
          </w:tcPr>
          <w:p w14:paraId="3D2F7E4E">
            <w:pPr>
              <w:autoSpaceDE w:val="0"/>
              <w:autoSpaceDN w:val="0"/>
              <w:jc w:val="center"/>
              <w:rPr>
                <w:rFonts w:hint="eastAsia" w:ascii="宋体" w:hAnsi="宋体" w:eastAsia="宋体" w:cs="宋体"/>
                <w:color w:val="auto"/>
                <w:highlight w:val="none"/>
              </w:rPr>
            </w:pPr>
            <w:r>
              <w:rPr>
                <w:rFonts w:hint="eastAsia" w:ascii="宋体" w:hAnsi="宋体" w:eastAsia="宋体" w:cs="宋体"/>
                <w:color w:val="auto"/>
                <w:highlight w:val="none"/>
              </w:rPr>
              <w:t>4</w:t>
            </w:r>
          </w:p>
        </w:tc>
        <w:tc>
          <w:tcPr>
            <w:tcW w:w="1614" w:type="dxa"/>
            <w:vAlign w:val="center"/>
          </w:tcPr>
          <w:p w14:paraId="23751967">
            <w:pPr>
              <w:autoSpaceDE w:val="0"/>
              <w:autoSpaceDN w:val="0"/>
              <w:jc w:val="center"/>
              <w:rPr>
                <w:rFonts w:hint="eastAsia" w:ascii="宋体" w:hAnsi="宋体" w:eastAsia="宋体" w:cs="宋体"/>
                <w:color w:val="auto"/>
                <w:highlight w:val="none"/>
              </w:rPr>
            </w:pPr>
            <w:r>
              <w:rPr>
                <w:rFonts w:hint="eastAsia" w:ascii="宋体" w:hAnsi="宋体" w:eastAsia="宋体" w:cs="宋体"/>
                <w:color w:val="auto"/>
                <w:highlight w:val="none"/>
              </w:rPr>
              <w:t>A020204</w:t>
            </w:r>
            <w:r>
              <w:rPr>
                <w:rFonts w:hint="eastAsia" w:ascii="宋体" w:hAnsi="宋体" w:eastAsia="宋体" w:cs="宋体"/>
                <w:color w:val="auto"/>
                <w:spacing w:val="-20"/>
                <w:highlight w:val="none"/>
              </w:rPr>
              <w:t xml:space="preserve"> 多功</w:t>
            </w:r>
            <w:r>
              <w:rPr>
                <w:rFonts w:hint="eastAsia" w:ascii="宋体" w:hAnsi="宋体" w:eastAsia="宋体" w:cs="宋体"/>
                <w:color w:val="auto"/>
                <w:highlight w:val="none"/>
              </w:rPr>
              <w:t>能一体机</w:t>
            </w:r>
          </w:p>
        </w:tc>
        <w:tc>
          <w:tcPr>
            <w:tcW w:w="1350" w:type="dxa"/>
            <w:vAlign w:val="center"/>
          </w:tcPr>
          <w:p w14:paraId="6A4DECD6">
            <w:pPr>
              <w:autoSpaceDE w:val="0"/>
              <w:autoSpaceDN w:val="0"/>
              <w:jc w:val="center"/>
              <w:rPr>
                <w:rFonts w:hint="eastAsia" w:ascii="宋体" w:hAnsi="宋体" w:eastAsia="宋体" w:cs="宋体"/>
                <w:color w:val="auto"/>
                <w:highlight w:val="none"/>
              </w:rPr>
            </w:pPr>
          </w:p>
        </w:tc>
        <w:tc>
          <w:tcPr>
            <w:tcW w:w="1868" w:type="dxa"/>
            <w:vAlign w:val="center"/>
          </w:tcPr>
          <w:p w14:paraId="774D4995">
            <w:pPr>
              <w:autoSpaceDE w:val="0"/>
              <w:autoSpaceDN w:val="0"/>
              <w:jc w:val="center"/>
              <w:rPr>
                <w:rFonts w:hint="eastAsia" w:ascii="宋体" w:hAnsi="宋体" w:eastAsia="宋体" w:cs="宋体"/>
                <w:color w:val="auto"/>
                <w:highlight w:val="none"/>
              </w:rPr>
            </w:pPr>
          </w:p>
        </w:tc>
        <w:tc>
          <w:tcPr>
            <w:tcW w:w="3632" w:type="dxa"/>
            <w:vAlign w:val="center"/>
          </w:tcPr>
          <w:p w14:paraId="7EDAE27B">
            <w:pPr>
              <w:autoSpaceDE w:val="0"/>
              <w:autoSpaceDN w:val="0"/>
              <w:jc w:val="center"/>
              <w:rPr>
                <w:rFonts w:hint="eastAsia" w:ascii="宋体" w:hAnsi="宋体" w:eastAsia="宋体" w:cs="宋体"/>
                <w:color w:val="auto"/>
                <w:highlight w:val="none"/>
              </w:rPr>
            </w:pPr>
            <w:r>
              <w:rPr>
                <w:rFonts w:hint="eastAsia" w:ascii="宋体" w:hAnsi="宋体" w:eastAsia="宋体" w:cs="宋体"/>
                <w:color w:val="auto"/>
                <w:spacing w:val="-8"/>
                <w:highlight w:val="none"/>
              </w:rPr>
              <w:t>《复印机、打印机和传真机能效限</w:t>
            </w:r>
            <w:r>
              <w:rPr>
                <w:rFonts w:hint="eastAsia" w:ascii="宋体" w:hAnsi="宋体" w:eastAsia="宋体" w:cs="宋体"/>
                <w:color w:val="auto"/>
                <w:highlight w:val="none"/>
              </w:rPr>
              <w:t>定值及能效等级》（GB 21521）</w:t>
            </w:r>
          </w:p>
        </w:tc>
      </w:tr>
      <w:tr w14:paraId="119B26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jc w:val="center"/>
        </w:trPr>
        <w:tc>
          <w:tcPr>
            <w:tcW w:w="564" w:type="dxa"/>
            <w:gridSpan w:val="2"/>
            <w:vAlign w:val="center"/>
          </w:tcPr>
          <w:p w14:paraId="615EDCF2">
            <w:pPr>
              <w:autoSpaceDE w:val="0"/>
              <w:autoSpaceDN w:val="0"/>
              <w:jc w:val="center"/>
              <w:rPr>
                <w:rFonts w:hint="eastAsia" w:ascii="宋体" w:hAnsi="宋体" w:eastAsia="宋体" w:cs="宋体"/>
                <w:color w:val="auto"/>
                <w:highlight w:val="none"/>
              </w:rPr>
            </w:pPr>
            <w:r>
              <w:rPr>
                <w:rFonts w:hint="eastAsia" w:ascii="宋体" w:hAnsi="宋体" w:eastAsia="宋体" w:cs="宋体"/>
                <w:color w:val="auto"/>
                <w:highlight w:val="none"/>
              </w:rPr>
              <w:t>5</w:t>
            </w:r>
          </w:p>
        </w:tc>
        <w:tc>
          <w:tcPr>
            <w:tcW w:w="1614" w:type="dxa"/>
            <w:vAlign w:val="center"/>
          </w:tcPr>
          <w:p w14:paraId="6745E15C">
            <w:pPr>
              <w:autoSpaceDE w:val="0"/>
              <w:autoSpaceDN w:val="0"/>
              <w:jc w:val="center"/>
              <w:rPr>
                <w:rFonts w:hint="eastAsia" w:ascii="宋体" w:hAnsi="宋体" w:eastAsia="宋体" w:cs="宋体"/>
                <w:color w:val="auto"/>
                <w:highlight w:val="none"/>
              </w:rPr>
            </w:pPr>
            <w:r>
              <w:rPr>
                <w:rFonts w:hint="eastAsia" w:ascii="宋体" w:hAnsi="宋体" w:eastAsia="宋体" w:cs="宋体"/>
                <w:color w:val="auto"/>
                <w:highlight w:val="none"/>
              </w:rPr>
              <w:t>A020519</w:t>
            </w:r>
            <w:r>
              <w:rPr>
                <w:rFonts w:hint="eastAsia" w:ascii="宋体" w:hAnsi="宋体" w:eastAsia="宋体" w:cs="宋体"/>
                <w:color w:val="auto"/>
                <w:spacing w:val="-25"/>
                <w:highlight w:val="none"/>
              </w:rPr>
              <w:t xml:space="preserve"> 泵</w:t>
            </w:r>
          </w:p>
        </w:tc>
        <w:tc>
          <w:tcPr>
            <w:tcW w:w="1350" w:type="dxa"/>
            <w:vAlign w:val="center"/>
          </w:tcPr>
          <w:p w14:paraId="612AA777">
            <w:pPr>
              <w:autoSpaceDE w:val="0"/>
              <w:autoSpaceDN w:val="0"/>
              <w:jc w:val="center"/>
              <w:rPr>
                <w:rFonts w:hint="eastAsia" w:ascii="宋体" w:hAnsi="宋体" w:eastAsia="宋体" w:cs="宋体"/>
                <w:color w:val="auto"/>
                <w:highlight w:val="none"/>
              </w:rPr>
            </w:pPr>
            <w:r>
              <w:rPr>
                <w:rFonts w:hint="eastAsia" w:ascii="宋体" w:hAnsi="宋体" w:eastAsia="宋体" w:cs="宋体"/>
                <w:color w:val="auto"/>
                <w:highlight w:val="none"/>
              </w:rPr>
              <w:t>A02051901</w:t>
            </w:r>
            <w:r>
              <w:rPr>
                <w:rFonts w:hint="eastAsia" w:ascii="宋体" w:hAnsi="宋体" w:eastAsia="宋体" w:cs="宋体"/>
                <w:color w:val="auto"/>
                <w:spacing w:val="-8"/>
                <w:highlight w:val="none"/>
              </w:rPr>
              <w:t xml:space="preserve"> 离心泵</w:t>
            </w:r>
          </w:p>
        </w:tc>
        <w:tc>
          <w:tcPr>
            <w:tcW w:w="1868" w:type="dxa"/>
            <w:vAlign w:val="center"/>
          </w:tcPr>
          <w:p w14:paraId="40264241">
            <w:pPr>
              <w:autoSpaceDE w:val="0"/>
              <w:autoSpaceDN w:val="0"/>
              <w:jc w:val="center"/>
              <w:rPr>
                <w:rFonts w:hint="eastAsia" w:ascii="宋体" w:hAnsi="宋体" w:eastAsia="宋体" w:cs="宋体"/>
                <w:color w:val="auto"/>
                <w:highlight w:val="none"/>
              </w:rPr>
            </w:pPr>
          </w:p>
        </w:tc>
        <w:tc>
          <w:tcPr>
            <w:tcW w:w="3632" w:type="dxa"/>
            <w:vAlign w:val="center"/>
          </w:tcPr>
          <w:p w14:paraId="779766A7">
            <w:pPr>
              <w:autoSpaceDE w:val="0"/>
              <w:autoSpaceDN w:val="0"/>
              <w:jc w:val="center"/>
              <w:rPr>
                <w:rFonts w:hint="eastAsia" w:ascii="宋体" w:hAnsi="宋体" w:eastAsia="宋体" w:cs="宋体"/>
                <w:color w:val="auto"/>
                <w:highlight w:val="none"/>
              </w:rPr>
            </w:pPr>
            <w:r>
              <w:rPr>
                <w:rFonts w:hint="eastAsia" w:ascii="宋体" w:hAnsi="宋体" w:eastAsia="宋体" w:cs="宋体"/>
                <w:color w:val="auto"/>
                <w:spacing w:val="9"/>
                <w:highlight w:val="none"/>
              </w:rPr>
              <w:t>《清水离心泵能效限定值及节能</w:t>
            </w:r>
            <w:r>
              <w:rPr>
                <w:rFonts w:hint="eastAsia" w:ascii="宋体" w:hAnsi="宋体" w:eastAsia="宋体" w:cs="宋体"/>
                <w:color w:val="auto"/>
                <w:highlight w:val="none"/>
              </w:rPr>
              <w:t>评价值》（GB 19762）</w:t>
            </w:r>
          </w:p>
        </w:tc>
      </w:tr>
      <w:tr w14:paraId="43E28B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jc w:val="center"/>
        </w:trPr>
        <w:tc>
          <w:tcPr>
            <w:tcW w:w="564" w:type="dxa"/>
            <w:gridSpan w:val="2"/>
            <w:vMerge w:val="restart"/>
            <w:vAlign w:val="center"/>
          </w:tcPr>
          <w:p w14:paraId="15AEA71A">
            <w:pPr>
              <w:autoSpaceDE w:val="0"/>
              <w:autoSpaceDN w:val="0"/>
              <w:jc w:val="center"/>
              <w:rPr>
                <w:rFonts w:hint="eastAsia" w:ascii="宋体" w:hAnsi="宋体" w:eastAsia="宋体" w:cs="宋体"/>
                <w:color w:val="auto"/>
                <w:highlight w:val="none"/>
              </w:rPr>
            </w:pPr>
            <w:r>
              <w:rPr>
                <w:rFonts w:hint="eastAsia" w:ascii="宋体" w:hAnsi="宋体" w:eastAsia="宋体" w:cs="宋体"/>
                <w:color w:val="auto"/>
                <w:highlight w:val="none"/>
              </w:rPr>
              <w:t>6</w:t>
            </w:r>
          </w:p>
        </w:tc>
        <w:tc>
          <w:tcPr>
            <w:tcW w:w="1614" w:type="dxa"/>
            <w:vMerge w:val="restart"/>
            <w:vAlign w:val="center"/>
          </w:tcPr>
          <w:p w14:paraId="72FD5E7D">
            <w:pPr>
              <w:autoSpaceDE w:val="0"/>
              <w:autoSpaceDN w:val="0"/>
              <w:jc w:val="center"/>
              <w:rPr>
                <w:rFonts w:hint="eastAsia" w:ascii="宋体" w:hAnsi="宋体" w:eastAsia="宋体" w:cs="宋体"/>
                <w:color w:val="auto"/>
                <w:highlight w:val="none"/>
              </w:rPr>
            </w:pPr>
            <w:r>
              <w:rPr>
                <w:rFonts w:hint="eastAsia" w:ascii="宋体" w:hAnsi="宋体" w:eastAsia="宋体" w:cs="宋体"/>
                <w:color w:val="auto"/>
                <w:highlight w:val="none"/>
              </w:rPr>
              <w:t>A020523</w:t>
            </w:r>
            <w:r>
              <w:rPr>
                <w:rFonts w:hint="eastAsia" w:ascii="宋体" w:hAnsi="宋体" w:eastAsia="宋体" w:cs="宋体"/>
                <w:color w:val="auto"/>
                <w:spacing w:val="-20"/>
                <w:highlight w:val="none"/>
              </w:rPr>
              <w:t xml:space="preserve"> 制冷</w:t>
            </w:r>
            <w:r>
              <w:rPr>
                <w:rFonts w:hint="eastAsia" w:ascii="宋体" w:hAnsi="宋体" w:eastAsia="宋体" w:cs="宋体"/>
                <w:color w:val="auto"/>
                <w:highlight w:val="none"/>
              </w:rPr>
              <w:t>空调设备</w:t>
            </w:r>
          </w:p>
        </w:tc>
        <w:tc>
          <w:tcPr>
            <w:tcW w:w="1350" w:type="dxa"/>
            <w:vMerge w:val="restart"/>
            <w:vAlign w:val="center"/>
          </w:tcPr>
          <w:p w14:paraId="34A36329">
            <w:pPr>
              <w:autoSpaceDE w:val="0"/>
              <w:autoSpaceDN w:val="0"/>
              <w:jc w:val="center"/>
              <w:rPr>
                <w:rFonts w:hint="eastAsia" w:ascii="宋体" w:hAnsi="宋体" w:eastAsia="宋体" w:cs="宋体"/>
                <w:color w:val="auto"/>
                <w:highlight w:val="none"/>
              </w:rPr>
            </w:pPr>
            <w:r>
              <w:rPr>
                <w:rFonts w:hint="eastAsia" w:ascii="宋体" w:hAnsi="宋体" w:eastAsia="宋体" w:cs="宋体"/>
                <w:color w:val="auto"/>
                <w:highlight w:val="none"/>
              </w:rPr>
              <w:t>★A02052301</w:t>
            </w:r>
            <w:r>
              <w:rPr>
                <w:rFonts w:hint="eastAsia" w:ascii="宋体" w:hAnsi="宋体" w:eastAsia="宋体" w:cs="宋体"/>
                <w:color w:val="auto"/>
                <w:spacing w:val="-7"/>
                <w:highlight w:val="none"/>
              </w:rPr>
              <w:t xml:space="preserve"> 制冷压</w:t>
            </w:r>
            <w:r>
              <w:rPr>
                <w:rFonts w:hint="eastAsia" w:ascii="宋体" w:hAnsi="宋体" w:eastAsia="宋体" w:cs="宋体"/>
                <w:color w:val="auto"/>
                <w:highlight w:val="none"/>
              </w:rPr>
              <w:t>缩机</w:t>
            </w:r>
          </w:p>
        </w:tc>
        <w:tc>
          <w:tcPr>
            <w:tcW w:w="1868" w:type="dxa"/>
            <w:vAlign w:val="center"/>
          </w:tcPr>
          <w:p w14:paraId="375E4A1B">
            <w:pPr>
              <w:autoSpaceDE w:val="0"/>
              <w:autoSpaceDN w:val="0"/>
              <w:jc w:val="center"/>
              <w:rPr>
                <w:rFonts w:hint="eastAsia" w:ascii="宋体" w:hAnsi="宋体" w:eastAsia="宋体" w:cs="宋体"/>
                <w:color w:val="auto"/>
                <w:highlight w:val="none"/>
              </w:rPr>
            </w:pPr>
            <w:r>
              <w:rPr>
                <w:rFonts w:hint="eastAsia" w:ascii="宋体" w:hAnsi="宋体" w:eastAsia="宋体" w:cs="宋体"/>
                <w:color w:val="auto"/>
                <w:highlight w:val="none"/>
              </w:rPr>
              <w:t>冷水机组</w:t>
            </w:r>
          </w:p>
        </w:tc>
        <w:tc>
          <w:tcPr>
            <w:tcW w:w="3632" w:type="dxa"/>
            <w:vAlign w:val="center"/>
          </w:tcPr>
          <w:p w14:paraId="2329B424">
            <w:pPr>
              <w:autoSpaceDE w:val="0"/>
              <w:autoSpaceDN w:val="0"/>
              <w:jc w:val="center"/>
              <w:rPr>
                <w:rFonts w:hint="eastAsia" w:ascii="宋体" w:hAnsi="宋体" w:eastAsia="宋体" w:cs="宋体"/>
                <w:color w:val="auto"/>
                <w:spacing w:val="9"/>
                <w:highlight w:val="none"/>
              </w:rPr>
            </w:pPr>
            <w:r>
              <w:rPr>
                <w:rFonts w:hint="eastAsia" w:ascii="宋体" w:hAnsi="宋体" w:eastAsia="宋体" w:cs="宋体"/>
                <w:color w:val="auto"/>
                <w:spacing w:val="9"/>
                <w:highlight w:val="none"/>
              </w:rPr>
              <w:t>《冷水机组能效限定值及能效等</w:t>
            </w:r>
            <w:r>
              <w:rPr>
                <w:rFonts w:hint="eastAsia" w:ascii="宋体" w:hAnsi="宋体" w:eastAsia="宋体" w:cs="宋体"/>
                <w:color w:val="auto"/>
                <w:highlight w:val="none"/>
              </w:rPr>
              <w:t>级》（GB19577），《低环境温度</w:t>
            </w:r>
            <w:r>
              <w:rPr>
                <w:rFonts w:hint="eastAsia" w:ascii="宋体" w:hAnsi="宋体" w:eastAsia="宋体" w:cs="宋体"/>
                <w:color w:val="auto"/>
                <w:spacing w:val="-5"/>
                <w:highlight w:val="none"/>
              </w:rPr>
              <w:t>空气源热泵</w:t>
            </w:r>
            <w:r>
              <w:rPr>
                <w:rFonts w:hint="eastAsia" w:ascii="宋体" w:hAnsi="宋体" w:eastAsia="宋体" w:cs="宋体"/>
                <w:color w:val="auto"/>
                <w:spacing w:val="-4"/>
                <w:highlight w:val="none"/>
              </w:rPr>
              <w:t>（冷水）机组能效限定</w:t>
            </w:r>
            <w:r>
              <w:rPr>
                <w:rFonts w:hint="eastAsia" w:ascii="宋体" w:hAnsi="宋体" w:eastAsia="宋体" w:cs="宋体"/>
                <w:color w:val="auto"/>
                <w:highlight w:val="none"/>
              </w:rPr>
              <w:t>值及能效等级》（GB 37480）</w:t>
            </w:r>
          </w:p>
        </w:tc>
      </w:tr>
      <w:tr w14:paraId="74D473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jc w:val="center"/>
        </w:trPr>
        <w:tc>
          <w:tcPr>
            <w:tcW w:w="564" w:type="dxa"/>
            <w:gridSpan w:val="2"/>
            <w:vMerge w:val="continue"/>
            <w:vAlign w:val="center"/>
          </w:tcPr>
          <w:p w14:paraId="63BBEC25">
            <w:pPr>
              <w:autoSpaceDE w:val="0"/>
              <w:autoSpaceDN w:val="0"/>
              <w:jc w:val="center"/>
              <w:rPr>
                <w:rFonts w:hint="eastAsia" w:ascii="宋体" w:hAnsi="宋体" w:eastAsia="宋体" w:cs="宋体"/>
                <w:color w:val="auto"/>
                <w:highlight w:val="none"/>
              </w:rPr>
            </w:pPr>
          </w:p>
        </w:tc>
        <w:tc>
          <w:tcPr>
            <w:tcW w:w="1614" w:type="dxa"/>
            <w:vMerge w:val="continue"/>
            <w:vAlign w:val="center"/>
          </w:tcPr>
          <w:p w14:paraId="30C5BC08">
            <w:pPr>
              <w:autoSpaceDE w:val="0"/>
              <w:autoSpaceDN w:val="0"/>
              <w:jc w:val="center"/>
              <w:rPr>
                <w:rFonts w:hint="eastAsia" w:ascii="宋体" w:hAnsi="宋体" w:eastAsia="宋体" w:cs="宋体"/>
                <w:color w:val="auto"/>
                <w:highlight w:val="none"/>
              </w:rPr>
            </w:pPr>
          </w:p>
        </w:tc>
        <w:tc>
          <w:tcPr>
            <w:tcW w:w="1350" w:type="dxa"/>
            <w:vMerge w:val="continue"/>
            <w:vAlign w:val="center"/>
          </w:tcPr>
          <w:p w14:paraId="14FB667D">
            <w:pPr>
              <w:autoSpaceDE w:val="0"/>
              <w:autoSpaceDN w:val="0"/>
              <w:jc w:val="center"/>
              <w:rPr>
                <w:rFonts w:hint="eastAsia" w:ascii="宋体" w:hAnsi="宋体" w:eastAsia="宋体" w:cs="宋体"/>
                <w:color w:val="auto"/>
                <w:highlight w:val="none"/>
              </w:rPr>
            </w:pPr>
          </w:p>
        </w:tc>
        <w:tc>
          <w:tcPr>
            <w:tcW w:w="1868" w:type="dxa"/>
            <w:vAlign w:val="center"/>
          </w:tcPr>
          <w:p w14:paraId="3690BDE1">
            <w:pPr>
              <w:autoSpaceDE w:val="0"/>
              <w:autoSpaceDN w:val="0"/>
              <w:jc w:val="center"/>
              <w:rPr>
                <w:rFonts w:hint="eastAsia" w:ascii="宋体" w:hAnsi="宋体" w:eastAsia="宋体" w:cs="宋体"/>
                <w:color w:val="auto"/>
                <w:highlight w:val="none"/>
              </w:rPr>
            </w:pPr>
            <w:r>
              <w:rPr>
                <w:rFonts w:hint="eastAsia" w:ascii="宋体" w:hAnsi="宋体" w:eastAsia="宋体" w:cs="宋体"/>
                <w:color w:val="auto"/>
                <w:highlight w:val="none"/>
              </w:rPr>
              <w:t>水源热泵机组</w:t>
            </w:r>
          </w:p>
        </w:tc>
        <w:tc>
          <w:tcPr>
            <w:tcW w:w="3632" w:type="dxa"/>
            <w:vAlign w:val="center"/>
          </w:tcPr>
          <w:p w14:paraId="0CCA4B92">
            <w:pPr>
              <w:autoSpaceDE w:val="0"/>
              <w:autoSpaceDN w:val="0"/>
              <w:jc w:val="center"/>
              <w:rPr>
                <w:rFonts w:hint="eastAsia" w:ascii="宋体" w:hAnsi="宋体" w:eastAsia="宋体" w:cs="宋体"/>
                <w:color w:val="auto"/>
                <w:spacing w:val="9"/>
                <w:highlight w:val="none"/>
              </w:rPr>
            </w:pPr>
            <w:r>
              <w:rPr>
                <w:rFonts w:hint="eastAsia" w:ascii="宋体" w:hAnsi="宋体" w:eastAsia="宋体" w:cs="宋体"/>
                <w:color w:val="auto"/>
                <w:spacing w:val="-5"/>
                <w:highlight w:val="none"/>
              </w:rPr>
              <w:t>《水（地</w:t>
            </w:r>
            <w:r>
              <w:rPr>
                <w:rFonts w:hint="eastAsia" w:ascii="宋体" w:hAnsi="宋体" w:eastAsia="宋体" w:cs="宋体"/>
                <w:color w:val="auto"/>
                <w:spacing w:val="-4"/>
                <w:highlight w:val="none"/>
              </w:rPr>
              <w:t>）源热泵机组能效限定值</w:t>
            </w:r>
            <w:r>
              <w:rPr>
                <w:rFonts w:hint="eastAsia" w:ascii="宋体" w:hAnsi="宋体" w:eastAsia="宋体" w:cs="宋体"/>
                <w:color w:val="auto"/>
                <w:highlight w:val="none"/>
              </w:rPr>
              <w:t>及能效等级》（GB30721）</w:t>
            </w:r>
          </w:p>
        </w:tc>
      </w:tr>
      <w:tr w14:paraId="4B9BB4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jc w:val="center"/>
        </w:trPr>
        <w:tc>
          <w:tcPr>
            <w:tcW w:w="564" w:type="dxa"/>
            <w:gridSpan w:val="2"/>
            <w:vMerge w:val="continue"/>
            <w:vAlign w:val="center"/>
          </w:tcPr>
          <w:p w14:paraId="1D869D72">
            <w:pPr>
              <w:autoSpaceDE w:val="0"/>
              <w:autoSpaceDN w:val="0"/>
              <w:jc w:val="center"/>
              <w:rPr>
                <w:rFonts w:hint="eastAsia" w:ascii="宋体" w:hAnsi="宋体" w:eastAsia="宋体" w:cs="宋体"/>
                <w:color w:val="auto"/>
                <w:highlight w:val="none"/>
              </w:rPr>
            </w:pPr>
          </w:p>
        </w:tc>
        <w:tc>
          <w:tcPr>
            <w:tcW w:w="1614" w:type="dxa"/>
            <w:vMerge w:val="continue"/>
            <w:vAlign w:val="center"/>
          </w:tcPr>
          <w:p w14:paraId="2C4189EF">
            <w:pPr>
              <w:autoSpaceDE w:val="0"/>
              <w:autoSpaceDN w:val="0"/>
              <w:jc w:val="center"/>
              <w:rPr>
                <w:rFonts w:hint="eastAsia" w:ascii="宋体" w:hAnsi="宋体" w:eastAsia="宋体" w:cs="宋体"/>
                <w:color w:val="auto"/>
                <w:highlight w:val="none"/>
              </w:rPr>
            </w:pPr>
          </w:p>
        </w:tc>
        <w:tc>
          <w:tcPr>
            <w:tcW w:w="1350" w:type="dxa"/>
            <w:vMerge w:val="continue"/>
            <w:vAlign w:val="center"/>
          </w:tcPr>
          <w:p w14:paraId="14AD0AC8">
            <w:pPr>
              <w:autoSpaceDE w:val="0"/>
              <w:autoSpaceDN w:val="0"/>
              <w:jc w:val="center"/>
              <w:rPr>
                <w:rFonts w:hint="eastAsia" w:ascii="宋体" w:hAnsi="宋体" w:eastAsia="宋体" w:cs="宋体"/>
                <w:color w:val="auto"/>
                <w:highlight w:val="none"/>
              </w:rPr>
            </w:pPr>
          </w:p>
        </w:tc>
        <w:tc>
          <w:tcPr>
            <w:tcW w:w="1868" w:type="dxa"/>
            <w:vAlign w:val="center"/>
          </w:tcPr>
          <w:p w14:paraId="7B0D2060">
            <w:pPr>
              <w:autoSpaceDE w:val="0"/>
              <w:autoSpaceDN w:val="0"/>
              <w:jc w:val="center"/>
              <w:rPr>
                <w:rFonts w:hint="eastAsia" w:ascii="宋体" w:hAnsi="宋体" w:eastAsia="宋体" w:cs="宋体"/>
                <w:color w:val="auto"/>
                <w:highlight w:val="none"/>
              </w:rPr>
            </w:pPr>
            <w:r>
              <w:rPr>
                <w:rFonts w:hint="eastAsia" w:ascii="宋体" w:hAnsi="宋体" w:eastAsia="宋体" w:cs="宋体"/>
                <w:color w:val="auto"/>
                <w:spacing w:val="8"/>
                <w:highlight w:val="none"/>
              </w:rPr>
              <w:t>溴化锂吸收式冷水机</w:t>
            </w:r>
            <w:r>
              <w:rPr>
                <w:rFonts w:hint="eastAsia" w:ascii="宋体" w:hAnsi="宋体" w:eastAsia="宋体" w:cs="宋体"/>
                <w:color w:val="auto"/>
                <w:highlight w:val="none"/>
              </w:rPr>
              <w:t>组</w:t>
            </w:r>
          </w:p>
        </w:tc>
        <w:tc>
          <w:tcPr>
            <w:tcW w:w="3632" w:type="dxa"/>
            <w:vAlign w:val="center"/>
          </w:tcPr>
          <w:p w14:paraId="61DB36E0">
            <w:pPr>
              <w:autoSpaceDE w:val="0"/>
              <w:autoSpaceDN w:val="0"/>
              <w:jc w:val="center"/>
              <w:rPr>
                <w:rFonts w:hint="eastAsia" w:ascii="宋体" w:hAnsi="宋体" w:eastAsia="宋体" w:cs="宋体"/>
                <w:color w:val="auto"/>
                <w:spacing w:val="9"/>
                <w:highlight w:val="none"/>
              </w:rPr>
            </w:pPr>
            <w:r>
              <w:rPr>
                <w:rFonts w:hint="eastAsia" w:ascii="宋体" w:hAnsi="宋体" w:eastAsia="宋体" w:cs="宋体"/>
                <w:color w:val="auto"/>
                <w:spacing w:val="9"/>
                <w:highlight w:val="none"/>
              </w:rPr>
              <w:t>《溴化锂吸收式冷水机组能效限</w:t>
            </w:r>
            <w:r>
              <w:rPr>
                <w:rFonts w:hint="eastAsia" w:ascii="宋体" w:hAnsi="宋体" w:eastAsia="宋体" w:cs="宋体"/>
                <w:color w:val="auto"/>
                <w:highlight w:val="none"/>
              </w:rPr>
              <w:t>定值及能效等级》（GB 29540）</w:t>
            </w:r>
          </w:p>
        </w:tc>
      </w:tr>
      <w:tr w14:paraId="7DB10E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jc w:val="center"/>
        </w:trPr>
        <w:tc>
          <w:tcPr>
            <w:tcW w:w="564" w:type="dxa"/>
            <w:gridSpan w:val="2"/>
            <w:vMerge w:val="continue"/>
            <w:vAlign w:val="center"/>
          </w:tcPr>
          <w:p w14:paraId="2188F90B">
            <w:pPr>
              <w:autoSpaceDE w:val="0"/>
              <w:autoSpaceDN w:val="0"/>
              <w:jc w:val="center"/>
              <w:rPr>
                <w:rFonts w:hint="eastAsia" w:ascii="宋体" w:hAnsi="宋体" w:eastAsia="宋体" w:cs="宋体"/>
                <w:color w:val="auto"/>
                <w:highlight w:val="none"/>
              </w:rPr>
            </w:pPr>
          </w:p>
        </w:tc>
        <w:tc>
          <w:tcPr>
            <w:tcW w:w="1614" w:type="dxa"/>
            <w:vMerge w:val="continue"/>
            <w:vAlign w:val="center"/>
          </w:tcPr>
          <w:p w14:paraId="417E7802">
            <w:pPr>
              <w:autoSpaceDE w:val="0"/>
              <w:autoSpaceDN w:val="0"/>
              <w:jc w:val="center"/>
              <w:rPr>
                <w:rFonts w:hint="eastAsia" w:ascii="宋体" w:hAnsi="宋体" w:eastAsia="宋体" w:cs="宋体"/>
                <w:color w:val="auto"/>
                <w:highlight w:val="none"/>
              </w:rPr>
            </w:pPr>
          </w:p>
        </w:tc>
        <w:tc>
          <w:tcPr>
            <w:tcW w:w="1350" w:type="dxa"/>
            <w:vMerge w:val="restart"/>
            <w:vAlign w:val="center"/>
          </w:tcPr>
          <w:p w14:paraId="3220DE6F">
            <w:pPr>
              <w:autoSpaceDE w:val="0"/>
              <w:autoSpaceDN w:val="0"/>
              <w:jc w:val="center"/>
              <w:rPr>
                <w:rFonts w:hint="eastAsia" w:ascii="宋体" w:hAnsi="宋体" w:eastAsia="宋体" w:cs="宋体"/>
                <w:color w:val="auto"/>
                <w:highlight w:val="none"/>
              </w:rPr>
            </w:pPr>
            <w:r>
              <w:rPr>
                <w:rFonts w:hint="eastAsia" w:ascii="宋体" w:hAnsi="宋体" w:eastAsia="宋体" w:cs="宋体"/>
                <w:color w:val="auto"/>
                <w:spacing w:val="-2"/>
                <w:highlight w:val="none"/>
              </w:rPr>
              <w:t>★A02052305</w:t>
            </w:r>
            <w:r>
              <w:rPr>
                <w:rFonts w:hint="eastAsia" w:ascii="宋体" w:hAnsi="宋体" w:eastAsia="宋体" w:cs="宋体"/>
                <w:color w:val="auto"/>
                <w:spacing w:val="-7"/>
                <w:highlight w:val="none"/>
              </w:rPr>
              <w:t xml:space="preserve"> 空调机</w:t>
            </w:r>
            <w:r>
              <w:rPr>
                <w:rFonts w:hint="eastAsia" w:ascii="宋体" w:hAnsi="宋体" w:eastAsia="宋体" w:cs="宋体"/>
                <w:color w:val="auto"/>
                <w:highlight w:val="none"/>
              </w:rPr>
              <w:t>组</w:t>
            </w:r>
          </w:p>
        </w:tc>
        <w:tc>
          <w:tcPr>
            <w:tcW w:w="1868" w:type="dxa"/>
            <w:vAlign w:val="center"/>
          </w:tcPr>
          <w:p w14:paraId="6C339A9E">
            <w:pPr>
              <w:autoSpaceDE w:val="0"/>
              <w:autoSpaceDN w:val="0"/>
              <w:jc w:val="center"/>
              <w:rPr>
                <w:rFonts w:hint="eastAsia" w:ascii="宋体" w:hAnsi="宋体" w:eastAsia="宋体" w:cs="宋体"/>
                <w:color w:val="auto"/>
                <w:highlight w:val="none"/>
              </w:rPr>
            </w:pPr>
            <w:r>
              <w:rPr>
                <w:rFonts w:hint="eastAsia" w:ascii="宋体" w:hAnsi="宋体" w:eastAsia="宋体" w:cs="宋体"/>
                <w:color w:val="auto"/>
                <w:highlight w:val="none"/>
              </w:rPr>
              <w:t>多联式空调（热泵）机 组 ( 制 冷量&gt;14000W)</w:t>
            </w:r>
          </w:p>
        </w:tc>
        <w:tc>
          <w:tcPr>
            <w:tcW w:w="3632" w:type="dxa"/>
            <w:vAlign w:val="center"/>
          </w:tcPr>
          <w:p w14:paraId="548BF4C6">
            <w:pPr>
              <w:autoSpaceDE w:val="0"/>
              <w:autoSpaceDN w:val="0"/>
              <w:jc w:val="center"/>
              <w:rPr>
                <w:rFonts w:hint="eastAsia" w:ascii="宋体" w:hAnsi="宋体" w:eastAsia="宋体" w:cs="宋体"/>
                <w:color w:val="auto"/>
                <w:spacing w:val="9"/>
                <w:highlight w:val="none"/>
              </w:rPr>
            </w:pPr>
            <w:r>
              <w:rPr>
                <w:rFonts w:hint="eastAsia" w:ascii="宋体" w:hAnsi="宋体" w:eastAsia="宋体" w:cs="宋体"/>
                <w:color w:val="auto"/>
                <w:highlight w:val="none"/>
              </w:rPr>
              <w:t>《多联式空调（热泵）机组能效限</w:t>
            </w:r>
            <w:r>
              <w:rPr>
                <w:rFonts w:hint="eastAsia" w:ascii="宋体" w:hAnsi="宋体" w:eastAsia="宋体" w:cs="宋体"/>
                <w:color w:val="auto"/>
                <w:spacing w:val="-11"/>
                <w:highlight w:val="none"/>
              </w:rPr>
              <w:t>定值及能源效率等级》</w:t>
            </w:r>
            <w:r>
              <w:rPr>
                <w:rFonts w:hint="eastAsia" w:ascii="宋体" w:hAnsi="宋体" w:eastAsia="宋体" w:cs="宋体"/>
                <w:color w:val="auto"/>
                <w:highlight w:val="none"/>
              </w:rPr>
              <w:t>（GB21454）</w:t>
            </w:r>
          </w:p>
        </w:tc>
      </w:tr>
      <w:tr w14:paraId="5B337F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jc w:val="center"/>
        </w:trPr>
        <w:tc>
          <w:tcPr>
            <w:tcW w:w="564" w:type="dxa"/>
            <w:gridSpan w:val="2"/>
            <w:vMerge w:val="continue"/>
            <w:vAlign w:val="center"/>
          </w:tcPr>
          <w:p w14:paraId="1B5DFE05">
            <w:pPr>
              <w:autoSpaceDE w:val="0"/>
              <w:autoSpaceDN w:val="0"/>
              <w:jc w:val="center"/>
              <w:rPr>
                <w:rFonts w:hint="eastAsia" w:ascii="宋体" w:hAnsi="宋体" w:eastAsia="宋体" w:cs="宋体"/>
                <w:color w:val="auto"/>
                <w:highlight w:val="none"/>
              </w:rPr>
            </w:pPr>
          </w:p>
        </w:tc>
        <w:tc>
          <w:tcPr>
            <w:tcW w:w="1614" w:type="dxa"/>
            <w:vMerge w:val="continue"/>
            <w:vAlign w:val="center"/>
          </w:tcPr>
          <w:p w14:paraId="11A17F3F">
            <w:pPr>
              <w:autoSpaceDE w:val="0"/>
              <w:autoSpaceDN w:val="0"/>
              <w:jc w:val="center"/>
              <w:rPr>
                <w:rFonts w:hint="eastAsia" w:ascii="宋体" w:hAnsi="宋体" w:eastAsia="宋体" w:cs="宋体"/>
                <w:color w:val="auto"/>
                <w:highlight w:val="none"/>
              </w:rPr>
            </w:pPr>
          </w:p>
        </w:tc>
        <w:tc>
          <w:tcPr>
            <w:tcW w:w="1350" w:type="dxa"/>
            <w:vMerge w:val="continue"/>
            <w:vAlign w:val="center"/>
          </w:tcPr>
          <w:p w14:paraId="004CA623">
            <w:pPr>
              <w:autoSpaceDE w:val="0"/>
              <w:autoSpaceDN w:val="0"/>
              <w:jc w:val="center"/>
              <w:rPr>
                <w:rFonts w:hint="eastAsia" w:ascii="宋体" w:hAnsi="宋体" w:eastAsia="宋体" w:cs="宋体"/>
                <w:color w:val="auto"/>
                <w:highlight w:val="none"/>
              </w:rPr>
            </w:pPr>
          </w:p>
        </w:tc>
        <w:tc>
          <w:tcPr>
            <w:tcW w:w="1868" w:type="dxa"/>
            <w:vAlign w:val="center"/>
          </w:tcPr>
          <w:p w14:paraId="6225CDC5">
            <w:pPr>
              <w:autoSpaceDE w:val="0"/>
              <w:autoSpaceDN w:val="0"/>
              <w:jc w:val="center"/>
              <w:rPr>
                <w:rFonts w:hint="eastAsia" w:ascii="宋体" w:hAnsi="宋体" w:eastAsia="宋体" w:cs="宋体"/>
                <w:color w:val="auto"/>
                <w:spacing w:val="8"/>
                <w:highlight w:val="none"/>
              </w:rPr>
            </w:pPr>
            <w:r>
              <w:rPr>
                <w:rFonts w:hint="eastAsia" w:ascii="宋体" w:hAnsi="宋体" w:eastAsia="宋体" w:cs="宋体"/>
                <w:color w:val="auto"/>
                <w:spacing w:val="35"/>
                <w:highlight w:val="none"/>
              </w:rPr>
              <w:t>单元式空气调节机</w:t>
            </w:r>
            <w:r>
              <w:rPr>
                <w:rFonts w:hint="eastAsia" w:ascii="宋体" w:hAnsi="宋体" w:eastAsia="宋体" w:cs="宋体"/>
                <w:color w:val="auto"/>
                <w:highlight w:val="none"/>
              </w:rPr>
              <w:t>(制冷量&gt;14000W)</w:t>
            </w:r>
          </w:p>
        </w:tc>
        <w:tc>
          <w:tcPr>
            <w:tcW w:w="3632" w:type="dxa"/>
            <w:vAlign w:val="center"/>
          </w:tcPr>
          <w:p w14:paraId="54F5B598">
            <w:pPr>
              <w:autoSpaceDE w:val="0"/>
              <w:autoSpaceDN w:val="0"/>
              <w:jc w:val="center"/>
              <w:rPr>
                <w:rFonts w:hint="eastAsia" w:ascii="宋体" w:hAnsi="宋体" w:eastAsia="宋体" w:cs="宋体"/>
                <w:color w:val="auto"/>
                <w:spacing w:val="9"/>
                <w:highlight w:val="none"/>
              </w:rPr>
            </w:pPr>
            <w:r>
              <w:rPr>
                <w:rFonts w:hint="eastAsia" w:ascii="宋体" w:hAnsi="宋体" w:eastAsia="宋体" w:cs="宋体"/>
                <w:color w:val="auto"/>
                <w:spacing w:val="9"/>
                <w:highlight w:val="none"/>
              </w:rPr>
              <w:t>《单元式空气调节机能效限定值</w:t>
            </w:r>
            <w:r>
              <w:rPr>
                <w:rFonts w:hint="eastAsia" w:ascii="宋体" w:hAnsi="宋体" w:eastAsia="宋体" w:cs="宋体"/>
                <w:color w:val="auto"/>
                <w:highlight w:val="none"/>
              </w:rPr>
              <w:t>及能效等级》（GB19576）《风管</w:t>
            </w:r>
            <w:r>
              <w:rPr>
                <w:rFonts w:hint="eastAsia" w:ascii="宋体" w:hAnsi="宋体" w:eastAsia="宋体" w:cs="宋体"/>
                <w:color w:val="auto"/>
                <w:spacing w:val="9"/>
                <w:highlight w:val="none"/>
              </w:rPr>
              <w:t>送风式空调机组能效限定值及能</w:t>
            </w:r>
            <w:r>
              <w:rPr>
                <w:rFonts w:hint="eastAsia" w:ascii="宋体" w:hAnsi="宋体" w:eastAsia="宋体" w:cs="宋体"/>
                <w:color w:val="auto"/>
                <w:highlight w:val="none"/>
              </w:rPr>
              <w:t>效等级》（GB 37479）</w:t>
            </w:r>
          </w:p>
        </w:tc>
      </w:tr>
      <w:tr w14:paraId="24497B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jc w:val="center"/>
        </w:trPr>
        <w:tc>
          <w:tcPr>
            <w:tcW w:w="564" w:type="dxa"/>
            <w:gridSpan w:val="2"/>
            <w:vMerge w:val="continue"/>
            <w:vAlign w:val="center"/>
          </w:tcPr>
          <w:p w14:paraId="2315958A">
            <w:pPr>
              <w:autoSpaceDE w:val="0"/>
              <w:autoSpaceDN w:val="0"/>
              <w:jc w:val="center"/>
              <w:rPr>
                <w:rFonts w:hint="eastAsia" w:ascii="宋体" w:hAnsi="宋体" w:eastAsia="宋体" w:cs="宋体"/>
                <w:color w:val="auto"/>
                <w:highlight w:val="none"/>
              </w:rPr>
            </w:pPr>
          </w:p>
        </w:tc>
        <w:tc>
          <w:tcPr>
            <w:tcW w:w="1614" w:type="dxa"/>
            <w:vMerge w:val="continue"/>
            <w:vAlign w:val="center"/>
          </w:tcPr>
          <w:p w14:paraId="1D37EEA0">
            <w:pPr>
              <w:autoSpaceDE w:val="0"/>
              <w:autoSpaceDN w:val="0"/>
              <w:jc w:val="center"/>
              <w:rPr>
                <w:rFonts w:hint="eastAsia" w:ascii="宋体" w:hAnsi="宋体" w:eastAsia="宋体" w:cs="宋体"/>
                <w:color w:val="auto"/>
                <w:highlight w:val="none"/>
              </w:rPr>
            </w:pPr>
          </w:p>
        </w:tc>
        <w:tc>
          <w:tcPr>
            <w:tcW w:w="1350" w:type="dxa"/>
            <w:vAlign w:val="center"/>
          </w:tcPr>
          <w:p w14:paraId="6654E9E0">
            <w:pPr>
              <w:autoSpaceDE w:val="0"/>
              <w:autoSpaceDN w:val="0"/>
              <w:jc w:val="center"/>
              <w:rPr>
                <w:rFonts w:hint="eastAsia" w:ascii="宋体" w:hAnsi="宋体" w:eastAsia="宋体" w:cs="宋体"/>
                <w:color w:val="auto"/>
                <w:highlight w:val="none"/>
              </w:rPr>
            </w:pPr>
            <w:r>
              <w:rPr>
                <w:rFonts w:hint="eastAsia" w:ascii="宋体" w:hAnsi="宋体" w:eastAsia="宋体" w:cs="宋体"/>
                <w:color w:val="auto"/>
                <w:spacing w:val="-2"/>
                <w:highlight w:val="none"/>
              </w:rPr>
              <w:t>★A02052309</w:t>
            </w:r>
            <w:r>
              <w:rPr>
                <w:rFonts w:hint="eastAsia" w:ascii="宋体" w:hAnsi="宋体" w:eastAsia="宋体" w:cs="宋体"/>
                <w:color w:val="auto"/>
                <w:spacing w:val="-7"/>
                <w:highlight w:val="none"/>
              </w:rPr>
              <w:t xml:space="preserve"> 专用制</w:t>
            </w:r>
            <w:r>
              <w:rPr>
                <w:rFonts w:hint="eastAsia" w:ascii="宋体" w:hAnsi="宋体" w:eastAsia="宋体" w:cs="宋体"/>
                <w:color w:val="auto"/>
                <w:highlight w:val="none"/>
              </w:rPr>
              <w:t>冷、空调设备</w:t>
            </w:r>
          </w:p>
        </w:tc>
        <w:tc>
          <w:tcPr>
            <w:tcW w:w="1868" w:type="dxa"/>
            <w:vAlign w:val="center"/>
          </w:tcPr>
          <w:p w14:paraId="37F505C0">
            <w:pPr>
              <w:autoSpaceDE w:val="0"/>
              <w:autoSpaceDN w:val="0"/>
              <w:jc w:val="center"/>
              <w:rPr>
                <w:rFonts w:hint="eastAsia" w:ascii="宋体" w:hAnsi="宋体" w:eastAsia="宋体" w:cs="宋体"/>
                <w:color w:val="auto"/>
                <w:spacing w:val="8"/>
                <w:highlight w:val="none"/>
              </w:rPr>
            </w:pPr>
            <w:r>
              <w:rPr>
                <w:rFonts w:hint="eastAsia" w:ascii="宋体" w:hAnsi="宋体" w:eastAsia="宋体" w:cs="宋体"/>
                <w:color w:val="auto"/>
                <w:highlight w:val="none"/>
              </w:rPr>
              <w:t>机房空调</w:t>
            </w:r>
          </w:p>
        </w:tc>
        <w:tc>
          <w:tcPr>
            <w:tcW w:w="3632" w:type="dxa"/>
            <w:vAlign w:val="center"/>
          </w:tcPr>
          <w:p w14:paraId="171AA1BC">
            <w:pPr>
              <w:autoSpaceDE w:val="0"/>
              <w:autoSpaceDN w:val="0"/>
              <w:jc w:val="center"/>
              <w:rPr>
                <w:rFonts w:hint="eastAsia" w:ascii="宋体" w:hAnsi="宋体" w:eastAsia="宋体" w:cs="宋体"/>
                <w:color w:val="auto"/>
                <w:spacing w:val="9"/>
                <w:highlight w:val="none"/>
              </w:rPr>
            </w:pPr>
            <w:r>
              <w:rPr>
                <w:rFonts w:hint="eastAsia" w:ascii="宋体" w:hAnsi="宋体" w:eastAsia="宋体" w:cs="宋体"/>
                <w:color w:val="auto"/>
                <w:spacing w:val="9"/>
                <w:highlight w:val="none"/>
              </w:rPr>
              <w:t>《单元式空气调节机能效限定值</w:t>
            </w:r>
            <w:r>
              <w:rPr>
                <w:rFonts w:hint="eastAsia" w:ascii="宋体" w:hAnsi="宋体" w:eastAsia="宋体" w:cs="宋体"/>
                <w:color w:val="auto"/>
                <w:highlight w:val="none"/>
              </w:rPr>
              <w:t>及能效等级》（GB19576）</w:t>
            </w:r>
          </w:p>
        </w:tc>
      </w:tr>
      <w:tr w14:paraId="3E242E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jc w:val="center"/>
        </w:trPr>
        <w:tc>
          <w:tcPr>
            <w:tcW w:w="564" w:type="dxa"/>
            <w:gridSpan w:val="2"/>
            <w:vMerge w:val="continue"/>
            <w:vAlign w:val="center"/>
          </w:tcPr>
          <w:p w14:paraId="05A12B71">
            <w:pPr>
              <w:autoSpaceDE w:val="0"/>
              <w:autoSpaceDN w:val="0"/>
              <w:jc w:val="center"/>
              <w:rPr>
                <w:rFonts w:hint="eastAsia" w:ascii="宋体" w:hAnsi="宋体" w:eastAsia="宋体" w:cs="宋体"/>
                <w:color w:val="auto"/>
                <w:highlight w:val="none"/>
              </w:rPr>
            </w:pPr>
          </w:p>
        </w:tc>
        <w:tc>
          <w:tcPr>
            <w:tcW w:w="1614" w:type="dxa"/>
            <w:vMerge w:val="continue"/>
            <w:vAlign w:val="center"/>
          </w:tcPr>
          <w:p w14:paraId="5B575A6A">
            <w:pPr>
              <w:autoSpaceDE w:val="0"/>
              <w:autoSpaceDN w:val="0"/>
              <w:jc w:val="center"/>
              <w:rPr>
                <w:rFonts w:hint="eastAsia" w:ascii="宋体" w:hAnsi="宋体" w:eastAsia="宋体" w:cs="宋体"/>
                <w:color w:val="auto"/>
                <w:highlight w:val="none"/>
              </w:rPr>
            </w:pPr>
          </w:p>
        </w:tc>
        <w:tc>
          <w:tcPr>
            <w:tcW w:w="1350" w:type="dxa"/>
            <w:vAlign w:val="center"/>
          </w:tcPr>
          <w:p w14:paraId="3B4D1EF2">
            <w:pPr>
              <w:autoSpaceDE w:val="0"/>
              <w:autoSpaceDN w:val="0"/>
              <w:jc w:val="center"/>
              <w:rPr>
                <w:rFonts w:hint="eastAsia" w:ascii="宋体" w:hAnsi="宋体" w:eastAsia="宋体" w:cs="宋体"/>
                <w:color w:val="auto"/>
                <w:highlight w:val="none"/>
              </w:rPr>
            </w:pPr>
            <w:r>
              <w:rPr>
                <w:rFonts w:hint="eastAsia" w:ascii="宋体" w:hAnsi="宋体" w:eastAsia="宋体" w:cs="宋体"/>
                <w:color w:val="auto"/>
                <w:spacing w:val="-2"/>
                <w:highlight w:val="none"/>
              </w:rPr>
              <w:t>A02052399</w:t>
            </w:r>
            <w:r>
              <w:rPr>
                <w:rFonts w:hint="eastAsia" w:ascii="宋体" w:hAnsi="宋体" w:eastAsia="宋体" w:cs="宋体"/>
                <w:color w:val="auto"/>
                <w:spacing w:val="-6"/>
                <w:highlight w:val="none"/>
              </w:rPr>
              <w:t xml:space="preserve"> 其他制冷</w:t>
            </w:r>
            <w:r>
              <w:rPr>
                <w:rFonts w:hint="eastAsia" w:ascii="宋体" w:hAnsi="宋体" w:eastAsia="宋体" w:cs="宋体"/>
                <w:color w:val="auto"/>
                <w:highlight w:val="none"/>
              </w:rPr>
              <w:t>空调设备</w:t>
            </w:r>
          </w:p>
        </w:tc>
        <w:tc>
          <w:tcPr>
            <w:tcW w:w="1868" w:type="dxa"/>
            <w:vAlign w:val="center"/>
          </w:tcPr>
          <w:p w14:paraId="233DEE63">
            <w:pPr>
              <w:autoSpaceDE w:val="0"/>
              <w:autoSpaceDN w:val="0"/>
              <w:jc w:val="center"/>
              <w:rPr>
                <w:rFonts w:hint="eastAsia" w:ascii="宋体" w:hAnsi="宋体" w:eastAsia="宋体" w:cs="宋体"/>
                <w:color w:val="auto"/>
                <w:spacing w:val="8"/>
                <w:highlight w:val="none"/>
              </w:rPr>
            </w:pPr>
            <w:r>
              <w:rPr>
                <w:rFonts w:hint="eastAsia" w:ascii="宋体" w:hAnsi="宋体" w:eastAsia="宋体" w:cs="宋体"/>
                <w:color w:val="auto"/>
                <w:highlight w:val="none"/>
              </w:rPr>
              <w:t>冷却塔</w:t>
            </w:r>
          </w:p>
        </w:tc>
        <w:tc>
          <w:tcPr>
            <w:tcW w:w="3632" w:type="dxa"/>
            <w:vAlign w:val="center"/>
          </w:tcPr>
          <w:p w14:paraId="02432C2B">
            <w:pPr>
              <w:jc w:val="center"/>
              <w:rPr>
                <w:rFonts w:hint="eastAsia" w:ascii="宋体" w:hAnsi="宋体" w:eastAsia="宋体" w:cs="宋体"/>
                <w:color w:val="auto"/>
                <w:highlight w:val="none"/>
              </w:rPr>
            </w:pPr>
            <w:r>
              <w:rPr>
                <w:rFonts w:hint="eastAsia" w:ascii="宋体" w:hAnsi="宋体" w:eastAsia="宋体" w:cs="宋体"/>
                <w:color w:val="auto"/>
                <w:spacing w:val="2"/>
                <w:highlight w:val="none"/>
              </w:rPr>
              <w:t xml:space="preserve">《机械通风冷却塔 第 </w:t>
            </w:r>
            <w:r>
              <w:rPr>
                <w:rFonts w:hint="eastAsia" w:ascii="宋体" w:hAnsi="宋体" w:eastAsia="宋体" w:cs="宋体"/>
                <w:color w:val="auto"/>
                <w:highlight w:val="none"/>
              </w:rPr>
              <w:t>1 部分：中小型开式冷却塔</w:t>
            </w:r>
            <w:r>
              <w:rPr>
                <w:rFonts w:hint="eastAsia" w:ascii="宋体" w:hAnsi="宋体" w:eastAsia="宋体" w:cs="宋体"/>
                <w:color w:val="auto"/>
                <w:spacing w:val="-171"/>
                <w:highlight w:val="none"/>
              </w:rPr>
              <w:t>》</w:t>
            </w:r>
            <w:r>
              <w:rPr>
                <w:rFonts w:hint="eastAsia" w:ascii="宋体" w:hAnsi="宋体" w:eastAsia="宋体" w:cs="宋体"/>
                <w:color w:val="auto"/>
                <w:spacing w:val="-1"/>
                <w:highlight w:val="none"/>
              </w:rPr>
              <w:t>（</w:t>
            </w:r>
            <w:r>
              <w:rPr>
                <w:rFonts w:hint="eastAsia" w:ascii="宋体" w:hAnsi="宋体" w:eastAsia="宋体" w:cs="宋体"/>
                <w:color w:val="auto"/>
                <w:spacing w:val="1"/>
                <w:highlight w:val="none"/>
              </w:rPr>
              <w:t>G</w:t>
            </w:r>
            <w:r>
              <w:rPr>
                <w:rFonts w:hint="eastAsia" w:ascii="宋体" w:hAnsi="宋体" w:eastAsia="宋体" w:cs="宋体"/>
                <w:color w:val="auto"/>
                <w:highlight w:val="none"/>
              </w:rPr>
              <w:t>B</w:t>
            </w:r>
            <w:r>
              <w:rPr>
                <w:rFonts w:hint="eastAsia" w:ascii="宋体" w:hAnsi="宋体" w:eastAsia="宋体" w:cs="宋体"/>
                <w:color w:val="auto"/>
                <w:spacing w:val="1"/>
                <w:highlight w:val="none"/>
              </w:rPr>
              <w:t>/</w:t>
            </w:r>
            <w:r>
              <w:rPr>
                <w:rFonts w:hint="eastAsia" w:ascii="宋体" w:hAnsi="宋体" w:eastAsia="宋体" w:cs="宋体"/>
                <w:color w:val="auto"/>
                <w:highlight w:val="none"/>
              </w:rPr>
              <w:t>T7190</w:t>
            </w:r>
            <w:r>
              <w:rPr>
                <w:rFonts w:hint="eastAsia" w:ascii="宋体" w:hAnsi="宋体" w:eastAsia="宋体" w:cs="宋体"/>
                <w:color w:val="auto"/>
                <w:spacing w:val="1"/>
                <w:highlight w:val="none"/>
              </w:rPr>
              <w:t>.1</w:t>
            </w:r>
            <w:r>
              <w:rPr>
                <w:rFonts w:hint="eastAsia" w:ascii="宋体" w:hAnsi="宋体" w:eastAsia="宋体" w:cs="宋体"/>
                <w:color w:val="auto"/>
                <w:spacing w:val="-87"/>
                <w:highlight w:val="none"/>
              </w:rPr>
              <w:t>）</w:t>
            </w:r>
            <w:r>
              <w:rPr>
                <w:rFonts w:hint="eastAsia" w:ascii="宋体" w:hAnsi="宋体" w:eastAsia="宋体" w:cs="宋体"/>
                <w:color w:val="auto"/>
                <w:highlight w:val="none"/>
              </w:rPr>
              <w:t>；</w:t>
            </w:r>
            <w:r>
              <w:rPr>
                <w:rFonts w:hint="eastAsia" w:ascii="宋体" w:hAnsi="宋体" w:eastAsia="宋体" w:cs="宋体"/>
                <w:color w:val="auto"/>
                <w:spacing w:val="4"/>
                <w:highlight w:val="none"/>
              </w:rPr>
              <w:t xml:space="preserve">《机械通风冷却塔 第 </w:t>
            </w:r>
            <w:r>
              <w:rPr>
                <w:rFonts w:hint="eastAsia" w:ascii="宋体" w:hAnsi="宋体" w:eastAsia="宋体" w:cs="宋体"/>
                <w:color w:val="auto"/>
                <w:highlight w:val="none"/>
              </w:rPr>
              <w:t>2 部分：大型开式冷却塔》（GB/T7190.2）</w:t>
            </w:r>
          </w:p>
        </w:tc>
      </w:tr>
      <w:tr w14:paraId="153764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10" w:type="dxa"/>
          <w:trHeight w:val="731" w:hRule="atLeast"/>
          <w:jc w:val="center"/>
        </w:trPr>
        <w:tc>
          <w:tcPr>
            <w:tcW w:w="554" w:type="dxa"/>
            <w:vAlign w:val="center"/>
          </w:tcPr>
          <w:p w14:paraId="6B67F11A">
            <w:pPr>
              <w:jc w:val="center"/>
              <w:rPr>
                <w:rFonts w:hint="eastAsia" w:ascii="宋体" w:hAnsi="宋体" w:eastAsia="宋体" w:cs="宋体"/>
                <w:color w:val="auto"/>
                <w:highlight w:val="none"/>
              </w:rPr>
            </w:pPr>
            <w:r>
              <w:rPr>
                <w:rFonts w:hint="eastAsia" w:ascii="宋体" w:hAnsi="宋体" w:eastAsia="宋体" w:cs="宋体"/>
                <w:color w:val="auto"/>
                <w:highlight w:val="none"/>
              </w:rPr>
              <w:t>7</w:t>
            </w:r>
          </w:p>
        </w:tc>
        <w:tc>
          <w:tcPr>
            <w:tcW w:w="1614" w:type="dxa"/>
            <w:vAlign w:val="center"/>
          </w:tcPr>
          <w:p w14:paraId="27EBD76D">
            <w:pPr>
              <w:jc w:val="center"/>
              <w:rPr>
                <w:rFonts w:hint="eastAsia" w:ascii="宋体" w:hAnsi="宋体" w:eastAsia="宋体" w:cs="宋体"/>
                <w:color w:val="auto"/>
                <w:highlight w:val="none"/>
              </w:rPr>
            </w:pPr>
            <w:r>
              <w:rPr>
                <w:rFonts w:hint="eastAsia" w:ascii="宋体" w:hAnsi="宋体" w:eastAsia="宋体" w:cs="宋体"/>
                <w:color w:val="auto"/>
                <w:spacing w:val="-2"/>
                <w:highlight w:val="none"/>
              </w:rPr>
              <w:t>A020601</w:t>
            </w:r>
            <w:r>
              <w:rPr>
                <w:rFonts w:hint="eastAsia" w:ascii="宋体" w:hAnsi="宋体" w:eastAsia="宋体" w:cs="宋体"/>
                <w:color w:val="auto"/>
                <w:spacing w:val="-20"/>
                <w:highlight w:val="none"/>
              </w:rPr>
              <w:t xml:space="preserve"> 电机</w:t>
            </w:r>
          </w:p>
        </w:tc>
        <w:tc>
          <w:tcPr>
            <w:tcW w:w="1350" w:type="dxa"/>
            <w:vAlign w:val="center"/>
          </w:tcPr>
          <w:p w14:paraId="35309567">
            <w:pPr>
              <w:jc w:val="center"/>
              <w:rPr>
                <w:rFonts w:hint="eastAsia" w:ascii="宋体" w:hAnsi="宋体" w:eastAsia="宋体" w:cs="宋体"/>
                <w:color w:val="auto"/>
                <w:highlight w:val="none"/>
              </w:rPr>
            </w:pPr>
          </w:p>
        </w:tc>
        <w:tc>
          <w:tcPr>
            <w:tcW w:w="1868" w:type="dxa"/>
            <w:vAlign w:val="center"/>
          </w:tcPr>
          <w:p w14:paraId="19F4FF2E">
            <w:pPr>
              <w:jc w:val="center"/>
              <w:rPr>
                <w:rFonts w:hint="eastAsia" w:ascii="宋体" w:hAnsi="宋体" w:eastAsia="宋体" w:cs="宋体"/>
                <w:color w:val="auto"/>
                <w:highlight w:val="none"/>
              </w:rPr>
            </w:pPr>
          </w:p>
        </w:tc>
        <w:tc>
          <w:tcPr>
            <w:tcW w:w="3632" w:type="dxa"/>
            <w:vAlign w:val="center"/>
          </w:tcPr>
          <w:p w14:paraId="1AD22D91">
            <w:pPr>
              <w:jc w:val="center"/>
              <w:rPr>
                <w:rFonts w:hint="eastAsia" w:ascii="宋体" w:hAnsi="宋体" w:eastAsia="宋体" w:cs="宋体"/>
                <w:color w:val="auto"/>
                <w:highlight w:val="none"/>
              </w:rPr>
            </w:pPr>
            <w:r>
              <w:rPr>
                <w:rFonts w:hint="eastAsia" w:ascii="宋体" w:hAnsi="宋体" w:eastAsia="宋体" w:cs="宋体"/>
                <w:color w:val="auto"/>
                <w:spacing w:val="9"/>
                <w:highlight w:val="none"/>
              </w:rPr>
              <w:t>《中小型三相异步电动机能效限</w:t>
            </w:r>
            <w:r>
              <w:rPr>
                <w:rFonts w:hint="eastAsia" w:ascii="宋体" w:hAnsi="宋体" w:eastAsia="宋体" w:cs="宋体"/>
                <w:color w:val="auto"/>
                <w:highlight w:val="none"/>
              </w:rPr>
              <w:t>定值及能效等级》（GB 18613）</w:t>
            </w:r>
          </w:p>
        </w:tc>
      </w:tr>
      <w:tr w14:paraId="6AE5B8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10" w:type="dxa"/>
          <w:trHeight w:val="688" w:hRule="atLeast"/>
          <w:jc w:val="center"/>
        </w:trPr>
        <w:tc>
          <w:tcPr>
            <w:tcW w:w="554" w:type="dxa"/>
            <w:vAlign w:val="center"/>
          </w:tcPr>
          <w:p w14:paraId="72852C51">
            <w:pPr>
              <w:jc w:val="center"/>
              <w:rPr>
                <w:rFonts w:hint="eastAsia" w:ascii="宋体" w:hAnsi="宋体" w:eastAsia="宋体" w:cs="宋体"/>
                <w:color w:val="auto"/>
                <w:highlight w:val="none"/>
              </w:rPr>
            </w:pPr>
            <w:r>
              <w:rPr>
                <w:rFonts w:hint="eastAsia" w:ascii="宋体" w:hAnsi="宋体" w:eastAsia="宋体" w:cs="宋体"/>
                <w:color w:val="auto"/>
                <w:highlight w:val="none"/>
              </w:rPr>
              <w:t>8</w:t>
            </w:r>
          </w:p>
        </w:tc>
        <w:tc>
          <w:tcPr>
            <w:tcW w:w="1614" w:type="dxa"/>
            <w:vAlign w:val="center"/>
          </w:tcPr>
          <w:p w14:paraId="6262A959">
            <w:pPr>
              <w:jc w:val="center"/>
              <w:rPr>
                <w:rFonts w:hint="eastAsia" w:ascii="宋体" w:hAnsi="宋体" w:eastAsia="宋体" w:cs="宋体"/>
                <w:color w:val="auto"/>
                <w:highlight w:val="none"/>
              </w:rPr>
            </w:pPr>
            <w:r>
              <w:rPr>
                <w:rFonts w:hint="eastAsia" w:ascii="宋体" w:hAnsi="宋体" w:eastAsia="宋体" w:cs="宋体"/>
                <w:color w:val="auto"/>
                <w:spacing w:val="-2"/>
                <w:highlight w:val="none"/>
              </w:rPr>
              <w:t>A020602</w:t>
            </w:r>
            <w:r>
              <w:rPr>
                <w:rFonts w:hint="eastAsia" w:ascii="宋体" w:hAnsi="宋体" w:eastAsia="宋体" w:cs="宋体"/>
                <w:color w:val="auto"/>
                <w:spacing w:val="-20"/>
                <w:highlight w:val="none"/>
              </w:rPr>
              <w:t xml:space="preserve"> 变 压 </w:t>
            </w:r>
            <w:r>
              <w:rPr>
                <w:rFonts w:hint="eastAsia" w:ascii="宋体" w:hAnsi="宋体" w:eastAsia="宋体" w:cs="宋体"/>
                <w:color w:val="auto"/>
                <w:highlight w:val="none"/>
              </w:rPr>
              <w:t>器</w:t>
            </w:r>
          </w:p>
        </w:tc>
        <w:tc>
          <w:tcPr>
            <w:tcW w:w="1350" w:type="dxa"/>
            <w:vAlign w:val="center"/>
          </w:tcPr>
          <w:p w14:paraId="7A10E143">
            <w:pPr>
              <w:jc w:val="center"/>
              <w:rPr>
                <w:rFonts w:hint="eastAsia" w:ascii="宋体" w:hAnsi="宋体" w:eastAsia="宋体" w:cs="宋体"/>
                <w:color w:val="auto"/>
                <w:highlight w:val="none"/>
              </w:rPr>
            </w:pPr>
            <w:r>
              <w:rPr>
                <w:rFonts w:hint="eastAsia" w:ascii="宋体" w:hAnsi="宋体" w:eastAsia="宋体" w:cs="宋体"/>
                <w:color w:val="auto"/>
                <w:highlight w:val="none"/>
              </w:rPr>
              <w:t>配电变压器</w:t>
            </w:r>
          </w:p>
        </w:tc>
        <w:tc>
          <w:tcPr>
            <w:tcW w:w="1868" w:type="dxa"/>
            <w:vAlign w:val="center"/>
          </w:tcPr>
          <w:p w14:paraId="368342A4">
            <w:pPr>
              <w:jc w:val="center"/>
              <w:rPr>
                <w:rFonts w:hint="eastAsia" w:ascii="宋体" w:hAnsi="宋体" w:eastAsia="宋体" w:cs="宋体"/>
                <w:color w:val="auto"/>
                <w:highlight w:val="none"/>
              </w:rPr>
            </w:pPr>
          </w:p>
        </w:tc>
        <w:tc>
          <w:tcPr>
            <w:tcW w:w="3632" w:type="dxa"/>
            <w:vAlign w:val="center"/>
          </w:tcPr>
          <w:p w14:paraId="060322BA">
            <w:pPr>
              <w:jc w:val="center"/>
              <w:rPr>
                <w:rFonts w:hint="eastAsia" w:ascii="宋体" w:hAnsi="宋体" w:eastAsia="宋体" w:cs="宋体"/>
                <w:color w:val="auto"/>
                <w:highlight w:val="none"/>
              </w:rPr>
            </w:pPr>
            <w:r>
              <w:rPr>
                <w:rFonts w:hint="eastAsia" w:ascii="宋体" w:hAnsi="宋体" w:eastAsia="宋体" w:cs="宋体"/>
                <w:color w:val="auto"/>
                <w:spacing w:val="9"/>
                <w:highlight w:val="none"/>
              </w:rPr>
              <w:t>《三相配电变压器能效限定值及</w:t>
            </w:r>
            <w:r>
              <w:rPr>
                <w:rFonts w:hint="eastAsia" w:ascii="宋体" w:hAnsi="宋体" w:eastAsia="宋体" w:cs="宋体"/>
                <w:color w:val="auto"/>
                <w:highlight w:val="none"/>
              </w:rPr>
              <w:t>能效等级》（GB20052）</w:t>
            </w:r>
          </w:p>
        </w:tc>
      </w:tr>
      <w:tr w14:paraId="30540C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10" w:type="dxa"/>
          <w:trHeight w:val="880" w:hRule="atLeast"/>
          <w:jc w:val="center"/>
        </w:trPr>
        <w:tc>
          <w:tcPr>
            <w:tcW w:w="554" w:type="dxa"/>
            <w:vAlign w:val="center"/>
          </w:tcPr>
          <w:p w14:paraId="153B1310">
            <w:pPr>
              <w:jc w:val="center"/>
              <w:rPr>
                <w:rFonts w:hint="eastAsia" w:ascii="宋体" w:hAnsi="宋体" w:eastAsia="宋体" w:cs="宋体"/>
                <w:color w:val="auto"/>
                <w:highlight w:val="none"/>
              </w:rPr>
            </w:pPr>
            <w:r>
              <w:rPr>
                <w:rFonts w:hint="eastAsia" w:ascii="宋体" w:hAnsi="宋体" w:eastAsia="宋体" w:cs="宋体"/>
                <w:color w:val="auto"/>
                <w:highlight w:val="none"/>
              </w:rPr>
              <w:t>9</w:t>
            </w:r>
          </w:p>
        </w:tc>
        <w:tc>
          <w:tcPr>
            <w:tcW w:w="1614" w:type="dxa"/>
            <w:vAlign w:val="center"/>
          </w:tcPr>
          <w:p w14:paraId="7DE9A591">
            <w:pPr>
              <w:jc w:val="center"/>
              <w:rPr>
                <w:rFonts w:hint="eastAsia" w:ascii="宋体" w:hAnsi="宋体" w:eastAsia="宋体" w:cs="宋体"/>
                <w:color w:val="auto"/>
                <w:highlight w:val="none"/>
              </w:rPr>
            </w:pPr>
            <w:r>
              <w:rPr>
                <w:rFonts w:hint="eastAsia" w:ascii="宋体" w:hAnsi="宋体" w:eastAsia="宋体" w:cs="宋体"/>
                <w:color w:val="auto"/>
                <w:spacing w:val="-2"/>
                <w:highlight w:val="none"/>
              </w:rPr>
              <w:t>★A020609</w:t>
            </w:r>
            <w:r>
              <w:rPr>
                <w:rFonts w:hint="eastAsia" w:ascii="宋体" w:hAnsi="宋体" w:eastAsia="宋体" w:cs="宋体"/>
                <w:color w:val="auto"/>
                <w:spacing w:val="-29"/>
                <w:highlight w:val="none"/>
              </w:rPr>
              <w:t xml:space="preserve"> 镇 </w:t>
            </w:r>
            <w:r>
              <w:rPr>
                <w:rFonts w:hint="eastAsia" w:ascii="宋体" w:hAnsi="宋体" w:eastAsia="宋体" w:cs="宋体"/>
                <w:color w:val="auto"/>
                <w:highlight w:val="none"/>
              </w:rPr>
              <w:t>流器</w:t>
            </w:r>
          </w:p>
        </w:tc>
        <w:tc>
          <w:tcPr>
            <w:tcW w:w="1350" w:type="dxa"/>
            <w:vAlign w:val="center"/>
          </w:tcPr>
          <w:p w14:paraId="67161E15">
            <w:pPr>
              <w:jc w:val="center"/>
              <w:rPr>
                <w:rFonts w:hint="eastAsia" w:ascii="宋体" w:hAnsi="宋体" w:eastAsia="宋体" w:cs="宋体"/>
                <w:color w:val="auto"/>
                <w:highlight w:val="none"/>
              </w:rPr>
            </w:pPr>
            <w:r>
              <w:rPr>
                <w:rFonts w:hint="eastAsia" w:ascii="宋体" w:hAnsi="宋体" w:eastAsia="宋体" w:cs="宋体"/>
                <w:color w:val="auto"/>
                <w:highlight w:val="none"/>
              </w:rPr>
              <w:t>管型荧光灯镇流器</w:t>
            </w:r>
          </w:p>
        </w:tc>
        <w:tc>
          <w:tcPr>
            <w:tcW w:w="1868" w:type="dxa"/>
            <w:vAlign w:val="center"/>
          </w:tcPr>
          <w:p w14:paraId="5B45B9BD">
            <w:pPr>
              <w:jc w:val="center"/>
              <w:rPr>
                <w:rFonts w:hint="eastAsia" w:ascii="宋体" w:hAnsi="宋体" w:eastAsia="宋体" w:cs="宋体"/>
                <w:color w:val="auto"/>
                <w:highlight w:val="none"/>
              </w:rPr>
            </w:pPr>
          </w:p>
        </w:tc>
        <w:tc>
          <w:tcPr>
            <w:tcW w:w="3632" w:type="dxa"/>
            <w:vAlign w:val="center"/>
          </w:tcPr>
          <w:p w14:paraId="5BD08249">
            <w:pPr>
              <w:jc w:val="center"/>
              <w:rPr>
                <w:rFonts w:hint="eastAsia" w:ascii="宋体" w:hAnsi="宋体" w:eastAsia="宋体" w:cs="宋体"/>
                <w:color w:val="auto"/>
                <w:highlight w:val="none"/>
              </w:rPr>
            </w:pPr>
            <w:r>
              <w:rPr>
                <w:rFonts w:hint="eastAsia" w:ascii="宋体" w:hAnsi="宋体" w:eastAsia="宋体" w:cs="宋体"/>
                <w:color w:val="auto"/>
                <w:spacing w:val="9"/>
                <w:highlight w:val="none"/>
              </w:rPr>
              <w:t>《管形荧光灯镇流器能效限定值</w:t>
            </w:r>
            <w:r>
              <w:rPr>
                <w:rFonts w:hint="eastAsia" w:ascii="宋体" w:hAnsi="宋体" w:eastAsia="宋体" w:cs="宋体"/>
                <w:color w:val="auto"/>
                <w:highlight w:val="none"/>
              </w:rPr>
              <w:t>及能效等级》（GB17896）</w:t>
            </w:r>
          </w:p>
        </w:tc>
      </w:tr>
      <w:tr w14:paraId="6BC57F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10" w:type="dxa"/>
          <w:trHeight w:val="734" w:hRule="atLeast"/>
          <w:jc w:val="center"/>
        </w:trPr>
        <w:tc>
          <w:tcPr>
            <w:tcW w:w="554" w:type="dxa"/>
            <w:vMerge w:val="restart"/>
            <w:vAlign w:val="center"/>
          </w:tcPr>
          <w:p w14:paraId="34B65A3B">
            <w:pPr>
              <w:jc w:val="center"/>
              <w:rPr>
                <w:rFonts w:hint="eastAsia" w:ascii="宋体" w:hAnsi="宋体" w:eastAsia="宋体" w:cs="宋体"/>
                <w:color w:val="auto"/>
                <w:highlight w:val="none"/>
              </w:rPr>
            </w:pPr>
            <w:r>
              <w:rPr>
                <w:rFonts w:hint="eastAsia" w:ascii="宋体" w:hAnsi="宋体" w:eastAsia="宋体" w:cs="宋体"/>
                <w:color w:val="auto"/>
                <w:highlight w:val="none"/>
              </w:rPr>
              <w:t>10</w:t>
            </w:r>
          </w:p>
        </w:tc>
        <w:tc>
          <w:tcPr>
            <w:tcW w:w="1614" w:type="dxa"/>
            <w:vMerge w:val="restart"/>
            <w:vAlign w:val="center"/>
          </w:tcPr>
          <w:p w14:paraId="6F09CD89">
            <w:pPr>
              <w:jc w:val="center"/>
              <w:rPr>
                <w:rFonts w:hint="eastAsia" w:ascii="宋体" w:hAnsi="宋体" w:eastAsia="宋体" w:cs="宋体"/>
                <w:color w:val="auto"/>
                <w:highlight w:val="none"/>
              </w:rPr>
            </w:pPr>
            <w:r>
              <w:rPr>
                <w:rFonts w:hint="eastAsia" w:ascii="宋体" w:hAnsi="宋体" w:eastAsia="宋体" w:cs="宋体"/>
                <w:color w:val="auto"/>
                <w:spacing w:val="-2"/>
                <w:highlight w:val="none"/>
              </w:rPr>
              <w:t>A020618</w:t>
            </w:r>
            <w:r>
              <w:rPr>
                <w:rFonts w:hint="eastAsia" w:ascii="宋体" w:hAnsi="宋体" w:eastAsia="宋体" w:cs="宋体"/>
                <w:color w:val="auto"/>
                <w:spacing w:val="-20"/>
                <w:highlight w:val="none"/>
              </w:rPr>
              <w:t xml:space="preserve"> 生活</w:t>
            </w:r>
            <w:r>
              <w:rPr>
                <w:rFonts w:hint="eastAsia" w:ascii="宋体" w:hAnsi="宋体" w:eastAsia="宋体" w:cs="宋体"/>
                <w:color w:val="auto"/>
                <w:highlight w:val="none"/>
              </w:rPr>
              <w:t>用电器</w:t>
            </w:r>
          </w:p>
        </w:tc>
        <w:tc>
          <w:tcPr>
            <w:tcW w:w="1350" w:type="dxa"/>
            <w:vAlign w:val="center"/>
          </w:tcPr>
          <w:p w14:paraId="2AD8B15A">
            <w:pPr>
              <w:jc w:val="center"/>
              <w:rPr>
                <w:rFonts w:hint="eastAsia" w:ascii="宋体" w:hAnsi="宋体" w:eastAsia="宋体" w:cs="宋体"/>
                <w:color w:val="auto"/>
                <w:highlight w:val="none"/>
              </w:rPr>
            </w:pPr>
            <w:r>
              <w:rPr>
                <w:rFonts w:hint="eastAsia" w:ascii="宋体" w:hAnsi="宋体" w:eastAsia="宋体" w:cs="宋体"/>
                <w:color w:val="auto"/>
                <w:highlight w:val="none"/>
              </w:rPr>
              <w:t>A0206180101 电冰箱</w:t>
            </w:r>
          </w:p>
        </w:tc>
        <w:tc>
          <w:tcPr>
            <w:tcW w:w="1868" w:type="dxa"/>
            <w:vAlign w:val="center"/>
          </w:tcPr>
          <w:p w14:paraId="5ED43CFF">
            <w:pPr>
              <w:jc w:val="center"/>
              <w:rPr>
                <w:rFonts w:hint="eastAsia" w:ascii="宋体" w:hAnsi="宋体" w:eastAsia="宋体" w:cs="宋体"/>
                <w:color w:val="auto"/>
                <w:highlight w:val="none"/>
              </w:rPr>
            </w:pPr>
          </w:p>
        </w:tc>
        <w:tc>
          <w:tcPr>
            <w:tcW w:w="3632" w:type="dxa"/>
            <w:vAlign w:val="center"/>
          </w:tcPr>
          <w:p w14:paraId="65BF9083">
            <w:pPr>
              <w:jc w:val="center"/>
              <w:rPr>
                <w:rFonts w:hint="eastAsia" w:ascii="宋体" w:hAnsi="宋体" w:eastAsia="宋体" w:cs="宋体"/>
                <w:color w:val="auto"/>
                <w:highlight w:val="none"/>
              </w:rPr>
            </w:pPr>
            <w:r>
              <w:rPr>
                <w:rFonts w:hint="eastAsia" w:ascii="宋体" w:hAnsi="宋体" w:eastAsia="宋体" w:cs="宋体"/>
                <w:color w:val="auto"/>
                <w:spacing w:val="9"/>
                <w:highlight w:val="none"/>
              </w:rPr>
              <w:t>《家用电冰箱耗电量限定值及能</w:t>
            </w:r>
            <w:r>
              <w:rPr>
                <w:rFonts w:hint="eastAsia" w:ascii="宋体" w:hAnsi="宋体" w:eastAsia="宋体" w:cs="宋体"/>
                <w:color w:val="auto"/>
                <w:highlight w:val="none"/>
              </w:rPr>
              <w:t>效等级》（GB12021.2）</w:t>
            </w:r>
          </w:p>
        </w:tc>
      </w:tr>
      <w:tr w14:paraId="1B64A9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10" w:type="dxa"/>
          <w:trHeight w:val="1883" w:hRule="atLeast"/>
          <w:jc w:val="center"/>
        </w:trPr>
        <w:tc>
          <w:tcPr>
            <w:tcW w:w="554" w:type="dxa"/>
            <w:vMerge w:val="continue"/>
            <w:vAlign w:val="center"/>
          </w:tcPr>
          <w:p w14:paraId="6D2505DC">
            <w:pPr>
              <w:autoSpaceDE w:val="0"/>
              <w:autoSpaceDN w:val="0"/>
              <w:jc w:val="center"/>
              <w:rPr>
                <w:rFonts w:hint="eastAsia" w:ascii="宋体" w:hAnsi="宋体" w:eastAsia="宋体" w:cs="宋体"/>
                <w:color w:val="auto"/>
                <w:highlight w:val="none"/>
              </w:rPr>
            </w:pPr>
          </w:p>
        </w:tc>
        <w:tc>
          <w:tcPr>
            <w:tcW w:w="1614" w:type="dxa"/>
            <w:vMerge w:val="continue"/>
            <w:vAlign w:val="center"/>
          </w:tcPr>
          <w:p w14:paraId="5E352ED5">
            <w:pPr>
              <w:autoSpaceDE w:val="0"/>
              <w:autoSpaceDN w:val="0"/>
              <w:jc w:val="center"/>
              <w:rPr>
                <w:rFonts w:hint="eastAsia" w:ascii="宋体" w:hAnsi="宋体" w:eastAsia="宋体" w:cs="宋体"/>
                <w:color w:val="auto"/>
                <w:highlight w:val="none"/>
              </w:rPr>
            </w:pPr>
          </w:p>
        </w:tc>
        <w:tc>
          <w:tcPr>
            <w:tcW w:w="1350" w:type="dxa"/>
            <w:vMerge w:val="restart"/>
            <w:vAlign w:val="center"/>
          </w:tcPr>
          <w:p w14:paraId="18EFD734">
            <w:pPr>
              <w:jc w:val="center"/>
              <w:rPr>
                <w:rFonts w:hint="eastAsia" w:ascii="宋体" w:hAnsi="宋体" w:eastAsia="宋体" w:cs="宋体"/>
                <w:color w:val="auto"/>
                <w:highlight w:val="none"/>
              </w:rPr>
            </w:pPr>
            <w:r>
              <w:rPr>
                <w:rFonts w:hint="eastAsia" w:ascii="宋体" w:hAnsi="宋体" w:eastAsia="宋体" w:cs="宋体"/>
                <w:color w:val="auto"/>
                <w:spacing w:val="-2"/>
                <w:highlight w:val="none"/>
              </w:rPr>
              <w:t>★A0206180203</w:t>
            </w:r>
            <w:r>
              <w:rPr>
                <w:rFonts w:hint="eastAsia" w:ascii="宋体" w:hAnsi="宋体" w:eastAsia="宋体" w:cs="宋体"/>
                <w:color w:val="auto"/>
                <w:spacing w:val="-7"/>
                <w:highlight w:val="none"/>
              </w:rPr>
              <w:t xml:space="preserve"> 空调</w:t>
            </w:r>
            <w:r>
              <w:rPr>
                <w:rFonts w:hint="eastAsia" w:ascii="宋体" w:hAnsi="宋体" w:eastAsia="宋体" w:cs="宋体"/>
                <w:color w:val="auto"/>
                <w:highlight w:val="none"/>
              </w:rPr>
              <w:t>机</w:t>
            </w:r>
          </w:p>
        </w:tc>
        <w:tc>
          <w:tcPr>
            <w:tcW w:w="1868" w:type="dxa"/>
            <w:vAlign w:val="center"/>
          </w:tcPr>
          <w:p w14:paraId="5C117332">
            <w:pPr>
              <w:jc w:val="center"/>
              <w:rPr>
                <w:rFonts w:hint="eastAsia" w:ascii="宋体" w:hAnsi="宋体" w:eastAsia="宋体" w:cs="宋体"/>
                <w:color w:val="auto"/>
                <w:highlight w:val="none"/>
              </w:rPr>
            </w:pPr>
            <w:r>
              <w:rPr>
                <w:rFonts w:hint="eastAsia" w:ascii="宋体" w:hAnsi="宋体" w:eastAsia="宋体" w:cs="宋体"/>
                <w:color w:val="auto"/>
                <w:highlight w:val="none"/>
              </w:rPr>
              <w:t>房间空气调节器</w:t>
            </w:r>
          </w:p>
        </w:tc>
        <w:tc>
          <w:tcPr>
            <w:tcW w:w="3632" w:type="dxa"/>
            <w:vAlign w:val="center"/>
          </w:tcPr>
          <w:p w14:paraId="6C5BDA98">
            <w:pPr>
              <w:jc w:val="center"/>
              <w:rPr>
                <w:rFonts w:hint="eastAsia" w:ascii="宋体" w:hAnsi="宋体" w:eastAsia="宋体" w:cs="宋体"/>
                <w:color w:val="auto"/>
                <w:highlight w:val="none"/>
              </w:rPr>
            </w:pPr>
            <w:r>
              <w:rPr>
                <w:rFonts w:hint="eastAsia" w:ascii="宋体" w:hAnsi="宋体" w:eastAsia="宋体" w:cs="宋体"/>
                <w:color w:val="auto"/>
                <w:spacing w:val="9"/>
                <w:highlight w:val="none"/>
              </w:rPr>
              <w:t>《转速可控型房间空气调节器能</w:t>
            </w:r>
            <w:r>
              <w:rPr>
                <w:rFonts w:hint="eastAsia" w:ascii="宋体" w:hAnsi="宋体" w:eastAsia="宋体" w:cs="宋体"/>
                <w:color w:val="auto"/>
                <w:spacing w:val="-18"/>
                <w:highlight w:val="none"/>
              </w:rPr>
              <w:t xml:space="preserve">效 限 定 值 及 能 效 等 级》 </w:t>
            </w:r>
            <w:r>
              <w:rPr>
                <w:rFonts w:hint="eastAsia" w:ascii="宋体" w:hAnsi="宋体" w:eastAsia="宋体" w:cs="宋体"/>
                <w:color w:val="auto"/>
                <w:highlight w:val="none"/>
              </w:rPr>
              <w:t>（ GB21455-2013），</w:t>
            </w:r>
            <w:r>
              <w:rPr>
                <w:rFonts w:hint="eastAsia" w:ascii="宋体" w:hAnsi="宋体" w:eastAsia="宋体" w:cs="宋体"/>
                <w:color w:val="auto"/>
                <w:spacing w:val="6"/>
                <w:highlight w:val="none"/>
              </w:rPr>
              <w:t xml:space="preserve">待 </w:t>
            </w:r>
            <w:r>
              <w:rPr>
                <w:rFonts w:hint="eastAsia" w:ascii="宋体" w:hAnsi="宋体" w:eastAsia="宋体" w:cs="宋体"/>
                <w:color w:val="auto"/>
                <w:highlight w:val="none"/>
              </w:rPr>
              <w:t>2019</w:t>
            </w:r>
            <w:r>
              <w:rPr>
                <w:rFonts w:hint="eastAsia" w:ascii="宋体" w:hAnsi="宋体" w:eastAsia="宋体" w:cs="宋体"/>
                <w:color w:val="auto"/>
                <w:spacing w:val="2"/>
                <w:highlight w:val="none"/>
              </w:rPr>
              <w:t xml:space="preserve"> 年修订发</w:t>
            </w:r>
            <w:r>
              <w:rPr>
                <w:rFonts w:hint="eastAsia" w:ascii="宋体" w:hAnsi="宋体" w:eastAsia="宋体" w:cs="宋体"/>
                <w:color w:val="auto"/>
                <w:highlight w:val="none"/>
              </w:rPr>
              <w:t>布后，按《房间空气调节器能效限</w:t>
            </w:r>
            <w:r>
              <w:rPr>
                <w:rFonts w:hint="eastAsia" w:ascii="宋体" w:hAnsi="宋体" w:eastAsia="宋体" w:cs="宋体"/>
                <w:color w:val="auto"/>
                <w:spacing w:val="-1"/>
                <w:highlight w:val="none"/>
              </w:rPr>
              <w:t>定值及能效等级</w:t>
            </w:r>
            <w:r>
              <w:rPr>
                <w:rFonts w:hint="eastAsia" w:ascii="宋体" w:hAnsi="宋体" w:eastAsia="宋体" w:cs="宋体"/>
                <w:color w:val="auto"/>
                <w:spacing w:val="-156"/>
                <w:highlight w:val="none"/>
              </w:rPr>
              <w:t>》</w:t>
            </w:r>
            <w:r>
              <w:rPr>
                <w:rFonts w:hint="eastAsia" w:ascii="宋体" w:hAnsi="宋体" w:eastAsia="宋体" w:cs="宋体"/>
                <w:color w:val="auto"/>
                <w:highlight w:val="none"/>
              </w:rPr>
              <w:t>（GB21455-2019）实施。</w:t>
            </w:r>
          </w:p>
        </w:tc>
      </w:tr>
      <w:tr w14:paraId="3EE969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10" w:type="dxa"/>
          <w:trHeight w:val="947" w:hRule="atLeast"/>
          <w:jc w:val="center"/>
        </w:trPr>
        <w:tc>
          <w:tcPr>
            <w:tcW w:w="554" w:type="dxa"/>
            <w:vMerge w:val="continue"/>
            <w:vAlign w:val="center"/>
          </w:tcPr>
          <w:p w14:paraId="56B1555E">
            <w:pPr>
              <w:autoSpaceDE w:val="0"/>
              <w:autoSpaceDN w:val="0"/>
              <w:jc w:val="center"/>
              <w:rPr>
                <w:rFonts w:hint="eastAsia" w:ascii="宋体" w:hAnsi="宋体" w:eastAsia="宋体" w:cs="宋体"/>
                <w:color w:val="auto"/>
                <w:highlight w:val="none"/>
              </w:rPr>
            </w:pPr>
          </w:p>
        </w:tc>
        <w:tc>
          <w:tcPr>
            <w:tcW w:w="1614" w:type="dxa"/>
            <w:vMerge w:val="continue"/>
            <w:vAlign w:val="center"/>
          </w:tcPr>
          <w:p w14:paraId="59D02AF3">
            <w:pPr>
              <w:autoSpaceDE w:val="0"/>
              <w:autoSpaceDN w:val="0"/>
              <w:jc w:val="center"/>
              <w:rPr>
                <w:rFonts w:hint="eastAsia" w:ascii="宋体" w:hAnsi="宋体" w:eastAsia="宋体" w:cs="宋体"/>
                <w:color w:val="auto"/>
                <w:highlight w:val="none"/>
              </w:rPr>
            </w:pPr>
          </w:p>
        </w:tc>
        <w:tc>
          <w:tcPr>
            <w:tcW w:w="1350" w:type="dxa"/>
            <w:vMerge w:val="continue"/>
            <w:vAlign w:val="center"/>
          </w:tcPr>
          <w:p w14:paraId="57E4C356">
            <w:pPr>
              <w:autoSpaceDE w:val="0"/>
              <w:autoSpaceDN w:val="0"/>
              <w:jc w:val="center"/>
              <w:rPr>
                <w:rFonts w:hint="eastAsia" w:ascii="宋体" w:hAnsi="宋体" w:eastAsia="宋体" w:cs="宋体"/>
                <w:color w:val="auto"/>
                <w:highlight w:val="none"/>
              </w:rPr>
            </w:pPr>
          </w:p>
        </w:tc>
        <w:tc>
          <w:tcPr>
            <w:tcW w:w="1868" w:type="dxa"/>
            <w:vAlign w:val="center"/>
          </w:tcPr>
          <w:p w14:paraId="3F3F4446">
            <w:pPr>
              <w:jc w:val="center"/>
              <w:rPr>
                <w:rFonts w:hint="eastAsia" w:ascii="宋体" w:hAnsi="宋体" w:eastAsia="宋体" w:cs="宋体"/>
                <w:color w:val="auto"/>
                <w:highlight w:val="none"/>
              </w:rPr>
            </w:pPr>
            <w:r>
              <w:rPr>
                <w:rFonts w:hint="eastAsia" w:ascii="宋体" w:hAnsi="宋体" w:eastAsia="宋体" w:cs="宋体"/>
                <w:color w:val="auto"/>
                <w:spacing w:val="11"/>
                <w:highlight w:val="none"/>
              </w:rPr>
              <w:t>多联式空调（</w:t>
            </w:r>
            <w:r>
              <w:rPr>
                <w:rFonts w:hint="eastAsia" w:ascii="宋体" w:hAnsi="宋体" w:eastAsia="宋体" w:cs="宋体"/>
                <w:color w:val="auto"/>
                <w:spacing w:val="12"/>
                <w:highlight w:val="none"/>
              </w:rPr>
              <w:t>热泵</w:t>
            </w:r>
            <w:r>
              <w:rPr>
                <w:rFonts w:hint="eastAsia" w:ascii="宋体" w:hAnsi="宋体" w:eastAsia="宋体" w:cs="宋体"/>
                <w:color w:val="auto"/>
                <w:highlight w:val="none"/>
              </w:rPr>
              <w:t>）</w:t>
            </w:r>
            <w:r>
              <w:rPr>
                <w:rFonts w:hint="eastAsia" w:ascii="宋体" w:hAnsi="宋体" w:eastAsia="宋体" w:cs="宋体"/>
                <w:color w:val="auto"/>
                <w:spacing w:val="-12"/>
                <w:highlight w:val="none"/>
              </w:rPr>
              <w:t xml:space="preserve">机 组 </w:t>
            </w:r>
            <w:r>
              <w:rPr>
                <w:rFonts w:hint="eastAsia" w:ascii="宋体" w:hAnsi="宋体" w:eastAsia="宋体" w:cs="宋体"/>
                <w:color w:val="auto"/>
                <w:highlight w:val="none"/>
              </w:rPr>
              <w:t>（</w:t>
            </w:r>
            <w:r>
              <w:rPr>
                <w:rFonts w:hint="eastAsia" w:ascii="宋体" w:hAnsi="宋体" w:eastAsia="宋体" w:cs="宋体"/>
                <w:color w:val="auto"/>
                <w:spacing w:val="-13"/>
                <w:highlight w:val="none"/>
              </w:rPr>
              <w:t xml:space="preserve"> 制 冷 量 ≤</w:t>
            </w:r>
            <w:r>
              <w:rPr>
                <w:rFonts w:hint="eastAsia" w:ascii="宋体" w:hAnsi="宋体" w:eastAsia="宋体" w:cs="宋体"/>
                <w:color w:val="auto"/>
                <w:highlight w:val="none"/>
              </w:rPr>
              <w:t>14000W）</w:t>
            </w:r>
          </w:p>
        </w:tc>
        <w:tc>
          <w:tcPr>
            <w:tcW w:w="3632" w:type="dxa"/>
            <w:vAlign w:val="center"/>
          </w:tcPr>
          <w:p w14:paraId="2F43706E">
            <w:pPr>
              <w:jc w:val="center"/>
              <w:rPr>
                <w:rFonts w:hint="eastAsia" w:ascii="宋体" w:hAnsi="宋体" w:eastAsia="宋体" w:cs="宋体"/>
                <w:color w:val="auto"/>
                <w:highlight w:val="none"/>
              </w:rPr>
            </w:pPr>
            <w:r>
              <w:rPr>
                <w:rFonts w:hint="eastAsia" w:ascii="宋体" w:hAnsi="宋体" w:eastAsia="宋体" w:cs="宋体"/>
                <w:color w:val="auto"/>
                <w:highlight w:val="none"/>
              </w:rPr>
              <w:t>《多联式空调（热泵）机组能效限</w:t>
            </w:r>
            <w:r>
              <w:rPr>
                <w:rFonts w:hint="eastAsia" w:ascii="宋体" w:hAnsi="宋体" w:eastAsia="宋体" w:cs="宋体"/>
                <w:color w:val="auto"/>
                <w:spacing w:val="-11"/>
                <w:highlight w:val="none"/>
              </w:rPr>
              <w:t>定值及能源效率等级》</w:t>
            </w:r>
            <w:r>
              <w:rPr>
                <w:rFonts w:hint="eastAsia" w:ascii="宋体" w:hAnsi="宋体" w:eastAsia="宋体" w:cs="宋体"/>
                <w:color w:val="auto"/>
                <w:highlight w:val="none"/>
              </w:rPr>
              <w:t>（GB21454）</w:t>
            </w:r>
          </w:p>
        </w:tc>
      </w:tr>
      <w:tr w14:paraId="500BEE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10" w:type="dxa"/>
          <w:trHeight w:val="1259" w:hRule="atLeast"/>
          <w:jc w:val="center"/>
        </w:trPr>
        <w:tc>
          <w:tcPr>
            <w:tcW w:w="554" w:type="dxa"/>
            <w:vMerge w:val="continue"/>
            <w:vAlign w:val="center"/>
          </w:tcPr>
          <w:p w14:paraId="79AECC85">
            <w:pPr>
              <w:autoSpaceDE w:val="0"/>
              <w:autoSpaceDN w:val="0"/>
              <w:jc w:val="center"/>
              <w:rPr>
                <w:rFonts w:hint="eastAsia" w:ascii="宋体" w:hAnsi="宋体" w:eastAsia="宋体" w:cs="宋体"/>
                <w:color w:val="auto"/>
                <w:highlight w:val="none"/>
              </w:rPr>
            </w:pPr>
          </w:p>
        </w:tc>
        <w:tc>
          <w:tcPr>
            <w:tcW w:w="1614" w:type="dxa"/>
            <w:vMerge w:val="continue"/>
            <w:vAlign w:val="center"/>
          </w:tcPr>
          <w:p w14:paraId="552DE375">
            <w:pPr>
              <w:autoSpaceDE w:val="0"/>
              <w:autoSpaceDN w:val="0"/>
              <w:jc w:val="center"/>
              <w:rPr>
                <w:rFonts w:hint="eastAsia" w:ascii="宋体" w:hAnsi="宋体" w:eastAsia="宋体" w:cs="宋体"/>
                <w:color w:val="auto"/>
                <w:highlight w:val="none"/>
              </w:rPr>
            </w:pPr>
          </w:p>
        </w:tc>
        <w:tc>
          <w:tcPr>
            <w:tcW w:w="1350" w:type="dxa"/>
            <w:vMerge w:val="continue"/>
            <w:vAlign w:val="center"/>
          </w:tcPr>
          <w:p w14:paraId="0F38C80E">
            <w:pPr>
              <w:autoSpaceDE w:val="0"/>
              <w:autoSpaceDN w:val="0"/>
              <w:jc w:val="center"/>
              <w:rPr>
                <w:rFonts w:hint="eastAsia" w:ascii="宋体" w:hAnsi="宋体" w:eastAsia="宋体" w:cs="宋体"/>
                <w:color w:val="auto"/>
                <w:highlight w:val="none"/>
              </w:rPr>
            </w:pPr>
          </w:p>
        </w:tc>
        <w:tc>
          <w:tcPr>
            <w:tcW w:w="1868" w:type="dxa"/>
            <w:vAlign w:val="center"/>
          </w:tcPr>
          <w:p w14:paraId="725B15E4">
            <w:pPr>
              <w:jc w:val="center"/>
              <w:rPr>
                <w:rFonts w:hint="eastAsia" w:ascii="宋体" w:hAnsi="宋体" w:eastAsia="宋体" w:cs="宋体"/>
                <w:color w:val="auto"/>
                <w:highlight w:val="none"/>
              </w:rPr>
            </w:pPr>
            <w:r>
              <w:rPr>
                <w:rFonts w:hint="eastAsia" w:ascii="宋体" w:hAnsi="宋体" w:eastAsia="宋体" w:cs="宋体"/>
                <w:color w:val="auto"/>
                <w:spacing w:val="35"/>
                <w:highlight w:val="none"/>
              </w:rPr>
              <w:t>单元式空气调节机</w:t>
            </w:r>
            <w:r>
              <w:rPr>
                <w:rFonts w:hint="eastAsia" w:ascii="宋体" w:hAnsi="宋体" w:eastAsia="宋体" w:cs="宋体"/>
                <w:color w:val="auto"/>
                <w:highlight w:val="none"/>
              </w:rPr>
              <w:t>(制冷量≤14000W)</w:t>
            </w:r>
          </w:p>
        </w:tc>
        <w:tc>
          <w:tcPr>
            <w:tcW w:w="3632" w:type="dxa"/>
            <w:vAlign w:val="center"/>
          </w:tcPr>
          <w:p w14:paraId="242DA33C">
            <w:pPr>
              <w:jc w:val="center"/>
              <w:rPr>
                <w:rFonts w:hint="eastAsia" w:ascii="宋体" w:hAnsi="宋体" w:eastAsia="宋体" w:cs="宋体"/>
                <w:color w:val="auto"/>
                <w:highlight w:val="none"/>
              </w:rPr>
            </w:pPr>
            <w:r>
              <w:rPr>
                <w:rFonts w:hint="eastAsia" w:ascii="宋体" w:hAnsi="宋体" w:eastAsia="宋体" w:cs="宋体"/>
                <w:color w:val="auto"/>
                <w:spacing w:val="9"/>
                <w:highlight w:val="none"/>
              </w:rPr>
              <w:t>《单元式空气调节机能效限定值</w:t>
            </w:r>
            <w:r>
              <w:rPr>
                <w:rFonts w:hint="eastAsia" w:ascii="宋体" w:hAnsi="宋体" w:eastAsia="宋体" w:cs="宋体"/>
                <w:color w:val="auto"/>
                <w:spacing w:val="-13"/>
                <w:highlight w:val="none"/>
              </w:rPr>
              <w:t>及能源效率等级》</w:t>
            </w:r>
            <w:r>
              <w:rPr>
                <w:rFonts w:hint="eastAsia" w:ascii="宋体" w:hAnsi="宋体" w:eastAsia="宋体" w:cs="宋体"/>
                <w:color w:val="auto"/>
                <w:highlight w:val="none"/>
              </w:rPr>
              <w:t>（</w:t>
            </w:r>
            <w:r>
              <w:rPr>
                <w:rFonts w:hint="eastAsia" w:ascii="宋体" w:hAnsi="宋体" w:eastAsia="宋体" w:cs="宋体"/>
                <w:color w:val="auto"/>
                <w:spacing w:val="1"/>
                <w:highlight w:val="none"/>
              </w:rPr>
              <w:t>G</w:t>
            </w:r>
            <w:r>
              <w:rPr>
                <w:rFonts w:hint="eastAsia" w:ascii="宋体" w:hAnsi="宋体" w:eastAsia="宋体" w:cs="宋体"/>
                <w:color w:val="auto"/>
                <w:highlight w:val="none"/>
              </w:rPr>
              <w:t>B</w:t>
            </w:r>
            <w:r>
              <w:rPr>
                <w:rFonts w:hint="eastAsia" w:ascii="宋体" w:hAnsi="宋体" w:eastAsia="宋体" w:cs="宋体"/>
                <w:color w:val="auto"/>
                <w:spacing w:val="1"/>
                <w:highlight w:val="none"/>
              </w:rPr>
              <w:t>195</w:t>
            </w:r>
            <w:r>
              <w:rPr>
                <w:rFonts w:hint="eastAsia" w:ascii="宋体" w:hAnsi="宋体" w:eastAsia="宋体" w:cs="宋体"/>
                <w:color w:val="auto"/>
                <w:highlight w:val="none"/>
              </w:rPr>
              <w:t>7</w:t>
            </w:r>
            <w:r>
              <w:rPr>
                <w:rFonts w:hint="eastAsia" w:ascii="宋体" w:hAnsi="宋体" w:eastAsia="宋体" w:cs="宋体"/>
                <w:color w:val="auto"/>
                <w:spacing w:val="-3"/>
                <w:highlight w:val="none"/>
              </w:rPr>
              <w:t>6</w:t>
            </w:r>
            <w:r>
              <w:rPr>
                <w:rFonts w:hint="eastAsia" w:ascii="宋体" w:hAnsi="宋体" w:eastAsia="宋体" w:cs="宋体"/>
                <w:color w:val="auto"/>
                <w:spacing w:val="-104"/>
                <w:highlight w:val="none"/>
              </w:rPr>
              <w:t>）</w:t>
            </w:r>
            <w:r>
              <w:rPr>
                <w:rFonts w:hint="eastAsia" w:ascii="宋体" w:hAnsi="宋体" w:eastAsia="宋体" w:cs="宋体"/>
                <w:color w:val="auto"/>
                <w:spacing w:val="-6"/>
                <w:highlight w:val="none"/>
              </w:rPr>
              <w:t>《风</w:t>
            </w:r>
            <w:r>
              <w:rPr>
                <w:rFonts w:hint="eastAsia" w:ascii="宋体" w:hAnsi="宋体" w:eastAsia="宋体" w:cs="宋体"/>
                <w:color w:val="auto"/>
                <w:spacing w:val="9"/>
                <w:highlight w:val="none"/>
              </w:rPr>
              <w:t>管送风式空调机组能效限定值及</w:t>
            </w:r>
            <w:r>
              <w:rPr>
                <w:rFonts w:hint="eastAsia" w:ascii="宋体" w:hAnsi="宋体" w:eastAsia="宋体" w:cs="宋体"/>
                <w:color w:val="auto"/>
                <w:highlight w:val="none"/>
              </w:rPr>
              <w:t>能效等级》（GB37479）</w:t>
            </w:r>
          </w:p>
        </w:tc>
      </w:tr>
      <w:tr w14:paraId="0AE49F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10" w:type="dxa"/>
          <w:trHeight w:val="642" w:hRule="atLeast"/>
          <w:jc w:val="center"/>
        </w:trPr>
        <w:tc>
          <w:tcPr>
            <w:tcW w:w="554" w:type="dxa"/>
            <w:vMerge w:val="continue"/>
            <w:vAlign w:val="center"/>
          </w:tcPr>
          <w:p w14:paraId="17598D2C">
            <w:pPr>
              <w:autoSpaceDE w:val="0"/>
              <w:autoSpaceDN w:val="0"/>
              <w:jc w:val="center"/>
              <w:rPr>
                <w:rFonts w:hint="eastAsia" w:ascii="宋体" w:hAnsi="宋体" w:eastAsia="宋体" w:cs="宋体"/>
                <w:color w:val="auto"/>
                <w:highlight w:val="none"/>
              </w:rPr>
            </w:pPr>
          </w:p>
        </w:tc>
        <w:tc>
          <w:tcPr>
            <w:tcW w:w="1614" w:type="dxa"/>
            <w:vMerge w:val="continue"/>
            <w:vAlign w:val="center"/>
          </w:tcPr>
          <w:p w14:paraId="404E5A65">
            <w:pPr>
              <w:autoSpaceDE w:val="0"/>
              <w:autoSpaceDN w:val="0"/>
              <w:jc w:val="center"/>
              <w:rPr>
                <w:rFonts w:hint="eastAsia" w:ascii="宋体" w:hAnsi="宋体" w:eastAsia="宋体" w:cs="宋体"/>
                <w:color w:val="auto"/>
                <w:highlight w:val="none"/>
              </w:rPr>
            </w:pPr>
          </w:p>
        </w:tc>
        <w:tc>
          <w:tcPr>
            <w:tcW w:w="1350" w:type="dxa"/>
            <w:vAlign w:val="center"/>
          </w:tcPr>
          <w:p w14:paraId="5913CFC6">
            <w:pPr>
              <w:jc w:val="center"/>
              <w:rPr>
                <w:rFonts w:hint="eastAsia" w:ascii="宋体" w:hAnsi="宋体" w:eastAsia="宋体" w:cs="宋体"/>
                <w:color w:val="auto"/>
                <w:highlight w:val="none"/>
              </w:rPr>
            </w:pPr>
            <w:r>
              <w:rPr>
                <w:rFonts w:hint="eastAsia" w:ascii="宋体" w:hAnsi="宋体" w:eastAsia="宋体" w:cs="宋体"/>
                <w:color w:val="auto"/>
                <w:highlight w:val="none"/>
              </w:rPr>
              <w:t>A0206180301 洗衣机</w:t>
            </w:r>
          </w:p>
        </w:tc>
        <w:tc>
          <w:tcPr>
            <w:tcW w:w="1868" w:type="dxa"/>
            <w:vAlign w:val="center"/>
          </w:tcPr>
          <w:p w14:paraId="7E8613A6">
            <w:pPr>
              <w:jc w:val="center"/>
              <w:rPr>
                <w:rFonts w:hint="eastAsia" w:ascii="宋体" w:hAnsi="宋体" w:eastAsia="宋体" w:cs="宋体"/>
                <w:color w:val="auto"/>
                <w:highlight w:val="none"/>
              </w:rPr>
            </w:pPr>
          </w:p>
        </w:tc>
        <w:tc>
          <w:tcPr>
            <w:tcW w:w="3632" w:type="dxa"/>
            <w:vAlign w:val="center"/>
          </w:tcPr>
          <w:p w14:paraId="17C344F5">
            <w:pPr>
              <w:jc w:val="center"/>
              <w:rPr>
                <w:rFonts w:hint="eastAsia" w:ascii="宋体" w:hAnsi="宋体" w:eastAsia="宋体" w:cs="宋体"/>
                <w:color w:val="auto"/>
                <w:highlight w:val="none"/>
              </w:rPr>
            </w:pPr>
            <w:r>
              <w:rPr>
                <w:rFonts w:hint="eastAsia" w:ascii="宋体" w:hAnsi="宋体" w:eastAsia="宋体" w:cs="宋体"/>
                <w:color w:val="auto"/>
                <w:spacing w:val="9"/>
                <w:highlight w:val="none"/>
              </w:rPr>
              <w:t>《电动洗衣机能效水效限定值及</w:t>
            </w:r>
            <w:r>
              <w:rPr>
                <w:rFonts w:hint="eastAsia" w:ascii="宋体" w:hAnsi="宋体" w:eastAsia="宋体" w:cs="宋体"/>
                <w:color w:val="auto"/>
                <w:highlight w:val="none"/>
              </w:rPr>
              <w:t>等级》（GB 12021.4）</w:t>
            </w:r>
          </w:p>
        </w:tc>
      </w:tr>
      <w:tr w14:paraId="4F67A0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10" w:type="dxa"/>
          <w:trHeight w:val="731" w:hRule="atLeast"/>
          <w:jc w:val="center"/>
        </w:trPr>
        <w:tc>
          <w:tcPr>
            <w:tcW w:w="554" w:type="dxa"/>
            <w:vMerge w:val="continue"/>
            <w:vAlign w:val="center"/>
          </w:tcPr>
          <w:p w14:paraId="6CCA5FEA">
            <w:pPr>
              <w:jc w:val="center"/>
              <w:rPr>
                <w:rFonts w:hint="eastAsia" w:ascii="宋体" w:hAnsi="宋体" w:eastAsia="宋体" w:cs="宋体"/>
                <w:color w:val="auto"/>
                <w:highlight w:val="none"/>
              </w:rPr>
            </w:pPr>
          </w:p>
        </w:tc>
        <w:tc>
          <w:tcPr>
            <w:tcW w:w="1614" w:type="dxa"/>
            <w:vMerge w:val="continue"/>
            <w:vAlign w:val="center"/>
          </w:tcPr>
          <w:p w14:paraId="1D1BECA2">
            <w:pPr>
              <w:jc w:val="center"/>
              <w:rPr>
                <w:rFonts w:hint="eastAsia" w:ascii="宋体" w:hAnsi="宋体" w:eastAsia="宋体" w:cs="宋体"/>
                <w:color w:val="auto"/>
                <w:highlight w:val="none"/>
              </w:rPr>
            </w:pPr>
          </w:p>
        </w:tc>
        <w:tc>
          <w:tcPr>
            <w:tcW w:w="1350" w:type="dxa"/>
            <w:vMerge w:val="restart"/>
            <w:vAlign w:val="center"/>
          </w:tcPr>
          <w:p w14:paraId="73C44ECB">
            <w:pPr>
              <w:jc w:val="center"/>
              <w:rPr>
                <w:rFonts w:hint="eastAsia" w:ascii="宋体" w:hAnsi="宋体" w:eastAsia="宋体" w:cs="宋体"/>
                <w:color w:val="auto"/>
                <w:highlight w:val="none"/>
              </w:rPr>
            </w:pPr>
            <w:r>
              <w:rPr>
                <w:rFonts w:hint="eastAsia" w:ascii="宋体" w:hAnsi="宋体" w:eastAsia="宋体" w:cs="宋体"/>
                <w:color w:val="auto"/>
                <w:highlight w:val="none"/>
              </w:rPr>
              <w:t>A02061808</w:t>
            </w:r>
            <w:r>
              <w:rPr>
                <w:rFonts w:hint="eastAsia" w:ascii="宋体" w:hAnsi="宋体" w:eastAsia="宋体" w:cs="宋体"/>
                <w:color w:val="auto"/>
                <w:spacing w:val="-8"/>
                <w:highlight w:val="none"/>
              </w:rPr>
              <w:t xml:space="preserve"> 热水器</w:t>
            </w:r>
          </w:p>
        </w:tc>
        <w:tc>
          <w:tcPr>
            <w:tcW w:w="1868" w:type="dxa"/>
            <w:vAlign w:val="center"/>
          </w:tcPr>
          <w:p w14:paraId="3DE14BD2">
            <w:pPr>
              <w:jc w:val="center"/>
              <w:rPr>
                <w:rFonts w:hint="eastAsia" w:ascii="宋体" w:hAnsi="宋体" w:eastAsia="宋体" w:cs="宋体"/>
                <w:color w:val="auto"/>
                <w:highlight w:val="none"/>
              </w:rPr>
            </w:pPr>
            <w:r>
              <w:rPr>
                <w:rFonts w:hint="eastAsia" w:ascii="宋体" w:hAnsi="宋体" w:eastAsia="宋体" w:cs="宋体"/>
                <w:color w:val="auto"/>
                <w:highlight w:val="none"/>
              </w:rPr>
              <w:t>★电热水器</w:t>
            </w:r>
          </w:p>
        </w:tc>
        <w:tc>
          <w:tcPr>
            <w:tcW w:w="3632" w:type="dxa"/>
            <w:vAlign w:val="center"/>
          </w:tcPr>
          <w:p w14:paraId="2C7BC813">
            <w:pPr>
              <w:jc w:val="center"/>
              <w:rPr>
                <w:rFonts w:hint="eastAsia" w:ascii="宋体" w:hAnsi="宋体" w:eastAsia="宋体" w:cs="宋体"/>
                <w:color w:val="auto"/>
                <w:highlight w:val="none"/>
              </w:rPr>
            </w:pPr>
            <w:r>
              <w:rPr>
                <w:rFonts w:hint="eastAsia" w:ascii="宋体" w:hAnsi="宋体" w:eastAsia="宋体" w:cs="宋体"/>
                <w:color w:val="auto"/>
                <w:spacing w:val="9"/>
                <w:highlight w:val="none"/>
              </w:rPr>
              <w:t>《储水式电热水器能效限定值及</w:t>
            </w:r>
            <w:r>
              <w:rPr>
                <w:rFonts w:hint="eastAsia" w:ascii="宋体" w:hAnsi="宋体" w:eastAsia="宋体" w:cs="宋体"/>
                <w:color w:val="auto"/>
                <w:highlight w:val="none"/>
              </w:rPr>
              <w:t>能效等级》（GB21519）</w:t>
            </w:r>
          </w:p>
        </w:tc>
      </w:tr>
      <w:tr w14:paraId="2A1805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10" w:type="dxa"/>
          <w:trHeight w:val="947" w:hRule="atLeast"/>
          <w:jc w:val="center"/>
        </w:trPr>
        <w:tc>
          <w:tcPr>
            <w:tcW w:w="554" w:type="dxa"/>
            <w:vMerge w:val="continue"/>
            <w:vAlign w:val="center"/>
          </w:tcPr>
          <w:p w14:paraId="38E40BC6">
            <w:pPr>
              <w:autoSpaceDE w:val="0"/>
              <w:autoSpaceDN w:val="0"/>
              <w:jc w:val="center"/>
              <w:rPr>
                <w:rFonts w:hint="eastAsia" w:ascii="宋体" w:hAnsi="宋体" w:eastAsia="宋体" w:cs="宋体"/>
                <w:color w:val="auto"/>
                <w:highlight w:val="none"/>
              </w:rPr>
            </w:pPr>
          </w:p>
        </w:tc>
        <w:tc>
          <w:tcPr>
            <w:tcW w:w="1614" w:type="dxa"/>
            <w:vMerge w:val="continue"/>
            <w:vAlign w:val="center"/>
          </w:tcPr>
          <w:p w14:paraId="1612794C">
            <w:pPr>
              <w:autoSpaceDE w:val="0"/>
              <w:autoSpaceDN w:val="0"/>
              <w:jc w:val="center"/>
              <w:rPr>
                <w:rFonts w:hint="eastAsia" w:ascii="宋体" w:hAnsi="宋体" w:eastAsia="宋体" w:cs="宋体"/>
                <w:color w:val="auto"/>
                <w:highlight w:val="none"/>
              </w:rPr>
            </w:pPr>
          </w:p>
        </w:tc>
        <w:tc>
          <w:tcPr>
            <w:tcW w:w="1350" w:type="dxa"/>
            <w:vMerge w:val="continue"/>
            <w:vAlign w:val="center"/>
          </w:tcPr>
          <w:p w14:paraId="731864BF">
            <w:pPr>
              <w:autoSpaceDE w:val="0"/>
              <w:autoSpaceDN w:val="0"/>
              <w:jc w:val="center"/>
              <w:rPr>
                <w:rFonts w:hint="eastAsia" w:ascii="宋体" w:hAnsi="宋体" w:eastAsia="宋体" w:cs="宋体"/>
                <w:color w:val="auto"/>
                <w:highlight w:val="none"/>
              </w:rPr>
            </w:pPr>
          </w:p>
        </w:tc>
        <w:tc>
          <w:tcPr>
            <w:tcW w:w="1868" w:type="dxa"/>
            <w:vAlign w:val="center"/>
          </w:tcPr>
          <w:p w14:paraId="3FCB8BF1">
            <w:pPr>
              <w:jc w:val="center"/>
              <w:rPr>
                <w:rFonts w:hint="eastAsia" w:ascii="宋体" w:hAnsi="宋体" w:eastAsia="宋体" w:cs="宋体"/>
                <w:color w:val="auto"/>
                <w:highlight w:val="none"/>
              </w:rPr>
            </w:pPr>
            <w:r>
              <w:rPr>
                <w:rFonts w:hint="eastAsia" w:ascii="宋体" w:hAnsi="宋体" w:eastAsia="宋体" w:cs="宋体"/>
                <w:color w:val="auto"/>
                <w:highlight w:val="none"/>
              </w:rPr>
              <w:t>燃气热水器</w:t>
            </w:r>
          </w:p>
        </w:tc>
        <w:tc>
          <w:tcPr>
            <w:tcW w:w="3632" w:type="dxa"/>
            <w:vAlign w:val="center"/>
          </w:tcPr>
          <w:p w14:paraId="48FDFF37">
            <w:pPr>
              <w:jc w:val="center"/>
              <w:rPr>
                <w:rFonts w:hint="eastAsia" w:ascii="宋体" w:hAnsi="宋体" w:eastAsia="宋体" w:cs="宋体"/>
                <w:color w:val="auto"/>
                <w:highlight w:val="none"/>
              </w:rPr>
            </w:pPr>
            <w:r>
              <w:rPr>
                <w:rFonts w:hint="eastAsia" w:ascii="宋体" w:hAnsi="宋体" w:eastAsia="宋体" w:cs="宋体"/>
                <w:color w:val="auto"/>
                <w:spacing w:val="9"/>
                <w:highlight w:val="none"/>
              </w:rPr>
              <w:t>《家用燃气快速热水器和燃气采</w:t>
            </w:r>
            <w:r>
              <w:rPr>
                <w:rFonts w:hint="eastAsia" w:ascii="宋体" w:hAnsi="宋体" w:eastAsia="宋体" w:cs="宋体"/>
                <w:color w:val="auto"/>
                <w:spacing w:val="-1"/>
                <w:highlight w:val="none"/>
              </w:rPr>
              <w:t>暖热水炉能效限定值及能效等级》</w:t>
            </w:r>
            <w:r>
              <w:rPr>
                <w:rFonts w:hint="eastAsia" w:ascii="宋体" w:hAnsi="宋体" w:eastAsia="宋体" w:cs="宋体"/>
                <w:color w:val="auto"/>
                <w:highlight w:val="none"/>
              </w:rPr>
              <w:t>（GB20665）</w:t>
            </w:r>
          </w:p>
        </w:tc>
      </w:tr>
      <w:tr w14:paraId="08C955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10" w:type="dxa"/>
          <w:trHeight w:val="813" w:hRule="atLeast"/>
          <w:jc w:val="center"/>
        </w:trPr>
        <w:tc>
          <w:tcPr>
            <w:tcW w:w="554" w:type="dxa"/>
            <w:vMerge w:val="continue"/>
            <w:vAlign w:val="center"/>
          </w:tcPr>
          <w:p w14:paraId="434B443A">
            <w:pPr>
              <w:autoSpaceDE w:val="0"/>
              <w:autoSpaceDN w:val="0"/>
              <w:jc w:val="center"/>
              <w:rPr>
                <w:rFonts w:hint="eastAsia" w:ascii="宋体" w:hAnsi="宋体" w:eastAsia="宋体" w:cs="宋体"/>
                <w:color w:val="auto"/>
                <w:highlight w:val="none"/>
              </w:rPr>
            </w:pPr>
          </w:p>
        </w:tc>
        <w:tc>
          <w:tcPr>
            <w:tcW w:w="1614" w:type="dxa"/>
            <w:vMerge w:val="continue"/>
            <w:vAlign w:val="center"/>
          </w:tcPr>
          <w:p w14:paraId="07D7492A">
            <w:pPr>
              <w:autoSpaceDE w:val="0"/>
              <w:autoSpaceDN w:val="0"/>
              <w:jc w:val="center"/>
              <w:rPr>
                <w:rFonts w:hint="eastAsia" w:ascii="宋体" w:hAnsi="宋体" w:eastAsia="宋体" w:cs="宋体"/>
                <w:color w:val="auto"/>
                <w:highlight w:val="none"/>
              </w:rPr>
            </w:pPr>
          </w:p>
        </w:tc>
        <w:tc>
          <w:tcPr>
            <w:tcW w:w="1350" w:type="dxa"/>
            <w:vMerge w:val="continue"/>
            <w:vAlign w:val="center"/>
          </w:tcPr>
          <w:p w14:paraId="1FAC7AC0">
            <w:pPr>
              <w:autoSpaceDE w:val="0"/>
              <w:autoSpaceDN w:val="0"/>
              <w:jc w:val="center"/>
              <w:rPr>
                <w:rFonts w:hint="eastAsia" w:ascii="宋体" w:hAnsi="宋体" w:eastAsia="宋体" w:cs="宋体"/>
                <w:color w:val="auto"/>
                <w:highlight w:val="none"/>
              </w:rPr>
            </w:pPr>
          </w:p>
        </w:tc>
        <w:tc>
          <w:tcPr>
            <w:tcW w:w="1868" w:type="dxa"/>
            <w:vAlign w:val="center"/>
          </w:tcPr>
          <w:p w14:paraId="58A74830">
            <w:pPr>
              <w:jc w:val="center"/>
              <w:rPr>
                <w:rFonts w:hint="eastAsia" w:ascii="宋体" w:hAnsi="宋体" w:eastAsia="宋体" w:cs="宋体"/>
                <w:color w:val="auto"/>
                <w:highlight w:val="none"/>
              </w:rPr>
            </w:pPr>
            <w:r>
              <w:rPr>
                <w:rFonts w:hint="eastAsia" w:ascii="宋体" w:hAnsi="宋体" w:eastAsia="宋体" w:cs="宋体"/>
                <w:color w:val="auto"/>
                <w:highlight w:val="none"/>
              </w:rPr>
              <w:t>热泵热水器</w:t>
            </w:r>
          </w:p>
        </w:tc>
        <w:tc>
          <w:tcPr>
            <w:tcW w:w="3632" w:type="dxa"/>
            <w:vAlign w:val="center"/>
          </w:tcPr>
          <w:p w14:paraId="416053C1">
            <w:pPr>
              <w:jc w:val="center"/>
              <w:rPr>
                <w:rFonts w:hint="eastAsia" w:ascii="宋体" w:hAnsi="宋体" w:eastAsia="宋体" w:cs="宋体"/>
                <w:color w:val="auto"/>
                <w:highlight w:val="none"/>
              </w:rPr>
            </w:pPr>
            <w:r>
              <w:rPr>
                <w:rFonts w:hint="eastAsia" w:ascii="宋体" w:hAnsi="宋体" w:eastAsia="宋体" w:cs="宋体"/>
                <w:color w:val="auto"/>
                <w:spacing w:val="-5"/>
                <w:highlight w:val="none"/>
              </w:rPr>
              <w:t>《热泵热水机</w:t>
            </w:r>
            <w:r>
              <w:rPr>
                <w:rFonts w:hint="eastAsia" w:ascii="宋体" w:hAnsi="宋体" w:eastAsia="宋体" w:cs="宋体"/>
                <w:color w:val="auto"/>
                <w:spacing w:val="-4"/>
                <w:highlight w:val="none"/>
              </w:rPr>
              <w:t>（器）能效限定值及</w:t>
            </w:r>
            <w:r>
              <w:rPr>
                <w:rFonts w:hint="eastAsia" w:ascii="宋体" w:hAnsi="宋体" w:eastAsia="宋体" w:cs="宋体"/>
                <w:color w:val="auto"/>
                <w:highlight w:val="none"/>
              </w:rPr>
              <w:t>能效等级》（GB29541）</w:t>
            </w:r>
          </w:p>
        </w:tc>
      </w:tr>
      <w:tr w14:paraId="0C0495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10" w:type="dxa"/>
          <w:trHeight w:val="731" w:hRule="atLeast"/>
          <w:jc w:val="center"/>
        </w:trPr>
        <w:tc>
          <w:tcPr>
            <w:tcW w:w="554" w:type="dxa"/>
            <w:vMerge w:val="continue"/>
            <w:vAlign w:val="center"/>
          </w:tcPr>
          <w:p w14:paraId="675F9763">
            <w:pPr>
              <w:autoSpaceDE w:val="0"/>
              <w:autoSpaceDN w:val="0"/>
              <w:jc w:val="center"/>
              <w:rPr>
                <w:rFonts w:hint="eastAsia" w:ascii="宋体" w:hAnsi="宋体" w:eastAsia="宋体" w:cs="宋体"/>
                <w:color w:val="auto"/>
                <w:highlight w:val="none"/>
              </w:rPr>
            </w:pPr>
          </w:p>
        </w:tc>
        <w:tc>
          <w:tcPr>
            <w:tcW w:w="1614" w:type="dxa"/>
            <w:vMerge w:val="continue"/>
            <w:vAlign w:val="center"/>
          </w:tcPr>
          <w:p w14:paraId="7F20545A">
            <w:pPr>
              <w:autoSpaceDE w:val="0"/>
              <w:autoSpaceDN w:val="0"/>
              <w:jc w:val="center"/>
              <w:rPr>
                <w:rFonts w:hint="eastAsia" w:ascii="宋体" w:hAnsi="宋体" w:eastAsia="宋体" w:cs="宋体"/>
                <w:color w:val="auto"/>
                <w:highlight w:val="none"/>
              </w:rPr>
            </w:pPr>
          </w:p>
        </w:tc>
        <w:tc>
          <w:tcPr>
            <w:tcW w:w="1350" w:type="dxa"/>
            <w:vMerge w:val="continue"/>
            <w:vAlign w:val="center"/>
          </w:tcPr>
          <w:p w14:paraId="6EC31465">
            <w:pPr>
              <w:autoSpaceDE w:val="0"/>
              <w:autoSpaceDN w:val="0"/>
              <w:jc w:val="center"/>
              <w:rPr>
                <w:rFonts w:hint="eastAsia" w:ascii="宋体" w:hAnsi="宋体" w:eastAsia="宋体" w:cs="宋体"/>
                <w:color w:val="auto"/>
                <w:highlight w:val="none"/>
              </w:rPr>
            </w:pPr>
          </w:p>
        </w:tc>
        <w:tc>
          <w:tcPr>
            <w:tcW w:w="1868" w:type="dxa"/>
            <w:vAlign w:val="center"/>
          </w:tcPr>
          <w:p w14:paraId="64A25E2F">
            <w:pPr>
              <w:jc w:val="center"/>
              <w:rPr>
                <w:rFonts w:hint="eastAsia" w:ascii="宋体" w:hAnsi="宋体" w:eastAsia="宋体" w:cs="宋体"/>
                <w:color w:val="auto"/>
                <w:highlight w:val="none"/>
              </w:rPr>
            </w:pPr>
            <w:r>
              <w:rPr>
                <w:rFonts w:hint="eastAsia" w:ascii="宋体" w:hAnsi="宋体" w:eastAsia="宋体" w:cs="宋体"/>
                <w:color w:val="auto"/>
                <w:highlight w:val="none"/>
              </w:rPr>
              <w:t>太阳能热水系统</w:t>
            </w:r>
          </w:p>
        </w:tc>
        <w:tc>
          <w:tcPr>
            <w:tcW w:w="3632" w:type="dxa"/>
            <w:vAlign w:val="center"/>
          </w:tcPr>
          <w:p w14:paraId="28A194DB">
            <w:pPr>
              <w:jc w:val="center"/>
              <w:rPr>
                <w:rFonts w:hint="eastAsia" w:ascii="宋体" w:hAnsi="宋体" w:eastAsia="宋体" w:cs="宋体"/>
                <w:color w:val="auto"/>
                <w:highlight w:val="none"/>
              </w:rPr>
            </w:pPr>
            <w:r>
              <w:rPr>
                <w:rFonts w:hint="eastAsia" w:ascii="宋体" w:hAnsi="宋体" w:eastAsia="宋体" w:cs="宋体"/>
                <w:color w:val="auto"/>
                <w:spacing w:val="9"/>
                <w:highlight w:val="none"/>
              </w:rPr>
              <w:t>《家用太阳能热水系统能效限定</w:t>
            </w:r>
            <w:r>
              <w:rPr>
                <w:rFonts w:hint="eastAsia" w:ascii="宋体" w:hAnsi="宋体" w:eastAsia="宋体" w:cs="宋体"/>
                <w:color w:val="auto"/>
                <w:highlight w:val="none"/>
              </w:rPr>
              <w:t>值及能效等级》（GB 26969）</w:t>
            </w:r>
          </w:p>
        </w:tc>
      </w:tr>
      <w:tr w14:paraId="227601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10" w:type="dxa"/>
          <w:trHeight w:val="892" w:hRule="atLeast"/>
          <w:jc w:val="center"/>
        </w:trPr>
        <w:tc>
          <w:tcPr>
            <w:tcW w:w="554" w:type="dxa"/>
            <w:vMerge w:val="restart"/>
            <w:vAlign w:val="center"/>
          </w:tcPr>
          <w:p w14:paraId="06B82596">
            <w:pPr>
              <w:jc w:val="center"/>
              <w:rPr>
                <w:rFonts w:hint="eastAsia" w:ascii="宋体" w:hAnsi="宋体" w:eastAsia="宋体" w:cs="宋体"/>
                <w:color w:val="auto"/>
                <w:highlight w:val="none"/>
              </w:rPr>
            </w:pPr>
            <w:r>
              <w:rPr>
                <w:rFonts w:hint="eastAsia" w:ascii="宋体" w:hAnsi="宋体" w:eastAsia="宋体" w:cs="宋体"/>
                <w:color w:val="auto"/>
                <w:highlight w:val="none"/>
              </w:rPr>
              <w:t>11</w:t>
            </w:r>
          </w:p>
        </w:tc>
        <w:tc>
          <w:tcPr>
            <w:tcW w:w="1614" w:type="dxa"/>
            <w:vMerge w:val="restart"/>
            <w:vAlign w:val="center"/>
          </w:tcPr>
          <w:p w14:paraId="1E39FBA8">
            <w:pPr>
              <w:jc w:val="center"/>
              <w:rPr>
                <w:rFonts w:hint="eastAsia" w:ascii="宋体" w:hAnsi="宋体" w:eastAsia="宋体" w:cs="宋体"/>
                <w:color w:val="auto"/>
                <w:highlight w:val="none"/>
              </w:rPr>
            </w:pPr>
            <w:r>
              <w:rPr>
                <w:rFonts w:hint="eastAsia" w:ascii="宋体" w:hAnsi="宋体" w:eastAsia="宋体" w:cs="宋体"/>
                <w:color w:val="auto"/>
                <w:spacing w:val="-2"/>
                <w:highlight w:val="none"/>
              </w:rPr>
              <w:t>A020619</w:t>
            </w:r>
            <w:r>
              <w:rPr>
                <w:rFonts w:hint="eastAsia" w:ascii="宋体" w:hAnsi="宋体" w:eastAsia="宋体" w:cs="宋体"/>
                <w:color w:val="auto"/>
                <w:spacing w:val="-20"/>
                <w:highlight w:val="none"/>
              </w:rPr>
              <w:t xml:space="preserve"> 照明</w:t>
            </w:r>
            <w:r>
              <w:rPr>
                <w:rFonts w:hint="eastAsia" w:ascii="宋体" w:hAnsi="宋体" w:eastAsia="宋体" w:cs="宋体"/>
                <w:color w:val="auto"/>
                <w:highlight w:val="none"/>
              </w:rPr>
              <w:t>设备</w:t>
            </w:r>
          </w:p>
        </w:tc>
        <w:tc>
          <w:tcPr>
            <w:tcW w:w="1350" w:type="dxa"/>
            <w:vAlign w:val="center"/>
          </w:tcPr>
          <w:p w14:paraId="1704B68F">
            <w:pPr>
              <w:jc w:val="center"/>
              <w:rPr>
                <w:rFonts w:hint="eastAsia" w:ascii="宋体" w:hAnsi="宋体" w:eastAsia="宋体" w:cs="宋体"/>
                <w:color w:val="auto"/>
                <w:highlight w:val="none"/>
              </w:rPr>
            </w:pPr>
            <w:r>
              <w:rPr>
                <w:rFonts w:hint="eastAsia" w:ascii="宋体" w:hAnsi="宋体" w:eastAsia="宋体" w:cs="宋体"/>
                <w:color w:val="auto"/>
                <w:spacing w:val="11"/>
                <w:highlight w:val="none"/>
              </w:rPr>
              <w:t>★ 普通照明用双端</w:t>
            </w:r>
            <w:r>
              <w:rPr>
                <w:rFonts w:hint="eastAsia" w:ascii="宋体" w:hAnsi="宋体" w:eastAsia="宋体" w:cs="宋体"/>
                <w:color w:val="auto"/>
                <w:highlight w:val="none"/>
              </w:rPr>
              <w:t>荧光灯</w:t>
            </w:r>
          </w:p>
        </w:tc>
        <w:tc>
          <w:tcPr>
            <w:tcW w:w="1868" w:type="dxa"/>
            <w:vAlign w:val="center"/>
          </w:tcPr>
          <w:p w14:paraId="6B10152B">
            <w:pPr>
              <w:jc w:val="center"/>
              <w:rPr>
                <w:rFonts w:hint="eastAsia" w:ascii="宋体" w:hAnsi="宋体" w:eastAsia="宋体" w:cs="宋体"/>
                <w:color w:val="auto"/>
                <w:highlight w:val="none"/>
              </w:rPr>
            </w:pPr>
          </w:p>
        </w:tc>
        <w:tc>
          <w:tcPr>
            <w:tcW w:w="3632" w:type="dxa"/>
            <w:vAlign w:val="center"/>
          </w:tcPr>
          <w:p w14:paraId="70A36461">
            <w:pPr>
              <w:jc w:val="center"/>
              <w:rPr>
                <w:rFonts w:hint="eastAsia" w:ascii="宋体" w:hAnsi="宋体" w:eastAsia="宋体" w:cs="宋体"/>
                <w:color w:val="auto"/>
                <w:highlight w:val="none"/>
              </w:rPr>
            </w:pPr>
            <w:r>
              <w:rPr>
                <w:rFonts w:hint="eastAsia" w:ascii="宋体" w:hAnsi="宋体" w:eastAsia="宋体" w:cs="宋体"/>
                <w:color w:val="auto"/>
                <w:spacing w:val="9"/>
                <w:highlight w:val="none"/>
              </w:rPr>
              <w:t>《普通照明用双端荧光灯能效限</w:t>
            </w:r>
            <w:r>
              <w:rPr>
                <w:rFonts w:hint="eastAsia" w:ascii="宋体" w:hAnsi="宋体" w:eastAsia="宋体" w:cs="宋体"/>
                <w:color w:val="auto"/>
                <w:highlight w:val="none"/>
              </w:rPr>
              <w:t>定值及能效等级》（GB 19043）</w:t>
            </w:r>
          </w:p>
        </w:tc>
      </w:tr>
      <w:tr w14:paraId="02FC29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10" w:type="dxa"/>
          <w:trHeight w:val="810" w:hRule="atLeast"/>
          <w:jc w:val="center"/>
        </w:trPr>
        <w:tc>
          <w:tcPr>
            <w:tcW w:w="554" w:type="dxa"/>
            <w:vMerge w:val="continue"/>
            <w:vAlign w:val="center"/>
          </w:tcPr>
          <w:p w14:paraId="0A6A35BC">
            <w:pPr>
              <w:autoSpaceDE w:val="0"/>
              <w:autoSpaceDN w:val="0"/>
              <w:jc w:val="center"/>
              <w:rPr>
                <w:rFonts w:hint="eastAsia" w:ascii="宋体" w:hAnsi="宋体" w:eastAsia="宋体" w:cs="宋体"/>
                <w:color w:val="auto"/>
                <w:highlight w:val="none"/>
              </w:rPr>
            </w:pPr>
          </w:p>
        </w:tc>
        <w:tc>
          <w:tcPr>
            <w:tcW w:w="1614" w:type="dxa"/>
            <w:vMerge w:val="continue"/>
            <w:vAlign w:val="center"/>
          </w:tcPr>
          <w:p w14:paraId="4825D569">
            <w:pPr>
              <w:autoSpaceDE w:val="0"/>
              <w:autoSpaceDN w:val="0"/>
              <w:jc w:val="center"/>
              <w:rPr>
                <w:rFonts w:hint="eastAsia" w:ascii="宋体" w:hAnsi="宋体" w:eastAsia="宋体" w:cs="宋体"/>
                <w:color w:val="auto"/>
                <w:highlight w:val="none"/>
              </w:rPr>
            </w:pPr>
          </w:p>
        </w:tc>
        <w:tc>
          <w:tcPr>
            <w:tcW w:w="1350" w:type="dxa"/>
            <w:vAlign w:val="center"/>
          </w:tcPr>
          <w:p w14:paraId="0E483D4E">
            <w:pPr>
              <w:jc w:val="center"/>
              <w:rPr>
                <w:rFonts w:hint="eastAsia" w:ascii="宋体" w:hAnsi="宋体" w:eastAsia="宋体" w:cs="宋体"/>
                <w:color w:val="auto"/>
                <w:highlight w:val="none"/>
              </w:rPr>
            </w:pPr>
            <w:r>
              <w:rPr>
                <w:rFonts w:hint="eastAsia" w:ascii="宋体" w:hAnsi="宋体" w:eastAsia="宋体" w:cs="宋体"/>
                <w:color w:val="auto"/>
                <w:highlight w:val="none"/>
              </w:rPr>
              <w:t>LED</w:t>
            </w:r>
            <w:r>
              <w:rPr>
                <w:rFonts w:hint="eastAsia" w:ascii="宋体" w:hAnsi="宋体" w:eastAsia="宋体" w:cs="宋体"/>
                <w:color w:val="auto"/>
                <w:spacing w:val="3"/>
                <w:highlight w:val="none"/>
              </w:rPr>
              <w:t xml:space="preserve"> 道路</w:t>
            </w:r>
            <w:r>
              <w:rPr>
                <w:rFonts w:hint="eastAsia" w:ascii="宋体" w:hAnsi="宋体" w:eastAsia="宋体" w:cs="宋体"/>
                <w:color w:val="auto"/>
                <w:spacing w:val="13"/>
                <w:highlight w:val="none"/>
              </w:rPr>
              <w:t>/</w:t>
            </w:r>
            <w:r>
              <w:rPr>
                <w:rFonts w:hint="eastAsia" w:ascii="宋体" w:hAnsi="宋体" w:eastAsia="宋体" w:cs="宋体"/>
                <w:color w:val="auto"/>
                <w:spacing w:val="9"/>
                <w:highlight w:val="none"/>
              </w:rPr>
              <w:t>隧道照明</w:t>
            </w:r>
            <w:r>
              <w:rPr>
                <w:rFonts w:hint="eastAsia" w:ascii="宋体" w:hAnsi="宋体" w:eastAsia="宋体" w:cs="宋体"/>
                <w:color w:val="auto"/>
                <w:highlight w:val="none"/>
              </w:rPr>
              <w:t>产品</w:t>
            </w:r>
          </w:p>
        </w:tc>
        <w:tc>
          <w:tcPr>
            <w:tcW w:w="1868" w:type="dxa"/>
            <w:vAlign w:val="center"/>
          </w:tcPr>
          <w:p w14:paraId="5E223759">
            <w:pPr>
              <w:jc w:val="center"/>
              <w:rPr>
                <w:rFonts w:hint="eastAsia" w:ascii="宋体" w:hAnsi="宋体" w:eastAsia="宋体" w:cs="宋体"/>
                <w:color w:val="auto"/>
                <w:highlight w:val="none"/>
              </w:rPr>
            </w:pPr>
          </w:p>
        </w:tc>
        <w:tc>
          <w:tcPr>
            <w:tcW w:w="3632" w:type="dxa"/>
            <w:vAlign w:val="center"/>
          </w:tcPr>
          <w:p w14:paraId="6813824D">
            <w:pPr>
              <w:jc w:val="center"/>
              <w:rPr>
                <w:rFonts w:hint="eastAsia" w:ascii="宋体" w:hAnsi="宋体" w:eastAsia="宋体" w:cs="宋体"/>
                <w:color w:val="auto"/>
                <w:highlight w:val="none"/>
              </w:rPr>
            </w:pPr>
            <w:r>
              <w:rPr>
                <w:rFonts w:hint="eastAsia" w:ascii="宋体" w:hAnsi="宋体" w:eastAsia="宋体" w:cs="宋体"/>
                <w:color w:val="auto"/>
                <w:spacing w:val="1"/>
                <w:highlight w:val="none"/>
              </w:rPr>
              <w:t xml:space="preserve">《道路和隧道照明用 </w:t>
            </w:r>
            <w:r>
              <w:rPr>
                <w:rFonts w:hint="eastAsia" w:ascii="宋体" w:hAnsi="宋体" w:eastAsia="宋体" w:cs="宋体"/>
                <w:color w:val="auto"/>
                <w:highlight w:val="none"/>
              </w:rPr>
              <w:t>LED</w:t>
            </w:r>
            <w:r>
              <w:rPr>
                <w:rFonts w:hint="eastAsia" w:ascii="宋体" w:hAnsi="宋体" w:eastAsia="宋体" w:cs="宋体"/>
                <w:color w:val="auto"/>
                <w:spacing w:val="3"/>
                <w:highlight w:val="none"/>
              </w:rPr>
              <w:t xml:space="preserve"> 灯具能</w:t>
            </w:r>
            <w:r>
              <w:rPr>
                <w:rFonts w:hint="eastAsia" w:ascii="宋体" w:hAnsi="宋体" w:eastAsia="宋体" w:cs="宋体"/>
                <w:color w:val="auto"/>
                <w:spacing w:val="-11"/>
                <w:highlight w:val="none"/>
              </w:rPr>
              <w:t>效限定值及能效等级》</w:t>
            </w:r>
            <w:r>
              <w:rPr>
                <w:rFonts w:hint="eastAsia" w:ascii="宋体" w:hAnsi="宋体" w:eastAsia="宋体" w:cs="宋体"/>
                <w:color w:val="auto"/>
                <w:highlight w:val="none"/>
              </w:rPr>
              <w:t>（GB37478）</w:t>
            </w:r>
          </w:p>
        </w:tc>
      </w:tr>
      <w:tr w14:paraId="3EE50E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10" w:type="dxa"/>
          <w:trHeight w:val="793" w:hRule="atLeast"/>
          <w:jc w:val="center"/>
        </w:trPr>
        <w:tc>
          <w:tcPr>
            <w:tcW w:w="554" w:type="dxa"/>
            <w:vMerge w:val="continue"/>
            <w:vAlign w:val="center"/>
          </w:tcPr>
          <w:p w14:paraId="0845024A">
            <w:pPr>
              <w:autoSpaceDE w:val="0"/>
              <w:autoSpaceDN w:val="0"/>
              <w:jc w:val="center"/>
              <w:rPr>
                <w:rFonts w:hint="eastAsia" w:ascii="宋体" w:hAnsi="宋体" w:eastAsia="宋体" w:cs="宋体"/>
                <w:color w:val="auto"/>
                <w:highlight w:val="none"/>
              </w:rPr>
            </w:pPr>
          </w:p>
        </w:tc>
        <w:tc>
          <w:tcPr>
            <w:tcW w:w="1614" w:type="dxa"/>
            <w:vMerge w:val="continue"/>
            <w:vAlign w:val="center"/>
          </w:tcPr>
          <w:p w14:paraId="2765B2C5">
            <w:pPr>
              <w:autoSpaceDE w:val="0"/>
              <w:autoSpaceDN w:val="0"/>
              <w:jc w:val="center"/>
              <w:rPr>
                <w:rFonts w:hint="eastAsia" w:ascii="宋体" w:hAnsi="宋体" w:eastAsia="宋体" w:cs="宋体"/>
                <w:color w:val="auto"/>
                <w:highlight w:val="none"/>
              </w:rPr>
            </w:pPr>
          </w:p>
        </w:tc>
        <w:tc>
          <w:tcPr>
            <w:tcW w:w="1350" w:type="dxa"/>
            <w:vAlign w:val="center"/>
          </w:tcPr>
          <w:p w14:paraId="62CA1D4F">
            <w:pPr>
              <w:jc w:val="center"/>
              <w:rPr>
                <w:rFonts w:hint="eastAsia" w:ascii="宋体" w:hAnsi="宋体" w:eastAsia="宋体" w:cs="宋体"/>
                <w:color w:val="auto"/>
                <w:highlight w:val="none"/>
              </w:rPr>
            </w:pPr>
            <w:r>
              <w:rPr>
                <w:rFonts w:hint="eastAsia" w:ascii="宋体" w:hAnsi="宋体" w:eastAsia="宋体" w:cs="宋体"/>
                <w:color w:val="auto"/>
                <w:highlight w:val="none"/>
              </w:rPr>
              <w:t>LED</w:t>
            </w:r>
            <w:r>
              <w:rPr>
                <w:rFonts w:hint="eastAsia" w:ascii="宋体" w:hAnsi="宋体" w:eastAsia="宋体" w:cs="宋体"/>
                <w:color w:val="auto"/>
                <w:spacing w:val="-13"/>
                <w:highlight w:val="none"/>
              </w:rPr>
              <w:t xml:space="preserve"> 筒灯</w:t>
            </w:r>
          </w:p>
        </w:tc>
        <w:tc>
          <w:tcPr>
            <w:tcW w:w="1868" w:type="dxa"/>
            <w:vAlign w:val="center"/>
          </w:tcPr>
          <w:p w14:paraId="4D447B47">
            <w:pPr>
              <w:jc w:val="center"/>
              <w:rPr>
                <w:rFonts w:hint="eastAsia" w:ascii="宋体" w:hAnsi="宋体" w:eastAsia="宋体" w:cs="宋体"/>
                <w:color w:val="auto"/>
                <w:highlight w:val="none"/>
              </w:rPr>
            </w:pPr>
          </w:p>
        </w:tc>
        <w:tc>
          <w:tcPr>
            <w:tcW w:w="3632" w:type="dxa"/>
            <w:vAlign w:val="center"/>
          </w:tcPr>
          <w:p w14:paraId="343AE7B1">
            <w:pPr>
              <w:jc w:val="center"/>
              <w:rPr>
                <w:rFonts w:hint="eastAsia" w:ascii="宋体" w:hAnsi="宋体" w:eastAsia="宋体" w:cs="宋体"/>
                <w:color w:val="auto"/>
                <w:highlight w:val="none"/>
              </w:rPr>
            </w:pPr>
            <w:r>
              <w:rPr>
                <w:rFonts w:hint="eastAsia" w:ascii="宋体" w:hAnsi="宋体" w:eastAsia="宋体" w:cs="宋体"/>
                <w:color w:val="auto"/>
                <w:spacing w:val="1"/>
                <w:highlight w:val="none"/>
              </w:rPr>
              <w:t xml:space="preserve">《室内照明用 </w:t>
            </w:r>
            <w:r>
              <w:rPr>
                <w:rFonts w:hint="eastAsia" w:ascii="宋体" w:hAnsi="宋体" w:eastAsia="宋体" w:cs="宋体"/>
                <w:color w:val="auto"/>
                <w:highlight w:val="none"/>
              </w:rPr>
              <w:t>LED 产品能效限定值及能效等级》（GB 30255）</w:t>
            </w:r>
          </w:p>
        </w:tc>
      </w:tr>
      <w:tr w14:paraId="00C5EB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10" w:type="dxa"/>
          <w:trHeight w:val="1031" w:hRule="atLeast"/>
          <w:jc w:val="center"/>
        </w:trPr>
        <w:tc>
          <w:tcPr>
            <w:tcW w:w="554" w:type="dxa"/>
            <w:vMerge w:val="continue"/>
            <w:vAlign w:val="center"/>
          </w:tcPr>
          <w:p w14:paraId="5BB9B2AE">
            <w:pPr>
              <w:autoSpaceDE w:val="0"/>
              <w:autoSpaceDN w:val="0"/>
              <w:jc w:val="center"/>
              <w:rPr>
                <w:rFonts w:hint="eastAsia" w:ascii="宋体" w:hAnsi="宋体" w:eastAsia="宋体" w:cs="宋体"/>
                <w:color w:val="auto"/>
                <w:highlight w:val="none"/>
              </w:rPr>
            </w:pPr>
          </w:p>
        </w:tc>
        <w:tc>
          <w:tcPr>
            <w:tcW w:w="1614" w:type="dxa"/>
            <w:vMerge w:val="continue"/>
            <w:vAlign w:val="center"/>
          </w:tcPr>
          <w:p w14:paraId="58D7E916">
            <w:pPr>
              <w:autoSpaceDE w:val="0"/>
              <w:autoSpaceDN w:val="0"/>
              <w:jc w:val="center"/>
              <w:rPr>
                <w:rFonts w:hint="eastAsia" w:ascii="宋体" w:hAnsi="宋体" w:eastAsia="宋体" w:cs="宋体"/>
                <w:color w:val="auto"/>
                <w:highlight w:val="none"/>
              </w:rPr>
            </w:pPr>
          </w:p>
        </w:tc>
        <w:tc>
          <w:tcPr>
            <w:tcW w:w="1350" w:type="dxa"/>
            <w:vAlign w:val="center"/>
          </w:tcPr>
          <w:p w14:paraId="1CCA6A1C">
            <w:pPr>
              <w:jc w:val="center"/>
              <w:rPr>
                <w:rFonts w:hint="eastAsia" w:ascii="宋体" w:hAnsi="宋体" w:eastAsia="宋体" w:cs="宋体"/>
                <w:color w:val="auto"/>
                <w:highlight w:val="none"/>
              </w:rPr>
            </w:pPr>
            <w:r>
              <w:rPr>
                <w:rFonts w:hint="eastAsia" w:ascii="宋体" w:hAnsi="宋体" w:eastAsia="宋体" w:cs="宋体"/>
                <w:color w:val="auto"/>
                <w:spacing w:val="21"/>
                <w:highlight w:val="none"/>
              </w:rPr>
              <w:t>普通照明用非定向</w:t>
            </w:r>
            <w:r>
              <w:rPr>
                <w:rFonts w:hint="eastAsia" w:ascii="宋体" w:hAnsi="宋体" w:eastAsia="宋体" w:cs="宋体"/>
                <w:color w:val="auto"/>
                <w:spacing w:val="-11"/>
                <w:highlight w:val="none"/>
              </w:rPr>
              <w:t xml:space="preserve">自镇流 </w:t>
            </w:r>
            <w:r>
              <w:rPr>
                <w:rFonts w:hint="eastAsia" w:ascii="宋体" w:hAnsi="宋体" w:eastAsia="宋体" w:cs="宋体"/>
                <w:color w:val="auto"/>
                <w:highlight w:val="none"/>
              </w:rPr>
              <w:t>LED</w:t>
            </w:r>
            <w:r>
              <w:rPr>
                <w:rFonts w:hint="eastAsia" w:ascii="宋体" w:hAnsi="宋体" w:eastAsia="宋体" w:cs="宋体"/>
                <w:color w:val="auto"/>
                <w:spacing w:val="-20"/>
                <w:highlight w:val="none"/>
              </w:rPr>
              <w:t xml:space="preserve"> 灯</w:t>
            </w:r>
          </w:p>
        </w:tc>
        <w:tc>
          <w:tcPr>
            <w:tcW w:w="1868" w:type="dxa"/>
            <w:vAlign w:val="center"/>
          </w:tcPr>
          <w:p w14:paraId="2DAAA05A">
            <w:pPr>
              <w:jc w:val="center"/>
              <w:rPr>
                <w:rFonts w:hint="eastAsia" w:ascii="宋体" w:hAnsi="宋体" w:eastAsia="宋体" w:cs="宋体"/>
                <w:color w:val="auto"/>
                <w:highlight w:val="none"/>
              </w:rPr>
            </w:pPr>
          </w:p>
        </w:tc>
        <w:tc>
          <w:tcPr>
            <w:tcW w:w="3632" w:type="dxa"/>
            <w:vAlign w:val="center"/>
          </w:tcPr>
          <w:p w14:paraId="661FAC70">
            <w:pPr>
              <w:jc w:val="center"/>
              <w:rPr>
                <w:rFonts w:hint="eastAsia" w:ascii="宋体" w:hAnsi="宋体" w:eastAsia="宋体" w:cs="宋体"/>
                <w:color w:val="auto"/>
                <w:highlight w:val="none"/>
              </w:rPr>
            </w:pPr>
            <w:r>
              <w:rPr>
                <w:rFonts w:hint="eastAsia" w:ascii="宋体" w:hAnsi="宋体" w:eastAsia="宋体" w:cs="宋体"/>
                <w:color w:val="auto"/>
                <w:spacing w:val="1"/>
                <w:highlight w:val="none"/>
              </w:rPr>
              <w:t xml:space="preserve">《室内照明用 </w:t>
            </w:r>
            <w:r>
              <w:rPr>
                <w:rFonts w:hint="eastAsia" w:ascii="宋体" w:hAnsi="宋体" w:eastAsia="宋体" w:cs="宋体"/>
                <w:color w:val="auto"/>
                <w:highlight w:val="none"/>
              </w:rPr>
              <w:t>LED 产品能效限定值及能效等级》（GB 30255）</w:t>
            </w:r>
          </w:p>
        </w:tc>
      </w:tr>
      <w:tr w14:paraId="1D16BD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10" w:type="dxa"/>
          <w:trHeight w:val="791" w:hRule="atLeast"/>
          <w:jc w:val="center"/>
        </w:trPr>
        <w:tc>
          <w:tcPr>
            <w:tcW w:w="554" w:type="dxa"/>
            <w:vAlign w:val="center"/>
          </w:tcPr>
          <w:p w14:paraId="526D1CEC">
            <w:pPr>
              <w:jc w:val="center"/>
              <w:rPr>
                <w:rFonts w:hint="eastAsia" w:ascii="宋体" w:hAnsi="宋体" w:eastAsia="宋体" w:cs="宋体"/>
                <w:color w:val="auto"/>
                <w:highlight w:val="none"/>
              </w:rPr>
            </w:pPr>
            <w:r>
              <w:rPr>
                <w:rFonts w:hint="eastAsia" w:ascii="宋体" w:hAnsi="宋体" w:eastAsia="宋体" w:cs="宋体"/>
                <w:color w:val="auto"/>
                <w:highlight w:val="none"/>
              </w:rPr>
              <w:t>12</w:t>
            </w:r>
          </w:p>
        </w:tc>
        <w:tc>
          <w:tcPr>
            <w:tcW w:w="1614" w:type="dxa"/>
            <w:vAlign w:val="center"/>
          </w:tcPr>
          <w:p w14:paraId="5D33103C">
            <w:pPr>
              <w:jc w:val="center"/>
              <w:rPr>
                <w:rFonts w:hint="eastAsia" w:ascii="宋体" w:hAnsi="宋体" w:eastAsia="宋体" w:cs="宋体"/>
                <w:color w:val="auto"/>
                <w:highlight w:val="none"/>
              </w:rPr>
            </w:pPr>
            <w:r>
              <w:rPr>
                <w:rFonts w:hint="eastAsia" w:ascii="宋体" w:hAnsi="宋体" w:eastAsia="宋体" w:cs="宋体"/>
                <w:color w:val="auto"/>
                <w:spacing w:val="-2"/>
                <w:highlight w:val="none"/>
              </w:rPr>
              <w:t>★A020910</w:t>
            </w:r>
            <w:r>
              <w:rPr>
                <w:rFonts w:hint="eastAsia" w:ascii="宋体" w:hAnsi="宋体" w:eastAsia="宋体" w:cs="宋体"/>
                <w:color w:val="auto"/>
                <w:spacing w:val="-29"/>
                <w:highlight w:val="none"/>
              </w:rPr>
              <w:t xml:space="preserve"> 电 </w:t>
            </w:r>
            <w:r>
              <w:rPr>
                <w:rFonts w:hint="eastAsia" w:ascii="宋体" w:hAnsi="宋体" w:eastAsia="宋体" w:cs="宋体"/>
                <w:color w:val="auto"/>
                <w:highlight w:val="none"/>
              </w:rPr>
              <w:t>视设备</w:t>
            </w:r>
          </w:p>
        </w:tc>
        <w:tc>
          <w:tcPr>
            <w:tcW w:w="1350" w:type="dxa"/>
            <w:vAlign w:val="center"/>
          </w:tcPr>
          <w:p w14:paraId="042745AB">
            <w:pPr>
              <w:jc w:val="center"/>
              <w:rPr>
                <w:rFonts w:hint="eastAsia" w:ascii="宋体" w:hAnsi="宋体" w:eastAsia="宋体" w:cs="宋体"/>
                <w:color w:val="auto"/>
                <w:highlight w:val="none"/>
              </w:rPr>
            </w:pPr>
            <w:r>
              <w:rPr>
                <w:rFonts w:hint="eastAsia" w:ascii="宋体" w:hAnsi="宋体" w:eastAsia="宋体" w:cs="宋体"/>
                <w:color w:val="auto"/>
                <w:spacing w:val="-2"/>
                <w:highlight w:val="none"/>
              </w:rPr>
              <w:t>A02091001</w:t>
            </w:r>
            <w:r>
              <w:rPr>
                <w:rFonts w:hint="eastAsia" w:ascii="宋体" w:hAnsi="宋体" w:eastAsia="宋体" w:cs="宋体"/>
                <w:color w:val="auto"/>
                <w:spacing w:val="-6"/>
                <w:highlight w:val="none"/>
              </w:rPr>
              <w:t xml:space="preserve"> 普通电视</w:t>
            </w:r>
            <w:r>
              <w:rPr>
                <w:rFonts w:hint="eastAsia" w:ascii="宋体" w:hAnsi="宋体" w:eastAsia="宋体" w:cs="宋体"/>
                <w:color w:val="auto"/>
                <w:highlight w:val="none"/>
              </w:rPr>
              <w:t>设备（电视机）</w:t>
            </w:r>
          </w:p>
        </w:tc>
        <w:tc>
          <w:tcPr>
            <w:tcW w:w="1868" w:type="dxa"/>
            <w:vAlign w:val="center"/>
          </w:tcPr>
          <w:p w14:paraId="72921E01">
            <w:pPr>
              <w:jc w:val="center"/>
              <w:rPr>
                <w:rFonts w:hint="eastAsia" w:ascii="宋体" w:hAnsi="宋体" w:eastAsia="宋体" w:cs="宋体"/>
                <w:color w:val="auto"/>
                <w:highlight w:val="none"/>
              </w:rPr>
            </w:pPr>
          </w:p>
        </w:tc>
        <w:tc>
          <w:tcPr>
            <w:tcW w:w="3632" w:type="dxa"/>
            <w:vAlign w:val="center"/>
          </w:tcPr>
          <w:p w14:paraId="46779A1E">
            <w:pPr>
              <w:jc w:val="center"/>
              <w:rPr>
                <w:rFonts w:hint="eastAsia" w:ascii="宋体" w:hAnsi="宋体" w:eastAsia="宋体" w:cs="宋体"/>
                <w:color w:val="auto"/>
                <w:highlight w:val="none"/>
              </w:rPr>
            </w:pPr>
            <w:r>
              <w:rPr>
                <w:rFonts w:hint="eastAsia" w:ascii="宋体" w:hAnsi="宋体" w:eastAsia="宋体" w:cs="宋体"/>
                <w:color w:val="auto"/>
                <w:spacing w:val="9"/>
                <w:highlight w:val="none"/>
              </w:rPr>
              <w:t>《平板电视能效限定值及能效等</w:t>
            </w:r>
            <w:r>
              <w:rPr>
                <w:rFonts w:hint="eastAsia" w:ascii="宋体" w:hAnsi="宋体" w:eastAsia="宋体" w:cs="宋体"/>
                <w:color w:val="auto"/>
                <w:highlight w:val="none"/>
              </w:rPr>
              <w:t>级》（GB24850）</w:t>
            </w:r>
          </w:p>
        </w:tc>
      </w:tr>
      <w:tr w14:paraId="52AC5E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10" w:type="dxa"/>
          <w:trHeight w:val="1931" w:hRule="atLeast"/>
          <w:jc w:val="center"/>
        </w:trPr>
        <w:tc>
          <w:tcPr>
            <w:tcW w:w="554" w:type="dxa"/>
            <w:vAlign w:val="center"/>
          </w:tcPr>
          <w:p w14:paraId="501D3629">
            <w:pPr>
              <w:jc w:val="center"/>
              <w:rPr>
                <w:rFonts w:hint="eastAsia" w:ascii="宋体" w:hAnsi="宋体" w:eastAsia="宋体" w:cs="宋体"/>
                <w:color w:val="auto"/>
                <w:highlight w:val="none"/>
              </w:rPr>
            </w:pPr>
            <w:r>
              <w:rPr>
                <w:rFonts w:hint="eastAsia" w:ascii="宋体" w:hAnsi="宋体" w:eastAsia="宋体" w:cs="宋体"/>
                <w:color w:val="auto"/>
                <w:highlight w:val="none"/>
              </w:rPr>
              <w:t>13</w:t>
            </w:r>
          </w:p>
        </w:tc>
        <w:tc>
          <w:tcPr>
            <w:tcW w:w="1614" w:type="dxa"/>
            <w:vAlign w:val="center"/>
          </w:tcPr>
          <w:p w14:paraId="5A40D347">
            <w:pPr>
              <w:jc w:val="center"/>
              <w:rPr>
                <w:rFonts w:hint="eastAsia" w:ascii="宋体" w:hAnsi="宋体" w:eastAsia="宋体" w:cs="宋体"/>
                <w:color w:val="auto"/>
                <w:highlight w:val="none"/>
              </w:rPr>
            </w:pPr>
            <w:r>
              <w:rPr>
                <w:rFonts w:hint="eastAsia" w:ascii="宋体" w:hAnsi="宋体" w:eastAsia="宋体" w:cs="宋体"/>
                <w:color w:val="auto"/>
                <w:spacing w:val="-2"/>
                <w:highlight w:val="none"/>
              </w:rPr>
              <w:t>★A020911</w:t>
            </w:r>
            <w:r>
              <w:rPr>
                <w:rFonts w:hint="eastAsia" w:ascii="宋体" w:hAnsi="宋体" w:eastAsia="宋体" w:cs="宋体"/>
                <w:color w:val="auto"/>
                <w:spacing w:val="-29"/>
                <w:highlight w:val="none"/>
              </w:rPr>
              <w:t xml:space="preserve"> 视 </w:t>
            </w:r>
            <w:r>
              <w:rPr>
                <w:rFonts w:hint="eastAsia" w:ascii="宋体" w:hAnsi="宋体" w:eastAsia="宋体" w:cs="宋体"/>
                <w:color w:val="auto"/>
                <w:highlight w:val="none"/>
              </w:rPr>
              <w:t>频设备</w:t>
            </w:r>
          </w:p>
        </w:tc>
        <w:tc>
          <w:tcPr>
            <w:tcW w:w="1350" w:type="dxa"/>
            <w:vAlign w:val="center"/>
          </w:tcPr>
          <w:p w14:paraId="7BD148E4">
            <w:pPr>
              <w:jc w:val="center"/>
              <w:rPr>
                <w:rFonts w:hint="eastAsia" w:ascii="宋体" w:hAnsi="宋体" w:eastAsia="宋体" w:cs="宋体"/>
                <w:color w:val="auto"/>
                <w:spacing w:val="-6"/>
                <w:highlight w:val="none"/>
              </w:rPr>
            </w:pPr>
            <w:r>
              <w:rPr>
                <w:rFonts w:hint="eastAsia" w:ascii="宋体" w:hAnsi="宋体" w:eastAsia="宋体" w:cs="宋体"/>
                <w:color w:val="auto"/>
                <w:spacing w:val="-2"/>
                <w:highlight w:val="none"/>
              </w:rPr>
              <w:t>A02091107</w:t>
            </w:r>
          </w:p>
          <w:p w14:paraId="5825A12F">
            <w:pPr>
              <w:jc w:val="center"/>
              <w:rPr>
                <w:rFonts w:hint="eastAsia" w:ascii="宋体" w:hAnsi="宋体" w:eastAsia="宋体" w:cs="宋体"/>
                <w:color w:val="auto"/>
                <w:highlight w:val="none"/>
              </w:rPr>
            </w:pPr>
            <w:r>
              <w:rPr>
                <w:rFonts w:hint="eastAsia" w:ascii="宋体" w:hAnsi="宋体" w:eastAsia="宋体" w:cs="宋体"/>
                <w:color w:val="auto"/>
                <w:spacing w:val="-6"/>
                <w:highlight w:val="none"/>
              </w:rPr>
              <w:t>视频监控</w:t>
            </w:r>
            <w:r>
              <w:rPr>
                <w:rFonts w:hint="eastAsia" w:ascii="宋体" w:hAnsi="宋体" w:eastAsia="宋体" w:cs="宋体"/>
                <w:color w:val="auto"/>
                <w:highlight w:val="none"/>
              </w:rPr>
              <w:t>设备</w:t>
            </w:r>
          </w:p>
        </w:tc>
        <w:tc>
          <w:tcPr>
            <w:tcW w:w="1868" w:type="dxa"/>
            <w:vAlign w:val="center"/>
          </w:tcPr>
          <w:p w14:paraId="210C707F">
            <w:pPr>
              <w:jc w:val="center"/>
              <w:rPr>
                <w:rFonts w:hint="eastAsia" w:ascii="宋体" w:hAnsi="宋体" w:eastAsia="宋体" w:cs="宋体"/>
                <w:color w:val="auto"/>
                <w:highlight w:val="none"/>
              </w:rPr>
            </w:pPr>
            <w:r>
              <w:rPr>
                <w:rFonts w:hint="eastAsia" w:ascii="宋体" w:hAnsi="宋体" w:eastAsia="宋体" w:cs="宋体"/>
                <w:color w:val="auto"/>
                <w:highlight w:val="none"/>
              </w:rPr>
              <w:t>监视器</w:t>
            </w:r>
          </w:p>
        </w:tc>
        <w:tc>
          <w:tcPr>
            <w:tcW w:w="3632" w:type="dxa"/>
            <w:vAlign w:val="center"/>
          </w:tcPr>
          <w:p w14:paraId="2AD02D35">
            <w:pPr>
              <w:jc w:val="center"/>
              <w:rPr>
                <w:rFonts w:hint="eastAsia" w:ascii="宋体" w:hAnsi="宋体" w:eastAsia="宋体" w:cs="宋体"/>
                <w:color w:val="auto"/>
                <w:highlight w:val="none"/>
              </w:rPr>
            </w:pPr>
            <w:r>
              <w:rPr>
                <w:rFonts w:hint="eastAsia" w:ascii="宋体" w:hAnsi="宋体" w:eastAsia="宋体" w:cs="宋体"/>
                <w:color w:val="auto"/>
                <w:spacing w:val="9"/>
                <w:highlight w:val="none"/>
              </w:rPr>
              <w:t>以射频信号为主要信号输入的监</w:t>
            </w:r>
            <w:r>
              <w:rPr>
                <w:rFonts w:hint="eastAsia" w:ascii="宋体" w:hAnsi="宋体" w:eastAsia="宋体" w:cs="宋体"/>
                <w:color w:val="auto"/>
                <w:spacing w:val="-8"/>
                <w:highlight w:val="none"/>
              </w:rPr>
              <w:t>视器应符合《平板电视能效限定值</w:t>
            </w:r>
            <w:r>
              <w:rPr>
                <w:rFonts w:hint="eastAsia" w:ascii="宋体" w:hAnsi="宋体" w:eastAsia="宋体" w:cs="宋体"/>
                <w:color w:val="auto"/>
                <w:highlight w:val="none"/>
              </w:rPr>
              <w:t>及能效等级》（GB 24850），</w:t>
            </w:r>
            <w:r>
              <w:rPr>
                <w:rFonts w:hint="eastAsia" w:ascii="宋体" w:hAnsi="宋体" w:eastAsia="宋体" w:cs="宋体"/>
                <w:color w:val="auto"/>
                <w:spacing w:val="9"/>
                <w:highlight w:val="none"/>
              </w:rPr>
              <w:t>以数字信号为主要信号输入的监</w:t>
            </w:r>
          </w:p>
          <w:p w14:paraId="0A9FDE0B">
            <w:pPr>
              <w:jc w:val="center"/>
              <w:rPr>
                <w:rFonts w:hint="eastAsia" w:ascii="宋体" w:hAnsi="宋体" w:eastAsia="宋体" w:cs="宋体"/>
                <w:color w:val="auto"/>
                <w:highlight w:val="none"/>
              </w:rPr>
            </w:pPr>
            <w:r>
              <w:rPr>
                <w:rFonts w:hint="eastAsia" w:ascii="宋体" w:hAnsi="宋体" w:eastAsia="宋体" w:cs="宋体"/>
                <w:color w:val="auto"/>
                <w:spacing w:val="-8"/>
                <w:highlight w:val="none"/>
              </w:rPr>
              <w:t>视器应符合《计算机显示器能效限</w:t>
            </w:r>
            <w:r>
              <w:rPr>
                <w:rFonts w:hint="eastAsia" w:ascii="宋体" w:hAnsi="宋体" w:eastAsia="宋体" w:cs="宋体"/>
                <w:color w:val="auto"/>
                <w:highlight w:val="none"/>
              </w:rPr>
              <w:t>定值及能效等级》（GB 21520）</w:t>
            </w:r>
          </w:p>
        </w:tc>
      </w:tr>
      <w:tr w14:paraId="713F97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10" w:type="dxa"/>
          <w:trHeight w:val="777" w:hRule="atLeast"/>
          <w:jc w:val="center"/>
        </w:trPr>
        <w:tc>
          <w:tcPr>
            <w:tcW w:w="554" w:type="dxa"/>
            <w:vAlign w:val="center"/>
          </w:tcPr>
          <w:p w14:paraId="1C63C63D">
            <w:pPr>
              <w:jc w:val="center"/>
              <w:rPr>
                <w:rFonts w:hint="eastAsia" w:ascii="宋体" w:hAnsi="宋体" w:eastAsia="宋体" w:cs="宋体"/>
                <w:color w:val="auto"/>
                <w:highlight w:val="none"/>
              </w:rPr>
            </w:pPr>
            <w:r>
              <w:rPr>
                <w:rFonts w:hint="eastAsia" w:ascii="宋体" w:hAnsi="宋体" w:eastAsia="宋体" w:cs="宋体"/>
                <w:color w:val="auto"/>
                <w:highlight w:val="none"/>
              </w:rPr>
              <w:t>14</w:t>
            </w:r>
          </w:p>
        </w:tc>
        <w:tc>
          <w:tcPr>
            <w:tcW w:w="1614" w:type="dxa"/>
            <w:vAlign w:val="center"/>
          </w:tcPr>
          <w:p w14:paraId="2D13ED10">
            <w:pPr>
              <w:jc w:val="center"/>
              <w:rPr>
                <w:rFonts w:hint="eastAsia" w:ascii="宋体" w:hAnsi="宋体" w:eastAsia="宋体" w:cs="宋体"/>
                <w:color w:val="auto"/>
                <w:highlight w:val="none"/>
              </w:rPr>
            </w:pPr>
            <w:r>
              <w:rPr>
                <w:rFonts w:hint="eastAsia" w:ascii="宋体" w:hAnsi="宋体" w:eastAsia="宋体" w:cs="宋体"/>
                <w:color w:val="auto"/>
                <w:spacing w:val="-2"/>
                <w:highlight w:val="none"/>
              </w:rPr>
              <w:t>A031210</w:t>
            </w:r>
            <w:r>
              <w:rPr>
                <w:rFonts w:hint="eastAsia" w:ascii="宋体" w:hAnsi="宋体" w:eastAsia="宋体" w:cs="宋体"/>
                <w:color w:val="auto"/>
                <w:spacing w:val="-20"/>
                <w:highlight w:val="none"/>
              </w:rPr>
              <w:t xml:space="preserve"> 饮 食 </w:t>
            </w:r>
            <w:r>
              <w:rPr>
                <w:rFonts w:hint="eastAsia" w:ascii="宋体" w:hAnsi="宋体" w:eastAsia="宋体" w:cs="宋体"/>
                <w:color w:val="auto"/>
                <w:highlight w:val="none"/>
              </w:rPr>
              <w:t>炊事机械</w:t>
            </w:r>
          </w:p>
        </w:tc>
        <w:tc>
          <w:tcPr>
            <w:tcW w:w="1350" w:type="dxa"/>
            <w:vAlign w:val="center"/>
          </w:tcPr>
          <w:p w14:paraId="15626A7E">
            <w:pPr>
              <w:jc w:val="center"/>
              <w:rPr>
                <w:rFonts w:hint="eastAsia" w:ascii="宋体" w:hAnsi="宋体" w:eastAsia="宋体" w:cs="宋体"/>
                <w:color w:val="auto"/>
                <w:highlight w:val="none"/>
              </w:rPr>
            </w:pPr>
            <w:r>
              <w:rPr>
                <w:rFonts w:hint="eastAsia" w:ascii="宋体" w:hAnsi="宋体" w:eastAsia="宋体" w:cs="宋体"/>
                <w:color w:val="auto"/>
                <w:highlight w:val="none"/>
              </w:rPr>
              <w:t>商用燃气灶具</w:t>
            </w:r>
          </w:p>
        </w:tc>
        <w:tc>
          <w:tcPr>
            <w:tcW w:w="1868" w:type="dxa"/>
            <w:vAlign w:val="center"/>
          </w:tcPr>
          <w:p w14:paraId="21709918">
            <w:pPr>
              <w:jc w:val="center"/>
              <w:rPr>
                <w:rFonts w:hint="eastAsia" w:ascii="宋体" w:hAnsi="宋体" w:eastAsia="宋体" w:cs="宋体"/>
                <w:color w:val="auto"/>
                <w:highlight w:val="none"/>
              </w:rPr>
            </w:pPr>
          </w:p>
        </w:tc>
        <w:tc>
          <w:tcPr>
            <w:tcW w:w="3632" w:type="dxa"/>
            <w:vAlign w:val="center"/>
          </w:tcPr>
          <w:p w14:paraId="4C7FBB65">
            <w:pPr>
              <w:jc w:val="center"/>
              <w:rPr>
                <w:rFonts w:hint="eastAsia" w:ascii="宋体" w:hAnsi="宋体" w:eastAsia="宋体" w:cs="宋体"/>
                <w:color w:val="auto"/>
                <w:highlight w:val="none"/>
              </w:rPr>
            </w:pPr>
            <w:r>
              <w:rPr>
                <w:rFonts w:hint="eastAsia" w:ascii="宋体" w:hAnsi="宋体" w:eastAsia="宋体" w:cs="宋体"/>
                <w:color w:val="auto"/>
                <w:spacing w:val="9"/>
                <w:highlight w:val="none"/>
              </w:rPr>
              <w:t>《商用燃气灶具能效限定值及能</w:t>
            </w:r>
            <w:r>
              <w:rPr>
                <w:rFonts w:hint="eastAsia" w:ascii="宋体" w:hAnsi="宋体" w:eastAsia="宋体" w:cs="宋体"/>
                <w:color w:val="auto"/>
                <w:highlight w:val="none"/>
              </w:rPr>
              <w:t>效等级》（GB30531）</w:t>
            </w:r>
          </w:p>
        </w:tc>
      </w:tr>
      <w:tr w14:paraId="0B2202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10" w:type="dxa"/>
          <w:trHeight w:val="875" w:hRule="atLeast"/>
          <w:jc w:val="center"/>
        </w:trPr>
        <w:tc>
          <w:tcPr>
            <w:tcW w:w="554" w:type="dxa"/>
            <w:vMerge w:val="restart"/>
            <w:vAlign w:val="center"/>
          </w:tcPr>
          <w:p w14:paraId="6F58A689">
            <w:pPr>
              <w:jc w:val="center"/>
              <w:rPr>
                <w:rFonts w:hint="eastAsia" w:ascii="宋体" w:hAnsi="宋体" w:eastAsia="宋体" w:cs="宋体"/>
                <w:color w:val="auto"/>
                <w:highlight w:val="none"/>
              </w:rPr>
            </w:pPr>
            <w:r>
              <w:rPr>
                <w:rFonts w:hint="eastAsia" w:ascii="宋体" w:hAnsi="宋体" w:eastAsia="宋体" w:cs="宋体"/>
                <w:color w:val="auto"/>
                <w:highlight w:val="none"/>
              </w:rPr>
              <w:t>15</w:t>
            </w:r>
          </w:p>
        </w:tc>
        <w:tc>
          <w:tcPr>
            <w:tcW w:w="1614" w:type="dxa"/>
            <w:vMerge w:val="restart"/>
            <w:vAlign w:val="center"/>
          </w:tcPr>
          <w:p w14:paraId="19BB9A5C">
            <w:pPr>
              <w:jc w:val="center"/>
              <w:rPr>
                <w:rFonts w:hint="eastAsia" w:ascii="宋体" w:hAnsi="宋体" w:eastAsia="宋体" w:cs="宋体"/>
                <w:color w:val="auto"/>
                <w:highlight w:val="none"/>
              </w:rPr>
            </w:pPr>
            <w:r>
              <w:rPr>
                <w:rFonts w:hint="eastAsia" w:ascii="宋体" w:hAnsi="宋体" w:eastAsia="宋体" w:cs="宋体"/>
                <w:color w:val="auto"/>
                <w:spacing w:val="-2"/>
                <w:highlight w:val="none"/>
              </w:rPr>
              <w:t>★A060805</w:t>
            </w:r>
            <w:r>
              <w:rPr>
                <w:rFonts w:hint="eastAsia" w:ascii="宋体" w:hAnsi="宋体" w:eastAsia="宋体" w:cs="宋体"/>
                <w:color w:val="auto"/>
                <w:spacing w:val="-29"/>
                <w:highlight w:val="none"/>
              </w:rPr>
              <w:t xml:space="preserve"> 便 </w:t>
            </w:r>
            <w:r>
              <w:rPr>
                <w:rFonts w:hint="eastAsia" w:ascii="宋体" w:hAnsi="宋体" w:eastAsia="宋体" w:cs="宋体"/>
                <w:color w:val="auto"/>
                <w:highlight w:val="none"/>
              </w:rPr>
              <w:t>器</w:t>
            </w:r>
          </w:p>
        </w:tc>
        <w:tc>
          <w:tcPr>
            <w:tcW w:w="1350" w:type="dxa"/>
            <w:vAlign w:val="center"/>
          </w:tcPr>
          <w:p w14:paraId="0353612A">
            <w:pPr>
              <w:jc w:val="center"/>
              <w:rPr>
                <w:rFonts w:hint="eastAsia" w:ascii="宋体" w:hAnsi="宋体" w:eastAsia="宋体" w:cs="宋体"/>
                <w:color w:val="auto"/>
                <w:highlight w:val="none"/>
              </w:rPr>
            </w:pPr>
            <w:r>
              <w:rPr>
                <w:rFonts w:hint="eastAsia" w:ascii="宋体" w:hAnsi="宋体" w:eastAsia="宋体" w:cs="宋体"/>
                <w:color w:val="auto"/>
                <w:highlight w:val="none"/>
              </w:rPr>
              <w:t>坐便器</w:t>
            </w:r>
          </w:p>
        </w:tc>
        <w:tc>
          <w:tcPr>
            <w:tcW w:w="1868" w:type="dxa"/>
            <w:vAlign w:val="center"/>
          </w:tcPr>
          <w:p w14:paraId="0783489A">
            <w:pPr>
              <w:jc w:val="center"/>
              <w:rPr>
                <w:rFonts w:hint="eastAsia" w:ascii="宋体" w:hAnsi="宋体" w:eastAsia="宋体" w:cs="宋体"/>
                <w:color w:val="auto"/>
                <w:highlight w:val="none"/>
              </w:rPr>
            </w:pPr>
          </w:p>
        </w:tc>
        <w:tc>
          <w:tcPr>
            <w:tcW w:w="3632" w:type="dxa"/>
            <w:vAlign w:val="center"/>
          </w:tcPr>
          <w:p w14:paraId="3DEC4E89">
            <w:pPr>
              <w:jc w:val="center"/>
              <w:rPr>
                <w:rFonts w:hint="eastAsia" w:ascii="宋体" w:hAnsi="宋体" w:eastAsia="宋体" w:cs="宋体"/>
                <w:color w:val="auto"/>
                <w:highlight w:val="none"/>
              </w:rPr>
            </w:pPr>
            <w:r>
              <w:rPr>
                <w:rFonts w:hint="eastAsia" w:ascii="宋体" w:hAnsi="宋体" w:eastAsia="宋体" w:cs="宋体"/>
                <w:color w:val="auto"/>
                <w:highlight w:val="none"/>
              </w:rPr>
              <w:t>《坐便器水效限定值及水效等级》（GB25502）</w:t>
            </w:r>
          </w:p>
        </w:tc>
      </w:tr>
      <w:tr w14:paraId="1735AE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10" w:type="dxa"/>
          <w:trHeight w:val="875" w:hRule="atLeast"/>
          <w:jc w:val="center"/>
        </w:trPr>
        <w:tc>
          <w:tcPr>
            <w:tcW w:w="554" w:type="dxa"/>
            <w:vMerge w:val="continue"/>
            <w:vAlign w:val="center"/>
          </w:tcPr>
          <w:p w14:paraId="1B292E82">
            <w:pPr>
              <w:autoSpaceDE w:val="0"/>
              <w:autoSpaceDN w:val="0"/>
              <w:jc w:val="center"/>
              <w:rPr>
                <w:rFonts w:hint="eastAsia" w:ascii="宋体" w:hAnsi="宋体" w:eastAsia="宋体" w:cs="宋体"/>
                <w:color w:val="auto"/>
                <w:highlight w:val="none"/>
              </w:rPr>
            </w:pPr>
          </w:p>
        </w:tc>
        <w:tc>
          <w:tcPr>
            <w:tcW w:w="1614" w:type="dxa"/>
            <w:vMerge w:val="continue"/>
            <w:vAlign w:val="center"/>
          </w:tcPr>
          <w:p w14:paraId="65811EA1">
            <w:pPr>
              <w:autoSpaceDE w:val="0"/>
              <w:autoSpaceDN w:val="0"/>
              <w:jc w:val="center"/>
              <w:rPr>
                <w:rFonts w:hint="eastAsia" w:ascii="宋体" w:hAnsi="宋体" w:eastAsia="宋体" w:cs="宋体"/>
                <w:color w:val="auto"/>
                <w:highlight w:val="none"/>
              </w:rPr>
            </w:pPr>
          </w:p>
        </w:tc>
        <w:tc>
          <w:tcPr>
            <w:tcW w:w="1350" w:type="dxa"/>
            <w:vAlign w:val="center"/>
          </w:tcPr>
          <w:p w14:paraId="7C5E6E2F">
            <w:pPr>
              <w:jc w:val="center"/>
              <w:rPr>
                <w:rFonts w:hint="eastAsia" w:ascii="宋体" w:hAnsi="宋体" w:eastAsia="宋体" w:cs="宋体"/>
                <w:color w:val="auto"/>
                <w:highlight w:val="none"/>
              </w:rPr>
            </w:pPr>
            <w:r>
              <w:rPr>
                <w:rFonts w:hint="eastAsia" w:ascii="宋体" w:hAnsi="宋体" w:eastAsia="宋体" w:cs="宋体"/>
                <w:color w:val="auto"/>
                <w:highlight w:val="none"/>
              </w:rPr>
              <w:t>蹲便器</w:t>
            </w:r>
          </w:p>
        </w:tc>
        <w:tc>
          <w:tcPr>
            <w:tcW w:w="1868" w:type="dxa"/>
            <w:vAlign w:val="center"/>
          </w:tcPr>
          <w:p w14:paraId="6F1D767B">
            <w:pPr>
              <w:jc w:val="center"/>
              <w:rPr>
                <w:rFonts w:hint="eastAsia" w:ascii="宋体" w:hAnsi="宋体" w:eastAsia="宋体" w:cs="宋体"/>
                <w:color w:val="auto"/>
                <w:highlight w:val="none"/>
              </w:rPr>
            </w:pPr>
          </w:p>
        </w:tc>
        <w:tc>
          <w:tcPr>
            <w:tcW w:w="3632" w:type="dxa"/>
            <w:vAlign w:val="center"/>
          </w:tcPr>
          <w:p w14:paraId="2E2E7D36">
            <w:pPr>
              <w:jc w:val="center"/>
              <w:rPr>
                <w:rFonts w:hint="eastAsia" w:ascii="宋体" w:hAnsi="宋体" w:eastAsia="宋体" w:cs="宋体"/>
                <w:color w:val="auto"/>
                <w:highlight w:val="none"/>
              </w:rPr>
            </w:pPr>
            <w:r>
              <w:rPr>
                <w:rFonts w:hint="eastAsia" w:ascii="宋体" w:hAnsi="宋体" w:eastAsia="宋体" w:cs="宋体"/>
                <w:color w:val="auto"/>
                <w:spacing w:val="9"/>
                <w:highlight w:val="none"/>
              </w:rPr>
              <w:t>《蹲便器用水效率限定值及用水</w:t>
            </w:r>
            <w:r>
              <w:rPr>
                <w:rFonts w:hint="eastAsia" w:ascii="宋体" w:hAnsi="宋体" w:eastAsia="宋体" w:cs="宋体"/>
                <w:color w:val="auto"/>
                <w:highlight w:val="none"/>
              </w:rPr>
              <w:t>效率等级》（GB30717）</w:t>
            </w:r>
          </w:p>
        </w:tc>
      </w:tr>
      <w:tr w14:paraId="35B9DE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10" w:type="dxa"/>
          <w:trHeight w:val="878" w:hRule="atLeast"/>
          <w:jc w:val="center"/>
        </w:trPr>
        <w:tc>
          <w:tcPr>
            <w:tcW w:w="554" w:type="dxa"/>
            <w:vMerge w:val="continue"/>
            <w:vAlign w:val="center"/>
          </w:tcPr>
          <w:p w14:paraId="79659E24">
            <w:pPr>
              <w:autoSpaceDE w:val="0"/>
              <w:autoSpaceDN w:val="0"/>
              <w:jc w:val="center"/>
              <w:rPr>
                <w:rFonts w:hint="eastAsia" w:ascii="宋体" w:hAnsi="宋体" w:eastAsia="宋体" w:cs="宋体"/>
                <w:color w:val="auto"/>
                <w:highlight w:val="none"/>
              </w:rPr>
            </w:pPr>
          </w:p>
        </w:tc>
        <w:tc>
          <w:tcPr>
            <w:tcW w:w="1614" w:type="dxa"/>
            <w:vMerge w:val="continue"/>
            <w:vAlign w:val="center"/>
          </w:tcPr>
          <w:p w14:paraId="2D549A5E">
            <w:pPr>
              <w:autoSpaceDE w:val="0"/>
              <w:autoSpaceDN w:val="0"/>
              <w:jc w:val="center"/>
              <w:rPr>
                <w:rFonts w:hint="eastAsia" w:ascii="宋体" w:hAnsi="宋体" w:eastAsia="宋体" w:cs="宋体"/>
                <w:color w:val="auto"/>
                <w:highlight w:val="none"/>
              </w:rPr>
            </w:pPr>
          </w:p>
        </w:tc>
        <w:tc>
          <w:tcPr>
            <w:tcW w:w="1350" w:type="dxa"/>
            <w:vAlign w:val="center"/>
          </w:tcPr>
          <w:p w14:paraId="639D3F1F">
            <w:pPr>
              <w:jc w:val="center"/>
              <w:rPr>
                <w:rFonts w:hint="eastAsia" w:ascii="宋体" w:hAnsi="宋体" w:eastAsia="宋体" w:cs="宋体"/>
                <w:color w:val="auto"/>
                <w:highlight w:val="none"/>
              </w:rPr>
            </w:pPr>
            <w:r>
              <w:rPr>
                <w:rFonts w:hint="eastAsia" w:ascii="宋体" w:hAnsi="宋体" w:eastAsia="宋体" w:cs="宋体"/>
                <w:color w:val="auto"/>
                <w:highlight w:val="none"/>
              </w:rPr>
              <w:t>小便器</w:t>
            </w:r>
          </w:p>
        </w:tc>
        <w:tc>
          <w:tcPr>
            <w:tcW w:w="1868" w:type="dxa"/>
            <w:vAlign w:val="center"/>
          </w:tcPr>
          <w:p w14:paraId="74DC4022">
            <w:pPr>
              <w:jc w:val="center"/>
              <w:rPr>
                <w:rFonts w:hint="eastAsia" w:ascii="宋体" w:hAnsi="宋体" w:eastAsia="宋体" w:cs="宋体"/>
                <w:color w:val="auto"/>
                <w:highlight w:val="none"/>
              </w:rPr>
            </w:pPr>
          </w:p>
        </w:tc>
        <w:tc>
          <w:tcPr>
            <w:tcW w:w="3632" w:type="dxa"/>
            <w:vAlign w:val="center"/>
          </w:tcPr>
          <w:p w14:paraId="43CEC70F">
            <w:pPr>
              <w:jc w:val="center"/>
              <w:rPr>
                <w:rFonts w:hint="eastAsia" w:ascii="宋体" w:hAnsi="宋体" w:eastAsia="宋体" w:cs="宋体"/>
                <w:color w:val="auto"/>
                <w:highlight w:val="none"/>
              </w:rPr>
            </w:pPr>
            <w:r>
              <w:rPr>
                <w:rFonts w:hint="eastAsia" w:ascii="宋体" w:hAnsi="宋体" w:eastAsia="宋体" w:cs="宋体"/>
                <w:color w:val="auto"/>
                <w:spacing w:val="9"/>
                <w:highlight w:val="none"/>
              </w:rPr>
              <w:t>《小便器用水效率限定值及用水</w:t>
            </w:r>
            <w:r>
              <w:rPr>
                <w:rFonts w:hint="eastAsia" w:ascii="宋体" w:hAnsi="宋体" w:eastAsia="宋体" w:cs="宋体"/>
                <w:color w:val="auto"/>
                <w:highlight w:val="none"/>
              </w:rPr>
              <w:t>效率等级》（GB28377）</w:t>
            </w:r>
          </w:p>
        </w:tc>
      </w:tr>
      <w:tr w14:paraId="5386CD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10" w:type="dxa"/>
          <w:trHeight w:val="933" w:hRule="atLeast"/>
          <w:jc w:val="center"/>
        </w:trPr>
        <w:tc>
          <w:tcPr>
            <w:tcW w:w="554" w:type="dxa"/>
            <w:vAlign w:val="center"/>
          </w:tcPr>
          <w:p w14:paraId="108C3441">
            <w:pPr>
              <w:jc w:val="center"/>
              <w:rPr>
                <w:rFonts w:hint="eastAsia" w:ascii="宋体" w:hAnsi="宋体" w:eastAsia="宋体" w:cs="宋体"/>
                <w:color w:val="auto"/>
                <w:highlight w:val="none"/>
              </w:rPr>
            </w:pPr>
            <w:r>
              <w:rPr>
                <w:rFonts w:hint="eastAsia" w:ascii="宋体" w:hAnsi="宋体" w:eastAsia="宋体" w:cs="宋体"/>
                <w:color w:val="auto"/>
                <w:highlight w:val="none"/>
              </w:rPr>
              <w:t>16</w:t>
            </w:r>
          </w:p>
        </w:tc>
        <w:tc>
          <w:tcPr>
            <w:tcW w:w="1614" w:type="dxa"/>
            <w:vAlign w:val="center"/>
          </w:tcPr>
          <w:p w14:paraId="4AE9585E">
            <w:pPr>
              <w:jc w:val="center"/>
              <w:rPr>
                <w:rFonts w:hint="eastAsia" w:ascii="宋体" w:hAnsi="宋体" w:eastAsia="宋体" w:cs="宋体"/>
                <w:color w:val="auto"/>
                <w:highlight w:val="none"/>
              </w:rPr>
            </w:pPr>
            <w:r>
              <w:rPr>
                <w:rFonts w:hint="eastAsia" w:ascii="宋体" w:hAnsi="宋体" w:eastAsia="宋体" w:cs="宋体"/>
                <w:color w:val="auto"/>
                <w:spacing w:val="-2"/>
                <w:highlight w:val="none"/>
              </w:rPr>
              <w:t>★A060806</w:t>
            </w:r>
            <w:r>
              <w:rPr>
                <w:rFonts w:hint="eastAsia" w:ascii="宋体" w:hAnsi="宋体" w:eastAsia="宋体" w:cs="宋体"/>
                <w:color w:val="auto"/>
                <w:spacing w:val="-29"/>
                <w:highlight w:val="none"/>
              </w:rPr>
              <w:t xml:space="preserve"> 水 </w:t>
            </w:r>
            <w:r>
              <w:rPr>
                <w:rFonts w:hint="eastAsia" w:ascii="宋体" w:hAnsi="宋体" w:eastAsia="宋体" w:cs="宋体"/>
                <w:color w:val="auto"/>
                <w:highlight w:val="none"/>
              </w:rPr>
              <w:t>嘴</w:t>
            </w:r>
          </w:p>
        </w:tc>
        <w:tc>
          <w:tcPr>
            <w:tcW w:w="1350" w:type="dxa"/>
            <w:vAlign w:val="center"/>
          </w:tcPr>
          <w:p w14:paraId="53ED1619">
            <w:pPr>
              <w:jc w:val="center"/>
              <w:rPr>
                <w:rFonts w:hint="eastAsia" w:ascii="宋体" w:hAnsi="宋体" w:eastAsia="宋体" w:cs="宋体"/>
                <w:color w:val="auto"/>
                <w:highlight w:val="none"/>
              </w:rPr>
            </w:pPr>
          </w:p>
        </w:tc>
        <w:tc>
          <w:tcPr>
            <w:tcW w:w="1868" w:type="dxa"/>
            <w:vAlign w:val="center"/>
          </w:tcPr>
          <w:p w14:paraId="75A5E2D9">
            <w:pPr>
              <w:jc w:val="center"/>
              <w:rPr>
                <w:rFonts w:hint="eastAsia" w:ascii="宋体" w:hAnsi="宋体" w:eastAsia="宋体" w:cs="宋体"/>
                <w:color w:val="auto"/>
                <w:highlight w:val="none"/>
              </w:rPr>
            </w:pPr>
          </w:p>
        </w:tc>
        <w:tc>
          <w:tcPr>
            <w:tcW w:w="3632" w:type="dxa"/>
            <w:vAlign w:val="center"/>
          </w:tcPr>
          <w:p w14:paraId="311A43B5">
            <w:pPr>
              <w:jc w:val="center"/>
              <w:rPr>
                <w:rFonts w:hint="eastAsia" w:ascii="宋体" w:hAnsi="宋体" w:eastAsia="宋体" w:cs="宋体"/>
                <w:color w:val="auto"/>
                <w:highlight w:val="none"/>
              </w:rPr>
            </w:pPr>
            <w:r>
              <w:rPr>
                <w:rFonts w:hint="eastAsia" w:ascii="宋体" w:hAnsi="宋体" w:eastAsia="宋体" w:cs="宋体"/>
                <w:color w:val="auto"/>
                <w:spacing w:val="9"/>
                <w:highlight w:val="none"/>
              </w:rPr>
              <w:t>《水嘴用水效率限定值及用水效</w:t>
            </w:r>
            <w:r>
              <w:rPr>
                <w:rFonts w:hint="eastAsia" w:ascii="宋体" w:hAnsi="宋体" w:eastAsia="宋体" w:cs="宋体"/>
                <w:color w:val="auto"/>
                <w:highlight w:val="none"/>
              </w:rPr>
              <w:t>率等级》（GB25501）</w:t>
            </w:r>
          </w:p>
        </w:tc>
      </w:tr>
      <w:tr w14:paraId="7B7AF2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10" w:type="dxa"/>
          <w:trHeight w:val="851" w:hRule="atLeast"/>
          <w:jc w:val="center"/>
        </w:trPr>
        <w:tc>
          <w:tcPr>
            <w:tcW w:w="554" w:type="dxa"/>
            <w:vAlign w:val="center"/>
          </w:tcPr>
          <w:p w14:paraId="1252093B">
            <w:pPr>
              <w:jc w:val="center"/>
              <w:rPr>
                <w:rFonts w:hint="eastAsia" w:ascii="宋体" w:hAnsi="宋体" w:eastAsia="宋体" w:cs="宋体"/>
                <w:color w:val="auto"/>
                <w:highlight w:val="none"/>
              </w:rPr>
            </w:pPr>
            <w:r>
              <w:rPr>
                <w:rFonts w:hint="eastAsia" w:ascii="宋体" w:hAnsi="宋体" w:eastAsia="宋体" w:cs="宋体"/>
                <w:color w:val="auto"/>
                <w:highlight w:val="none"/>
              </w:rPr>
              <w:t>17</w:t>
            </w:r>
          </w:p>
        </w:tc>
        <w:tc>
          <w:tcPr>
            <w:tcW w:w="1614" w:type="dxa"/>
            <w:vAlign w:val="center"/>
          </w:tcPr>
          <w:p w14:paraId="7B99B952">
            <w:pPr>
              <w:jc w:val="center"/>
              <w:rPr>
                <w:rFonts w:hint="eastAsia" w:ascii="宋体" w:hAnsi="宋体" w:eastAsia="宋体" w:cs="宋体"/>
                <w:color w:val="auto"/>
                <w:spacing w:val="-20"/>
                <w:highlight w:val="none"/>
              </w:rPr>
            </w:pPr>
            <w:r>
              <w:rPr>
                <w:rFonts w:hint="eastAsia" w:ascii="宋体" w:hAnsi="宋体" w:eastAsia="宋体" w:cs="宋体"/>
                <w:color w:val="auto"/>
                <w:spacing w:val="-2"/>
                <w:highlight w:val="none"/>
              </w:rPr>
              <w:t>A060807</w:t>
            </w:r>
            <w:r>
              <w:rPr>
                <w:rFonts w:hint="eastAsia" w:ascii="宋体" w:hAnsi="宋体" w:eastAsia="宋体" w:cs="宋体"/>
                <w:color w:val="auto"/>
                <w:spacing w:val="-20"/>
                <w:highlight w:val="none"/>
              </w:rPr>
              <w:t xml:space="preserve"> 便</w:t>
            </w:r>
          </w:p>
          <w:p w14:paraId="137FA305">
            <w:pPr>
              <w:jc w:val="center"/>
              <w:rPr>
                <w:rFonts w:hint="eastAsia" w:ascii="宋体" w:hAnsi="宋体" w:eastAsia="宋体" w:cs="宋体"/>
                <w:color w:val="auto"/>
                <w:highlight w:val="none"/>
              </w:rPr>
            </w:pPr>
            <w:r>
              <w:rPr>
                <w:rFonts w:hint="eastAsia" w:ascii="宋体" w:hAnsi="宋体" w:eastAsia="宋体" w:cs="宋体"/>
                <w:color w:val="auto"/>
                <w:spacing w:val="-20"/>
                <w:highlight w:val="none"/>
              </w:rPr>
              <w:t>器</w:t>
            </w:r>
            <w:r>
              <w:rPr>
                <w:rFonts w:hint="eastAsia" w:ascii="宋体" w:hAnsi="宋体" w:eastAsia="宋体" w:cs="宋体"/>
                <w:color w:val="auto"/>
                <w:highlight w:val="none"/>
              </w:rPr>
              <w:t>冲洗阀</w:t>
            </w:r>
          </w:p>
        </w:tc>
        <w:tc>
          <w:tcPr>
            <w:tcW w:w="1350" w:type="dxa"/>
            <w:vAlign w:val="center"/>
          </w:tcPr>
          <w:p w14:paraId="566FEB79">
            <w:pPr>
              <w:jc w:val="center"/>
              <w:rPr>
                <w:rFonts w:hint="eastAsia" w:ascii="宋体" w:hAnsi="宋体" w:eastAsia="宋体" w:cs="宋体"/>
                <w:color w:val="auto"/>
                <w:highlight w:val="none"/>
              </w:rPr>
            </w:pPr>
          </w:p>
        </w:tc>
        <w:tc>
          <w:tcPr>
            <w:tcW w:w="1868" w:type="dxa"/>
            <w:vAlign w:val="center"/>
          </w:tcPr>
          <w:p w14:paraId="725B390F">
            <w:pPr>
              <w:jc w:val="center"/>
              <w:rPr>
                <w:rFonts w:hint="eastAsia" w:ascii="宋体" w:hAnsi="宋体" w:eastAsia="宋体" w:cs="宋体"/>
                <w:color w:val="auto"/>
                <w:highlight w:val="none"/>
              </w:rPr>
            </w:pPr>
          </w:p>
        </w:tc>
        <w:tc>
          <w:tcPr>
            <w:tcW w:w="3632" w:type="dxa"/>
            <w:vAlign w:val="center"/>
          </w:tcPr>
          <w:p w14:paraId="0CD74D56">
            <w:pPr>
              <w:jc w:val="center"/>
              <w:rPr>
                <w:rFonts w:hint="eastAsia" w:ascii="宋体" w:hAnsi="宋体" w:eastAsia="宋体" w:cs="宋体"/>
                <w:color w:val="auto"/>
                <w:highlight w:val="none"/>
              </w:rPr>
            </w:pPr>
            <w:r>
              <w:rPr>
                <w:rFonts w:hint="eastAsia" w:ascii="宋体" w:hAnsi="宋体" w:eastAsia="宋体" w:cs="宋体"/>
                <w:color w:val="auto"/>
                <w:spacing w:val="9"/>
                <w:highlight w:val="none"/>
              </w:rPr>
              <w:t>《便器冲洗阀用水效率限定值及</w:t>
            </w:r>
            <w:r>
              <w:rPr>
                <w:rFonts w:hint="eastAsia" w:ascii="宋体" w:hAnsi="宋体" w:eastAsia="宋体" w:cs="宋体"/>
                <w:color w:val="auto"/>
                <w:highlight w:val="none"/>
              </w:rPr>
              <w:t>用水效率等级》（GB 28379）</w:t>
            </w:r>
          </w:p>
        </w:tc>
      </w:tr>
      <w:tr w14:paraId="6AE5EE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10" w:type="dxa"/>
          <w:trHeight w:val="892" w:hRule="atLeast"/>
          <w:jc w:val="center"/>
        </w:trPr>
        <w:tc>
          <w:tcPr>
            <w:tcW w:w="554" w:type="dxa"/>
            <w:vAlign w:val="center"/>
          </w:tcPr>
          <w:p w14:paraId="70E2CB5B">
            <w:pPr>
              <w:jc w:val="center"/>
              <w:rPr>
                <w:rFonts w:hint="eastAsia" w:ascii="宋体" w:hAnsi="宋体" w:eastAsia="宋体" w:cs="宋体"/>
                <w:color w:val="auto"/>
                <w:highlight w:val="none"/>
              </w:rPr>
            </w:pPr>
            <w:r>
              <w:rPr>
                <w:rFonts w:hint="eastAsia" w:ascii="宋体" w:hAnsi="宋体" w:eastAsia="宋体" w:cs="宋体"/>
                <w:color w:val="auto"/>
                <w:highlight w:val="none"/>
              </w:rPr>
              <w:t>18</w:t>
            </w:r>
          </w:p>
        </w:tc>
        <w:tc>
          <w:tcPr>
            <w:tcW w:w="1614" w:type="dxa"/>
            <w:vAlign w:val="center"/>
          </w:tcPr>
          <w:p w14:paraId="74AC1087">
            <w:pPr>
              <w:jc w:val="center"/>
              <w:rPr>
                <w:rFonts w:hint="eastAsia" w:ascii="宋体" w:hAnsi="宋体" w:eastAsia="宋体" w:cs="宋体"/>
                <w:color w:val="auto"/>
                <w:highlight w:val="none"/>
              </w:rPr>
            </w:pPr>
            <w:r>
              <w:rPr>
                <w:rFonts w:hint="eastAsia" w:ascii="宋体" w:hAnsi="宋体" w:eastAsia="宋体" w:cs="宋体"/>
                <w:color w:val="auto"/>
                <w:highlight w:val="none"/>
              </w:rPr>
              <w:t>A060810</w:t>
            </w:r>
            <w:r>
              <w:rPr>
                <w:rFonts w:hint="eastAsia" w:ascii="宋体" w:hAnsi="宋体" w:eastAsia="宋体" w:cs="宋体"/>
                <w:color w:val="auto"/>
                <w:spacing w:val="-9"/>
                <w:highlight w:val="none"/>
              </w:rPr>
              <w:t xml:space="preserve"> 淋浴</w:t>
            </w:r>
            <w:r>
              <w:rPr>
                <w:rFonts w:hint="eastAsia" w:ascii="宋体" w:hAnsi="宋体" w:eastAsia="宋体" w:cs="宋体"/>
                <w:color w:val="auto"/>
                <w:highlight w:val="none"/>
              </w:rPr>
              <w:t>器</w:t>
            </w:r>
          </w:p>
        </w:tc>
        <w:tc>
          <w:tcPr>
            <w:tcW w:w="1350" w:type="dxa"/>
            <w:vAlign w:val="center"/>
          </w:tcPr>
          <w:p w14:paraId="336AD37A">
            <w:pPr>
              <w:jc w:val="center"/>
              <w:rPr>
                <w:rFonts w:hint="eastAsia" w:ascii="宋体" w:hAnsi="宋体" w:eastAsia="宋体" w:cs="宋体"/>
                <w:color w:val="auto"/>
                <w:highlight w:val="none"/>
              </w:rPr>
            </w:pPr>
          </w:p>
        </w:tc>
        <w:tc>
          <w:tcPr>
            <w:tcW w:w="1868" w:type="dxa"/>
            <w:vAlign w:val="center"/>
          </w:tcPr>
          <w:p w14:paraId="1958FD08">
            <w:pPr>
              <w:jc w:val="center"/>
              <w:rPr>
                <w:rFonts w:hint="eastAsia" w:ascii="宋体" w:hAnsi="宋体" w:eastAsia="宋体" w:cs="宋体"/>
                <w:color w:val="auto"/>
                <w:highlight w:val="none"/>
              </w:rPr>
            </w:pPr>
          </w:p>
        </w:tc>
        <w:tc>
          <w:tcPr>
            <w:tcW w:w="3632" w:type="dxa"/>
            <w:vAlign w:val="center"/>
          </w:tcPr>
          <w:p w14:paraId="55F1FBD5">
            <w:pPr>
              <w:jc w:val="center"/>
              <w:rPr>
                <w:rFonts w:hint="eastAsia" w:ascii="宋体" w:hAnsi="宋体" w:eastAsia="宋体" w:cs="宋体"/>
                <w:color w:val="auto"/>
                <w:highlight w:val="none"/>
              </w:rPr>
            </w:pPr>
            <w:r>
              <w:rPr>
                <w:rFonts w:hint="eastAsia" w:ascii="宋体" w:hAnsi="宋体" w:eastAsia="宋体" w:cs="宋体"/>
                <w:color w:val="auto"/>
                <w:spacing w:val="9"/>
                <w:highlight w:val="none"/>
              </w:rPr>
              <w:t>《淋浴器用水效率限定值及用水</w:t>
            </w:r>
            <w:r>
              <w:rPr>
                <w:rFonts w:hint="eastAsia" w:ascii="宋体" w:hAnsi="宋体" w:eastAsia="宋体" w:cs="宋体"/>
                <w:color w:val="auto"/>
                <w:highlight w:val="none"/>
              </w:rPr>
              <w:t>效率等级》（GB28378）</w:t>
            </w:r>
          </w:p>
        </w:tc>
      </w:tr>
      <w:bookmarkEnd w:id="42"/>
    </w:tbl>
    <w:p w14:paraId="4E8E34A1">
      <w:pPr>
        <w:widowControl/>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注：1.节能产品认证应依据相关国家标准的最新版本，依据国家标准中二级能效（水效）指标。</w:t>
      </w:r>
    </w:p>
    <w:p w14:paraId="7996BA55">
      <w:pPr>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2.以“★”标注的为政府强制采购产品。</w:t>
      </w:r>
    </w:p>
    <w:p w14:paraId="10DE9E30">
      <w:pPr>
        <w:rPr>
          <w:rFonts w:hint="eastAsia" w:ascii="宋体" w:hAnsi="宋体" w:eastAsia="宋体" w:cs="宋体"/>
          <w:color w:val="auto"/>
          <w:highlight w:val="none"/>
        </w:rPr>
      </w:pPr>
    </w:p>
    <w:p w14:paraId="70A6E6F4">
      <w:pPr>
        <w:rPr>
          <w:rFonts w:hint="eastAsia" w:ascii="宋体" w:hAnsi="宋体" w:eastAsia="宋体" w:cs="宋体"/>
          <w:color w:val="auto"/>
          <w:highlight w:val="none"/>
        </w:rPr>
      </w:pPr>
    </w:p>
    <w:p w14:paraId="003796DB">
      <w:pPr>
        <w:rPr>
          <w:rFonts w:hint="eastAsia" w:ascii="宋体" w:hAnsi="宋体" w:eastAsia="宋体" w:cs="宋体"/>
          <w:color w:val="auto"/>
          <w:highlight w:val="none"/>
        </w:rPr>
      </w:pPr>
    </w:p>
    <w:p w14:paraId="181EFE32">
      <w:pPr>
        <w:widowControl/>
        <w:jc w:val="left"/>
        <w:rPr>
          <w:rFonts w:hint="eastAsia" w:ascii="宋体" w:hAnsi="宋体" w:eastAsia="宋体" w:cs="宋体"/>
          <w:b/>
          <w:bCs/>
          <w:color w:val="auto"/>
          <w:kern w:val="0"/>
          <w:sz w:val="32"/>
          <w:szCs w:val="32"/>
          <w:highlight w:val="none"/>
        </w:rPr>
      </w:pPr>
    </w:p>
    <w:p w14:paraId="3B80DBB2">
      <w:pPr>
        <w:jc w:val="left"/>
        <w:rPr>
          <w:rFonts w:hint="eastAsia" w:ascii="宋体" w:hAnsi="宋体" w:eastAsia="宋体" w:cs="宋体"/>
          <w:b/>
          <w:bCs/>
          <w:color w:val="auto"/>
          <w:kern w:val="0"/>
          <w:sz w:val="32"/>
          <w:szCs w:val="32"/>
          <w:highlight w:val="none"/>
        </w:rPr>
      </w:pPr>
      <w:r>
        <w:rPr>
          <w:rFonts w:hint="eastAsia" w:ascii="宋体" w:hAnsi="宋体" w:eastAsia="宋体" w:cs="宋体"/>
          <w:b/>
          <w:bCs/>
          <w:color w:val="auto"/>
          <w:kern w:val="0"/>
          <w:sz w:val="32"/>
          <w:szCs w:val="32"/>
          <w:highlight w:val="none"/>
        </w:rPr>
        <w:t>附件2：</w:t>
      </w:r>
    </w:p>
    <w:p w14:paraId="54BD6511">
      <w:pPr>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中小微企业划型标准</w:t>
      </w:r>
    </w:p>
    <w:tbl>
      <w:tblPr>
        <w:tblStyle w:val="61"/>
        <w:tblW w:w="9107" w:type="dxa"/>
        <w:tblInd w:w="-210" w:type="dxa"/>
        <w:tblLayout w:type="fixed"/>
        <w:tblCellMar>
          <w:top w:w="0" w:type="dxa"/>
          <w:left w:w="108" w:type="dxa"/>
          <w:bottom w:w="0" w:type="dxa"/>
          <w:right w:w="108" w:type="dxa"/>
        </w:tblCellMar>
      </w:tblPr>
      <w:tblGrid>
        <w:gridCol w:w="2161"/>
        <w:gridCol w:w="1418"/>
        <w:gridCol w:w="1275"/>
        <w:gridCol w:w="1701"/>
        <w:gridCol w:w="1560"/>
        <w:gridCol w:w="992"/>
      </w:tblGrid>
      <w:tr w14:paraId="28D5DE4B">
        <w:tblPrEx>
          <w:tblCellMar>
            <w:top w:w="0" w:type="dxa"/>
            <w:left w:w="108" w:type="dxa"/>
            <w:bottom w:w="0" w:type="dxa"/>
            <w:right w:w="108" w:type="dxa"/>
          </w:tblCellMar>
        </w:tblPrEx>
        <w:trPr>
          <w:trHeight w:val="285" w:hRule="atLeast"/>
        </w:trPr>
        <w:tc>
          <w:tcPr>
            <w:tcW w:w="2161" w:type="dxa"/>
            <w:tcBorders>
              <w:top w:val="single" w:color="auto" w:sz="4" w:space="0"/>
              <w:left w:val="single" w:color="auto" w:sz="4" w:space="0"/>
              <w:bottom w:val="single" w:color="auto" w:sz="4" w:space="0"/>
              <w:right w:val="single" w:color="auto" w:sz="4" w:space="0"/>
            </w:tcBorders>
            <w:vAlign w:val="center"/>
          </w:tcPr>
          <w:p w14:paraId="677CDF4D">
            <w:pPr>
              <w:widowControl/>
              <w:spacing w:line="336" w:lineRule="auto"/>
              <w:jc w:val="left"/>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行业名称</w:t>
            </w:r>
          </w:p>
        </w:tc>
        <w:tc>
          <w:tcPr>
            <w:tcW w:w="1418" w:type="dxa"/>
            <w:tcBorders>
              <w:top w:val="single" w:color="auto" w:sz="4" w:space="0"/>
              <w:left w:val="nil"/>
              <w:bottom w:val="single" w:color="auto" w:sz="4" w:space="0"/>
              <w:right w:val="single" w:color="auto" w:sz="4" w:space="0"/>
            </w:tcBorders>
            <w:vAlign w:val="center"/>
          </w:tcPr>
          <w:p w14:paraId="348DB234">
            <w:pPr>
              <w:widowControl/>
              <w:spacing w:line="336" w:lineRule="auto"/>
              <w:jc w:val="left"/>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指标名称</w:t>
            </w:r>
          </w:p>
        </w:tc>
        <w:tc>
          <w:tcPr>
            <w:tcW w:w="1275" w:type="dxa"/>
            <w:tcBorders>
              <w:top w:val="single" w:color="auto" w:sz="4" w:space="0"/>
              <w:left w:val="nil"/>
              <w:bottom w:val="single" w:color="auto" w:sz="4" w:space="0"/>
              <w:right w:val="single" w:color="auto" w:sz="4" w:space="0"/>
            </w:tcBorders>
            <w:vAlign w:val="center"/>
          </w:tcPr>
          <w:p w14:paraId="5F50041E">
            <w:pPr>
              <w:widowControl/>
              <w:spacing w:line="336" w:lineRule="auto"/>
              <w:jc w:val="left"/>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计量单位</w:t>
            </w:r>
          </w:p>
        </w:tc>
        <w:tc>
          <w:tcPr>
            <w:tcW w:w="1701" w:type="dxa"/>
            <w:tcBorders>
              <w:top w:val="single" w:color="auto" w:sz="4" w:space="0"/>
              <w:left w:val="nil"/>
              <w:bottom w:val="single" w:color="auto" w:sz="4" w:space="0"/>
              <w:right w:val="single" w:color="auto" w:sz="4" w:space="0"/>
            </w:tcBorders>
            <w:vAlign w:val="center"/>
          </w:tcPr>
          <w:p w14:paraId="35761640">
            <w:pPr>
              <w:widowControl/>
              <w:spacing w:line="336" w:lineRule="auto"/>
              <w:jc w:val="left"/>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中型</w:t>
            </w:r>
          </w:p>
        </w:tc>
        <w:tc>
          <w:tcPr>
            <w:tcW w:w="1560" w:type="dxa"/>
            <w:tcBorders>
              <w:top w:val="single" w:color="auto" w:sz="4" w:space="0"/>
              <w:left w:val="nil"/>
              <w:bottom w:val="single" w:color="auto" w:sz="4" w:space="0"/>
              <w:right w:val="single" w:color="auto" w:sz="4" w:space="0"/>
            </w:tcBorders>
            <w:vAlign w:val="center"/>
          </w:tcPr>
          <w:p w14:paraId="0BCF6718">
            <w:pPr>
              <w:widowControl/>
              <w:spacing w:line="336" w:lineRule="auto"/>
              <w:jc w:val="left"/>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小型</w:t>
            </w:r>
          </w:p>
        </w:tc>
        <w:tc>
          <w:tcPr>
            <w:tcW w:w="992" w:type="dxa"/>
            <w:tcBorders>
              <w:top w:val="single" w:color="auto" w:sz="4" w:space="0"/>
              <w:left w:val="nil"/>
              <w:bottom w:val="single" w:color="auto" w:sz="4" w:space="0"/>
              <w:right w:val="single" w:color="auto" w:sz="4" w:space="0"/>
            </w:tcBorders>
            <w:vAlign w:val="center"/>
          </w:tcPr>
          <w:p w14:paraId="5B1ABDF1">
            <w:pPr>
              <w:widowControl/>
              <w:spacing w:line="336" w:lineRule="auto"/>
              <w:jc w:val="left"/>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微型</w:t>
            </w:r>
          </w:p>
        </w:tc>
      </w:tr>
      <w:tr w14:paraId="57189C8F">
        <w:tblPrEx>
          <w:tblCellMar>
            <w:top w:w="0" w:type="dxa"/>
            <w:left w:w="108" w:type="dxa"/>
            <w:bottom w:w="0" w:type="dxa"/>
            <w:right w:w="108" w:type="dxa"/>
          </w:tblCellMar>
        </w:tblPrEx>
        <w:trPr>
          <w:trHeight w:val="225" w:hRule="atLeast"/>
        </w:trPr>
        <w:tc>
          <w:tcPr>
            <w:tcW w:w="2161" w:type="dxa"/>
            <w:tcBorders>
              <w:top w:val="nil"/>
              <w:left w:val="single" w:color="auto" w:sz="4" w:space="0"/>
              <w:bottom w:val="single" w:color="auto" w:sz="4" w:space="0"/>
              <w:right w:val="single" w:color="auto" w:sz="4" w:space="0"/>
            </w:tcBorders>
            <w:vAlign w:val="center"/>
          </w:tcPr>
          <w:p w14:paraId="5FC35108">
            <w:pPr>
              <w:widowControl/>
              <w:spacing w:line="336" w:lineRule="auto"/>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农、林、牧、渔</w:t>
            </w:r>
          </w:p>
        </w:tc>
        <w:tc>
          <w:tcPr>
            <w:tcW w:w="1418" w:type="dxa"/>
            <w:tcBorders>
              <w:top w:val="nil"/>
              <w:left w:val="nil"/>
              <w:bottom w:val="single" w:color="auto" w:sz="4" w:space="0"/>
              <w:right w:val="single" w:color="auto" w:sz="4" w:space="0"/>
            </w:tcBorders>
            <w:vAlign w:val="center"/>
          </w:tcPr>
          <w:p w14:paraId="5045C99C">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1275" w:type="dxa"/>
            <w:tcBorders>
              <w:top w:val="nil"/>
              <w:left w:val="nil"/>
              <w:bottom w:val="single" w:color="auto" w:sz="4" w:space="0"/>
              <w:right w:val="single" w:color="auto" w:sz="4" w:space="0"/>
            </w:tcBorders>
            <w:vAlign w:val="center"/>
          </w:tcPr>
          <w:p w14:paraId="6CA96B98">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701" w:type="dxa"/>
            <w:tcBorders>
              <w:top w:val="nil"/>
              <w:left w:val="nil"/>
              <w:bottom w:val="single" w:color="auto" w:sz="4" w:space="0"/>
              <w:right w:val="single" w:color="auto" w:sz="4" w:space="0"/>
            </w:tcBorders>
            <w:vAlign w:val="center"/>
          </w:tcPr>
          <w:p w14:paraId="691FF6FD">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500≤Y＜20000</w:t>
            </w:r>
          </w:p>
        </w:tc>
        <w:tc>
          <w:tcPr>
            <w:tcW w:w="1560" w:type="dxa"/>
            <w:tcBorders>
              <w:top w:val="nil"/>
              <w:left w:val="nil"/>
              <w:bottom w:val="single" w:color="auto" w:sz="4" w:space="0"/>
              <w:right w:val="single" w:color="auto" w:sz="4" w:space="0"/>
            </w:tcBorders>
            <w:vAlign w:val="center"/>
          </w:tcPr>
          <w:p w14:paraId="2132F5C7">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50≤Y＜500</w:t>
            </w:r>
          </w:p>
        </w:tc>
        <w:tc>
          <w:tcPr>
            <w:tcW w:w="992" w:type="dxa"/>
            <w:tcBorders>
              <w:top w:val="nil"/>
              <w:left w:val="nil"/>
              <w:bottom w:val="single" w:color="auto" w:sz="4" w:space="0"/>
              <w:right w:val="single" w:color="auto" w:sz="4" w:space="0"/>
            </w:tcBorders>
            <w:vAlign w:val="center"/>
          </w:tcPr>
          <w:p w14:paraId="77978551">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Y＜50</w:t>
            </w:r>
          </w:p>
        </w:tc>
      </w:tr>
      <w:tr w14:paraId="766440BC">
        <w:tblPrEx>
          <w:tblCellMar>
            <w:top w:w="0" w:type="dxa"/>
            <w:left w:w="108" w:type="dxa"/>
            <w:bottom w:w="0" w:type="dxa"/>
            <w:right w:w="108" w:type="dxa"/>
          </w:tblCellMar>
        </w:tblPrEx>
        <w:trPr>
          <w:trHeight w:val="225" w:hRule="atLeast"/>
        </w:trPr>
        <w:tc>
          <w:tcPr>
            <w:tcW w:w="2161" w:type="dxa"/>
            <w:vMerge w:val="restart"/>
            <w:tcBorders>
              <w:top w:val="nil"/>
              <w:left w:val="single" w:color="auto" w:sz="4" w:space="0"/>
              <w:bottom w:val="single" w:color="auto" w:sz="4" w:space="0"/>
              <w:right w:val="single" w:color="auto" w:sz="4" w:space="0"/>
            </w:tcBorders>
            <w:vAlign w:val="center"/>
          </w:tcPr>
          <w:p w14:paraId="6624495D">
            <w:pPr>
              <w:widowControl/>
              <w:spacing w:line="336" w:lineRule="auto"/>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工业</w:t>
            </w:r>
          </w:p>
        </w:tc>
        <w:tc>
          <w:tcPr>
            <w:tcW w:w="1418" w:type="dxa"/>
            <w:tcBorders>
              <w:top w:val="nil"/>
              <w:left w:val="nil"/>
              <w:bottom w:val="single" w:color="auto" w:sz="4" w:space="0"/>
              <w:right w:val="single" w:color="auto" w:sz="4" w:space="0"/>
            </w:tcBorders>
            <w:vAlign w:val="center"/>
          </w:tcPr>
          <w:p w14:paraId="05305B04">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1275" w:type="dxa"/>
            <w:tcBorders>
              <w:top w:val="nil"/>
              <w:left w:val="nil"/>
              <w:bottom w:val="single" w:color="auto" w:sz="4" w:space="0"/>
              <w:right w:val="single" w:color="auto" w:sz="4" w:space="0"/>
            </w:tcBorders>
            <w:vAlign w:val="center"/>
          </w:tcPr>
          <w:p w14:paraId="710AAE20">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701" w:type="dxa"/>
            <w:tcBorders>
              <w:top w:val="nil"/>
              <w:left w:val="nil"/>
              <w:bottom w:val="single" w:color="auto" w:sz="4" w:space="0"/>
              <w:right w:val="single" w:color="auto" w:sz="4" w:space="0"/>
            </w:tcBorders>
            <w:vAlign w:val="center"/>
          </w:tcPr>
          <w:p w14:paraId="15E96CF2">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300≤X＜1000</w:t>
            </w:r>
          </w:p>
        </w:tc>
        <w:tc>
          <w:tcPr>
            <w:tcW w:w="1560" w:type="dxa"/>
            <w:tcBorders>
              <w:top w:val="nil"/>
              <w:left w:val="nil"/>
              <w:bottom w:val="single" w:color="auto" w:sz="4" w:space="0"/>
              <w:right w:val="single" w:color="auto" w:sz="4" w:space="0"/>
            </w:tcBorders>
            <w:vAlign w:val="center"/>
          </w:tcPr>
          <w:p w14:paraId="51F9ACBE">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20≤X＜300</w:t>
            </w:r>
          </w:p>
        </w:tc>
        <w:tc>
          <w:tcPr>
            <w:tcW w:w="992" w:type="dxa"/>
            <w:tcBorders>
              <w:top w:val="nil"/>
              <w:left w:val="nil"/>
              <w:bottom w:val="single" w:color="auto" w:sz="4" w:space="0"/>
              <w:right w:val="single" w:color="auto" w:sz="4" w:space="0"/>
            </w:tcBorders>
            <w:vAlign w:val="center"/>
          </w:tcPr>
          <w:p w14:paraId="0284BA20">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w:t>
            </w:r>
          </w:p>
        </w:tc>
      </w:tr>
      <w:tr w14:paraId="7D5B7653">
        <w:tblPrEx>
          <w:tblCellMar>
            <w:top w:w="0" w:type="dxa"/>
            <w:left w:w="108" w:type="dxa"/>
            <w:bottom w:w="0" w:type="dxa"/>
            <w:right w:w="108" w:type="dxa"/>
          </w:tblCellMar>
        </w:tblPrEx>
        <w:trPr>
          <w:trHeight w:val="225" w:hRule="atLeast"/>
        </w:trPr>
        <w:tc>
          <w:tcPr>
            <w:tcW w:w="2161" w:type="dxa"/>
            <w:vMerge w:val="continue"/>
            <w:tcBorders>
              <w:top w:val="nil"/>
              <w:left w:val="single" w:color="auto" w:sz="4" w:space="0"/>
              <w:bottom w:val="single" w:color="auto" w:sz="4" w:space="0"/>
              <w:right w:val="single" w:color="auto" w:sz="4" w:space="0"/>
            </w:tcBorders>
            <w:vAlign w:val="center"/>
          </w:tcPr>
          <w:p w14:paraId="0AB01E62">
            <w:pPr>
              <w:widowControl/>
              <w:spacing w:line="336" w:lineRule="auto"/>
              <w:jc w:val="center"/>
              <w:rPr>
                <w:rFonts w:hint="eastAsia" w:ascii="宋体" w:hAnsi="宋体" w:eastAsia="宋体" w:cs="宋体"/>
                <w:b/>
                <w:bCs/>
                <w:color w:val="auto"/>
                <w:kern w:val="0"/>
                <w:sz w:val="18"/>
                <w:szCs w:val="18"/>
                <w:highlight w:val="none"/>
              </w:rPr>
            </w:pPr>
          </w:p>
        </w:tc>
        <w:tc>
          <w:tcPr>
            <w:tcW w:w="1418" w:type="dxa"/>
            <w:tcBorders>
              <w:top w:val="nil"/>
              <w:left w:val="nil"/>
              <w:bottom w:val="single" w:color="auto" w:sz="4" w:space="0"/>
              <w:right w:val="single" w:color="auto" w:sz="4" w:space="0"/>
            </w:tcBorders>
            <w:vAlign w:val="center"/>
          </w:tcPr>
          <w:p w14:paraId="7A5BFD39">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1275" w:type="dxa"/>
            <w:tcBorders>
              <w:top w:val="nil"/>
              <w:left w:val="nil"/>
              <w:bottom w:val="single" w:color="auto" w:sz="4" w:space="0"/>
              <w:right w:val="single" w:color="auto" w:sz="4" w:space="0"/>
            </w:tcBorders>
            <w:vAlign w:val="center"/>
          </w:tcPr>
          <w:p w14:paraId="2343B683">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701" w:type="dxa"/>
            <w:tcBorders>
              <w:top w:val="nil"/>
              <w:left w:val="nil"/>
              <w:bottom w:val="single" w:color="auto" w:sz="4" w:space="0"/>
              <w:right w:val="single" w:color="auto" w:sz="4" w:space="0"/>
            </w:tcBorders>
            <w:vAlign w:val="center"/>
          </w:tcPr>
          <w:p w14:paraId="3B6F3DE4">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2000≤Y＜40000</w:t>
            </w:r>
          </w:p>
        </w:tc>
        <w:tc>
          <w:tcPr>
            <w:tcW w:w="1560" w:type="dxa"/>
            <w:tcBorders>
              <w:top w:val="nil"/>
              <w:left w:val="nil"/>
              <w:bottom w:val="single" w:color="auto" w:sz="4" w:space="0"/>
              <w:right w:val="single" w:color="auto" w:sz="4" w:space="0"/>
            </w:tcBorders>
            <w:vAlign w:val="center"/>
          </w:tcPr>
          <w:p w14:paraId="5AF4E0E0">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300≤Y＜2000</w:t>
            </w:r>
          </w:p>
        </w:tc>
        <w:tc>
          <w:tcPr>
            <w:tcW w:w="992" w:type="dxa"/>
            <w:tcBorders>
              <w:top w:val="nil"/>
              <w:left w:val="nil"/>
              <w:bottom w:val="single" w:color="auto" w:sz="4" w:space="0"/>
              <w:right w:val="single" w:color="auto" w:sz="4" w:space="0"/>
            </w:tcBorders>
            <w:vAlign w:val="center"/>
          </w:tcPr>
          <w:p w14:paraId="7E4332B7">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Y＜300</w:t>
            </w:r>
          </w:p>
        </w:tc>
      </w:tr>
      <w:tr w14:paraId="4DD0E045">
        <w:tblPrEx>
          <w:tblCellMar>
            <w:top w:w="0" w:type="dxa"/>
            <w:left w:w="108" w:type="dxa"/>
            <w:bottom w:w="0" w:type="dxa"/>
            <w:right w:w="108" w:type="dxa"/>
          </w:tblCellMar>
        </w:tblPrEx>
        <w:trPr>
          <w:trHeight w:val="225" w:hRule="atLeast"/>
        </w:trPr>
        <w:tc>
          <w:tcPr>
            <w:tcW w:w="2161" w:type="dxa"/>
            <w:vMerge w:val="restart"/>
            <w:tcBorders>
              <w:top w:val="nil"/>
              <w:left w:val="single" w:color="auto" w:sz="4" w:space="0"/>
              <w:bottom w:val="single" w:color="auto" w:sz="4" w:space="0"/>
              <w:right w:val="single" w:color="auto" w:sz="4" w:space="0"/>
            </w:tcBorders>
            <w:vAlign w:val="center"/>
          </w:tcPr>
          <w:p w14:paraId="29EDC2C6">
            <w:pPr>
              <w:widowControl/>
              <w:spacing w:line="336" w:lineRule="auto"/>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建筑业</w:t>
            </w:r>
          </w:p>
        </w:tc>
        <w:tc>
          <w:tcPr>
            <w:tcW w:w="1418" w:type="dxa"/>
            <w:tcBorders>
              <w:top w:val="nil"/>
              <w:left w:val="nil"/>
              <w:bottom w:val="single" w:color="auto" w:sz="4" w:space="0"/>
              <w:right w:val="single" w:color="auto" w:sz="4" w:space="0"/>
            </w:tcBorders>
            <w:vAlign w:val="center"/>
          </w:tcPr>
          <w:p w14:paraId="30DCE10B">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1275" w:type="dxa"/>
            <w:tcBorders>
              <w:top w:val="nil"/>
              <w:left w:val="nil"/>
              <w:bottom w:val="single" w:color="auto" w:sz="4" w:space="0"/>
              <w:right w:val="single" w:color="auto" w:sz="4" w:space="0"/>
            </w:tcBorders>
            <w:vAlign w:val="center"/>
          </w:tcPr>
          <w:p w14:paraId="6492305B">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701" w:type="dxa"/>
            <w:tcBorders>
              <w:top w:val="nil"/>
              <w:left w:val="nil"/>
              <w:bottom w:val="single" w:color="auto" w:sz="4" w:space="0"/>
              <w:right w:val="single" w:color="auto" w:sz="4" w:space="0"/>
            </w:tcBorders>
            <w:vAlign w:val="center"/>
          </w:tcPr>
          <w:p w14:paraId="2A66B7D6">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6000≤Y＜80000</w:t>
            </w:r>
          </w:p>
        </w:tc>
        <w:tc>
          <w:tcPr>
            <w:tcW w:w="1560" w:type="dxa"/>
            <w:tcBorders>
              <w:top w:val="nil"/>
              <w:left w:val="nil"/>
              <w:bottom w:val="single" w:color="auto" w:sz="4" w:space="0"/>
              <w:right w:val="single" w:color="auto" w:sz="4" w:space="0"/>
            </w:tcBorders>
            <w:vAlign w:val="center"/>
          </w:tcPr>
          <w:p w14:paraId="38C0BE8C">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300≤Y＜6000</w:t>
            </w:r>
          </w:p>
        </w:tc>
        <w:tc>
          <w:tcPr>
            <w:tcW w:w="992" w:type="dxa"/>
            <w:tcBorders>
              <w:top w:val="nil"/>
              <w:left w:val="nil"/>
              <w:bottom w:val="single" w:color="auto" w:sz="4" w:space="0"/>
              <w:right w:val="single" w:color="auto" w:sz="4" w:space="0"/>
            </w:tcBorders>
            <w:vAlign w:val="center"/>
          </w:tcPr>
          <w:p w14:paraId="5850372B">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Y＜300</w:t>
            </w:r>
          </w:p>
        </w:tc>
      </w:tr>
      <w:tr w14:paraId="032ADFD8">
        <w:tblPrEx>
          <w:tblCellMar>
            <w:top w:w="0" w:type="dxa"/>
            <w:left w:w="108" w:type="dxa"/>
            <w:bottom w:w="0" w:type="dxa"/>
            <w:right w:w="108" w:type="dxa"/>
          </w:tblCellMar>
        </w:tblPrEx>
        <w:trPr>
          <w:trHeight w:val="225" w:hRule="atLeast"/>
        </w:trPr>
        <w:tc>
          <w:tcPr>
            <w:tcW w:w="2161" w:type="dxa"/>
            <w:vMerge w:val="continue"/>
            <w:tcBorders>
              <w:top w:val="nil"/>
              <w:left w:val="single" w:color="auto" w:sz="4" w:space="0"/>
              <w:bottom w:val="single" w:color="auto" w:sz="4" w:space="0"/>
              <w:right w:val="single" w:color="auto" w:sz="4" w:space="0"/>
            </w:tcBorders>
            <w:vAlign w:val="center"/>
          </w:tcPr>
          <w:p w14:paraId="0D616C76">
            <w:pPr>
              <w:widowControl/>
              <w:spacing w:line="336" w:lineRule="auto"/>
              <w:jc w:val="center"/>
              <w:rPr>
                <w:rFonts w:hint="eastAsia" w:ascii="宋体" w:hAnsi="宋体" w:eastAsia="宋体" w:cs="宋体"/>
                <w:b/>
                <w:bCs/>
                <w:color w:val="auto"/>
                <w:kern w:val="0"/>
                <w:sz w:val="18"/>
                <w:szCs w:val="18"/>
                <w:highlight w:val="none"/>
              </w:rPr>
            </w:pPr>
          </w:p>
        </w:tc>
        <w:tc>
          <w:tcPr>
            <w:tcW w:w="1418" w:type="dxa"/>
            <w:tcBorders>
              <w:top w:val="nil"/>
              <w:left w:val="nil"/>
              <w:bottom w:val="single" w:color="auto" w:sz="4" w:space="0"/>
              <w:right w:val="single" w:color="auto" w:sz="4" w:space="0"/>
            </w:tcBorders>
            <w:vAlign w:val="center"/>
          </w:tcPr>
          <w:p w14:paraId="3E4B13A2">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资产总额（Z）</w:t>
            </w:r>
          </w:p>
        </w:tc>
        <w:tc>
          <w:tcPr>
            <w:tcW w:w="1275" w:type="dxa"/>
            <w:tcBorders>
              <w:top w:val="nil"/>
              <w:left w:val="nil"/>
              <w:bottom w:val="single" w:color="auto" w:sz="4" w:space="0"/>
              <w:right w:val="single" w:color="auto" w:sz="4" w:space="0"/>
            </w:tcBorders>
            <w:vAlign w:val="center"/>
          </w:tcPr>
          <w:p w14:paraId="460282E6">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701" w:type="dxa"/>
            <w:tcBorders>
              <w:top w:val="nil"/>
              <w:left w:val="nil"/>
              <w:bottom w:val="single" w:color="auto" w:sz="4" w:space="0"/>
              <w:right w:val="single" w:color="auto" w:sz="4" w:space="0"/>
            </w:tcBorders>
            <w:vAlign w:val="center"/>
          </w:tcPr>
          <w:p w14:paraId="08C07158">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5000≤Z＜80000</w:t>
            </w:r>
          </w:p>
        </w:tc>
        <w:tc>
          <w:tcPr>
            <w:tcW w:w="1560" w:type="dxa"/>
            <w:tcBorders>
              <w:top w:val="nil"/>
              <w:left w:val="nil"/>
              <w:bottom w:val="single" w:color="auto" w:sz="4" w:space="0"/>
              <w:right w:val="single" w:color="auto" w:sz="4" w:space="0"/>
            </w:tcBorders>
            <w:vAlign w:val="center"/>
          </w:tcPr>
          <w:p w14:paraId="298BAE4A">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300≤Z＜5000</w:t>
            </w:r>
          </w:p>
        </w:tc>
        <w:tc>
          <w:tcPr>
            <w:tcW w:w="992" w:type="dxa"/>
            <w:tcBorders>
              <w:top w:val="nil"/>
              <w:left w:val="nil"/>
              <w:bottom w:val="single" w:color="auto" w:sz="4" w:space="0"/>
              <w:right w:val="single" w:color="auto" w:sz="4" w:space="0"/>
            </w:tcBorders>
            <w:vAlign w:val="center"/>
          </w:tcPr>
          <w:p w14:paraId="0EF24D6F">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Z＜300</w:t>
            </w:r>
          </w:p>
        </w:tc>
      </w:tr>
      <w:tr w14:paraId="0206C221">
        <w:tblPrEx>
          <w:tblCellMar>
            <w:top w:w="0" w:type="dxa"/>
            <w:left w:w="108" w:type="dxa"/>
            <w:bottom w:w="0" w:type="dxa"/>
            <w:right w:w="108" w:type="dxa"/>
          </w:tblCellMar>
        </w:tblPrEx>
        <w:trPr>
          <w:trHeight w:val="225" w:hRule="atLeast"/>
        </w:trPr>
        <w:tc>
          <w:tcPr>
            <w:tcW w:w="2161" w:type="dxa"/>
            <w:vMerge w:val="restart"/>
            <w:tcBorders>
              <w:top w:val="nil"/>
              <w:left w:val="single" w:color="auto" w:sz="4" w:space="0"/>
              <w:bottom w:val="single" w:color="auto" w:sz="4" w:space="0"/>
              <w:right w:val="single" w:color="auto" w:sz="4" w:space="0"/>
            </w:tcBorders>
            <w:vAlign w:val="center"/>
          </w:tcPr>
          <w:p w14:paraId="21C287D8">
            <w:pPr>
              <w:widowControl/>
              <w:spacing w:line="336" w:lineRule="auto"/>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批发业</w:t>
            </w:r>
          </w:p>
        </w:tc>
        <w:tc>
          <w:tcPr>
            <w:tcW w:w="1418" w:type="dxa"/>
            <w:tcBorders>
              <w:top w:val="nil"/>
              <w:left w:val="nil"/>
              <w:bottom w:val="single" w:color="auto" w:sz="4" w:space="0"/>
              <w:right w:val="single" w:color="auto" w:sz="4" w:space="0"/>
            </w:tcBorders>
            <w:vAlign w:val="center"/>
          </w:tcPr>
          <w:p w14:paraId="210A0FB6">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1275" w:type="dxa"/>
            <w:tcBorders>
              <w:top w:val="nil"/>
              <w:left w:val="nil"/>
              <w:bottom w:val="single" w:color="auto" w:sz="4" w:space="0"/>
              <w:right w:val="single" w:color="auto" w:sz="4" w:space="0"/>
            </w:tcBorders>
            <w:vAlign w:val="center"/>
          </w:tcPr>
          <w:p w14:paraId="127CFD49">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701" w:type="dxa"/>
            <w:tcBorders>
              <w:top w:val="nil"/>
              <w:left w:val="nil"/>
              <w:bottom w:val="single" w:color="auto" w:sz="4" w:space="0"/>
              <w:right w:val="single" w:color="auto" w:sz="4" w:space="0"/>
            </w:tcBorders>
            <w:vAlign w:val="center"/>
          </w:tcPr>
          <w:p w14:paraId="230B5304">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20≤X＜200</w:t>
            </w:r>
          </w:p>
        </w:tc>
        <w:tc>
          <w:tcPr>
            <w:tcW w:w="1560" w:type="dxa"/>
            <w:tcBorders>
              <w:top w:val="nil"/>
              <w:left w:val="nil"/>
              <w:bottom w:val="single" w:color="auto" w:sz="4" w:space="0"/>
              <w:right w:val="single" w:color="auto" w:sz="4" w:space="0"/>
            </w:tcBorders>
            <w:vAlign w:val="center"/>
          </w:tcPr>
          <w:p w14:paraId="3433E64B">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5≤X＜20</w:t>
            </w:r>
          </w:p>
        </w:tc>
        <w:tc>
          <w:tcPr>
            <w:tcW w:w="992" w:type="dxa"/>
            <w:tcBorders>
              <w:top w:val="nil"/>
              <w:left w:val="nil"/>
              <w:bottom w:val="single" w:color="auto" w:sz="4" w:space="0"/>
              <w:right w:val="single" w:color="auto" w:sz="4" w:space="0"/>
            </w:tcBorders>
            <w:vAlign w:val="center"/>
          </w:tcPr>
          <w:p w14:paraId="239BC05A">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X＜5</w:t>
            </w:r>
          </w:p>
        </w:tc>
      </w:tr>
      <w:tr w14:paraId="7412CB9B">
        <w:tblPrEx>
          <w:tblCellMar>
            <w:top w:w="0" w:type="dxa"/>
            <w:left w:w="108" w:type="dxa"/>
            <w:bottom w:w="0" w:type="dxa"/>
            <w:right w:w="108" w:type="dxa"/>
          </w:tblCellMar>
        </w:tblPrEx>
        <w:trPr>
          <w:trHeight w:val="225" w:hRule="atLeast"/>
        </w:trPr>
        <w:tc>
          <w:tcPr>
            <w:tcW w:w="2161" w:type="dxa"/>
            <w:vMerge w:val="continue"/>
            <w:tcBorders>
              <w:top w:val="nil"/>
              <w:left w:val="single" w:color="auto" w:sz="4" w:space="0"/>
              <w:bottom w:val="single" w:color="auto" w:sz="4" w:space="0"/>
              <w:right w:val="single" w:color="auto" w:sz="4" w:space="0"/>
            </w:tcBorders>
            <w:vAlign w:val="center"/>
          </w:tcPr>
          <w:p w14:paraId="26877180">
            <w:pPr>
              <w:widowControl/>
              <w:spacing w:line="336" w:lineRule="auto"/>
              <w:jc w:val="center"/>
              <w:rPr>
                <w:rFonts w:hint="eastAsia" w:ascii="宋体" w:hAnsi="宋体" w:eastAsia="宋体" w:cs="宋体"/>
                <w:b/>
                <w:bCs/>
                <w:color w:val="auto"/>
                <w:kern w:val="0"/>
                <w:sz w:val="18"/>
                <w:szCs w:val="18"/>
                <w:highlight w:val="none"/>
              </w:rPr>
            </w:pPr>
          </w:p>
        </w:tc>
        <w:tc>
          <w:tcPr>
            <w:tcW w:w="1418" w:type="dxa"/>
            <w:tcBorders>
              <w:top w:val="nil"/>
              <w:left w:val="nil"/>
              <w:bottom w:val="single" w:color="auto" w:sz="4" w:space="0"/>
              <w:right w:val="single" w:color="auto" w:sz="4" w:space="0"/>
            </w:tcBorders>
            <w:vAlign w:val="center"/>
          </w:tcPr>
          <w:p w14:paraId="6C5B40E0">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1275" w:type="dxa"/>
            <w:tcBorders>
              <w:top w:val="nil"/>
              <w:left w:val="nil"/>
              <w:bottom w:val="single" w:color="auto" w:sz="4" w:space="0"/>
              <w:right w:val="single" w:color="auto" w:sz="4" w:space="0"/>
            </w:tcBorders>
            <w:vAlign w:val="center"/>
          </w:tcPr>
          <w:p w14:paraId="002A7BCD">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701" w:type="dxa"/>
            <w:tcBorders>
              <w:top w:val="nil"/>
              <w:left w:val="nil"/>
              <w:bottom w:val="single" w:color="auto" w:sz="4" w:space="0"/>
              <w:right w:val="single" w:color="auto" w:sz="4" w:space="0"/>
            </w:tcBorders>
            <w:vAlign w:val="center"/>
          </w:tcPr>
          <w:p w14:paraId="32E057B5">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5000≤Y＜40000</w:t>
            </w:r>
          </w:p>
        </w:tc>
        <w:tc>
          <w:tcPr>
            <w:tcW w:w="1560" w:type="dxa"/>
            <w:tcBorders>
              <w:top w:val="nil"/>
              <w:left w:val="nil"/>
              <w:bottom w:val="single" w:color="auto" w:sz="4" w:space="0"/>
              <w:right w:val="single" w:color="auto" w:sz="4" w:space="0"/>
            </w:tcBorders>
            <w:vAlign w:val="center"/>
          </w:tcPr>
          <w:p w14:paraId="516FC0AC">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1000≤Y＜5000</w:t>
            </w:r>
          </w:p>
        </w:tc>
        <w:tc>
          <w:tcPr>
            <w:tcW w:w="992" w:type="dxa"/>
            <w:tcBorders>
              <w:top w:val="nil"/>
              <w:left w:val="nil"/>
              <w:bottom w:val="single" w:color="auto" w:sz="4" w:space="0"/>
              <w:right w:val="single" w:color="auto" w:sz="4" w:space="0"/>
            </w:tcBorders>
            <w:vAlign w:val="center"/>
          </w:tcPr>
          <w:p w14:paraId="358BBDF0">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Y＜1000</w:t>
            </w:r>
          </w:p>
        </w:tc>
      </w:tr>
      <w:tr w14:paraId="5F91ADAA">
        <w:tblPrEx>
          <w:tblCellMar>
            <w:top w:w="0" w:type="dxa"/>
            <w:left w:w="108" w:type="dxa"/>
            <w:bottom w:w="0" w:type="dxa"/>
            <w:right w:w="108" w:type="dxa"/>
          </w:tblCellMar>
        </w:tblPrEx>
        <w:trPr>
          <w:trHeight w:val="225" w:hRule="atLeast"/>
        </w:trPr>
        <w:tc>
          <w:tcPr>
            <w:tcW w:w="2161" w:type="dxa"/>
            <w:vMerge w:val="restart"/>
            <w:tcBorders>
              <w:top w:val="nil"/>
              <w:left w:val="single" w:color="auto" w:sz="4" w:space="0"/>
              <w:bottom w:val="single" w:color="auto" w:sz="4" w:space="0"/>
              <w:right w:val="single" w:color="auto" w:sz="4" w:space="0"/>
            </w:tcBorders>
            <w:vAlign w:val="center"/>
          </w:tcPr>
          <w:p w14:paraId="3BA7A73B">
            <w:pPr>
              <w:widowControl/>
              <w:spacing w:line="336" w:lineRule="auto"/>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零售业</w:t>
            </w:r>
          </w:p>
        </w:tc>
        <w:tc>
          <w:tcPr>
            <w:tcW w:w="1418" w:type="dxa"/>
            <w:tcBorders>
              <w:top w:val="nil"/>
              <w:left w:val="nil"/>
              <w:bottom w:val="single" w:color="auto" w:sz="4" w:space="0"/>
              <w:right w:val="single" w:color="auto" w:sz="4" w:space="0"/>
            </w:tcBorders>
            <w:vAlign w:val="center"/>
          </w:tcPr>
          <w:p w14:paraId="6D4BD9CE">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1275" w:type="dxa"/>
            <w:tcBorders>
              <w:top w:val="nil"/>
              <w:left w:val="nil"/>
              <w:bottom w:val="single" w:color="auto" w:sz="4" w:space="0"/>
              <w:right w:val="single" w:color="auto" w:sz="4" w:space="0"/>
            </w:tcBorders>
            <w:vAlign w:val="center"/>
          </w:tcPr>
          <w:p w14:paraId="3C16855E">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701" w:type="dxa"/>
            <w:tcBorders>
              <w:top w:val="nil"/>
              <w:left w:val="nil"/>
              <w:bottom w:val="single" w:color="auto" w:sz="4" w:space="0"/>
              <w:right w:val="single" w:color="auto" w:sz="4" w:space="0"/>
            </w:tcBorders>
            <w:vAlign w:val="center"/>
          </w:tcPr>
          <w:p w14:paraId="53A636CF">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50≤X＜300</w:t>
            </w:r>
          </w:p>
        </w:tc>
        <w:tc>
          <w:tcPr>
            <w:tcW w:w="1560" w:type="dxa"/>
            <w:tcBorders>
              <w:top w:val="nil"/>
              <w:left w:val="nil"/>
              <w:bottom w:val="single" w:color="auto" w:sz="4" w:space="0"/>
              <w:right w:val="single" w:color="auto" w:sz="4" w:space="0"/>
            </w:tcBorders>
            <w:vAlign w:val="center"/>
          </w:tcPr>
          <w:p w14:paraId="05E6FA49">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10≤X＜50</w:t>
            </w:r>
          </w:p>
        </w:tc>
        <w:tc>
          <w:tcPr>
            <w:tcW w:w="992" w:type="dxa"/>
            <w:tcBorders>
              <w:top w:val="nil"/>
              <w:left w:val="nil"/>
              <w:bottom w:val="single" w:color="auto" w:sz="4" w:space="0"/>
              <w:right w:val="single" w:color="auto" w:sz="4" w:space="0"/>
            </w:tcBorders>
            <w:vAlign w:val="center"/>
          </w:tcPr>
          <w:p w14:paraId="02B2590C">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2479E700">
        <w:tblPrEx>
          <w:tblCellMar>
            <w:top w:w="0" w:type="dxa"/>
            <w:left w:w="108" w:type="dxa"/>
            <w:bottom w:w="0" w:type="dxa"/>
            <w:right w:w="108" w:type="dxa"/>
          </w:tblCellMar>
        </w:tblPrEx>
        <w:trPr>
          <w:trHeight w:val="225" w:hRule="atLeast"/>
        </w:trPr>
        <w:tc>
          <w:tcPr>
            <w:tcW w:w="2161" w:type="dxa"/>
            <w:vMerge w:val="continue"/>
            <w:tcBorders>
              <w:top w:val="nil"/>
              <w:left w:val="single" w:color="auto" w:sz="4" w:space="0"/>
              <w:bottom w:val="single" w:color="auto" w:sz="4" w:space="0"/>
              <w:right w:val="single" w:color="auto" w:sz="4" w:space="0"/>
            </w:tcBorders>
            <w:vAlign w:val="center"/>
          </w:tcPr>
          <w:p w14:paraId="5FE21199">
            <w:pPr>
              <w:widowControl/>
              <w:spacing w:line="336" w:lineRule="auto"/>
              <w:jc w:val="center"/>
              <w:rPr>
                <w:rFonts w:hint="eastAsia" w:ascii="宋体" w:hAnsi="宋体" w:eastAsia="宋体" w:cs="宋体"/>
                <w:b/>
                <w:bCs/>
                <w:color w:val="auto"/>
                <w:kern w:val="0"/>
                <w:sz w:val="18"/>
                <w:szCs w:val="18"/>
                <w:highlight w:val="none"/>
              </w:rPr>
            </w:pPr>
          </w:p>
        </w:tc>
        <w:tc>
          <w:tcPr>
            <w:tcW w:w="1418" w:type="dxa"/>
            <w:tcBorders>
              <w:top w:val="nil"/>
              <w:left w:val="nil"/>
              <w:bottom w:val="single" w:color="auto" w:sz="4" w:space="0"/>
              <w:right w:val="single" w:color="auto" w:sz="4" w:space="0"/>
            </w:tcBorders>
            <w:vAlign w:val="center"/>
          </w:tcPr>
          <w:p w14:paraId="05D12094">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1275" w:type="dxa"/>
            <w:tcBorders>
              <w:top w:val="nil"/>
              <w:left w:val="nil"/>
              <w:bottom w:val="single" w:color="auto" w:sz="4" w:space="0"/>
              <w:right w:val="single" w:color="auto" w:sz="4" w:space="0"/>
            </w:tcBorders>
            <w:vAlign w:val="center"/>
          </w:tcPr>
          <w:p w14:paraId="671DB427">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701" w:type="dxa"/>
            <w:tcBorders>
              <w:top w:val="nil"/>
              <w:left w:val="nil"/>
              <w:bottom w:val="single" w:color="auto" w:sz="4" w:space="0"/>
              <w:right w:val="single" w:color="auto" w:sz="4" w:space="0"/>
            </w:tcBorders>
            <w:vAlign w:val="center"/>
          </w:tcPr>
          <w:p w14:paraId="67563A1B">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500≤Y＜20000</w:t>
            </w:r>
          </w:p>
        </w:tc>
        <w:tc>
          <w:tcPr>
            <w:tcW w:w="1560" w:type="dxa"/>
            <w:tcBorders>
              <w:top w:val="nil"/>
              <w:left w:val="nil"/>
              <w:bottom w:val="single" w:color="auto" w:sz="4" w:space="0"/>
              <w:right w:val="single" w:color="auto" w:sz="4" w:space="0"/>
            </w:tcBorders>
            <w:vAlign w:val="center"/>
          </w:tcPr>
          <w:p w14:paraId="7D72EDB8">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100≤Y＜500</w:t>
            </w:r>
          </w:p>
        </w:tc>
        <w:tc>
          <w:tcPr>
            <w:tcW w:w="992" w:type="dxa"/>
            <w:tcBorders>
              <w:top w:val="nil"/>
              <w:left w:val="nil"/>
              <w:bottom w:val="single" w:color="auto" w:sz="4" w:space="0"/>
              <w:right w:val="single" w:color="auto" w:sz="4" w:space="0"/>
            </w:tcBorders>
            <w:vAlign w:val="center"/>
          </w:tcPr>
          <w:p w14:paraId="56DED7F4">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6DBD6AA2">
        <w:tblPrEx>
          <w:tblCellMar>
            <w:top w:w="0" w:type="dxa"/>
            <w:left w:w="108" w:type="dxa"/>
            <w:bottom w:w="0" w:type="dxa"/>
            <w:right w:w="108" w:type="dxa"/>
          </w:tblCellMar>
        </w:tblPrEx>
        <w:trPr>
          <w:trHeight w:val="225" w:hRule="atLeast"/>
        </w:trPr>
        <w:tc>
          <w:tcPr>
            <w:tcW w:w="2161" w:type="dxa"/>
            <w:vMerge w:val="restart"/>
            <w:tcBorders>
              <w:top w:val="nil"/>
              <w:left w:val="single" w:color="auto" w:sz="4" w:space="0"/>
              <w:bottom w:val="single" w:color="auto" w:sz="4" w:space="0"/>
              <w:right w:val="single" w:color="auto" w:sz="4" w:space="0"/>
            </w:tcBorders>
            <w:vAlign w:val="center"/>
          </w:tcPr>
          <w:p w14:paraId="534627F0">
            <w:pPr>
              <w:widowControl/>
              <w:spacing w:line="336" w:lineRule="auto"/>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交通运输业</w:t>
            </w:r>
          </w:p>
        </w:tc>
        <w:tc>
          <w:tcPr>
            <w:tcW w:w="1418" w:type="dxa"/>
            <w:tcBorders>
              <w:top w:val="nil"/>
              <w:left w:val="nil"/>
              <w:bottom w:val="single" w:color="auto" w:sz="4" w:space="0"/>
              <w:right w:val="single" w:color="auto" w:sz="4" w:space="0"/>
            </w:tcBorders>
            <w:vAlign w:val="center"/>
          </w:tcPr>
          <w:p w14:paraId="45A39A29">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1275" w:type="dxa"/>
            <w:tcBorders>
              <w:top w:val="nil"/>
              <w:left w:val="nil"/>
              <w:bottom w:val="single" w:color="auto" w:sz="4" w:space="0"/>
              <w:right w:val="single" w:color="auto" w:sz="4" w:space="0"/>
            </w:tcBorders>
            <w:vAlign w:val="center"/>
          </w:tcPr>
          <w:p w14:paraId="601AFB74">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701" w:type="dxa"/>
            <w:tcBorders>
              <w:top w:val="nil"/>
              <w:left w:val="nil"/>
              <w:bottom w:val="single" w:color="auto" w:sz="4" w:space="0"/>
              <w:right w:val="single" w:color="auto" w:sz="4" w:space="0"/>
            </w:tcBorders>
            <w:vAlign w:val="center"/>
          </w:tcPr>
          <w:p w14:paraId="5AB04673">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300≤X＜1000</w:t>
            </w:r>
          </w:p>
        </w:tc>
        <w:tc>
          <w:tcPr>
            <w:tcW w:w="1560" w:type="dxa"/>
            <w:tcBorders>
              <w:top w:val="nil"/>
              <w:left w:val="nil"/>
              <w:bottom w:val="single" w:color="auto" w:sz="4" w:space="0"/>
              <w:right w:val="single" w:color="auto" w:sz="4" w:space="0"/>
            </w:tcBorders>
            <w:vAlign w:val="center"/>
          </w:tcPr>
          <w:p w14:paraId="57B0095D">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20≤X＜300</w:t>
            </w:r>
          </w:p>
        </w:tc>
        <w:tc>
          <w:tcPr>
            <w:tcW w:w="992" w:type="dxa"/>
            <w:tcBorders>
              <w:top w:val="nil"/>
              <w:left w:val="nil"/>
              <w:bottom w:val="single" w:color="auto" w:sz="4" w:space="0"/>
              <w:right w:val="single" w:color="auto" w:sz="4" w:space="0"/>
            </w:tcBorders>
            <w:vAlign w:val="center"/>
          </w:tcPr>
          <w:p w14:paraId="1DB55D7A">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w:t>
            </w:r>
          </w:p>
        </w:tc>
      </w:tr>
      <w:tr w14:paraId="21B4E2AB">
        <w:tblPrEx>
          <w:tblCellMar>
            <w:top w:w="0" w:type="dxa"/>
            <w:left w:w="108" w:type="dxa"/>
            <w:bottom w:w="0" w:type="dxa"/>
            <w:right w:w="108" w:type="dxa"/>
          </w:tblCellMar>
        </w:tblPrEx>
        <w:trPr>
          <w:trHeight w:val="225" w:hRule="atLeast"/>
        </w:trPr>
        <w:tc>
          <w:tcPr>
            <w:tcW w:w="2161" w:type="dxa"/>
            <w:vMerge w:val="continue"/>
            <w:tcBorders>
              <w:top w:val="nil"/>
              <w:left w:val="single" w:color="auto" w:sz="4" w:space="0"/>
              <w:bottom w:val="single" w:color="auto" w:sz="4" w:space="0"/>
              <w:right w:val="single" w:color="auto" w:sz="4" w:space="0"/>
            </w:tcBorders>
            <w:vAlign w:val="center"/>
          </w:tcPr>
          <w:p w14:paraId="12FD83B8">
            <w:pPr>
              <w:widowControl/>
              <w:spacing w:line="336" w:lineRule="auto"/>
              <w:jc w:val="center"/>
              <w:rPr>
                <w:rFonts w:hint="eastAsia" w:ascii="宋体" w:hAnsi="宋体" w:eastAsia="宋体" w:cs="宋体"/>
                <w:b/>
                <w:bCs/>
                <w:color w:val="auto"/>
                <w:kern w:val="0"/>
                <w:sz w:val="18"/>
                <w:szCs w:val="18"/>
                <w:highlight w:val="none"/>
              </w:rPr>
            </w:pPr>
          </w:p>
        </w:tc>
        <w:tc>
          <w:tcPr>
            <w:tcW w:w="1418" w:type="dxa"/>
            <w:tcBorders>
              <w:top w:val="nil"/>
              <w:left w:val="nil"/>
              <w:bottom w:val="single" w:color="auto" w:sz="4" w:space="0"/>
              <w:right w:val="single" w:color="auto" w:sz="4" w:space="0"/>
            </w:tcBorders>
            <w:vAlign w:val="center"/>
          </w:tcPr>
          <w:p w14:paraId="3B214BA9">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1275" w:type="dxa"/>
            <w:tcBorders>
              <w:top w:val="nil"/>
              <w:left w:val="nil"/>
              <w:bottom w:val="single" w:color="auto" w:sz="4" w:space="0"/>
              <w:right w:val="single" w:color="auto" w:sz="4" w:space="0"/>
            </w:tcBorders>
            <w:vAlign w:val="center"/>
          </w:tcPr>
          <w:p w14:paraId="166F11D6">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701" w:type="dxa"/>
            <w:tcBorders>
              <w:top w:val="nil"/>
              <w:left w:val="nil"/>
              <w:bottom w:val="single" w:color="auto" w:sz="4" w:space="0"/>
              <w:right w:val="single" w:color="auto" w:sz="4" w:space="0"/>
            </w:tcBorders>
            <w:vAlign w:val="center"/>
          </w:tcPr>
          <w:p w14:paraId="58162B00">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3000≤Y＜30000</w:t>
            </w:r>
          </w:p>
        </w:tc>
        <w:tc>
          <w:tcPr>
            <w:tcW w:w="1560" w:type="dxa"/>
            <w:tcBorders>
              <w:top w:val="nil"/>
              <w:left w:val="nil"/>
              <w:bottom w:val="single" w:color="auto" w:sz="4" w:space="0"/>
              <w:right w:val="single" w:color="auto" w:sz="4" w:space="0"/>
            </w:tcBorders>
            <w:vAlign w:val="center"/>
          </w:tcPr>
          <w:p w14:paraId="3688F7DF">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200≤Y＜3000</w:t>
            </w:r>
          </w:p>
        </w:tc>
        <w:tc>
          <w:tcPr>
            <w:tcW w:w="992" w:type="dxa"/>
            <w:tcBorders>
              <w:top w:val="nil"/>
              <w:left w:val="nil"/>
              <w:bottom w:val="single" w:color="auto" w:sz="4" w:space="0"/>
              <w:right w:val="single" w:color="auto" w:sz="4" w:space="0"/>
            </w:tcBorders>
            <w:vAlign w:val="center"/>
          </w:tcPr>
          <w:p w14:paraId="125A0336">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Y＜200</w:t>
            </w:r>
          </w:p>
        </w:tc>
      </w:tr>
      <w:tr w14:paraId="1C273D56">
        <w:tblPrEx>
          <w:tblCellMar>
            <w:top w:w="0" w:type="dxa"/>
            <w:left w:w="108" w:type="dxa"/>
            <w:bottom w:w="0" w:type="dxa"/>
            <w:right w:w="108" w:type="dxa"/>
          </w:tblCellMar>
        </w:tblPrEx>
        <w:trPr>
          <w:trHeight w:val="225" w:hRule="atLeast"/>
        </w:trPr>
        <w:tc>
          <w:tcPr>
            <w:tcW w:w="2161" w:type="dxa"/>
            <w:vMerge w:val="restart"/>
            <w:tcBorders>
              <w:top w:val="nil"/>
              <w:left w:val="single" w:color="auto" w:sz="4" w:space="0"/>
              <w:bottom w:val="single" w:color="auto" w:sz="4" w:space="0"/>
              <w:right w:val="single" w:color="auto" w:sz="4" w:space="0"/>
            </w:tcBorders>
            <w:vAlign w:val="center"/>
          </w:tcPr>
          <w:p w14:paraId="01AAE6A3">
            <w:pPr>
              <w:widowControl/>
              <w:spacing w:line="336" w:lineRule="auto"/>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仓储业</w:t>
            </w:r>
          </w:p>
        </w:tc>
        <w:tc>
          <w:tcPr>
            <w:tcW w:w="1418" w:type="dxa"/>
            <w:tcBorders>
              <w:top w:val="nil"/>
              <w:left w:val="nil"/>
              <w:bottom w:val="single" w:color="auto" w:sz="4" w:space="0"/>
              <w:right w:val="single" w:color="auto" w:sz="4" w:space="0"/>
            </w:tcBorders>
            <w:vAlign w:val="center"/>
          </w:tcPr>
          <w:p w14:paraId="4AB33CD8">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1275" w:type="dxa"/>
            <w:tcBorders>
              <w:top w:val="nil"/>
              <w:left w:val="nil"/>
              <w:bottom w:val="single" w:color="auto" w:sz="4" w:space="0"/>
              <w:right w:val="single" w:color="auto" w:sz="4" w:space="0"/>
            </w:tcBorders>
            <w:vAlign w:val="center"/>
          </w:tcPr>
          <w:p w14:paraId="17DDD47C">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701" w:type="dxa"/>
            <w:tcBorders>
              <w:top w:val="nil"/>
              <w:left w:val="nil"/>
              <w:bottom w:val="single" w:color="auto" w:sz="4" w:space="0"/>
              <w:right w:val="single" w:color="auto" w:sz="4" w:space="0"/>
            </w:tcBorders>
            <w:vAlign w:val="center"/>
          </w:tcPr>
          <w:p w14:paraId="537081DB">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100≤X＜200</w:t>
            </w:r>
          </w:p>
        </w:tc>
        <w:tc>
          <w:tcPr>
            <w:tcW w:w="1560" w:type="dxa"/>
            <w:tcBorders>
              <w:top w:val="nil"/>
              <w:left w:val="nil"/>
              <w:bottom w:val="single" w:color="auto" w:sz="4" w:space="0"/>
              <w:right w:val="single" w:color="auto" w:sz="4" w:space="0"/>
            </w:tcBorders>
            <w:vAlign w:val="center"/>
          </w:tcPr>
          <w:p w14:paraId="56D8D3CB">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20≤X＜100</w:t>
            </w:r>
          </w:p>
        </w:tc>
        <w:tc>
          <w:tcPr>
            <w:tcW w:w="992" w:type="dxa"/>
            <w:tcBorders>
              <w:top w:val="nil"/>
              <w:left w:val="nil"/>
              <w:bottom w:val="single" w:color="auto" w:sz="4" w:space="0"/>
              <w:right w:val="single" w:color="auto" w:sz="4" w:space="0"/>
            </w:tcBorders>
            <w:vAlign w:val="center"/>
          </w:tcPr>
          <w:p w14:paraId="70E3C81C">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w:t>
            </w:r>
          </w:p>
        </w:tc>
      </w:tr>
      <w:tr w14:paraId="5735D462">
        <w:tblPrEx>
          <w:tblCellMar>
            <w:top w:w="0" w:type="dxa"/>
            <w:left w:w="108" w:type="dxa"/>
            <w:bottom w:w="0" w:type="dxa"/>
            <w:right w:w="108" w:type="dxa"/>
          </w:tblCellMar>
        </w:tblPrEx>
        <w:trPr>
          <w:trHeight w:val="225" w:hRule="atLeast"/>
        </w:trPr>
        <w:tc>
          <w:tcPr>
            <w:tcW w:w="2161" w:type="dxa"/>
            <w:vMerge w:val="continue"/>
            <w:tcBorders>
              <w:top w:val="nil"/>
              <w:left w:val="single" w:color="auto" w:sz="4" w:space="0"/>
              <w:bottom w:val="single" w:color="auto" w:sz="4" w:space="0"/>
              <w:right w:val="single" w:color="auto" w:sz="4" w:space="0"/>
            </w:tcBorders>
            <w:vAlign w:val="center"/>
          </w:tcPr>
          <w:p w14:paraId="396B375A">
            <w:pPr>
              <w:widowControl/>
              <w:spacing w:line="336" w:lineRule="auto"/>
              <w:jc w:val="center"/>
              <w:rPr>
                <w:rFonts w:hint="eastAsia" w:ascii="宋体" w:hAnsi="宋体" w:eastAsia="宋体" w:cs="宋体"/>
                <w:b/>
                <w:bCs/>
                <w:color w:val="auto"/>
                <w:kern w:val="0"/>
                <w:sz w:val="18"/>
                <w:szCs w:val="18"/>
                <w:highlight w:val="none"/>
              </w:rPr>
            </w:pPr>
          </w:p>
        </w:tc>
        <w:tc>
          <w:tcPr>
            <w:tcW w:w="1418" w:type="dxa"/>
            <w:tcBorders>
              <w:top w:val="nil"/>
              <w:left w:val="nil"/>
              <w:bottom w:val="single" w:color="auto" w:sz="4" w:space="0"/>
              <w:right w:val="single" w:color="auto" w:sz="4" w:space="0"/>
            </w:tcBorders>
            <w:vAlign w:val="center"/>
          </w:tcPr>
          <w:p w14:paraId="20F9A52C">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1275" w:type="dxa"/>
            <w:tcBorders>
              <w:top w:val="nil"/>
              <w:left w:val="nil"/>
              <w:bottom w:val="single" w:color="auto" w:sz="4" w:space="0"/>
              <w:right w:val="single" w:color="auto" w:sz="4" w:space="0"/>
            </w:tcBorders>
            <w:vAlign w:val="center"/>
          </w:tcPr>
          <w:p w14:paraId="05FA3639">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701" w:type="dxa"/>
            <w:tcBorders>
              <w:top w:val="nil"/>
              <w:left w:val="nil"/>
              <w:bottom w:val="single" w:color="auto" w:sz="4" w:space="0"/>
              <w:right w:val="single" w:color="auto" w:sz="4" w:space="0"/>
            </w:tcBorders>
            <w:vAlign w:val="center"/>
          </w:tcPr>
          <w:p w14:paraId="309C59FF">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1000≤Y＜30000</w:t>
            </w:r>
          </w:p>
        </w:tc>
        <w:tc>
          <w:tcPr>
            <w:tcW w:w="1560" w:type="dxa"/>
            <w:tcBorders>
              <w:top w:val="nil"/>
              <w:left w:val="nil"/>
              <w:bottom w:val="single" w:color="auto" w:sz="4" w:space="0"/>
              <w:right w:val="single" w:color="auto" w:sz="4" w:space="0"/>
            </w:tcBorders>
            <w:vAlign w:val="center"/>
          </w:tcPr>
          <w:p w14:paraId="15224E77">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100≤Y＜1000</w:t>
            </w:r>
          </w:p>
        </w:tc>
        <w:tc>
          <w:tcPr>
            <w:tcW w:w="992" w:type="dxa"/>
            <w:tcBorders>
              <w:top w:val="nil"/>
              <w:left w:val="nil"/>
              <w:bottom w:val="single" w:color="auto" w:sz="4" w:space="0"/>
              <w:right w:val="single" w:color="auto" w:sz="4" w:space="0"/>
            </w:tcBorders>
            <w:vAlign w:val="center"/>
          </w:tcPr>
          <w:p w14:paraId="133715E8">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2422CAF1">
        <w:tblPrEx>
          <w:tblCellMar>
            <w:top w:w="0" w:type="dxa"/>
            <w:left w:w="108" w:type="dxa"/>
            <w:bottom w:w="0" w:type="dxa"/>
            <w:right w:w="108" w:type="dxa"/>
          </w:tblCellMar>
        </w:tblPrEx>
        <w:trPr>
          <w:trHeight w:val="225" w:hRule="atLeast"/>
        </w:trPr>
        <w:tc>
          <w:tcPr>
            <w:tcW w:w="2161" w:type="dxa"/>
            <w:vMerge w:val="restart"/>
            <w:tcBorders>
              <w:top w:val="nil"/>
              <w:left w:val="single" w:color="auto" w:sz="4" w:space="0"/>
              <w:bottom w:val="single" w:color="auto" w:sz="4" w:space="0"/>
              <w:right w:val="single" w:color="auto" w:sz="4" w:space="0"/>
            </w:tcBorders>
            <w:vAlign w:val="center"/>
          </w:tcPr>
          <w:p w14:paraId="7478D2A9">
            <w:pPr>
              <w:widowControl/>
              <w:spacing w:line="336" w:lineRule="auto"/>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邮政业</w:t>
            </w:r>
          </w:p>
        </w:tc>
        <w:tc>
          <w:tcPr>
            <w:tcW w:w="1418" w:type="dxa"/>
            <w:tcBorders>
              <w:top w:val="nil"/>
              <w:left w:val="nil"/>
              <w:bottom w:val="single" w:color="auto" w:sz="4" w:space="0"/>
              <w:right w:val="single" w:color="auto" w:sz="4" w:space="0"/>
            </w:tcBorders>
            <w:vAlign w:val="center"/>
          </w:tcPr>
          <w:p w14:paraId="38891CB6">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1275" w:type="dxa"/>
            <w:tcBorders>
              <w:top w:val="nil"/>
              <w:left w:val="nil"/>
              <w:bottom w:val="single" w:color="auto" w:sz="4" w:space="0"/>
              <w:right w:val="single" w:color="auto" w:sz="4" w:space="0"/>
            </w:tcBorders>
            <w:vAlign w:val="center"/>
          </w:tcPr>
          <w:p w14:paraId="112FD9BC">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701" w:type="dxa"/>
            <w:tcBorders>
              <w:top w:val="nil"/>
              <w:left w:val="nil"/>
              <w:bottom w:val="single" w:color="auto" w:sz="4" w:space="0"/>
              <w:right w:val="single" w:color="auto" w:sz="4" w:space="0"/>
            </w:tcBorders>
            <w:vAlign w:val="center"/>
          </w:tcPr>
          <w:p w14:paraId="4714C1A0">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300≤X＜1000</w:t>
            </w:r>
          </w:p>
        </w:tc>
        <w:tc>
          <w:tcPr>
            <w:tcW w:w="1560" w:type="dxa"/>
            <w:tcBorders>
              <w:top w:val="nil"/>
              <w:left w:val="nil"/>
              <w:bottom w:val="single" w:color="auto" w:sz="4" w:space="0"/>
              <w:right w:val="single" w:color="auto" w:sz="4" w:space="0"/>
            </w:tcBorders>
            <w:vAlign w:val="center"/>
          </w:tcPr>
          <w:p w14:paraId="303A4FE2">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20≤X＜300</w:t>
            </w:r>
          </w:p>
        </w:tc>
        <w:tc>
          <w:tcPr>
            <w:tcW w:w="992" w:type="dxa"/>
            <w:tcBorders>
              <w:top w:val="nil"/>
              <w:left w:val="nil"/>
              <w:bottom w:val="single" w:color="auto" w:sz="4" w:space="0"/>
              <w:right w:val="single" w:color="auto" w:sz="4" w:space="0"/>
            </w:tcBorders>
            <w:vAlign w:val="center"/>
          </w:tcPr>
          <w:p w14:paraId="50099512">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w:t>
            </w:r>
          </w:p>
        </w:tc>
      </w:tr>
      <w:tr w14:paraId="65CFF7B5">
        <w:tblPrEx>
          <w:tblCellMar>
            <w:top w:w="0" w:type="dxa"/>
            <w:left w:w="108" w:type="dxa"/>
            <w:bottom w:w="0" w:type="dxa"/>
            <w:right w:w="108" w:type="dxa"/>
          </w:tblCellMar>
        </w:tblPrEx>
        <w:trPr>
          <w:trHeight w:val="225" w:hRule="atLeast"/>
        </w:trPr>
        <w:tc>
          <w:tcPr>
            <w:tcW w:w="2161" w:type="dxa"/>
            <w:vMerge w:val="continue"/>
            <w:tcBorders>
              <w:top w:val="nil"/>
              <w:left w:val="single" w:color="auto" w:sz="4" w:space="0"/>
              <w:bottom w:val="single" w:color="auto" w:sz="4" w:space="0"/>
              <w:right w:val="single" w:color="auto" w:sz="4" w:space="0"/>
            </w:tcBorders>
            <w:vAlign w:val="center"/>
          </w:tcPr>
          <w:p w14:paraId="38708532">
            <w:pPr>
              <w:widowControl/>
              <w:spacing w:line="336" w:lineRule="auto"/>
              <w:jc w:val="center"/>
              <w:rPr>
                <w:rFonts w:hint="eastAsia" w:ascii="宋体" w:hAnsi="宋体" w:eastAsia="宋体" w:cs="宋体"/>
                <w:b/>
                <w:bCs/>
                <w:color w:val="auto"/>
                <w:kern w:val="0"/>
                <w:sz w:val="18"/>
                <w:szCs w:val="18"/>
                <w:highlight w:val="none"/>
              </w:rPr>
            </w:pPr>
          </w:p>
        </w:tc>
        <w:tc>
          <w:tcPr>
            <w:tcW w:w="1418" w:type="dxa"/>
            <w:tcBorders>
              <w:top w:val="nil"/>
              <w:left w:val="nil"/>
              <w:bottom w:val="single" w:color="auto" w:sz="4" w:space="0"/>
              <w:right w:val="single" w:color="auto" w:sz="4" w:space="0"/>
            </w:tcBorders>
            <w:vAlign w:val="center"/>
          </w:tcPr>
          <w:p w14:paraId="05515B24">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1275" w:type="dxa"/>
            <w:tcBorders>
              <w:top w:val="nil"/>
              <w:left w:val="nil"/>
              <w:bottom w:val="single" w:color="auto" w:sz="4" w:space="0"/>
              <w:right w:val="single" w:color="auto" w:sz="4" w:space="0"/>
            </w:tcBorders>
            <w:vAlign w:val="center"/>
          </w:tcPr>
          <w:p w14:paraId="1F8C1507">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701" w:type="dxa"/>
            <w:tcBorders>
              <w:top w:val="nil"/>
              <w:left w:val="nil"/>
              <w:bottom w:val="single" w:color="auto" w:sz="4" w:space="0"/>
              <w:right w:val="single" w:color="auto" w:sz="4" w:space="0"/>
            </w:tcBorders>
            <w:vAlign w:val="center"/>
          </w:tcPr>
          <w:p w14:paraId="00A994E3">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2000≤Y＜30000</w:t>
            </w:r>
          </w:p>
        </w:tc>
        <w:tc>
          <w:tcPr>
            <w:tcW w:w="1560" w:type="dxa"/>
            <w:tcBorders>
              <w:top w:val="nil"/>
              <w:left w:val="nil"/>
              <w:bottom w:val="single" w:color="auto" w:sz="4" w:space="0"/>
              <w:right w:val="single" w:color="auto" w:sz="4" w:space="0"/>
            </w:tcBorders>
            <w:vAlign w:val="center"/>
          </w:tcPr>
          <w:p w14:paraId="0383A905">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100≤Y＜2000</w:t>
            </w:r>
          </w:p>
        </w:tc>
        <w:tc>
          <w:tcPr>
            <w:tcW w:w="992" w:type="dxa"/>
            <w:tcBorders>
              <w:top w:val="nil"/>
              <w:left w:val="nil"/>
              <w:bottom w:val="single" w:color="auto" w:sz="4" w:space="0"/>
              <w:right w:val="single" w:color="auto" w:sz="4" w:space="0"/>
            </w:tcBorders>
            <w:vAlign w:val="center"/>
          </w:tcPr>
          <w:p w14:paraId="1BF9E4C3">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6B27421A">
        <w:tblPrEx>
          <w:tblCellMar>
            <w:top w:w="0" w:type="dxa"/>
            <w:left w:w="108" w:type="dxa"/>
            <w:bottom w:w="0" w:type="dxa"/>
            <w:right w:w="108" w:type="dxa"/>
          </w:tblCellMar>
        </w:tblPrEx>
        <w:trPr>
          <w:trHeight w:val="225" w:hRule="atLeast"/>
        </w:trPr>
        <w:tc>
          <w:tcPr>
            <w:tcW w:w="2161" w:type="dxa"/>
            <w:vMerge w:val="restart"/>
            <w:tcBorders>
              <w:top w:val="nil"/>
              <w:left w:val="single" w:color="auto" w:sz="4" w:space="0"/>
              <w:bottom w:val="single" w:color="auto" w:sz="4" w:space="0"/>
              <w:right w:val="single" w:color="auto" w:sz="4" w:space="0"/>
            </w:tcBorders>
            <w:vAlign w:val="center"/>
          </w:tcPr>
          <w:p w14:paraId="228DBA71">
            <w:pPr>
              <w:widowControl/>
              <w:spacing w:line="336" w:lineRule="auto"/>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住宿业</w:t>
            </w:r>
          </w:p>
        </w:tc>
        <w:tc>
          <w:tcPr>
            <w:tcW w:w="1418" w:type="dxa"/>
            <w:tcBorders>
              <w:top w:val="nil"/>
              <w:left w:val="nil"/>
              <w:bottom w:val="single" w:color="auto" w:sz="4" w:space="0"/>
              <w:right w:val="single" w:color="auto" w:sz="4" w:space="0"/>
            </w:tcBorders>
            <w:vAlign w:val="center"/>
          </w:tcPr>
          <w:p w14:paraId="20A01C05">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1275" w:type="dxa"/>
            <w:tcBorders>
              <w:top w:val="nil"/>
              <w:left w:val="nil"/>
              <w:bottom w:val="single" w:color="auto" w:sz="4" w:space="0"/>
              <w:right w:val="single" w:color="auto" w:sz="4" w:space="0"/>
            </w:tcBorders>
            <w:vAlign w:val="center"/>
          </w:tcPr>
          <w:p w14:paraId="3714F237">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701" w:type="dxa"/>
            <w:tcBorders>
              <w:top w:val="nil"/>
              <w:left w:val="nil"/>
              <w:bottom w:val="single" w:color="auto" w:sz="4" w:space="0"/>
              <w:right w:val="single" w:color="auto" w:sz="4" w:space="0"/>
            </w:tcBorders>
            <w:vAlign w:val="center"/>
          </w:tcPr>
          <w:p w14:paraId="322C62AB">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100≤X＜300</w:t>
            </w:r>
          </w:p>
        </w:tc>
        <w:tc>
          <w:tcPr>
            <w:tcW w:w="1560" w:type="dxa"/>
            <w:tcBorders>
              <w:top w:val="nil"/>
              <w:left w:val="nil"/>
              <w:bottom w:val="single" w:color="auto" w:sz="4" w:space="0"/>
              <w:right w:val="single" w:color="auto" w:sz="4" w:space="0"/>
            </w:tcBorders>
            <w:vAlign w:val="center"/>
          </w:tcPr>
          <w:p w14:paraId="291E1A12">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992" w:type="dxa"/>
            <w:tcBorders>
              <w:top w:val="nil"/>
              <w:left w:val="nil"/>
              <w:bottom w:val="single" w:color="auto" w:sz="4" w:space="0"/>
              <w:right w:val="single" w:color="auto" w:sz="4" w:space="0"/>
            </w:tcBorders>
            <w:vAlign w:val="center"/>
          </w:tcPr>
          <w:p w14:paraId="4298CEE1">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34E3761F">
        <w:tblPrEx>
          <w:tblCellMar>
            <w:top w:w="0" w:type="dxa"/>
            <w:left w:w="108" w:type="dxa"/>
            <w:bottom w:w="0" w:type="dxa"/>
            <w:right w:w="108" w:type="dxa"/>
          </w:tblCellMar>
        </w:tblPrEx>
        <w:trPr>
          <w:trHeight w:val="225" w:hRule="atLeast"/>
        </w:trPr>
        <w:tc>
          <w:tcPr>
            <w:tcW w:w="2161" w:type="dxa"/>
            <w:vMerge w:val="continue"/>
            <w:tcBorders>
              <w:top w:val="nil"/>
              <w:left w:val="single" w:color="auto" w:sz="4" w:space="0"/>
              <w:bottom w:val="single" w:color="auto" w:sz="4" w:space="0"/>
              <w:right w:val="single" w:color="auto" w:sz="4" w:space="0"/>
            </w:tcBorders>
            <w:vAlign w:val="center"/>
          </w:tcPr>
          <w:p w14:paraId="0A4C550E">
            <w:pPr>
              <w:widowControl/>
              <w:spacing w:line="336" w:lineRule="auto"/>
              <w:jc w:val="center"/>
              <w:rPr>
                <w:rFonts w:hint="eastAsia" w:ascii="宋体" w:hAnsi="宋体" w:eastAsia="宋体" w:cs="宋体"/>
                <w:b/>
                <w:bCs/>
                <w:color w:val="auto"/>
                <w:kern w:val="0"/>
                <w:sz w:val="18"/>
                <w:szCs w:val="18"/>
                <w:highlight w:val="none"/>
              </w:rPr>
            </w:pPr>
          </w:p>
        </w:tc>
        <w:tc>
          <w:tcPr>
            <w:tcW w:w="1418" w:type="dxa"/>
            <w:tcBorders>
              <w:top w:val="nil"/>
              <w:left w:val="nil"/>
              <w:bottom w:val="single" w:color="auto" w:sz="4" w:space="0"/>
              <w:right w:val="single" w:color="auto" w:sz="4" w:space="0"/>
            </w:tcBorders>
            <w:vAlign w:val="center"/>
          </w:tcPr>
          <w:p w14:paraId="41D98390">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1275" w:type="dxa"/>
            <w:tcBorders>
              <w:top w:val="nil"/>
              <w:left w:val="nil"/>
              <w:bottom w:val="single" w:color="auto" w:sz="4" w:space="0"/>
              <w:right w:val="single" w:color="auto" w:sz="4" w:space="0"/>
            </w:tcBorders>
            <w:vAlign w:val="center"/>
          </w:tcPr>
          <w:p w14:paraId="20CABA39">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701" w:type="dxa"/>
            <w:tcBorders>
              <w:top w:val="nil"/>
              <w:left w:val="nil"/>
              <w:bottom w:val="single" w:color="auto" w:sz="4" w:space="0"/>
              <w:right w:val="single" w:color="auto" w:sz="4" w:space="0"/>
            </w:tcBorders>
            <w:vAlign w:val="center"/>
          </w:tcPr>
          <w:p w14:paraId="7D99338B">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2000≤Y＜10000</w:t>
            </w:r>
          </w:p>
        </w:tc>
        <w:tc>
          <w:tcPr>
            <w:tcW w:w="1560" w:type="dxa"/>
            <w:tcBorders>
              <w:top w:val="nil"/>
              <w:left w:val="nil"/>
              <w:bottom w:val="single" w:color="auto" w:sz="4" w:space="0"/>
              <w:right w:val="single" w:color="auto" w:sz="4" w:space="0"/>
            </w:tcBorders>
            <w:vAlign w:val="center"/>
          </w:tcPr>
          <w:p w14:paraId="72C25775">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100≤Y＜2000</w:t>
            </w:r>
          </w:p>
        </w:tc>
        <w:tc>
          <w:tcPr>
            <w:tcW w:w="992" w:type="dxa"/>
            <w:tcBorders>
              <w:top w:val="nil"/>
              <w:left w:val="nil"/>
              <w:bottom w:val="single" w:color="auto" w:sz="4" w:space="0"/>
              <w:right w:val="single" w:color="auto" w:sz="4" w:space="0"/>
            </w:tcBorders>
            <w:vAlign w:val="center"/>
          </w:tcPr>
          <w:p w14:paraId="4A524E6E">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5B5EC28E">
        <w:tblPrEx>
          <w:tblCellMar>
            <w:top w:w="0" w:type="dxa"/>
            <w:left w:w="108" w:type="dxa"/>
            <w:bottom w:w="0" w:type="dxa"/>
            <w:right w:w="108" w:type="dxa"/>
          </w:tblCellMar>
        </w:tblPrEx>
        <w:trPr>
          <w:trHeight w:val="225" w:hRule="atLeast"/>
        </w:trPr>
        <w:tc>
          <w:tcPr>
            <w:tcW w:w="2161" w:type="dxa"/>
            <w:vMerge w:val="restart"/>
            <w:tcBorders>
              <w:top w:val="nil"/>
              <w:left w:val="single" w:color="auto" w:sz="4" w:space="0"/>
              <w:bottom w:val="single" w:color="auto" w:sz="4" w:space="0"/>
              <w:right w:val="single" w:color="auto" w:sz="4" w:space="0"/>
            </w:tcBorders>
            <w:vAlign w:val="center"/>
          </w:tcPr>
          <w:p w14:paraId="5150AD3C">
            <w:pPr>
              <w:widowControl/>
              <w:spacing w:line="336" w:lineRule="auto"/>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餐饮业</w:t>
            </w:r>
          </w:p>
        </w:tc>
        <w:tc>
          <w:tcPr>
            <w:tcW w:w="1418" w:type="dxa"/>
            <w:tcBorders>
              <w:top w:val="nil"/>
              <w:left w:val="nil"/>
              <w:bottom w:val="single" w:color="auto" w:sz="4" w:space="0"/>
              <w:right w:val="single" w:color="auto" w:sz="4" w:space="0"/>
            </w:tcBorders>
            <w:vAlign w:val="center"/>
          </w:tcPr>
          <w:p w14:paraId="2C780C6D">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1275" w:type="dxa"/>
            <w:tcBorders>
              <w:top w:val="nil"/>
              <w:left w:val="nil"/>
              <w:bottom w:val="single" w:color="auto" w:sz="4" w:space="0"/>
              <w:right w:val="single" w:color="auto" w:sz="4" w:space="0"/>
            </w:tcBorders>
            <w:vAlign w:val="center"/>
          </w:tcPr>
          <w:p w14:paraId="706C4606">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701" w:type="dxa"/>
            <w:tcBorders>
              <w:top w:val="nil"/>
              <w:left w:val="nil"/>
              <w:bottom w:val="single" w:color="auto" w:sz="4" w:space="0"/>
              <w:right w:val="single" w:color="auto" w:sz="4" w:space="0"/>
            </w:tcBorders>
            <w:vAlign w:val="center"/>
          </w:tcPr>
          <w:p w14:paraId="4CD26DB3">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100≤X＜300</w:t>
            </w:r>
          </w:p>
        </w:tc>
        <w:tc>
          <w:tcPr>
            <w:tcW w:w="1560" w:type="dxa"/>
            <w:tcBorders>
              <w:top w:val="nil"/>
              <w:left w:val="nil"/>
              <w:bottom w:val="single" w:color="auto" w:sz="4" w:space="0"/>
              <w:right w:val="single" w:color="auto" w:sz="4" w:space="0"/>
            </w:tcBorders>
            <w:vAlign w:val="center"/>
          </w:tcPr>
          <w:p w14:paraId="1C8C971C">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992" w:type="dxa"/>
            <w:tcBorders>
              <w:top w:val="nil"/>
              <w:left w:val="nil"/>
              <w:bottom w:val="single" w:color="auto" w:sz="4" w:space="0"/>
              <w:right w:val="single" w:color="auto" w:sz="4" w:space="0"/>
            </w:tcBorders>
            <w:vAlign w:val="center"/>
          </w:tcPr>
          <w:p w14:paraId="4E228CA0">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55AD1486">
        <w:tblPrEx>
          <w:tblCellMar>
            <w:top w:w="0" w:type="dxa"/>
            <w:left w:w="108" w:type="dxa"/>
            <w:bottom w:w="0" w:type="dxa"/>
            <w:right w:w="108" w:type="dxa"/>
          </w:tblCellMar>
        </w:tblPrEx>
        <w:trPr>
          <w:trHeight w:val="225" w:hRule="atLeast"/>
        </w:trPr>
        <w:tc>
          <w:tcPr>
            <w:tcW w:w="2161" w:type="dxa"/>
            <w:vMerge w:val="continue"/>
            <w:tcBorders>
              <w:top w:val="nil"/>
              <w:left w:val="single" w:color="auto" w:sz="4" w:space="0"/>
              <w:bottom w:val="single" w:color="auto" w:sz="4" w:space="0"/>
              <w:right w:val="single" w:color="auto" w:sz="4" w:space="0"/>
            </w:tcBorders>
            <w:vAlign w:val="center"/>
          </w:tcPr>
          <w:p w14:paraId="7250507C">
            <w:pPr>
              <w:widowControl/>
              <w:spacing w:line="336" w:lineRule="auto"/>
              <w:jc w:val="center"/>
              <w:rPr>
                <w:rFonts w:hint="eastAsia" w:ascii="宋体" w:hAnsi="宋体" w:eastAsia="宋体" w:cs="宋体"/>
                <w:b/>
                <w:bCs/>
                <w:color w:val="auto"/>
                <w:kern w:val="0"/>
                <w:sz w:val="18"/>
                <w:szCs w:val="18"/>
                <w:highlight w:val="none"/>
              </w:rPr>
            </w:pPr>
          </w:p>
        </w:tc>
        <w:tc>
          <w:tcPr>
            <w:tcW w:w="1418" w:type="dxa"/>
            <w:tcBorders>
              <w:top w:val="nil"/>
              <w:left w:val="nil"/>
              <w:bottom w:val="single" w:color="auto" w:sz="4" w:space="0"/>
              <w:right w:val="single" w:color="auto" w:sz="4" w:space="0"/>
            </w:tcBorders>
            <w:vAlign w:val="center"/>
          </w:tcPr>
          <w:p w14:paraId="2730C3E4">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1275" w:type="dxa"/>
            <w:tcBorders>
              <w:top w:val="nil"/>
              <w:left w:val="nil"/>
              <w:bottom w:val="single" w:color="auto" w:sz="4" w:space="0"/>
              <w:right w:val="single" w:color="auto" w:sz="4" w:space="0"/>
            </w:tcBorders>
            <w:vAlign w:val="center"/>
          </w:tcPr>
          <w:p w14:paraId="0F908F59">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701" w:type="dxa"/>
            <w:tcBorders>
              <w:top w:val="nil"/>
              <w:left w:val="nil"/>
              <w:bottom w:val="single" w:color="auto" w:sz="4" w:space="0"/>
              <w:right w:val="single" w:color="auto" w:sz="4" w:space="0"/>
            </w:tcBorders>
            <w:vAlign w:val="center"/>
          </w:tcPr>
          <w:p w14:paraId="40F7576B">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2000≤Y＜10000</w:t>
            </w:r>
          </w:p>
        </w:tc>
        <w:tc>
          <w:tcPr>
            <w:tcW w:w="1560" w:type="dxa"/>
            <w:tcBorders>
              <w:top w:val="nil"/>
              <w:left w:val="nil"/>
              <w:bottom w:val="single" w:color="auto" w:sz="4" w:space="0"/>
              <w:right w:val="single" w:color="auto" w:sz="4" w:space="0"/>
            </w:tcBorders>
            <w:vAlign w:val="center"/>
          </w:tcPr>
          <w:p w14:paraId="2649652E">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100≤Y＜2000</w:t>
            </w:r>
          </w:p>
        </w:tc>
        <w:tc>
          <w:tcPr>
            <w:tcW w:w="992" w:type="dxa"/>
            <w:tcBorders>
              <w:top w:val="nil"/>
              <w:left w:val="nil"/>
              <w:bottom w:val="single" w:color="auto" w:sz="4" w:space="0"/>
              <w:right w:val="single" w:color="auto" w:sz="4" w:space="0"/>
            </w:tcBorders>
            <w:vAlign w:val="center"/>
          </w:tcPr>
          <w:p w14:paraId="1FD7B22C">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70DB2BFC">
        <w:tblPrEx>
          <w:tblCellMar>
            <w:top w:w="0" w:type="dxa"/>
            <w:left w:w="108" w:type="dxa"/>
            <w:bottom w:w="0" w:type="dxa"/>
            <w:right w:w="108" w:type="dxa"/>
          </w:tblCellMar>
        </w:tblPrEx>
        <w:trPr>
          <w:trHeight w:val="225" w:hRule="atLeast"/>
        </w:trPr>
        <w:tc>
          <w:tcPr>
            <w:tcW w:w="2161" w:type="dxa"/>
            <w:vMerge w:val="restart"/>
            <w:tcBorders>
              <w:top w:val="nil"/>
              <w:left w:val="single" w:color="auto" w:sz="4" w:space="0"/>
              <w:bottom w:val="single" w:color="auto" w:sz="4" w:space="0"/>
              <w:right w:val="single" w:color="auto" w:sz="4" w:space="0"/>
            </w:tcBorders>
            <w:vAlign w:val="center"/>
          </w:tcPr>
          <w:p w14:paraId="6E67C477">
            <w:pPr>
              <w:widowControl/>
              <w:spacing w:line="336" w:lineRule="auto"/>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信息传输业</w:t>
            </w:r>
          </w:p>
        </w:tc>
        <w:tc>
          <w:tcPr>
            <w:tcW w:w="1418" w:type="dxa"/>
            <w:tcBorders>
              <w:top w:val="nil"/>
              <w:left w:val="nil"/>
              <w:bottom w:val="single" w:color="auto" w:sz="4" w:space="0"/>
              <w:right w:val="single" w:color="auto" w:sz="4" w:space="0"/>
            </w:tcBorders>
            <w:vAlign w:val="center"/>
          </w:tcPr>
          <w:p w14:paraId="6B73C242">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1275" w:type="dxa"/>
            <w:tcBorders>
              <w:top w:val="nil"/>
              <w:left w:val="nil"/>
              <w:bottom w:val="single" w:color="auto" w:sz="4" w:space="0"/>
              <w:right w:val="single" w:color="auto" w:sz="4" w:space="0"/>
            </w:tcBorders>
            <w:vAlign w:val="center"/>
          </w:tcPr>
          <w:p w14:paraId="355D2577">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701" w:type="dxa"/>
            <w:tcBorders>
              <w:top w:val="nil"/>
              <w:left w:val="nil"/>
              <w:bottom w:val="single" w:color="auto" w:sz="4" w:space="0"/>
              <w:right w:val="single" w:color="auto" w:sz="4" w:space="0"/>
            </w:tcBorders>
            <w:vAlign w:val="center"/>
          </w:tcPr>
          <w:p w14:paraId="20F279A4">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100≤X＜2000</w:t>
            </w:r>
          </w:p>
        </w:tc>
        <w:tc>
          <w:tcPr>
            <w:tcW w:w="1560" w:type="dxa"/>
            <w:tcBorders>
              <w:top w:val="nil"/>
              <w:left w:val="nil"/>
              <w:bottom w:val="single" w:color="auto" w:sz="4" w:space="0"/>
              <w:right w:val="single" w:color="auto" w:sz="4" w:space="0"/>
            </w:tcBorders>
            <w:vAlign w:val="center"/>
          </w:tcPr>
          <w:p w14:paraId="3C0E7794">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992" w:type="dxa"/>
            <w:tcBorders>
              <w:top w:val="nil"/>
              <w:left w:val="nil"/>
              <w:bottom w:val="single" w:color="auto" w:sz="4" w:space="0"/>
              <w:right w:val="single" w:color="auto" w:sz="4" w:space="0"/>
            </w:tcBorders>
            <w:vAlign w:val="center"/>
          </w:tcPr>
          <w:p w14:paraId="18084B80">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1FEDF199">
        <w:tblPrEx>
          <w:tblCellMar>
            <w:top w:w="0" w:type="dxa"/>
            <w:left w:w="108" w:type="dxa"/>
            <w:bottom w:w="0" w:type="dxa"/>
            <w:right w:w="108" w:type="dxa"/>
          </w:tblCellMar>
        </w:tblPrEx>
        <w:trPr>
          <w:trHeight w:val="225" w:hRule="atLeast"/>
        </w:trPr>
        <w:tc>
          <w:tcPr>
            <w:tcW w:w="2161" w:type="dxa"/>
            <w:vMerge w:val="continue"/>
            <w:tcBorders>
              <w:top w:val="nil"/>
              <w:left w:val="single" w:color="auto" w:sz="4" w:space="0"/>
              <w:bottom w:val="single" w:color="auto" w:sz="4" w:space="0"/>
              <w:right w:val="single" w:color="auto" w:sz="4" w:space="0"/>
            </w:tcBorders>
            <w:vAlign w:val="center"/>
          </w:tcPr>
          <w:p w14:paraId="691C8030">
            <w:pPr>
              <w:widowControl/>
              <w:spacing w:line="336" w:lineRule="auto"/>
              <w:jc w:val="center"/>
              <w:rPr>
                <w:rFonts w:hint="eastAsia" w:ascii="宋体" w:hAnsi="宋体" w:eastAsia="宋体" w:cs="宋体"/>
                <w:b/>
                <w:bCs/>
                <w:color w:val="auto"/>
                <w:kern w:val="0"/>
                <w:sz w:val="18"/>
                <w:szCs w:val="18"/>
                <w:highlight w:val="none"/>
              </w:rPr>
            </w:pPr>
          </w:p>
        </w:tc>
        <w:tc>
          <w:tcPr>
            <w:tcW w:w="1418" w:type="dxa"/>
            <w:tcBorders>
              <w:top w:val="nil"/>
              <w:left w:val="nil"/>
              <w:bottom w:val="single" w:color="auto" w:sz="4" w:space="0"/>
              <w:right w:val="single" w:color="auto" w:sz="4" w:space="0"/>
            </w:tcBorders>
            <w:vAlign w:val="center"/>
          </w:tcPr>
          <w:p w14:paraId="32BE6D51">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1275" w:type="dxa"/>
            <w:tcBorders>
              <w:top w:val="nil"/>
              <w:left w:val="nil"/>
              <w:bottom w:val="single" w:color="auto" w:sz="4" w:space="0"/>
              <w:right w:val="single" w:color="auto" w:sz="4" w:space="0"/>
            </w:tcBorders>
            <w:vAlign w:val="center"/>
          </w:tcPr>
          <w:p w14:paraId="68D890BB">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701" w:type="dxa"/>
            <w:tcBorders>
              <w:top w:val="nil"/>
              <w:left w:val="nil"/>
              <w:bottom w:val="single" w:color="auto" w:sz="4" w:space="0"/>
              <w:right w:val="single" w:color="auto" w:sz="4" w:space="0"/>
            </w:tcBorders>
            <w:vAlign w:val="center"/>
          </w:tcPr>
          <w:p w14:paraId="60A48A07">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1000≤Y＜100000</w:t>
            </w:r>
          </w:p>
        </w:tc>
        <w:tc>
          <w:tcPr>
            <w:tcW w:w="1560" w:type="dxa"/>
            <w:tcBorders>
              <w:top w:val="nil"/>
              <w:left w:val="nil"/>
              <w:bottom w:val="single" w:color="auto" w:sz="4" w:space="0"/>
              <w:right w:val="single" w:color="auto" w:sz="4" w:space="0"/>
            </w:tcBorders>
            <w:vAlign w:val="center"/>
          </w:tcPr>
          <w:p w14:paraId="35CCC1A7">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100≤Y＜1000</w:t>
            </w:r>
          </w:p>
        </w:tc>
        <w:tc>
          <w:tcPr>
            <w:tcW w:w="992" w:type="dxa"/>
            <w:tcBorders>
              <w:top w:val="nil"/>
              <w:left w:val="nil"/>
              <w:bottom w:val="single" w:color="auto" w:sz="4" w:space="0"/>
              <w:right w:val="single" w:color="auto" w:sz="4" w:space="0"/>
            </w:tcBorders>
            <w:vAlign w:val="center"/>
          </w:tcPr>
          <w:p w14:paraId="6082EDE5">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5A8918A2">
        <w:tblPrEx>
          <w:tblCellMar>
            <w:top w:w="0" w:type="dxa"/>
            <w:left w:w="108" w:type="dxa"/>
            <w:bottom w:w="0" w:type="dxa"/>
            <w:right w:w="108" w:type="dxa"/>
          </w:tblCellMar>
        </w:tblPrEx>
        <w:trPr>
          <w:trHeight w:val="225" w:hRule="atLeast"/>
        </w:trPr>
        <w:tc>
          <w:tcPr>
            <w:tcW w:w="2161" w:type="dxa"/>
            <w:vMerge w:val="restart"/>
            <w:tcBorders>
              <w:top w:val="nil"/>
              <w:left w:val="single" w:color="auto" w:sz="4" w:space="0"/>
              <w:bottom w:val="single" w:color="auto" w:sz="4" w:space="0"/>
              <w:right w:val="single" w:color="auto" w:sz="4" w:space="0"/>
            </w:tcBorders>
            <w:vAlign w:val="center"/>
          </w:tcPr>
          <w:p w14:paraId="7E25C1B6">
            <w:pPr>
              <w:widowControl/>
              <w:spacing w:line="336" w:lineRule="auto"/>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软件和信息技术服务业</w:t>
            </w:r>
          </w:p>
        </w:tc>
        <w:tc>
          <w:tcPr>
            <w:tcW w:w="1418" w:type="dxa"/>
            <w:tcBorders>
              <w:top w:val="nil"/>
              <w:left w:val="nil"/>
              <w:bottom w:val="single" w:color="auto" w:sz="4" w:space="0"/>
              <w:right w:val="single" w:color="auto" w:sz="4" w:space="0"/>
            </w:tcBorders>
            <w:vAlign w:val="center"/>
          </w:tcPr>
          <w:p w14:paraId="70AA438D">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1275" w:type="dxa"/>
            <w:tcBorders>
              <w:top w:val="nil"/>
              <w:left w:val="nil"/>
              <w:bottom w:val="single" w:color="auto" w:sz="4" w:space="0"/>
              <w:right w:val="single" w:color="auto" w:sz="4" w:space="0"/>
            </w:tcBorders>
            <w:vAlign w:val="center"/>
          </w:tcPr>
          <w:p w14:paraId="1CF63BEA">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701" w:type="dxa"/>
            <w:tcBorders>
              <w:top w:val="nil"/>
              <w:left w:val="nil"/>
              <w:bottom w:val="single" w:color="auto" w:sz="4" w:space="0"/>
              <w:right w:val="single" w:color="auto" w:sz="4" w:space="0"/>
            </w:tcBorders>
            <w:vAlign w:val="center"/>
          </w:tcPr>
          <w:p w14:paraId="53F24160">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100≤X＜300</w:t>
            </w:r>
          </w:p>
        </w:tc>
        <w:tc>
          <w:tcPr>
            <w:tcW w:w="1560" w:type="dxa"/>
            <w:tcBorders>
              <w:top w:val="nil"/>
              <w:left w:val="nil"/>
              <w:bottom w:val="single" w:color="auto" w:sz="4" w:space="0"/>
              <w:right w:val="single" w:color="auto" w:sz="4" w:space="0"/>
            </w:tcBorders>
            <w:vAlign w:val="center"/>
          </w:tcPr>
          <w:p w14:paraId="7D414E2A">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992" w:type="dxa"/>
            <w:tcBorders>
              <w:top w:val="nil"/>
              <w:left w:val="nil"/>
              <w:bottom w:val="single" w:color="auto" w:sz="4" w:space="0"/>
              <w:right w:val="single" w:color="auto" w:sz="4" w:space="0"/>
            </w:tcBorders>
            <w:vAlign w:val="center"/>
          </w:tcPr>
          <w:p w14:paraId="384B9C0B">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64E89926">
        <w:tblPrEx>
          <w:tblCellMar>
            <w:top w:w="0" w:type="dxa"/>
            <w:left w:w="108" w:type="dxa"/>
            <w:bottom w:w="0" w:type="dxa"/>
            <w:right w:w="108" w:type="dxa"/>
          </w:tblCellMar>
        </w:tblPrEx>
        <w:trPr>
          <w:trHeight w:val="225" w:hRule="atLeast"/>
        </w:trPr>
        <w:tc>
          <w:tcPr>
            <w:tcW w:w="2161" w:type="dxa"/>
            <w:vMerge w:val="continue"/>
            <w:tcBorders>
              <w:top w:val="nil"/>
              <w:left w:val="single" w:color="auto" w:sz="4" w:space="0"/>
              <w:bottom w:val="single" w:color="auto" w:sz="4" w:space="0"/>
              <w:right w:val="single" w:color="auto" w:sz="4" w:space="0"/>
            </w:tcBorders>
            <w:vAlign w:val="center"/>
          </w:tcPr>
          <w:p w14:paraId="064714DA">
            <w:pPr>
              <w:widowControl/>
              <w:spacing w:line="336" w:lineRule="auto"/>
              <w:jc w:val="center"/>
              <w:rPr>
                <w:rFonts w:hint="eastAsia" w:ascii="宋体" w:hAnsi="宋体" w:eastAsia="宋体" w:cs="宋体"/>
                <w:b/>
                <w:bCs/>
                <w:color w:val="auto"/>
                <w:kern w:val="0"/>
                <w:sz w:val="18"/>
                <w:szCs w:val="18"/>
                <w:highlight w:val="none"/>
              </w:rPr>
            </w:pPr>
          </w:p>
        </w:tc>
        <w:tc>
          <w:tcPr>
            <w:tcW w:w="1418" w:type="dxa"/>
            <w:tcBorders>
              <w:top w:val="nil"/>
              <w:left w:val="nil"/>
              <w:bottom w:val="single" w:color="auto" w:sz="4" w:space="0"/>
              <w:right w:val="single" w:color="auto" w:sz="4" w:space="0"/>
            </w:tcBorders>
            <w:vAlign w:val="center"/>
          </w:tcPr>
          <w:p w14:paraId="6C170C9E">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1275" w:type="dxa"/>
            <w:tcBorders>
              <w:top w:val="nil"/>
              <w:left w:val="nil"/>
              <w:bottom w:val="single" w:color="auto" w:sz="4" w:space="0"/>
              <w:right w:val="single" w:color="auto" w:sz="4" w:space="0"/>
            </w:tcBorders>
            <w:vAlign w:val="center"/>
          </w:tcPr>
          <w:p w14:paraId="67912025">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701" w:type="dxa"/>
            <w:tcBorders>
              <w:top w:val="nil"/>
              <w:left w:val="nil"/>
              <w:bottom w:val="single" w:color="auto" w:sz="4" w:space="0"/>
              <w:right w:val="single" w:color="auto" w:sz="4" w:space="0"/>
            </w:tcBorders>
            <w:vAlign w:val="center"/>
          </w:tcPr>
          <w:p w14:paraId="638FED26">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1000≤Y＜10000</w:t>
            </w:r>
          </w:p>
        </w:tc>
        <w:tc>
          <w:tcPr>
            <w:tcW w:w="1560" w:type="dxa"/>
            <w:tcBorders>
              <w:top w:val="nil"/>
              <w:left w:val="nil"/>
              <w:bottom w:val="single" w:color="auto" w:sz="4" w:space="0"/>
              <w:right w:val="single" w:color="auto" w:sz="4" w:space="0"/>
            </w:tcBorders>
            <w:vAlign w:val="center"/>
          </w:tcPr>
          <w:p w14:paraId="57C4FB63">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50≤Y＜1000</w:t>
            </w:r>
          </w:p>
        </w:tc>
        <w:tc>
          <w:tcPr>
            <w:tcW w:w="992" w:type="dxa"/>
            <w:tcBorders>
              <w:top w:val="nil"/>
              <w:left w:val="nil"/>
              <w:bottom w:val="single" w:color="auto" w:sz="4" w:space="0"/>
              <w:right w:val="single" w:color="auto" w:sz="4" w:space="0"/>
            </w:tcBorders>
            <w:vAlign w:val="center"/>
          </w:tcPr>
          <w:p w14:paraId="5BB516B1">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Y＜50</w:t>
            </w:r>
          </w:p>
        </w:tc>
      </w:tr>
      <w:tr w14:paraId="3BDCBA26">
        <w:tblPrEx>
          <w:tblCellMar>
            <w:top w:w="0" w:type="dxa"/>
            <w:left w:w="108" w:type="dxa"/>
            <w:bottom w:w="0" w:type="dxa"/>
            <w:right w:w="108" w:type="dxa"/>
          </w:tblCellMar>
        </w:tblPrEx>
        <w:trPr>
          <w:trHeight w:val="225" w:hRule="atLeast"/>
        </w:trPr>
        <w:tc>
          <w:tcPr>
            <w:tcW w:w="2161" w:type="dxa"/>
            <w:vMerge w:val="restart"/>
            <w:tcBorders>
              <w:top w:val="nil"/>
              <w:left w:val="single" w:color="auto" w:sz="4" w:space="0"/>
              <w:bottom w:val="single" w:color="auto" w:sz="4" w:space="0"/>
              <w:right w:val="single" w:color="auto" w:sz="4" w:space="0"/>
            </w:tcBorders>
            <w:vAlign w:val="center"/>
          </w:tcPr>
          <w:p w14:paraId="33392AE3">
            <w:pPr>
              <w:widowControl/>
              <w:spacing w:line="336" w:lineRule="auto"/>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房地产开发经营</w:t>
            </w:r>
          </w:p>
        </w:tc>
        <w:tc>
          <w:tcPr>
            <w:tcW w:w="1418" w:type="dxa"/>
            <w:tcBorders>
              <w:top w:val="nil"/>
              <w:left w:val="nil"/>
              <w:bottom w:val="single" w:color="auto" w:sz="4" w:space="0"/>
              <w:right w:val="single" w:color="auto" w:sz="4" w:space="0"/>
            </w:tcBorders>
            <w:vAlign w:val="center"/>
          </w:tcPr>
          <w:p w14:paraId="7A013ED0">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1275" w:type="dxa"/>
            <w:tcBorders>
              <w:top w:val="nil"/>
              <w:left w:val="nil"/>
              <w:bottom w:val="single" w:color="auto" w:sz="4" w:space="0"/>
              <w:right w:val="single" w:color="auto" w:sz="4" w:space="0"/>
            </w:tcBorders>
            <w:vAlign w:val="center"/>
          </w:tcPr>
          <w:p w14:paraId="7CEF654B">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701" w:type="dxa"/>
            <w:tcBorders>
              <w:top w:val="nil"/>
              <w:left w:val="nil"/>
              <w:bottom w:val="single" w:color="auto" w:sz="4" w:space="0"/>
              <w:right w:val="single" w:color="auto" w:sz="4" w:space="0"/>
            </w:tcBorders>
            <w:vAlign w:val="center"/>
          </w:tcPr>
          <w:p w14:paraId="262664C2">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1000≤Y＜200000</w:t>
            </w:r>
          </w:p>
        </w:tc>
        <w:tc>
          <w:tcPr>
            <w:tcW w:w="1560" w:type="dxa"/>
            <w:tcBorders>
              <w:top w:val="nil"/>
              <w:left w:val="nil"/>
              <w:bottom w:val="single" w:color="auto" w:sz="4" w:space="0"/>
              <w:right w:val="single" w:color="auto" w:sz="4" w:space="0"/>
            </w:tcBorders>
            <w:vAlign w:val="center"/>
          </w:tcPr>
          <w:p w14:paraId="39F8DD23">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100≤X＜1000</w:t>
            </w:r>
          </w:p>
        </w:tc>
        <w:tc>
          <w:tcPr>
            <w:tcW w:w="992" w:type="dxa"/>
            <w:tcBorders>
              <w:top w:val="nil"/>
              <w:left w:val="nil"/>
              <w:bottom w:val="single" w:color="auto" w:sz="4" w:space="0"/>
              <w:right w:val="single" w:color="auto" w:sz="4" w:space="0"/>
            </w:tcBorders>
            <w:vAlign w:val="center"/>
          </w:tcPr>
          <w:p w14:paraId="7371C7C3">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X＜100</w:t>
            </w:r>
          </w:p>
        </w:tc>
      </w:tr>
      <w:tr w14:paraId="723982B2">
        <w:tblPrEx>
          <w:tblCellMar>
            <w:top w:w="0" w:type="dxa"/>
            <w:left w:w="108" w:type="dxa"/>
            <w:bottom w:w="0" w:type="dxa"/>
            <w:right w:w="108" w:type="dxa"/>
          </w:tblCellMar>
        </w:tblPrEx>
        <w:trPr>
          <w:trHeight w:val="225" w:hRule="atLeast"/>
        </w:trPr>
        <w:tc>
          <w:tcPr>
            <w:tcW w:w="2161" w:type="dxa"/>
            <w:vMerge w:val="continue"/>
            <w:tcBorders>
              <w:top w:val="nil"/>
              <w:left w:val="single" w:color="auto" w:sz="4" w:space="0"/>
              <w:bottom w:val="single" w:color="auto" w:sz="4" w:space="0"/>
              <w:right w:val="single" w:color="auto" w:sz="4" w:space="0"/>
            </w:tcBorders>
            <w:vAlign w:val="center"/>
          </w:tcPr>
          <w:p w14:paraId="3329BD06">
            <w:pPr>
              <w:widowControl/>
              <w:spacing w:line="336" w:lineRule="auto"/>
              <w:jc w:val="center"/>
              <w:rPr>
                <w:rFonts w:hint="eastAsia" w:ascii="宋体" w:hAnsi="宋体" w:eastAsia="宋体" w:cs="宋体"/>
                <w:b/>
                <w:bCs/>
                <w:color w:val="auto"/>
                <w:kern w:val="0"/>
                <w:sz w:val="18"/>
                <w:szCs w:val="18"/>
                <w:highlight w:val="none"/>
              </w:rPr>
            </w:pPr>
          </w:p>
        </w:tc>
        <w:tc>
          <w:tcPr>
            <w:tcW w:w="1418" w:type="dxa"/>
            <w:tcBorders>
              <w:top w:val="nil"/>
              <w:left w:val="nil"/>
              <w:bottom w:val="single" w:color="auto" w:sz="4" w:space="0"/>
              <w:right w:val="single" w:color="auto" w:sz="4" w:space="0"/>
            </w:tcBorders>
            <w:vAlign w:val="center"/>
          </w:tcPr>
          <w:p w14:paraId="716FE579">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资产总额（Z）</w:t>
            </w:r>
          </w:p>
        </w:tc>
        <w:tc>
          <w:tcPr>
            <w:tcW w:w="1275" w:type="dxa"/>
            <w:tcBorders>
              <w:top w:val="nil"/>
              <w:left w:val="nil"/>
              <w:bottom w:val="single" w:color="auto" w:sz="4" w:space="0"/>
              <w:right w:val="single" w:color="auto" w:sz="4" w:space="0"/>
            </w:tcBorders>
            <w:vAlign w:val="center"/>
          </w:tcPr>
          <w:p w14:paraId="60AC6DDE">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701" w:type="dxa"/>
            <w:tcBorders>
              <w:top w:val="nil"/>
              <w:left w:val="nil"/>
              <w:bottom w:val="single" w:color="auto" w:sz="4" w:space="0"/>
              <w:right w:val="single" w:color="auto" w:sz="4" w:space="0"/>
            </w:tcBorders>
            <w:vAlign w:val="center"/>
          </w:tcPr>
          <w:p w14:paraId="26FF7EC1">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5000≤Z＜10000</w:t>
            </w:r>
          </w:p>
        </w:tc>
        <w:tc>
          <w:tcPr>
            <w:tcW w:w="1560" w:type="dxa"/>
            <w:tcBorders>
              <w:top w:val="nil"/>
              <w:left w:val="nil"/>
              <w:bottom w:val="single" w:color="auto" w:sz="4" w:space="0"/>
              <w:right w:val="single" w:color="auto" w:sz="4" w:space="0"/>
            </w:tcBorders>
            <w:vAlign w:val="center"/>
          </w:tcPr>
          <w:p w14:paraId="6883DCF6">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2000≤Y＜5000</w:t>
            </w:r>
          </w:p>
        </w:tc>
        <w:tc>
          <w:tcPr>
            <w:tcW w:w="992" w:type="dxa"/>
            <w:tcBorders>
              <w:top w:val="nil"/>
              <w:left w:val="nil"/>
              <w:bottom w:val="single" w:color="auto" w:sz="4" w:space="0"/>
              <w:right w:val="single" w:color="auto" w:sz="4" w:space="0"/>
            </w:tcBorders>
            <w:vAlign w:val="center"/>
          </w:tcPr>
          <w:p w14:paraId="570BAD76">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Y＜2000</w:t>
            </w:r>
          </w:p>
        </w:tc>
      </w:tr>
      <w:tr w14:paraId="08B7A27E">
        <w:tblPrEx>
          <w:tblCellMar>
            <w:top w:w="0" w:type="dxa"/>
            <w:left w:w="108" w:type="dxa"/>
            <w:bottom w:w="0" w:type="dxa"/>
            <w:right w:w="108" w:type="dxa"/>
          </w:tblCellMar>
        </w:tblPrEx>
        <w:trPr>
          <w:trHeight w:val="225" w:hRule="atLeast"/>
        </w:trPr>
        <w:tc>
          <w:tcPr>
            <w:tcW w:w="2161" w:type="dxa"/>
            <w:vMerge w:val="restart"/>
            <w:tcBorders>
              <w:top w:val="nil"/>
              <w:left w:val="single" w:color="auto" w:sz="4" w:space="0"/>
              <w:bottom w:val="single" w:color="auto" w:sz="4" w:space="0"/>
              <w:right w:val="single" w:color="auto" w:sz="4" w:space="0"/>
            </w:tcBorders>
            <w:vAlign w:val="center"/>
          </w:tcPr>
          <w:p w14:paraId="1A023F63">
            <w:pPr>
              <w:widowControl/>
              <w:spacing w:line="336" w:lineRule="auto"/>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物业管理</w:t>
            </w:r>
          </w:p>
        </w:tc>
        <w:tc>
          <w:tcPr>
            <w:tcW w:w="1418" w:type="dxa"/>
            <w:tcBorders>
              <w:top w:val="nil"/>
              <w:left w:val="nil"/>
              <w:bottom w:val="single" w:color="auto" w:sz="4" w:space="0"/>
              <w:right w:val="single" w:color="auto" w:sz="4" w:space="0"/>
            </w:tcBorders>
            <w:vAlign w:val="center"/>
          </w:tcPr>
          <w:p w14:paraId="474177B7">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1275" w:type="dxa"/>
            <w:tcBorders>
              <w:top w:val="nil"/>
              <w:left w:val="nil"/>
              <w:bottom w:val="single" w:color="auto" w:sz="4" w:space="0"/>
              <w:right w:val="single" w:color="auto" w:sz="4" w:space="0"/>
            </w:tcBorders>
            <w:vAlign w:val="center"/>
          </w:tcPr>
          <w:p w14:paraId="7655ACBA">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701" w:type="dxa"/>
            <w:tcBorders>
              <w:top w:val="nil"/>
              <w:left w:val="nil"/>
              <w:bottom w:val="single" w:color="auto" w:sz="4" w:space="0"/>
              <w:right w:val="single" w:color="auto" w:sz="4" w:space="0"/>
            </w:tcBorders>
            <w:vAlign w:val="center"/>
          </w:tcPr>
          <w:p w14:paraId="6899F048">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300≤X＜1000</w:t>
            </w:r>
          </w:p>
        </w:tc>
        <w:tc>
          <w:tcPr>
            <w:tcW w:w="1560" w:type="dxa"/>
            <w:tcBorders>
              <w:top w:val="nil"/>
              <w:left w:val="nil"/>
              <w:bottom w:val="single" w:color="auto" w:sz="4" w:space="0"/>
              <w:right w:val="single" w:color="auto" w:sz="4" w:space="0"/>
            </w:tcBorders>
            <w:vAlign w:val="center"/>
          </w:tcPr>
          <w:p w14:paraId="0D7FDA1A">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100≤X＜300</w:t>
            </w:r>
          </w:p>
        </w:tc>
        <w:tc>
          <w:tcPr>
            <w:tcW w:w="992" w:type="dxa"/>
            <w:tcBorders>
              <w:top w:val="nil"/>
              <w:left w:val="nil"/>
              <w:bottom w:val="single" w:color="auto" w:sz="4" w:space="0"/>
              <w:right w:val="single" w:color="auto" w:sz="4" w:space="0"/>
            </w:tcBorders>
            <w:vAlign w:val="center"/>
          </w:tcPr>
          <w:p w14:paraId="66A2945D">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X＜100</w:t>
            </w:r>
          </w:p>
        </w:tc>
      </w:tr>
      <w:tr w14:paraId="61674DB4">
        <w:tblPrEx>
          <w:tblCellMar>
            <w:top w:w="0" w:type="dxa"/>
            <w:left w:w="108" w:type="dxa"/>
            <w:bottom w:w="0" w:type="dxa"/>
            <w:right w:w="108" w:type="dxa"/>
          </w:tblCellMar>
        </w:tblPrEx>
        <w:trPr>
          <w:trHeight w:val="225" w:hRule="atLeast"/>
        </w:trPr>
        <w:tc>
          <w:tcPr>
            <w:tcW w:w="2161" w:type="dxa"/>
            <w:vMerge w:val="continue"/>
            <w:tcBorders>
              <w:top w:val="nil"/>
              <w:left w:val="single" w:color="auto" w:sz="4" w:space="0"/>
              <w:bottom w:val="single" w:color="auto" w:sz="4" w:space="0"/>
              <w:right w:val="single" w:color="auto" w:sz="4" w:space="0"/>
            </w:tcBorders>
            <w:vAlign w:val="center"/>
          </w:tcPr>
          <w:p w14:paraId="4B7AC31D">
            <w:pPr>
              <w:widowControl/>
              <w:spacing w:line="336" w:lineRule="auto"/>
              <w:jc w:val="center"/>
              <w:rPr>
                <w:rFonts w:hint="eastAsia" w:ascii="宋体" w:hAnsi="宋体" w:eastAsia="宋体" w:cs="宋体"/>
                <w:b/>
                <w:bCs/>
                <w:color w:val="auto"/>
                <w:kern w:val="0"/>
                <w:sz w:val="18"/>
                <w:szCs w:val="18"/>
                <w:highlight w:val="none"/>
              </w:rPr>
            </w:pPr>
          </w:p>
        </w:tc>
        <w:tc>
          <w:tcPr>
            <w:tcW w:w="1418" w:type="dxa"/>
            <w:tcBorders>
              <w:top w:val="nil"/>
              <w:left w:val="nil"/>
              <w:bottom w:val="single" w:color="auto" w:sz="4" w:space="0"/>
              <w:right w:val="single" w:color="auto" w:sz="4" w:space="0"/>
            </w:tcBorders>
            <w:vAlign w:val="center"/>
          </w:tcPr>
          <w:p w14:paraId="7E85BBA4">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1275" w:type="dxa"/>
            <w:tcBorders>
              <w:top w:val="nil"/>
              <w:left w:val="nil"/>
              <w:bottom w:val="single" w:color="auto" w:sz="4" w:space="0"/>
              <w:right w:val="single" w:color="auto" w:sz="4" w:space="0"/>
            </w:tcBorders>
            <w:vAlign w:val="center"/>
          </w:tcPr>
          <w:p w14:paraId="0BEA6770">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701" w:type="dxa"/>
            <w:tcBorders>
              <w:top w:val="nil"/>
              <w:left w:val="nil"/>
              <w:bottom w:val="single" w:color="auto" w:sz="4" w:space="0"/>
              <w:right w:val="single" w:color="auto" w:sz="4" w:space="0"/>
            </w:tcBorders>
            <w:vAlign w:val="center"/>
          </w:tcPr>
          <w:p w14:paraId="5563AF56">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1000≤Y＜5000</w:t>
            </w:r>
          </w:p>
        </w:tc>
        <w:tc>
          <w:tcPr>
            <w:tcW w:w="1560" w:type="dxa"/>
            <w:tcBorders>
              <w:top w:val="nil"/>
              <w:left w:val="nil"/>
              <w:bottom w:val="single" w:color="auto" w:sz="4" w:space="0"/>
              <w:right w:val="single" w:color="auto" w:sz="4" w:space="0"/>
            </w:tcBorders>
            <w:vAlign w:val="center"/>
          </w:tcPr>
          <w:p w14:paraId="0C7F900C">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500≤Y＜1000</w:t>
            </w:r>
          </w:p>
        </w:tc>
        <w:tc>
          <w:tcPr>
            <w:tcW w:w="992" w:type="dxa"/>
            <w:tcBorders>
              <w:top w:val="nil"/>
              <w:left w:val="nil"/>
              <w:bottom w:val="single" w:color="auto" w:sz="4" w:space="0"/>
              <w:right w:val="single" w:color="auto" w:sz="4" w:space="0"/>
            </w:tcBorders>
            <w:vAlign w:val="center"/>
          </w:tcPr>
          <w:p w14:paraId="34B7D7BC">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Y＜500</w:t>
            </w:r>
          </w:p>
        </w:tc>
      </w:tr>
      <w:tr w14:paraId="06669AD8">
        <w:tblPrEx>
          <w:tblCellMar>
            <w:top w:w="0" w:type="dxa"/>
            <w:left w:w="108" w:type="dxa"/>
            <w:bottom w:w="0" w:type="dxa"/>
            <w:right w:w="108" w:type="dxa"/>
          </w:tblCellMar>
        </w:tblPrEx>
        <w:trPr>
          <w:trHeight w:val="225" w:hRule="atLeast"/>
        </w:trPr>
        <w:tc>
          <w:tcPr>
            <w:tcW w:w="2161" w:type="dxa"/>
            <w:vMerge w:val="restart"/>
            <w:tcBorders>
              <w:top w:val="nil"/>
              <w:left w:val="single" w:color="auto" w:sz="4" w:space="0"/>
              <w:bottom w:val="single" w:color="auto" w:sz="4" w:space="0"/>
              <w:right w:val="single" w:color="auto" w:sz="4" w:space="0"/>
            </w:tcBorders>
            <w:vAlign w:val="center"/>
          </w:tcPr>
          <w:p w14:paraId="23DFCEE7">
            <w:pPr>
              <w:widowControl/>
              <w:spacing w:line="336" w:lineRule="auto"/>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租赁和商务服务业</w:t>
            </w:r>
          </w:p>
        </w:tc>
        <w:tc>
          <w:tcPr>
            <w:tcW w:w="1418" w:type="dxa"/>
            <w:tcBorders>
              <w:top w:val="nil"/>
              <w:left w:val="nil"/>
              <w:bottom w:val="single" w:color="auto" w:sz="4" w:space="0"/>
              <w:right w:val="single" w:color="auto" w:sz="4" w:space="0"/>
            </w:tcBorders>
            <w:vAlign w:val="center"/>
          </w:tcPr>
          <w:p w14:paraId="21346CC9">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1275" w:type="dxa"/>
            <w:tcBorders>
              <w:top w:val="nil"/>
              <w:left w:val="nil"/>
              <w:bottom w:val="single" w:color="auto" w:sz="4" w:space="0"/>
              <w:right w:val="single" w:color="auto" w:sz="4" w:space="0"/>
            </w:tcBorders>
            <w:vAlign w:val="center"/>
          </w:tcPr>
          <w:p w14:paraId="0EAE2A22">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701" w:type="dxa"/>
            <w:tcBorders>
              <w:top w:val="nil"/>
              <w:left w:val="nil"/>
              <w:bottom w:val="single" w:color="auto" w:sz="4" w:space="0"/>
              <w:right w:val="single" w:color="auto" w:sz="4" w:space="0"/>
            </w:tcBorders>
            <w:vAlign w:val="center"/>
          </w:tcPr>
          <w:p w14:paraId="1982862B">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100≤X＜300</w:t>
            </w:r>
          </w:p>
        </w:tc>
        <w:tc>
          <w:tcPr>
            <w:tcW w:w="1560" w:type="dxa"/>
            <w:tcBorders>
              <w:top w:val="nil"/>
              <w:left w:val="nil"/>
              <w:bottom w:val="single" w:color="auto" w:sz="4" w:space="0"/>
              <w:right w:val="single" w:color="auto" w:sz="4" w:space="0"/>
            </w:tcBorders>
            <w:vAlign w:val="center"/>
          </w:tcPr>
          <w:p w14:paraId="7C02388A">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992" w:type="dxa"/>
            <w:tcBorders>
              <w:top w:val="nil"/>
              <w:left w:val="nil"/>
              <w:bottom w:val="single" w:color="auto" w:sz="4" w:space="0"/>
              <w:right w:val="single" w:color="auto" w:sz="4" w:space="0"/>
            </w:tcBorders>
            <w:vAlign w:val="center"/>
          </w:tcPr>
          <w:p w14:paraId="04A16294">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66897474">
        <w:tblPrEx>
          <w:tblCellMar>
            <w:top w:w="0" w:type="dxa"/>
            <w:left w:w="108" w:type="dxa"/>
            <w:bottom w:w="0" w:type="dxa"/>
            <w:right w:w="108" w:type="dxa"/>
          </w:tblCellMar>
        </w:tblPrEx>
        <w:trPr>
          <w:trHeight w:val="225" w:hRule="atLeast"/>
        </w:trPr>
        <w:tc>
          <w:tcPr>
            <w:tcW w:w="2161" w:type="dxa"/>
            <w:vMerge w:val="continue"/>
            <w:tcBorders>
              <w:top w:val="nil"/>
              <w:left w:val="single" w:color="auto" w:sz="4" w:space="0"/>
              <w:bottom w:val="single" w:color="auto" w:sz="4" w:space="0"/>
              <w:right w:val="single" w:color="auto" w:sz="4" w:space="0"/>
            </w:tcBorders>
            <w:vAlign w:val="center"/>
          </w:tcPr>
          <w:p w14:paraId="1E3A7F29">
            <w:pPr>
              <w:widowControl/>
              <w:spacing w:line="336" w:lineRule="auto"/>
              <w:jc w:val="center"/>
              <w:rPr>
                <w:rFonts w:hint="eastAsia" w:ascii="宋体" w:hAnsi="宋体" w:eastAsia="宋体" w:cs="宋体"/>
                <w:b/>
                <w:bCs/>
                <w:color w:val="auto"/>
                <w:kern w:val="0"/>
                <w:sz w:val="18"/>
                <w:szCs w:val="18"/>
                <w:highlight w:val="none"/>
              </w:rPr>
            </w:pPr>
          </w:p>
        </w:tc>
        <w:tc>
          <w:tcPr>
            <w:tcW w:w="1418" w:type="dxa"/>
            <w:tcBorders>
              <w:top w:val="nil"/>
              <w:left w:val="nil"/>
              <w:bottom w:val="single" w:color="auto" w:sz="4" w:space="0"/>
              <w:right w:val="single" w:color="auto" w:sz="4" w:space="0"/>
            </w:tcBorders>
            <w:vAlign w:val="center"/>
          </w:tcPr>
          <w:p w14:paraId="2DAD9B16">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资产总额（Z）</w:t>
            </w:r>
          </w:p>
        </w:tc>
        <w:tc>
          <w:tcPr>
            <w:tcW w:w="1275" w:type="dxa"/>
            <w:tcBorders>
              <w:top w:val="nil"/>
              <w:left w:val="nil"/>
              <w:bottom w:val="single" w:color="auto" w:sz="4" w:space="0"/>
              <w:right w:val="single" w:color="auto" w:sz="4" w:space="0"/>
            </w:tcBorders>
            <w:vAlign w:val="center"/>
          </w:tcPr>
          <w:p w14:paraId="213084DC">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701" w:type="dxa"/>
            <w:tcBorders>
              <w:top w:val="nil"/>
              <w:left w:val="nil"/>
              <w:bottom w:val="single" w:color="auto" w:sz="4" w:space="0"/>
              <w:right w:val="single" w:color="auto" w:sz="4" w:space="0"/>
            </w:tcBorders>
            <w:vAlign w:val="center"/>
          </w:tcPr>
          <w:p w14:paraId="6A177459">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8000≤Z＜120000</w:t>
            </w:r>
          </w:p>
        </w:tc>
        <w:tc>
          <w:tcPr>
            <w:tcW w:w="1560" w:type="dxa"/>
            <w:tcBorders>
              <w:top w:val="nil"/>
              <w:left w:val="nil"/>
              <w:bottom w:val="single" w:color="auto" w:sz="4" w:space="0"/>
              <w:right w:val="single" w:color="auto" w:sz="4" w:space="0"/>
            </w:tcBorders>
            <w:vAlign w:val="center"/>
          </w:tcPr>
          <w:p w14:paraId="656E4DFC">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100≤Z＜8000</w:t>
            </w:r>
          </w:p>
        </w:tc>
        <w:tc>
          <w:tcPr>
            <w:tcW w:w="992" w:type="dxa"/>
            <w:tcBorders>
              <w:top w:val="nil"/>
              <w:left w:val="nil"/>
              <w:bottom w:val="single" w:color="auto" w:sz="4" w:space="0"/>
              <w:right w:val="single" w:color="auto" w:sz="4" w:space="0"/>
            </w:tcBorders>
            <w:vAlign w:val="center"/>
          </w:tcPr>
          <w:p w14:paraId="1D97330A">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0F60983E">
        <w:tblPrEx>
          <w:tblCellMar>
            <w:top w:w="0" w:type="dxa"/>
            <w:left w:w="108" w:type="dxa"/>
            <w:bottom w:w="0" w:type="dxa"/>
            <w:right w:w="108" w:type="dxa"/>
          </w:tblCellMar>
        </w:tblPrEx>
        <w:trPr>
          <w:trHeight w:val="399" w:hRule="atLeast"/>
        </w:trPr>
        <w:tc>
          <w:tcPr>
            <w:tcW w:w="2161" w:type="dxa"/>
            <w:tcBorders>
              <w:top w:val="nil"/>
              <w:left w:val="single" w:color="auto" w:sz="4" w:space="0"/>
              <w:bottom w:val="single" w:color="auto" w:sz="4" w:space="0"/>
              <w:right w:val="single" w:color="auto" w:sz="4" w:space="0"/>
            </w:tcBorders>
            <w:vAlign w:val="center"/>
          </w:tcPr>
          <w:p w14:paraId="49FA9938">
            <w:pPr>
              <w:widowControl/>
              <w:spacing w:line="336" w:lineRule="auto"/>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其他未列明行业</w:t>
            </w:r>
          </w:p>
        </w:tc>
        <w:tc>
          <w:tcPr>
            <w:tcW w:w="1418" w:type="dxa"/>
            <w:tcBorders>
              <w:top w:val="nil"/>
              <w:left w:val="nil"/>
              <w:bottom w:val="single" w:color="auto" w:sz="4" w:space="0"/>
              <w:right w:val="single" w:color="auto" w:sz="4" w:space="0"/>
            </w:tcBorders>
            <w:vAlign w:val="center"/>
          </w:tcPr>
          <w:p w14:paraId="45F0B92D">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1275" w:type="dxa"/>
            <w:tcBorders>
              <w:top w:val="nil"/>
              <w:left w:val="nil"/>
              <w:bottom w:val="single" w:color="auto" w:sz="4" w:space="0"/>
              <w:right w:val="single" w:color="auto" w:sz="4" w:space="0"/>
            </w:tcBorders>
            <w:vAlign w:val="center"/>
          </w:tcPr>
          <w:p w14:paraId="41E20790">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701" w:type="dxa"/>
            <w:tcBorders>
              <w:top w:val="nil"/>
              <w:left w:val="nil"/>
              <w:bottom w:val="single" w:color="auto" w:sz="4" w:space="0"/>
              <w:right w:val="single" w:color="auto" w:sz="4" w:space="0"/>
            </w:tcBorders>
            <w:vAlign w:val="center"/>
          </w:tcPr>
          <w:p w14:paraId="3DE4FD32">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100≤X＜300</w:t>
            </w:r>
          </w:p>
        </w:tc>
        <w:tc>
          <w:tcPr>
            <w:tcW w:w="1560" w:type="dxa"/>
            <w:tcBorders>
              <w:top w:val="nil"/>
              <w:left w:val="nil"/>
              <w:bottom w:val="single" w:color="auto" w:sz="4" w:space="0"/>
              <w:right w:val="single" w:color="auto" w:sz="4" w:space="0"/>
            </w:tcBorders>
            <w:vAlign w:val="center"/>
          </w:tcPr>
          <w:p w14:paraId="39ED031F">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992" w:type="dxa"/>
            <w:tcBorders>
              <w:top w:val="nil"/>
              <w:left w:val="nil"/>
              <w:bottom w:val="single" w:color="auto" w:sz="4" w:space="0"/>
              <w:right w:val="single" w:color="auto" w:sz="4" w:space="0"/>
            </w:tcBorders>
            <w:vAlign w:val="center"/>
          </w:tcPr>
          <w:p w14:paraId="1225F084">
            <w:pPr>
              <w:widowControl/>
              <w:spacing w:line="336"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bl>
    <w:p w14:paraId="59DDDC71">
      <w:pPr>
        <w:pStyle w:val="163"/>
        <w:jc w:val="left"/>
        <w:rPr>
          <w:rFonts w:hint="eastAsia" w:ascii="宋体" w:hAnsi="宋体" w:eastAsia="宋体" w:cs="宋体"/>
          <w:color w:val="auto"/>
          <w:highlight w:val="none"/>
        </w:rPr>
      </w:pPr>
      <w:r>
        <w:rPr>
          <w:rFonts w:hint="eastAsia" w:ascii="宋体" w:hAnsi="宋体" w:eastAsia="宋体" w:cs="宋体"/>
          <w:bCs w:val="0"/>
          <w:color w:val="auto"/>
          <w:spacing w:val="0"/>
          <w:kern w:val="2"/>
          <w:sz w:val="21"/>
          <w:szCs w:val="21"/>
          <w:highlight w:val="none"/>
        </w:rPr>
        <w:t>说明：上述标准参照《关于印发中小企业划型标准规定的通知》（工信部联企业〔2011〕300号），大型、中型和小型企业须同时满足所列指标的下限，否则下划一档；微型企业只需满足所列指标中的一项即可。</w:t>
      </w:r>
    </w:p>
    <w:p w14:paraId="7293CC60">
      <w:pPr>
        <w:pStyle w:val="163"/>
        <w:rPr>
          <w:rFonts w:hint="eastAsia" w:ascii="宋体" w:hAnsi="宋体" w:eastAsia="宋体" w:cs="宋体"/>
          <w:color w:val="auto"/>
          <w:highlight w:val="none"/>
        </w:rPr>
      </w:pPr>
    </w:p>
    <w:p w14:paraId="2BFEF649">
      <w:pPr>
        <w:widowControl/>
        <w:jc w:val="left"/>
        <w:rPr>
          <w:rFonts w:hint="eastAsia" w:ascii="宋体" w:hAnsi="宋体" w:eastAsia="宋体" w:cs="宋体"/>
          <w:bCs/>
          <w:color w:val="auto"/>
          <w:spacing w:val="10"/>
          <w:kern w:val="0"/>
          <w:sz w:val="24"/>
          <w:szCs w:val="20"/>
          <w:highlight w:val="none"/>
        </w:rPr>
      </w:pPr>
      <w:r>
        <w:rPr>
          <w:rFonts w:hint="eastAsia" w:ascii="宋体" w:hAnsi="宋体" w:eastAsia="宋体" w:cs="宋体"/>
          <w:color w:val="auto"/>
          <w:highlight w:val="none"/>
        </w:rPr>
        <w:br w:type="page"/>
      </w:r>
    </w:p>
    <w:p w14:paraId="18A7F2FF">
      <w:pPr>
        <w:jc w:val="left"/>
        <w:rPr>
          <w:rFonts w:hint="eastAsia" w:ascii="宋体" w:hAnsi="宋体" w:eastAsia="宋体" w:cs="宋体"/>
          <w:b/>
          <w:bCs/>
          <w:color w:val="auto"/>
          <w:kern w:val="0"/>
          <w:sz w:val="32"/>
          <w:szCs w:val="32"/>
          <w:highlight w:val="none"/>
        </w:rPr>
      </w:pPr>
      <w:r>
        <w:rPr>
          <w:rFonts w:hint="eastAsia" w:ascii="宋体" w:hAnsi="宋体" w:eastAsia="宋体" w:cs="宋体"/>
          <w:b/>
          <w:bCs/>
          <w:color w:val="auto"/>
          <w:kern w:val="0"/>
          <w:sz w:val="32"/>
          <w:szCs w:val="32"/>
          <w:highlight w:val="none"/>
        </w:rPr>
        <w:t>附件3：</w:t>
      </w:r>
    </w:p>
    <w:p w14:paraId="3C79A900">
      <w:pPr>
        <w:widowControl/>
        <w:spacing w:line="480" w:lineRule="atLeast"/>
        <w:jc w:val="center"/>
        <w:rPr>
          <w:rFonts w:hint="eastAsia" w:ascii="宋体" w:hAnsi="宋体" w:eastAsia="宋体" w:cs="宋体"/>
          <w:color w:val="auto"/>
          <w:kern w:val="0"/>
          <w:sz w:val="32"/>
          <w:szCs w:val="32"/>
          <w:highlight w:val="none"/>
        </w:rPr>
      </w:pPr>
      <w:r>
        <w:rPr>
          <w:rFonts w:hint="eastAsia" w:ascii="宋体" w:hAnsi="宋体" w:eastAsia="宋体" w:cs="宋体"/>
          <w:b/>
          <w:bCs/>
          <w:color w:val="auto"/>
          <w:kern w:val="0"/>
          <w:sz w:val="32"/>
          <w:szCs w:val="32"/>
          <w:highlight w:val="none"/>
        </w:rPr>
        <w:t>采购项目合同验收书（格式）</w:t>
      </w:r>
    </w:p>
    <w:p w14:paraId="78370B34">
      <w:pPr>
        <w:rPr>
          <w:rFonts w:hint="eastAsia" w:ascii="宋体" w:hAnsi="宋体" w:eastAsia="宋体" w:cs="宋体"/>
          <w:color w:val="auto"/>
          <w:highlight w:val="none"/>
        </w:rPr>
      </w:pPr>
    </w:p>
    <w:p w14:paraId="7A94271C">
      <w:pPr>
        <w:widowControl/>
        <w:snapToGrid w:val="0"/>
        <w:spacing w:line="320" w:lineRule="atLeast"/>
        <w:ind w:firstLine="48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根据政府采购项目（</w:t>
      </w:r>
      <w:r>
        <w:rPr>
          <w:rFonts w:hint="eastAsia" w:ascii="宋体" w:hAnsi="宋体" w:eastAsia="宋体" w:cs="宋体"/>
          <w:color w:val="auto"/>
          <w:kern w:val="0"/>
          <w:szCs w:val="21"/>
          <w:highlight w:val="none"/>
          <w:u w:val="single"/>
        </w:rPr>
        <w:t>采购合同编号：</w:t>
      </w:r>
      <w:r>
        <w:rPr>
          <w:rFonts w:hint="eastAsia" w:ascii="宋体" w:hAnsi="宋体" w:eastAsia="宋体" w:cs="宋体"/>
          <w:color w:val="auto"/>
          <w:kern w:val="0"/>
          <w:szCs w:val="21"/>
          <w:highlight w:val="none"/>
          <w:u w:val="single"/>
        </w:rPr>
        <w:softHyphen/>
      </w:r>
      <w:r>
        <w:rPr>
          <w:rFonts w:hint="eastAsia" w:ascii="宋体" w:hAnsi="宋体" w:eastAsia="宋体" w:cs="宋体"/>
          <w:color w:val="auto"/>
          <w:kern w:val="0"/>
          <w:szCs w:val="21"/>
          <w:highlight w:val="none"/>
        </w:rPr>
        <w:t>）的约定，我单位对（</w:t>
      </w:r>
      <w:r>
        <w:rPr>
          <w:rFonts w:hint="eastAsia" w:ascii="宋体" w:hAnsi="宋体" w:eastAsia="宋体" w:cs="宋体"/>
          <w:color w:val="auto"/>
          <w:kern w:val="0"/>
          <w:szCs w:val="21"/>
          <w:highlight w:val="none"/>
          <w:u w:val="single"/>
        </w:rPr>
        <w:t xml:space="preserve"> 项目名称 </w:t>
      </w:r>
      <w:r>
        <w:rPr>
          <w:rFonts w:hint="eastAsia" w:ascii="宋体" w:hAnsi="宋体" w:eastAsia="宋体" w:cs="宋体"/>
          <w:color w:val="auto"/>
          <w:kern w:val="0"/>
          <w:szCs w:val="21"/>
          <w:highlight w:val="none"/>
        </w:rPr>
        <w:t>） 政府采购项目成交供应商（</w:t>
      </w:r>
      <w:r>
        <w:rPr>
          <w:rFonts w:hint="eastAsia" w:ascii="宋体" w:hAnsi="宋体" w:eastAsia="宋体" w:cs="宋体"/>
          <w:color w:val="auto"/>
          <w:kern w:val="0"/>
          <w:szCs w:val="21"/>
          <w:highlight w:val="none"/>
          <w:u w:val="single"/>
        </w:rPr>
        <w:t xml:space="preserve"> 公司名称 </w:t>
      </w:r>
      <w:r>
        <w:rPr>
          <w:rFonts w:hint="eastAsia" w:ascii="宋体" w:hAnsi="宋体" w:eastAsia="宋体" w:cs="宋体"/>
          <w:color w:val="auto"/>
          <w:kern w:val="0"/>
          <w:szCs w:val="21"/>
          <w:highlight w:val="none"/>
        </w:rPr>
        <w:t>） 提供的货物（或者工程、服务）进行了验收，验收情况如下：</w:t>
      </w:r>
    </w:p>
    <w:tbl>
      <w:tblPr>
        <w:tblStyle w:val="61"/>
        <w:tblW w:w="9319" w:type="dxa"/>
        <w:jc w:val="center"/>
        <w:tblLayout w:type="fixed"/>
        <w:tblCellMar>
          <w:top w:w="0" w:type="dxa"/>
          <w:left w:w="0" w:type="dxa"/>
          <w:bottom w:w="0" w:type="dxa"/>
          <w:right w:w="0" w:type="dxa"/>
        </w:tblCellMar>
      </w:tblPr>
      <w:tblGrid>
        <w:gridCol w:w="887"/>
        <w:gridCol w:w="910"/>
        <w:gridCol w:w="1791"/>
        <w:gridCol w:w="880"/>
        <w:gridCol w:w="114"/>
        <w:gridCol w:w="2208"/>
        <w:gridCol w:w="196"/>
        <w:gridCol w:w="756"/>
        <w:gridCol w:w="1577"/>
      </w:tblGrid>
      <w:tr w14:paraId="44BCD4E6">
        <w:tblPrEx>
          <w:tblCellMar>
            <w:top w:w="0" w:type="dxa"/>
            <w:left w:w="0" w:type="dxa"/>
            <w:bottom w:w="0" w:type="dxa"/>
            <w:right w:w="0" w:type="dxa"/>
          </w:tblCellMar>
        </w:tblPrEx>
        <w:trPr>
          <w:trHeight w:val="506" w:hRule="atLeast"/>
          <w:jc w:val="center"/>
        </w:trPr>
        <w:tc>
          <w:tcPr>
            <w:tcW w:w="3588" w:type="dxa"/>
            <w:gridSpan w:val="3"/>
            <w:tcBorders>
              <w:top w:val="single" w:color="auto" w:sz="8" w:space="0"/>
              <w:left w:val="single" w:color="auto" w:sz="8" w:space="0"/>
              <w:bottom w:val="single" w:color="auto" w:sz="8" w:space="0"/>
              <w:right w:val="single" w:color="auto" w:sz="8" w:space="0"/>
            </w:tcBorders>
            <w:vAlign w:val="center"/>
          </w:tcPr>
          <w:p w14:paraId="58516058">
            <w:pPr>
              <w:widowControl/>
              <w:snapToGrid w:val="0"/>
              <w:spacing w:before="100" w:beforeAutospacing="1" w:after="100" w:afterAutospacing="1" w:line="320" w:lineRule="atLeast"/>
              <w:ind w:firstLine="5"/>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验收方式：</w:t>
            </w:r>
          </w:p>
        </w:tc>
        <w:tc>
          <w:tcPr>
            <w:tcW w:w="5731" w:type="dxa"/>
            <w:gridSpan w:val="6"/>
            <w:tcBorders>
              <w:top w:val="single" w:color="auto" w:sz="8" w:space="0"/>
              <w:left w:val="nil"/>
              <w:bottom w:val="single" w:color="auto" w:sz="8" w:space="0"/>
              <w:right w:val="single" w:color="auto" w:sz="8" w:space="0"/>
            </w:tcBorders>
            <w:vAlign w:val="center"/>
          </w:tcPr>
          <w:p w14:paraId="1CC0D3A1">
            <w:pPr>
              <w:widowControl/>
              <w:snapToGrid w:val="0"/>
              <w:spacing w:before="100" w:beforeAutospacing="1" w:after="100" w:afterAutospacing="1" w:line="320" w:lineRule="atLeas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sym w:font="Wingdings 2" w:char="00A3"/>
            </w:r>
            <w:r>
              <w:rPr>
                <w:rFonts w:hint="eastAsia" w:ascii="宋体" w:hAnsi="宋体" w:eastAsia="宋体" w:cs="宋体"/>
                <w:color w:val="auto"/>
                <w:kern w:val="0"/>
                <w:szCs w:val="21"/>
                <w:highlight w:val="none"/>
              </w:rPr>
              <w:t xml:space="preserve">自行验收 </w:t>
            </w:r>
            <w:r>
              <w:rPr>
                <w:rFonts w:hint="eastAsia" w:ascii="宋体" w:hAnsi="宋体" w:eastAsia="宋体" w:cs="宋体"/>
                <w:color w:val="auto"/>
                <w:kern w:val="0"/>
                <w:szCs w:val="21"/>
                <w:highlight w:val="none"/>
              </w:rPr>
              <w:sym w:font="Wingdings 2" w:char="00A3"/>
            </w:r>
            <w:r>
              <w:rPr>
                <w:rFonts w:hint="eastAsia" w:ascii="宋体" w:hAnsi="宋体" w:eastAsia="宋体" w:cs="宋体"/>
                <w:color w:val="auto"/>
                <w:kern w:val="0"/>
                <w:szCs w:val="21"/>
                <w:highlight w:val="none"/>
              </w:rPr>
              <w:t>委托验收</w:t>
            </w:r>
          </w:p>
        </w:tc>
      </w:tr>
      <w:tr w14:paraId="4627820F">
        <w:tblPrEx>
          <w:tblCellMar>
            <w:top w:w="0" w:type="dxa"/>
            <w:left w:w="0" w:type="dxa"/>
            <w:bottom w:w="0" w:type="dxa"/>
            <w:right w:w="0" w:type="dxa"/>
          </w:tblCellMar>
        </w:tblPrEx>
        <w:trPr>
          <w:trHeight w:val="645" w:hRule="atLeast"/>
          <w:jc w:val="center"/>
        </w:trPr>
        <w:tc>
          <w:tcPr>
            <w:tcW w:w="887" w:type="dxa"/>
            <w:tcBorders>
              <w:top w:val="nil"/>
              <w:left w:val="single" w:color="auto" w:sz="8" w:space="0"/>
              <w:bottom w:val="single" w:color="auto" w:sz="8" w:space="0"/>
              <w:right w:val="single" w:color="auto" w:sz="8" w:space="0"/>
            </w:tcBorders>
            <w:vAlign w:val="center"/>
          </w:tcPr>
          <w:p w14:paraId="351B0CFD">
            <w:pPr>
              <w:widowControl/>
              <w:snapToGrid w:val="0"/>
              <w:spacing w:before="100" w:beforeAutospacing="1" w:after="100" w:afterAutospacing="1" w:line="320" w:lineRule="atLeast"/>
              <w:ind w:firstLine="2"/>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序号</w:t>
            </w:r>
          </w:p>
        </w:tc>
        <w:tc>
          <w:tcPr>
            <w:tcW w:w="2701" w:type="dxa"/>
            <w:gridSpan w:val="2"/>
            <w:tcBorders>
              <w:top w:val="nil"/>
              <w:left w:val="nil"/>
              <w:bottom w:val="single" w:color="auto" w:sz="8" w:space="0"/>
              <w:right w:val="single" w:color="auto" w:sz="8" w:space="0"/>
            </w:tcBorders>
            <w:vAlign w:val="center"/>
          </w:tcPr>
          <w:p w14:paraId="43BB5B29">
            <w:pPr>
              <w:widowControl/>
              <w:snapToGrid w:val="0"/>
              <w:spacing w:before="100" w:beforeAutospacing="1" w:after="100" w:afterAutospacing="1" w:line="320" w:lineRule="atLeast"/>
              <w:ind w:firstLine="2"/>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名称</w:t>
            </w:r>
          </w:p>
        </w:tc>
        <w:tc>
          <w:tcPr>
            <w:tcW w:w="3202" w:type="dxa"/>
            <w:gridSpan w:val="3"/>
            <w:tcBorders>
              <w:top w:val="nil"/>
              <w:left w:val="nil"/>
              <w:bottom w:val="single" w:color="auto" w:sz="8" w:space="0"/>
              <w:right w:val="single" w:color="auto" w:sz="8" w:space="0"/>
            </w:tcBorders>
            <w:vAlign w:val="center"/>
          </w:tcPr>
          <w:p w14:paraId="0CE99E36">
            <w:pPr>
              <w:widowControl/>
              <w:snapToGrid w:val="0"/>
              <w:spacing w:before="100" w:beforeAutospacing="1" w:after="100" w:afterAutospacing="1" w:line="320" w:lineRule="atLeast"/>
              <w:ind w:firstLine="2"/>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货物型号规格、标准及配置等（或者服务内容、标准）</w:t>
            </w:r>
          </w:p>
        </w:tc>
        <w:tc>
          <w:tcPr>
            <w:tcW w:w="952" w:type="dxa"/>
            <w:gridSpan w:val="2"/>
            <w:tcBorders>
              <w:top w:val="nil"/>
              <w:left w:val="nil"/>
              <w:bottom w:val="single" w:color="auto" w:sz="8" w:space="0"/>
              <w:right w:val="single" w:color="auto" w:sz="8" w:space="0"/>
            </w:tcBorders>
            <w:vAlign w:val="center"/>
          </w:tcPr>
          <w:p w14:paraId="7F5CA0FA">
            <w:pPr>
              <w:widowControl/>
              <w:snapToGrid w:val="0"/>
              <w:spacing w:before="100" w:beforeAutospacing="1" w:after="100" w:afterAutospacing="1" w:line="320" w:lineRule="atLeas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数量</w:t>
            </w:r>
          </w:p>
        </w:tc>
        <w:tc>
          <w:tcPr>
            <w:tcW w:w="1577" w:type="dxa"/>
            <w:tcBorders>
              <w:top w:val="nil"/>
              <w:left w:val="nil"/>
              <w:bottom w:val="single" w:color="auto" w:sz="8" w:space="0"/>
              <w:right w:val="single" w:color="auto" w:sz="8" w:space="0"/>
            </w:tcBorders>
            <w:vAlign w:val="center"/>
          </w:tcPr>
          <w:p w14:paraId="66058AEA">
            <w:pPr>
              <w:widowControl/>
              <w:snapToGrid w:val="0"/>
              <w:spacing w:before="100" w:beforeAutospacing="1" w:after="100" w:afterAutospacing="1" w:line="320" w:lineRule="atLeast"/>
              <w:ind w:firstLine="2"/>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金额</w:t>
            </w:r>
          </w:p>
        </w:tc>
      </w:tr>
      <w:tr w14:paraId="16722AA8">
        <w:tblPrEx>
          <w:tblCellMar>
            <w:top w:w="0" w:type="dxa"/>
            <w:left w:w="0" w:type="dxa"/>
            <w:bottom w:w="0" w:type="dxa"/>
            <w:right w:w="0" w:type="dxa"/>
          </w:tblCellMar>
        </w:tblPrEx>
        <w:trPr>
          <w:trHeight w:val="496" w:hRule="atLeast"/>
          <w:jc w:val="center"/>
        </w:trPr>
        <w:tc>
          <w:tcPr>
            <w:tcW w:w="887" w:type="dxa"/>
            <w:tcBorders>
              <w:top w:val="nil"/>
              <w:left w:val="single" w:color="auto" w:sz="8" w:space="0"/>
              <w:bottom w:val="single" w:color="auto" w:sz="8" w:space="0"/>
              <w:right w:val="single" w:color="auto" w:sz="8" w:space="0"/>
            </w:tcBorders>
            <w:vAlign w:val="center"/>
          </w:tcPr>
          <w:p w14:paraId="62BD1F9B">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701" w:type="dxa"/>
            <w:gridSpan w:val="2"/>
            <w:tcBorders>
              <w:top w:val="nil"/>
              <w:left w:val="nil"/>
              <w:bottom w:val="single" w:color="auto" w:sz="8" w:space="0"/>
              <w:right w:val="single" w:color="auto" w:sz="8" w:space="0"/>
            </w:tcBorders>
            <w:vAlign w:val="center"/>
          </w:tcPr>
          <w:p w14:paraId="717D73B7">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3202" w:type="dxa"/>
            <w:gridSpan w:val="3"/>
            <w:tcBorders>
              <w:top w:val="nil"/>
              <w:left w:val="nil"/>
              <w:bottom w:val="single" w:color="auto" w:sz="8" w:space="0"/>
              <w:right w:val="single" w:color="auto" w:sz="8" w:space="0"/>
            </w:tcBorders>
            <w:vAlign w:val="center"/>
          </w:tcPr>
          <w:p w14:paraId="61880CFA">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952" w:type="dxa"/>
            <w:gridSpan w:val="2"/>
            <w:tcBorders>
              <w:top w:val="nil"/>
              <w:left w:val="nil"/>
              <w:bottom w:val="single" w:color="auto" w:sz="8" w:space="0"/>
              <w:right w:val="single" w:color="auto" w:sz="8" w:space="0"/>
            </w:tcBorders>
            <w:vAlign w:val="center"/>
          </w:tcPr>
          <w:p w14:paraId="37BD6271">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1577" w:type="dxa"/>
            <w:tcBorders>
              <w:top w:val="nil"/>
              <w:left w:val="nil"/>
              <w:bottom w:val="single" w:color="auto" w:sz="8" w:space="0"/>
              <w:right w:val="single" w:color="auto" w:sz="8" w:space="0"/>
            </w:tcBorders>
            <w:vAlign w:val="center"/>
          </w:tcPr>
          <w:p w14:paraId="7DBDA6EC">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r>
      <w:tr w14:paraId="1FE97E46">
        <w:tblPrEx>
          <w:tblCellMar>
            <w:top w:w="0" w:type="dxa"/>
            <w:left w:w="0" w:type="dxa"/>
            <w:bottom w:w="0" w:type="dxa"/>
            <w:right w:w="0" w:type="dxa"/>
          </w:tblCellMar>
        </w:tblPrEx>
        <w:trPr>
          <w:trHeight w:val="496" w:hRule="atLeast"/>
          <w:jc w:val="center"/>
        </w:trPr>
        <w:tc>
          <w:tcPr>
            <w:tcW w:w="887" w:type="dxa"/>
            <w:tcBorders>
              <w:top w:val="nil"/>
              <w:left w:val="single" w:color="auto" w:sz="8" w:space="0"/>
              <w:bottom w:val="single" w:color="auto" w:sz="8" w:space="0"/>
              <w:right w:val="single" w:color="auto" w:sz="8" w:space="0"/>
            </w:tcBorders>
            <w:vAlign w:val="center"/>
          </w:tcPr>
          <w:p w14:paraId="63D369D2">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701" w:type="dxa"/>
            <w:gridSpan w:val="2"/>
            <w:tcBorders>
              <w:top w:val="nil"/>
              <w:left w:val="nil"/>
              <w:bottom w:val="single" w:color="auto" w:sz="8" w:space="0"/>
              <w:right w:val="single" w:color="auto" w:sz="8" w:space="0"/>
            </w:tcBorders>
            <w:vAlign w:val="center"/>
          </w:tcPr>
          <w:p w14:paraId="5B872391">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3202" w:type="dxa"/>
            <w:gridSpan w:val="3"/>
            <w:tcBorders>
              <w:top w:val="nil"/>
              <w:left w:val="nil"/>
              <w:bottom w:val="single" w:color="auto" w:sz="8" w:space="0"/>
              <w:right w:val="single" w:color="auto" w:sz="8" w:space="0"/>
            </w:tcBorders>
            <w:vAlign w:val="center"/>
          </w:tcPr>
          <w:p w14:paraId="1BC91F6F">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952" w:type="dxa"/>
            <w:gridSpan w:val="2"/>
            <w:tcBorders>
              <w:top w:val="nil"/>
              <w:left w:val="nil"/>
              <w:bottom w:val="single" w:color="auto" w:sz="8" w:space="0"/>
              <w:right w:val="single" w:color="auto" w:sz="8" w:space="0"/>
            </w:tcBorders>
            <w:vAlign w:val="center"/>
          </w:tcPr>
          <w:p w14:paraId="4CFA4F90">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1577" w:type="dxa"/>
            <w:tcBorders>
              <w:top w:val="nil"/>
              <w:left w:val="nil"/>
              <w:bottom w:val="single" w:color="auto" w:sz="8" w:space="0"/>
              <w:right w:val="single" w:color="auto" w:sz="8" w:space="0"/>
            </w:tcBorders>
            <w:vAlign w:val="center"/>
          </w:tcPr>
          <w:p w14:paraId="1D184015">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r>
      <w:tr w14:paraId="7EC77F86">
        <w:tblPrEx>
          <w:tblCellMar>
            <w:top w:w="0" w:type="dxa"/>
            <w:left w:w="0" w:type="dxa"/>
            <w:bottom w:w="0" w:type="dxa"/>
            <w:right w:w="0" w:type="dxa"/>
          </w:tblCellMar>
        </w:tblPrEx>
        <w:trPr>
          <w:trHeight w:val="496" w:hRule="atLeast"/>
          <w:jc w:val="center"/>
        </w:trPr>
        <w:tc>
          <w:tcPr>
            <w:tcW w:w="887" w:type="dxa"/>
            <w:tcBorders>
              <w:top w:val="nil"/>
              <w:left w:val="single" w:color="auto" w:sz="8" w:space="0"/>
              <w:bottom w:val="single" w:color="auto" w:sz="8" w:space="0"/>
              <w:right w:val="single" w:color="auto" w:sz="8" w:space="0"/>
            </w:tcBorders>
            <w:vAlign w:val="center"/>
          </w:tcPr>
          <w:p w14:paraId="0096B4EA">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701" w:type="dxa"/>
            <w:gridSpan w:val="2"/>
            <w:tcBorders>
              <w:top w:val="nil"/>
              <w:left w:val="nil"/>
              <w:bottom w:val="single" w:color="auto" w:sz="8" w:space="0"/>
              <w:right w:val="single" w:color="auto" w:sz="8" w:space="0"/>
            </w:tcBorders>
            <w:vAlign w:val="center"/>
          </w:tcPr>
          <w:p w14:paraId="00A37D67">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3202" w:type="dxa"/>
            <w:gridSpan w:val="3"/>
            <w:tcBorders>
              <w:top w:val="nil"/>
              <w:left w:val="nil"/>
              <w:bottom w:val="single" w:color="auto" w:sz="8" w:space="0"/>
              <w:right w:val="single" w:color="auto" w:sz="8" w:space="0"/>
            </w:tcBorders>
            <w:vAlign w:val="center"/>
          </w:tcPr>
          <w:p w14:paraId="6A9F3AD1">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952" w:type="dxa"/>
            <w:gridSpan w:val="2"/>
            <w:tcBorders>
              <w:top w:val="nil"/>
              <w:left w:val="nil"/>
              <w:bottom w:val="single" w:color="auto" w:sz="8" w:space="0"/>
              <w:right w:val="single" w:color="auto" w:sz="8" w:space="0"/>
            </w:tcBorders>
            <w:vAlign w:val="center"/>
          </w:tcPr>
          <w:p w14:paraId="2745351E">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1577" w:type="dxa"/>
            <w:tcBorders>
              <w:top w:val="nil"/>
              <w:left w:val="nil"/>
              <w:bottom w:val="single" w:color="auto" w:sz="8" w:space="0"/>
              <w:right w:val="single" w:color="auto" w:sz="8" w:space="0"/>
            </w:tcBorders>
            <w:vAlign w:val="center"/>
          </w:tcPr>
          <w:p w14:paraId="7B40695D">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r>
      <w:tr w14:paraId="4F253818">
        <w:tblPrEx>
          <w:tblCellMar>
            <w:top w:w="0" w:type="dxa"/>
            <w:left w:w="0" w:type="dxa"/>
            <w:bottom w:w="0" w:type="dxa"/>
            <w:right w:w="0" w:type="dxa"/>
          </w:tblCellMar>
        </w:tblPrEx>
        <w:trPr>
          <w:trHeight w:val="496" w:hRule="atLeast"/>
          <w:jc w:val="center"/>
        </w:trPr>
        <w:tc>
          <w:tcPr>
            <w:tcW w:w="6790" w:type="dxa"/>
            <w:gridSpan w:val="6"/>
            <w:tcBorders>
              <w:top w:val="nil"/>
              <w:left w:val="single" w:color="auto" w:sz="8" w:space="0"/>
              <w:bottom w:val="single" w:color="auto" w:sz="8" w:space="0"/>
              <w:right w:val="single" w:color="auto" w:sz="8" w:space="0"/>
            </w:tcBorders>
            <w:vAlign w:val="center"/>
          </w:tcPr>
          <w:p w14:paraId="131563C3">
            <w:pPr>
              <w:widowControl/>
              <w:snapToGrid w:val="0"/>
              <w:spacing w:before="100" w:beforeAutospacing="1" w:after="100" w:afterAutospacing="1" w:line="320" w:lineRule="atLeast"/>
              <w:ind w:firstLine="5"/>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合 计</w:t>
            </w:r>
          </w:p>
        </w:tc>
        <w:tc>
          <w:tcPr>
            <w:tcW w:w="952" w:type="dxa"/>
            <w:gridSpan w:val="2"/>
            <w:tcBorders>
              <w:top w:val="nil"/>
              <w:left w:val="nil"/>
              <w:bottom w:val="single" w:color="auto" w:sz="8" w:space="0"/>
              <w:right w:val="single" w:color="auto" w:sz="8" w:space="0"/>
            </w:tcBorders>
            <w:vAlign w:val="center"/>
          </w:tcPr>
          <w:p w14:paraId="0F675FED">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1577" w:type="dxa"/>
            <w:tcBorders>
              <w:top w:val="nil"/>
              <w:left w:val="nil"/>
              <w:bottom w:val="single" w:color="auto" w:sz="8" w:space="0"/>
              <w:right w:val="single" w:color="auto" w:sz="8" w:space="0"/>
            </w:tcBorders>
            <w:vAlign w:val="center"/>
          </w:tcPr>
          <w:p w14:paraId="5D0D8FCA">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r>
      <w:tr w14:paraId="1FEE7FA9">
        <w:tblPrEx>
          <w:tblCellMar>
            <w:top w:w="0" w:type="dxa"/>
            <w:left w:w="0" w:type="dxa"/>
            <w:bottom w:w="0" w:type="dxa"/>
            <w:right w:w="0" w:type="dxa"/>
          </w:tblCellMar>
        </w:tblPrEx>
        <w:trPr>
          <w:trHeight w:val="646" w:hRule="atLeast"/>
          <w:jc w:val="center"/>
        </w:trPr>
        <w:tc>
          <w:tcPr>
            <w:tcW w:w="9319" w:type="dxa"/>
            <w:gridSpan w:val="9"/>
            <w:tcBorders>
              <w:top w:val="nil"/>
              <w:left w:val="single" w:color="auto" w:sz="8" w:space="0"/>
              <w:bottom w:val="single" w:color="auto" w:sz="8" w:space="0"/>
              <w:right w:val="single" w:color="auto" w:sz="8" w:space="0"/>
            </w:tcBorders>
            <w:vAlign w:val="center"/>
          </w:tcPr>
          <w:p w14:paraId="5CEAC867">
            <w:pPr>
              <w:widowControl/>
              <w:snapToGrid w:val="0"/>
              <w:spacing w:before="100" w:beforeAutospacing="1" w:after="100" w:afterAutospacing="1" w:line="320" w:lineRule="atLeast"/>
              <w:ind w:firstLine="210" w:firstLineChars="1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合计大写金额：  仟  佰  拾  万  仟  佰  拾  元</w:t>
            </w:r>
          </w:p>
        </w:tc>
      </w:tr>
      <w:tr w14:paraId="3A441CEA">
        <w:tblPrEx>
          <w:tblCellMar>
            <w:top w:w="0" w:type="dxa"/>
            <w:left w:w="0" w:type="dxa"/>
            <w:bottom w:w="0" w:type="dxa"/>
            <w:right w:w="0" w:type="dxa"/>
          </w:tblCellMar>
        </w:tblPrEx>
        <w:trPr>
          <w:trHeight w:val="646" w:hRule="atLeast"/>
          <w:jc w:val="center"/>
        </w:trPr>
        <w:tc>
          <w:tcPr>
            <w:tcW w:w="1797" w:type="dxa"/>
            <w:gridSpan w:val="2"/>
            <w:tcBorders>
              <w:top w:val="nil"/>
              <w:left w:val="single" w:color="auto" w:sz="8" w:space="0"/>
              <w:bottom w:val="single" w:color="auto" w:sz="8" w:space="0"/>
              <w:right w:val="single" w:color="auto" w:sz="8" w:space="0"/>
            </w:tcBorders>
            <w:vAlign w:val="center"/>
          </w:tcPr>
          <w:p w14:paraId="4D22D9CA">
            <w:pPr>
              <w:widowControl/>
              <w:snapToGrid w:val="0"/>
              <w:spacing w:before="100" w:beforeAutospacing="1" w:after="100" w:afterAutospacing="1" w:line="320" w:lineRule="atLeast"/>
              <w:ind w:firstLine="2"/>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实际供货日期</w:t>
            </w:r>
          </w:p>
        </w:tc>
        <w:tc>
          <w:tcPr>
            <w:tcW w:w="2671" w:type="dxa"/>
            <w:gridSpan w:val="2"/>
            <w:tcBorders>
              <w:top w:val="nil"/>
              <w:left w:val="nil"/>
              <w:bottom w:val="single" w:color="auto" w:sz="8" w:space="0"/>
              <w:right w:val="single" w:color="auto" w:sz="8" w:space="0"/>
            </w:tcBorders>
            <w:vAlign w:val="center"/>
          </w:tcPr>
          <w:p w14:paraId="5BC0BC06">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518" w:type="dxa"/>
            <w:gridSpan w:val="3"/>
            <w:tcBorders>
              <w:top w:val="nil"/>
              <w:left w:val="nil"/>
              <w:bottom w:val="single" w:color="auto" w:sz="8" w:space="0"/>
              <w:right w:val="single" w:color="auto" w:sz="8" w:space="0"/>
            </w:tcBorders>
            <w:vAlign w:val="center"/>
          </w:tcPr>
          <w:p w14:paraId="04D1E31E">
            <w:pPr>
              <w:widowControl/>
              <w:snapToGrid w:val="0"/>
              <w:spacing w:before="100" w:beforeAutospacing="1" w:after="100" w:afterAutospacing="1" w:line="320" w:lineRule="atLeast"/>
              <w:ind w:firstLine="46"/>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合同交货验收日期</w:t>
            </w:r>
          </w:p>
        </w:tc>
        <w:tc>
          <w:tcPr>
            <w:tcW w:w="2333" w:type="dxa"/>
            <w:gridSpan w:val="2"/>
            <w:tcBorders>
              <w:top w:val="nil"/>
              <w:left w:val="nil"/>
              <w:bottom w:val="single" w:color="auto" w:sz="8" w:space="0"/>
              <w:right w:val="single" w:color="auto" w:sz="8" w:space="0"/>
            </w:tcBorders>
            <w:vAlign w:val="center"/>
          </w:tcPr>
          <w:p w14:paraId="3F54148A">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r>
      <w:tr w14:paraId="735058F9">
        <w:tblPrEx>
          <w:tblCellMar>
            <w:top w:w="0" w:type="dxa"/>
            <w:left w:w="0" w:type="dxa"/>
            <w:bottom w:w="0" w:type="dxa"/>
            <w:right w:w="0" w:type="dxa"/>
          </w:tblCellMar>
        </w:tblPrEx>
        <w:trPr>
          <w:trHeight w:val="1271" w:hRule="atLeast"/>
          <w:jc w:val="center"/>
        </w:trPr>
        <w:tc>
          <w:tcPr>
            <w:tcW w:w="1797"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37B36A4">
            <w:pPr>
              <w:widowControl/>
              <w:snapToGrid w:val="0"/>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验收具体内容</w:t>
            </w:r>
          </w:p>
        </w:tc>
        <w:tc>
          <w:tcPr>
            <w:tcW w:w="7522" w:type="dxa"/>
            <w:gridSpan w:val="7"/>
            <w:tcBorders>
              <w:top w:val="nil"/>
              <w:left w:val="nil"/>
              <w:bottom w:val="single" w:color="auto" w:sz="8" w:space="0"/>
              <w:right w:val="single" w:color="auto" w:sz="8" w:space="0"/>
            </w:tcBorders>
            <w:tcMar>
              <w:top w:w="0" w:type="dxa"/>
              <w:left w:w="108" w:type="dxa"/>
              <w:bottom w:w="0" w:type="dxa"/>
              <w:right w:w="108" w:type="dxa"/>
            </w:tcMar>
            <w:vAlign w:val="center"/>
          </w:tcPr>
          <w:p w14:paraId="57D66A3B">
            <w:pPr>
              <w:widowControl/>
              <w:snapToGrid w:val="0"/>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应按采购合同、采购文件、投标文件及验收方案等进行验收；并核对成交供应商在安装调试等方面是否违反合同约定或者服务规范要求、提供的质量保证证明材料是否齐全、应有的配件及附件是否达到合同约定等。可附件)</w:t>
            </w:r>
          </w:p>
        </w:tc>
      </w:tr>
      <w:tr w14:paraId="385A6F94">
        <w:tblPrEx>
          <w:tblCellMar>
            <w:top w:w="0" w:type="dxa"/>
            <w:left w:w="0" w:type="dxa"/>
            <w:bottom w:w="0" w:type="dxa"/>
            <w:right w:w="0" w:type="dxa"/>
          </w:tblCellMar>
        </w:tblPrEx>
        <w:trPr>
          <w:trHeight w:val="1272" w:hRule="atLeast"/>
          <w:jc w:val="center"/>
        </w:trPr>
        <w:tc>
          <w:tcPr>
            <w:tcW w:w="1797" w:type="dxa"/>
            <w:gridSpan w:val="2"/>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4576882">
            <w:pPr>
              <w:widowControl/>
              <w:spacing w:before="100" w:beforeAutospacing="1" w:after="100" w:afterAutospacing="1" w:line="320" w:lineRule="atLeas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验收小组意见</w:t>
            </w:r>
          </w:p>
        </w:tc>
        <w:tc>
          <w:tcPr>
            <w:tcW w:w="7522" w:type="dxa"/>
            <w:gridSpan w:val="7"/>
            <w:tcBorders>
              <w:top w:val="nil"/>
              <w:left w:val="nil"/>
              <w:bottom w:val="single" w:color="auto" w:sz="8" w:space="0"/>
              <w:right w:val="single" w:color="auto" w:sz="8" w:space="0"/>
            </w:tcBorders>
            <w:vAlign w:val="center"/>
          </w:tcPr>
          <w:p w14:paraId="04E4359C">
            <w:pPr>
              <w:widowControl/>
              <w:spacing w:before="100" w:beforeAutospacing="1" w:after="100" w:afterAutospacing="1" w:line="320" w:lineRule="atLeast"/>
              <w:ind w:firstLine="210" w:firstLineChars="1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验收结论性意见：</w:t>
            </w:r>
          </w:p>
        </w:tc>
      </w:tr>
      <w:tr w14:paraId="0A16A67B">
        <w:tblPrEx>
          <w:tblCellMar>
            <w:top w:w="0" w:type="dxa"/>
            <w:left w:w="0" w:type="dxa"/>
            <w:bottom w:w="0" w:type="dxa"/>
            <w:right w:w="0" w:type="dxa"/>
          </w:tblCellMar>
        </w:tblPrEx>
        <w:trPr>
          <w:trHeight w:val="919" w:hRule="atLeast"/>
          <w:jc w:val="center"/>
        </w:trPr>
        <w:tc>
          <w:tcPr>
            <w:tcW w:w="1797" w:type="dxa"/>
            <w:gridSpan w:val="2"/>
            <w:vMerge w:val="continue"/>
            <w:tcBorders>
              <w:top w:val="nil"/>
              <w:left w:val="single" w:color="auto" w:sz="8" w:space="0"/>
              <w:bottom w:val="single" w:color="auto" w:sz="8" w:space="0"/>
              <w:right w:val="single" w:color="auto" w:sz="8" w:space="0"/>
            </w:tcBorders>
            <w:vAlign w:val="center"/>
          </w:tcPr>
          <w:p w14:paraId="7AD2DE81">
            <w:pPr>
              <w:widowControl/>
              <w:jc w:val="left"/>
              <w:rPr>
                <w:rFonts w:hint="eastAsia" w:ascii="宋体" w:hAnsi="宋体" w:eastAsia="宋体" w:cs="宋体"/>
                <w:color w:val="auto"/>
                <w:kern w:val="0"/>
                <w:szCs w:val="21"/>
                <w:highlight w:val="none"/>
              </w:rPr>
            </w:pPr>
          </w:p>
        </w:tc>
        <w:tc>
          <w:tcPr>
            <w:tcW w:w="7522" w:type="dxa"/>
            <w:gridSpan w:val="7"/>
            <w:tcBorders>
              <w:top w:val="nil"/>
              <w:left w:val="nil"/>
              <w:bottom w:val="single" w:color="auto" w:sz="8" w:space="0"/>
              <w:right w:val="single" w:color="auto" w:sz="8" w:space="0"/>
            </w:tcBorders>
            <w:vAlign w:val="center"/>
          </w:tcPr>
          <w:p w14:paraId="71D0E8E6">
            <w:pPr>
              <w:widowControl/>
              <w:spacing w:before="100" w:beforeAutospacing="1" w:after="100" w:afterAutospacing="1" w:line="320" w:lineRule="atLeast"/>
              <w:ind w:firstLine="210" w:firstLineChars="1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有异议的意见和说明理由：</w:t>
            </w:r>
          </w:p>
          <w:p w14:paraId="2FBCD02F">
            <w:pPr>
              <w:widowControl/>
              <w:spacing w:before="100" w:beforeAutospacing="1" w:after="100" w:afterAutospacing="1" w:line="320" w:lineRule="atLeast"/>
              <w:ind w:firstLine="210" w:firstLineChars="1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签字：</w:t>
            </w:r>
          </w:p>
        </w:tc>
      </w:tr>
      <w:tr w14:paraId="33787779">
        <w:tblPrEx>
          <w:tblCellMar>
            <w:top w:w="0" w:type="dxa"/>
            <w:left w:w="0" w:type="dxa"/>
            <w:bottom w:w="0" w:type="dxa"/>
            <w:right w:w="0" w:type="dxa"/>
          </w:tblCellMar>
        </w:tblPrEx>
        <w:trPr>
          <w:trHeight w:val="515" w:hRule="atLeast"/>
          <w:jc w:val="center"/>
        </w:trPr>
        <w:tc>
          <w:tcPr>
            <w:tcW w:w="9319" w:type="dxa"/>
            <w:gridSpan w:val="9"/>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6295615">
            <w:pPr>
              <w:widowControl/>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验收小组成员签字：</w:t>
            </w:r>
          </w:p>
        </w:tc>
      </w:tr>
      <w:tr w14:paraId="253F866D">
        <w:tblPrEx>
          <w:tblCellMar>
            <w:top w:w="0" w:type="dxa"/>
            <w:left w:w="0" w:type="dxa"/>
            <w:bottom w:w="0" w:type="dxa"/>
            <w:right w:w="0" w:type="dxa"/>
          </w:tblCellMar>
        </w:tblPrEx>
        <w:trPr>
          <w:trHeight w:val="919" w:hRule="atLeast"/>
          <w:jc w:val="center"/>
        </w:trPr>
        <w:tc>
          <w:tcPr>
            <w:tcW w:w="9319" w:type="dxa"/>
            <w:gridSpan w:val="9"/>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4485134">
            <w:pPr>
              <w:widowControl/>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监督人员或者其他相关人员签字：</w:t>
            </w:r>
          </w:p>
          <w:p w14:paraId="7E8208BF">
            <w:pPr>
              <w:widowControl/>
              <w:spacing w:before="100" w:beforeAutospacing="1" w:after="100" w:afterAutospacing="1" w:line="320" w:lineRule="atLeast"/>
              <w:ind w:firstLine="74"/>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或者受邀机构的意见（盖章）：</w:t>
            </w:r>
          </w:p>
        </w:tc>
      </w:tr>
      <w:tr w14:paraId="76E84684">
        <w:tblPrEx>
          <w:tblCellMar>
            <w:top w:w="0" w:type="dxa"/>
            <w:left w:w="0" w:type="dxa"/>
            <w:bottom w:w="0" w:type="dxa"/>
            <w:right w:w="0" w:type="dxa"/>
          </w:tblCellMar>
        </w:tblPrEx>
        <w:trPr>
          <w:trHeight w:val="1525" w:hRule="atLeast"/>
          <w:jc w:val="center"/>
        </w:trPr>
        <w:tc>
          <w:tcPr>
            <w:tcW w:w="4582" w:type="dxa"/>
            <w:gridSpan w:val="5"/>
            <w:tcBorders>
              <w:top w:val="nil"/>
              <w:left w:val="single" w:color="auto" w:sz="8" w:space="0"/>
              <w:bottom w:val="single" w:color="auto" w:sz="8" w:space="0"/>
              <w:right w:val="nil"/>
            </w:tcBorders>
            <w:tcMar>
              <w:top w:w="0" w:type="dxa"/>
              <w:left w:w="108" w:type="dxa"/>
              <w:bottom w:w="0" w:type="dxa"/>
              <w:right w:w="108" w:type="dxa"/>
            </w:tcMar>
            <w:vAlign w:val="center"/>
          </w:tcPr>
          <w:p w14:paraId="31E1498E">
            <w:pPr>
              <w:widowControl/>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成交供应商负责人签字或者盖章：</w:t>
            </w:r>
          </w:p>
          <w:p w14:paraId="5ACFFAF0">
            <w:pPr>
              <w:widowControl/>
              <w:spacing w:before="100" w:beforeAutospacing="1" w:after="100" w:afterAutospacing="1" w:line="320" w:lineRule="atLeast"/>
              <w:jc w:val="left"/>
              <w:rPr>
                <w:rFonts w:hint="eastAsia" w:ascii="宋体" w:hAnsi="宋体" w:eastAsia="宋体" w:cs="宋体"/>
                <w:color w:val="auto"/>
                <w:kern w:val="0"/>
                <w:szCs w:val="21"/>
                <w:highlight w:val="none"/>
              </w:rPr>
            </w:pPr>
          </w:p>
          <w:p w14:paraId="1FA1CA5E">
            <w:pPr>
              <w:widowControl/>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联系电话：                年  月  日</w:t>
            </w:r>
          </w:p>
        </w:tc>
        <w:tc>
          <w:tcPr>
            <w:tcW w:w="4737" w:type="dxa"/>
            <w:gridSpan w:val="4"/>
            <w:tcBorders>
              <w:top w:val="nil"/>
              <w:left w:val="nil"/>
              <w:bottom w:val="single" w:color="auto" w:sz="8" w:space="0"/>
              <w:right w:val="single" w:color="auto" w:sz="8" w:space="0"/>
            </w:tcBorders>
            <w:vAlign w:val="center"/>
          </w:tcPr>
          <w:p w14:paraId="039038E7">
            <w:pPr>
              <w:widowControl/>
              <w:spacing w:before="100" w:beforeAutospacing="1" w:after="100" w:afterAutospacing="1" w:line="320" w:lineRule="atLeast"/>
              <w:ind w:firstLine="210" w:firstLineChars="1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采购人或者受托机构的意见（盖章）：</w:t>
            </w:r>
          </w:p>
          <w:p w14:paraId="18268425">
            <w:pPr>
              <w:widowControl/>
              <w:spacing w:before="100" w:beforeAutospacing="1" w:after="100" w:afterAutospacing="1" w:line="320" w:lineRule="atLeast"/>
              <w:ind w:firstLine="210" w:firstLineChars="100"/>
              <w:jc w:val="left"/>
              <w:rPr>
                <w:rFonts w:hint="eastAsia" w:ascii="宋体" w:hAnsi="宋体" w:eastAsia="宋体" w:cs="宋体"/>
                <w:color w:val="auto"/>
                <w:kern w:val="0"/>
                <w:szCs w:val="21"/>
                <w:highlight w:val="none"/>
              </w:rPr>
            </w:pPr>
          </w:p>
          <w:p w14:paraId="2BB85259">
            <w:pPr>
              <w:widowControl/>
              <w:spacing w:before="100" w:beforeAutospacing="1" w:after="100" w:afterAutospacing="1" w:line="320" w:lineRule="atLeast"/>
              <w:ind w:firstLine="210" w:firstLineChars="1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联系电话：                  年  月  日</w:t>
            </w:r>
          </w:p>
        </w:tc>
      </w:tr>
    </w:tbl>
    <w:p w14:paraId="48413D09">
      <w:pPr>
        <w:jc w:val="left"/>
        <w:rPr>
          <w:rFonts w:hint="eastAsia" w:ascii="宋体" w:hAnsi="宋体" w:eastAsia="宋体" w:cs="宋体"/>
          <w:b/>
          <w:bCs/>
          <w:color w:val="auto"/>
          <w:kern w:val="0"/>
          <w:sz w:val="32"/>
          <w:szCs w:val="32"/>
          <w:highlight w:val="none"/>
        </w:rPr>
      </w:pPr>
      <w:r>
        <w:rPr>
          <w:rFonts w:hint="eastAsia" w:ascii="宋体" w:hAnsi="宋体" w:eastAsia="宋体" w:cs="宋体"/>
          <w:color w:val="auto"/>
          <w:highlight w:val="none"/>
        </w:rPr>
        <w:br w:type="page"/>
      </w:r>
      <w:r>
        <w:rPr>
          <w:rFonts w:hint="eastAsia" w:ascii="宋体" w:hAnsi="宋体" w:eastAsia="宋体" w:cs="宋体"/>
          <w:b/>
          <w:bCs/>
          <w:color w:val="auto"/>
          <w:kern w:val="0"/>
          <w:sz w:val="32"/>
          <w:szCs w:val="32"/>
          <w:highlight w:val="none"/>
        </w:rPr>
        <w:t>附件4：</w:t>
      </w:r>
    </w:p>
    <w:p w14:paraId="56FEFD52">
      <w:pPr>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采购项目履约保证金退付意见书</w:t>
      </w:r>
    </w:p>
    <w:p w14:paraId="7FAA66B6">
      <w:pPr>
        <w:jc w:val="center"/>
        <w:rPr>
          <w:rFonts w:hint="eastAsia" w:ascii="宋体" w:hAnsi="宋体" w:eastAsia="宋体" w:cs="宋体"/>
          <w:color w:val="auto"/>
          <w:sz w:val="36"/>
          <w:szCs w:val="36"/>
          <w:highlight w:val="none"/>
        </w:rPr>
      </w:pPr>
    </w:p>
    <w:tbl>
      <w:tblPr>
        <w:tblStyle w:val="61"/>
        <w:tblW w:w="88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8009"/>
      </w:tblGrid>
      <w:tr w14:paraId="6E3C4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817" w:type="dxa"/>
            <w:vMerge w:val="restart"/>
            <w:tcBorders>
              <w:top w:val="single" w:color="auto" w:sz="4" w:space="0"/>
              <w:left w:val="single" w:color="auto" w:sz="4" w:space="0"/>
              <w:bottom w:val="single" w:color="auto" w:sz="4" w:space="0"/>
              <w:right w:val="single" w:color="auto" w:sz="4" w:space="0"/>
            </w:tcBorders>
            <w:vAlign w:val="center"/>
          </w:tcPr>
          <w:p w14:paraId="2C01239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w:t>
            </w:r>
          </w:p>
          <w:p w14:paraId="3B7B9DD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应</w:t>
            </w:r>
          </w:p>
          <w:p w14:paraId="5B949ED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商</w:t>
            </w:r>
          </w:p>
          <w:p w14:paraId="3D79CF6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申</w:t>
            </w:r>
          </w:p>
          <w:p w14:paraId="210E43A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请</w:t>
            </w:r>
          </w:p>
        </w:tc>
        <w:tc>
          <w:tcPr>
            <w:tcW w:w="8009" w:type="dxa"/>
            <w:tcBorders>
              <w:top w:val="single" w:color="auto" w:sz="4" w:space="0"/>
              <w:left w:val="single" w:color="auto" w:sz="4" w:space="0"/>
              <w:bottom w:val="single" w:color="auto" w:sz="4" w:space="0"/>
              <w:right w:val="single" w:color="auto" w:sz="4" w:space="0"/>
            </w:tcBorders>
            <w:vAlign w:val="center"/>
          </w:tcPr>
          <w:p w14:paraId="61569A63">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项目编号：</w:t>
            </w:r>
          </w:p>
        </w:tc>
      </w:tr>
      <w:tr w14:paraId="65110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jc w:val="center"/>
        </w:trPr>
        <w:tc>
          <w:tcPr>
            <w:tcW w:w="817" w:type="dxa"/>
            <w:vMerge w:val="continue"/>
            <w:tcBorders>
              <w:top w:val="single" w:color="auto" w:sz="4" w:space="0"/>
              <w:left w:val="single" w:color="auto" w:sz="4" w:space="0"/>
              <w:bottom w:val="single" w:color="auto" w:sz="4" w:space="0"/>
              <w:right w:val="single" w:color="auto" w:sz="4" w:space="0"/>
            </w:tcBorders>
            <w:vAlign w:val="center"/>
          </w:tcPr>
          <w:p w14:paraId="08E523BC">
            <w:pPr>
              <w:widowControl/>
              <w:jc w:val="left"/>
              <w:rPr>
                <w:rFonts w:hint="eastAsia" w:ascii="宋体" w:hAnsi="宋体" w:eastAsia="宋体" w:cs="宋体"/>
                <w:color w:val="auto"/>
                <w:sz w:val="21"/>
                <w:szCs w:val="21"/>
                <w:highlight w:val="none"/>
              </w:rPr>
            </w:pPr>
          </w:p>
        </w:tc>
        <w:tc>
          <w:tcPr>
            <w:tcW w:w="8009" w:type="dxa"/>
            <w:tcBorders>
              <w:top w:val="single" w:color="auto" w:sz="4" w:space="0"/>
              <w:left w:val="single" w:color="auto" w:sz="4" w:space="0"/>
              <w:bottom w:val="single" w:color="auto" w:sz="4" w:space="0"/>
              <w:right w:val="single" w:color="auto" w:sz="4" w:space="0"/>
            </w:tcBorders>
            <w:vAlign w:val="center"/>
          </w:tcPr>
          <w:p w14:paraId="7236F6A0">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项目名称：</w:t>
            </w:r>
          </w:p>
        </w:tc>
      </w:tr>
      <w:tr w14:paraId="27BCC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17" w:type="dxa"/>
            <w:vMerge w:val="continue"/>
            <w:tcBorders>
              <w:top w:val="single" w:color="auto" w:sz="4" w:space="0"/>
              <w:left w:val="single" w:color="auto" w:sz="4" w:space="0"/>
              <w:bottom w:val="single" w:color="auto" w:sz="4" w:space="0"/>
              <w:right w:val="single" w:color="auto" w:sz="4" w:space="0"/>
            </w:tcBorders>
            <w:vAlign w:val="center"/>
          </w:tcPr>
          <w:p w14:paraId="2F78BEB1">
            <w:pPr>
              <w:widowControl/>
              <w:jc w:val="left"/>
              <w:rPr>
                <w:rFonts w:hint="eastAsia" w:ascii="宋体" w:hAnsi="宋体" w:eastAsia="宋体" w:cs="宋体"/>
                <w:color w:val="auto"/>
                <w:sz w:val="21"/>
                <w:szCs w:val="21"/>
                <w:highlight w:val="none"/>
              </w:rPr>
            </w:pPr>
          </w:p>
        </w:tc>
        <w:tc>
          <w:tcPr>
            <w:tcW w:w="8009" w:type="dxa"/>
            <w:tcBorders>
              <w:top w:val="single" w:color="auto" w:sz="4" w:space="0"/>
              <w:left w:val="single" w:color="auto" w:sz="4" w:space="0"/>
              <w:bottom w:val="single" w:color="auto" w:sz="4" w:space="0"/>
              <w:right w:val="single" w:color="auto" w:sz="4" w:space="0"/>
            </w:tcBorders>
          </w:tcPr>
          <w:p w14:paraId="34BEA3AC">
            <w:pPr>
              <w:rPr>
                <w:rFonts w:hint="eastAsia" w:ascii="宋体" w:hAnsi="宋体" w:eastAsia="宋体" w:cs="宋体"/>
                <w:color w:val="auto"/>
                <w:sz w:val="21"/>
                <w:szCs w:val="21"/>
                <w:highlight w:val="none"/>
              </w:rPr>
            </w:pPr>
          </w:p>
          <w:p w14:paraId="1EB0605D">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该项目已于年月日验收并交付使用。根据合同规定，该项目的履约保证金期限于年月日已满，请将履约保证金</w:t>
            </w:r>
          </w:p>
          <w:p w14:paraId="17664377">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（大写）¥（小写）退付到达以下账户。</w:t>
            </w:r>
          </w:p>
          <w:p w14:paraId="6E493AF3">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单位名称：</w:t>
            </w:r>
          </w:p>
          <w:p w14:paraId="6D386E71">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开户银行：</w:t>
            </w:r>
          </w:p>
          <w:p w14:paraId="0AACA0D4">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帐    号：</w:t>
            </w:r>
          </w:p>
          <w:p w14:paraId="11DE257A">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联系人及电话：</w:t>
            </w:r>
          </w:p>
          <w:p w14:paraId="6461F15F">
            <w:pPr>
              <w:rPr>
                <w:rFonts w:hint="eastAsia" w:ascii="宋体" w:hAnsi="宋体" w:eastAsia="宋体" w:cs="宋体"/>
                <w:color w:val="auto"/>
                <w:sz w:val="21"/>
                <w:szCs w:val="21"/>
                <w:highlight w:val="none"/>
              </w:rPr>
            </w:pPr>
          </w:p>
          <w:p w14:paraId="1854A05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供应商签章：</w:t>
            </w:r>
          </w:p>
          <w:p w14:paraId="625EB1F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年    月    日</w:t>
            </w:r>
          </w:p>
        </w:tc>
      </w:tr>
      <w:tr w14:paraId="0EB71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5" w:hRule="atLeast"/>
          <w:jc w:val="center"/>
        </w:trPr>
        <w:tc>
          <w:tcPr>
            <w:tcW w:w="817" w:type="dxa"/>
            <w:tcBorders>
              <w:top w:val="single" w:color="auto" w:sz="4" w:space="0"/>
              <w:left w:val="single" w:color="auto" w:sz="4" w:space="0"/>
              <w:bottom w:val="single" w:color="auto" w:sz="4" w:space="0"/>
              <w:right w:val="single" w:color="auto" w:sz="4" w:space="0"/>
            </w:tcBorders>
            <w:vAlign w:val="center"/>
          </w:tcPr>
          <w:p w14:paraId="5D18056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w:t>
            </w:r>
          </w:p>
          <w:p w14:paraId="162E0F6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购</w:t>
            </w:r>
          </w:p>
          <w:p w14:paraId="62004D2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w:t>
            </w:r>
          </w:p>
          <w:p w14:paraId="669EBC6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位</w:t>
            </w:r>
          </w:p>
          <w:p w14:paraId="01FB554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意</w:t>
            </w:r>
          </w:p>
          <w:p w14:paraId="62EFF1E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见</w:t>
            </w:r>
          </w:p>
        </w:tc>
        <w:tc>
          <w:tcPr>
            <w:tcW w:w="8009" w:type="dxa"/>
            <w:tcBorders>
              <w:top w:val="single" w:color="auto" w:sz="4" w:space="0"/>
              <w:left w:val="single" w:color="auto" w:sz="4" w:space="0"/>
              <w:bottom w:val="single" w:color="auto" w:sz="4" w:space="0"/>
              <w:right w:val="single" w:color="auto" w:sz="4" w:space="0"/>
            </w:tcBorders>
          </w:tcPr>
          <w:p w14:paraId="0A268DE3">
            <w:pPr>
              <w:rPr>
                <w:rFonts w:hint="eastAsia" w:ascii="宋体" w:hAnsi="宋体" w:eastAsia="宋体" w:cs="宋体"/>
                <w:color w:val="auto"/>
                <w:sz w:val="21"/>
                <w:szCs w:val="21"/>
                <w:highlight w:val="none"/>
              </w:rPr>
            </w:pPr>
          </w:p>
          <w:p w14:paraId="13020423">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退付意见：是否同意退付履约保证金及退付金额：</w:t>
            </w:r>
          </w:p>
          <w:p w14:paraId="0F2606ED">
            <w:pPr>
              <w:rPr>
                <w:rFonts w:hint="eastAsia" w:ascii="宋体" w:hAnsi="宋体" w:eastAsia="宋体" w:cs="宋体"/>
                <w:color w:val="auto"/>
                <w:sz w:val="21"/>
                <w:szCs w:val="21"/>
                <w:highlight w:val="none"/>
              </w:rPr>
            </w:pPr>
          </w:p>
          <w:p w14:paraId="3394BFC1">
            <w:pPr>
              <w:rPr>
                <w:rFonts w:hint="eastAsia" w:ascii="宋体" w:hAnsi="宋体" w:eastAsia="宋体" w:cs="宋体"/>
                <w:color w:val="auto"/>
                <w:sz w:val="21"/>
                <w:szCs w:val="21"/>
                <w:highlight w:val="none"/>
              </w:rPr>
            </w:pPr>
          </w:p>
          <w:p w14:paraId="023686AE">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联系人及电话：                                </w:t>
            </w:r>
          </w:p>
          <w:p w14:paraId="5B4AC85A">
            <w:pPr>
              <w:rPr>
                <w:rFonts w:hint="eastAsia" w:ascii="宋体" w:hAnsi="宋体" w:eastAsia="宋体" w:cs="宋体"/>
                <w:color w:val="auto"/>
                <w:sz w:val="21"/>
                <w:szCs w:val="21"/>
                <w:highlight w:val="none"/>
              </w:rPr>
            </w:pPr>
          </w:p>
          <w:p w14:paraId="2178E340">
            <w:pPr>
              <w:ind w:firstLine="3990" w:firstLineChars="19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采购人签章：</w:t>
            </w:r>
          </w:p>
          <w:p w14:paraId="3074AC4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年    月    日</w:t>
            </w:r>
          </w:p>
        </w:tc>
      </w:tr>
      <w:tr w14:paraId="69068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3" w:hRule="atLeast"/>
          <w:jc w:val="center"/>
        </w:trPr>
        <w:tc>
          <w:tcPr>
            <w:tcW w:w="817" w:type="dxa"/>
            <w:tcBorders>
              <w:top w:val="single" w:color="auto" w:sz="4" w:space="0"/>
              <w:left w:val="single" w:color="auto" w:sz="4" w:space="0"/>
              <w:bottom w:val="single" w:color="auto" w:sz="4" w:space="0"/>
              <w:right w:val="single" w:color="auto" w:sz="4" w:space="0"/>
            </w:tcBorders>
            <w:vAlign w:val="center"/>
          </w:tcPr>
          <w:p w14:paraId="0372F1E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w:t>
            </w:r>
          </w:p>
        </w:tc>
        <w:tc>
          <w:tcPr>
            <w:tcW w:w="8009" w:type="dxa"/>
            <w:tcBorders>
              <w:top w:val="single" w:color="auto" w:sz="4" w:space="0"/>
              <w:left w:val="single" w:color="auto" w:sz="4" w:space="0"/>
              <w:bottom w:val="single" w:color="auto" w:sz="4" w:space="0"/>
              <w:right w:val="single" w:color="auto" w:sz="4" w:space="0"/>
            </w:tcBorders>
          </w:tcPr>
          <w:p w14:paraId="36D86DF1">
            <w:pPr>
              <w:rPr>
                <w:rFonts w:hint="eastAsia" w:ascii="宋体" w:hAnsi="宋体" w:eastAsia="宋体" w:cs="宋体"/>
                <w:color w:val="auto"/>
                <w:sz w:val="21"/>
                <w:szCs w:val="21"/>
                <w:highlight w:val="none"/>
              </w:rPr>
            </w:pPr>
          </w:p>
        </w:tc>
      </w:tr>
    </w:tbl>
    <w:p w14:paraId="42FB25FF">
      <w:pPr>
        <w:spacing w:line="380" w:lineRule="exact"/>
        <w:ind w:left="1" w:firstLine="2" w:firstLineChars="1"/>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注：供应商凭经采购人审批的退付意见书到履约保证金收取单位财务部门办理履约保证金退付事宜。</w:t>
      </w:r>
    </w:p>
    <w:p w14:paraId="724533CC">
      <w:pPr>
        <w:pStyle w:val="163"/>
        <w:rPr>
          <w:rFonts w:hint="eastAsia" w:ascii="宋体" w:hAnsi="宋体" w:eastAsia="宋体" w:cs="宋体"/>
          <w:color w:val="auto"/>
          <w:highlight w:val="none"/>
        </w:rPr>
      </w:pPr>
    </w:p>
    <w:p w14:paraId="76054D90">
      <w:pPr>
        <w:pStyle w:val="163"/>
        <w:rPr>
          <w:rFonts w:hint="eastAsia" w:ascii="宋体" w:hAnsi="宋体" w:eastAsia="宋体" w:cs="宋体"/>
          <w:color w:val="auto"/>
          <w:highlight w:val="none"/>
        </w:rPr>
        <w:sectPr>
          <w:headerReference r:id="rId6" w:type="first"/>
          <w:footerReference r:id="rId8" w:type="first"/>
          <w:footerReference r:id="rId7" w:type="default"/>
          <w:pgSz w:w="11910" w:h="16840"/>
          <w:pgMar w:top="1134" w:right="1134" w:bottom="1134" w:left="1134" w:header="720" w:footer="720" w:gutter="0"/>
          <w:pgNumType w:start="0"/>
          <w:cols w:space="0" w:num="1"/>
          <w:titlePg/>
          <w:docGrid w:linePitch="286" w:charSpace="0"/>
        </w:sectPr>
      </w:pPr>
    </w:p>
    <w:p w14:paraId="104BCC1C">
      <w:pPr>
        <w:pStyle w:val="3"/>
        <w:keepNext w:val="0"/>
        <w:keepLines w:val="0"/>
        <w:tabs>
          <w:tab w:val="left" w:pos="0"/>
          <w:tab w:val="left" w:pos="3165"/>
          <w:tab w:val="center" w:pos="4153"/>
        </w:tabs>
        <w:autoSpaceDE w:val="0"/>
        <w:autoSpaceDN w:val="0"/>
        <w:adjustRightInd w:val="0"/>
        <w:spacing w:before="0" w:after="0" w:line="360" w:lineRule="auto"/>
        <w:jc w:val="center"/>
        <w:rPr>
          <w:rFonts w:hint="eastAsia" w:ascii="宋体" w:hAnsi="宋体" w:eastAsia="宋体" w:cs="宋体"/>
          <w:color w:val="auto"/>
          <w:highlight w:val="none"/>
        </w:rPr>
      </w:pPr>
      <w:bookmarkStart w:id="43" w:name="_Toc18664"/>
      <w:bookmarkStart w:id="44" w:name="_Toc2582"/>
      <w:r>
        <w:rPr>
          <w:rFonts w:hint="eastAsia" w:ascii="宋体" w:hAnsi="宋体" w:eastAsia="宋体" w:cs="宋体"/>
          <w:color w:val="auto"/>
          <w:highlight w:val="none"/>
        </w:rPr>
        <w:t>第三章  投标人须知</w:t>
      </w:r>
      <w:bookmarkEnd w:id="43"/>
      <w:bookmarkEnd w:id="44"/>
    </w:p>
    <w:p w14:paraId="70EFA266">
      <w:pPr>
        <w:jc w:val="center"/>
        <w:rPr>
          <w:rFonts w:hint="eastAsia" w:ascii="宋体" w:hAnsi="宋体" w:eastAsia="宋体" w:cs="宋体"/>
          <w:color w:val="auto"/>
          <w:sz w:val="36"/>
          <w:szCs w:val="36"/>
          <w:highlight w:val="none"/>
        </w:rPr>
      </w:pPr>
      <w:bookmarkStart w:id="45" w:name="_Toc254970667"/>
      <w:bookmarkStart w:id="46" w:name="_Toc254970526"/>
      <w:r>
        <w:rPr>
          <w:rFonts w:hint="eastAsia" w:ascii="宋体" w:hAnsi="宋体" w:eastAsia="宋体" w:cs="宋体"/>
          <w:color w:val="auto"/>
          <w:sz w:val="36"/>
          <w:szCs w:val="36"/>
          <w:highlight w:val="none"/>
        </w:rPr>
        <w:t>投标人须知前附表</w:t>
      </w:r>
      <w:bookmarkEnd w:id="45"/>
      <w:bookmarkEnd w:id="46"/>
    </w:p>
    <w:tbl>
      <w:tblPr>
        <w:tblStyle w:val="61"/>
        <w:tblW w:w="915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78"/>
        <w:gridCol w:w="8175"/>
      </w:tblGrid>
      <w:tr w14:paraId="76059E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jc w:val="center"/>
        </w:trPr>
        <w:tc>
          <w:tcPr>
            <w:tcW w:w="978" w:type="dxa"/>
            <w:tcBorders>
              <w:top w:val="single" w:color="auto" w:sz="4" w:space="0"/>
              <w:left w:val="single" w:color="auto" w:sz="4" w:space="0"/>
              <w:bottom w:val="single" w:color="auto" w:sz="4" w:space="0"/>
              <w:right w:val="single" w:color="auto" w:sz="4" w:space="0"/>
            </w:tcBorders>
            <w:vAlign w:val="center"/>
          </w:tcPr>
          <w:p w14:paraId="083FEC0E">
            <w:pPr>
              <w:snapToGrid w:val="0"/>
              <w:spacing w:line="360" w:lineRule="auto"/>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条款号</w:t>
            </w:r>
          </w:p>
        </w:tc>
        <w:tc>
          <w:tcPr>
            <w:tcW w:w="8175" w:type="dxa"/>
            <w:tcBorders>
              <w:top w:val="single" w:color="auto" w:sz="4" w:space="0"/>
              <w:left w:val="single" w:color="auto" w:sz="4" w:space="0"/>
              <w:bottom w:val="single" w:color="auto" w:sz="4" w:space="0"/>
              <w:right w:val="single" w:color="auto" w:sz="4" w:space="0"/>
            </w:tcBorders>
            <w:vAlign w:val="center"/>
          </w:tcPr>
          <w:p w14:paraId="1B267015">
            <w:pPr>
              <w:snapToGrid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编列内容</w:t>
            </w:r>
          </w:p>
        </w:tc>
      </w:tr>
      <w:tr w14:paraId="44EFBD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78" w:type="dxa"/>
            <w:tcBorders>
              <w:top w:val="single" w:color="auto" w:sz="4" w:space="0"/>
              <w:left w:val="single" w:color="auto" w:sz="4" w:space="0"/>
              <w:bottom w:val="single" w:color="auto" w:sz="4" w:space="0"/>
              <w:right w:val="single" w:color="auto" w:sz="4" w:space="0"/>
            </w:tcBorders>
            <w:vAlign w:val="center"/>
          </w:tcPr>
          <w:p w14:paraId="1D83B87F">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8175" w:type="dxa"/>
            <w:tcBorders>
              <w:top w:val="single" w:color="auto" w:sz="4" w:space="0"/>
              <w:left w:val="single" w:color="auto" w:sz="4" w:space="0"/>
              <w:bottom w:val="single" w:color="auto" w:sz="4" w:space="0"/>
              <w:right w:val="single" w:color="auto" w:sz="4" w:space="0"/>
            </w:tcBorders>
            <w:vAlign w:val="center"/>
          </w:tcPr>
          <w:p w14:paraId="7B17EF51">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1.投标人的资格要求详见招标公告。</w:t>
            </w:r>
          </w:p>
          <w:p w14:paraId="4906EEFA">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2.投标人出现下列情形之一的，不得参加政府采购活动：</w:t>
            </w:r>
          </w:p>
          <w:p w14:paraId="27821203">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2C68816A">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2.2对在“信用中国”网站（www.creditchina.gov.cn）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14:paraId="3ED50B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78" w:type="dxa"/>
            <w:tcBorders>
              <w:top w:val="single" w:color="auto" w:sz="4" w:space="0"/>
              <w:left w:val="single" w:color="auto" w:sz="4" w:space="0"/>
              <w:bottom w:val="single" w:color="auto" w:sz="4" w:space="0"/>
              <w:right w:val="single" w:color="auto" w:sz="4" w:space="0"/>
            </w:tcBorders>
            <w:vAlign w:val="center"/>
          </w:tcPr>
          <w:p w14:paraId="5B540600">
            <w:pPr>
              <w:spacing w:line="360" w:lineRule="auto"/>
              <w:jc w:val="center"/>
              <w:rPr>
                <w:rFonts w:hint="eastAsia" w:ascii="宋体" w:hAnsi="宋体" w:eastAsia="宋体" w:cs="宋体"/>
                <w:color w:val="auto"/>
                <w:szCs w:val="21"/>
                <w:highlight w:val="none"/>
              </w:rPr>
            </w:pPr>
            <w:bookmarkStart w:id="47" w:name="_8.1"/>
            <w:bookmarkEnd w:id="47"/>
            <w:bookmarkStart w:id="48" w:name="_9.2"/>
            <w:bookmarkEnd w:id="48"/>
            <w:bookmarkStart w:id="49" w:name="_5"/>
            <w:bookmarkEnd w:id="49"/>
            <w:r>
              <w:rPr>
                <w:rFonts w:hint="eastAsia" w:ascii="宋体" w:hAnsi="宋体" w:eastAsia="宋体" w:cs="宋体"/>
                <w:color w:val="auto"/>
                <w:szCs w:val="21"/>
                <w:highlight w:val="none"/>
              </w:rPr>
              <w:t>2</w:t>
            </w:r>
          </w:p>
        </w:tc>
        <w:tc>
          <w:tcPr>
            <w:tcW w:w="8175" w:type="dxa"/>
            <w:tcBorders>
              <w:top w:val="single" w:color="auto" w:sz="4" w:space="0"/>
              <w:left w:val="single" w:color="auto" w:sz="4" w:space="0"/>
              <w:bottom w:val="single" w:color="auto" w:sz="4" w:space="0"/>
              <w:right w:val="single" w:color="auto" w:sz="4" w:space="0"/>
            </w:tcBorders>
            <w:vAlign w:val="center"/>
          </w:tcPr>
          <w:p w14:paraId="7FF8F573">
            <w:pPr>
              <w:pStyle w:val="2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本项目是否接受联合体投标：详见招标公告。</w:t>
            </w:r>
          </w:p>
        </w:tc>
      </w:tr>
      <w:tr w14:paraId="6C0F87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78" w:type="dxa"/>
            <w:tcBorders>
              <w:top w:val="single" w:color="auto" w:sz="4" w:space="0"/>
              <w:left w:val="single" w:color="auto" w:sz="4" w:space="0"/>
              <w:bottom w:val="single" w:color="auto" w:sz="4" w:space="0"/>
              <w:right w:val="single" w:color="auto" w:sz="4" w:space="0"/>
            </w:tcBorders>
            <w:vAlign w:val="center"/>
          </w:tcPr>
          <w:p w14:paraId="2F235DBD">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p>
        </w:tc>
        <w:tc>
          <w:tcPr>
            <w:tcW w:w="8175" w:type="dxa"/>
            <w:tcBorders>
              <w:top w:val="single" w:color="auto" w:sz="4" w:space="0"/>
              <w:left w:val="single" w:color="auto" w:sz="4" w:space="0"/>
              <w:bottom w:val="single" w:color="auto" w:sz="4" w:space="0"/>
              <w:right w:val="single" w:color="auto" w:sz="4" w:space="0"/>
            </w:tcBorders>
            <w:vAlign w:val="center"/>
          </w:tcPr>
          <w:p w14:paraId="2C92A52F">
            <w:pPr>
              <w:pStyle w:val="2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√不允许分包</w:t>
            </w:r>
          </w:p>
          <w:p w14:paraId="254A6213">
            <w:pPr>
              <w:pStyle w:val="2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□允许分包</w:t>
            </w:r>
          </w:p>
          <w:p w14:paraId="2F739584">
            <w:pPr>
              <w:pStyle w:val="20"/>
              <w:spacing w:line="360" w:lineRule="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分包内容：</w:t>
            </w:r>
            <w:r>
              <w:rPr>
                <w:rFonts w:hint="eastAsia" w:ascii="宋体" w:hAnsi="宋体" w:eastAsia="宋体" w:cs="宋体"/>
                <w:color w:val="auto"/>
                <w:szCs w:val="21"/>
                <w:highlight w:val="none"/>
                <w:u w:val="single"/>
              </w:rPr>
              <w:t xml:space="preserve">                                     。</w:t>
            </w:r>
          </w:p>
          <w:p w14:paraId="79290DA4">
            <w:pPr>
              <w:pStyle w:val="20"/>
              <w:spacing w:line="360" w:lineRule="auto"/>
              <w:jc w:val="both"/>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分包金额或者比例：</w:t>
            </w:r>
            <w:r>
              <w:rPr>
                <w:rFonts w:hint="eastAsia" w:ascii="宋体" w:hAnsi="宋体" w:eastAsia="宋体" w:cs="宋体"/>
                <w:color w:val="auto"/>
                <w:szCs w:val="21"/>
                <w:highlight w:val="none"/>
                <w:u w:val="single"/>
              </w:rPr>
              <w:t xml:space="preserve">                                     。</w:t>
            </w:r>
          </w:p>
        </w:tc>
      </w:tr>
      <w:tr w14:paraId="495B1B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78" w:type="dxa"/>
            <w:vMerge w:val="restart"/>
            <w:tcBorders>
              <w:top w:val="single" w:color="auto" w:sz="4" w:space="0"/>
              <w:left w:val="single" w:color="auto" w:sz="4" w:space="0"/>
              <w:right w:val="single" w:color="auto" w:sz="4" w:space="0"/>
            </w:tcBorders>
            <w:vAlign w:val="center"/>
          </w:tcPr>
          <w:p w14:paraId="77A0F487">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4</w:t>
            </w:r>
          </w:p>
        </w:tc>
        <w:tc>
          <w:tcPr>
            <w:tcW w:w="8175" w:type="dxa"/>
            <w:tcBorders>
              <w:top w:val="single" w:color="auto" w:sz="4" w:space="0"/>
              <w:left w:val="single" w:color="auto" w:sz="4" w:space="0"/>
              <w:bottom w:val="single" w:color="auto" w:sz="4" w:space="0"/>
              <w:right w:val="single" w:color="auto" w:sz="4" w:space="0"/>
            </w:tcBorders>
            <w:vAlign w:val="center"/>
          </w:tcPr>
          <w:p w14:paraId="4A3C006E">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√不组织现场考察</w:t>
            </w:r>
          </w:p>
          <w:p w14:paraId="43F21E40">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□组织现场考察：</w:t>
            </w:r>
          </w:p>
          <w:p w14:paraId="4D528AD2">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详见《</w:t>
            </w:r>
            <w:r>
              <w:rPr>
                <w:rFonts w:hint="eastAsia" w:ascii="宋体" w:hAnsi="宋体" w:eastAsia="宋体" w:cs="宋体"/>
                <w:color w:val="auto"/>
                <w:highlight w:val="none"/>
              </w:rPr>
              <w:t>第二章采购需求</w:t>
            </w:r>
            <w:r>
              <w:rPr>
                <w:rFonts w:hint="eastAsia" w:ascii="宋体" w:hAnsi="宋体" w:eastAsia="宋体" w:cs="宋体"/>
                <w:color w:val="auto"/>
                <w:szCs w:val="21"/>
                <w:highlight w:val="none"/>
              </w:rPr>
              <w:t>》</w:t>
            </w:r>
          </w:p>
        </w:tc>
      </w:tr>
      <w:tr w14:paraId="29AC2C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78" w:type="dxa"/>
            <w:vMerge w:val="continue"/>
            <w:tcBorders>
              <w:left w:val="single" w:color="auto" w:sz="4" w:space="0"/>
              <w:bottom w:val="single" w:color="auto" w:sz="4" w:space="0"/>
              <w:right w:val="single" w:color="auto" w:sz="4" w:space="0"/>
            </w:tcBorders>
            <w:vAlign w:val="center"/>
          </w:tcPr>
          <w:p w14:paraId="0D5AB506">
            <w:pPr>
              <w:spacing w:line="360" w:lineRule="auto"/>
              <w:jc w:val="center"/>
              <w:rPr>
                <w:rFonts w:hint="eastAsia" w:ascii="宋体" w:hAnsi="宋体" w:eastAsia="宋体" w:cs="宋体"/>
                <w:color w:val="auto"/>
                <w:szCs w:val="21"/>
                <w:highlight w:val="none"/>
              </w:rPr>
            </w:pPr>
          </w:p>
        </w:tc>
        <w:tc>
          <w:tcPr>
            <w:tcW w:w="8175" w:type="dxa"/>
            <w:tcBorders>
              <w:top w:val="single" w:color="auto" w:sz="4" w:space="0"/>
              <w:left w:val="single" w:color="auto" w:sz="4" w:space="0"/>
              <w:bottom w:val="single" w:color="auto" w:sz="4" w:space="0"/>
              <w:right w:val="single" w:color="auto" w:sz="4" w:space="0"/>
            </w:tcBorders>
            <w:vAlign w:val="center"/>
          </w:tcPr>
          <w:p w14:paraId="11397256">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√不组织召开开标前答疑会</w:t>
            </w:r>
          </w:p>
          <w:p w14:paraId="20EC64A8">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□组织召开开标前答疑会</w:t>
            </w:r>
          </w:p>
          <w:p w14:paraId="307AB25B">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会议开始时间：/年/月/日/时/分，逾期后果自负。会议地点：/</w:t>
            </w:r>
          </w:p>
        </w:tc>
      </w:tr>
      <w:tr w14:paraId="44DB17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78" w:type="dxa"/>
            <w:vMerge w:val="restart"/>
            <w:tcBorders>
              <w:top w:val="single" w:color="auto" w:sz="4" w:space="0"/>
              <w:left w:val="single" w:color="auto" w:sz="4" w:space="0"/>
              <w:right w:val="single" w:color="auto" w:sz="4" w:space="0"/>
            </w:tcBorders>
            <w:vAlign w:val="center"/>
          </w:tcPr>
          <w:p w14:paraId="790CAB13">
            <w:pPr>
              <w:spacing w:line="360" w:lineRule="auto"/>
              <w:jc w:val="center"/>
              <w:rPr>
                <w:rFonts w:hint="eastAsia" w:ascii="宋体" w:hAnsi="宋体" w:eastAsia="宋体" w:cs="宋体"/>
                <w:color w:val="auto"/>
                <w:szCs w:val="21"/>
                <w:highlight w:val="none"/>
              </w:rPr>
            </w:pPr>
            <w:bookmarkStart w:id="50" w:name="_13.1"/>
            <w:bookmarkEnd w:id="50"/>
            <w:r>
              <w:rPr>
                <w:rFonts w:hint="eastAsia" w:ascii="宋体" w:hAnsi="宋体" w:eastAsia="宋体" w:cs="宋体"/>
                <w:color w:val="auto"/>
                <w:szCs w:val="21"/>
                <w:highlight w:val="none"/>
              </w:rPr>
              <w:t>5</w:t>
            </w:r>
          </w:p>
        </w:tc>
        <w:tc>
          <w:tcPr>
            <w:tcW w:w="8175" w:type="dxa"/>
            <w:tcBorders>
              <w:top w:val="single" w:color="auto" w:sz="4" w:space="0"/>
              <w:left w:val="single" w:color="auto" w:sz="4" w:space="0"/>
              <w:bottom w:val="single" w:color="auto" w:sz="4" w:space="0"/>
              <w:right w:val="single" w:color="auto" w:sz="4" w:space="0"/>
            </w:tcBorders>
            <w:vAlign w:val="center"/>
          </w:tcPr>
          <w:p w14:paraId="3E5A46FC">
            <w:pPr>
              <w:snapToGrid w:val="0"/>
              <w:spacing w:line="360" w:lineRule="auto"/>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报价文件：</w:t>
            </w:r>
          </w:p>
          <w:p w14:paraId="276DDE6A">
            <w:pPr>
              <w:tabs>
                <w:tab w:val="left" w:pos="459"/>
              </w:tabs>
              <w:snapToGrid w:val="0"/>
              <w:spacing w:line="360" w:lineRule="auto"/>
              <w:ind w:left="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1.投标函（格式后附）；</w:t>
            </w:r>
            <w:r>
              <w:rPr>
                <w:rFonts w:hint="eastAsia" w:ascii="宋体" w:hAnsi="宋体" w:eastAsia="宋体" w:cs="宋体"/>
                <w:b/>
                <w:color w:val="auto"/>
                <w:szCs w:val="21"/>
                <w:highlight w:val="none"/>
              </w:rPr>
              <w:t>（必须提供，否则按无效投标处理）</w:t>
            </w:r>
          </w:p>
          <w:p w14:paraId="56E17CC3">
            <w:pPr>
              <w:tabs>
                <w:tab w:val="left" w:pos="459"/>
              </w:tabs>
              <w:snapToGrid w:val="0"/>
              <w:spacing w:line="360" w:lineRule="auto"/>
              <w:ind w:left="420"/>
              <w:jc w:val="left"/>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 xml:space="preserve">2.开标一览表（格式后附）； </w:t>
            </w:r>
            <w:r>
              <w:rPr>
                <w:rFonts w:hint="eastAsia" w:ascii="宋体" w:hAnsi="宋体" w:eastAsia="宋体" w:cs="宋体"/>
                <w:b/>
                <w:color w:val="auto"/>
                <w:szCs w:val="21"/>
                <w:highlight w:val="none"/>
              </w:rPr>
              <w:t>（必须提供，否则按无效投标处理）</w:t>
            </w:r>
          </w:p>
          <w:p w14:paraId="2B049E95">
            <w:pPr>
              <w:tabs>
                <w:tab w:val="left" w:pos="459"/>
              </w:tabs>
              <w:snapToGrid w:val="0"/>
              <w:spacing w:line="360" w:lineRule="auto"/>
              <w:ind w:left="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3.投标人针对报价需要说明的其他文件和说明（格式自拟）。</w:t>
            </w:r>
            <w:r>
              <w:rPr>
                <w:rFonts w:hint="eastAsia" w:ascii="宋体" w:hAnsi="宋体" w:eastAsia="宋体" w:cs="宋体"/>
                <w:b/>
                <w:color w:val="auto"/>
                <w:szCs w:val="21"/>
                <w:highlight w:val="none"/>
              </w:rPr>
              <w:t>如《中小企业声明函》</w:t>
            </w:r>
          </w:p>
          <w:p w14:paraId="0BB8FEE0">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注：以上标明“必须提供”的材料属于复印件的，必须加盖投标人电子签章，否则按无效投标</w:t>
            </w:r>
            <w:r>
              <w:rPr>
                <w:rFonts w:hint="eastAsia" w:ascii="宋体" w:hAnsi="宋体" w:eastAsia="宋体" w:cs="宋体"/>
                <w:b/>
                <w:color w:val="auto"/>
                <w:szCs w:val="21"/>
                <w:highlight w:val="none"/>
              </w:rPr>
              <w:t>处理。</w:t>
            </w:r>
          </w:p>
        </w:tc>
      </w:tr>
      <w:tr w14:paraId="1109B7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78" w:type="dxa"/>
            <w:vMerge w:val="continue"/>
            <w:tcBorders>
              <w:left w:val="single" w:color="auto" w:sz="4" w:space="0"/>
              <w:right w:val="single" w:color="auto" w:sz="4" w:space="0"/>
            </w:tcBorders>
            <w:vAlign w:val="center"/>
          </w:tcPr>
          <w:p w14:paraId="2DA52999">
            <w:pPr>
              <w:spacing w:line="360" w:lineRule="auto"/>
              <w:rPr>
                <w:rFonts w:hint="eastAsia" w:ascii="宋体" w:hAnsi="宋体" w:eastAsia="宋体" w:cs="宋体"/>
                <w:color w:val="auto"/>
                <w:szCs w:val="21"/>
                <w:highlight w:val="none"/>
              </w:rPr>
            </w:pPr>
            <w:bookmarkStart w:id="51" w:name="_13.2"/>
            <w:bookmarkEnd w:id="51"/>
          </w:p>
        </w:tc>
        <w:tc>
          <w:tcPr>
            <w:tcW w:w="8175" w:type="dxa"/>
            <w:tcBorders>
              <w:top w:val="single" w:color="auto" w:sz="4" w:space="0"/>
              <w:left w:val="single" w:color="auto" w:sz="4" w:space="0"/>
              <w:bottom w:val="single" w:color="auto" w:sz="4" w:space="0"/>
              <w:right w:val="single" w:color="auto" w:sz="4" w:space="0"/>
            </w:tcBorders>
            <w:vAlign w:val="center"/>
          </w:tcPr>
          <w:p w14:paraId="70B77178">
            <w:pPr>
              <w:snapToGrid w:val="0"/>
              <w:spacing w:line="360" w:lineRule="auto"/>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资格证明文件</w:t>
            </w:r>
          </w:p>
          <w:p w14:paraId="7957DA8A">
            <w:pPr>
              <w:snapToGrid w:val="0"/>
              <w:spacing w:line="360" w:lineRule="auto"/>
              <w:ind w:firstLine="420" w:firstLineChars="200"/>
              <w:jc w:val="left"/>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1.投标人为法人或者其他组织的，提供营业执照等证明文件（如营业执照或者事业单位法人证书或者</w:t>
            </w:r>
            <w:r>
              <w:rPr>
                <w:rStyle w:val="349"/>
                <w:rFonts w:hint="eastAsia" w:ascii="宋体" w:hAnsi="宋体" w:eastAsia="宋体" w:cs="宋体"/>
                <w:color w:val="auto"/>
                <w:sz w:val="21"/>
                <w:szCs w:val="21"/>
                <w:highlight w:val="none"/>
              </w:rPr>
              <w:t>执业许可证</w:t>
            </w:r>
            <w:r>
              <w:rPr>
                <w:rFonts w:hint="eastAsia" w:ascii="宋体" w:hAnsi="宋体" w:eastAsia="宋体" w:cs="宋体"/>
                <w:color w:val="auto"/>
                <w:szCs w:val="21"/>
                <w:highlight w:val="none"/>
              </w:rPr>
              <w:t>或者登记证书等），投标人为自然人的，提供身份证复印件；（</w:t>
            </w:r>
            <w:r>
              <w:rPr>
                <w:rFonts w:hint="eastAsia" w:ascii="宋体" w:hAnsi="宋体" w:eastAsia="宋体" w:cs="宋体"/>
                <w:b/>
                <w:color w:val="auto"/>
                <w:szCs w:val="21"/>
                <w:highlight w:val="none"/>
              </w:rPr>
              <w:t>必须提供，否则按无效投标处理</w:t>
            </w:r>
            <w:r>
              <w:rPr>
                <w:rFonts w:hint="eastAsia" w:ascii="宋体" w:hAnsi="宋体" w:eastAsia="宋体" w:cs="宋体"/>
                <w:color w:val="auto"/>
                <w:szCs w:val="21"/>
                <w:highlight w:val="none"/>
              </w:rPr>
              <w:t>）</w:t>
            </w:r>
          </w:p>
          <w:p w14:paraId="13290E6E">
            <w:pPr>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2.投标人依法缴纳税收的相关材</w:t>
            </w:r>
            <w:r>
              <w:rPr>
                <w:rFonts w:hint="eastAsia" w:ascii="宋体" w:hAnsi="宋体" w:eastAsia="宋体" w:cs="宋体"/>
                <w:color w:val="auto"/>
                <w:szCs w:val="21"/>
                <w:highlight w:val="none"/>
              </w:rPr>
              <w:t>料</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202</w:t>
            </w:r>
            <w:r>
              <w:rPr>
                <w:rFonts w:hint="eastAsia" w:ascii="宋体" w:hAnsi="宋体" w:eastAsia="宋体" w:cs="宋体"/>
                <w:color w:val="auto"/>
                <w:szCs w:val="21"/>
                <w:highlight w:val="none"/>
                <w:lang w:eastAsia="zh-CN"/>
              </w:rPr>
              <w:t>6</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lang w:val="en-US" w:eastAsia="zh-CN"/>
              </w:rPr>
              <w:t>以来</w:t>
            </w:r>
            <w:r>
              <w:rPr>
                <w:rFonts w:hint="eastAsia" w:ascii="宋体" w:hAnsi="宋体" w:eastAsia="宋体" w:cs="宋体"/>
                <w:color w:val="auto"/>
                <w:szCs w:val="21"/>
                <w:highlight w:val="none"/>
              </w:rPr>
              <w:t>内任意</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个月的依法缴纳税收的凭据复印件；依法免税的供应商，必须提供符合免税条件的证明材料。从成立之日起到投标文件提交截止时间止不足要求月数的，只需提供从成立之日起的依法缴纳税收相应证明文件</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w:t>
            </w:r>
            <w:r>
              <w:rPr>
                <w:rFonts w:hint="eastAsia" w:ascii="宋体" w:hAnsi="宋体" w:eastAsia="宋体" w:cs="宋体"/>
                <w:b/>
                <w:bCs/>
                <w:color w:val="auto"/>
                <w:szCs w:val="21"/>
                <w:highlight w:val="none"/>
              </w:rPr>
              <w:t>（必须提供，否则按无效投标处理）</w:t>
            </w:r>
          </w:p>
          <w:p w14:paraId="7FFB6529">
            <w:pPr>
              <w:snapToGrid w:val="0"/>
              <w:spacing w:line="360" w:lineRule="auto"/>
              <w:ind w:firstLine="420" w:firstLineChars="200"/>
              <w:jc w:val="left"/>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3.投标人依法缴纳社会保障资金的相关材料</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202</w:t>
            </w:r>
            <w:r>
              <w:rPr>
                <w:rFonts w:hint="eastAsia" w:ascii="宋体" w:hAnsi="宋体" w:eastAsia="宋体" w:cs="宋体"/>
                <w:color w:val="auto"/>
                <w:szCs w:val="21"/>
                <w:highlight w:val="none"/>
                <w:lang w:eastAsia="zh-CN"/>
              </w:rPr>
              <w:t>6</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lang w:val="en-US" w:eastAsia="zh-CN"/>
              </w:rPr>
              <w:t>以来任意1</w:t>
            </w:r>
            <w:r>
              <w:rPr>
                <w:rFonts w:hint="eastAsia" w:ascii="宋体" w:hAnsi="宋体" w:eastAsia="宋体" w:cs="宋体"/>
                <w:color w:val="auto"/>
                <w:szCs w:val="21"/>
                <w:highlight w:val="none"/>
              </w:rPr>
              <w:t>个月的</w:t>
            </w:r>
            <w:r>
              <w:rPr>
                <w:rFonts w:hint="eastAsia" w:ascii="宋体" w:hAnsi="宋体" w:eastAsia="宋体" w:cs="宋体"/>
                <w:color w:val="auto"/>
                <w:szCs w:val="21"/>
                <w:highlight w:val="none"/>
              </w:rPr>
              <w:t>依法缴纳社会保障资金的缴费证明材料（</w:t>
            </w:r>
            <w:r>
              <w:rPr>
                <w:rFonts w:hint="eastAsia" w:ascii="宋体" w:hAnsi="宋体" w:eastAsia="宋体" w:cs="宋体"/>
                <w:color w:val="auto"/>
                <w:highlight w:val="none"/>
              </w:rPr>
              <w:t>如：</w:t>
            </w:r>
            <w:r>
              <w:rPr>
                <w:rFonts w:hint="eastAsia" w:ascii="宋体" w:hAnsi="宋体" w:eastAsia="宋体" w:cs="宋体"/>
                <w:color w:val="auto"/>
                <w:szCs w:val="21"/>
                <w:highlight w:val="none"/>
              </w:rPr>
              <w:t>专用收据、社会保险缴纳清单或者社保部门的证明）复印件；依法不需要缴纳社会保障资金的供应商，必须提供相应文件证明不需要缴纳社会保障资金。从成立之日起到投标文件提交截止时间止不足要求月数的只需提供从成立之日起的依法缴纳社会保障资金的相应证明文件]；（</w:t>
            </w:r>
            <w:r>
              <w:rPr>
                <w:rFonts w:hint="eastAsia" w:ascii="宋体" w:hAnsi="宋体" w:eastAsia="宋体" w:cs="宋体"/>
                <w:b/>
                <w:color w:val="auto"/>
                <w:szCs w:val="21"/>
                <w:highlight w:val="none"/>
              </w:rPr>
              <w:t>必须提供，否则按无效投标处理</w:t>
            </w:r>
            <w:r>
              <w:rPr>
                <w:rFonts w:hint="eastAsia" w:ascii="宋体" w:hAnsi="宋体" w:eastAsia="宋体" w:cs="宋体"/>
                <w:color w:val="auto"/>
                <w:szCs w:val="21"/>
                <w:highlight w:val="none"/>
              </w:rPr>
              <w:t>）</w:t>
            </w:r>
          </w:p>
          <w:p w14:paraId="115ACDE4">
            <w:pPr>
              <w:snapToGrid w:val="0"/>
              <w:spacing w:line="360" w:lineRule="auto"/>
              <w:ind w:firstLine="420" w:firstLineChars="200"/>
              <w:jc w:val="left"/>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4.投标人财务状况报告</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202</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年度财务报表（财务报表至少包含资产负债表、利润表、现金流量表）复印件或者中国人民银行征信中心出具的信用报告（企业投标的提供企业信用报告</w:t>
            </w:r>
            <w:r>
              <w:rPr>
                <w:rFonts w:hint="eastAsia" w:ascii="宋体" w:hAnsi="宋体" w:eastAsia="宋体" w:cs="宋体"/>
                <w:color w:val="auto"/>
                <w:highlight w:val="none"/>
              </w:rPr>
              <w:t>，投标人属于成立时间在规定年度之后的法人或其他组织，需提供成立之日起至投标截止时间前的月报表</w:t>
            </w:r>
            <w:r>
              <w:rPr>
                <w:rFonts w:hint="eastAsia" w:ascii="宋体" w:hAnsi="宋体" w:eastAsia="宋体" w:cs="宋体"/>
                <w:color w:val="auto"/>
                <w:szCs w:val="21"/>
                <w:highlight w:val="none"/>
              </w:rPr>
              <w:t>或银行出具的资信证明或者中国人民银行征信中心出具的企业信用报告；资信证明应在有效期内，未注明有效期的，银行出具时间至投标截止时间不超过一年）；（</w:t>
            </w:r>
            <w:r>
              <w:rPr>
                <w:rFonts w:hint="eastAsia" w:ascii="宋体" w:hAnsi="宋体" w:eastAsia="宋体" w:cs="宋体"/>
                <w:b/>
                <w:color w:val="auto"/>
                <w:szCs w:val="21"/>
                <w:highlight w:val="none"/>
              </w:rPr>
              <w:t>必须提供，否则按无效投标处理</w:t>
            </w:r>
            <w:r>
              <w:rPr>
                <w:rFonts w:hint="eastAsia" w:ascii="宋体" w:hAnsi="宋体" w:eastAsia="宋体" w:cs="宋体"/>
                <w:color w:val="auto"/>
                <w:szCs w:val="21"/>
                <w:highlight w:val="none"/>
              </w:rPr>
              <w:t>）</w:t>
            </w:r>
          </w:p>
          <w:p w14:paraId="56AABCF5">
            <w:pPr>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5.投标人直接控股</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管理关系信息表（格式后附）；（</w:t>
            </w:r>
            <w:r>
              <w:rPr>
                <w:rFonts w:hint="eastAsia" w:ascii="宋体" w:hAnsi="宋体" w:eastAsia="宋体" w:cs="宋体"/>
                <w:b/>
                <w:color w:val="auto"/>
                <w:szCs w:val="21"/>
                <w:highlight w:val="none"/>
              </w:rPr>
              <w:t>必须提供，否则按无效投标处理</w:t>
            </w:r>
            <w:r>
              <w:rPr>
                <w:rFonts w:hint="eastAsia" w:ascii="宋体" w:hAnsi="宋体" w:eastAsia="宋体" w:cs="宋体"/>
                <w:color w:val="auto"/>
                <w:szCs w:val="21"/>
                <w:highlight w:val="none"/>
              </w:rPr>
              <w:t>）</w:t>
            </w:r>
          </w:p>
          <w:p w14:paraId="562325CC">
            <w:pPr>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rPr>
              <w:t>.投标声明</w:t>
            </w:r>
            <w:r>
              <w:rPr>
                <w:rFonts w:hint="eastAsia" w:ascii="宋体" w:hAnsi="宋体" w:eastAsia="宋体" w:cs="宋体"/>
                <w:color w:val="auto"/>
                <w:szCs w:val="21"/>
                <w:highlight w:val="none"/>
                <w:lang w:val="en-US" w:eastAsia="zh-CN"/>
              </w:rPr>
              <w:t>函</w:t>
            </w:r>
            <w:r>
              <w:rPr>
                <w:rFonts w:hint="eastAsia" w:ascii="宋体" w:hAnsi="宋体" w:eastAsia="宋体" w:cs="宋体"/>
                <w:color w:val="auto"/>
                <w:szCs w:val="21"/>
                <w:highlight w:val="none"/>
              </w:rPr>
              <w:t>（格式后附）；（</w:t>
            </w:r>
            <w:r>
              <w:rPr>
                <w:rFonts w:hint="eastAsia" w:ascii="宋体" w:hAnsi="宋体" w:eastAsia="宋体" w:cs="宋体"/>
                <w:b/>
                <w:color w:val="auto"/>
                <w:szCs w:val="21"/>
                <w:highlight w:val="none"/>
              </w:rPr>
              <w:t>必须提供，否则按无效投标处理</w:t>
            </w:r>
            <w:r>
              <w:rPr>
                <w:rFonts w:hint="eastAsia" w:ascii="宋体" w:hAnsi="宋体" w:eastAsia="宋体" w:cs="宋体"/>
                <w:color w:val="auto"/>
                <w:szCs w:val="21"/>
                <w:highlight w:val="none"/>
              </w:rPr>
              <w:t>）</w:t>
            </w:r>
          </w:p>
          <w:p w14:paraId="6C9D15AB">
            <w:pPr>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7</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中小企业声明函或残疾人企业声明函或监狱企业证明文件（必须提供，否则按无效投标处理）</w:t>
            </w:r>
          </w:p>
          <w:p w14:paraId="2C88E4E6">
            <w:pPr>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8</w:t>
            </w:r>
            <w:r>
              <w:rPr>
                <w:rFonts w:hint="eastAsia" w:ascii="宋体" w:hAnsi="宋体" w:eastAsia="宋体" w:cs="宋体"/>
                <w:color w:val="auto"/>
                <w:szCs w:val="21"/>
                <w:highlight w:val="none"/>
              </w:rPr>
              <w:t>.除招标文件规定必须提供以外，投标人认为需要提供的其他证明材料。</w:t>
            </w:r>
          </w:p>
          <w:p w14:paraId="2B916628">
            <w:pPr>
              <w:snapToGrid w:val="0"/>
              <w:spacing w:line="360" w:lineRule="auto"/>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注：以上标明“必须提供”的材料的，必须加盖投标人电子签章，否则按无效投标</w:t>
            </w:r>
            <w:r>
              <w:rPr>
                <w:rFonts w:hint="eastAsia" w:ascii="宋体" w:hAnsi="宋体" w:eastAsia="宋体" w:cs="宋体"/>
                <w:b/>
                <w:color w:val="auto"/>
                <w:szCs w:val="21"/>
                <w:highlight w:val="none"/>
              </w:rPr>
              <w:t>处理。</w:t>
            </w:r>
          </w:p>
        </w:tc>
      </w:tr>
      <w:tr w14:paraId="6768A6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78" w:type="dxa"/>
            <w:vMerge w:val="continue"/>
            <w:tcBorders>
              <w:left w:val="single" w:color="auto" w:sz="4" w:space="0"/>
              <w:right w:val="single" w:color="auto" w:sz="4" w:space="0"/>
            </w:tcBorders>
            <w:vAlign w:val="center"/>
          </w:tcPr>
          <w:p w14:paraId="64FA931E">
            <w:pPr>
              <w:spacing w:line="360" w:lineRule="auto"/>
              <w:rPr>
                <w:rFonts w:hint="eastAsia" w:ascii="宋体" w:hAnsi="宋体" w:eastAsia="宋体" w:cs="宋体"/>
                <w:color w:val="auto"/>
                <w:szCs w:val="21"/>
                <w:highlight w:val="none"/>
              </w:rPr>
            </w:pPr>
            <w:bookmarkStart w:id="52" w:name="_13.3"/>
            <w:bookmarkEnd w:id="52"/>
          </w:p>
        </w:tc>
        <w:tc>
          <w:tcPr>
            <w:tcW w:w="8175" w:type="dxa"/>
            <w:tcBorders>
              <w:top w:val="single" w:color="auto" w:sz="4" w:space="0"/>
              <w:left w:val="single" w:color="auto" w:sz="4" w:space="0"/>
              <w:bottom w:val="single" w:color="auto" w:sz="4" w:space="0"/>
              <w:right w:val="single" w:color="auto" w:sz="4" w:space="0"/>
            </w:tcBorders>
            <w:vAlign w:val="center"/>
          </w:tcPr>
          <w:p w14:paraId="760AC8D4">
            <w:pPr>
              <w:snapToGrid w:val="0"/>
              <w:spacing w:line="360" w:lineRule="auto"/>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商务及技术文件：</w:t>
            </w:r>
          </w:p>
          <w:p w14:paraId="0CC1EC04">
            <w:pPr>
              <w:snapToGrid w:val="0"/>
              <w:spacing w:line="360" w:lineRule="auto"/>
              <w:ind w:left="413"/>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1.无串通投标行为的承诺函（格式后附）；（</w:t>
            </w:r>
            <w:r>
              <w:rPr>
                <w:rFonts w:hint="eastAsia" w:ascii="宋体" w:hAnsi="宋体" w:eastAsia="宋体" w:cs="宋体"/>
                <w:b/>
                <w:color w:val="auto"/>
                <w:szCs w:val="21"/>
                <w:highlight w:val="none"/>
              </w:rPr>
              <w:t>必须提供，否则按无效投标处理</w:t>
            </w:r>
            <w:r>
              <w:rPr>
                <w:rFonts w:hint="eastAsia" w:ascii="宋体" w:hAnsi="宋体" w:eastAsia="宋体" w:cs="宋体"/>
                <w:color w:val="auto"/>
                <w:szCs w:val="21"/>
                <w:highlight w:val="none"/>
              </w:rPr>
              <w:t>）</w:t>
            </w:r>
          </w:p>
          <w:p w14:paraId="3986AAA9">
            <w:pPr>
              <w:snapToGrid w:val="0"/>
              <w:spacing w:line="360" w:lineRule="auto"/>
              <w:ind w:left="413"/>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2.投标保证金提交凭证；（</w:t>
            </w:r>
            <w:r>
              <w:rPr>
                <w:rFonts w:hint="eastAsia" w:ascii="宋体" w:hAnsi="宋体" w:eastAsia="宋体" w:cs="宋体"/>
                <w:b/>
                <w:color w:val="auto"/>
                <w:szCs w:val="21"/>
                <w:highlight w:val="none"/>
              </w:rPr>
              <w:t>必须提供，否则按无效投标处理</w:t>
            </w:r>
            <w:r>
              <w:rPr>
                <w:rFonts w:hint="eastAsia" w:ascii="宋体" w:hAnsi="宋体" w:eastAsia="宋体" w:cs="宋体"/>
                <w:color w:val="auto"/>
                <w:szCs w:val="21"/>
                <w:highlight w:val="none"/>
              </w:rPr>
              <w:t>）</w:t>
            </w:r>
          </w:p>
          <w:p w14:paraId="3B6B8AB6">
            <w:pPr>
              <w:snapToGrid w:val="0"/>
              <w:spacing w:line="360" w:lineRule="auto"/>
              <w:ind w:left="413"/>
              <w:jc w:val="left"/>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3.法定代表人身份证明及法定代表人有效身份证正反面复印件（格式后附）；（</w:t>
            </w:r>
            <w:r>
              <w:rPr>
                <w:rFonts w:hint="eastAsia" w:ascii="宋体" w:hAnsi="宋体" w:eastAsia="宋体" w:cs="宋体"/>
                <w:b/>
                <w:color w:val="auto"/>
                <w:szCs w:val="21"/>
                <w:highlight w:val="none"/>
              </w:rPr>
              <w:t>必</w:t>
            </w:r>
          </w:p>
          <w:p w14:paraId="75102AF5">
            <w:pPr>
              <w:snapToGrid w:val="0"/>
              <w:spacing w:line="360" w:lineRule="auto"/>
              <w:ind w:left="0"/>
              <w:jc w:val="left"/>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须提供，否则按无效投标处理</w:t>
            </w:r>
            <w:r>
              <w:rPr>
                <w:rFonts w:hint="eastAsia" w:ascii="宋体" w:hAnsi="宋体" w:eastAsia="宋体" w:cs="宋体"/>
                <w:color w:val="auto"/>
                <w:szCs w:val="21"/>
                <w:highlight w:val="none"/>
              </w:rPr>
              <w:t>）</w:t>
            </w:r>
          </w:p>
          <w:p w14:paraId="0EC4B31F">
            <w:pPr>
              <w:numPr>
                <w:ilvl w:val="-1"/>
                <w:numId w:val="0"/>
              </w:numPr>
              <w:snapToGrid w:val="0"/>
              <w:spacing w:line="360" w:lineRule="auto"/>
              <w:ind w:left="0"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授权委托书及委托代理人有效身份证正反面复印件（格式后附）；（</w:t>
            </w:r>
            <w:r>
              <w:rPr>
                <w:rFonts w:hint="eastAsia" w:ascii="宋体" w:hAnsi="宋体" w:eastAsia="宋体" w:cs="宋体"/>
                <w:b/>
                <w:color w:val="auto"/>
                <w:szCs w:val="21"/>
                <w:highlight w:val="none"/>
              </w:rPr>
              <w:t>委托时必</w:t>
            </w:r>
          </w:p>
          <w:p w14:paraId="56CDC82F">
            <w:pPr>
              <w:numPr>
                <w:ilvl w:val="-1"/>
                <w:numId w:val="0"/>
              </w:numPr>
              <w:snapToGrid w:val="0"/>
              <w:spacing w:line="360" w:lineRule="auto"/>
              <w:ind w:left="0"/>
              <w:jc w:val="left"/>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须提供，否则按无效投标处理</w:t>
            </w:r>
            <w:r>
              <w:rPr>
                <w:rFonts w:hint="eastAsia" w:ascii="宋体" w:hAnsi="宋体" w:eastAsia="宋体" w:cs="宋体"/>
                <w:color w:val="auto"/>
                <w:szCs w:val="21"/>
                <w:highlight w:val="none"/>
              </w:rPr>
              <w:t>）</w:t>
            </w:r>
          </w:p>
          <w:p w14:paraId="7AF582A7">
            <w:pPr>
              <w:snapToGrid w:val="0"/>
              <w:spacing w:line="360" w:lineRule="auto"/>
              <w:ind w:left="413"/>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5.商务</w:t>
            </w:r>
            <w:r>
              <w:rPr>
                <w:rFonts w:hint="eastAsia" w:ascii="宋体" w:hAnsi="宋体" w:eastAsia="宋体" w:cs="宋体"/>
                <w:color w:val="auto"/>
                <w:szCs w:val="21"/>
                <w:highlight w:val="none"/>
                <w:lang w:val="en-US" w:eastAsia="zh-CN"/>
              </w:rPr>
              <w:t>条款</w:t>
            </w:r>
            <w:r>
              <w:rPr>
                <w:rFonts w:hint="eastAsia" w:ascii="宋体" w:hAnsi="宋体" w:eastAsia="宋体" w:cs="宋体"/>
                <w:color w:val="auto"/>
                <w:szCs w:val="21"/>
                <w:highlight w:val="none"/>
              </w:rPr>
              <w:t>偏离表（格式后附）；（</w:t>
            </w:r>
            <w:r>
              <w:rPr>
                <w:rFonts w:hint="eastAsia" w:ascii="宋体" w:hAnsi="宋体" w:eastAsia="宋体" w:cs="宋体"/>
                <w:b/>
                <w:color w:val="auto"/>
                <w:szCs w:val="21"/>
                <w:highlight w:val="none"/>
              </w:rPr>
              <w:t>必须提供，否则按无效投标处理</w:t>
            </w:r>
            <w:r>
              <w:rPr>
                <w:rFonts w:hint="eastAsia" w:ascii="宋体" w:hAnsi="宋体" w:eastAsia="宋体" w:cs="宋体"/>
                <w:color w:val="auto"/>
                <w:szCs w:val="21"/>
                <w:highlight w:val="none"/>
              </w:rPr>
              <w:t>）</w:t>
            </w:r>
          </w:p>
          <w:p w14:paraId="5690D979">
            <w:pPr>
              <w:snapToGrid w:val="0"/>
              <w:spacing w:line="360" w:lineRule="auto"/>
              <w:ind w:left="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6.技术要求偏离表（格式后附）；（</w:t>
            </w:r>
            <w:r>
              <w:rPr>
                <w:rFonts w:hint="eastAsia" w:ascii="宋体" w:hAnsi="宋体" w:eastAsia="宋体" w:cs="宋体"/>
                <w:b/>
                <w:color w:val="auto"/>
                <w:szCs w:val="21"/>
                <w:highlight w:val="none"/>
              </w:rPr>
              <w:t>必须提供，否则按无效投标处理</w:t>
            </w:r>
            <w:r>
              <w:rPr>
                <w:rFonts w:hint="eastAsia" w:ascii="宋体" w:hAnsi="宋体" w:eastAsia="宋体" w:cs="宋体"/>
                <w:color w:val="auto"/>
                <w:szCs w:val="21"/>
                <w:highlight w:val="none"/>
              </w:rPr>
              <w:t>）</w:t>
            </w:r>
          </w:p>
          <w:p w14:paraId="4B7DE08F">
            <w:pPr>
              <w:snapToGrid w:val="0"/>
              <w:spacing w:line="360" w:lineRule="auto"/>
              <w:ind w:left="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7.服务方案（格式自拟）【</w:t>
            </w:r>
            <w:r>
              <w:rPr>
                <w:rFonts w:hint="eastAsia" w:ascii="宋体" w:hAnsi="宋体" w:eastAsia="宋体" w:cs="宋体"/>
                <w:color w:val="auto"/>
                <w:szCs w:val="21"/>
                <w:highlight w:val="none"/>
                <w:lang w:val="en-US" w:eastAsia="zh-CN"/>
              </w:rPr>
              <w:t>如</w:t>
            </w:r>
            <w:r>
              <w:rPr>
                <w:rFonts w:hint="eastAsia" w:ascii="宋体" w:hAnsi="宋体" w:eastAsia="宋体" w:cs="宋体"/>
                <w:color w:val="auto"/>
                <w:szCs w:val="21"/>
                <w:highlight w:val="none"/>
              </w:rPr>
              <w:t>项目前期准备、项目实施计划（人员构成、技术服务、</w:t>
            </w:r>
          </w:p>
          <w:p w14:paraId="3042CDEB">
            <w:pPr>
              <w:snapToGrid w:val="0"/>
              <w:spacing w:line="360" w:lineRule="auto"/>
              <w:ind w:left="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技术培训）</w:t>
            </w:r>
            <w:r>
              <w:rPr>
                <w:rFonts w:hint="eastAsia" w:ascii="宋体" w:hAnsi="宋体" w:eastAsia="宋体" w:cs="宋体"/>
                <w:color w:val="auto"/>
                <w:szCs w:val="21"/>
                <w:highlight w:val="none"/>
                <w:lang w:val="en-US" w:eastAsia="zh-CN"/>
              </w:rPr>
              <w:t>等</w:t>
            </w:r>
            <w:r>
              <w:rPr>
                <w:rFonts w:hint="eastAsia" w:ascii="宋体" w:hAnsi="宋体" w:eastAsia="宋体" w:cs="宋体"/>
                <w:color w:val="auto"/>
                <w:szCs w:val="21"/>
                <w:highlight w:val="none"/>
              </w:rPr>
              <w:t>】；（</w:t>
            </w:r>
            <w:r>
              <w:rPr>
                <w:rFonts w:hint="eastAsia" w:ascii="宋体" w:hAnsi="宋体" w:eastAsia="宋体" w:cs="宋体"/>
                <w:b/>
                <w:color w:val="auto"/>
                <w:szCs w:val="21"/>
                <w:highlight w:val="none"/>
              </w:rPr>
              <w:t>必须提供，否则按无效投标处理</w:t>
            </w:r>
            <w:r>
              <w:rPr>
                <w:rFonts w:hint="eastAsia" w:ascii="宋体" w:hAnsi="宋体" w:eastAsia="宋体" w:cs="宋体"/>
                <w:color w:val="auto"/>
                <w:szCs w:val="21"/>
                <w:highlight w:val="none"/>
              </w:rPr>
              <w:t>）</w:t>
            </w:r>
          </w:p>
          <w:p w14:paraId="5802E3BE">
            <w:pPr>
              <w:snapToGrid w:val="0"/>
              <w:spacing w:line="360" w:lineRule="auto"/>
              <w:ind w:left="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8.项目实施人员一览表（格式后附</w:t>
            </w:r>
            <w:r>
              <w:rPr>
                <w:rFonts w:hint="eastAsia" w:ascii="宋体" w:hAnsi="宋体" w:eastAsia="宋体" w:cs="宋体"/>
                <w:color w:val="auto"/>
                <w:szCs w:val="21"/>
                <w:highlight w:val="none"/>
              </w:rPr>
              <w:t>）；（</w:t>
            </w:r>
            <w:r>
              <w:rPr>
                <w:rFonts w:hint="eastAsia" w:ascii="宋体" w:hAnsi="宋体" w:eastAsia="宋体" w:cs="宋体"/>
                <w:b/>
                <w:color w:val="auto"/>
                <w:szCs w:val="21"/>
                <w:highlight w:val="none"/>
                <w:lang w:val="en-US" w:eastAsia="zh-CN"/>
              </w:rPr>
              <w:t>如有请提供</w:t>
            </w:r>
            <w:r>
              <w:rPr>
                <w:rFonts w:hint="eastAsia" w:ascii="宋体" w:hAnsi="宋体" w:eastAsia="宋体" w:cs="宋体"/>
                <w:color w:val="auto"/>
                <w:szCs w:val="21"/>
                <w:highlight w:val="none"/>
              </w:rPr>
              <w:t>）</w:t>
            </w:r>
          </w:p>
          <w:p w14:paraId="286B9B00">
            <w:pPr>
              <w:snapToGrid w:val="0"/>
              <w:spacing w:line="360" w:lineRule="auto"/>
              <w:ind w:left="413"/>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9.投标人情况介绍（格式自拟）；</w:t>
            </w:r>
          </w:p>
          <w:p w14:paraId="5BC0442B">
            <w:pPr>
              <w:snapToGrid w:val="0"/>
              <w:spacing w:line="360" w:lineRule="auto"/>
              <w:ind w:left="413"/>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0</w:t>
            </w:r>
            <w:r>
              <w:rPr>
                <w:rFonts w:hint="eastAsia" w:ascii="宋体" w:hAnsi="宋体" w:eastAsia="宋体" w:cs="宋体"/>
                <w:color w:val="auto"/>
                <w:szCs w:val="21"/>
                <w:highlight w:val="none"/>
              </w:rPr>
              <w:t>.除招标文件规定必须提供以外，投标人认为需要提供的其他证明材料（格式自拟）。（投标人根据“第二章 采购需求”及“第四章 评标方法及评标标准”提供有关证明材料）。</w:t>
            </w:r>
          </w:p>
          <w:p w14:paraId="66912272">
            <w:pPr>
              <w:snapToGrid w:val="0"/>
              <w:spacing w:line="360" w:lineRule="auto"/>
              <w:jc w:val="left"/>
              <w:rPr>
                <w:rFonts w:hint="eastAsia" w:ascii="宋体" w:hAnsi="宋体" w:eastAsia="宋体" w:cs="宋体"/>
                <w:b/>
                <w:color w:val="auto"/>
                <w:szCs w:val="21"/>
                <w:highlight w:val="none"/>
              </w:rPr>
            </w:pPr>
            <w:r>
              <w:rPr>
                <w:rFonts w:hint="eastAsia" w:ascii="宋体" w:hAnsi="宋体" w:eastAsia="宋体" w:cs="宋体"/>
                <w:b/>
                <w:bCs/>
                <w:color w:val="auto"/>
                <w:szCs w:val="21"/>
                <w:highlight w:val="none"/>
              </w:rPr>
              <w:t>注：以上标明“必须提供”的材料的，必须加盖投标人电子签章，否则按无效投标</w:t>
            </w:r>
            <w:r>
              <w:rPr>
                <w:rFonts w:hint="eastAsia" w:ascii="宋体" w:hAnsi="宋体" w:eastAsia="宋体" w:cs="宋体"/>
                <w:b/>
                <w:color w:val="auto"/>
                <w:szCs w:val="21"/>
                <w:highlight w:val="none"/>
              </w:rPr>
              <w:t>处理</w:t>
            </w:r>
            <w:r>
              <w:rPr>
                <w:rFonts w:hint="eastAsia" w:ascii="宋体" w:hAnsi="宋体" w:eastAsia="宋体" w:cs="宋体"/>
                <w:b/>
                <w:bCs/>
                <w:color w:val="auto"/>
                <w:szCs w:val="21"/>
                <w:highlight w:val="none"/>
              </w:rPr>
              <w:t>。</w:t>
            </w:r>
          </w:p>
        </w:tc>
      </w:tr>
      <w:tr w14:paraId="364459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78" w:type="dxa"/>
            <w:tcBorders>
              <w:top w:val="single" w:color="auto" w:sz="4" w:space="0"/>
              <w:left w:val="single" w:color="auto" w:sz="4" w:space="0"/>
              <w:bottom w:val="single" w:color="auto" w:sz="4" w:space="0"/>
              <w:right w:val="single" w:color="auto" w:sz="4" w:space="0"/>
            </w:tcBorders>
            <w:vAlign w:val="center"/>
          </w:tcPr>
          <w:p w14:paraId="5BC4F019">
            <w:pPr>
              <w:spacing w:line="360" w:lineRule="auto"/>
              <w:jc w:val="center"/>
              <w:rPr>
                <w:rFonts w:hint="eastAsia" w:ascii="宋体" w:hAnsi="宋体" w:eastAsia="宋体" w:cs="宋体"/>
                <w:color w:val="auto"/>
                <w:szCs w:val="21"/>
                <w:highlight w:val="none"/>
              </w:rPr>
            </w:pPr>
            <w:bookmarkStart w:id="53" w:name="_13.5"/>
            <w:bookmarkEnd w:id="53"/>
            <w:bookmarkStart w:id="54" w:name="_13.4"/>
            <w:bookmarkEnd w:id="54"/>
            <w:bookmarkStart w:id="55" w:name="_16.2"/>
            <w:bookmarkEnd w:id="55"/>
            <w:r>
              <w:rPr>
                <w:rFonts w:hint="eastAsia" w:ascii="宋体" w:hAnsi="宋体" w:eastAsia="宋体" w:cs="宋体"/>
                <w:color w:val="auto"/>
                <w:szCs w:val="21"/>
                <w:highlight w:val="none"/>
              </w:rPr>
              <w:t>6</w:t>
            </w:r>
          </w:p>
        </w:tc>
        <w:tc>
          <w:tcPr>
            <w:tcW w:w="8175" w:type="dxa"/>
            <w:tcBorders>
              <w:top w:val="single" w:color="auto" w:sz="4" w:space="0"/>
              <w:left w:val="single" w:color="auto" w:sz="4" w:space="0"/>
              <w:bottom w:val="single" w:color="auto" w:sz="4" w:space="0"/>
              <w:right w:val="single" w:color="auto" w:sz="4" w:space="0"/>
            </w:tcBorders>
            <w:vAlign w:val="center"/>
          </w:tcPr>
          <w:p w14:paraId="3DE91049">
            <w:pPr>
              <w:snapToGrid w:val="0"/>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投标报价是履行合同的最终价格，必须包含满足本次投标全部采购需求所应提供的服务，以及伴随的货物和工程（如有）的价格；包含投标服务、货物、工程的成本、运输（含保险）、安装（如有）、调试、检验、技术服务、培训、税费等所有费用。（采购需求另有约定的，从其约定）</w:t>
            </w:r>
          </w:p>
        </w:tc>
      </w:tr>
      <w:tr w14:paraId="23FEBC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78" w:type="dxa"/>
            <w:tcBorders>
              <w:top w:val="single" w:color="auto" w:sz="4" w:space="0"/>
              <w:left w:val="single" w:color="auto" w:sz="4" w:space="0"/>
              <w:bottom w:val="single" w:color="auto" w:sz="4" w:space="0"/>
              <w:right w:val="single" w:color="auto" w:sz="4" w:space="0"/>
            </w:tcBorders>
            <w:vAlign w:val="center"/>
          </w:tcPr>
          <w:p w14:paraId="7D400D3D">
            <w:pPr>
              <w:spacing w:line="360" w:lineRule="auto"/>
              <w:jc w:val="center"/>
              <w:rPr>
                <w:rFonts w:hint="eastAsia" w:ascii="宋体" w:hAnsi="宋体" w:eastAsia="宋体" w:cs="宋体"/>
                <w:color w:val="auto"/>
                <w:szCs w:val="21"/>
                <w:highlight w:val="none"/>
              </w:rPr>
            </w:pPr>
            <w:bookmarkStart w:id="56" w:name="_17.1"/>
            <w:bookmarkEnd w:id="56"/>
            <w:r>
              <w:rPr>
                <w:rFonts w:hint="eastAsia" w:ascii="宋体" w:hAnsi="宋体" w:eastAsia="宋体" w:cs="宋体"/>
                <w:color w:val="auto"/>
                <w:szCs w:val="21"/>
                <w:highlight w:val="none"/>
              </w:rPr>
              <w:t>7</w:t>
            </w:r>
          </w:p>
        </w:tc>
        <w:tc>
          <w:tcPr>
            <w:tcW w:w="8175" w:type="dxa"/>
            <w:tcBorders>
              <w:top w:val="single" w:color="auto" w:sz="4" w:space="0"/>
              <w:left w:val="single" w:color="auto" w:sz="4" w:space="0"/>
              <w:bottom w:val="single" w:color="auto" w:sz="4" w:space="0"/>
              <w:right w:val="single" w:color="auto" w:sz="4" w:space="0"/>
            </w:tcBorders>
            <w:vAlign w:val="center"/>
          </w:tcPr>
          <w:p w14:paraId="194624C5">
            <w:pPr>
              <w:snapToGrid w:val="0"/>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投标有效期：自投标截止之日起</w:t>
            </w:r>
            <w:r>
              <w:rPr>
                <w:rFonts w:hint="eastAsia" w:ascii="宋体" w:hAnsi="宋体" w:eastAsia="宋体" w:cs="宋体"/>
                <w:color w:val="auto"/>
                <w:highlight w:val="none"/>
                <w:u w:val="single"/>
                <w:lang w:val="en-US" w:eastAsia="zh-CN"/>
              </w:rPr>
              <w:t>9</w:t>
            </w:r>
            <w:r>
              <w:rPr>
                <w:rFonts w:hint="eastAsia" w:ascii="宋体" w:hAnsi="宋体" w:eastAsia="宋体" w:cs="宋体"/>
                <w:color w:val="auto"/>
                <w:highlight w:val="none"/>
                <w:u w:val="single"/>
              </w:rPr>
              <w:t>0</w:t>
            </w:r>
            <w:r>
              <w:rPr>
                <w:rFonts w:hint="eastAsia" w:ascii="宋体" w:hAnsi="宋体" w:eastAsia="宋体" w:cs="宋体"/>
                <w:color w:val="auto"/>
                <w:highlight w:val="none"/>
              </w:rPr>
              <w:t>日。</w:t>
            </w:r>
          </w:p>
        </w:tc>
      </w:tr>
      <w:tr w14:paraId="04DC94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78" w:type="dxa"/>
            <w:tcBorders>
              <w:top w:val="single" w:color="auto" w:sz="4" w:space="0"/>
              <w:left w:val="single" w:color="auto" w:sz="4" w:space="0"/>
              <w:bottom w:val="single" w:color="auto" w:sz="4" w:space="0"/>
              <w:right w:val="single" w:color="auto" w:sz="4" w:space="0"/>
            </w:tcBorders>
            <w:vAlign w:val="center"/>
          </w:tcPr>
          <w:p w14:paraId="0FCE88BE">
            <w:pPr>
              <w:jc w:val="center"/>
              <w:rPr>
                <w:rFonts w:hint="eastAsia" w:ascii="宋体" w:hAnsi="宋体" w:eastAsia="宋体" w:cs="宋体"/>
                <w:color w:val="auto"/>
                <w:szCs w:val="21"/>
                <w:highlight w:val="none"/>
              </w:rPr>
            </w:pPr>
            <w:bookmarkStart w:id="57" w:name="_18"/>
            <w:bookmarkEnd w:id="57"/>
            <w:r>
              <w:rPr>
                <w:rFonts w:hint="eastAsia" w:ascii="宋体" w:hAnsi="宋体" w:eastAsia="宋体" w:cs="宋体"/>
                <w:color w:val="auto"/>
                <w:highlight w:val="none"/>
              </w:rPr>
              <w:br w:type="page"/>
            </w:r>
            <w:r>
              <w:rPr>
                <w:rFonts w:hint="eastAsia" w:ascii="宋体" w:hAnsi="宋体" w:eastAsia="宋体" w:cs="宋体"/>
                <w:color w:val="auto"/>
                <w:szCs w:val="21"/>
                <w:highlight w:val="none"/>
              </w:rPr>
              <w:t>8</w:t>
            </w:r>
          </w:p>
        </w:tc>
        <w:tc>
          <w:tcPr>
            <w:tcW w:w="8175" w:type="dxa"/>
            <w:tcBorders>
              <w:top w:val="single" w:color="auto" w:sz="4" w:space="0"/>
              <w:left w:val="single" w:color="auto" w:sz="4" w:space="0"/>
              <w:bottom w:val="single" w:color="auto" w:sz="4" w:space="0"/>
              <w:right w:val="single" w:color="auto" w:sz="4" w:space="0"/>
            </w:tcBorders>
            <w:vAlign w:val="center"/>
          </w:tcPr>
          <w:p w14:paraId="05BDC4E4">
            <w:pPr>
              <w:autoSpaceDE w:val="0"/>
              <w:autoSpaceDN w:val="0"/>
              <w:snapToGrid w:val="0"/>
              <w:spacing w:line="360" w:lineRule="auto"/>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□本项目不收取投标保证金。</w:t>
            </w:r>
          </w:p>
          <w:p w14:paraId="1F3BDFC5">
            <w:pPr>
              <w:snapToGrid w:val="0"/>
              <w:spacing w:line="360" w:lineRule="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√本项目收取投标保证金，具体规定如下：</w:t>
            </w:r>
          </w:p>
          <w:p w14:paraId="3FC3E391">
            <w:pPr>
              <w:snapToGrid w:val="0"/>
              <w:spacing w:line="360" w:lineRule="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rPr>
              <w:t>投标保证金</w:t>
            </w:r>
            <w:r>
              <w:rPr>
                <w:rFonts w:hint="eastAsia" w:ascii="宋体" w:hAnsi="宋体" w:eastAsia="宋体" w:cs="宋体"/>
                <w:color w:val="auto"/>
                <w:kern w:val="0"/>
                <w:szCs w:val="21"/>
                <w:highlight w:val="none"/>
                <w:lang w:val="en-US" w:eastAsia="zh-CN"/>
              </w:rPr>
              <w:t>的金额：详见招标公告。</w:t>
            </w:r>
          </w:p>
          <w:p w14:paraId="680C9EA8">
            <w:pPr>
              <w:snapToGrid w:val="0"/>
              <w:spacing w:line="360" w:lineRule="auto"/>
              <w:rPr>
                <w:rFonts w:hint="eastAsia" w:ascii="宋体" w:hAnsi="宋体" w:eastAsia="宋体" w:cs="宋体"/>
                <w:b/>
                <w:color w:val="auto"/>
                <w:szCs w:val="21"/>
                <w:highlight w:val="none"/>
              </w:rPr>
            </w:pPr>
            <w:r>
              <w:rPr>
                <w:rFonts w:hint="eastAsia" w:ascii="宋体" w:hAnsi="宋体" w:eastAsia="宋体" w:cs="宋体"/>
                <w:i w:val="0"/>
                <w:iCs w:val="0"/>
                <w:caps w:val="0"/>
                <w:color w:val="auto"/>
                <w:spacing w:val="0"/>
                <w:sz w:val="21"/>
                <w:szCs w:val="24"/>
                <w:highlight w:val="none"/>
              </w:rPr>
              <w:t>投标保证金的交纳方式：银行转账、支票、汇票、本票或者银行、保险机构出具的保函（包含电子保函），禁止采用现钞方式。采用银行转账方式的，在投标截止时间前从投标人账户交至指定账户并且到账</w:t>
            </w:r>
            <w:r>
              <w:rPr>
                <w:rFonts w:hint="eastAsia" w:ascii="宋体" w:hAnsi="宋体" w:eastAsia="宋体" w:cs="宋体"/>
                <w:i w:val="0"/>
                <w:iCs w:val="0"/>
                <w:caps w:val="0"/>
                <w:color w:val="auto"/>
                <w:spacing w:val="0"/>
                <w:sz w:val="21"/>
                <w:szCs w:val="24"/>
                <w:highlight w:val="none"/>
              </w:rPr>
              <w:t>（</w:t>
            </w:r>
            <w:r>
              <w:rPr>
                <w:rFonts w:hint="eastAsia" w:ascii="宋体" w:hAnsi="宋体" w:eastAsia="宋体" w:cs="宋体"/>
                <w:b/>
                <w:bCs/>
                <w:i w:val="0"/>
                <w:iCs w:val="0"/>
                <w:caps w:val="0"/>
                <w:color w:val="auto"/>
                <w:spacing w:val="0"/>
                <w:sz w:val="21"/>
                <w:szCs w:val="24"/>
                <w:highlight w:val="none"/>
              </w:rPr>
              <w:t>开户名称：</w:t>
            </w:r>
            <w:r>
              <w:rPr>
                <w:rFonts w:hint="eastAsia" w:ascii="宋体" w:hAnsi="宋体" w:eastAsia="宋体" w:cs="宋体"/>
                <w:b/>
                <w:bCs/>
                <w:i w:val="0"/>
                <w:iCs w:val="0"/>
                <w:caps w:val="0"/>
                <w:color w:val="auto"/>
                <w:spacing w:val="0"/>
                <w:sz w:val="21"/>
                <w:szCs w:val="24"/>
                <w:highlight w:val="none"/>
                <w:lang w:eastAsia="zh-CN"/>
              </w:rPr>
              <w:t>广西泓贯项目咨询管理有限公司</w:t>
            </w:r>
            <w:r>
              <w:rPr>
                <w:rFonts w:hint="eastAsia" w:ascii="宋体" w:hAnsi="宋体" w:eastAsia="宋体" w:cs="宋体"/>
                <w:b/>
                <w:bCs/>
                <w:i w:val="0"/>
                <w:iCs w:val="0"/>
                <w:caps w:val="0"/>
                <w:color w:val="auto"/>
                <w:spacing w:val="0"/>
                <w:sz w:val="21"/>
                <w:szCs w:val="24"/>
                <w:highlight w:val="none"/>
              </w:rPr>
              <w:t>，开户银行：</w:t>
            </w:r>
            <w:r>
              <w:rPr>
                <w:rFonts w:hint="eastAsia" w:ascii="宋体" w:hAnsi="宋体" w:eastAsia="宋体" w:cs="宋体"/>
                <w:b/>
                <w:bCs/>
                <w:i w:val="0"/>
                <w:iCs w:val="0"/>
                <w:caps w:val="0"/>
                <w:color w:val="auto"/>
                <w:spacing w:val="0"/>
                <w:sz w:val="21"/>
                <w:szCs w:val="24"/>
                <w:highlight w:val="none"/>
                <w:lang w:eastAsia="zh-CN"/>
              </w:rPr>
              <w:t>招商银行股份有限公司南宁五一路支行</w:t>
            </w:r>
            <w:r>
              <w:rPr>
                <w:rFonts w:hint="eastAsia" w:ascii="宋体" w:hAnsi="宋体" w:eastAsia="宋体" w:cs="宋体"/>
                <w:b/>
                <w:bCs/>
                <w:i w:val="0"/>
                <w:iCs w:val="0"/>
                <w:caps w:val="0"/>
                <w:color w:val="auto"/>
                <w:spacing w:val="0"/>
                <w:sz w:val="21"/>
                <w:szCs w:val="24"/>
                <w:highlight w:val="none"/>
              </w:rPr>
              <w:t>，银行账号：</w:t>
            </w:r>
            <w:r>
              <w:rPr>
                <w:rFonts w:hint="eastAsia" w:ascii="宋体" w:hAnsi="宋体" w:eastAsia="宋体" w:cs="宋体"/>
                <w:b/>
                <w:bCs/>
                <w:i w:val="0"/>
                <w:iCs w:val="0"/>
                <w:caps w:val="0"/>
                <w:color w:val="auto"/>
                <w:spacing w:val="0"/>
                <w:sz w:val="21"/>
                <w:szCs w:val="24"/>
                <w:highlight w:val="none"/>
                <w:lang w:eastAsia="zh-CN"/>
              </w:rPr>
              <w:t>771903556710001</w:t>
            </w:r>
            <w:r>
              <w:rPr>
                <w:rFonts w:hint="eastAsia" w:ascii="宋体" w:hAnsi="宋体" w:eastAsia="宋体" w:cs="宋体"/>
                <w:b/>
                <w:bCs/>
                <w:i w:val="0"/>
                <w:iCs w:val="0"/>
                <w:caps w:val="0"/>
                <w:color w:val="auto"/>
                <w:spacing w:val="0"/>
                <w:sz w:val="21"/>
                <w:szCs w:val="24"/>
                <w:highlight w:val="none"/>
              </w:rPr>
              <w:t>）</w:t>
            </w:r>
            <w:r>
              <w:rPr>
                <w:rFonts w:hint="eastAsia" w:ascii="宋体" w:hAnsi="宋体" w:eastAsia="宋体" w:cs="宋体"/>
                <w:i w:val="0"/>
                <w:iCs w:val="0"/>
                <w:caps w:val="0"/>
                <w:color w:val="auto"/>
                <w:spacing w:val="0"/>
                <w:sz w:val="21"/>
                <w:szCs w:val="24"/>
                <w:highlight w:val="none"/>
              </w:rPr>
              <w:t>；采用支票、汇票、本票或者保函等方式的，在投标截止时间前，投标人必须递交单独密封的支票、汇票、本票或者保函原件。否则视为无效投标保证金。</w:t>
            </w:r>
            <w:r>
              <w:rPr>
                <w:rFonts w:hint="eastAsia" w:ascii="宋体" w:hAnsi="宋体" w:eastAsia="宋体" w:cs="宋体"/>
                <w:i w:val="0"/>
                <w:iCs w:val="0"/>
                <w:caps w:val="0"/>
                <w:color w:val="auto"/>
                <w:spacing w:val="0"/>
                <w:sz w:val="21"/>
                <w:szCs w:val="24"/>
                <w:highlight w:val="none"/>
              </w:rPr>
              <w:br w:type="textWrapping"/>
            </w:r>
            <w:r>
              <w:rPr>
                <w:rFonts w:hint="eastAsia" w:ascii="宋体" w:hAnsi="宋体" w:eastAsia="宋体" w:cs="宋体"/>
                <w:b/>
                <w:bCs/>
                <w:i w:val="0"/>
                <w:iCs w:val="0"/>
                <w:caps w:val="0"/>
                <w:color w:val="auto"/>
                <w:spacing w:val="0"/>
                <w:sz w:val="21"/>
                <w:szCs w:val="24"/>
                <w:highlight w:val="none"/>
              </w:rPr>
              <w:t>相关要求：</w:t>
            </w:r>
            <w:r>
              <w:rPr>
                <w:rFonts w:hint="eastAsia" w:ascii="宋体" w:hAnsi="宋体" w:eastAsia="宋体" w:cs="宋体"/>
                <w:i w:val="0"/>
                <w:iCs w:val="0"/>
                <w:caps w:val="0"/>
                <w:color w:val="auto"/>
                <w:spacing w:val="0"/>
                <w:sz w:val="21"/>
                <w:szCs w:val="24"/>
                <w:highlight w:val="none"/>
              </w:rPr>
              <w:br w:type="textWrapping"/>
            </w:r>
            <w:r>
              <w:rPr>
                <w:rFonts w:hint="eastAsia" w:ascii="宋体" w:hAnsi="宋体" w:eastAsia="宋体" w:cs="宋体"/>
                <w:i w:val="0"/>
                <w:iCs w:val="0"/>
                <w:caps w:val="0"/>
                <w:color w:val="auto"/>
                <w:spacing w:val="0"/>
                <w:sz w:val="21"/>
                <w:szCs w:val="24"/>
                <w:highlight w:val="none"/>
              </w:rPr>
              <w:t>1）投标保证金采用银行转账交纳方式，投标人转账时请在银行转账底单备注“</w:t>
            </w:r>
            <w:r>
              <w:rPr>
                <w:rFonts w:hint="eastAsia" w:ascii="宋体" w:hAnsi="宋体" w:eastAsia="宋体" w:cs="宋体"/>
                <w:i w:val="0"/>
                <w:iCs w:val="0"/>
                <w:caps w:val="0"/>
                <w:color w:val="auto"/>
                <w:spacing w:val="0"/>
                <w:sz w:val="21"/>
                <w:szCs w:val="24"/>
                <w:highlight w:val="none"/>
                <w:lang w:val="en-US" w:eastAsia="zh-CN"/>
              </w:rPr>
              <w:t>项目编号+</w:t>
            </w:r>
            <w:r>
              <w:rPr>
                <w:rFonts w:hint="eastAsia" w:ascii="宋体" w:hAnsi="宋体" w:eastAsia="宋体" w:cs="宋体"/>
                <w:i w:val="0"/>
                <w:iCs w:val="0"/>
                <w:caps w:val="0"/>
                <w:color w:val="auto"/>
                <w:spacing w:val="0"/>
                <w:sz w:val="21"/>
                <w:szCs w:val="24"/>
                <w:highlight w:val="none"/>
              </w:rPr>
              <w:t>投标保证金”，在投标截止时间前交至指定账户并且到账，投标人应将银行转账底单的复印件作为投标保证金提交凭证，放置于</w:t>
            </w:r>
            <w:r>
              <w:rPr>
                <w:rFonts w:hint="eastAsia" w:ascii="宋体" w:hAnsi="宋体" w:eastAsia="宋体" w:cs="宋体"/>
                <w:i w:val="0"/>
                <w:iCs w:val="0"/>
                <w:caps w:val="0"/>
                <w:color w:val="auto"/>
                <w:spacing w:val="0"/>
                <w:sz w:val="21"/>
                <w:szCs w:val="24"/>
                <w:highlight w:val="none"/>
                <w:lang w:val="en-US" w:eastAsia="zh-CN"/>
              </w:rPr>
              <w:t>投标文件</w:t>
            </w:r>
            <w:r>
              <w:rPr>
                <w:rFonts w:hint="eastAsia" w:ascii="宋体" w:hAnsi="宋体" w:eastAsia="宋体" w:cs="宋体"/>
                <w:i w:val="0"/>
                <w:iCs w:val="0"/>
                <w:caps w:val="0"/>
                <w:color w:val="auto"/>
                <w:spacing w:val="0"/>
                <w:sz w:val="21"/>
                <w:szCs w:val="24"/>
                <w:highlight w:val="none"/>
              </w:rPr>
              <w:t>中，否则投标无效。</w:t>
            </w:r>
            <w:r>
              <w:rPr>
                <w:rFonts w:hint="eastAsia" w:ascii="宋体" w:hAnsi="宋体" w:eastAsia="宋体" w:cs="宋体"/>
                <w:i w:val="0"/>
                <w:iCs w:val="0"/>
                <w:caps w:val="0"/>
                <w:color w:val="auto"/>
                <w:spacing w:val="0"/>
                <w:sz w:val="21"/>
                <w:szCs w:val="24"/>
                <w:highlight w:val="none"/>
              </w:rPr>
              <w:br w:type="textWrapping"/>
            </w:r>
            <w:r>
              <w:rPr>
                <w:rFonts w:hint="eastAsia" w:ascii="宋体" w:hAnsi="宋体" w:eastAsia="宋体" w:cs="宋体"/>
                <w:i w:val="0"/>
                <w:iCs w:val="0"/>
                <w:caps w:val="0"/>
                <w:color w:val="auto"/>
                <w:spacing w:val="0"/>
                <w:sz w:val="21"/>
                <w:szCs w:val="24"/>
                <w:highlight w:val="none"/>
              </w:rPr>
              <w:t>2）投标保证金采用支票、汇票、本票或者银行、保险机构出具的保函（包含电子保函）交纳方式的，投标人应将支票、汇票、本票或者银行、保险机构出具的保函（包含电子保函）的复印件作为投标保证金提交凭证，放置于</w:t>
            </w:r>
            <w:r>
              <w:rPr>
                <w:rFonts w:hint="eastAsia" w:ascii="宋体" w:hAnsi="宋体" w:eastAsia="宋体" w:cs="宋体"/>
                <w:i w:val="0"/>
                <w:iCs w:val="0"/>
                <w:caps w:val="0"/>
                <w:color w:val="auto"/>
                <w:spacing w:val="0"/>
                <w:sz w:val="21"/>
                <w:szCs w:val="24"/>
                <w:highlight w:val="none"/>
                <w:lang w:val="en-US" w:eastAsia="zh-CN"/>
              </w:rPr>
              <w:t>投标文件</w:t>
            </w:r>
            <w:r>
              <w:rPr>
                <w:rFonts w:hint="eastAsia" w:ascii="宋体" w:hAnsi="宋体" w:eastAsia="宋体" w:cs="宋体"/>
                <w:i w:val="0"/>
                <w:iCs w:val="0"/>
                <w:caps w:val="0"/>
                <w:color w:val="auto"/>
                <w:spacing w:val="0"/>
                <w:sz w:val="21"/>
                <w:szCs w:val="24"/>
                <w:highlight w:val="none"/>
              </w:rPr>
              <w:t>中，否则投标无效。投标人必须在投标截止时间前采用现场或邮寄方式将单独密封的支票、汇票、本票或者银行、保险机构出具的保函原件提交给采购人或者采购代理机构，未按时提交的，投标无效，由采购人或者采购代理机构向投标人出具回执（邮寄方式的除外），并妥善保管。</w:t>
            </w:r>
            <w:r>
              <w:rPr>
                <w:rFonts w:hint="eastAsia" w:ascii="宋体" w:hAnsi="宋体" w:eastAsia="宋体" w:cs="宋体"/>
                <w:i w:val="0"/>
                <w:iCs w:val="0"/>
                <w:caps w:val="0"/>
                <w:color w:val="auto"/>
                <w:spacing w:val="0"/>
                <w:sz w:val="21"/>
                <w:szCs w:val="24"/>
                <w:highlight w:val="none"/>
              </w:rPr>
              <w:br w:type="textWrapping"/>
            </w:r>
            <w:r>
              <w:rPr>
                <w:rFonts w:hint="eastAsia" w:ascii="宋体" w:hAnsi="宋体" w:eastAsia="宋体" w:cs="宋体"/>
                <w:i w:val="0"/>
                <w:iCs w:val="0"/>
                <w:caps w:val="0"/>
                <w:color w:val="auto"/>
                <w:spacing w:val="0"/>
                <w:sz w:val="21"/>
                <w:szCs w:val="24"/>
                <w:highlight w:val="none"/>
              </w:rPr>
              <w:t>3）投标人为联合体的，可以由联合体中的一方或者多方共同交纳投标保证金，其交纳的保证金对联合体各方均具有约束力。</w:t>
            </w:r>
            <w:r>
              <w:rPr>
                <w:rFonts w:hint="eastAsia" w:ascii="宋体" w:hAnsi="宋体" w:eastAsia="宋体" w:cs="宋体"/>
                <w:i w:val="0"/>
                <w:iCs w:val="0"/>
                <w:caps w:val="0"/>
                <w:color w:val="auto"/>
                <w:spacing w:val="0"/>
                <w:sz w:val="21"/>
                <w:szCs w:val="24"/>
                <w:highlight w:val="none"/>
              </w:rPr>
              <w:br w:type="textWrapping"/>
            </w:r>
            <w:r>
              <w:rPr>
                <w:rFonts w:hint="eastAsia" w:ascii="宋体" w:hAnsi="宋体" w:eastAsia="宋体" w:cs="宋体"/>
                <w:i w:val="0"/>
                <w:iCs w:val="0"/>
                <w:caps w:val="0"/>
                <w:color w:val="auto"/>
                <w:spacing w:val="0"/>
                <w:sz w:val="21"/>
                <w:szCs w:val="24"/>
                <w:highlight w:val="none"/>
              </w:rPr>
              <w:t>备注：</w:t>
            </w:r>
            <w:r>
              <w:rPr>
                <w:rFonts w:hint="eastAsia" w:ascii="宋体" w:hAnsi="宋体" w:eastAsia="宋体" w:cs="宋体"/>
                <w:i w:val="0"/>
                <w:iCs w:val="0"/>
                <w:caps w:val="0"/>
                <w:color w:val="auto"/>
                <w:spacing w:val="0"/>
                <w:sz w:val="21"/>
                <w:szCs w:val="24"/>
                <w:highlight w:val="none"/>
              </w:rPr>
              <w:br w:type="textWrapping"/>
            </w:r>
            <w:r>
              <w:rPr>
                <w:rFonts w:hint="eastAsia" w:ascii="宋体" w:hAnsi="宋体" w:eastAsia="宋体" w:cs="宋体"/>
                <w:i w:val="0"/>
                <w:iCs w:val="0"/>
                <w:caps w:val="0"/>
                <w:color w:val="auto"/>
                <w:spacing w:val="0"/>
                <w:sz w:val="21"/>
                <w:szCs w:val="24"/>
                <w:highlight w:val="none"/>
              </w:rPr>
              <w:t>1）投标保证金在投标截止时间后提交的，或者不按规定交纳方式交纳的，或者未足额交纳的（包含保函额度不足的），视为无效投标保证金。</w:t>
            </w:r>
            <w:r>
              <w:rPr>
                <w:rFonts w:hint="eastAsia" w:ascii="宋体" w:hAnsi="宋体" w:eastAsia="宋体" w:cs="宋体"/>
                <w:i w:val="0"/>
                <w:iCs w:val="0"/>
                <w:caps w:val="0"/>
                <w:color w:val="auto"/>
                <w:spacing w:val="0"/>
                <w:sz w:val="21"/>
                <w:szCs w:val="24"/>
                <w:highlight w:val="none"/>
              </w:rPr>
              <w:br w:type="textWrapping"/>
            </w:r>
            <w:r>
              <w:rPr>
                <w:rFonts w:hint="eastAsia" w:ascii="宋体" w:hAnsi="宋体" w:eastAsia="宋体" w:cs="宋体"/>
                <w:i w:val="0"/>
                <w:iCs w:val="0"/>
                <w:caps w:val="0"/>
                <w:color w:val="auto"/>
                <w:spacing w:val="0"/>
                <w:sz w:val="21"/>
                <w:szCs w:val="24"/>
                <w:highlight w:val="none"/>
              </w:rPr>
              <w:t>2）投标人采用现钞方式或者从个人账户（自然人投标除外）转出的投标保证金，视为无效投标保证金。</w:t>
            </w:r>
            <w:r>
              <w:rPr>
                <w:rFonts w:hint="eastAsia" w:ascii="宋体" w:hAnsi="宋体" w:eastAsia="宋体" w:cs="宋体"/>
                <w:i w:val="0"/>
                <w:iCs w:val="0"/>
                <w:caps w:val="0"/>
                <w:color w:val="auto"/>
                <w:spacing w:val="0"/>
                <w:sz w:val="21"/>
                <w:szCs w:val="24"/>
                <w:highlight w:val="none"/>
              </w:rPr>
              <w:br w:type="textWrapping"/>
            </w:r>
            <w:r>
              <w:rPr>
                <w:rFonts w:hint="eastAsia" w:ascii="宋体" w:hAnsi="宋体" w:eastAsia="宋体" w:cs="宋体"/>
                <w:i w:val="0"/>
                <w:iCs w:val="0"/>
                <w:caps w:val="0"/>
                <w:color w:val="auto"/>
                <w:spacing w:val="0"/>
                <w:sz w:val="21"/>
                <w:szCs w:val="24"/>
                <w:highlight w:val="none"/>
              </w:rPr>
              <w:t>3）支票、汇票或者本票出现无效或者背书情形的，视为无效投标保证金。</w:t>
            </w:r>
            <w:r>
              <w:rPr>
                <w:rFonts w:hint="eastAsia" w:ascii="宋体" w:hAnsi="宋体" w:eastAsia="宋体" w:cs="宋体"/>
                <w:i w:val="0"/>
                <w:iCs w:val="0"/>
                <w:caps w:val="0"/>
                <w:color w:val="auto"/>
                <w:spacing w:val="0"/>
                <w:sz w:val="21"/>
                <w:szCs w:val="24"/>
                <w:highlight w:val="none"/>
              </w:rPr>
              <w:br w:type="textWrapping"/>
            </w:r>
            <w:r>
              <w:rPr>
                <w:rFonts w:hint="eastAsia" w:ascii="宋体" w:hAnsi="宋体" w:eastAsia="宋体" w:cs="宋体"/>
                <w:i w:val="0"/>
                <w:iCs w:val="0"/>
                <w:caps w:val="0"/>
                <w:color w:val="auto"/>
                <w:spacing w:val="0"/>
                <w:sz w:val="21"/>
                <w:szCs w:val="24"/>
                <w:highlight w:val="none"/>
              </w:rPr>
              <w:t>4）保函有效期低于投标有效期的，视为无效投标保证金。</w:t>
            </w:r>
            <w:r>
              <w:rPr>
                <w:rFonts w:hint="eastAsia" w:ascii="宋体" w:hAnsi="宋体" w:eastAsia="宋体" w:cs="宋体"/>
                <w:i w:val="0"/>
                <w:iCs w:val="0"/>
                <w:caps w:val="0"/>
                <w:color w:val="auto"/>
                <w:spacing w:val="0"/>
                <w:sz w:val="21"/>
                <w:szCs w:val="24"/>
                <w:highlight w:val="none"/>
              </w:rPr>
              <w:br w:type="textWrapping"/>
            </w:r>
            <w:r>
              <w:rPr>
                <w:rFonts w:hint="eastAsia" w:ascii="宋体" w:hAnsi="宋体" w:eastAsia="宋体" w:cs="宋体"/>
                <w:i w:val="0"/>
                <w:iCs w:val="0"/>
                <w:caps w:val="0"/>
                <w:color w:val="auto"/>
                <w:spacing w:val="0"/>
                <w:sz w:val="21"/>
                <w:szCs w:val="24"/>
                <w:highlight w:val="none"/>
              </w:rPr>
              <w:t>5）采用银行、保险机构出具保函的，必须为无条件保函，否则视为无效投标保证金。</w:t>
            </w:r>
          </w:p>
        </w:tc>
      </w:tr>
      <w:tr w14:paraId="5FE080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3" w:hRule="atLeast"/>
          <w:jc w:val="center"/>
        </w:trPr>
        <w:tc>
          <w:tcPr>
            <w:tcW w:w="978" w:type="dxa"/>
            <w:tcBorders>
              <w:top w:val="single" w:color="auto" w:sz="4" w:space="0"/>
              <w:left w:val="single" w:color="auto" w:sz="4" w:space="0"/>
              <w:bottom w:val="single" w:color="auto" w:sz="4" w:space="0"/>
              <w:right w:val="single" w:color="auto" w:sz="4" w:space="0"/>
            </w:tcBorders>
            <w:vAlign w:val="center"/>
          </w:tcPr>
          <w:p w14:paraId="5F6C24C7">
            <w:pPr>
              <w:spacing w:line="360" w:lineRule="auto"/>
              <w:jc w:val="center"/>
              <w:rPr>
                <w:rFonts w:hint="eastAsia" w:ascii="宋体" w:hAnsi="宋体" w:eastAsia="宋体" w:cs="宋体"/>
                <w:color w:val="auto"/>
                <w:szCs w:val="21"/>
                <w:highlight w:val="none"/>
              </w:rPr>
            </w:pPr>
            <w:bookmarkStart w:id="58" w:name="_21.1"/>
            <w:bookmarkEnd w:id="58"/>
            <w:bookmarkStart w:id="59" w:name="_19.2"/>
            <w:bookmarkEnd w:id="59"/>
            <w:r>
              <w:rPr>
                <w:rFonts w:hint="eastAsia" w:ascii="宋体" w:hAnsi="宋体" w:eastAsia="宋体" w:cs="宋体"/>
                <w:color w:val="auto"/>
                <w:szCs w:val="21"/>
                <w:highlight w:val="none"/>
              </w:rPr>
              <w:t>9</w:t>
            </w:r>
          </w:p>
        </w:tc>
        <w:tc>
          <w:tcPr>
            <w:tcW w:w="8175" w:type="dxa"/>
            <w:tcBorders>
              <w:top w:val="single" w:color="auto" w:sz="4" w:space="0"/>
              <w:left w:val="single" w:color="auto" w:sz="4" w:space="0"/>
              <w:bottom w:val="single" w:color="auto" w:sz="4" w:space="0"/>
              <w:right w:val="single" w:color="auto" w:sz="4" w:space="0"/>
            </w:tcBorders>
            <w:vAlign w:val="center"/>
          </w:tcPr>
          <w:p w14:paraId="1C7F25FE">
            <w:pPr>
              <w:autoSpaceDE w:val="0"/>
              <w:autoSpaceDN w:val="0"/>
              <w:snapToGrid w:val="0"/>
              <w:spacing w:line="360" w:lineRule="auto"/>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本项目不接受</w:t>
            </w:r>
            <w:r>
              <w:rPr>
                <w:rFonts w:hint="eastAsia" w:ascii="宋体" w:hAnsi="宋体" w:eastAsia="宋体" w:cs="宋体"/>
                <w:color w:val="auto"/>
                <w:highlight w:val="none"/>
              </w:rPr>
              <w:t>电子</w:t>
            </w:r>
            <w:r>
              <w:rPr>
                <w:rFonts w:hint="eastAsia" w:ascii="宋体" w:hAnsi="宋体" w:eastAsia="宋体" w:cs="宋体"/>
                <w:color w:val="auto"/>
                <w:szCs w:val="21"/>
                <w:highlight w:val="none"/>
              </w:rPr>
              <w:t>备份投标文件</w:t>
            </w:r>
          </w:p>
        </w:tc>
      </w:tr>
      <w:tr w14:paraId="2348C4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76" w:hRule="atLeast"/>
          <w:jc w:val="center"/>
        </w:trPr>
        <w:tc>
          <w:tcPr>
            <w:tcW w:w="978" w:type="dxa"/>
            <w:tcBorders>
              <w:top w:val="single" w:color="auto" w:sz="4" w:space="0"/>
              <w:left w:val="single" w:color="auto" w:sz="4" w:space="0"/>
              <w:bottom w:val="single" w:color="auto" w:sz="4" w:space="0"/>
              <w:right w:val="single" w:color="auto" w:sz="4" w:space="0"/>
            </w:tcBorders>
            <w:vAlign w:val="center"/>
          </w:tcPr>
          <w:p w14:paraId="1370DB61">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10</w:t>
            </w:r>
          </w:p>
        </w:tc>
        <w:tc>
          <w:tcPr>
            <w:tcW w:w="8175" w:type="dxa"/>
            <w:tcBorders>
              <w:top w:val="single" w:color="auto" w:sz="4" w:space="0"/>
              <w:left w:val="single" w:color="auto" w:sz="4" w:space="0"/>
              <w:bottom w:val="single" w:color="auto" w:sz="4" w:space="0"/>
              <w:right w:val="single" w:color="auto" w:sz="4" w:space="0"/>
            </w:tcBorders>
            <w:vAlign w:val="center"/>
          </w:tcPr>
          <w:p w14:paraId="71692E55">
            <w:pPr>
              <w:snapToGrid w:val="0"/>
              <w:spacing w:line="360" w:lineRule="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1. 提交投标文件截止时间：详见招标公告</w:t>
            </w:r>
          </w:p>
          <w:p w14:paraId="48871E2D">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2.投标地点：详见招标公告</w:t>
            </w:r>
          </w:p>
        </w:tc>
      </w:tr>
      <w:tr w14:paraId="1DC97E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78" w:type="dxa"/>
            <w:tcBorders>
              <w:top w:val="single" w:color="auto" w:sz="4" w:space="0"/>
              <w:left w:val="single" w:color="auto" w:sz="4" w:space="0"/>
              <w:bottom w:val="single" w:color="auto" w:sz="4" w:space="0"/>
              <w:right w:val="single" w:color="auto" w:sz="4" w:space="0"/>
            </w:tcBorders>
            <w:vAlign w:val="center"/>
          </w:tcPr>
          <w:p w14:paraId="1B97DA4F">
            <w:pPr>
              <w:spacing w:line="360" w:lineRule="auto"/>
              <w:jc w:val="center"/>
              <w:rPr>
                <w:rFonts w:hint="eastAsia" w:ascii="宋体" w:hAnsi="宋体" w:eastAsia="宋体" w:cs="宋体"/>
                <w:color w:val="auto"/>
                <w:szCs w:val="21"/>
                <w:highlight w:val="none"/>
              </w:rPr>
            </w:pPr>
            <w:bookmarkStart w:id="60" w:name="_23"/>
            <w:bookmarkEnd w:id="60"/>
            <w:r>
              <w:rPr>
                <w:rFonts w:hint="eastAsia" w:ascii="宋体" w:hAnsi="宋体" w:eastAsia="宋体" w:cs="宋体"/>
                <w:color w:val="auto"/>
                <w:szCs w:val="21"/>
                <w:highlight w:val="none"/>
              </w:rPr>
              <w:t>11</w:t>
            </w:r>
          </w:p>
        </w:tc>
        <w:tc>
          <w:tcPr>
            <w:tcW w:w="8175" w:type="dxa"/>
            <w:tcBorders>
              <w:top w:val="single" w:color="auto" w:sz="4" w:space="0"/>
              <w:left w:val="single" w:color="auto" w:sz="4" w:space="0"/>
              <w:bottom w:val="single" w:color="auto" w:sz="4" w:space="0"/>
              <w:right w:val="single" w:color="auto" w:sz="4" w:space="0"/>
            </w:tcBorders>
            <w:vAlign w:val="center"/>
          </w:tcPr>
          <w:p w14:paraId="61831331">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1.开标时间：详见招标公告</w:t>
            </w:r>
          </w:p>
          <w:p w14:paraId="618BF655">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2.开标地点：详见招标公告</w:t>
            </w:r>
          </w:p>
        </w:tc>
      </w:tr>
      <w:tr w14:paraId="3B0553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78" w:type="dxa"/>
            <w:tcBorders>
              <w:top w:val="single" w:color="auto" w:sz="4" w:space="0"/>
              <w:left w:val="single" w:color="auto" w:sz="4" w:space="0"/>
              <w:bottom w:val="single" w:color="auto" w:sz="4" w:space="0"/>
              <w:right w:val="single" w:color="auto" w:sz="4" w:space="0"/>
            </w:tcBorders>
            <w:vAlign w:val="center"/>
          </w:tcPr>
          <w:p w14:paraId="31B01C4A">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12</w:t>
            </w:r>
          </w:p>
        </w:tc>
        <w:tc>
          <w:tcPr>
            <w:tcW w:w="8175" w:type="dxa"/>
            <w:tcBorders>
              <w:top w:val="single" w:color="auto" w:sz="4" w:space="0"/>
              <w:left w:val="single" w:color="auto" w:sz="4" w:space="0"/>
              <w:bottom w:val="single" w:color="auto" w:sz="4" w:space="0"/>
              <w:right w:val="single" w:color="auto" w:sz="4" w:space="0"/>
            </w:tcBorders>
            <w:vAlign w:val="center"/>
          </w:tcPr>
          <w:p w14:paraId="257E9EFE">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highlight w:val="none"/>
              </w:rPr>
              <w:t>电子投标文件解密时间：</w:t>
            </w:r>
            <w:r>
              <w:rPr>
                <w:rFonts w:hint="eastAsia" w:ascii="宋体" w:hAnsi="宋体" w:eastAsia="宋体" w:cs="宋体"/>
                <w:color w:val="auto"/>
                <w:highlight w:val="none"/>
                <w:u w:val="single"/>
              </w:rPr>
              <w:t>30</w:t>
            </w:r>
            <w:r>
              <w:rPr>
                <w:rFonts w:hint="eastAsia" w:ascii="宋体" w:hAnsi="宋体" w:eastAsia="宋体" w:cs="宋体"/>
                <w:color w:val="auto"/>
                <w:highlight w:val="none"/>
              </w:rPr>
              <w:t>分钟</w:t>
            </w:r>
          </w:p>
        </w:tc>
      </w:tr>
      <w:tr w14:paraId="1EEC8B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78" w:type="dxa"/>
            <w:tcBorders>
              <w:top w:val="single" w:color="auto" w:sz="4" w:space="0"/>
              <w:left w:val="single" w:color="auto" w:sz="4" w:space="0"/>
              <w:bottom w:val="single" w:color="auto" w:sz="4" w:space="0"/>
              <w:right w:val="single" w:color="auto" w:sz="4" w:space="0"/>
            </w:tcBorders>
            <w:vAlign w:val="center"/>
          </w:tcPr>
          <w:p w14:paraId="53BFB3ED">
            <w:pPr>
              <w:spacing w:line="360" w:lineRule="auto"/>
              <w:jc w:val="center"/>
              <w:rPr>
                <w:rFonts w:hint="eastAsia" w:ascii="宋体" w:hAnsi="宋体" w:eastAsia="宋体" w:cs="宋体"/>
                <w:color w:val="auto"/>
                <w:szCs w:val="21"/>
                <w:highlight w:val="none"/>
              </w:rPr>
            </w:pPr>
            <w:bookmarkStart w:id="61" w:name="_25.3"/>
            <w:bookmarkEnd w:id="61"/>
            <w:r>
              <w:rPr>
                <w:rFonts w:hint="eastAsia" w:ascii="宋体" w:hAnsi="宋体" w:eastAsia="宋体" w:cs="宋体"/>
                <w:color w:val="auto"/>
                <w:szCs w:val="21"/>
                <w:highlight w:val="none"/>
              </w:rPr>
              <w:t>13</w:t>
            </w:r>
          </w:p>
        </w:tc>
        <w:tc>
          <w:tcPr>
            <w:tcW w:w="8175" w:type="dxa"/>
            <w:tcBorders>
              <w:top w:val="single" w:color="auto" w:sz="4" w:space="0"/>
              <w:left w:val="single" w:color="auto" w:sz="4" w:space="0"/>
              <w:bottom w:val="single" w:color="auto" w:sz="4" w:space="0"/>
              <w:right w:val="single" w:color="auto" w:sz="4" w:space="0"/>
            </w:tcBorders>
            <w:vAlign w:val="center"/>
          </w:tcPr>
          <w:p w14:paraId="175B035A">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采购人或者采购代理机构在资格审查结束前，对投标人进行信用查询。</w:t>
            </w:r>
          </w:p>
          <w:p w14:paraId="51DD08ED">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查询渠道：“信用中国”网站（www.creditchina.gov.cn）、中国政府采购网（www.ccgp.gov.cn）。</w:t>
            </w:r>
          </w:p>
          <w:p w14:paraId="2F48B590">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信用查询截止时点：资格审查结束前</w:t>
            </w:r>
          </w:p>
          <w:p w14:paraId="2BBA8669">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查询记录和证据留存方式：在查询网站中直接截图查询记录，截图作为在“广西政府采购云平台”作为附件上传保存。</w:t>
            </w:r>
          </w:p>
          <w:p w14:paraId="68F844DE">
            <w:pPr>
              <w:snapToGrid w:val="0"/>
              <w:spacing w:line="360" w:lineRule="auto"/>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采购人或者采购代理机构应当拒绝其参与政府采购活动。</w:t>
            </w:r>
          </w:p>
        </w:tc>
      </w:tr>
      <w:tr w14:paraId="36408C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78" w:type="dxa"/>
            <w:tcBorders>
              <w:top w:val="single" w:color="auto" w:sz="4" w:space="0"/>
              <w:left w:val="single" w:color="auto" w:sz="4" w:space="0"/>
              <w:bottom w:val="single" w:color="auto" w:sz="4" w:space="0"/>
              <w:right w:val="single" w:color="auto" w:sz="4" w:space="0"/>
            </w:tcBorders>
            <w:vAlign w:val="center"/>
          </w:tcPr>
          <w:p w14:paraId="45CD1486">
            <w:pPr>
              <w:spacing w:line="360" w:lineRule="auto"/>
              <w:jc w:val="center"/>
              <w:rPr>
                <w:rFonts w:hint="eastAsia" w:ascii="宋体" w:hAnsi="宋体" w:eastAsia="宋体" w:cs="宋体"/>
                <w:color w:val="auto"/>
                <w:szCs w:val="21"/>
                <w:highlight w:val="none"/>
              </w:rPr>
            </w:pPr>
            <w:bookmarkStart w:id="62" w:name="_26"/>
            <w:bookmarkEnd w:id="62"/>
            <w:r>
              <w:rPr>
                <w:rFonts w:hint="eastAsia" w:ascii="宋体" w:hAnsi="宋体" w:eastAsia="宋体" w:cs="宋体"/>
                <w:color w:val="auto"/>
                <w:szCs w:val="21"/>
                <w:highlight w:val="none"/>
              </w:rPr>
              <w:t>14</w:t>
            </w:r>
          </w:p>
        </w:tc>
        <w:tc>
          <w:tcPr>
            <w:tcW w:w="8175" w:type="dxa"/>
            <w:tcBorders>
              <w:top w:val="single" w:color="auto" w:sz="4" w:space="0"/>
              <w:left w:val="single" w:color="auto" w:sz="4" w:space="0"/>
              <w:bottom w:val="single" w:color="auto" w:sz="4" w:space="0"/>
              <w:right w:val="single" w:color="auto" w:sz="4" w:space="0"/>
            </w:tcBorders>
            <w:vAlign w:val="center"/>
          </w:tcPr>
          <w:p w14:paraId="2245A22D">
            <w:pPr>
              <w:autoSpaceDE w:val="0"/>
              <w:autoSpaceDN w:val="0"/>
              <w:snapToGrid w:val="0"/>
              <w:spacing w:line="360" w:lineRule="auto"/>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评标委员会的人数：</w:t>
            </w:r>
            <w:r>
              <w:rPr>
                <w:rFonts w:hint="eastAsia" w:ascii="宋体" w:hAnsi="宋体" w:eastAsia="宋体" w:cs="宋体"/>
                <w:color w:val="auto"/>
                <w:szCs w:val="21"/>
                <w:highlight w:val="none"/>
                <w:u w:val="single"/>
              </w:rPr>
              <w:t>5</w:t>
            </w:r>
            <w:r>
              <w:rPr>
                <w:rFonts w:hint="eastAsia" w:ascii="宋体" w:hAnsi="宋体" w:eastAsia="宋体" w:cs="宋体"/>
                <w:color w:val="auto"/>
                <w:szCs w:val="21"/>
                <w:highlight w:val="none"/>
              </w:rPr>
              <w:t>人或以上单数。</w:t>
            </w:r>
          </w:p>
        </w:tc>
      </w:tr>
      <w:tr w14:paraId="2317A8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78" w:type="dxa"/>
            <w:tcBorders>
              <w:top w:val="single" w:color="auto" w:sz="4" w:space="0"/>
              <w:left w:val="single" w:color="auto" w:sz="4" w:space="0"/>
              <w:bottom w:val="single" w:color="auto" w:sz="4" w:space="0"/>
              <w:right w:val="single" w:color="auto" w:sz="4" w:space="0"/>
            </w:tcBorders>
            <w:vAlign w:val="center"/>
          </w:tcPr>
          <w:p w14:paraId="5365C822">
            <w:pPr>
              <w:spacing w:line="360" w:lineRule="auto"/>
              <w:jc w:val="center"/>
              <w:rPr>
                <w:rFonts w:hint="eastAsia" w:ascii="宋体" w:hAnsi="宋体" w:eastAsia="宋体" w:cs="宋体"/>
                <w:color w:val="auto"/>
                <w:szCs w:val="21"/>
                <w:highlight w:val="none"/>
              </w:rPr>
            </w:pPr>
            <w:bookmarkStart w:id="63" w:name="_28.3"/>
            <w:bookmarkEnd w:id="63"/>
            <w:r>
              <w:rPr>
                <w:rFonts w:hint="eastAsia" w:ascii="宋体" w:hAnsi="宋体" w:eastAsia="宋体" w:cs="宋体"/>
                <w:color w:val="auto"/>
                <w:szCs w:val="21"/>
                <w:highlight w:val="none"/>
              </w:rPr>
              <w:t>15</w:t>
            </w:r>
          </w:p>
        </w:tc>
        <w:tc>
          <w:tcPr>
            <w:tcW w:w="8175" w:type="dxa"/>
            <w:tcBorders>
              <w:top w:val="single" w:color="auto" w:sz="4" w:space="0"/>
              <w:left w:val="single" w:color="auto" w:sz="4" w:space="0"/>
              <w:bottom w:val="single" w:color="auto" w:sz="4" w:space="0"/>
              <w:right w:val="single" w:color="auto" w:sz="4" w:space="0"/>
            </w:tcBorders>
            <w:vAlign w:val="center"/>
          </w:tcPr>
          <w:p w14:paraId="4ACAEFB5">
            <w:pPr>
              <w:autoSpaceDE w:val="0"/>
              <w:autoSpaceDN w:val="0"/>
              <w:snapToGrid w:val="0"/>
              <w:spacing w:line="360" w:lineRule="auto"/>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评标方法：</w:t>
            </w:r>
          </w:p>
          <w:p w14:paraId="2F9E67CB">
            <w:pPr>
              <w:autoSpaceDE w:val="0"/>
              <w:autoSpaceDN w:val="0"/>
              <w:snapToGrid w:val="0"/>
              <w:spacing w:line="360" w:lineRule="auto"/>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√综合评分法</w:t>
            </w:r>
          </w:p>
          <w:p w14:paraId="3CB5DF67">
            <w:pPr>
              <w:autoSpaceDE w:val="0"/>
              <w:autoSpaceDN w:val="0"/>
              <w:snapToGrid w:val="0"/>
              <w:spacing w:line="360" w:lineRule="auto"/>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□最低评标价法</w:t>
            </w:r>
          </w:p>
        </w:tc>
      </w:tr>
      <w:tr w14:paraId="1BA1D4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jc w:val="center"/>
        </w:trPr>
        <w:tc>
          <w:tcPr>
            <w:tcW w:w="978" w:type="dxa"/>
            <w:tcBorders>
              <w:top w:val="single" w:color="auto" w:sz="4" w:space="0"/>
              <w:left w:val="single" w:color="auto" w:sz="4" w:space="0"/>
              <w:bottom w:val="single" w:color="auto" w:sz="4" w:space="0"/>
              <w:right w:val="single" w:color="auto" w:sz="4" w:space="0"/>
            </w:tcBorders>
            <w:vAlign w:val="center"/>
          </w:tcPr>
          <w:p w14:paraId="78593517">
            <w:pPr>
              <w:spacing w:line="360" w:lineRule="auto"/>
              <w:jc w:val="center"/>
              <w:rPr>
                <w:rFonts w:hint="eastAsia" w:ascii="宋体" w:hAnsi="宋体" w:eastAsia="宋体" w:cs="宋体"/>
                <w:color w:val="auto"/>
                <w:szCs w:val="21"/>
                <w:highlight w:val="none"/>
              </w:rPr>
            </w:pPr>
            <w:bookmarkStart w:id="64" w:name="_29.2.2（2）"/>
            <w:bookmarkEnd w:id="64"/>
            <w:r>
              <w:rPr>
                <w:rFonts w:hint="eastAsia" w:ascii="宋体" w:hAnsi="宋体" w:eastAsia="宋体" w:cs="宋体"/>
                <w:color w:val="auto"/>
                <w:szCs w:val="21"/>
                <w:highlight w:val="none"/>
              </w:rPr>
              <w:t>16</w:t>
            </w:r>
          </w:p>
        </w:tc>
        <w:tc>
          <w:tcPr>
            <w:tcW w:w="8175" w:type="dxa"/>
            <w:tcBorders>
              <w:top w:val="single" w:color="auto" w:sz="4" w:space="0"/>
              <w:left w:val="single" w:color="auto" w:sz="4" w:space="0"/>
              <w:right w:val="single" w:color="auto" w:sz="4" w:space="0"/>
            </w:tcBorders>
            <w:vAlign w:val="center"/>
          </w:tcPr>
          <w:p w14:paraId="01FF2EAA">
            <w:pPr>
              <w:snapToGrid w:val="0"/>
              <w:spacing w:line="360" w:lineRule="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商务要求评审中允许负偏离的条款数为</w:t>
            </w:r>
            <w:r>
              <w:rPr>
                <w:rFonts w:hint="eastAsia" w:ascii="宋体" w:hAnsi="宋体" w:eastAsia="宋体" w:cs="宋体"/>
                <w:b/>
                <w:bCs/>
                <w:color w:val="auto"/>
                <w:szCs w:val="21"/>
                <w:highlight w:val="none"/>
                <w:u w:val="single"/>
              </w:rPr>
              <w:t>0</w:t>
            </w:r>
            <w:r>
              <w:rPr>
                <w:rFonts w:hint="eastAsia" w:ascii="宋体" w:hAnsi="宋体" w:eastAsia="宋体" w:cs="宋体"/>
                <w:b/>
                <w:bCs/>
                <w:color w:val="auto"/>
                <w:szCs w:val="21"/>
                <w:highlight w:val="none"/>
              </w:rPr>
              <w:t>项。</w:t>
            </w:r>
          </w:p>
          <w:p w14:paraId="104C0D8A">
            <w:pPr>
              <w:snapToGrid w:val="0"/>
              <w:spacing w:line="360" w:lineRule="auto"/>
              <w:rPr>
                <w:rFonts w:hint="eastAsia" w:ascii="宋体" w:hAnsi="宋体" w:eastAsia="宋体" w:cs="宋体"/>
                <w:bCs/>
                <w:color w:val="auto"/>
                <w:szCs w:val="21"/>
                <w:highlight w:val="none"/>
              </w:rPr>
            </w:pPr>
            <w:r>
              <w:rPr>
                <w:rFonts w:hint="eastAsia" w:ascii="宋体" w:hAnsi="宋体" w:eastAsia="宋体" w:cs="宋体"/>
                <w:b/>
                <w:bCs/>
                <w:color w:val="auto"/>
                <w:szCs w:val="21"/>
                <w:highlight w:val="none"/>
              </w:rPr>
              <w:t>采购需求及技术要求评审中允许负偏离的条款数为</w:t>
            </w:r>
            <w:r>
              <w:rPr>
                <w:rFonts w:hint="eastAsia" w:ascii="宋体" w:hAnsi="宋体" w:eastAsia="宋体" w:cs="宋体"/>
                <w:b/>
                <w:bCs/>
                <w:color w:val="auto"/>
                <w:szCs w:val="21"/>
                <w:highlight w:val="none"/>
                <w:u w:val="single"/>
                <w:lang w:val="en-US" w:eastAsia="zh-CN"/>
              </w:rPr>
              <w:t xml:space="preserve"> 0  </w:t>
            </w:r>
            <w:r>
              <w:rPr>
                <w:rFonts w:hint="eastAsia" w:ascii="宋体" w:hAnsi="宋体" w:eastAsia="宋体" w:cs="宋体"/>
                <w:b/>
                <w:bCs/>
                <w:color w:val="auto"/>
                <w:szCs w:val="21"/>
                <w:highlight w:val="none"/>
              </w:rPr>
              <w:t>项。</w:t>
            </w:r>
          </w:p>
        </w:tc>
      </w:tr>
      <w:tr w14:paraId="6F5353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jc w:val="center"/>
        </w:trPr>
        <w:tc>
          <w:tcPr>
            <w:tcW w:w="978" w:type="dxa"/>
            <w:tcBorders>
              <w:top w:val="single" w:color="auto" w:sz="4" w:space="0"/>
              <w:left w:val="single" w:color="auto" w:sz="4" w:space="0"/>
              <w:right w:val="single" w:color="auto" w:sz="4" w:space="0"/>
            </w:tcBorders>
            <w:vAlign w:val="center"/>
          </w:tcPr>
          <w:p w14:paraId="5D7F4266">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17</w:t>
            </w:r>
          </w:p>
        </w:tc>
        <w:tc>
          <w:tcPr>
            <w:tcW w:w="8175" w:type="dxa"/>
            <w:tcBorders>
              <w:top w:val="single" w:color="auto" w:sz="4" w:space="0"/>
              <w:left w:val="single" w:color="auto" w:sz="4" w:space="0"/>
              <w:right w:val="single" w:color="auto" w:sz="4" w:space="0"/>
            </w:tcBorders>
            <w:vAlign w:val="center"/>
          </w:tcPr>
          <w:p w14:paraId="0FA899C2">
            <w:pPr>
              <w:snapToGrid w:val="0"/>
              <w:ind w:firstLineChars="0"/>
              <w:rPr>
                <w:rFonts w:hint="eastAsia" w:ascii="宋体" w:hAnsi="宋体" w:eastAsia="宋体" w:cs="宋体"/>
                <w:color w:val="auto"/>
                <w:highlight w:val="none"/>
              </w:rPr>
            </w:pPr>
            <w:r>
              <w:rPr>
                <w:rFonts w:hint="eastAsia" w:ascii="宋体" w:hAnsi="宋体" w:eastAsia="宋体" w:cs="宋体"/>
                <w:color w:val="auto"/>
                <w:highlight w:val="none"/>
              </w:rPr>
              <w:t>中标候选人推荐数量：</w:t>
            </w:r>
          </w:p>
          <w:p w14:paraId="55E991D5">
            <w:pPr>
              <w:snapToGrid w:val="0"/>
              <w:spacing w:line="360" w:lineRule="auto"/>
              <w:rPr>
                <w:rFonts w:hint="eastAsia" w:ascii="宋体" w:hAnsi="宋体" w:eastAsia="宋体" w:cs="宋体"/>
                <w:color w:val="auto"/>
                <w:szCs w:val="21"/>
                <w:highlight w:val="none"/>
                <w:lang w:eastAsia="zh-CN"/>
              </w:rPr>
            </w:pPr>
            <w:r>
              <w:rPr>
                <w:rFonts w:hint="eastAsia" w:ascii="宋体" w:hAnsi="宋体" w:eastAsia="宋体" w:cs="宋体"/>
                <w:color w:val="auto"/>
                <w:highlight w:val="none"/>
              </w:rPr>
              <w:t>根据</w:t>
            </w:r>
            <w:r>
              <w:rPr>
                <w:rFonts w:hint="eastAsia" w:ascii="宋体" w:hAnsi="宋体" w:eastAsia="宋体" w:cs="宋体"/>
                <w:color w:val="auto"/>
                <w:highlight w:val="none"/>
                <w:lang w:val="en-US" w:eastAsia="zh-CN"/>
              </w:rPr>
              <w:t>评审</w:t>
            </w:r>
            <w:r>
              <w:rPr>
                <w:rFonts w:hint="eastAsia" w:ascii="宋体" w:hAnsi="宋体" w:eastAsia="宋体" w:cs="宋体"/>
                <w:color w:val="auto"/>
                <w:highlight w:val="none"/>
              </w:rPr>
              <w:t>总得分由高到低排列次序</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推荐为</w:t>
            </w:r>
            <w:r>
              <w:rPr>
                <w:rFonts w:hint="eastAsia" w:ascii="宋体" w:hAnsi="宋体" w:eastAsia="宋体" w:cs="宋体"/>
                <w:color w:val="auto"/>
                <w:highlight w:val="none"/>
                <w:lang w:val="en-US" w:eastAsia="zh-CN"/>
              </w:rPr>
              <w:t>前三名为</w:t>
            </w:r>
            <w:r>
              <w:rPr>
                <w:rFonts w:hint="eastAsia" w:ascii="宋体" w:hAnsi="宋体" w:eastAsia="宋体" w:cs="宋体"/>
                <w:color w:val="auto"/>
                <w:highlight w:val="none"/>
              </w:rPr>
              <w:t>中标候选人</w:t>
            </w:r>
            <w:r>
              <w:rPr>
                <w:rFonts w:hint="eastAsia" w:ascii="宋体" w:hAnsi="宋体" w:eastAsia="宋体" w:cs="宋体"/>
                <w:color w:val="auto"/>
                <w:highlight w:val="none"/>
                <w:lang w:eastAsia="zh-CN"/>
              </w:rPr>
              <w:t>。</w:t>
            </w:r>
          </w:p>
        </w:tc>
      </w:tr>
      <w:tr w14:paraId="2315D4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78" w:type="dxa"/>
            <w:tcBorders>
              <w:top w:val="single" w:color="auto" w:sz="4" w:space="0"/>
              <w:left w:val="single" w:color="auto" w:sz="4" w:space="0"/>
              <w:bottom w:val="single" w:color="auto" w:sz="4" w:space="0"/>
              <w:right w:val="single" w:color="auto" w:sz="4" w:space="0"/>
            </w:tcBorders>
            <w:vAlign w:val="center"/>
          </w:tcPr>
          <w:p w14:paraId="7A36809A">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18</w:t>
            </w:r>
          </w:p>
        </w:tc>
        <w:tc>
          <w:tcPr>
            <w:tcW w:w="8175" w:type="dxa"/>
            <w:tcBorders>
              <w:top w:val="single" w:color="auto" w:sz="4" w:space="0"/>
              <w:left w:val="single" w:color="auto" w:sz="4" w:space="0"/>
              <w:bottom w:val="single" w:color="auto" w:sz="4" w:space="0"/>
              <w:right w:val="single" w:color="auto" w:sz="4" w:space="0"/>
            </w:tcBorders>
            <w:vAlign w:val="center"/>
          </w:tcPr>
          <w:p w14:paraId="19E0C819">
            <w:pPr>
              <w:autoSpaceDE w:val="0"/>
              <w:autoSpaceDN w:val="0"/>
              <w:snapToGrid w:val="0"/>
              <w:spacing w:line="360" w:lineRule="auto"/>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采用综合评分法的采购项目，采购人确定中标人时，出现中标候选人并列的情形，采购人按以下的方式确定中标人：</w:t>
            </w:r>
          </w:p>
          <w:p w14:paraId="33594DB7">
            <w:pPr>
              <w:autoSpaceDE w:val="0"/>
              <w:autoSpaceDN w:val="0"/>
              <w:snapToGrid w:val="0"/>
              <w:spacing w:line="360" w:lineRule="auto"/>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√依次按投标报价低的优先、政策分得分高的优先、技术评分高的优先、商务评分高的优先、故障响应时间短优先的顺序确定；</w:t>
            </w:r>
          </w:p>
          <w:p w14:paraId="713A9BB1">
            <w:pPr>
              <w:autoSpaceDE w:val="0"/>
              <w:autoSpaceDN w:val="0"/>
              <w:snapToGrid w:val="0"/>
              <w:spacing w:line="360" w:lineRule="auto"/>
              <w:textAlignment w:val="bottom"/>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□随机抽取；</w:t>
            </w:r>
          </w:p>
        </w:tc>
      </w:tr>
      <w:tr w14:paraId="139538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978" w:type="dxa"/>
            <w:tcBorders>
              <w:top w:val="single" w:color="auto" w:sz="4" w:space="0"/>
              <w:left w:val="single" w:color="auto" w:sz="4" w:space="0"/>
              <w:bottom w:val="single" w:color="auto" w:sz="4" w:space="0"/>
              <w:right w:val="single" w:color="auto" w:sz="4" w:space="0"/>
            </w:tcBorders>
            <w:vAlign w:val="center"/>
          </w:tcPr>
          <w:p w14:paraId="050F713C">
            <w:pPr>
              <w:spacing w:line="360" w:lineRule="auto"/>
              <w:jc w:val="center"/>
              <w:rPr>
                <w:rFonts w:hint="eastAsia" w:ascii="宋体" w:hAnsi="宋体" w:eastAsia="宋体" w:cs="宋体"/>
                <w:color w:val="auto"/>
                <w:szCs w:val="21"/>
                <w:highlight w:val="none"/>
              </w:rPr>
            </w:pPr>
            <w:bookmarkStart w:id="65" w:name="_39.1"/>
            <w:bookmarkEnd w:id="65"/>
            <w:r>
              <w:rPr>
                <w:rFonts w:hint="eastAsia" w:ascii="宋体" w:hAnsi="宋体" w:eastAsia="宋体" w:cs="宋体"/>
                <w:color w:val="auto"/>
                <w:szCs w:val="21"/>
                <w:highlight w:val="none"/>
              </w:rPr>
              <w:t>19</w:t>
            </w:r>
          </w:p>
        </w:tc>
        <w:tc>
          <w:tcPr>
            <w:tcW w:w="8175" w:type="dxa"/>
            <w:tcBorders>
              <w:top w:val="single" w:color="auto" w:sz="4" w:space="0"/>
              <w:left w:val="single" w:color="auto" w:sz="4" w:space="0"/>
              <w:bottom w:val="single" w:color="auto" w:sz="4" w:space="0"/>
              <w:right w:val="single" w:color="auto" w:sz="4" w:space="0"/>
            </w:tcBorders>
            <w:vAlign w:val="center"/>
          </w:tcPr>
          <w:p w14:paraId="2CE7A8F3">
            <w:pPr>
              <w:autoSpaceDE w:val="0"/>
              <w:autoSpaceDN w:val="0"/>
              <w:snapToGrid w:val="0"/>
              <w:spacing w:line="360" w:lineRule="auto"/>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□本项目不收取履约保证金。</w:t>
            </w:r>
          </w:p>
          <w:p w14:paraId="7F97BEE7">
            <w:pPr>
              <w:autoSpaceDE w:val="0"/>
              <w:autoSpaceDN w:val="0"/>
              <w:snapToGrid w:val="0"/>
              <w:spacing w:line="360" w:lineRule="auto"/>
              <w:textAlignment w:val="bottom"/>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w:t>
            </w:r>
            <w:r>
              <w:rPr>
                <w:rFonts w:hint="eastAsia" w:ascii="宋体" w:hAnsi="宋体" w:eastAsia="宋体" w:cs="宋体"/>
                <w:color w:val="auto"/>
                <w:szCs w:val="21"/>
                <w:highlight w:val="none"/>
              </w:rPr>
              <w:t>本项目收取履约保证金，具体规定如下：</w:t>
            </w:r>
          </w:p>
          <w:p w14:paraId="1A8E77A6">
            <w:pPr>
              <w:pStyle w:val="20"/>
              <w:spacing w:line="360" w:lineRule="auto"/>
              <w:ind w:left="420" w:left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履约保证金金</w:t>
            </w:r>
            <w:r>
              <w:rPr>
                <w:rFonts w:hint="eastAsia" w:ascii="宋体" w:hAnsi="宋体" w:eastAsia="宋体" w:cs="宋体"/>
                <w:color w:val="auto"/>
                <w:szCs w:val="21"/>
                <w:highlight w:val="none"/>
              </w:rPr>
              <w:t>额：每分标按中标金额的</w:t>
            </w:r>
            <w:r>
              <w:rPr>
                <w:rFonts w:hint="eastAsia" w:ascii="宋体" w:hAnsi="宋体" w:eastAsia="宋体" w:cs="宋体"/>
                <w:b w:val="0"/>
                <w:bCs w:val="0"/>
                <w:color w:val="auto"/>
                <w:szCs w:val="21"/>
                <w:highlight w:val="none"/>
              </w:rPr>
              <w:t>2%</w:t>
            </w:r>
            <w:r>
              <w:rPr>
                <w:rFonts w:hint="eastAsia" w:ascii="宋体" w:hAnsi="宋体" w:eastAsia="宋体" w:cs="宋体"/>
                <w:b w:val="0"/>
                <w:bCs w:val="0"/>
                <w:color w:val="auto"/>
                <w:szCs w:val="21"/>
                <w:highlight w:val="none"/>
                <w:lang w:val="en-US" w:eastAsia="zh-CN"/>
              </w:rPr>
              <w:t>收取</w:t>
            </w:r>
            <w:r>
              <w:rPr>
                <w:rFonts w:hint="eastAsia" w:ascii="宋体" w:hAnsi="宋体" w:eastAsia="宋体" w:cs="宋体"/>
                <w:color w:val="auto"/>
                <w:szCs w:val="21"/>
                <w:highlight w:val="none"/>
              </w:rPr>
              <w:t>。</w:t>
            </w:r>
          </w:p>
          <w:p w14:paraId="37EDD491">
            <w:pPr>
              <w:pStyle w:val="20"/>
              <w:spacing w:line="360" w:lineRule="auto"/>
              <w:ind w:left="420" w:left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签订合同前交至指定账户，否则不予签订合同</w:t>
            </w:r>
          </w:p>
          <w:p w14:paraId="4B6D257A">
            <w:pPr>
              <w:snapToGrid w:val="0"/>
              <w:spacing w:line="360" w:lineRule="auto"/>
              <w:ind w:left="420" w:left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履约保证金递交方式：银行转账、电汇或网上支付、支票、汇票、本票或者银行、</w:t>
            </w:r>
          </w:p>
          <w:p w14:paraId="099852FE">
            <w:pPr>
              <w:snapToGrid w:val="0"/>
              <w:spacing w:line="360" w:lineRule="auto"/>
              <w:ind w:left="0" w:left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保险机构出具的保函（含电子保函）等非现金方式</w:t>
            </w:r>
          </w:p>
          <w:p w14:paraId="4EBAA6C2">
            <w:pPr>
              <w:snapToGrid w:val="0"/>
              <w:spacing w:line="360" w:lineRule="auto"/>
              <w:ind w:left="0" w:left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履约保证金退付方式、时间及条件：项目验收完成后无息退付。</w:t>
            </w:r>
          </w:p>
          <w:p w14:paraId="08C44731">
            <w:pPr>
              <w:snapToGrid w:val="0"/>
              <w:spacing w:line="360" w:lineRule="auto"/>
              <w:ind w:left="420" w:left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由中标人向履约保证金收取单位提供《政府采购项目合同验收书》、《政府采购项</w:t>
            </w:r>
          </w:p>
          <w:p w14:paraId="6DD64F8D">
            <w:pPr>
              <w:snapToGrid w:val="0"/>
              <w:spacing w:line="360" w:lineRule="auto"/>
              <w:ind w:left="0" w:left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目履约保证金退付意见书》，保证金收取单位在收到合</w:t>
            </w:r>
            <w:r>
              <w:rPr>
                <w:rFonts w:hint="eastAsia" w:ascii="宋体" w:hAnsi="宋体" w:eastAsia="宋体" w:cs="宋体"/>
                <w:color w:val="auto"/>
                <w:kern w:val="2"/>
                <w:sz w:val="21"/>
                <w:szCs w:val="21"/>
                <w:highlight w:val="none"/>
                <w:lang w:val="en-US" w:eastAsia="zh-CN" w:bidi="ar-SA"/>
              </w:rPr>
              <w:t>格材料后5个工作日内</w:t>
            </w:r>
            <w:r>
              <w:rPr>
                <w:rFonts w:hint="eastAsia" w:ascii="宋体" w:hAnsi="宋体" w:eastAsia="宋体" w:cs="宋体"/>
                <w:color w:val="auto"/>
                <w:szCs w:val="21"/>
                <w:highlight w:val="none"/>
              </w:rPr>
              <w:t>办理退还手续（不计利息）。</w:t>
            </w:r>
          </w:p>
          <w:p w14:paraId="0ECB4D19">
            <w:pPr>
              <w:pStyle w:val="20"/>
              <w:snapToGrid w:val="0"/>
              <w:spacing w:line="360" w:lineRule="auto"/>
              <w:ind w:left="0" w:leftChars="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履约保证金收取单位指定账户：</w:t>
            </w:r>
          </w:p>
          <w:p w14:paraId="6A96FE82">
            <w:pPr>
              <w:pStyle w:val="20"/>
              <w:snapToGrid w:val="0"/>
              <w:spacing w:line="360" w:lineRule="auto"/>
              <w:ind w:left="420" w:leftChars="200"/>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开户名称：</w:t>
            </w:r>
            <w:r>
              <w:rPr>
                <w:rFonts w:hint="eastAsia" w:ascii="宋体" w:hAnsi="宋体" w:eastAsia="宋体" w:cs="宋体"/>
                <w:color w:val="auto"/>
                <w:highlight w:val="none"/>
              </w:rPr>
              <w:t>广西壮族自治区山口红树林生态国家级自然保护区管理中心</w:t>
            </w:r>
          </w:p>
          <w:p w14:paraId="0C4B09B9">
            <w:pPr>
              <w:pStyle w:val="20"/>
              <w:snapToGrid w:val="0"/>
              <w:spacing w:line="360" w:lineRule="auto"/>
              <w:ind w:left="420" w:leftChars="200"/>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开户银行：中国农业银行股份有限公司北海海城支行</w:t>
            </w:r>
          </w:p>
          <w:p w14:paraId="68F84251">
            <w:pPr>
              <w:pStyle w:val="20"/>
              <w:snapToGrid w:val="0"/>
              <w:spacing w:line="360" w:lineRule="auto"/>
              <w:ind w:left="420" w:leftChars="200"/>
              <w:rPr>
                <w:rFonts w:hint="eastAsia" w:ascii="宋体" w:hAnsi="宋体" w:eastAsia="宋体" w:cs="宋体"/>
                <w:color w:val="auto"/>
                <w:szCs w:val="21"/>
                <w:highlight w:val="none"/>
              </w:rPr>
            </w:pPr>
            <w:r>
              <w:rPr>
                <w:rFonts w:hint="eastAsia" w:ascii="宋体" w:hAnsi="宋体" w:eastAsia="宋体" w:cs="宋体"/>
                <w:b w:val="0"/>
                <w:bCs w:val="0"/>
                <w:color w:val="auto"/>
                <w:szCs w:val="21"/>
                <w:highlight w:val="none"/>
              </w:rPr>
              <w:t>银行账号：20710101040010529</w:t>
            </w:r>
          </w:p>
          <w:p w14:paraId="6D7F5942">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备注：</w:t>
            </w:r>
          </w:p>
          <w:p w14:paraId="44C10C84">
            <w:pPr>
              <w:spacing w:line="360" w:lineRule="auto"/>
              <w:jc w:val="left"/>
              <w:rPr>
                <w:rFonts w:hint="eastAsia" w:ascii="宋体" w:hAnsi="宋体" w:eastAsia="宋体" w:cs="宋体"/>
                <w:color w:val="auto"/>
                <w:kern w:val="0"/>
                <w:szCs w:val="21"/>
                <w:highlight w:val="none"/>
              </w:rPr>
            </w:pPr>
            <w:r>
              <w:rPr>
                <w:rFonts w:hint="eastAsia" w:ascii="宋体" w:hAnsi="宋体" w:eastAsia="宋体" w:cs="宋体"/>
                <w:b/>
                <w:color w:val="auto"/>
                <w:szCs w:val="21"/>
                <w:highlight w:val="none"/>
              </w:rPr>
              <w:t>1.</w:t>
            </w:r>
            <w:bookmarkStart w:id="66" w:name="_Hlk54170335"/>
            <w:r>
              <w:rPr>
                <w:rFonts w:hint="eastAsia" w:ascii="宋体" w:hAnsi="宋体" w:eastAsia="宋体" w:cs="宋体"/>
                <w:b/>
                <w:color w:val="auto"/>
                <w:szCs w:val="21"/>
                <w:highlight w:val="none"/>
              </w:rPr>
              <w:t>根据桂</w:t>
            </w:r>
            <w:r>
              <w:rPr>
                <w:rFonts w:hint="eastAsia" w:ascii="宋体" w:hAnsi="宋体" w:eastAsia="宋体" w:cs="宋体"/>
                <w:b/>
                <w:color w:val="auto"/>
                <w:szCs w:val="21"/>
                <w:highlight w:val="none"/>
                <w:lang w:val="en-US" w:eastAsia="zh-CN"/>
              </w:rPr>
              <w:t>财采</w:t>
            </w:r>
            <w:r>
              <w:rPr>
                <w:rFonts w:hint="eastAsia" w:ascii="宋体" w:hAnsi="宋体" w:eastAsia="宋体" w:cs="宋体"/>
                <w:b/>
                <w:color w:val="auto"/>
                <w:szCs w:val="21"/>
                <w:highlight w:val="none"/>
              </w:rPr>
              <w:t>〔202</w:t>
            </w:r>
            <w:r>
              <w:rPr>
                <w:rFonts w:hint="eastAsia" w:ascii="宋体" w:hAnsi="宋体" w:eastAsia="宋体" w:cs="宋体"/>
                <w:b/>
                <w:color w:val="auto"/>
                <w:szCs w:val="21"/>
                <w:highlight w:val="none"/>
                <w:lang w:eastAsia="zh-CN"/>
              </w:rPr>
              <w:t>4</w:t>
            </w:r>
            <w:r>
              <w:rPr>
                <w:rFonts w:hint="eastAsia" w:ascii="宋体" w:hAnsi="宋体" w:eastAsia="宋体" w:cs="宋体"/>
                <w:b/>
                <w:color w:val="auto"/>
                <w:szCs w:val="21"/>
                <w:highlight w:val="none"/>
              </w:rPr>
              <w:t>〕</w:t>
            </w:r>
            <w:r>
              <w:rPr>
                <w:rFonts w:hint="eastAsia" w:ascii="宋体" w:hAnsi="宋体" w:eastAsia="宋体" w:cs="宋体"/>
                <w:b/>
                <w:color w:val="auto"/>
                <w:szCs w:val="21"/>
                <w:highlight w:val="none"/>
                <w:lang w:eastAsia="zh-CN"/>
              </w:rPr>
              <w:t>5</w:t>
            </w:r>
            <w:r>
              <w:rPr>
                <w:rFonts w:hint="eastAsia" w:ascii="宋体" w:hAnsi="宋体" w:eastAsia="宋体" w:cs="宋体"/>
                <w:b/>
                <w:color w:val="auto"/>
                <w:szCs w:val="21"/>
                <w:highlight w:val="none"/>
                <w:lang w:val="en-US" w:eastAsia="zh-CN"/>
              </w:rPr>
              <w:t>5</w:t>
            </w:r>
            <w:r>
              <w:rPr>
                <w:rFonts w:hint="eastAsia" w:ascii="宋体" w:hAnsi="宋体" w:eastAsia="宋体" w:cs="宋体"/>
                <w:b/>
                <w:color w:val="auto"/>
                <w:szCs w:val="21"/>
                <w:highlight w:val="none"/>
              </w:rPr>
              <w:t>号《</w:t>
            </w:r>
            <w:r>
              <w:rPr>
                <w:rFonts w:hint="eastAsia" w:ascii="宋体" w:hAnsi="宋体" w:eastAsia="宋体" w:cs="宋体"/>
                <w:b/>
                <w:color w:val="auto"/>
                <w:szCs w:val="21"/>
                <w:highlight w:val="none"/>
                <w:lang w:val="en-US" w:eastAsia="zh-CN"/>
              </w:rPr>
              <w:t xml:space="preserve"> </w:t>
            </w:r>
            <w:r>
              <w:rPr>
                <w:rFonts w:hint="eastAsia" w:ascii="宋体" w:hAnsi="宋体" w:eastAsia="宋体" w:cs="宋体"/>
                <w:b/>
                <w:i w:val="0"/>
                <w:iCs w:val="0"/>
                <w:caps w:val="0"/>
                <w:color w:val="auto"/>
                <w:spacing w:val="0"/>
                <w:sz w:val="21"/>
                <w:szCs w:val="21"/>
                <w:highlight w:val="none"/>
              </w:rPr>
              <w:t>广西壮族自治区财政厅关于持续优化政府采购营商环境推动高质量发展的通知</w:t>
            </w:r>
            <w:r>
              <w:rPr>
                <w:rFonts w:hint="eastAsia" w:ascii="宋体" w:hAnsi="宋体" w:eastAsia="宋体" w:cs="宋体"/>
                <w:b/>
                <w:color w:val="auto"/>
                <w:szCs w:val="21"/>
                <w:highlight w:val="none"/>
              </w:rPr>
              <w:t>》规定，采购文件要求中标或者中标人提交履约保证金的，履约保证金数额不得超过政府采购合同金额的5%，对中小企业收取的履约保证金数额不得超过政府采购合同金额的2%。</w:t>
            </w:r>
            <w:bookmarkEnd w:id="66"/>
            <w:r>
              <w:rPr>
                <w:rFonts w:hint="eastAsia" w:ascii="宋体" w:hAnsi="宋体" w:eastAsia="宋体" w:cs="宋体"/>
                <w:color w:val="auto"/>
                <w:szCs w:val="21"/>
                <w:highlight w:val="none"/>
              </w:rPr>
              <w:br w:type="textWrapping"/>
            </w:r>
            <w:r>
              <w:rPr>
                <w:rFonts w:hint="eastAsia" w:ascii="宋体" w:hAnsi="宋体" w:eastAsia="宋体" w:cs="宋体"/>
                <w:b/>
                <w:color w:val="auto"/>
                <w:szCs w:val="21"/>
                <w:highlight w:val="none"/>
              </w:rPr>
              <w:t>2.履约保证金不足额缴纳的（包含保函额度不足的），或者不按规定提交方式提交的，或者保函有效期低于合同履行期限（即合同中规定的当事人履行自己的义务，如交付标的物、价款或者报酬，履行劳务、完成工作的时间界限）的，不予签订合同。</w:t>
            </w:r>
            <w:r>
              <w:rPr>
                <w:rFonts w:hint="eastAsia" w:ascii="宋体" w:hAnsi="宋体" w:eastAsia="宋体" w:cs="宋体"/>
                <w:b/>
                <w:color w:val="auto"/>
                <w:szCs w:val="21"/>
                <w:highlight w:val="none"/>
              </w:rPr>
              <w:br w:type="textWrapping"/>
            </w:r>
            <w:r>
              <w:rPr>
                <w:rFonts w:hint="eastAsia" w:ascii="宋体" w:hAnsi="宋体" w:eastAsia="宋体" w:cs="宋体"/>
                <w:b/>
                <w:color w:val="auto"/>
                <w:szCs w:val="21"/>
                <w:highlight w:val="none"/>
              </w:rPr>
              <w:t>3.采用银行、保险机构出具的保函（含电子保函）的，必须为无条件保函，否则不予签订合同。</w:t>
            </w:r>
          </w:p>
        </w:tc>
      </w:tr>
      <w:tr w14:paraId="409702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78" w:type="dxa"/>
            <w:tcBorders>
              <w:top w:val="single" w:color="auto" w:sz="4" w:space="0"/>
              <w:left w:val="single" w:color="auto" w:sz="4" w:space="0"/>
              <w:bottom w:val="single" w:color="auto" w:sz="4" w:space="0"/>
              <w:right w:val="single" w:color="auto" w:sz="4" w:space="0"/>
            </w:tcBorders>
            <w:vAlign w:val="center"/>
          </w:tcPr>
          <w:p w14:paraId="608B759D">
            <w:pPr>
              <w:spacing w:line="360" w:lineRule="auto"/>
              <w:jc w:val="center"/>
              <w:rPr>
                <w:rFonts w:hint="eastAsia" w:ascii="宋体" w:hAnsi="宋体" w:eastAsia="宋体" w:cs="宋体"/>
                <w:color w:val="auto"/>
                <w:szCs w:val="21"/>
                <w:highlight w:val="none"/>
              </w:rPr>
            </w:pPr>
            <w:bookmarkStart w:id="67" w:name="_40.1"/>
            <w:bookmarkEnd w:id="67"/>
            <w:r>
              <w:rPr>
                <w:rFonts w:hint="eastAsia" w:ascii="宋体" w:hAnsi="宋体" w:eastAsia="宋体" w:cs="宋体"/>
                <w:color w:val="auto"/>
                <w:szCs w:val="21"/>
                <w:highlight w:val="none"/>
              </w:rPr>
              <w:t>20</w:t>
            </w:r>
          </w:p>
        </w:tc>
        <w:tc>
          <w:tcPr>
            <w:tcW w:w="8175" w:type="dxa"/>
            <w:tcBorders>
              <w:top w:val="single" w:color="auto" w:sz="4" w:space="0"/>
              <w:left w:val="single" w:color="auto" w:sz="4" w:space="0"/>
              <w:bottom w:val="single" w:color="auto" w:sz="4" w:space="0"/>
              <w:right w:val="single" w:color="auto" w:sz="4" w:space="0"/>
            </w:tcBorders>
            <w:vAlign w:val="center"/>
          </w:tcPr>
          <w:p w14:paraId="412B4C9E">
            <w:pPr>
              <w:autoSpaceDE w:val="0"/>
              <w:autoSpaceDN w:val="0"/>
              <w:snapToGrid w:val="0"/>
              <w:spacing w:line="360" w:lineRule="auto"/>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签订合同携带的证明材料： </w:t>
            </w:r>
          </w:p>
          <w:p w14:paraId="2E2D3C63">
            <w:pPr>
              <w:autoSpaceDE w:val="0"/>
              <w:autoSpaceDN w:val="0"/>
              <w:snapToGrid w:val="0"/>
              <w:spacing w:line="360" w:lineRule="auto"/>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委托代理人负责签订合同的，须携带授权委托书及委托代理人身份证原件等其他资格证件。</w:t>
            </w:r>
          </w:p>
          <w:p w14:paraId="51713705">
            <w:pPr>
              <w:autoSpaceDE w:val="0"/>
              <w:autoSpaceDN w:val="0"/>
              <w:snapToGrid w:val="0"/>
              <w:spacing w:line="360" w:lineRule="auto"/>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法定代表人负责签订合同的，须携带法定代表人身份证明原件及身份证原件等其他证明材料。</w:t>
            </w:r>
          </w:p>
        </w:tc>
      </w:tr>
      <w:tr w14:paraId="4D757A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78" w:type="dxa"/>
            <w:tcBorders>
              <w:top w:val="single" w:color="auto" w:sz="4" w:space="0"/>
              <w:left w:val="single" w:color="auto" w:sz="4" w:space="0"/>
              <w:bottom w:val="single" w:color="auto" w:sz="4" w:space="0"/>
              <w:right w:val="single" w:color="auto" w:sz="4" w:space="0"/>
            </w:tcBorders>
            <w:vAlign w:val="center"/>
          </w:tcPr>
          <w:p w14:paraId="0AE80835">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21</w:t>
            </w:r>
          </w:p>
        </w:tc>
        <w:tc>
          <w:tcPr>
            <w:tcW w:w="8175" w:type="dxa"/>
            <w:tcBorders>
              <w:top w:val="single" w:color="auto" w:sz="4" w:space="0"/>
              <w:left w:val="single" w:color="auto" w:sz="4" w:space="0"/>
              <w:bottom w:val="single" w:color="auto" w:sz="4" w:space="0"/>
              <w:right w:val="single" w:color="auto" w:sz="4" w:space="0"/>
            </w:tcBorders>
            <w:vAlign w:val="center"/>
          </w:tcPr>
          <w:p w14:paraId="45674456">
            <w:pPr>
              <w:autoSpaceDE w:val="0"/>
              <w:autoSpaceDN w:val="0"/>
              <w:snapToGrid w:val="0"/>
              <w:spacing w:line="360" w:lineRule="auto"/>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接收质疑函方式：以书面形式</w:t>
            </w:r>
          </w:p>
          <w:p w14:paraId="575B7C97">
            <w:pPr>
              <w:autoSpaceDE w:val="0"/>
              <w:autoSpaceDN w:val="0"/>
              <w:snapToGrid w:val="0"/>
              <w:spacing w:line="360" w:lineRule="auto"/>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质疑联系部门及联系方式：</w:t>
            </w:r>
            <w:r>
              <w:rPr>
                <w:rFonts w:hint="eastAsia" w:ascii="宋体" w:hAnsi="宋体" w:eastAsia="宋体" w:cs="宋体"/>
                <w:color w:val="auto"/>
                <w:kern w:val="0"/>
                <w:szCs w:val="21"/>
                <w:highlight w:val="none"/>
                <w:lang w:eastAsia="zh-CN"/>
              </w:rPr>
              <w:t>广西泓贯项目咨询管理有限公司</w:t>
            </w:r>
          </w:p>
          <w:p w14:paraId="789B7A08">
            <w:pPr>
              <w:autoSpaceDE w:val="0"/>
              <w:autoSpaceDN w:val="0"/>
              <w:snapToGrid w:val="0"/>
              <w:spacing w:line="360" w:lineRule="auto"/>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联系电话：</w:t>
            </w:r>
            <w:r>
              <w:rPr>
                <w:rFonts w:hint="eastAsia" w:ascii="宋体" w:hAnsi="宋体" w:eastAsia="宋体" w:cs="宋体"/>
                <w:color w:val="auto"/>
                <w:kern w:val="0"/>
                <w:szCs w:val="21"/>
                <w:highlight w:val="none"/>
                <w:lang w:eastAsia="zh-CN"/>
              </w:rPr>
              <w:t>0771-3313954</w:t>
            </w:r>
            <w:r>
              <w:rPr>
                <w:rFonts w:hint="eastAsia" w:ascii="宋体" w:hAnsi="宋体" w:eastAsia="宋体" w:cs="宋体"/>
                <w:color w:val="auto"/>
                <w:szCs w:val="21"/>
                <w:highlight w:val="none"/>
              </w:rPr>
              <w:t xml:space="preserve"> </w:t>
            </w:r>
          </w:p>
          <w:p w14:paraId="10522F21">
            <w:pPr>
              <w:autoSpaceDE w:val="0"/>
              <w:autoSpaceDN w:val="0"/>
              <w:snapToGrid w:val="0"/>
              <w:spacing w:line="360" w:lineRule="auto"/>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通讯地址：</w:t>
            </w:r>
            <w:r>
              <w:rPr>
                <w:rFonts w:hint="eastAsia" w:ascii="宋体" w:hAnsi="宋体" w:eastAsia="宋体" w:cs="宋体"/>
                <w:color w:val="auto"/>
                <w:kern w:val="0"/>
                <w:szCs w:val="21"/>
                <w:highlight w:val="none"/>
                <w:lang w:eastAsia="zh-CN"/>
              </w:rPr>
              <w:t>南宁市那洪大道7号研祥智谷A1栋705号房</w:t>
            </w:r>
          </w:p>
          <w:p w14:paraId="21E6F151">
            <w:pPr>
              <w:autoSpaceDE w:val="0"/>
              <w:autoSpaceDN w:val="0"/>
              <w:snapToGrid w:val="0"/>
              <w:spacing w:line="360" w:lineRule="auto"/>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现场提交质疑办理业务时间：工作日每天9时00分到12时00分，15时00分到18时00分，双休日和法定节假日不办理业务。</w:t>
            </w:r>
          </w:p>
          <w:p w14:paraId="44B6F416">
            <w:pPr>
              <w:autoSpaceDE w:val="0"/>
              <w:autoSpaceDN w:val="0"/>
              <w:snapToGrid w:val="0"/>
              <w:spacing w:line="360" w:lineRule="auto"/>
              <w:textAlignment w:val="bottom"/>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监督部门：</w:t>
            </w:r>
            <w:r>
              <w:rPr>
                <w:rFonts w:hint="eastAsia" w:ascii="宋体" w:hAnsi="宋体" w:eastAsia="宋体" w:cs="宋体"/>
                <w:color w:val="auto"/>
                <w:szCs w:val="21"/>
                <w:highlight w:val="none"/>
              </w:rPr>
              <w:t>广西壮族自治区财政厅</w:t>
            </w:r>
            <w:r>
              <w:rPr>
                <w:rFonts w:hint="eastAsia" w:ascii="宋体" w:hAnsi="宋体" w:eastAsia="宋体" w:cs="宋体"/>
                <w:color w:val="auto"/>
                <w:szCs w:val="21"/>
                <w:highlight w:val="none"/>
                <w:lang w:val="en-US" w:eastAsia="zh-CN"/>
              </w:rPr>
              <w:t>政府采购监督管理处</w:t>
            </w:r>
          </w:p>
          <w:p w14:paraId="1FC4C43D">
            <w:pPr>
              <w:autoSpaceDE w:val="0"/>
              <w:autoSpaceDN w:val="0"/>
              <w:snapToGrid w:val="0"/>
              <w:spacing w:line="360" w:lineRule="auto"/>
              <w:textAlignment w:val="bottom"/>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联系电话：0771-5331544</w:t>
            </w:r>
          </w:p>
          <w:p w14:paraId="6AB5132B">
            <w:pPr>
              <w:autoSpaceDE w:val="0"/>
              <w:autoSpaceDN w:val="0"/>
              <w:snapToGrid w:val="0"/>
              <w:spacing w:line="360" w:lineRule="auto"/>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联系地址：</w:t>
            </w:r>
            <w:r>
              <w:rPr>
                <w:rFonts w:hint="eastAsia" w:ascii="宋体" w:hAnsi="宋体" w:eastAsia="宋体" w:cs="宋体"/>
                <w:i w:val="0"/>
                <w:iCs w:val="0"/>
                <w:caps w:val="0"/>
                <w:color w:val="auto"/>
                <w:spacing w:val="0"/>
                <w:sz w:val="21"/>
                <w:szCs w:val="21"/>
                <w:highlight w:val="none"/>
                <w:shd w:val="clear"/>
              </w:rPr>
              <w:t>南宁市青秀区桃源路69号</w:t>
            </w:r>
          </w:p>
        </w:tc>
      </w:tr>
      <w:tr w14:paraId="597FC1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978" w:type="dxa"/>
            <w:tcBorders>
              <w:top w:val="single" w:color="auto" w:sz="4" w:space="0"/>
              <w:left w:val="single" w:color="auto" w:sz="4" w:space="0"/>
              <w:bottom w:val="single" w:color="auto" w:sz="4" w:space="0"/>
              <w:right w:val="single" w:color="auto" w:sz="4" w:space="0"/>
            </w:tcBorders>
            <w:vAlign w:val="center"/>
          </w:tcPr>
          <w:p w14:paraId="226C84B0">
            <w:pPr>
              <w:spacing w:line="360" w:lineRule="auto"/>
              <w:jc w:val="center"/>
              <w:rPr>
                <w:rFonts w:hint="eastAsia" w:ascii="宋体" w:hAnsi="宋体" w:eastAsia="宋体" w:cs="宋体"/>
                <w:color w:val="auto"/>
                <w:szCs w:val="21"/>
                <w:highlight w:val="none"/>
              </w:rPr>
            </w:pPr>
            <w:bookmarkStart w:id="68" w:name="_41"/>
            <w:bookmarkEnd w:id="68"/>
            <w:bookmarkStart w:id="69" w:name="_42"/>
            <w:bookmarkEnd w:id="69"/>
            <w:r>
              <w:rPr>
                <w:rFonts w:hint="eastAsia" w:ascii="宋体" w:hAnsi="宋体" w:eastAsia="宋体" w:cs="宋体"/>
                <w:color w:val="auto"/>
                <w:szCs w:val="21"/>
                <w:highlight w:val="none"/>
              </w:rPr>
              <w:t>22</w:t>
            </w:r>
          </w:p>
        </w:tc>
        <w:tc>
          <w:tcPr>
            <w:tcW w:w="8175" w:type="dxa"/>
            <w:tcBorders>
              <w:top w:val="single" w:color="auto" w:sz="4" w:space="0"/>
              <w:left w:val="single" w:color="auto" w:sz="4" w:space="0"/>
              <w:bottom w:val="single" w:color="auto" w:sz="4" w:space="0"/>
              <w:right w:val="single" w:color="auto" w:sz="4" w:space="0"/>
            </w:tcBorders>
            <w:vAlign w:val="center"/>
          </w:tcPr>
          <w:p w14:paraId="726E86D7">
            <w:pPr>
              <w:pStyle w:val="31"/>
              <w:spacing w:before="0" w:after="0" w:line="360" w:lineRule="auto"/>
              <w:rPr>
                <w:rFonts w:hint="eastAsia" w:ascii="宋体" w:hAnsi="宋体" w:eastAsia="宋体" w:cs="宋体"/>
                <w:color w:val="auto"/>
                <w:w w:val="100"/>
                <w:highlight w:val="none"/>
              </w:rPr>
            </w:pPr>
            <w:r>
              <w:rPr>
                <w:rFonts w:hint="eastAsia" w:ascii="宋体" w:hAnsi="宋体" w:eastAsia="宋体" w:cs="宋体"/>
                <w:color w:val="auto"/>
                <w:w w:val="100"/>
                <w:highlight w:val="none"/>
              </w:rPr>
              <w:t>1.采购代理费支付方式：</w:t>
            </w:r>
          </w:p>
          <w:p w14:paraId="294FF038">
            <w:pPr>
              <w:pStyle w:val="31"/>
              <w:spacing w:before="0" w:after="0" w:line="360" w:lineRule="auto"/>
              <w:rPr>
                <w:rFonts w:hint="eastAsia" w:ascii="宋体" w:hAnsi="宋体" w:eastAsia="宋体" w:cs="宋体"/>
                <w:color w:val="auto"/>
                <w:w w:val="100"/>
                <w:highlight w:val="none"/>
              </w:rPr>
            </w:pPr>
            <w:r>
              <w:rPr>
                <w:rFonts w:hint="eastAsia" w:ascii="宋体" w:hAnsi="宋体" w:eastAsia="宋体" w:cs="宋体"/>
                <w:color w:val="auto"/>
                <w:w w:val="100"/>
                <w:highlight w:val="none"/>
              </w:rPr>
              <w:t>√本项目代理服务费由中标人在领取中标通知书前，一次性向采购代理机构支付。</w:t>
            </w:r>
          </w:p>
          <w:p w14:paraId="6C44DB14">
            <w:pPr>
              <w:pStyle w:val="31"/>
              <w:spacing w:before="0" w:after="0" w:line="360" w:lineRule="auto"/>
              <w:rPr>
                <w:rFonts w:hint="eastAsia" w:ascii="宋体" w:hAnsi="宋体" w:eastAsia="宋体" w:cs="宋体"/>
                <w:color w:val="auto"/>
                <w:w w:val="100"/>
                <w:highlight w:val="none"/>
              </w:rPr>
            </w:pPr>
            <w:r>
              <w:rPr>
                <w:rFonts w:hint="eastAsia" w:ascii="宋体" w:hAnsi="宋体" w:eastAsia="宋体" w:cs="宋体"/>
                <w:color w:val="auto"/>
                <w:w w:val="100"/>
                <w:highlight w:val="none"/>
              </w:rPr>
              <w:t>□采购人支付。</w:t>
            </w:r>
          </w:p>
          <w:p w14:paraId="721F4493">
            <w:pPr>
              <w:pStyle w:val="31"/>
              <w:spacing w:before="0" w:after="0" w:line="360" w:lineRule="auto"/>
              <w:rPr>
                <w:rFonts w:hint="eastAsia" w:ascii="宋体" w:hAnsi="宋体" w:eastAsia="宋体" w:cs="宋体"/>
                <w:color w:val="auto"/>
                <w:w w:val="100"/>
                <w:highlight w:val="none"/>
              </w:rPr>
            </w:pPr>
            <w:r>
              <w:rPr>
                <w:rFonts w:hint="eastAsia" w:ascii="宋体" w:hAnsi="宋体" w:eastAsia="宋体" w:cs="宋体"/>
                <w:color w:val="auto"/>
                <w:w w:val="100"/>
                <w:highlight w:val="none"/>
              </w:rPr>
              <w:t>2.采购代理费收取标准：</w:t>
            </w:r>
          </w:p>
          <w:p w14:paraId="6EE54B75">
            <w:pPr>
              <w:pStyle w:val="31"/>
              <w:spacing w:before="0" w:after="0" w:line="360" w:lineRule="auto"/>
              <w:rPr>
                <w:rFonts w:hint="eastAsia" w:ascii="宋体" w:hAnsi="宋体" w:eastAsia="宋体" w:cs="宋体"/>
                <w:color w:val="auto"/>
                <w:w w:val="100"/>
                <w:highlight w:val="none"/>
              </w:rPr>
            </w:pPr>
            <w:bookmarkStart w:id="70" w:name="OLE_LINK17"/>
            <w:r>
              <w:rPr>
                <w:rFonts w:hint="eastAsia" w:ascii="宋体" w:hAnsi="宋体" w:eastAsia="宋体" w:cs="宋体"/>
                <w:color w:val="auto"/>
                <w:w w:val="100"/>
                <w:highlight w:val="none"/>
              </w:rPr>
              <w:t>√</w:t>
            </w:r>
            <w:bookmarkEnd w:id="70"/>
            <w:r>
              <w:rPr>
                <w:rFonts w:hint="eastAsia" w:ascii="宋体" w:hAnsi="宋体" w:eastAsia="宋体" w:cs="宋体"/>
                <w:color w:val="auto"/>
                <w:w w:val="100"/>
                <w:highlight w:val="none"/>
              </w:rPr>
              <w:t>以分标</w:t>
            </w:r>
            <w:r>
              <w:rPr>
                <w:rFonts w:hint="eastAsia" w:ascii="宋体" w:hAnsi="宋体" w:eastAsia="宋体" w:cs="宋体"/>
                <w:color w:val="auto"/>
                <w:w w:val="100"/>
                <w:kern w:val="2"/>
                <w:highlight w:val="none"/>
              </w:rPr>
              <w:t>（</w:t>
            </w:r>
            <w:r>
              <w:rPr>
                <w:rFonts w:hint="eastAsia" w:ascii="宋体" w:hAnsi="宋体" w:eastAsia="宋体" w:cs="宋体"/>
                <w:color w:val="auto"/>
                <w:w w:val="100"/>
                <w:kern w:val="2"/>
                <w:highlight w:val="none"/>
                <w:lang w:eastAsia="zh-CN"/>
              </w:rPr>
              <w:t>□</w:t>
            </w:r>
            <w:r>
              <w:rPr>
                <w:rFonts w:hint="eastAsia" w:ascii="宋体" w:hAnsi="宋体" w:eastAsia="宋体" w:cs="宋体"/>
                <w:color w:val="auto"/>
                <w:w w:val="100"/>
                <w:kern w:val="2"/>
                <w:highlight w:val="none"/>
              </w:rPr>
              <w:t>中标金额/</w:t>
            </w:r>
            <w:r>
              <w:rPr>
                <w:rFonts w:hint="eastAsia" w:ascii="宋体" w:hAnsi="宋体" w:eastAsia="宋体" w:cs="宋体"/>
                <w:color w:val="auto"/>
                <w:w w:val="100"/>
                <w:highlight w:val="none"/>
              </w:rPr>
              <w:t>√采购预算/□</w:t>
            </w:r>
            <w:r>
              <w:rPr>
                <w:rFonts w:hint="eastAsia" w:ascii="宋体" w:hAnsi="宋体" w:eastAsia="宋体" w:cs="宋体"/>
                <w:color w:val="auto"/>
                <w:w w:val="100"/>
                <w:highlight w:val="none"/>
              </w:rPr>
              <w:t>暂定中标金额/□其他）为计费额，按本须知正文第39.2条规定的收费计算标准（□货物招标/√服务招标/□工程招标）采用差额定率累进法计算出收费基准价格收取。</w:t>
            </w:r>
          </w:p>
          <w:p w14:paraId="2F1D0023">
            <w:pPr>
              <w:pStyle w:val="31"/>
              <w:spacing w:before="0" w:after="0" w:line="360" w:lineRule="auto"/>
              <w:rPr>
                <w:rFonts w:hint="eastAsia" w:ascii="宋体" w:hAnsi="宋体" w:eastAsia="宋体" w:cs="宋体"/>
                <w:color w:val="auto"/>
                <w:w w:val="100"/>
                <w:highlight w:val="none"/>
              </w:rPr>
            </w:pPr>
            <w:r>
              <w:rPr>
                <w:rFonts w:hint="eastAsia" w:ascii="宋体" w:hAnsi="宋体" w:eastAsia="宋体" w:cs="宋体"/>
                <w:color w:val="auto"/>
                <w:w w:val="100"/>
                <w:highlight w:val="none"/>
              </w:rPr>
              <w:t>□固定采购代理收费：</w:t>
            </w:r>
          </w:p>
          <w:p w14:paraId="20AD4CA3">
            <w:pPr>
              <w:pStyle w:val="31"/>
              <w:numPr>
                <w:ilvl w:val="0"/>
                <w:numId w:val="24"/>
              </w:numPr>
              <w:spacing w:before="0" w:after="0" w:line="360" w:lineRule="auto"/>
              <w:rPr>
                <w:rFonts w:hint="eastAsia" w:ascii="宋体" w:hAnsi="宋体" w:eastAsia="宋体" w:cs="宋体"/>
                <w:color w:val="auto"/>
                <w:kern w:val="0"/>
                <w:szCs w:val="21"/>
                <w:highlight w:val="none"/>
              </w:rPr>
            </w:pPr>
            <w:r>
              <w:rPr>
                <w:rFonts w:hint="eastAsia" w:ascii="宋体" w:hAnsi="宋体" w:eastAsia="宋体" w:cs="宋体"/>
                <w:color w:val="auto"/>
                <w:w w:val="100"/>
                <w:highlight w:val="none"/>
                <w:lang w:eastAsia="zh-CN"/>
              </w:rPr>
              <w:t>账户信息：</w:t>
            </w:r>
            <w:r>
              <w:rPr>
                <w:rFonts w:hint="eastAsia" w:ascii="宋体" w:hAnsi="宋体" w:eastAsia="宋体" w:cs="宋体"/>
                <w:color w:val="auto"/>
                <w:kern w:val="0"/>
                <w:szCs w:val="21"/>
                <w:highlight w:val="none"/>
              </w:rPr>
              <w:t xml:space="preserve"> </w:t>
            </w:r>
          </w:p>
          <w:p w14:paraId="3438EAD4">
            <w:pPr>
              <w:pStyle w:val="31"/>
              <w:numPr>
                <w:ilvl w:val="0"/>
                <w:numId w:val="0"/>
              </w:numPr>
              <w:spacing w:before="0" w:after="0" w:line="360" w:lineRule="auto"/>
              <w:rPr>
                <w:rFonts w:hint="eastAsia" w:ascii="宋体" w:hAnsi="宋体" w:eastAsia="宋体" w:cs="宋体"/>
                <w:color w:val="auto"/>
                <w:kern w:val="0"/>
                <w:szCs w:val="21"/>
                <w:highlight w:val="none"/>
              </w:rPr>
            </w:pPr>
            <w:r>
              <w:rPr>
                <w:rFonts w:hint="eastAsia" w:ascii="宋体" w:hAnsi="宋体" w:eastAsia="宋体" w:cs="宋体"/>
                <w:color w:val="auto"/>
                <w:w w:val="100"/>
                <w:highlight w:val="none"/>
                <w:lang w:eastAsia="zh-CN"/>
              </w:rPr>
              <w:t>账户名称：广西泓贯项目咨询管理有限公司</w:t>
            </w:r>
          </w:p>
          <w:p w14:paraId="60D80F16">
            <w:pPr>
              <w:pStyle w:val="31"/>
              <w:spacing w:before="0" w:after="0" w:line="360" w:lineRule="auto"/>
              <w:rPr>
                <w:rFonts w:hint="eastAsia" w:ascii="宋体" w:hAnsi="宋体" w:eastAsia="宋体" w:cs="宋体"/>
                <w:color w:val="auto"/>
                <w:w w:val="100"/>
                <w:highlight w:val="none"/>
              </w:rPr>
            </w:pPr>
            <w:r>
              <w:rPr>
                <w:rFonts w:hint="eastAsia" w:ascii="宋体" w:hAnsi="宋体" w:eastAsia="宋体" w:cs="宋体"/>
                <w:color w:val="auto"/>
                <w:w w:val="100"/>
                <w:highlight w:val="none"/>
              </w:rPr>
              <w:t>开户银行：</w:t>
            </w:r>
            <w:r>
              <w:rPr>
                <w:rFonts w:hint="eastAsia" w:ascii="宋体" w:hAnsi="宋体" w:eastAsia="宋体" w:cs="宋体"/>
                <w:color w:val="auto"/>
                <w:w w:val="100"/>
                <w:highlight w:val="none"/>
                <w:lang w:eastAsia="zh-CN"/>
              </w:rPr>
              <w:t>招商银行股份有限公司南宁五一路支行</w:t>
            </w:r>
          </w:p>
          <w:p w14:paraId="663E923D">
            <w:pPr>
              <w:pStyle w:val="31"/>
              <w:spacing w:before="0" w:after="0" w:line="360" w:lineRule="auto"/>
              <w:rPr>
                <w:rFonts w:hint="eastAsia" w:ascii="宋体" w:hAnsi="宋体" w:eastAsia="宋体" w:cs="宋体"/>
                <w:color w:val="auto"/>
                <w:highlight w:val="none"/>
              </w:rPr>
            </w:pPr>
            <w:r>
              <w:rPr>
                <w:rFonts w:hint="eastAsia" w:ascii="宋体" w:hAnsi="宋体" w:eastAsia="宋体" w:cs="宋体"/>
                <w:color w:val="auto"/>
                <w:w w:val="100"/>
                <w:highlight w:val="none"/>
              </w:rPr>
              <w:t>银行账号：</w:t>
            </w:r>
            <w:r>
              <w:rPr>
                <w:rFonts w:hint="eastAsia" w:ascii="宋体" w:hAnsi="宋体" w:eastAsia="宋体" w:cs="宋体"/>
                <w:color w:val="auto"/>
                <w:w w:val="100"/>
                <w:highlight w:val="none"/>
                <w:lang w:eastAsia="zh-CN"/>
              </w:rPr>
              <w:t>771903556710001</w:t>
            </w:r>
          </w:p>
        </w:tc>
      </w:tr>
      <w:tr w14:paraId="4245A9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78" w:type="dxa"/>
            <w:tcBorders>
              <w:top w:val="single" w:color="auto" w:sz="4" w:space="0"/>
              <w:left w:val="single" w:color="auto" w:sz="4" w:space="0"/>
              <w:bottom w:val="single" w:color="auto" w:sz="4" w:space="0"/>
              <w:right w:val="single" w:color="auto" w:sz="4" w:space="0"/>
            </w:tcBorders>
            <w:vAlign w:val="center"/>
          </w:tcPr>
          <w:p w14:paraId="191C8B3E">
            <w:pPr>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23</w:t>
            </w:r>
          </w:p>
        </w:tc>
        <w:tc>
          <w:tcPr>
            <w:tcW w:w="8175" w:type="dxa"/>
            <w:tcBorders>
              <w:top w:val="single" w:color="auto" w:sz="4" w:space="0"/>
              <w:left w:val="single" w:color="auto" w:sz="4" w:space="0"/>
              <w:bottom w:val="single" w:color="auto" w:sz="4" w:space="0"/>
              <w:right w:val="single" w:color="auto" w:sz="4" w:space="0"/>
            </w:tcBorders>
            <w:vAlign w:val="center"/>
          </w:tcPr>
          <w:p w14:paraId="6C15720B">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解释：构成本招标文件的各个组成文件应互为解释，互为说明；除招标文件中有特别规定外，仅适用于招标投标阶段的规定，按更正公告（澄清公告）、招标公告、采购需求、投标人须知、评标方法及评标标准、拟签订的合同文本、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由采购人或者采购代理机构负责解释。</w:t>
            </w:r>
          </w:p>
        </w:tc>
      </w:tr>
      <w:tr w14:paraId="6D34B6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78" w:type="dxa"/>
            <w:tcBorders>
              <w:top w:val="single" w:color="auto" w:sz="4" w:space="0"/>
              <w:left w:val="single" w:color="auto" w:sz="4" w:space="0"/>
              <w:bottom w:val="single" w:color="auto" w:sz="4" w:space="0"/>
              <w:right w:val="single" w:color="auto" w:sz="4" w:space="0"/>
            </w:tcBorders>
            <w:vAlign w:val="center"/>
          </w:tcPr>
          <w:p w14:paraId="01344A51">
            <w:pPr>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24</w:t>
            </w:r>
          </w:p>
        </w:tc>
        <w:tc>
          <w:tcPr>
            <w:tcW w:w="8175" w:type="dxa"/>
            <w:tcBorders>
              <w:top w:val="single" w:color="auto" w:sz="4" w:space="0"/>
              <w:left w:val="single" w:color="auto" w:sz="4" w:space="0"/>
              <w:bottom w:val="single" w:color="auto" w:sz="4" w:space="0"/>
              <w:right w:val="single" w:color="auto" w:sz="4" w:space="0"/>
            </w:tcBorders>
            <w:vAlign w:val="center"/>
          </w:tcPr>
          <w:p w14:paraId="0D1E7917">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本招标文件中描述投标人的“公章”是指根据我国对公章的管理规定，用投标人法定主体行为名称制作的印章，除本招标文件有特殊规定外，投标人的财务章、部门章、分公司章、工会章、合同章、投标专用章、业务专用章及银行的转账章、现金收讫章、现金付讫章等其他形式印章均不能代替公章。</w:t>
            </w:r>
          </w:p>
          <w:p w14:paraId="06A3898E">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本招标文件所称的“电子签章”、“电子签名”，是指经“广西政府采购云平台”认可的CA认证的电子签名数据为表现形式的印章，可用于签署电子投标文件，电子印章与实物印章具有同等法律效力，不因其采用电子化表现形式而否定其法律效力。</w:t>
            </w:r>
          </w:p>
          <w:p w14:paraId="1AC7B4FF">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bookmarkStart w:id="71" w:name="OLE_LINK2"/>
            <w:r>
              <w:rPr>
                <w:rFonts w:hint="eastAsia" w:ascii="宋体" w:hAnsi="宋体" w:eastAsia="宋体" w:cs="宋体"/>
                <w:color w:val="auto"/>
                <w:szCs w:val="21"/>
                <w:highlight w:val="none"/>
              </w:rPr>
              <w:t>投标人为其他组织或者自然人时，本招标文件规定的法定代表人指负责人或者自然人。本招标文件所称负责人是指参加投标的其他组织营业执照或者执业许可证等证照上的负责人，本招标文件所称自然人指参与投标的自然人本人，且应具备独立承担民事责任能力，自然人应当为年满18岁以上成年人（十六周岁以上的未成年人，以自己的劳动收入为主要生活来源的，视为完全民事行为能力人）</w:t>
            </w:r>
            <w:bookmarkEnd w:id="71"/>
            <w:r>
              <w:rPr>
                <w:rFonts w:hint="eastAsia" w:ascii="宋体" w:hAnsi="宋体" w:eastAsia="宋体" w:cs="宋体"/>
                <w:color w:val="auto"/>
                <w:szCs w:val="21"/>
                <w:highlight w:val="none"/>
              </w:rPr>
              <w:t>。</w:t>
            </w:r>
          </w:p>
          <w:p w14:paraId="258A5E99">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4.本招标文件中描述投标人的“签字”是指投标人的法定代表人或者委托代理人亲自在文件规定签字处亲笔写上个人的名字的行为，私章、签字章、印鉴、影印等其他形式均不能代替亲笔签字。</w:t>
            </w:r>
          </w:p>
        </w:tc>
      </w:tr>
      <w:tr w14:paraId="44B740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0" w:hRule="atLeast"/>
          <w:jc w:val="center"/>
        </w:trPr>
        <w:tc>
          <w:tcPr>
            <w:tcW w:w="978" w:type="dxa"/>
            <w:tcBorders>
              <w:top w:val="single" w:color="auto" w:sz="4" w:space="0"/>
              <w:left w:val="single" w:color="auto" w:sz="4" w:space="0"/>
              <w:bottom w:val="single" w:color="auto" w:sz="4" w:space="0"/>
              <w:right w:val="single" w:color="auto" w:sz="4" w:space="0"/>
            </w:tcBorders>
            <w:vAlign w:val="center"/>
          </w:tcPr>
          <w:p w14:paraId="08B279DE">
            <w:pPr>
              <w:keepNext w:val="0"/>
              <w:keepLines w:val="0"/>
              <w:pageBreakBefore w:val="0"/>
              <w:widowControl w:val="0"/>
              <w:kinsoku/>
              <w:wordWrap/>
              <w:overflowPunct/>
              <w:topLinePunct w:val="0"/>
              <w:bidi w:val="0"/>
              <w:adjustRightInd/>
              <w:spacing w:line="400" w:lineRule="exact"/>
              <w:ind w:left="0" w:leftChars="0"/>
              <w:jc w:val="center"/>
              <w:rPr>
                <w:rFonts w:hint="eastAsia" w:ascii="宋体" w:hAnsi="宋体" w:eastAsia="宋体" w:cs="宋体"/>
                <w:color w:val="auto"/>
                <w:szCs w:val="21"/>
                <w:highlight w:val="none"/>
              </w:rPr>
            </w:pPr>
            <w:r>
              <w:rPr>
                <w:rFonts w:hint="eastAsia" w:ascii="宋体" w:hAnsi="宋体" w:eastAsia="宋体" w:cs="宋体"/>
                <w:b/>
                <w:bCs/>
                <w:color w:val="auto"/>
                <w:sz w:val="21"/>
                <w:szCs w:val="21"/>
                <w:highlight w:val="none"/>
                <w:lang w:val="en-US" w:eastAsia="zh-CN"/>
              </w:rPr>
              <w:t>特别说明</w:t>
            </w:r>
          </w:p>
        </w:tc>
        <w:tc>
          <w:tcPr>
            <w:tcW w:w="8175" w:type="dxa"/>
            <w:tcBorders>
              <w:top w:val="single" w:color="auto" w:sz="4" w:space="0"/>
              <w:left w:val="single" w:color="auto" w:sz="4" w:space="0"/>
              <w:bottom w:val="single" w:color="auto" w:sz="4" w:space="0"/>
              <w:right w:val="single" w:color="auto" w:sz="4" w:space="0"/>
            </w:tcBorders>
            <w:vAlign w:val="center"/>
          </w:tcPr>
          <w:p w14:paraId="57C1CAC7">
            <w:pPr>
              <w:pStyle w:val="31"/>
              <w:keepNext w:val="0"/>
              <w:keepLines w:val="0"/>
              <w:pageBreakBefore w:val="0"/>
              <w:widowControl w:val="0"/>
              <w:kinsoku/>
              <w:wordWrap/>
              <w:overflowPunct/>
              <w:topLinePunct w:val="0"/>
              <w:bidi w:val="0"/>
              <w:adjustRightInd/>
              <w:snapToGrid w:val="0"/>
              <w:spacing w:line="400" w:lineRule="exact"/>
              <w:ind w:left="0" w:leftChars="0"/>
              <w:rPr>
                <w:rFonts w:hint="eastAsia" w:ascii="宋体" w:hAnsi="宋体" w:eastAsia="宋体" w:cs="宋体"/>
                <w:color w:val="auto"/>
                <w:szCs w:val="21"/>
                <w:highlight w:val="none"/>
              </w:rPr>
            </w:pPr>
            <w:r>
              <w:rPr>
                <w:rFonts w:hint="eastAsia" w:ascii="宋体" w:hAnsi="宋体" w:eastAsia="宋体" w:cs="宋体"/>
                <w:b/>
                <w:bCs/>
                <w:color w:val="auto"/>
                <w:sz w:val="21"/>
                <w:szCs w:val="21"/>
                <w:highlight w:val="none"/>
              </w:rPr>
              <w:t>因项目存档需要，</w:t>
            </w:r>
            <w:r>
              <w:rPr>
                <w:rFonts w:hint="eastAsia" w:ascii="宋体" w:hAnsi="宋体" w:eastAsia="宋体" w:cs="宋体"/>
                <w:b/>
                <w:bCs/>
                <w:color w:val="auto"/>
                <w:sz w:val="21"/>
                <w:szCs w:val="21"/>
                <w:highlight w:val="none"/>
                <w:lang w:val="en-US" w:eastAsia="zh-CN"/>
              </w:rPr>
              <w:t>中标供应商</w:t>
            </w:r>
            <w:r>
              <w:rPr>
                <w:rFonts w:hint="eastAsia" w:ascii="宋体" w:hAnsi="宋体" w:eastAsia="宋体" w:cs="宋体"/>
                <w:b/>
                <w:bCs/>
                <w:color w:val="auto"/>
                <w:sz w:val="21"/>
                <w:szCs w:val="21"/>
                <w:highlight w:val="none"/>
              </w:rPr>
              <w:t>须按以下要求提供纸质</w:t>
            </w:r>
            <w:r>
              <w:rPr>
                <w:rFonts w:hint="eastAsia" w:ascii="宋体" w:hAnsi="宋体" w:eastAsia="宋体" w:cs="宋体"/>
                <w:b/>
                <w:bCs/>
                <w:color w:val="auto"/>
                <w:sz w:val="21"/>
                <w:szCs w:val="21"/>
                <w:highlight w:val="none"/>
                <w:lang w:val="en-US" w:eastAsia="zh-CN"/>
              </w:rPr>
              <w:t>版投标</w:t>
            </w:r>
            <w:r>
              <w:rPr>
                <w:rFonts w:hint="eastAsia" w:ascii="宋体" w:hAnsi="宋体" w:eastAsia="宋体" w:cs="宋体"/>
                <w:b/>
                <w:bCs/>
                <w:color w:val="auto"/>
                <w:sz w:val="21"/>
                <w:szCs w:val="21"/>
                <w:highlight w:val="none"/>
              </w:rPr>
              <w:t>文件</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在</w:t>
            </w:r>
            <w:r>
              <w:rPr>
                <w:rFonts w:hint="eastAsia" w:ascii="宋体" w:hAnsi="宋体" w:eastAsia="宋体" w:cs="宋体"/>
                <w:b/>
                <w:bCs/>
                <w:color w:val="auto"/>
                <w:sz w:val="21"/>
                <w:szCs w:val="21"/>
                <w:highlight w:val="none"/>
                <w:lang w:val="en-US" w:eastAsia="zh-CN"/>
              </w:rPr>
              <w:t>中标</w:t>
            </w:r>
            <w:r>
              <w:rPr>
                <w:rFonts w:hint="eastAsia" w:ascii="宋体" w:hAnsi="宋体" w:eastAsia="宋体" w:cs="宋体"/>
                <w:b/>
                <w:bCs/>
                <w:color w:val="auto"/>
                <w:sz w:val="21"/>
                <w:szCs w:val="21"/>
                <w:highlight w:val="none"/>
              </w:rPr>
              <w:t>通知书发出后5天内须提交</w:t>
            </w:r>
            <w:r>
              <w:rPr>
                <w:rFonts w:hint="eastAsia" w:ascii="宋体" w:hAnsi="宋体" w:eastAsia="宋体" w:cs="宋体"/>
                <w:b/>
                <w:bCs/>
                <w:color w:val="auto"/>
                <w:sz w:val="21"/>
                <w:szCs w:val="21"/>
                <w:highlight w:val="none"/>
                <w:lang w:val="en-US" w:eastAsia="zh-CN"/>
              </w:rPr>
              <w:t>2</w:t>
            </w:r>
            <w:r>
              <w:rPr>
                <w:rFonts w:hint="eastAsia" w:ascii="宋体" w:hAnsi="宋体" w:eastAsia="宋体" w:cs="宋体"/>
                <w:b/>
                <w:bCs/>
                <w:color w:val="auto"/>
                <w:sz w:val="21"/>
                <w:szCs w:val="21"/>
                <w:highlight w:val="none"/>
              </w:rPr>
              <w:t>套纸质版</w:t>
            </w:r>
            <w:r>
              <w:rPr>
                <w:rFonts w:hint="eastAsia" w:ascii="宋体" w:hAnsi="宋体" w:eastAsia="宋体" w:cs="宋体"/>
                <w:b/>
                <w:bCs/>
                <w:color w:val="auto"/>
                <w:sz w:val="21"/>
                <w:szCs w:val="21"/>
                <w:highlight w:val="none"/>
                <w:lang w:val="en-US" w:eastAsia="zh-CN"/>
              </w:rPr>
              <w:t>投标</w:t>
            </w:r>
            <w:r>
              <w:rPr>
                <w:rFonts w:hint="eastAsia" w:ascii="宋体" w:hAnsi="宋体" w:eastAsia="宋体" w:cs="宋体"/>
                <w:b/>
                <w:bCs/>
                <w:color w:val="auto"/>
                <w:sz w:val="21"/>
                <w:szCs w:val="21"/>
                <w:highlight w:val="none"/>
              </w:rPr>
              <w:t>文件(含资格证明文件、报价文件、商务技术文件)给采购代理机构。提交的纸质版</w:t>
            </w:r>
            <w:r>
              <w:rPr>
                <w:rFonts w:hint="eastAsia" w:ascii="宋体" w:hAnsi="宋体" w:eastAsia="宋体" w:cs="宋体"/>
                <w:b/>
                <w:bCs/>
                <w:color w:val="auto"/>
                <w:sz w:val="21"/>
                <w:szCs w:val="21"/>
                <w:highlight w:val="none"/>
                <w:lang w:val="en-US" w:eastAsia="zh-CN"/>
              </w:rPr>
              <w:t>投标</w:t>
            </w:r>
            <w:r>
              <w:rPr>
                <w:rFonts w:hint="eastAsia" w:ascii="宋体" w:hAnsi="宋体" w:eastAsia="宋体" w:cs="宋体"/>
                <w:b/>
                <w:bCs/>
                <w:color w:val="auto"/>
                <w:sz w:val="21"/>
                <w:szCs w:val="21"/>
                <w:highlight w:val="none"/>
              </w:rPr>
              <w:t>文件必须与上传广西政府采购云平台的电子</w:t>
            </w:r>
            <w:r>
              <w:rPr>
                <w:rFonts w:hint="eastAsia" w:ascii="宋体" w:hAnsi="宋体" w:eastAsia="宋体" w:cs="宋体"/>
                <w:b/>
                <w:bCs/>
                <w:color w:val="auto"/>
                <w:sz w:val="21"/>
                <w:szCs w:val="21"/>
                <w:highlight w:val="none"/>
                <w:lang w:val="en-US" w:eastAsia="zh-CN"/>
              </w:rPr>
              <w:t>投标</w:t>
            </w:r>
            <w:r>
              <w:rPr>
                <w:rFonts w:hint="eastAsia" w:ascii="宋体" w:hAnsi="宋体" w:eastAsia="宋体" w:cs="宋体"/>
                <w:b/>
                <w:bCs/>
                <w:color w:val="auto"/>
                <w:sz w:val="21"/>
                <w:szCs w:val="21"/>
                <w:highlight w:val="none"/>
              </w:rPr>
              <w:t>文件内容一致</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为</w:t>
            </w:r>
            <w:r>
              <w:rPr>
                <w:rFonts w:hint="eastAsia" w:ascii="宋体" w:hAnsi="宋体" w:eastAsia="宋体" w:cs="宋体"/>
                <w:b/>
                <w:bCs/>
                <w:color w:val="auto"/>
                <w:sz w:val="21"/>
                <w:szCs w:val="21"/>
                <w:highlight w:val="none"/>
              </w:rPr>
              <w:t>广西政府采购云平台</w:t>
            </w:r>
            <w:r>
              <w:rPr>
                <w:rFonts w:hint="eastAsia" w:ascii="宋体" w:hAnsi="宋体" w:eastAsia="宋体" w:cs="宋体"/>
                <w:b/>
                <w:bCs/>
                <w:color w:val="auto"/>
                <w:sz w:val="21"/>
                <w:szCs w:val="21"/>
                <w:highlight w:val="none"/>
                <w:lang w:val="en-US" w:eastAsia="zh-CN"/>
              </w:rPr>
              <w:t>下载的盖章版本</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，不允许有改</w:t>
            </w:r>
            <w:r>
              <w:rPr>
                <w:rFonts w:hint="eastAsia" w:ascii="宋体" w:hAnsi="宋体" w:eastAsia="宋体" w:cs="宋体"/>
                <w:b/>
                <w:bCs/>
                <w:color w:val="auto"/>
                <w:sz w:val="21"/>
                <w:szCs w:val="21"/>
                <w:highlight w:val="none"/>
                <w:lang w:val="en-US" w:eastAsia="zh-CN"/>
              </w:rPr>
              <w:t>动</w:t>
            </w:r>
            <w:r>
              <w:rPr>
                <w:rFonts w:hint="eastAsia" w:ascii="宋体" w:hAnsi="宋体" w:eastAsia="宋体" w:cs="宋体"/>
                <w:b/>
                <w:bCs/>
                <w:color w:val="auto"/>
                <w:sz w:val="21"/>
                <w:szCs w:val="21"/>
                <w:highlight w:val="none"/>
              </w:rPr>
              <w:t>。如项目验收时因所提供的纸质</w:t>
            </w:r>
            <w:r>
              <w:rPr>
                <w:rFonts w:hint="eastAsia" w:ascii="宋体" w:hAnsi="宋体" w:eastAsia="宋体" w:cs="宋体"/>
                <w:b/>
                <w:bCs/>
                <w:color w:val="auto"/>
                <w:sz w:val="21"/>
                <w:szCs w:val="21"/>
                <w:highlight w:val="none"/>
                <w:lang w:val="en-US" w:eastAsia="zh-CN"/>
              </w:rPr>
              <w:t>投标</w:t>
            </w:r>
            <w:r>
              <w:rPr>
                <w:rFonts w:hint="eastAsia" w:ascii="宋体" w:hAnsi="宋体" w:eastAsia="宋体" w:cs="宋体"/>
                <w:b/>
                <w:bCs/>
                <w:color w:val="auto"/>
                <w:sz w:val="21"/>
                <w:szCs w:val="21"/>
                <w:highlight w:val="none"/>
              </w:rPr>
              <w:t>文件与评标的</w:t>
            </w:r>
            <w:r>
              <w:rPr>
                <w:rFonts w:hint="eastAsia" w:ascii="宋体" w:hAnsi="宋体" w:eastAsia="宋体" w:cs="宋体"/>
                <w:b/>
                <w:bCs/>
                <w:color w:val="auto"/>
                <w:sz w:val="21"/>
                <w:szCs w:val="21"/>
                <w:highlight w:val="none"/>
                <w:lang w:val="en-US" w:eastAsia="zh-CN"/>
              </w:rPr>
              <w:t>投标</w:t>
            </w:r>
            <w:r>
              <w:rPr>
                <w:rFonts w:hint="eastAsia" w:ascii="宋体" w:hAnsi="宋体" w:eastAsia="宋体" w:cs="宋体"/>
                <w:b/>
                <w:bCs/>
                <w:color w:val="auto"/>
                <w:sz w:val="21"/>
                <w:szCs w:val="21"/>
                <w:highlight w:val="none"/>
              </w:rPr>
              <w:t>文件不一致</w:t>
            </w:r>
            <w:r>
              <w:rPr>
                <w:rFonts w:hint="eastAsia" w:ascii="宋体" w:hAnsi="宋体" w:eastAsia="宋体" w:cs="宋体"/>
                <w:b/>
                <w:bCs/>
                <w:color w:val="auto"/>
                <w:sz w:val="21"/>
                <w:szCs w:val="21"/>
                <w:highlight w:val="none"/>
                <w:lang w:val="en-US" w:eastAsia="zh-CN"/>
              </w:rPr>
              <w:t>造</w:t>
            </w:r>
            <w:r>
              <w:rPr>
                <w:rFonts w:hint="eastAsia" w:ascii="宋体" w:hAnsi="宋体" w:eastAsia="宋体" w:cs="宋体"/>
                <w:b/>
                <w:bCs/>
                <w:color w:val="auto"/>
                <w:sz w:val="21"/>
                <w:szCs w:val="21"/>
                <w:highlight w:val="none"/>
              </w:rPr>
              <w:t>成纠纷时，所有责任由</w:t>
            </w:r>
            <w:r>
              <w:rPr>
                <w:rFonts w:hint="eastAsia" w:ascii="宋体" w:hAnsi="宋体" w:eastAsia="宋体" w:cs="宋体"/>
                <w:b/>
                <w:bCs/>
                <w:color w:val="auto"/>
                <w:sz w:val="21"/>
                <w:szCs w:val="21"/>
                <w:highlight w:val="none"/>
                <w:lang w:val="en-US" w:eastAsia="zh-CN"/>
              </w:rPr>
              <w:t>中标</w:t>
            </w:r>
            <w:r>
              <w:rPr>
                <w:rFonts w:hint="eastAsia" w:ascii="宋体" w:hAnsi="宋体" w:eastAsia="宋体" w:cs="宋体"/>
                <w:b/>
                <w:bCs/>
                <w:color w:val="auto"/>
                <w:sz w:val="21"/>
                <w:szCs w:val="21"/>
                <w:highlight w:val="none"/>
              </w:rPr>
              <w:t>人承担。</w:t>
            </w:r>
          </w:p>
        </w:tc>
      </w:tr>
    </w:tbl>
    <w:p w14:paraId="314E723F">
      <w:pPr>
        <w:snapToGrid w:val="0"/>
        <w:rPr>
          <w:rFonts w:hint="eastAsia" w:ascii="宋体" w:hAnsi="宋体" w:eastAsia="宋体" w:cs="宋体"/>
          <w:color w:val="auto"/>
          <w:sz w:val="24"/>
          <w:szCs w:val="20"/>
          <w:highlight w:val="none"/>
        </w:rPr>
      </w:pPr>
    </w:p>
    <w:p w14:paraId="2B249AE6">
      <w:pPr>
        <w:rPr>
          <w:rFonts w:hint="eastAsia" w:ascii="宋体" w:hAnsi="宋体" w:eastAsia="宋体" w:cs="宋体"/>
          <w:color w:val="auto"/>
          <w:highlight w:val="none"/>
        </w:rPr>
      </w:pPr>
    </w:p>
    <w:p w14:paraId="0A17364B">
      <w:pPr>
        <w:pStyle w:val="5"/>
        <w:keepNext w:val="0"/>
        <w:keepLines w:val="0"/>
        <w:jc w:val="center"/>
        <w:rPr>
          <w:rFonts w:hint="eastAsia" w:ascii="宋体" w:hAnsi="宋体" w:eastAsia="宋体" w:cs="宋体"/>
          <w:color w:val="auto"/>
          <w:highlight w:val="none"/>
        </w:rPr>
      </w:pPr>
      <w:r>
        <w:rPr>
          <w:rFonts w:hint="eastAsia" w:ascii="宋体" w:hAnsi="宋体" w:eastAsia="宋体" w:cs="宋体"/>
          <w:color w:val="auto"/>
          <w:highlight w:val="none"/>
        </w:rPr>
        <w:t>投标人须知正文</w:t>
      </w:r>
    </w:p>
    <w:p w14:paraId="204E33EE">
      <w:pPr>
        <w:pStyle w:val="5"/>
        <w:keepNext w:val="0"/>
        <w:keepLines w:val="0"/>
        <w:jc w:val="center"/>
        <w:rPr>
          <w:rFonts w:hint="eastAsia" w:ascii="宋体" w:hAnsi="宋体" w:eastAsia="宋体" w:cs="宋体"/>
          <w:color w:val="auto"/>
          <w:highlight w:val="none"/>
        </w:rPr>
      </w:pPr>
      <w:r>
        <w:rPr>
          <w:rFonts w:hint="eastAsia" w:ascii="宋体" w:hAnsi="宋体" w:eastAsia="宋体" w:cs="宋体"/>
          <w:color w:val="auto"/>
          <w:highlight w:val="none"/>
        </w:rPr>
        <w:t>一、总则</w:t>
      </w:r>
    </w:p>
    <w:p w14:paraId="5918A3B3">
      <w:pPr>
        <w:pStyle w:val="7"/>
        <w:keepNext w:val="0"/>
        <w:keepLines w:val="0"/>
        <w:spacing w:before="0" w:after="0" w:line="360" w:lineRule="auto"/>
        <w:ind w:left="420" w:leftChars="200"/>
        <w:rPr>
          <w:rFonts w:hint="eastAsia" w:ascii="宋体" w:hAnsi="宋体" w:eastAsia="宋体" w:cs="宋体"/>
          <w:color w:val="auto"/>
          <w:sz w:val="24"/>
          <w:highlight w:val="none"/>
        </w:rPr>
      </w:pPr>
      <w:bookmarkStart w:id="72" w:name="_Toc254970527"/>
      <w:bookmarkStart w:id="73" w:name="_Toc254970668"/>
      <w:r>
        <w:rPr>
          <w:rFonts w:hint="eastAsia" w:ascii="宋体" w:hAnsi="宋体" w:eastAsia="宋体" w:cs="宋体"/>
          <w:color w:val="auto"/>
          <w:sz w:val="24"/>
          <w:highlight w:val="none"/>
        </w:rPr>
        <w:t>1.适用范围</w:t>
      </w:r>
      <w:bookmarkEnd w:id="72"/>
      <w:bookmarkEnd w:id="73"/>
    </w:p>
    <w:p w14:paraId="1CE84391">
      <w:pPr>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1.1适用法律：本项目采购人、采购代理机构、投标人、评标委员会的相关行为均受《中华人民共和国政府采购法》、《中华人民共和国政府采购法实施条例》、《政府采购货物和服务招标投标管理办法》及本项目本级和上级财政部门政府采购有关规定的约束和保护。</w:t>
      </w:r>
    </w:p>
    <w:p w14:paraId="1227DB0B">
      <w:pPr>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1.2本招标文件</w:t>
      </w:r>
      <w:r>
        <w:rPr>
          <w:rFonts w:hint="eastAsia" w:ascii="宋体" w:hAnsi="宋体" w:eastAsia="宋体" w:cs="宋体"/>
          <w:color w:val="auto"/>
          <w:spacing w:val="-6"/>
          <w:szCs w:val="21"/>
          <w:highlight w:val="none"/>
        </w:rPr>
        <w:t>适用于本项目的所有采购程序和环节（法律、法规另有规定的，从其规定）。</w:t>
      </w:r>
    </w:p>
    <w:p w14:paraId="05094D0A">
      <w:pPr>
        <w:pStyle w:val="7"/>
        <w:keepNext w:val="0"/>
        <w:keepLines w:val="0"/>
        <w:spacing w:before="0" w:after="0" w:line="360" w:lineRule="auto"/>
        <w:ind w:left="420" w:leftChars="200"/>
        <w:rPr>
          <w:rFonts w:hint="eastAsia" w:ascii="宋体" w:hAnsi="宋体" w:eastAsia="宋体" w:cs="宋体"/>
          <w:color w:val="auto"/>
          <w:sz w:val="24"/>
          <w:highlight w:val="none"/>
        </w:rPr>
      </w:pPr>
      <w:bookmarkStart w:id="74" w:name="_Toc254970669"/>
      <w:bookmarkStart w:id="75" w:name="_Toc254970528"/>
      <w:r>
        <w:rPr>
          <w:rFonts w:hint="eastAsia" w:ascii="宋体" w:hAnsi="宋体" w:eastAsia="宋体" w:cs="宋体"/>
          <w:color w:val="auto"/>
          <w:sz w:val="24"/>
          <w:highlight w:val="none"/>
        </w:rPr>
        <w:t>2.定义</w:t>
      </w:r>
      <w:bookmarkEnd w:id="74"/>
      <w:bookmarkEnd w:id="75"/>
    </w:p>
    <w:p w14:paraId="014F39EF">
      <w:pPr>
        <w:pStyle w:val="7"/>
        <w:keepNext w:val="0"/>
        <w:keepLines w:val="0"/>
        <w:spacing w:before="0" w:after="0" w:line="360" w:lineRule="auto"/>
        <w:ind w:left="420" w:left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2.1“采购人”是指依法进行政府采购的国家机关、事业单位、团体组织。</w:t>
      </w:r>
    </w:p>
    <w:p w14:paraId="6C2BDB1E">
      <w:pPr>
        <w:pStyle w:val="7"/>
        <w:keepNext w:val="0"/>
        <w:keepLines w:val="0"/>
        <w:spacing w:before="0" w:after="0" w:line="360" w:lineRule="auto"/>
        <w:ind w:left="420" w:left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2.2“采购代理机构”是指政府采购集中采购机构和集中采购机构以外的采购代理机构。</w:t>
      </w:r>
    </w:p>
    <w:p w14:paraId="5354ABEA">
      <w:pPr>
        <w:pStyle w:val="7"/>
        <w:keepNext w:val="0"/>
        <w:keepLines w:val="0"/>
        <w:spacing w:before="0" w:after="0" w:line="360" w:lineRule="auto"/>
        <w:ind w:left="420" w:left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2.3“供应商”是指向采购人提供货物、工程或者服务的法人、其他组织或者自然人。</w:t>
      </w:r>
    </w:p>
    <w:p w14:paraId="6C96C13A">
      <w:pPr>
        <w:pStyle w:val="9"/>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2.4“投标人”是指响应招标、参加投标竞争的法人、其他组织或者自然人。</w:t>
      </w:r>
    </w:p>
    <w:p w14:paraId="58104167">
      <w:pPr>
        <w:pStyle w:val="7"/>
        <w:keepNext w:val="0"/>
        <w:keepLines w:val="0"/>
        <w:spacing w:before="0" w:after="0" w:line="360" w:lineRule="auto"/>
        <w:ind w:firstLine="420" w:firstLine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2.5“服务”是指除货物和工程以外的其他政府采购对象。</w:t>
      </w:r>
    </w:p>
    <w:p w14:paraId="619031CC">
      <w:pPr>
        <w:pStyle w:val="7"/>
        <w:keepNext w:val="0"/>
        <w:keepLines w:val="0"/>
        <w:spacing w:before="0" w:after="0" w:line="360" w:lineRule="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 xml:space="preserve">    2.6“书面形式”是指合同书、信件和数据电文（包括电报、电传、传真、电子数据交换和电子邮件）等可以有形地表现所载内容的形式。</w:t>
      </w:r>
    </w:p>
    <w:p w14:paraId="3296C260">
      <w:pPr>
        <w:pStyle w:val="7"/>
        <w:keepNext w:val="0"/>
        <w:keepLines w:val="0"/>
        <w:spacing w:before="0" w:after="0" w:line="360" w:lineRule="auto"/>
        <w:ind w:firstLine="420" w:firstLine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2.7“实质性要求”是指招标文件中已经指明不满足则投标无效的条款，或者不能负偏离的条款，或者采购需求中带“▲”的条款。</w:t>
      </w:r>
    </w:p>
    <w:p w14:paraId="3D261626">
      <w:pPr>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2.8“正偏离”，是指投标文件对招标文件“采购需求”中有关条款作出的响应优于条款要求并有利于采购人的情形。</w:t>
      </w:r>
    </w:p>
    <w:p w14:paraId="3BBE5077">
      <w:pPr>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2.9“负偏离”，是指投标文件对招标文件“采购需求”中有关条款作出的响应不满足条款要求，导致采购人要求不能得到满足的情形。</w:t>
      </w:r>
    </w:p>
    <w:p w14:paraId="417E4716">
      <w:pPr>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2.10“允许负偏离的条款”是指采购需求中的不属于“实质性要求”的条款。</w:t>
      </w:r>
      <w:bookmarkStart w:id="76" w:name="_Toc254970529"/>
      <w:bookmarkStart w:id="77" w:name="_Toc254970670"/>
    </w:p>
    <w:p w14:paraId="07909CC5">
      <w:pPr>
        <w:pStyle w:val="7"/>
        <w:keepNext w:val="0"/>
        <w:keepLines w:val="0"/>
        <w:spacing w:before="0" w:after="0" w:line="360" w:lineRule="auto"/>
        <w:ind w:left="420" w:left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bookmarkEnd w:id="76"/>
      <w:bookmarkEnd w:id="77"/>
      <w:r>
        <w:rPr>
          <w:rFonts w:hint="eastAsia" w:ascii="宋体" w:hAnsi="宋体" w:eastAsia="宋体" w:cs="宋体"/>
          <w:color w:val="auto"/>
          <w:sz w:val="24"/>
          <w:highlight w:val="none"/>
        </w:rPr>
        <w:t>投标人的资格要求</w:t>
      </w:r>
    </w:p>
    <w:p w14:paraId="7E4E2F04">
      <w:pPr>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投标人的资格要求详见“投标人须知前附表”。</w:t>
      </w:r>
    </w:p>
    <w:p w14:paraId="60233C0E">
      <w:pPr>
        <w:pStyle w:val="7"/>
        <w:keepNext w:val="0"/>
        <w:keepLines w:val="0"/>
        <w:spacing w:before="0" w:after="0" w:line="360" w:lineRule="auto"/>
        <w:ind w:left="420" w:leftChars="200"/>
        <w:rPr>
          <w:rFonts w:hint="eastAsia" w:ascii="宋体" w:hAnsi="宋体" w:eastAsia="宋体" w:cs="宋体"/>
          <w:color w:val="auto"/>
          <w:sz w:val="24"/>
          <w:highlight w:val="none"/>
        </w:rPr>
      </w:pPr>
      <w:bookmarkStart w:id="78" w:name="_Toc254970671"/>
      <w:bookmarkStart w:id="79" w:name="_Toc254970530"/>
      <w:r>
        <w:rPr>
          <w:rFonts w:hint="eastAsia" w:ascii="宋体" w:hAnsi="宋体" w:eastAsia="宋体" w:cs="宋体"/>
          <w:color w:val="auto"/>
          <w:sz w:val="24"/>
          <w:highlight w:val="none"/>
        </w:rPr>
        <w:t>4.投标委托</w:t>
      </w:r>
      <w:bookmarkEnd w:id="78"/>
      <w:bookmarkEnd w:id="79"/>
    </w:p>
    <w:p w14:paraId="096C3998">
      <w:pPr>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投标人代表参加投标活动过程中必须携带个人有效身份证件。如投标人代表不是法定代表人，须持有授权委托书（按第六章要求格式填写）。</w:t>
      </w:r>
    </w:p>
    <w:p w14:paraId="34ABCF1E">
      <w:pPr>
        <w:pStyle w:val="7"/>
        <w:keepNext w:val="0"/>
        <w:keepLines w:val="0"/>
        <w:spacing w:before="0" w:after="0" w:line="360" w:lineRule="auto"/>
        <w:ind w:left="420" w:leftChars="200"/>
        <w:rPr>
          <w:rFonts w:hint="eastAsia" w:ascii="宋体" w:hAnsi="宋体" w:eastAsia="宋体" w:cs="宋体"/>
          <w:color w:val="auto"/>
          <w:sz w:val="24"/>
          <w:highlight w:val="none"/>
        </w:rPr>
      </w:pPr>
      <w:bookmarkStart w:id="80" w:name="_5.投标费用"/>
      <w:bookmarkEnd w:id="80"/>
      <w:bookmarkStart w:id="81" w:name="_Toc254970672"/>
      <w:bookmarkStart w:id="82" w:name="_Toc254970531"/>
      <w:r>
        <w:rPr>
          <w:rFonts w:hint="eastAsia" w:ascii="宋体" w:hAnsi="宋体" w:eastAsia="宋体" w:cs="宋体"/>
          <w:color w:val="auto"/>
          <w:sz w:val="24"/>
          <w:highlight w:val="none"/>
        </w:rPr>
        <w:t>5.投标费用</w:t>
      </w:r>
      <w:bookmarkEnd w:id="81"/>
      <w:bookmarkEnd w:id="82"/>
    </w:p>
    <w:p w14:paraId="05F2ACB6">
      <w:pPr>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投标费用：投标人应承担参与本次采购活动有关的所有费用，包括但不限于获取招标文件、勘查现场、编制和提交投标文件、参加澄清说明、签订合同等，不论投标结果如何，均应自行承担。</w:t>
      </w:r>
    </w:p>
    <w:p w14:paraId="3BFDA8DA">
      <w:pPr>
        <w:pStyle w:val="7"/>
        <w:keepNext w:val="0"/>
        <w:keepLines w:val="0"/>
        <w:spacing w:before="0" w:after="0" w:line="360" w:lineRule="auto"/>
        <w:ind w:left="420" w:left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6.联合体投标</w:t>
      </w:r>
    </w:p>
    <w:p w14:paraId="57A49DA4">
      <w:pPr>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6.1本项目是否接受联合体投标，详见“投标人须知前附表”。</w:t>
      </w:r>
    </w:p>
    <w:p w14:paraId="255FF86B">
      <w:pPr>
        <w:snapToGrid w:val="0"/>
        <w:spacing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6.2如接受联合体投标，联合体投标要求详见“投标人须知前附表”。</w:t>
      </w:r>
    </w:p>
    <w:p w14:paraId="4CEAAC16">
      <w:pPr>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6.3根据《政府采购促进中小企业发展管理办法》（财库〔2020〕46号）及《</w:t>
      </w:r>
      <w:r>
        <w:rPr>
          <w:rFonts w:hint="eastAsia" w:ascii="宋体" w:hAnsi="宋体" w:eastAsia="宋体" w:cs="宋体"/>
          <w:bCs/>
          <w:i w:val="0"/>
          <w:iCs w:val="0"/>
          <w:caps w:val="0"/>
          <w:color w:val="auto"/>
          <w:spacing w:val="0"/>
          <w:sz w:val="21"/>
          <w:szCs w:val="21"/>
          <w:highlight w:val="none"/>
        </w:rPr>
        <w:t>广西壮族自治区财政厅关于持续优化政府采购营商环境推动高质量发展的通知</w:t>
      </w:r>
      <w:r>
        <w:rPr>
          <w:rFonts w:hint="eastAsia" w:ascii="宋体" w:hAnsi="宋体" w:eastAsia="宋体" w:cs="宋体"/>
          <w:bCs/>
          <w:color w:val="auto"/>
          <w:szCs w:val="21"/>
          <w:highlight w:val="none"/>
        </w:rPr>
        <w:t>》（</w:t>
      </w:r>
      <w:r>
        <w:rPr>
          <w:rFonts w:hint="eastAsia" w:ascii="宋体" w:hAnsi="宋体" w:eastAsia="宋体" w:cs="宋体"/>
          <w:bCs/>
          <w:i w:val="0"/>
          <w:iCs w:val="0"/>
          <w:caps w:val="0"/>
          <w:color w:val="auto"/>
          <w:spacing w:val="0"/>
          <w:sz w:val="21"/>
          <w:szCs w:val="21"/>
          <w:highlight w:val="none"/>
        </w:rPr>
        <w:t>桂财采〔2024〕55号</w:t>
      </w:r>
      <w:r>
        <w:rPr>
          <w:rFonts w:hint="eastAsia" w:ascii="宋体" w:hAnsi="宋体" w:eastAsia="宋体" w:cs="宋体"/>
          <w:bCs/>
          <w:color w:val="auto"/>
          <w:szCs w:val="21"/>
          <w:highlight w:val="none"/>
        </w:rPr>
        <w:t>）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4%-6%</w:t>
      </w:r>
      <w:r>
        <w:rPr>
          <w:rFonts w:hint="eastAsia" w:ascii="宋体" w:hAnsi="宋体" w:eastAsia="宋体" w:cs="宋体"/>
          <w:bCs/>
          <w:i w:val="0"/>
          <w:iCs w:val="0"/>
          <w:caps w:val="0"/>
          <w:color w:val="auto"/>
          <w:spacing w:val="0"/>
          <w:sz w:val="21"/>
          <w:szCs w:val="21"/>
          <w:highlight w:val="none"/>
        </w:rPr>
        <w:t>（工程项目为1%—2%）</w:t>
      </w:r>
      <w:r>
        <w:rPr>
          <w:rFonts w:hint="eastAsia" w:ascii="宋体" w:hAnsi="宋体" w:eastAsia="宋体" w:cs="宋体"/>
          <w:bCs/>
          <w:color w:val="auto"/>
          <w:szCs w:val="21"/>
          <w:highlight w:val="none"/>
        </w:rPr>
        <w:t>的扣除，用扣除后的价格参加评审。</w:t>
      </w:r>
    </w:p>
    <w:p w14:paraId="7E208FD8">
      <w:pPr>
        <w:pStyle w:val="7"/>
        <w:keepNext w:val="0"/>
        <w:keepLines w:val="0"/>
        <w:spacing w:before="0" w:after="0" w:line="360" w:lineRule="auto"/>
        <w:ind w:left="420" w:left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7.转包与分包             </w:t>
      </w:r>
    </w:p>
    <w:p w14:paraId="234EB02B">
      <w:pPr>
        <w:snapToGrid w:val="0"/>
        <w:spacing w:line="360" w:lineRule="auto"/>
        <w:ind w:firstLine="420" w:firstLineChars="200"/>
        <w:jc w:val="left"/>
        <w:rPr>
          <w:rFonts w:hint="eastAsia" w:ascii="宋体" w:hAnsi="宋体" w:eastAsia="宋体" w:cs="宋体"/>
          <w:bCs/>
          <w:color w:val="auto"/>
          <w:szCs w:val="21"/>
          <w:highlight w:val="none"/>
        </w:rPr>
      </w:pPr>
      <w:bookmarkStart w:id="83" w:name="_Toc254970673"/>
      <w:bookmarkStart w:id="84" w:name="_Toc254970532"/>
      <w:r>
        <w:rPr>
          <w:rFonts w:hint="eastAsia" w:ascii="宋体" w:hAnsi="宋体" w:eastAsia="宋体" w:cs="宋体"/>
          <w:bCs/>
          <w:color w:val="auto"/>
          <w:szCs w:val="21"/>
          <w:highlight w:val="none"/>
        </w:rPr>
        <w:t>7.1本项目不允许转包。</w:t>
      </w:r>
    </w:p>
    <w:p w14:paraId="04C17C6D">
      <w:pPr>
        <w:snapToGrid w:val="0"/>
        <w:spacing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7.2本项目是否允许分包详见“投标人须知前附表”，本项目不允许违法分包。允许分包的非主体、非关键性工作，根据法律法规规定承担该工作需要行政许可的，如该工作由投标人自行承担，投标人应具备相应的行政许可，如投标人不具备相应的行政许可必须采用分包的方式，但分包投标人应具备相应行政许可。</w:t>
      </w:r>
    </w:p>
    <w:p w14:paraId="66B5C471">
      <w:pPr>
        <w:snapToGrid w:val="0"/>
        <w:spacing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7.3投标人根据招标文件的规定和采购项目的实际情况，拟在中标后将中标项目的非主体、非关键性工作分包的，应当在投标文件中载明分包承担主体，分包承担主体应当具备相应资质条件且不得再次分包。</w:t>
      </w:r>
    </w:p>
    <w:p w14:paraId="7A327697">
      <w:pPr>
        <w:pStyle w:val="7"/>
        <w:keepNext w:val="0"/>
        <w:keepLines w:val="0"/>
        <w:spacing w:before="0" w:after="0" w:line="360" w:lineRule="auto"/>
        <w:ind w:left="420" w:left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8.特别说明</w:t>
      </w:r>
      <w:bookmarkEnd w:id="83"/>
      <w:bookmarkEnd w:id="84"/>
    </w:p>
    <w:p w14:paraId="46CBF995">
      <w:pPr>
        <w:snapToGrid w:val="0"/>
        <w:spacing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8.1如果本招标文件要求提供投标人或制造商的资格、信誉、荣誉、业绩与企业认证等材料的，资格、信誉、荣誉、业绩与企业认证等必须为投标人或者制造商所拥有或自身获得 。</w:t>
      </w:r>
    </w:p>
    <w:p w14:paraId="2EC872D1">
      <w:pPr>
        <w:snapToGrid w:val="0"/>
        <w:spacing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8.2投标人应仔细阅读招标文件的所有内容，按照招标文件的要求提交投标文件，并对所提供的全部资料的真实性承担法律责任。</w:t>
      </w:r>
    </w:p>
    <w:p w14:paraId="3B8F8BD5">
      <w:pPr>
        <w:snapToGrid w:val="0"/>
        <w:spacing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8.3投标人在投标活动中提供任何虚假材料，将报监管部门查处；中标后发现的，中标人须依照《中华人民共和国消费者权益保护法》规定赔偿采购人，且民事赔偿并不免除违法投标人的行政与刑事责任。</w:t>
      </w:r>
    </w:p>
    <w:p w14:paraId="10233FB3">
      <w:pPr>
        <w:pStyle w:val="7"/>
        <w:keepNext w:val="0"/>
        <w:keepLines w:val="0"/>
        <w:spacing w:before="0" w:after="0" w:line="360" w:lineRule="auto"/>
        <w:ind w:left="420" w:left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9.回避与串通投标</w:t>
      </w:r>
    </w:p>
    <w:p w14:paraId="403CF612">
      <w:pPr>
        <w:snapToGrid w:val="0"/>
        <w:spacing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9.1在政府采购活动中，采购人员及相关人员与供应商有下列利害关系之一的，应当回避：</w:t>
      </w:r>
    </w:p>
    <w:p w14:paraId="73FABF42">
      <w:pPr>
        <w:snapToGrid w:val="0"/>
        <w:spacing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（1）参加采购活动前3年内与供应商存在劳动关系；</w:t>
      </w:r>
    </w:p>
    <w:p w14:paraId="4E7A64C0">
      <w:pPr>
        <w:snapToGrid w:val="0"/>
        <w:spacing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（2）参加采购活动前3年内担任供应商的董事、监事；</w:t>
      </w:r>
    </w:p>
    <w:p w14:paraId="1EF75A6B">
      <w:pPr>
        <w:snapToGrid w:val="0"/>
        <w:spacing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（3）参加采购活动前3年内是供应商的控股股东或者实际控制人；</w:t>
      </w:r>
    </w:p>
    <w:p w14:paraId="74E0FDE9">
      <w:pPr>
        <w:snapToGrid w:val="0"/>
        <w:spacing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（4）与供应商的法定代表人或者负责人有夫妻、直系血亲、三代以内旁系血亲或者近姻亲关系；</w:t>
      </w:r>
    </w:p>
    <w:p w14:paraId="0EE0D9F2">
      <w:pPr>
        <w:snapToGrid w:val="0"/>
        <w:spacing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（5）与供应商有其他可能影响政府采购活动公平、公正进行的关系。</w:t>
      </w:r>
    </w:p>
    <w:p w14:paraId="239EB230">
      <w:pPr>
        <w:snapToGrid w:val="0"/>
        <w:spacing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536FB259">
      <w:pPr>
        <w:pStyle w:val="7"/>
        <w:keepNext w:val="0"/>
        <w:keepLines w:val="0"/>
        <w:spacing w:before="0" w:after="0" w:line="360" w:lineRule="auto"/>
        <w:ind w:left="420" w:left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9.2有下列情形之一的视为投标人相互串通投标，投标文件将被视为无效：</w:t>
      </w:r>
    </w:p>
    <w:p w14:paraId="285C063E">
      <w:pPr>
        <w:snapToGrid w:val="0"/>
        <w:spacing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（1）不同投标人的投标文件由同一单位或者个人编制；</w:t>
      </w:r>
      <w:r>
        <w:rPr>
          <w:rFonts w:hint="eastAsia" w:ascii="宋体" w:hAnsi="宋体" w:eastAsia="宋体" w:cs="宋体"/>
          <w:b w:val="0"/>
          <w:bCs/>
          <w:color w:val="auto"/>
          <w:szCs w:val="21"/>
          <w:highlight w:val="none"/>
        </w:rPr>
        <w:t>或者编制标书硬件设备CPU编号、硬盘编号、网卡地址一致的情况</w:t>
      </w:r>
      <w:r>
        <w:rPr>
          <w:rFonts w:hint="eastAsia" w:ascii="宋体" w:hAnsi="宋体" w:eastAsia="宋体" w:cs="宋体"/>
          <w:b w:val="0"/>
          <w:bCs/>
          <w:color w:val="auto"/>
          <w:szCs w:val="21"/>
          <w:highlight w:val="none"/>
          <w:lang w:eastAsia="zh-CN"/>
        </w:rPr>
        <w:t>；</w:t>
      </w:r>
      <w:r>
        <w:rPr>
          <w:rFonts w:hint="eastAsia" w:ascii="宋体" w:hAnsi="宋体" w:eastAsia="宋体" w:cs="宋体"/>
          <w:bCs/>
          <w:color w:val="auto"/>
          <w:szCs w:val="21"/>
          <w:highlight w:val="none"/>
        </w:rPr>
        <w:t xml:space="preserve"> </w:t>
      </w:r>
    </w:p>
    <w:p w14:paraId="78914B93">
      <w:pPr>
        <w:snapToGrid w:val="0"/>
        <w:spacing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（2）不同投标人委托同一单位或者个人办理投标事宜；</w:t>
      </w:r>
    </w:p>
    <w:p w14:paraId="24B418FE">
      <w:pPr>
        <w:snapToGrid w:val="0"/>
        <w:spacing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（3）不同的投标人的投标文件载明的项目管理员为同一个人；</w:t>
      </w:r>
    </w:p>
    <w:p w14:paraId="58D299BB">
      <w:pPr>
        <w:snapToGrid w:val="0"/>
        <w:spacing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（4）不同投标人的投标文件异常一致或者投标报价呈规律性差异；</w:t>
      </w:r>
    </w:p>
    <w:p w14:paraId="275100D8">
      <w:pPr>
        <w:snapToGrid w:val="0"/>
        <w:spacing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（5）不同投标人的投标文件相互混装；</w:t>
      </w:r>
    </w:p>
    <w:p w14:paraId="3B7BB518">
      <w:pPr>
        <w:snapToGrid w:val="0"/>
        <w:spacing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（6）不同投标人的投标保证金从同一单位或者个人账户转出。</w:t>
      </w:r>
    </w:p>
    <w:p w14:paraId="381B4658">
      <w:pPr>
        <w:pStyle w:val="7"/>
        <w:keepNext w:val="0"/>
        <w:keepLines w:val="0"/>
        <w:spacing w:before="0" w:after="0" w:line="360" w:lineRule="auto"/>
        <w:ind w:left="420" w:left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9.3供应商有下列情形之一的，属于恶意串通行为，将报同级监督管理部门：</w:t>
      </w:r>
    </w:p>
    <w:p w14:paraId="529AA8C7">
      <w:pPr>
        <w:snapToGrid w:val="0"/>
        <w:spacing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（1）供应商直接或者间接从采购人或者采购代理机构处获得其他供应商的相关信息并修改其投标文件或者响应文件；</w:t>
      </w:r>
    </w:p>
    <w:p w14:paraId="580AA47D">
      <w:pPr>
        <w:snapToGrid w:val="0"/>
        <w:spacing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（2）供应商按照采购人或者采购代理机构的授意撤换、修改投标文件或者响应文件；</w:t>
      </w:r>
    </w:p>
    <w:p w14:paraId="2AB1331C">
      <w:pPr>
        <w:snapToGrid w:val="0"/>
        <w:spacing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（3）供应商之间协商报价、技术方案等投标文件或者响应文件的实质性内容；</w:t>
      </w:r>
    </w:p>
    <w:p w14:paraId="5DDEEE7F">
      <w:pPr>
        <w:snapToGrid w:val="0"/>
        <w:spacing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（4）属于同一集团、协会、商会等组织成员的供应商按照该组织要求协同参加政府采购活动；</w:t>
      </w:r>
    </w:p>
    <w:p w14:paraId="7A2BE5D0">
      <w:pPr>
        <w:snapToGrid w:val="0"/>
        <w:spacing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（5）供应商之间事先约定一致抬高或者压低投标报价，或者在招标项目中事先约定轮流以高价位或者低价位中标，或者事先约定由某一特定供应商中标，然后再参加投标；</w:t>
      </w:r>
    </w:p>
    <w:p w14:paraId="09071420">
      <w:pPr>
        <w:snapToGrid w:val="0"/>
        <w:spacing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（6）供应商之间商定部分供应商放弃参加政府采购活动或者放弃中标；</w:t>
      </w:r>
    </w:p>
    <w:p w14:paraId="34DD595E">
      <w:pPr>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bCs/>
          <w:color w:val="auto"/>
          <w:szCs w:val="21"/>
          <w:highlight w:val="none"/>
        </w:rPr>
        <w:t>（7）供应商与采购人或者采购代理机构之间、供应商相互之间，为谋求特定供应商中标或者排斥其他供应商的其他串通行为。</w:t>
      </w:r>
    </w:p>
    <w:p w14:paraId="25747805">
      <w:pPr>
        <w:pStyle w:val="5"/>
        <w:keepNext w:val="0"/>
        <w:keepLines w:val="0"/>
        <w:spacing w:before="0" w:after="0"/>
        <w:jc w:val="center"/>
        <w:rPr>
          <w:rFonts w:hint="eastAsia" w:ascii="宋体" w:hAnsi="宋体" w:eastAsia="宋体" w:cs="宋体"/>
          <w:color w:val="auto"/>
          <w:highlight w:val="none"/>
        </w:rPr>
      </w:pPr>
      <w:bookmarkStart w:id="85" w:name="_Toc254970534"/>
      <w:bookmarkStart w:id="86" w:name="_Toc254970675"/>
      <w:r>
        <w:rPr>
          <w:rFonts w:hint="eastAsia" w:ascii="宋体" w:hAnsi="宋体" w:eastAsia="宋体" w:cs="宋体"/>
          <w:color w:val="auto"/>
          <w:highlight w:val="none"/>
        </w:rPr>
        <w:t>二、招标文件</w:t>
      </w:r>
      <w:bookmarkEnd w:id="85"/>
      <w:bookmarkEnd w:id="86"/>
    </w:p>
    <w:p w14:paraId="08ADC3E5">
      <w:pPr>
        <w:pStyle w:val="7"/>
        <w:keepNext w:val="0"/>
        <w:keepLines w:val="0"/>
        <w:spacing w:before="0" w:after="0" w:line="360" w:lineRule="auto"/>
        <w:ind w:left="420" w:left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10.招标文件的组成</w:t>
      </w:r>
    </w:p>
    <w:p w14:paraId="0B8C506E">
      <w:pPr>
        <w:snapToGrid w:val="0"/>
        <w:spacing w:line="360" w:lineRule="auto"/>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（1）招标公告；</w:t>
      </w:r>
    </w:p>
    <w:p w14:paraId="1463C92F">
      <w:pPr>
        <w:snapToGrid w:val="0"/>
        <w:spacing w:line="360" w:lineRule="auto"/>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（2）采购需求； </w:t>
      </w:r>
    </w:p>
    <w:p w14:paraId="40B779CF">
      <w:pPr>
        <w:snapToGrid w:val="0"/>
        <w:spacing w:line="360" w:lineRule="auto"/>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（3）投标人须知；</w:t>
      </w:r>
    </w:p>
    <w:p w14:paraId="442EC2DB">
      <w:pPr>
        <w:snapToGrid w:val="0"/>
        <w:spacing w:line="360" w:lineRule="auto"/>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（4）评标方法及评标标准；</w:t>
      </w:r>
    </w:p>
    <w:p w14:paraId="45B42FD2">
      <w:pPr>
        <w:snapToGrid w:val="0"/>
        <w:spacing w:line="360" w:lineRule="auto"/>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（5）拟签订的合同文本；</w:t>
      </w:r>
    </w:p>
    <w:p w14:paraId="01BAF11E">
      <w:pPr>
        <w:snapToGrid w:val="0"/>
        <w:spacing w:line="360" w:lineRule="auto"/>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（6）投标文件格式。</w:t>
      </w:r>
    </w:p>
    <w:p w14:paraId="2F176E5F">
      <w:pPr>
        <w:pStyle w:val="7"/>
        <w:keepNext w:val="0"/>
        <w:keepLines w:val="0"/>
        <w:spacing w:before="0" w:after="0" w:line="360" w:lineRule="auto"/>
        <w:ind w:left="420" w:left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11.招标文件的澄清、修改 、现场考察和答疑会</w:t>
      </w:r>
    </w:p>
    <w:p w14:paraId="7A196408">
      <w:pPr>
        <w:snapToGrid w:val="0"/>
        <w:spacing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 xml:space="preserve"> 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047FFA36">
      <w:pPr>
        <w:snapToGrid w:val="0"/>
        <w:spacing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11.2 投标人应认真审阅本公开招标文件，如有疑问，或发现其中有误或有要求不合理的，应在投标人须知前附表规定的</w:t>
      </w:r>
      <w:r>
        <w:rPr>
          <w:rFonts w:hint="eastAsia" w:ascii="宋体" w:hAnsi="宋体" w:eastAsia="宋体" w:cs="宋体"/>
          <w:bCs/>
          <w:color w:val="auto"/>
          <w:kern w:val="2"/>
          <w:szCs w:val="21"/>
          <w:highlight w:val="none"/>
        </w:rPr>
        <w:t>投标截止时间</w:t>
      </w:r>
      <w:r>
        <w:rPr>
          <w:rFonts w:hint="eastAsia" w:ascii="宋体" w:hAnsi="宋体" w:eastAsia="宋体" w:cs="宋体"/>
          <w:bCs/>
          <w:color w:val="auto"/>
          <w:szCs w:val="21"/>
          <w:highlight w:val="none"/>
        </w:rPr>
        <w:t>前以书面形式要求采购人或采购代理机构对招标文件予以澄清；否则，由此产生的后果由投标人自行负责。</w:t>
      </w:r>
    </w:p>
    <w:p w14:paraId="77964E70">
      <w:pPr>
        <w:snapToGrid w:val="0"/>
        <w:spacing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11.3 采购人或者采购代理机构可以对已发出的招标文件进行必要的澄清或者修改。澄清或者修改的内容可能影响投标文件编制的，采购人或者采购代理机构应当在投标截止时间至少15日前，以书面形式通知(在“投标人须知前附表”规定的政府采购信息发布媒体上发布更正公告及平台短信通知)所有获取招标文件的潜在投标人；不足15日的，采购人或者采购代理机构应当顺延提交投标文件的截止时间。发出的澄清或者修改不影响投标文件编制的也应在截标前3日发出。</w:t>
      </w:r>
    </w:p>
    <w:p w14:paraId="764A8145">
      <w:pPr>
        <w:snapToGrid w:val="0"/>
        <w:spacing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11.4 采购人和采购代理机构可以视采购具体情况，变更投标截止时间和开标时间，将变更时间将在“投标人须知前附表”</w:t>
      </w:r>
      <w:r>
        <w:rPr>
          <w:rFonts w:hint="eastAsia" w:ascii="宋体" w:hAnsi="宋体" w:eastAsia="宋体" w:cs="宋体"/>
          <w:bCs/>
          <w:color w:val="auto"/>
          <w:kern w:val="2"/>
          <w:szCs w:val="21"/>
          <w:highlight w:val="none"/>
        </w:rPr>
        <w:t>规定的政府采购信息发布媒体上</w:t>
      </w:r>
      <w:r>
        <w:rPr>
          <w:rFonts w:hint="eastAsia" w:ascii="宋体" w:hAnsi="宋体" w:eastAsia="宋体" w:cs="宋体"/>
          <w:bCs/>
          <w:color w:val="auto"/>
          <w:szCs w:val="21"/>
          <w:highlight w:val="none"/>
        </w:rPr>
        <w:t>发布更正公告。</w:t>
      </w:r>
    </w:p>
    <w:p w14:paraId="50DA6111">
      <w:pPr>
        <w:pStyle w:val="5"/>
        <w:keepNext w:val="0"/>
        <w:keepLines w:val="0"/>
        <w:spacing w:before="0" w:after="0"/>
        <w:jc w:val="center"/>
        <w:rPr>
          <w:rFonts w:hint="eastAsia" w:ascii="宋体" w:hAnsi="宋体" w:eastAsia="宋体" w:cs="宋体"/>
          <w:color w:val="auto"/>
          <w:highlight w:val="none"/>
        </w:rPr>
      </w:pPr>
      <w:bookmarkStart w:id="87" w:name="_Toc254970676"/>
      <w:bookmarkStart w:id="88" w:name="_Toc254970535"/>
      <w:r>
        <w:rPr>
          <w:rFonts w:hint="eastAsia" w:ascii="宋体" w:hAnsi="宋体" w:eastAsia="宋体" w:cs="宋体"/>
          <w:color w:val="auto"/>
          <w:highlight w:val="none"/>
        </w:rPr>
        <w:t>三、投标文件的编制</w:t>
      </w:r>
      <w:bookmarkEnd w:id="87"/>
      <w:bookmarkEnd w:id="88"/>
    </w:p>
    <w:p w14:paraId="5ECA8201">
      <w:pPr>
        <w:pStyle w:val="7"/>
        <w:keepNext w:val="0"/>
        <w:keepLines w:val="0"/>
        <w:spacing w:before="0" w:after="0" w:line="360" w:lineRule="auto"/>
        <w:ind w:left="420" w:leftChars="200"/>
        <w:rPr>
          <w:rFonts w:hint="eastAsia" w:ascii="宋体" w:hAnsi="宋体" w:eastAsia="宋体" w:cs="宋体"/>
          <w:color w:val="auto"/>
          <w:sz w:val="24"/>
          <w:highlight w:val="none"/>
        </w:rPr>
      </w:pPr>
      <w:bookmarkStart w:id="89" w:name="_Toc254970677"/>
      <w:bookmarkStart w:id="90" w:name="_Toc254970536"/>
      <w:r>
        <w:rPr>
          <w:rFonts w:hint="eastAsia" w:ascii="宋体" w:hAnsi="宋体" w:eastAsia="宋体" w:cs="宋体"/>
          <w:color w:val="auto"/>
          <w:sz w:val="24"/>
          <w:highlight w:val="none"/>
        </w:rPr>
        <w:t>12.投标文件的编制原则</w:t>
      </w:r>
    </w:p>
    <w:p w14:paraId="5C45A52A">
      <w:pPr>
        <w:snapToGrid w:val="0"/>
        <w:spacing w:line="360" w:lineRule="auto"/>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投标人必须按照招标文件的要求编制投标文件。投标文件必须对招标文件提出的要求和条件作出明确响应。</w:t>
      </w:r>
    </w:p>
    <w:p w14:paraId="7CFCFCA3">
      <w:pPr>
        <w:pStyle w:val="7"/>
        <w:keepNext w:val="0"/>
        <w:keepLines w:val="0"/>
        <w:spacing w:before="0" w:after="0" w:line="360" w:lineRule="auto"/>
        <w:ind w:left="420" w:left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13.投标文件的组成</w:t>
      </w:r>
      <w:bookmarkEnd w:id="89"/>
      <w:bookmarkEnd w:id="90"/>
    </w:p>
    <w:p w14:paraId="07B4A995">
      <w:pPr>
        <w:snapToGrid w:val="0"/>
        <w:spacing w:line="360" w:lineRule="auto"/>
        <w:ind w:firstLine="420" w:firstLineChars="200"/>
        <w:jc w:val="left"/>
        <w:rPr>
          <w:rFonts w:hint="eastAsia" w:ascii="宋体" w:hAnsi="宋体" w:eastAsia="宋体" w:cs="宋体"/>
          <w:color w:val="auto"/>
          <w:szCs w:val="21"/>
          <w:highlight w:val="none"/>
        </w:rPr>
      </w:pPr>
      <w:bookmarkStart w:id="91" w:name="_13.5投标文件电子版：具体材料见“投标人须知前附表”。"/>
      <w:bookmarkEnd w:id="91"/>
      <w:bookmarkStart w:id="92" w:name="_Toc254970678"/>
      <w:bookmarkStart w:id="93" w:name="_Toc254970537"/>
      <w:r>
        <w:rPr>
          <w:rFonts w:hint="eastAsia" w:ascii="宋体" w:hAnsi="宋体" w:eastAsia="宋体" w:cs="宋体"/>
          <w:color w:val="auto"/>
          <w:szCs w:val="21"/>
          <w:highlight w:val="none"/>
        </w:rPr>
        <w:t>投标文件由报价文件、资格证明文件、商务及技术文件三部分组成。</w:t>
      </w:r>
    </w:p>
    <w:p w14:paraId="561A706F">
      <w:pPr>
        <w:pStyle w:val="7"/>
        <w:keepNext w:val="0"/>
        <w:keepLines w:val="0"/>
        <w:numPr>
          <w:ilvl w:val="4"/>
          <w:numId w:val="25"/>
        </w:numPr>
        <w:spacing w:before="0" w:after="0" w:line="360" w:lineRule="auto"/>
        <w:ind w:left="420" w:leftChars="200"/>
        <w:rPr>
          <w:rFonts w:hint="eastAsia" w:ascii="宋体" w:hAnsi="宋体" w:eastAsia="宋体" w:cs="宋体"/>
          <w:b w:val="0"/>
          <w:color w:val="auto"/>
          <w:sz w:val="21"/>
          <w:szCs w:val="21"/>
          <w:highlight w:val="none"/>
        </w:rPr>
      </w:pPr>
      <w:bookmarkStart w:id="94" w:name="_13.1报价文件:_具体材料见“投标人须知前附表”。"/>
      <w:bookmarkEnd w:id="94"/>
      <w:r>
        <w:rPr>
          <w:rFonts w:hint="eastAsia" w:ascii="宋体" w:hAnsi="宋体" w:eastAsia="宋体" w:cs="宋体"/>
          <w:b w:val="0"/>
          <w:color w:val="auto"/>
          <w:sz w:val="21"/>
          <w:szCs w:val="21"/>
          <w:highlight w:val="none"/>
        </w:rPr>
        <w:t>（1）报价文件： 具体材料见“投标人须知前附表”。</w:t>
      </w:r>
    </w:p>
    <w:p w14:paraId="2E529C5F">
      <w:pPr>
        <w:pStyle w:val="7"/>
        <w:keepNext w:val="0"/>
        <w:keepLines w:val="0"/>
        <w:numPr>
          <w:ilvl w:val="4"/>
          <w:numId w:val="25"/>
        </w:numPr>
        <w:spacing w:before="0" w:after="0" w:line="360" w:lineRule="auto"/>
        <w:ind w:left="420" w:leftChars="200"/>
        <w:rPr>
          <w:rFonts w:hint="eastAsia" w:ascii="宋体" w:hAnsi="宋体" w:eastAsia="宋体" w:cs="宋体"/>
          <w:b w:val="0"/>
          <w:color w:val="auto"/>
          <w:sz w:val="21"/>
          <w:szCs w:val="21"/>
          <w:highlight w:val="none"/>
        </w:rPr>
      </w:pPr>
      <w:bookmarkStart w:id="95" w:name="_13.2资格证明文件：具体材料见“投标人须知前附表”。"/>
      <w:bookmarkEnd w:id="95"/>
      <w:r>
        <w:rPr>
          <w:rFonts w:hint="eastAsia" w:ascii="宋体" w:hAnsi="宋体" w:eastAsia="宋体" w:cs="宋体"/>
          <w:b w:val="0"/>
          <w:color w:val="auto"/>
          <w:sz w:val="21"/>
          <w:szCs w:val="21"/>
          <w:highlight w:val="none"/>
        </w:rPr>
        <w:t>（2）资格证明文件：具体材料见“投标人须知前附表”。</w:t>
      </w:r>
    </w:p>
    <w:p w14:paraId="6A1062E9">
      <w:pPr>
        <w:pStyle w:val="7"/>
        <w:keepNext w:val="0"/>
        <w:keepLines w:val="0"/>
        <w:numPr>
          <w:ilvl w:val="4"/>
          <w:numId w:val="25"/>
        </w:numPr>
        <w:spacing w:before="0" w:after="0" w:line="360" w:lineRule="auto"/>
        <w:ind w:left="420" w:leftChars="200"/>
        <w:rPr>
          <w:rFonts w:hint="eastAsia" w:ascii="宋体" w:hAnsi="宋体" w:eastAsia="宋体" w:cs="宋体"/>
          <w:b w:val="0"/>
          <w:color w:val="auto"/>
          <w:sz w:val="21"/>
          <w:szCs w:val="21"/>
          <w:highlight w:val="none"/>
        </w:rPr>
      </w:pPr>
      <w:bookmarkStart w:id="96" w:name="_13.3商务文件:_具体材料见“投标人须知前附表”。"/>
      <w:bookmarkEnd w:id="96"/>
      <w:r>
        <w:rPr>
          <w:rFonts w:hint="eastAsia" w:ascii="宋体" w:hAnsi="宋体" w:eastAsia="宋体" w:cs="宋体"/>
          <w:b w:val="0"/>
          <w:color w:val="auto"/>
          <w:sz w:val="21"/>
          <w:szCs w:val="21"/>
          <w:highlight w:val="none"/>
        </w:rPr>
        <w:t>（3）商务及技术文件：具体材料见“投标人须知前附表”。</w:t>
      </w:r>
    </w:p>
    <w:p w14:paraId="0BCCEA3F">
      <w:pPr>
        <w:pStyle w:val="7"/>
        <w:keepNext w:val="0"/>
        <w:keepLines w:val="0"/>
        <w:spacing w:before="0" w:after="0" w:line="360" w:lineRule="auto"/>
        <w:ind w:left="420" w:left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14.投标文件的语言及计量</w:t>
      </w:r>
      <w:bookmarkEnd w:id="92"/>
      <w:bookmarkEnd w:id="93"/>
    </w:p>
    <w:p w14:paraId="3853BD96">
      <w:pPr>
        <w:pStyle w:val="7"/>
        <w:keepNext w:val="0"/>
        <w:keepLines w:val="0"/>
        <w:spacing w:before="0" w:after="0" w:line="360" w:lineRule="auto"/>
        <w:ind w:left="420" w:left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14.1语言文字</w:t>
      </w:r>
    </w:p>
    <w:p w14:paraId="44AA487F">
      <w:pPr>
        <w:pStyle w:val="7"/>
        <w:keepNext w:val="0"/>
        <w:keepLines w:val="0"/>
        <w:spacing w:before="0" w:after="0" w:line="360" w:lineRule="auto"/>
        <w:ind w:firstLine="420" w:firstLine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080B3373">
      <w:pPr>
        <w:pStyle w:val="7"/>
        <w:keepNext w:val="0"/>
        <w:keepLines w:val="0"/>
        <w:spacing w:before="0" w:after="0" w:line="360" w:lineRule="auto"/>
        <w:ind w:firstLine="420" w:firstLine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14.2投标计量单位</w:t>
      </w:r>
    </w:p>
    <w:p w14:paraId="59BD57B8">
      <w:pPr>
        <w:pStyle w:val="7"/>
        <w:keepNext w:val="0"/>
        <w:keepLines w:val="0"/>
        <w:spacing w:before="0" w:after="0" w:line="360" w:lineRule="auto"/>
        <w:ind w:firstLine="420" w:firstLine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招标文件已有明确规定的，使用招标文件规定的计量单位；招标文件没有规定的，应采用中华人民共和国法定计量单位，货币种类为人民币</w:t>
      </w:r>
      <w:r>
        <w:rPr>
          <w:rFonts w:hint="eastAsia" w:ascii="宋体" w:hAnsi="宋体" w:eastAsia="宋体" w:cs="宋体"/>
          <w:bCs/>
          <w:color w:val="auto"/>
          <w:sz w:val="21"/>
          <w:szCs w:val="21"/>
          <w:highlight w:val="none"/>
        </w:rPr>
        <w:t>，否则视同未响应。</w:t>
      </w:r>
    </w:p>
    <w:p w14:paraId="03869C11">
      <w:pPr>
        <w:pStyle w:val="7"/>
        <w:keepNext w:val="0"/>
        <w:keepLines w:val="0"/>
        <w:spacing w:before="0" w:after="0" w:line="360" w:lineRule="auto"/>
        <w:ind w:left="420" w:left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15.投标的风险</w:t>
      </w:r>
    </w:p>
    <w:p w14:paraId="1808F9D2">
      <w:pPr>
        <w:pStyle w:val="7"/>
        <w:spacing w:before="0" w:after="0" w:line="360" w:lineRule="auto"/>
        <w:ind w:firstLine="420" w:firstLine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投标人没有按照招标文件要求提供全部资料，或者投标人没有对招标文件作出实质性响应是投标人的风险，并可能导致其投标被拒绝。</w:t>
      </w:r>
    </w:p>
    <w:p w14:paraId="7ADE491B">
      <w:pPr>
        <w:pStyle w:val="7"/>
        <w:keepNext w:val="0"/>
        <w:keepLines w:val="0"/>
        <w:spacing w:before="0" w:after="0" w:line="360" w:lineRule="auto"/>
        <w:ind w:left="420" w:leftChars="200"/>
        <w:rPr>
          <w:rFonts w:hint="eastAsia" w:ascii="宋体" w:hAnsi="宋体" w:eastAsia="宋体" w:cs="宋体"/>
          <w:color w:val="auto"/>
          <w:sz w:val="24"/>
          <w:highlight w:val="none"/>
        </w:rPr>
      </w:pPr>
      <w:bookmarkStart w:id="97" w:name="_Toc254970679"/>
      <w:bookmarkStart w:id="98" w:name="_Toc254970538"/>
      <w:r>
        <w:rPr>
          <w:rFonts w:hint="eastAsia" w:ascii="宋体" w:hAnsi="宋体" w:eastAsia="宋体" w:cs="宋体"/>
          <w:color w:val="auto"/>
          <w:sz w:val="24"/>
          <w:highlight w:val="none"/>
        </w:rPr>
        <w:t>16.投标报价</w:t>
      </w:r>
      <w:bookmarkEnd w:id="97"/>
      <w:bookmarkEnd w:id="98"/>
    </w:p>
    <w:p w14:paraId="3B8E39BD">
      <w:pPr>
        <w:pStyle w:val="7"/>
        <w:keepNext w:val="0"/>
        <w:keepLines w:val="0"/>
        <w:spacing w:before="0" w:after="0" w:line="360" w:lineRule="auto"/>
        <w:ind w:left="420" w:left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16.1投标报价应按“第六章　投标文件格式”中“开标一览表”格式填写。</w:t>
      </w:r>
    </w:p>
    <w:p w14:paraId="64B06F6C">
      <w:pPr>
        <w:pStyle w:val="7"/>
        <w:keepNext w:val="0"/>
        <w:keepLines w:val="0"/>
        <w:spacing w:before="0" w:after="0" w:line="360" w:lineRule="auto"/>
        <w:ind w:left="420" w:leftChars="200"/>
        <w:rPr>
          <w:rFonts w:hint="eastAsia" w:ascii="宋体" w:hAnsi="宋体" w:eastAsia="宋体" w:cs="宋体"/>
          <w:b w:val="0"/>
          <w:color w:val="auto"/>
          <w:sz w:val="21"/>
          <w:szCs w:val="21"/>
          <w:highlight w:val="none"/>
        </w:rPr>
      </w:pPr>
      <w:bookmarkStart w:id="99" w:name="_16.2投标报价具体定义见投标人须知前附表。"/>
      <w:bookmarkEnd w:id="99"/>
      <w:r>
        <w:rPr>
          <w:rFonts w:hint="eastAsia" w:ascii="宋体" w:hAnsi="宋体" w:eastAsia="宋体" w:cs="宋体"/>
          <w:b w:val="0"/>
          <w:color w:val="auto"/>
          <w:sz w:val="21"/>
          <w:szCs w:val="21"/>
          <w:highlight w:val="none"/>
        </w:rPr>
        <w:t>16.2投标报价具体包括内容详见“投标人须知前附表”。</w:t>
      </w:r>
    </w:p>
    <w:p w14:paraId="422050CF">
      <w:pPr>
        <w:pStyle w:val="7"/>
        <w:keepNext w:val="0"/>
        <w:keepLines w:val="0"/>
        <w:spacing w:before="0" w:after="0" w:line="360" w:lineRule="auto"/>
        <w:ind w:firstLine="420" w:firstLine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16.3投标人必须就所投每个分标的全部内容分别作完整唯一总价报价，不得存在漏项报价；投标人必须就所投分标的单项内容作唯一报价。</w:t>
      </w:r>
    </w:p>
    <w:p w14:paraId="143E46B4">
      <w:pPr>
        <w:pStyle w:val="7"/>
        <w:keepNext w:val="0"/>
        <w:keepLines w:val="0"/>
        <w:spacing w:before="0" w:after="0" w:line="360" w:lineRule="auto"/>
        <w:ind w:left="420" w:left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17.投标有效期</w:t>
      </w:r>
    </w:p>
    <w:p w14:paraId="779464F4">
      <w:pPr>
        <w:pStyle w:val="7"/>
        <w:keepNext w:val="0"/>
        <w:keepLines w:val="0"/>
        <w:spacing w:before="0" w:after="0" w:line="360" w:lineRule="auto"/>
        <w:ind w:firstLine="420" w:firstLineChars="200"/>
        <w:rPr>
          <w:rFonts w:hint="eastAsia" w:ascii="宋体" w:hAnsi="宋体" w:eastAsia="宋体" w:cs="宋体"/>
          <w:b w:val="0"/>
          <w:color w:val="auto"/>
          <w:sz w:val="21"/>
          <w:szCs w:val="21"/>
          <w:highlight w:val="none"/>
        </w:rPr>
      </w:pPr>
      <w:bookmarkStart w:id="100" w:name="_17.1投标有效期应按“投标人须知中的前附表”规定的期限。"/>
      <w:bookmarkEnd w:id="100"/>
      <w:r>
        <w:rPr>
          <w:rFonts w:hint="eastAsia" w:ascii="宋体" w:hAnsi="宋体" w:eastAsia="宋体" w:cs="宋体"/>
          <w:b w:val="0"/>
          <w:color w:val="auto"/>
          <w:sz w:val="21"/>
          <w:szCs w:val="21"/>
          <w:highlight w:val="none"/>
        </w:rPr>
        <w:t>17.1投标有效期是指为保证采购人有足够的时间在开标后完成评标、定标、合同签订等工作而要求投标人提交的投标文件在一定时间内保持有效的期限。</w:t>
      </w:r>
    </w:p>
    <w:p w14:paraId="3EF480A7">
      <w:pPr>
        <w:pStyle w:val="7"/>
        <w:keepNext w:val="0"/>
        <w:keepLines w:val="0"/>
        <w:spacing w:before="0" w:after="0" w:line="360" w:lineRule="auto"/>
        <w:ind w:left="420" w:left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17.2</w:t>
      </w:r>
      <w:bookmarkStart w:id="101" w:name="_Toc254970540"/>
      <w:bookmarkStart w:id="102" w:name="_Toc254970681"/>
      <w:r>
        <w:rPr>
          <w:rFonts w:hint="eastAsia" w:ascii="宋体" w:hAnsi="宋体" w:eastAsia="宋体" w:cs="宋体"/>
          <w:b w:val="0"/>
          <w:color w:val="auto"/>
          <w:sz w:val="21"/>
          <w:szCs w:val="21"/>
          <w:highlight w:val="none"/>
        </w:rPr>
        <w:t xml:space="preserve"> 投标有效期应按规定的期限作出承诺，具体详见“投标人须知前附表”。</w:t>
      </w:r>
    </w:p>
    <w:p w14:paraId="70E7A6CA">
      <w:pPr>
        <w:pStyle w:val="7"/>
        <w:keepNext w:val="0"/>
        <w:keepLines w:val="0"/>
        <w:spacing w:before="0" w:after="0" w:line="360" w:lineRule="auto"/>
        <w:ind w:left="420" w:left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17.3投标人的投标文件在投标有效期内均保持有效。</w:t>
      </w:r>
      <w:bookmarkEnd w:id="101"/>
      <w:bookmarkEnd w:id="102"/>
    </w:p>
    <w:p w14:paraId="4FB6F12D">
      <w:pPr>
        <w:pStyle w:val="7"/>
        <w:keepNext w:val="0"/>
        <w:keepLines w:val="0"/>
        <w:spacing w:before="0" w:after="0" w:line="360" w:lineRule="auto"/>
        <w:ind w:left="420" w:leftChars="200"/>
        <w:rPr>
          <w:rFonts w:hint="eastAsia" w:ascii="宋体" w:hAnsi="宋体" w:eastAsia="宋体" w:cs="宋体"/>
          <w:color w:val="auto"/>
          <w:sz w:val="24"/>
          <w:highlight w:val="none"/>
        </w:rPr>
      </w:pPr>
      <w:bookmarkStart w:id="103" w:name="_18.投标保证金"/>
      <w:bookmarkEnd w:id="103"/>
      <w:bookmarkStart w:id="104" w:name="_Toc254970682"/>
      <w:bookmarkStart w:id="105" w:name="_Toc254970541"/>
      <w:r>
        <w:rPr>
          <w:rFonts w:hint="eastAsia" w:ascii="宋体" w:hAnsi="宋体" w:eastAsia="宋体" w:cs="宋体"/>
          <w:color w:val="auto"/>
          <w:sz w:val="24"/>
          <w:highlight w:val="none"/>
        </w:rPr>
        <w:t>18.投标保证金</w:t>
      </w:r>
      <w:bookmarkEnd w:id="104"/>
      <w:bookmarkEnd w:id="105"/>
    </w:p>
    <w:p w14:paraId="0F247C12">
      <w:pPr>
        <w:pStyle w:val="7"/>
        <w:keepNext w:val="0"/>
        <w:keepLines w:val="0"/>
        <w:spacing w:before="0" w:after="0" w:line="360" w:lineRule="auto"/>
        <w:ind w:left="420" w:left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18.1投标人须按“投标人须知前附表” 的规定提交投标保证金。</w:t>
      </w:r>
    </w:p>
    <w:p w14:paraId="1C06F181">
      <w:pPr>
        <w:pStyle w:val="7"/>
        <w:keepNext w:val="0"/>
        <w:keepLines w:val="0"/>
        <w:spacing w:before="0" w:after="0" w:line="360" w:lineRule="auto"/>
        <w:ind w:firstLine="420" w:firstLine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18.2投标保证金的退还</w:t>
      </w:r>
    </w:p>
    <w:p w14:paraId="771855A1">
      <w:pPr>
        <w:pStyle w:val="7"/>
        <w:keepNext w:val="0"/>
        <w:keepLines w:val="0"/>
        <w:spacing w:before="0" w:after="0" w:line="360" w:lineRule="auto"/>
        <w:ind w:firstLine="420" w:firstLine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 xml:space="preserve">未中标人的投标保证金自中标通知书发出之日起5个工作日内退还；中标人的投标保证金自政府采购合同签订之日起5个工作日内退还。 </w:t>
      </w:r>
    </w:p>
    <w:p w14:paraId="6AB4C790">
      <w:pPr>
        <w:pStyle w:val="7"/>
        <w:keepNext w:val="0"/>
        <w:keepLines w:val="0"/>
        <w:spacing w:before="0" w:after="0" w:line="360" w:lineRule="auto"/>
        <w:ind w:left="420" w:left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18.3除逾期退还投标保证金和终止招标的情形以外，投标保证金不计息。</w:t>
      </w:r>
    </w:p>
    <w:p w14:paraId="69E5283C">
      <w:pPr>
        <w:pStyle w:val="7"/>
        <w:keepNext w:val="0"/>
        <w:keepLines w:val="0"/>
        <w:spacing w:before="0" w:after="0" w:line="360" w:lineRule="auto"/>
        <w:ind w:left="420" w:left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 xml:space="preserve">18.4投标人有下列情形之一的，投标保证金将不予退还： </w:t>
      </w:r>
    </w:p>
    <w:p w14:paraId="6ADA0B27">
      <w:pPr>
        <w:snapToGrid w:val="0"/>
        <w:spacing w:line="360" w:lineRule="auto"/>
        <w:ind w:firstLine="411" w:firstLineChars="196"/>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（1）投标人在投标有效期内撤销投标文件的；</w:t>
      </w:r>
    </w:p>
    <w:p w14:paraId="500F882C">
      <w:pPr>
        <w:snapToGrid w:val="0"/>
        <w:spacing w:line="360" w:lineRule="auto"/>
        <w:ind w:firstLine="411" w:firstLineChars="196"/>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（2）未按规定提交履约保证金的；</w:t>
      </w:r>
    </w:p>
    <w:p w14:paraId="6A56A335">
      <w:pPr>
        <w:snapToGrid w:val="0"/>
        <w:spacing w:line="360" w:lineRule="auto"/>
        <w:ind w:firstLine="411" w:firstLineChars="196"/>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（3）投标人在投标过程中弄虚作假，提供虚假材料的；</w:t>
      </w:r>
    </w:p>
    <w:p w14:paraId="00DF4BCD">
      <w:pPr>
        <w:snapToGrid w:val="0"/>
        <w:spacing w:line="360" w:lineRule="auto"/>
        <w:ind w:firstLine="411" w:firstLineChars="196"/>
        <w:rPr>
          <w:rFonts w:hint="eastAsia" w:ascii="宋体" w:hAnsi="宋体" w:eastAsia="宋体" w:cs="宋体"/>
          <w:color w:val="auto"/>
          <w:szCs w:val="21"/>
          <w:highlight w:val="none"/>
        </w:rPr>
      </w:pPr>
      <w:r>
        <w:rPr>
          <w:rFonts w:hint="eastAsia" w:ascii="宋体" w:hAnsi="宋体" w:eastAsia="宋体" w:cs="宋体"/>
          <w:color w:val="auto"/>
          <w:szCs w:val="21"/>
          <w:highlight w:val="none"/>
        </w:rPr>
        <w:t>（4）中标人无正当理由不与采购人签订合同的；</w:t>
      </w:r>
    </w:p>
    <w:p w14:paraId="1AF139DE">
      <w:pPr>
        <w:snapToGrid w:val="0"/>
        <w:spacing w:line="360" w:lineRule="auto"/>
        <w:ind w:firstLine="420" w:firstLineChars="200"/>
        <w:rPr>
          <w:rFonts w:hint="eastAsia" w:ascii="宋体" w:hAnsi="宋体" w:eastAsia="宋体" w:cs="宋体"/>
          <w:color w:val="auto"/>
          <w:szCs w:val="21"/>
          <w:highlight w:val="none"/>
        </w:rPr>
      </w:pPr>
      <w:bookmarkStart w:id="106" w:name="_Toc254970683"/>
      <w:bookmarkStart w:id="107" w:name="_Toc254970542"/>
      <w:r>
        <w:rPr>
          <w:rFonts w:hint="eastAsia" w:ascii="宋体" w:hAnsi="宋体" w:eastAsia="宋体" w:cs="宋体"/>
          <w:color w:val="auto"/>
          <w:szCs w:val="21"/>
          <w:highlight w:val="none"/>
        </w:rPr>
        <w:t>（5）投标人出现本章第9.2、9.3情形的；</w:t>
      </w:r>
    </w:p>
    <w:p w14:paraId="14D0BF91">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（6）法律法规规定的其他情形。</w:t>
      </w:r>
    </w:p>
    <w:bookmarkEnd w:id="106"/>
    <w:bookmarkEnd w:id="107"/>
    <w:p w14:paraId="6BDBFB46">
      <w:pPr>
        <w:pStyle w:val="7"/>
        <w:keepNext w:val="0"/>
        <w:keepLines w:val="0"/>
        <w:spacing w:before="0" w:after="0" w:line="360" w:lineRule="auto"/>
        <w:ind w:left="420" w:left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19.投标文件的编制</w:t>
      </w:r>
    </w:p>
    <w:p w14:paraId="07F734BF">
      <w:pPr>
        <w:pStyle w:val="7"/>
        <w:keepNext w:val="0"/>
        <w:keepLines w:val="0"/>
        <w:spacing w:before="0" w:after="0" w:line="360" w:lineRule="auto"/>
        <w:ind w:firstLine="315" w:firstLineChars="15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 xml:space="preserve"> 19.1投标人应先安装“广西政府采购云平台电子投标客户端”（请自行前往“广西政府采购云平台”进行下载），并按照本项目招标文件规定的格式和顺序和“广西政府采购云平台”的要求编制并加密。投标文件内容不完整、编排混乱导致投标文件被误读、漏读或者查找不到相关内容的，由此引发的后果由投标人承担。</w:t>
      </w:r>
    </w:p>
    <w:p w14:paraId="127B6D93">
      <w:pPr>
        <w:pStyle w:val="7"/>
        <w:keepNext w:val="0"/>
        <w:keepLines w:val="0"/>
        <w:spacing w:before="0" w:after="0" w:line="360" w:lineRule="auto"/>
        <w:ind w:firstLine="315" w:firstLineChars="150"/>
        <w:rPr>
          <w:rFonts w:hint="eastAsia" w:ascii="宋体" w:hAnsi="宋体" w:eastAsia="宋体" w:cs="宋体"/>
          <w:b w:val="0"/>
          <w:color w:val="auto"/>
          <w:sz w:val="21"/>
          <w:szCs w:val="21"/>
          <w:highlight w:val="none"/>
        </w:rPr>
      </w:pPr>
      <w:bookmarkStart w:id="108" w:name="_19.2投标文件应按报价文件、资格证明文件、商务文件、技术文件分别编制"/>
      <w:bookmarkEnd w:id="108"/>
      <w:r>
        <w:rPr>
          <w:rFonts w:hint="eastAsia" w:ascii="宋体" w:hAnsi="宋体" w:eastAsia="宋体" w:cs="宋体"/>
          <w:b w:val="0"/>
          <w:color w:val="auto"/>
          <w:sz w:val="21"/>
          <w:szCs w:val="21"/>
          <w:highlight w:val="none"/>
        </w:rPr>
        <w:t>19.2为确保网上操作合法、有效和安全，投标人应当在投标截止时间前完成在“广西政府采购云平台”的身份认证，确保在电子投标过程中能够对相关数据电文进行加密和使用电子签章。</w:t>
      </w:r>
    </w:p>
    <w:p w14:paraId="08610E02">
      <w:pPr>
        <w:pStyle w:val="7"/>
        <w:keepNext w:val="0"/>
        <w:keepLines w:val="0"/>
        <w:spacing w:before="0" w:after="0" w:line="360" w:lineRule="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 xml:space="preserve">   19.3投标文件须由投标人在规定位置签字（或者电子签名）、盖章（具体以投标人须知前附表或投标文件格式规定为准），</w:t>
      </w:r>
      <w:r>
        <w:rPr>
          <w:rFonts w:hint="eastAsia" w:ascii="宋体" w:hAnsi="宋体" w:eastAsia="宋体" w:cs="宋体"/>
          <w:bCs/>
          <w:color w:val="auto"/>
          <w:sz w:val="21"/>
          <w:szCs w:val="21"/>
          <w:highlight w:val="none"/>
        </w:rPr>
        <w:t>否则按无效投标处理</w:t>
      </w:r>
      <w:r>
        <w:rPr>
          <w:rFonts w:hint="eastAsia" w:ascii="宋体" w:hAnsi="宋体" w:eastAsia="宋体" w:cs="宋体"/>
          <w:b w:val="0"/>
          <w:color w:val="auto"/>
          <w:sz w:val="21"/>
          <w:szCs w:val="21"/>
          <w:highlight w:val="none"/>
        </w:rPr>
        <w:t>。</w:t>
      </w:r>
    </w:p>
    <w:p w14:paraId="57583C77">
      <w:pPr>
        <w:pStyle w:val="7"/>
        <w:keepNext w:val="0"/>
        <w:keepLines w:val="0"/>
        <w:spacing w:before="0" w:after="0" w:line="360" w:lineRule="auto"/>
        <w:ind w:firstLine="315" w:firstLineChars="15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19.4投标文件中标注的投标人名称应与主体资格证明（如营业执照或者事业单位法人证书或者执业许可证或者登记证书等）及公章一致，并与“广西政府采购云平台”中获取招标文件的投标人名称一致，投标人为自然人的，标注的投标人名称应与身份证姓名及签名一致，</w:t>
      </w:r>
      <w:r>
        <w:rPr>
          <w:rFonts w:hint="eastAsia" w:ascii="宋体" w:hAnsi="宋体" w:eastAsia="宋体" w:cs="宋体"/>
          <w:color w:val="auto"/>
          <w:sz w:val="21"/>
          <w:szCs w:val="21"/>
          <w:highlight w:val="none"/>
        </w:rPr>
        <w:t>否则按无效投标处理</w:t>
      </w:r>
      <w:r>
        <w:rPr>
          <w:rFonts w:hint="eastAsia" w:ascii="宋体" w:hAnsi="宋体" w:eastAsia="宋体" w:cs="宋体"/>
          <w:b w:val="0"/>
          <w:color w:val="auto"/>
          <w:sz w:val="21"/>
          <w:szCs w:val="21"/>
          <w:highlight w:val="none"/>
        </w:rPr>
        <w:t>。</w:t>
      </w:r>
    </w:p>
    <w:p w14:paraId="09AE2CF5">
      <w:pPr>
        <w:pStyle w:val="7"/>
        <w:keepNext w:val="0"/>
        <w:keepLines w:val="0"/>
        <w:spacing w:before="0" w:after="0" w:line="360" w:lineRule="auto"/>
        <w:ind w:firstLine="315" w:firstLineChars="15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 xml:space="preserve"> 19.5投标文件应尽量避免涂改、行间插字或者删除。如果出现上述情况，改动之处应由投标人的法定代表人或者其委托代理人签字（或者电子签名）或者加盖公章或者加盖电子签章。投标文件因字迹潦草或者表达不清所引起的后果由投标人承担。</w:t>
      </w:r>
    </w:p>
    <w:p w14:paraId="547DF026">
      <w:pPr>
        <w:pStyle w:val="7"/>
        <w:keepNext w:val="0"/>
        <w:keepLines w:val="0"/>
        <w:spacing w:before="0" w:after="0" w:line="360" w:lineRule="auto"/>
        <w:ind w:left="420" w:left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20.电子备份投标文件</w:t>
      </w:r>
    </w:p>
    <w:p w14:paraId="2AAEB5FF">
      <w:pPr>
        <w:spacing w:line="360" w:lineRule="auto"/>
        <w:ind w:firstLine="420" w:firstLineChars="200"/>
        <w:rPr>
          <w:rFonts w:hint="eastAsia" w:ascii="宋体" w:hAnsi="宋体" w:eastAsia="宋体" w:cs="宋体"/>
          <w:color w:val="auto"/>
          <w:sz w:val="24"/>
          <w:highlight w:val="none"/>
        </w:rPr>
      </w:pPr>
      <w:r>
        <w:rPr>
          <w:rFonts w:hint="eastAsia" w:ascii="宋体" w:hAnsi="宋体" w:eastAsia="宋体" w:cs="宋体"/>
          <w:color w:val="auto"/>
          <w:highlight w:val="none"/>
        </w:rPr>
        <w:t>电子备份投标文件是指通过“</w:t>
      </w:r>
      <w:r>
        <w:rPr>
          <w:rFonts w:hint="eastAsia" w:ascii="宋体" w:hAnsi="宋体" w:eastAsia="宋体" w:cs="宋体"/>
          <w:color w:val="auto"/>
          <w:szCs w:val="21"/>
          <w:highlight w:val="none"/>
        </w:rPr>
        <w:t>广西政府采购云平台</w:t>
      </w:r>
      <w:r>
        <w:rPr>
          <w:rFonts w:hint="eastAsia" w:ascii="宋体" w:hAnsi="宋体" w:eastAsia="宋体" w:cs="宋体"/>
          <w:color w:val="auto"/>
          <w:highlight w:val="none"/>
        </w:rPr>
        <w:t>电子投标客户端”在线编制生成且后缀名为“bfbs”的文件，是否接受电子备份投标文件</w:t>
      </w:r>
      <w:r>
        <w:rPr>
          <w:rFonts w:hint="eastAsia" w:ascii="宋体" w:hAnsi="宋体" w:eastAsia="宋体" w:cs="宋体"/>
          <w:bCs/>
          <w:color w:val="auto"/>
          <w:szCs w:val="21"/>
          <w:highlight w:val="none"/>
        </w:rPr>
        <w:t>详见在“投标人须知前附表”。</w:t>
      </w:r>
    </w:p>
    <w:p w14:paraId="12D2ED74">
      <w:pPr>
        <w:pStyle w:val="7"/>
        <w:keepNext w:val="0"/>
        <w:keepLines w:val="0"/>
        <w:spacing w:before="0" w:after="0" w:line="360" w:lineRule="auto"/>
        <w:ind w:left="420" w:left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21.投标文件的提交</w:t>
      </w:r>
    </w:p>
    <w:p w14:paraId="2970C34D">
      <w:pPr>
        <w:spacing w:line="360" w:lineRule="auto"/>
        <w:ind w:firstLine="420" w:firstLineChars="200"/>
        <w:rPr>
          <w:rFonts w:hint="eastAsia" w:ascii="宋体" w:hAnsi="宋体" w:eastAsia="宋体" w:cs="宋体"/>
          <w:b/>
          <w:color w:val="auto"/>
          <w:highlight w:val="none"/>
        </w:rPr>
      </w:pPr>
      <w:bookmarkStart w:id="109" w:name="_21.1投标人必须在“投标人须知中的前附表”规定的投标文件接收时间和投"/>
      <w:bookmarkEnd w:id="109"/>
      <w:r>
        <w:rPr>
          <w:rFonts w:hint="eastAsia" w:ascii="宋体" w:hAnsi="宋体" w:eastAsia="宋体" w:cs="宋体"/>
          <w:bCs/>
          <w:color w:val="auto"/>
          <w:szCs w:val="21"/>
          <w:highlight w:val="none"/>
        </w:rPr>
        <w:t>21.1投标人必须在“投标人须知前附表”规定的</w:t>
      </w:r>
      <w:r>
        <w:rPr>
          <w:rFonts w:hint="eastAsia" w:ascii="宋体" w:hAnsi="宋体" w:eastAsia="宋体" w:cs="宋体"/>
          <w:color w:val="auto"/>
          <w:szCs w:val="21"/>
          <w:highlight w:val="none"/>
        </w:rPr>
        <w:t>投标文件提交截止时间前将</w:t>
      </w:r>
      <w:r>
        <w:rPr>
          <w:rFonts w:hint="eastAsia" w:ascii="宋体" w:hAnsi="宋体" w:eastAsia="宋体" w:cs="宋体"/>
          <w:bCs/>
          <w:color w:val="auto"/>
          <w:szCs w:val="21"/>
          <w:highlight w:val="none"/>
        </w:rPr>
        <w:t>电子投标文件提交至投标地点。电子投标文件应在制作完成后，在投标截止时间前通过有效数字证书（CA认证锁）进行电子签章、加密，然后通过网络将加密的电子投标文件递交至</w:t>
      </w:r>
      <w:r>
        <w:rPr>
          <w:rFonts w:hint="eastAsia" w:ascii="宋体" w:hAnsi="宋体" w:eastAsia="宋体" w:cs="宋体"/>
          <w:color w:val="auto"/>
          <w:szCs w:val="21"/>
          <w:highlight w:val="none"/>
        </w:rPr>
        <w:t>“广西政府采购云平台”</w:t>
      </w:r>
      <w:r>
        <w:rPr>
          <w:rFonts w:hint="eastAsia" w:ascii="宋体" w:hAnsi="宋体" w:eastAsia="宋体" w:cs="宋体"/>
          <w:bCs/>
          <w:color w:val="auto"/>
          <w:szCs w:val="21"/>
          <w:highlight w:val="none"/>
        </w:rPr>
        <w:t>。</w:t>
      </w:r>
    </w:p>
    <w:p w14:paraId="1547762F">
      <w:pPr>
        <w:spacing w:line="360" w:lineRule="auto"/>
        <w:ind w:firstLine="422" w:firstLineChars="200"/>
        <w:rPr>
          <w:rFonts w:hint="eastAsia" w:ascii="宋体" w:hAnsi="宋体" w:eastAsia="宋体" w:cs="宋体"/>
          <w:b/>
          <w:color w:val="auto"/>
          <w:szCs w:val="20"/>
          <w:highlight w:val="none"/>
        </w:rPr>
      </w:pPr>
      <w:r>
        <w:rPr>
          <w:rFonts w:hint="eastAsia" w:ascii="宋体" w:hAnsi="宋体" w:eastAsia="宋体" w:cs="宋体"/>
          <w:b/>
          <w:color w:val="auto"/>
          <w:szCs w:val="21"/>
          <w:highlight w:val="none"/>
        </w:rPr>
        <w:t>21.2未在规定时间内提交或者未按照招标文件要求加密的电子投标文件，</w:t>
      </w:r>
      <w:r>
        <w:rPr>
          <w:rFonts w:hint="eastAsia" w:ascii="宋体" w:hAnsi="宋体" w:eastAsia="宋体" w:cs="宋体"/>
          <w:color w:val="auto"/>
          <w:szCs w:val="21"/>
          <w:highlight w:val="none"/>
        </w:rPr>
        <w:t>“广西政府采购云平台”</w:t>
      </w:r>
      <w:r>
        <w:rPr>
          <w:rFonts w:hint="eastAsia" w:ascii="宋体" w:hAnsi="宋体" w:eastAsia="宋体" w:cs="宋体"/>
          <w:b/>
          <w:color w:val="auto"/>
          <w:szCs w:val="21"/>
          <w:highlight w:val="none"/>
        </w:rPr>
        <w:t>将拒收。</w:t>
      </w:r>
    </w:p>
    <w:p w14:paraId="6F9BC9A5">
      <w:pPr>
        <w:pStyle w:val="7"/>
        <w:keepNext w:val="0"/>
        <w:keepLines w:val="0"/>
        <w:spacing w:before="0" w:after="0" w:line="360" w:lineRule="auto"/>
        <w:ind w:left="420" w:left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22. 投标文件的补充、修改、撤回与退回</w:t>
      </w:r>
    </w:p>
    <w:p w14:paraId="01E1A3F5">
      <w:pPr>
        <w:snapToGrid w:val="0"/>
        <w:spacing w:line="360" w:lineRule="auto"/>
        <w:ind w:firstLine="420"/>
        <w:jc w:val="left"/>
        <w:rPr>
          <w:rFonts w:hint="eastAsia" w:ascii="宋体" w:hAnsi="宋体" w:eastAsia="宋体" w:cs="宋体"/>
          <w:color w:val="auto"/>
          <w:szCs w:val="21"/>
          <w:highlight w:val="none"/>
        </w:rPr>
      </w:pPr>
      <w:bookmarkStart w:id="110" w:name="_Toc254970684"/>
      <w:bookmarkStart w:id="111" w:name="_Toc254970543"/>
      <w:r>
        <w:rPr>
          <w:rFonts w:hint="eastAsia" w:ascii="宋体" w:hAnsi="宋体" w:eastAsia="宋体" w:cs="宋体"/>
          <w:color w:val="auto"/>
          <w:szCs w:val="21"/>
          <w:highlight w:val="none"/>
        </w:rPr>
        <w:t>22.1</w:t>
      </w:r>
      <w:r>
        <w:rPr>
          <w:rFonts w:hint="eastAsia" w:ascii="宋体" w:hAnsi="宋体" w:eastAsia="宋体" w:cs="宋体"/>
          <w:bCs/>
          <w:color w:val="auto"/>
          <w:szCs w:val="21"/>
          <w:highlight w:val="none"/>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w:t>
      </w:r>
      <w:r>
        <w:rPr>
          <w:rFonts w:hint="eastAsia" w:ascii="宋体" w:hAnsi="宋体" w:eastAsia="宋体" w:cs="宋体"/>
          <w:color w:val="auto"/>
          <w:szCs w:val="21"/>
          <w:highlight w:val="none"/>
        </w:rPr>
        <w:t>“广西政府采购云平台”</w:t>
      </w:r>
      <w:r>
        <w:rPr>
          <w:rFonts w:hint="eastAsia" w:ascii="宋体" w:hAnsi="宋体" w:eastAsia="宋体" w:cs="宋体"/>
          <w:bCs/>
          <w:color w:val="auto"/>
          <w:szCs w:val="21"/>
          <w:highlight w:val="none"/>
        </w:rPr>
        <w:t>将予以拒收。</w:t>
      </w:r>
      <w:r>
        <w:rPr>
          <w:rFonts w:hint="eastAsia" w:ascii="宋体" w:hAnsi="宋体" w:eastAsia="宋体" w:cs="宋体"/>
          <w:color w:val="auto"/>
          <w:szCs w:val="21"/>
          <w:highlight w:val="none"/>
        </w:rPr>
        <w:t>（补充、修改或者撤回方式可登录“广西政府采购云平台”</w:t>
      </w:r>
      <w:r>
        <w:rPr>
          <w:rFonts w:hint="eastAsia" w:ascii="宋体" w:hAnsi="宋体" w:eastAsia="宋体" w:cs="宋体"/>
          <w:color w:val="auto"/>
          <w:kern w:val="0"/>
          <w:szCs w:val="21"/>
          <w:highlight w:val="none"/>
        </w:rPr>
        <w:t>，</w:t>
      </w:r>
      <w:r>
        <w:rPr>
          <w:rFonts w:hint="eastAsia" w:ascii="宋体" w:hAnsi="宋体" w:eastAsia="宋体" w:cs="宋体"/>
          <w:color w:val="auto"/>
          <w:szCs w:val="21"/>
          <w:highlight w:val="none"/>
        </w:rPr>
        <w:t>依次进入“服务中心”中查看 “电子投标文件制作与投送教程”）</w:t>
      </w:r>
    </w:p>
    <w:bookmarkEnd w:id="110"/>
    <w:bookmarkEnd w:id="111"/>
    <w:p w14:paraId="702BA32D">
      <w:pPr>
        <w:pStyle w:val="83"/>
        <w:spacing w:before="0"/>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22.2“广西政府采购云平台”收到投标文件后向供应商发出确认回执通知。在投标截止时间前，除供应商补充、修改或者撤回投标文件外，任何单位和个人不得解密或提取投标文件。</w:t>
      </w:r>
    </w:p>
    <w:p w14:paraId="62AF02F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22.3在投标截止时间后，采购人和采购代理机构对已提交的投标文件概不退回。</w:t>
      </w:r>
    </w:p>
    <w:p w14:paraId="7B79345C">
      <w:pPr>
        <w:pStyle w:val="5"/>
        <w:keepNext w:val="0"/>
        <w:keepLines w:val="0"/>
        <w:jc w:val="center"/>
        <w:rPr>
          <w:rFonts w:hint="eastAsia" w:ascii="宋体" w:hAnsi="宋体" w:eastAsia="宋体" w:cs="宋体"/>
          <w:color w:val="auto"/>
          <w:highlight w:val="none"/>
        </w:rPr>
      </w:pPr>
      <w:bookmarkStart w:id="112" w:name="_Toc254970685"/>
      <w:bookmarkStart w:id="113" w:name="_Toc254970544"/>
      <w:r>
        <w:rPr>
          <w:rFonts w:hint="eastAsia" w:ascii="宋体" w:hAnsi="宋体" w:eastAsia="宋体" w:cs="宋体"/>
          <w:color w:val="auto"/>
          <w:highlight w:val="none"/>
        </w:rPr>
        <w:t>四、开标</w:t>
      </w:r>
      <w:bookmarkEnd w:id="112"/>
      <w:bookmarkEnd w:id="113"/>
    </w:p>
    <w:p w14:paraId="6BB0BD70">
      <w:pPr>
        <w:pStyle w:val="7"/>
        <w:keepNext w:val="0"/>
        <w:keepLines w:val="0"/>
        <w:spacing w:before="0" w:after="0" w:line="360" w:lineRule="auto"/>
        <w:ind w:left="420" w:leftChars="200"/>
        <w:rPr>
          <w:rFonts w:hint="eastAsia" w:ascii="宋体" w:hAnsi="宋体" w:eastAsia="宋体" w:cs="宋体"/>
          <w:color w:val="auto"/>
          <w:sz w:val="24"/>
          <w:highlight w:val="none"/>
        </w:rPr>
      </w:pPr>
      <w:bookmarkStart w:id="114" w:name="_23.开标时间和地点"/>
      <w:bookmarkEnd w:id="114"/>
      <w:r>
        <w:rPr>
          <w:rFonts w:hint="eastAsia" w:ascii="宋体" w:hAnsi="宋体" w:eastAsia="宋体" w:cs="宋体"/>
          <w:color w:val="auto"/>
          <w:sz w:val="24"/>
          <w:highlight w:val="none"/>
        </w:rPr>
        <w:t>23.开标时间和地点</w:t>
      </w:r>
    </w:p>
    <w:p w14:paraId="04110EEA">
      <w:pPr>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开标时间及地点详见“投标人须知前附表”</w:t>
      </w:r>
    </w:p>
    <w:p w14:paraId="7C37DAB8">
      <w:pPr>
        <w:pStyle w:val="7"/>
        <w:keepNext w:val="0"/>
        <w:keepLines w:val="0"/>
        <w:spacing w:before="0" w:after="0" w:line="360" w:lineRule="auto"/>
        <w:ind w:left="420" w:left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24.开标程序</w:t>
      </w:r>
    </w:p>
    <w:p w14:paraId="73B418DF">
      <w:pPr>
        <w:pStyle w:val="9"/>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24.1提交投标文件截止时间止，投标人不足3家的，不得开标。</w:t>
      </w:r>
    </w:p>
    <w:p w14:paraId="70074611">
      <w:pPr>
        <w:pStyle w:val="9"/>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24.2采购代理机构将按照招标文件规定的时间通过</w:t>
      </w:r>
      <w:r>
        <w:rPr>
          <w:rFonts w:hint="eastAsia" w:ascii="宋体" w:hAnsi="宋体" w:eastAsia="宋体" w:cs="宋体"/>
          <w:color w:val="auto"/>
          <w:szCs w:val="21"/>
          <w:highlight w:val="none"/>
        </w:rPr>
        <w:t>“广西政府采购云平台”</w:t>
      </w:r>
      <w:r>
        <w:rPr>
          <w:rFonts w:hint="eastAsia" w:ascii="宋体" w:hAnsi="宋体" w:eastAsia="宋体" w:cs="宋体"/>
          <w:color w:val="auto"/>
          <w:highlight w:val="none"/>
        </w:rPr>
        <w:t>组织线上开标活动，所有供应商均应当准时在线参加，投标人因未在线参加开标而导致投标文件无法按时解密等一切后果由投标人自己承担。</w:t>
      </w:r>
    </w:p>
    <w:p w14:paraId="6E908FDA">
      <w:pPr>
        <w:pStyle w:val="9"/>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24.3开标程序</w:t>
      </w:r>
    </w:p>
    <w:p w14:paraId="203A7917">
      <w:pPr>
        <w:pStyle w:val="9"/>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（1）解密电子投标文件。</w:t>
      </w:r>
      <w:r>
        <w:rPr>
          <w:rFonts w:hint="eastAsia" w:ascii="宋体" w:hAnsi="宋体" w:eastAsia="宋体" w:cs="宋体"/>
          <w:color w:val="auto"/>
          <w:szCs w:val="21"/>
          <w:highlight w:val="none"/>
        </w:rPr>
        <w:t>“广西政府采购云平台”</w:t>
      </w:r>
      <w:r>
        <w:rPr>
          <w:rFonts w:hint="eastAsia" w:ascii="宋体" w:hAnsi="宋体" w:eastAsia="宋体" w:cs="宋体"/>
          <w:color w:val="auto"/>
          <w:highlight w:val="none"/>
        </w:rPr>
        <w:t>按开标时间自动提取所有投标文件。采购代理机构依托</w:t>
      </w:r>
      <w:r>
        <w:rPr>
          <w:rFonts w:hint="eastAsia" w:ascii="宋体" w:hAnsi="宋体" w:eastAsia="宋体" w:cs="宋体"/>
          <w:color w:val="auto"/>
          <w:szCs w:val="21"/>
          <w:highlight w:val="none"/>
        </w:rPr>
        <w:t>“广西政府采购云平台”</w:t>
      </w:r>
      <w:r>
        <w:rPr>
          <w:rFonts w:hint="eastAsia" w:ascii="宋体" w:hAnsi="宋体" w:eastAsia="宋体" w:cs="宋体"/>
          <w:color w:val="auto"/>
          <w:highlight w:val="none"/>
        </w:rPr>
        <w:t>向各投标人发出电子加密投标文件【开始解密】通知，由投标人按</w:t>
      </w:r>
      <w:r>
        <w:rPr>
          <w:rFonts w:hint="eastAsia" w:ascii="宋体" w:hAnsi="宋体" w:eastAsia="宋体" w:cs="宋体"/>
          <w:bCs/>
          <w:color w:val="auto"/>
          <w:szCs w:val="21"/>
          <w:highlight w:val="none"/>
        </w:rPr>
        <w:t>“投标人须知前附表”</w:t>
      </w:r>
      <w:r>
        <w:rPr>
          <w:rFonts w:hint="eastAsia" w:ascii="宋体" w:hAnsi="宋体" w:eastAsia="宋体" w:cs="宋体"/>
          <w:color w:val="auto"/>
          <w:highlight w:val="none"/>
        </w:rPr>
        <w:t>规定的时间内自行进行投标文件解密。投标人的法定代表人或其委托代理人须凭加密时所用的CA锁准时登录到</w:t>
      </w:r>
      <w:r>
        <w:rPr>
          <w:rFonts w:hint="eastAsia" w:ascii="宋体" w:hAnsi="宋体" w:eastAsia="宋体" w:cs="宋体"/>
          <w:color w:val="auto"/>
          <w:szCs w:val="21"/>
          <w:highlight w:val="none"/>
        </w:rPr>
        <w:t>“广西政府采购云平台”</w:t>
      </w:r>
      <w:r>
        <w:rPr>
          <w:rFonts w:hint="eastAsia" w:ascii="宋体" w:hAnsi="宋体" w:eastAsia="宋体" w:cs="宋体"/>
          <w:color w:val="auto"/>
          <w:highlight w:val="none"/>
        </w:rPr>
        <w:t>电子开标大厅签到并对电子投标文件解密。</w:t>
      </w:r>
      <w:r>
        <w:rPr>
          <w:rFonts w:hint="eastAsia" w:ascii="宋体" w:hAnsi="宋体" w:eastAsia="宋体" w:cs="宋体"/>
          <w:b/>
          <w:color w:val="auto"/>
          <w:highlight w:val="none"/>
        </w:rPr>
        <w:t>投标人未在规定的时间内解密投标文件或者解密失败的，</w:t>
      </w:r>
      <w:r>
        <w:rPr>
          <w:rFonts w:hint="eastAsia" w:ascii="宋体" w:hAnsi="宋体" w:eastAsia="宋体" w:cs="宋体"/>
          <w:b/>
          <w:color w:val="auto"/>
          <w:szCs w:val="21"/>
          <w:highlight w:val="none"/>
        </w:rPr>
        <w:t>投标人的投标文件作无效处理</w:t>
      </w:r>
      <w:r>
        <w:rPr>
          <w:rFonts w:hint="eastAsia" w:ascii="宋体" w:hAnsi="宋体" w:eastAsia="宋体" w:cs="宋体"/>
          <w:b/>
          <w:color w:val="auto"/>
          <w:highlight w:val="none"/>
        </w:rPr>
        <w:t>。</w:t>
      </w:r>
    </w:p>
    <w:p w14:paraId="64FBCDEC">
      <w:pPr>
        <w:pStyle w:val="9"/>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（2）电子唱标。投标文件解密结束，宣布的内容均在</w:t>
      </w:r>
      <w:r>
        <w:rPr>
          <w:rFonts w:hint="eastAsia" w:ascii="宋体" w:hAnsi="宋体" w:eastAsia="宋体" w:cs="宋体"/>
          <w:color w:val="auto"/>
          <w:szCs w:val="21"/>
          <w:highlight w:val="none"/>
        </w:rPr>
        <w:t>“广西政府采购云平台”</w:t>
      </w:r>
      <w:r>
        <w:rPr>
          <w:rFonts w:hint="eastAsia" w:ascii="宋体" w:hAnsi="宋体" w:eastAsia="宋体" w:cs="宋体"/>
          <w:color w:val="auto"/>
          <w:highlight w:val="none"/>
        </w:rPr>
        <w:t>远程开标大厅展示，具体详见</w:t>
      </w:r>
      <w:r>
        <w:rPr>
          <w:rFonts w:hint="eastAsia" w:ascii="宋体" w:hAnsi="宋体" w:eastAsia="宋体" w:cs="宋体"/>
          <w:bCs/>
          <w:color w:val="auto"/>
          <w:highlight w:val="none"/>
        </w:rPr>
        <w:t>“投标人须知前附表”</w:t>
      </w:r>
      <w:r>
        <w:rPr>
          <w:rFonts w:hint="eastAsia" w:ascii="宋体" w:hAnsi="宋体" w:eastAsia="宋体" w:cs="宋体"/>
          <w:color w:val="auto"/>
          <w:highlight w:val="none"/>
        </w:rPr>
        <w:t>；</w:t>
      </w:r>
    </w:p>
    <w:p w14:paraId="7194D222">
      <w:pPr>
        <w:pStyle w:val="9"/>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（3）开标过程由采购代理机构如实记录，并电子留痕，由参加电子开标的各投标人代表对电子开标记录在开标记录公布后15分钟内进行当场校核及勘误，并线上确认是否有异议，未确认的视同认可开标结果。</w:t>
      </w:r>
    </w:p>
    <w:p w14:paraId="3E0C451E">
      <w:pPr>
        <w:pStyle w:val="9"/>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4）投标人代表对开标过程和开标记录有疑义，以及认为采购人、采购代理机构相关工作人员有需要回避的情形的，应当场提出询问或者回避申请。采购人、采购代理机构对投标人代表提出的询问或者回避申请应当及时处理。</w:t>
      </w:r>
    </w:p>
    <w:p w14:paraId="19003A0A">
      <w:pPr>
        <w:pStyle w:val="9"/>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（5）开标结束。</w:t>
      </w:r>
    </w:p>
    <w:p w14:paraId="244D881A">
      <w:pPr>
        <w:pStyle w:val="9"/>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特别说明：如遇“广西政府采购云平台”电子化开标或评审程序调整的，按调整后执行。</w:t>
      </w:r>
    </w:p>
    <w:p w14:paraId="476994EA">
      <w:pPr>
        <w:pStyle w:val="5"/>
        <w:keepNext w:val="0"/>
        <w:keepLines w:val="0"/>
        <w:jc w:val="center"/>
        <w:rPr>
          <w:rFonts w:hint="eastAsia" w:ascii="宋体" w:hAnsi="宋体" w:eastAsia="宋体" w:cs="宋体"/>
          <w:color w:val="auto"/>
          <w:highlight w:val="none"/>
        </w:rPr>
      </w:pPr>
      <w:r>
        <w:rPr>
          <w:rFonts w:hint="eastAsia" w:ascii="宋体" w:hAnsi="宋体" w:eastAsia="宋体" w:cs="宋体"/>
          <w:color w:val="auto"/>
          <w:highlight w:val="none"/>
        </w:rPr>
        <w:t>五、资格审查</w:t>
      </w:r>
    </w:p>
    <w:p w14:paraId="5A4F5777">
      <w:pPr>
        <w:pStyle w:val="7"/>
        <w:keepNext w:val="0"/>
        <w:keepLines w:val="0"/>
        <w:spacing w:before="0" w:after="0" w:line="360" w:lineRule="auto"/>
        <w:ind w:left="420" w:left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25.资格审查</w:t>
      </w:r>
    </w:p>
    <w:p w14:paraId="2714B153">
      <w:pPr>
        <w:pStyle w:val="7"/>
        <w:keepNext w:val="0"/>
        <w:keepLines w:val="0"/>
        <w:spacing w:before="0" w:after="0" w:line="360" w:lineRule="auto"/>
        <w:ind w:firstLine="315" w:firstLineChars="15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 xml:space="preserve"> 25.1开标结束后，采购人或者采购代理机构通过电子开评标系统依据招标文件对电子投标文件进行线上资格审查。</w:t>
      </w:r>
    </w:p>
    <w:p w14:paraId="3E8E95D8">
      <w:pPr>
        <w:pStyle w:val="7"/>
        <w:keepNext w:val="0"/>
        <w:keepLines w:val="0"/>
        <w:spacing w:before="0" w:after="0" w:line="360" w:lineRule="auto"/>
        <w:ind w:firstLine="315" w:firstLineChars="15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 xml:space="preserve"> 25.2资格审查标准为本招标文件中载明对投标人资格要求的条件。本项目资格审查采用合格制，凡符合招标文件规定的投标人资格要求的投标人均通过资格审查。</w:t>
      </w:r>
    </w:p>
    <w:p w14:paraId="51B8BED7">
      <w:pPr>
        <w:pStyle w:val="7"/>
        <w:keepNext w:val="0"/>
        <w:keepLines w:val="0"/>
        <w:numPr>
          <w:ilvl w:val="0"/>
          <w:numId w:val="0"/>
        </w:numPr>
        <w:spacing w:before="0" w:after="0" w:line="360" w:lineRule="auto"/>
        <w:ind w:firstLine="422" w:firstLineChars="200"/>
        <w:rPr>
          <w:rFonts w:hint="eastAsia" w:ascii="宋体" w:hAnsi="宋体" w:eastAsia="宋体" w:cs="宋体"/>
          <w:color w:val="auto"/>
          <w:sz w:val="21"/>
          <w:szCs w:val="21"/>
          <w:highlight w:val="none"/>
        </w:rPr>
      </w:pPr>
      <w:bookmarkStart w:id="115" w:name="_25.3_投标人有下列情形之一的，资格审查不通过而导致其投标无效："/>
      <w:bookmarkEnd w:id="115"/>
      <w:r>
        <w:rPr>
          <w:rFonts w:hint="eastAsia" w:ascii="宋体" w:hAnsi="宋体" w:eastAsia="宋体" w:cs="宋体"/>
          <w:color w:val="auto"/>
          <w:sz w:val="21"/>
          <w:szCs w:val="21"/>
          <w:highlight w:val="none"/>
        </w:rPr>
        <w:t>25.3 投标人有下列情形之一的，资格审查不通过，作无效投标处理：</w:t>
      </w:r>
    </w:p>
    <w:p w14:paraId="49989269">
      <w:pPr>
        <w:pStyle w:val="7"/>
        <w:keepNext w:val="0"/>
        <w:keepLines w:val="0"/>
        <w:spacing w:before="0" w:after="0" w:line="360" w:lineRule="auto"/>
        <w:ind w:firstLine="315" w:firstLineChars="15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（1）不具备招标文件中规定的资格要求的；</w:t>
      </w:r>
    </w:p>
    <w:p w14:paraId="39F812FB">
      <w:pPr>
        <w:pStyle w:val="7"/>
        <w:keepNext w:val="0"/>
        <w:keepLines w:val="0"/>
        <w:spacing w:before="0" w:after="0" w:line="360" w:lineRule="auto"/>
        <w:ind w:firstLine="315" w:firstLineChars="15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（2）在“信用中国”网站（www.creditchina.gov.cn）、中国政府采购网（www.ccgp.gov.cn）被列入失信被执行人、</w:t>
      </w:r>
      <w:r>
        <w:rPr>
          <w:rFonts w:hint="eastAsia" w:ascii="宋体" w:hAnsi="宋体" w:eastAsia="宋体" w:cs="宋体"/>
          <w:b w:val="0"/>
          <w:color w:val="auto"/>
          <w:sz w:val="21"/>
          <w:szCs w:val="21"/>
          <w:highlight w:val="none"/>
        </w:rPr>
        <w:t>重大税收违法</w:t>
      </w:r>
      <w:r>
        <w:rPr>
          <w:rFonts w:hint="eastAsia" w:ascii="宋体" w:hAnsi="宋体" w:eastAsia="宋体" w:cs="宋体"/>
          <w:b w:val="0"/>
          <w:color w:val="auto"/>
          <w:sz w:val="21"/>
          <w:szCs w:val="21"/>
          <w:highlight w:val="none"/>
          <w:lang w:val="en-US" w:eastAsia="zh-CN"/>
        </w:rPr>
        <w:t>失信主体</w:t>
      </w:r>
      <w:r>
        <w:rPr>
          <w:rFonts w:hint="eastAsia" w:ascii="宋体" w:hAnsi="宋体" w:eastAsia="宋体" w:cs="宋体"/>
          <w:b w:val="0"/>
          <w:color w:val="auto"/>
          <w:sz w:val="21"/>
          <w:szCs w:val="21"/>
          <w:highlight w:val="none"/>
        </w:rPr>
        <w:t>名</w:t>
      </w:r>
      <w:r>
        <w:rPr>
          <w:rFonts w:hint="eastAsia" w:ascii="宋体" w:hAnsi="宋体" w:eastAsia="宋体" w:cs="宋体"/>
          <w:b w:val="0"/>
          <w:color w:val="auto"/>
          <w:sz w:val="21"/>
          <w:szCs w:val="21"/>
          <w:highlight w:val="none"/>
        </w:rPr>
        <w:t>、政府采购严重违法失信行为记录名单及其他不符合《中华人民共和国政府采购法》第二十二条规定条件的；（注：其中信用查询规则见“投标人须知前附表”，“广西政府采购云平台”已与“信用中国”网站、中国政府采购网实现数据对接，可直接在线查询）</w:t>
      </w:r>
    </w:p>
    <w:p w14:paraId="3311F1E6">
      <w:pPr>
        <w:pStyle w:val="7"/>
        <w:keepNext w:val="0"/>
        <w:keepLines w:val="0"/>
        <w:spacing w:before="0" w:after="0" w:line="360" w:lineRule="auto"/>
        <w:ind w:firstLine="315" w:firstLineChars="15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（3）同一合同项下的不同投标人，单位负责人为同一人或者存在直接控股、管理关系的；为本项目提供过整体设计、规范编制或者项目管理、监理、检测等服务的供应商，再参加该采购项目的其他采购活动的；</w:t>
      </w:r>
    </w:p>
    <w:p w14:paraId="01757241">
      <w:pPr>
        <w:pStyle w:val="7"/>
        <w:keepNext w:val="0"/>
        <w:keepLines w:val="0"/>
        <w:spacing w:before="0" w:after="0" w:line="360" w:lineRule="auto"/>
        <w:ind w:firstLine="315" w:firstLineChars="15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（4）投标文件中的资格证明文件缺少任一项“投标人须知前附表”资格证明文件规定“必须提供”的文件资料的；</w:t>
      </w:r>
    </w:p>
    <w:p w14:paraId="5AEC52CA">
      <w:pPr>
        <w:pStyle w:val="7"/>
        <w:keepNext w:val="0"/>
        <w:keepLines w:val="0"/>
        <w:spacing w:before="0" w:after="0" w:line="360" w:lineRule="auto"/>
        <w:ind w:firstLine="315" w:firstLineChars="150"/>
        <w:rPr>
          <w:rFonts w:hint="eastAsia" w:ascii="宋体" w:hAnsi="宋体" w:eastAsia="宋体" w:cs="宋体"/>
          <w:color w:val="auto"/>
          <w:highlight w:val="none"/>
        </w:rPr>
      </w:pPr>
      <w:r>
        <w:rPr>
          <w:rFonts w:hint="eastAsia" w:ascii="宋体" w:hAnsi="宋体" w:eastAsia="宋体" w:cs="宋体"/>
          <w:b w:val="0"/>
          <w:color w:val="auto"/>
          <w:sz w:val="21"/>
          <w:szCs w:val="21"/>
          <w:highlight w:val="none"/>
        </w:rPr>
        <w:t>（5）投标文件中的资格证明文件出现任一项不符合“投标人须知前附表”资格证明文件规定“必须提供”的文件资料要求或者无效的。</w:t>
      </w:r>
    </w:p>
    <w:p w14:paraId="43891DEF">
      <w:pPr>
        <w:pStyle w:val="7"/>
        <w:keepNext w:val="0"/>
        <w:keepLines w:val="0"/>
        <w:spacing w:before="0" w:after="0" w:line="360" w:lineRule="auto"/>
        <w:ind w:left="420" w:leftChars="200"/>
        <w:rPr>
          <w:rFonts w:hint="eastAsia" w:ascii="宋体" w:hAnsi="宋体" w:eastAsia="宋体" w:cs="宋体"/>
          <w:b w:val="0"/>
          <w:color w:val="auto"/>
          <w:sz w:val="21"/>
          <w:szCs w:val="21"/>
          <w:highlight w:val="none"/>
        </w:rPr>
      </w:pPr>
      <w:r>
        <w:rPr>
          <w:rFonts w:hint="eastAsia" w:ascii="宋体" w:hAnsi="宋体" w:eastAsia="宋体" w:cs="宋体"/>
          <w:color w:val="auto"/>
          <w:sz w:val="21"/>
          <w:szCs w:val="21"/>
          <w:highlight w:val="none"/>
        </w:rPr>
        <w:t>25.4合格投标人不足3家的，不得评标。</w:t>
      </w:r>
    </w:p>
    <w:p w14:paraId="6422B696">
      <w:pPr>
        <w:pStyle w:val="5"/>
        <w:keepNext w:val="0"/>
        <w:keepLines w:val="0"/>
        <w:jc w:val="center"/>
        <w:rPr>
          <w:rFonts w:hint="eastAsia" w:ascii="宋体" w:hAnsi="宋体" w:eastAsia="宋体" w:cs="宋体"/>
          <w:color w:val="auto"/>
          <w:highlight w:val="none"/>
        </w:rPr>
      </w:pPr>
      <w:r>
        <w:rPr>
          <w:rFonts w:hint="eastAsia" w:ascii="宋体" w:hAnsi="宋体" w:eastAsia="宋体" w:cs="宋体"/>
          <w:color w:val="auto"/>
          <w:highlight w:val="none"/>
        </w:rPr>
        <w:t>六、评标</w:t>
      </w:r>
    </w:p>
    <w:p w14:paraId="3CE2B5A7">
      <w:pPr>
        <w:pStyle w:val="7"/>
        <w:keepNext w:val="0"/>
        <w:keepLines w:val="0"/>
        <w:spacing w:before="0" w:after="0" w:line="360" w:lineRule="auto"/>
        <w:ind w:left="420" w:leftChars="200"/>
        <w:rPr>
          <w:rFonts w:hint="eastAsia" w:ascii="宋体" w:hAnsi="宋体" w:eastAsia="宋体" w:cs="宋体"/>
          <w:color w:val="auto"/>
          <w:sz w:val="24"/>
          <w:highlight w:val="none"/>
        </w:rPr>
      </w:pPr>
      <w:bookmarkStart w:id="116" w:name="_26.组建评标委员会"/>
      <w:bookmarkEnd w:id="116"/>
      <w:r>
        <w:rPr>
          <w:rFonts w:hint="eastAsia" w:ascii="宋体" w:hAnsi="宋体" w:eastAsia="宋体" w:cs="宋体"/>
          <w:color w:val="auto"/>
          <w:sz w:val="24"/>
          <w:highlight w:val="none"/>
        </w:rPr>
        <w:t>26.组建评标委员会</w:t>
      </w:r>
    </w:p>
    <w:p w14:paraId="3F55D2C5">
      <w:pPr>
        <w:pStyle w:val="7"/>
        <w:keepNext w:val="0"/>
        <w:keepLines w:val="0"/>
        <w:spacing w:before="0" w:after="0" w:line="360" w:lineRule="auto"/>
        <w:ind w:firstLine="315" w:firstLineChars="15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26.1评标委员会由采购人代表和评审专家组成，具体人数详见“投标人须知前附表”，其中评审专家不得少于成员总数的三分之二。</w:t>
      </w:r>
    </w:p>
    <w:p w14:paraId="451FE21D">
      <w:pPr>
        <w:pStyle w:val="7"/>
        <w:keepNext w:val="0"/>
        <w:keepLines w:val="0"/>
        <w:spacing w:before="0" w:after="0" w:line="360" w:lineRule="auto"/>
        <w:ind w:firstLine="315" w:firstLineChars="15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26.2参加过采购项目前期咨询论证的专家，不得参加该采购项目的评审活动。</w:t>
      </w:r>
    </w:p>
    <w:p w14:paraId="559A796E">
      <w:pPr>
        <w:pStyle w:val="7"/>
        <w:keepNext w:val="0"/>
        <w:keepLines w:val="0"/>
        <w:spacing w:before="0" w:after="0" w:line="360" w:lineRule="auto"/>
        <w:ind w:firstLine="315" w:firstLineChars="15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26.3采购代理机构应当基于“广西政府采购云平台”</w:t>
      </w:r>
      <w:r>
        <w:rPr>
          <w:rFonts w:hint="eastAsia" w:ascii="宋体" w:hAnsi="宋体" w:eastAsia="宋体" w:cs="宋体"/>
          <w:b w:val="0"/>
          <w:color w:val="auto"/>
          <w:sz w:val="21"/>
          <w:szCs w:val="21"/>
          <w:highlight w:val="none"/>
          <w:lang w:val="en-US" w:eastAsia="zh-CN"/>
        </w:rPr>
        <w:t>随机</w:t>
      </w:r>
      <w:r>
        <w:rPr>
          <w:rFonts w:hint="eastAsia" w:ascii="宋体" w:hAnsi="宋体" w:eastAsia="宋体" w:cs="宋体"/>
          <w:b w:val="0"/>
          <w:color w:val="auto"/>
          <w:sz w:val="21"/>
          <w:szCs w:val="21"/>
          <w:highlight w:val="none"/>
        </w:rPr>
        <w:t>抽（选）取评审专家。</w:t>
      </w:r>
    </w:p>
    <w:p w14:paraId="77BBCFBD">
      <w:pPr>
        <w:pStyle w:val="7"/>
        <w:keepNext w:val="0"/>
        <w:keepLines w:val="0"/>
        <w:spacing w:before="0" w:after="0" w:line="360" w:lineRule="auto"/>
        <w:ind w:left="420" w:left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27.评标的依据</w:t>
      </w:r>
    </w:p>
    <w:p w14:paraId="04281E20">
      <w:pPr>
        <w:pStyle w:val="7"/>
        <w:keepNext w:val="0"/>
        <w:keepLines w:val="0"/>
        <w:spacing w:before="0" w:after="0" w:line="360" w:lineRule="auto"/>
        <w:ind w:firstLine="315" w:firstLineChars="15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评标委员会以“第四章 评标方法和评标标准”为依据对投标文件进行评审，没有规定的方法、评审因素和标准，不作为评标依据。</w:t>
      </w:r>
    </w:p>
    <w:p w14:paraId="5394576A">
      <w:pPr>
        <w:pStyle w:val="7"/>
        <w:keepNext w:val="0"/>
        <w:keepLines w:val="0"/>
        <w:spacing w:before="0" w:after="0" w:line="360" w:lineRule="auto"/>
        <w:ind w:left="420" w:left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28.评标原则</w:t>
      </w:r>
    </w:p>
    <w:p w14:paraId="52812E4C">
      <w:pPr>
        <w:pStyle w:val="7"/>
        <w:keepNext w:val="0"/>
        <w:keepLines w:val="0"/>
        <w:spacing w:before="0" w:after="0" w:line="360" w:lineRule="auto"/>
        <w:ind w:firstLine="315" w:firstLineChars="15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28.1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105B9724">
      <w:pPr>
        <w:pStyle w:val="7"/>
        <w:keepNext w:val="0"/>
        <w:keepLines w:val="0"/>
        <w:spacing w:before="0" w:after="0" w:line="360" w:lineRule="auto"/>
        <w:ind w:firstLine="315" w:firstLineChars="15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28.2</w:t>
      </w:r>
      <w:bookmarkStart w:id="117" w:name="_28.3评标方法。本项目将按须知前附表规定的评标办法进行评标，具体评标"/>
      <w:bookmarkEnd w:id="117"/>
      <w:r>
        <w:rPr>
          <w:rFonts w:hint="eastAsia" w:ascii="宋体" w:hAnsi="宋体" w:eastAsia="宋体" w:cs="宋体"/>
          <w:b w:val="0"/>
          <w:color w:val="auto"/>
          <w:sz w:val="21"/>
          <w:szCs w:val="21"/>
          <w:highlight w:val="none"/>
        </w:rPr>
        <w:t>评委表决。评标委员会成员对需要共同认定的事项存在争议的，应当按照少数服从多数的原则作出结论。</w:t>
      </w:r>
    </w:p>
    <w:p w14:paraId="56C336BD">
      <w:pPr>
        <w:pStyle w:val="7"/>
        <w:keepNext w:val="0"/>
        <w:keepLines w:val="0"/>
        <w:spacing w:before="0" w:after="0" w:line="360" w:lineRule="auto"/>
        <w:ind w:firstLine="315" w:firstLineChars="15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28.3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1B04839C">
      <w:pPr>
        <w:pStyle w:val="7"/>
        <w:keepNext w:val="0"/>
        <w:keepLines w:val="0"/>
        <w:spacing w:before="0" w:after="0" w:line="360" w:lineRule="auto"/>
        <w:ind w:firstLine="315" w:firstLineChars="15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28.4评标过程的监控。本项目电子评标过程实行网上留痕、全程录音、录像监控，投标人在评标过程中所进行的试图影响评标结果的不公正活动，可能导致其投标按无效处理。</w:t>
      </w:r>
    </w:p>
    <w:p w14:paraId="1B8BEE01">
      <w:pPr>
        <w:pStyle w:val="7"/>
        <w:keepNext w:val="0"/>
        <w:keepLines w:val="0"/>
        <w:spacing w:before="0" w:after="0" w:line="360" w:lineRule="auto"/>
        <w:ind w:left="420" w:left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29.评标方法及中标候选人推荐</w:t>
      </w:r>
    </w:p>
    <w:p w14:paraId="3E4C9B16">
      <w:pPr>
        <w:pStyle w:val="7"/>
        <w:keepNext w:val="0"/>
        <w:keepLines w:val="0"/>
        <w:spacing w:before="0" w:after="0" w:line="360" w:lineRule="auto"/>
        <w:ind w:firstLine="315" w:firstLineChars="15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29.1本项目的评标方法详见“投标人须知前附表”。</w:t>
      </w:r>
    </w:p>
    <w:p w14:paraId="55317921">
      <w:pPr>
        <w:pStyle w:val="7"/>
        <w:keepNext w:val="0"/>
        <w:keepLines w:val="0"/>
        <w:spacing w:before="0" w:after="0" w:line="360" w:lineRule="auto"/>
        <w:ind w:firstLine="315" w:firstLineChars="15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29.2商务/技术要求允许负偏离的条款数详见“投标人须知前附表”。</w:t>
      </w:r>
    </w:p>
    <w:p w14:paraId="6F0DA53F">
      <w:pPr>
        <w:pStyle w:val="7"/>
        <w:keepNext w:val="0"/>
        <w:keepLines w:val="0"/>
        <w:spacing w:before="0" w:after="0" w:line="360" w:lineRule="auto"/>
        <w:ind w:firstLine="315" w:firstLineChars="15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29.3中标候选人推荐数量详见“投标人须知前附表”。</w:t>
      </w:r>
    </w:p>
    <w:p w14:paraId="17B2C77F">
      <w:pPr>
        <w:pStyle w:val="7"/>
        <w:keepNext w:val="0"/>
        <w:keepLines w:val="0"/>
        <w:spacing w:before="0" w:after="0" w:line="360" w:lineRule="auto"/>
        <w:ind w:firstLine="315" w:firstLineChars="15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29.4电子交易活动的中止。采购过程中出现以下情形，导致电子交易平台无法正常运行，或者无法保证电子交易的公平、公正和安全时，采购代理机构可以中止电子交易活动：</w:t>
      </w:r>
    </w:p>
    <w:p w14:paraId="09CDA3D2">
      <w:pPr>
        <w:pStyle w:val="7"/>
        <w:keepNext w:val="0"/>
        <w:keepLines w:val="0"/>
        <w:spacing w:before="0" w:after="0" w:line="360" w:lineRule="auto"/>
        <w:ind w:firstLine="315" w:firstLineChars="15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（1）电子交易平台发生故障而无法登录访问的；</w:t>
      </w:r>
    </w:p>
    <w:p w14:paraId="2F99FE22">
      <w:pPr>
        <w:pStyle w:val="7"/>
        <w:keepNext w:val="0"/>
        <w:keepLines w:val="0"/>
        <w:spacing w:before="0" w:after="0" w:line="360" w:lineRule="auto"/>
        <w:ind w:firstLine="315" w:firstLineChars="15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（2）电子交易平台应用或数据库出现错误，不能进行正常操作的；</w:t>
      </w:r>
    </w:p>
    <w:p w14:paraId="4A4B03BE">
      <w:pPr>
        <w:pStyle w:val="7"/>
        <w:keepNext w:val="0"/>
        <w:keepLines w:val="0"/>
        <w:spacing w:before="0" w:after="0" w:line="360" w:lineRule="auto"/>
        <w:ind w:firstLine="315" w:firstLineChars="15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（3）电子交易平台发现严重安全漏洞，有潜在泄密危险的；</w:t>
      </w:r>
    </w:p>
    <w:p w14:paraId="4462D1F7">
      <w:pPr>
        <w:pStyle w:val="7"/>
        <w:keepNext w:val="0"/>
        <w:keepLines w:val="0"/>
        <w:spacing w:before="0" w:after="0" w:line="360" w:lineRule="auto"/>
        <w:ind w:firstLine="315" w:firstLineChars="15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（4）病毒发作导致不能进行正常操作的；</w:t>
      </w:r>
    </w:p>
    <w:p w14:paraId="298AD9B8">
      <w:pPr>
        <w:pStyle w:val="7"/>
        <w:keepNext w:val="0"/>
        <w:keepLines w:val="0"/>
        <w:spacing w:before="0" w:after="0" w:line="360" w:lineRule="auto"/>
        <w:ind w:firstLine="315" w:firstLineChars="15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（5）其他无法保证电子交易的公平、公正和安全的情况。</w:t>
      </w:r>
    </w:p>
    <w:p w14:paraId="14C889C5">
      <w:pPr>
        <w:pStyle w:val="7"/>
        <w:keepNext w:val="0"/>
        <w:keepLines w:val="0"/>
        <w:spacing w:before="0" w:after="0" w:line="360" w:lineRule="auto"/>
        <w:ind w:firstLine="315" w:firstLineChars="15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出现以上情形，不影响采购公平、公正性的，采购代理机构可以待上述情形消除后继续组织电子交易活动；影响或可能影响采购公平、公正性的，经采购代理机构确认、报采购人同意后，终止电子采购活动，应当重新采购。采购代理机构必须对原有的资料及信息作出妥善保密处理，并报财政部门备案。</w:t>
      </w:r>
    </w:p>
    <w:p w14:paraId="0367F1D6">
      <w:pPr>
        <w:pStyle w:val="7"/>
        <w:keepNext w:val="0"/>
        <w:keepLines w:val="0"/>
        <w:spacing w:before="0" w:after="0" w:line="360" w:lineRule="auto"/>
        <w:ind w:firstLine="315" w:firstLineChars="15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29.5出现下列情形之一的，应予废标：</w:t>
      </w:r>
    </w:p>
    <w:p w14:paraId="50DBFB71">
      <w:pPr>
        <w:pStyle w:val="7"/>
        <w:keepNext w:val="0"/>
        <w:keepLines w:val="0"/>
        <w:spacing w:before="0" w:after="0" w:line="360" w:lineRule="auto"/>
        <w:ind w:firstLine="315" w:firstLineChars="15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（1）符合专业条件的供应商或者对招标文件作实质响应的供应商不足三家的；</w:t>
      </w:r>
    </w:p>
    <w:p w14:paraId="327CB916">
      <w:pPr>
        <w:pStyle w:val="7"/>
        <w:keepNext w:val="0"/>
        <w:keepLines w:val="0"/>
        <w:spacing w:before="0" w:after="0" w:line="360" w:lineRule="auto"/>
        <w:ind w:firstLine="315" w:firstLineChars="15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（2）出现影响采购公正的违法、违规行为的；</w:t>
      </w:r>
    </w:p>
    <w:p w14:paraId="379334B0">
      <w:pPr>
        <w:pStyle w:val="7"/>
        <w:keepNext w:val="0"/>
        <w:keepLines w:val="0"/>
        <w:spacing w:before="0" w:after="0" w:line="360" w:lineRule="auto"/>
        <w:ind w:firstLine="315" w:firstLineChars="15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（3）投标人的报价均超过了采购预算，采购人不能支付的；</w:t>
      </w:r>
    </w:p>
    <w:p w14:paraId="259D0D9E">
      <w:pPr>
        <w:pStyle w:val="7"/>
        <w:keepNext w:val="0"/>
        <w:keepLines w:val="0"/>
        <w:spacing w:before="0" w:after="0" w:line="360" w:lineRule="auto"/>
        <w:ind w:firstLine="315" w:firstLineChars="15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（4）因重大变故，采购任务取消的。</w:t>
      </w:r>
    </w:p>
    <w:p w14:paraId="15A9302E">
      <w:pPr>
        <w:pStyle w:val="7"/>
        <w:keepNext w:val="0"/>
        <w:keepLines w:val="0"/>
        <w:spacing w:before="0" w:after="0" w:line="360" w:lineRule="auto"/>
        <w:ind w:firstLine="315" w:firstLineChars="15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废标后，采购人应当将废标理由通知所有投标人。</w:t>
      </w:r>
    </w:p>
    <w:p w14:paraId="1C0A60B7">
      <w:pPr>
        <w:rPr>
          <w:rFonts w:hint="eastAsia" w:ascii="宋体" w:hAnsi="宋体" w:eastAsia="宋体" w:cs="宋体"/>
          <w:color w:val="auto"/>
          <w:highlight w:val="none"/>
        </w:rPr>
      </w:pPr>
      <w:bookmarkStart w:id="118" w:name="_Toc254970687"/>
      <w:bookmarkStart w:id="119" w:name="_Toc254970546"/>
      <w:r>
        <w:rPr>
          <w:rFonts w:hint="eastAsia" w:ascii="宋体" w:hAnsi="宋体" w:eastAsia="宋体" w:cs="宋体"/>
          <w:color w:val="auto"/>
          <w:highlight w:val="none"/>
        </w:rPr>
        <w:br w:type="page"/>
      </w:r>
    </w:p>
    <w:p w14:paraId="1EE92D26">
      <w:pPr>
        <w:pStyle w:val="5"/>
        <w:keepNext w:val="0"/>
        <w:keepLines w:val="0"/>
        <w:jc w:val="center"/>
        <w:rPr>
          <w:rFonts w:hint="eastAsia" w:ascii="宋体" w:hAnsi="宋体" w:eastAsia="宋体" w:cs="宋体"/>
          <w:color w:val="auto"/>
          <w:highlight w:val="none"/>
        </w:rPr>
      </w:pPr>
      <w:r>
        <w:rPr>
          <w:rFonts w:hint="eastAsia" w:ascii="宋体" w:hAnsi="宋体" w:eastAsia="宋体" w:cs="宋体"/>
          <w:color w:val="auto"/>
          <w:highlight w:val="none"/>
        </w:rPr>
        <w:t>七、</w:t>
      </w:r>
      <w:bookmarkEnd w:id="118"/>
      <w:bookmarkEnd w:id="119"/>
      <w:r>
        <w:rPr>
          <w:rFonts w:hint="eastAsia" w:ascii="宋体" w:hAnsi="宋体" w:eastAsia="宋体" w:cs="宋体"/>
          <w:color w:val="auto"/>
          <w:highlight w:val="none"/>
        </w:rPr>
        <w:t>中标和合同</w:t>
      </w:r>
    </w:p>
    <w:p w14:paraId="080A1D82">
      <w:pPr>
        <w:pStyle w:val="7"/>
        <w:keepNext w:val="0"/>
        <w:keepLines w:val="0"/>
        <w:spacing w:before="0" w:after="0" w:line="360" w:lineRule="auto"/>
        <w:ind w:left="420" w:left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30确定中标人</w:t>
      </w:r>
    </w:p>
    <w:p w14:paraId="4F34789B">
      <w:pPr>
        <w:pStyle w:val="7"/>
        <w:keepNext w:val="0"/>
        <w:keepLines w:val="0"/>
        <w:spacing w:before="0" w:after="0" w:line="360" w:lineRule="auto"/>
        <w:ind w:firstLine="315" w:firstLineChars="15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30.1采购代理机构在评标结束之日起2个工作日内将评标报告送采购人，采购人在收到评标报告之日起5个工作日内，在评标报告确定的中标候选人名单中按顺序确定中标人。中标候选人并列的，按照“投标人须知前附表”规定的方式确定中标人。采购人也可以事先授权评标委员会直接确定中标人。</w:t>
      </w:r>
    </w:p>
    <w:p w14:paraId="60F8B4DA">
      <w:pPr>
        <w:pStyle w:val="7"/>
        <w:keepNext w:val="0"/>
        <w:keepLines w:val="0"/>
        <w:spacing w:before="0" w:after="0" w:line="360" w:lineRule="auto"/>
        <w:ind w:firstLine="315" w:firstLineChars="15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30.2采购人在收到评标报告5个工作日内未按评标报告推荐的中标候选人顺序确定中标人，又不能说明合法理由的，视同按评标报告推荐的顺序确定排名第一的中标候选人为中标人。</w:t>
      </w:r>
    </w:p>
    <w:p w14:paraId="2110316C">
      <w:pPr>
        <w:pStyle w:val="7"/>
        <w:keepNext w:val="0"/>
        <w:keepLines w:val="0"/>
        <w:spacing w:before="0" w:after="0" w:line="360" w:lineRule="auto"/>
        <w:ind w:firstLine="315" w:firstLineChars="15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30.3出现下列情形之一的，应予废标：</w:t>
      </w:r>
    </w:p>
    <w:p w14:paraId="61DC3BAE">
      <w:pPr>
        <w:pStyle w:val="7"/>
        <w:keepNext w:val="0"/>
        <w:keepLines w:val="0"/>
        <w:spacing w:before="0" w:after="0" w:line="360" w:lineRule="auto"/>
        <w:ind w:firstLine="315" w:firstLineChars="15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（1）符合专业条件的供应商或者对招标文件作实质响应的供应商不足三家的；</w:t>
      </w:r>
    </w:p>
    <w:p w14:paraId="0DC89D3B">
      <w:pPr>
        <w:pStyle w:val="7"/>
        <w:keepNext w:val="0"/>
        <w:keepLines w:val="0"/>
        <w:spacing w:before="0" w:after="0" w:line="360" w:lineRule="auto"/>
        <w:ind w:firstLine="315" w:firstLineChars="15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（2）出现影响采购公正的违法、违规行为的；</w:t>
      </w:r>
    </w:p>
    <w:p w14:paraId="3FC8FFD3">
      <w:pPr>
        <w:pStyle w:val="7"/>
        <w:keepNext w:val="0"/>
        <w:keepLines w:val="0"/>
        <w:spacing w:before="0" w:after="0" w:line="360" w:lineRule="auto"/>
        <w:ind w:firstLine="315" w:firstLineChars="15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（3）投标人的报价均超过了采购预算，采购人不能支付的；</w:t>
      </w:r>
    </w:p>
    <w:p w14:paraId="08F77E8E">
      <w:pPr>
        <w:pStyle w:val="7"/>
        <w:keepNext w:val="0"/>
        <w:keepLines w:val="0"/>
        <w:spacing w:before="0" w:after="0" w:line="360" w:lineRule="auto"/>
        <w:ind w:firstLine="315" w:firstLineChars="15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（4）因重大变故，采购任务取消的。</w:t>
      </w:r>
    </w:p>
    <w:p w14:paraId="0887E47A">
      <w:pPr>
        <w:pStyle w:val="7"/>
        <w:keepNext w:val="0"/>
        <w:keepLines w:val="0"/>
        <w:spacing w:before="0" w:after="0" w:line="360" w:lineRule="auto"/>
        <w:ind w:firstLine="315" w:firstLineChars="150"/>
        <w:rPr>
          <w:rFonts w:hint="eastAsia" w:ascii="宋体" w:hAnsi="宋体" w:eastAsia="宋体" w:cs="宋体"/>
          <w:color w:val="auto"/>
          <w:szCs w:val="21"/>
          <w:highlight w:val="none"/>
        </w:rPr>
      </w:pPr>
      <w:r>
        <w:rPr>
          <w:rFonts w:hint="eastAsia" w:ascii="宋体" w:hAnsi="宋体" w:eastAsia="宋体" w:cs="宋体"/>
          <w:b w:val="0"/>
          <w:color w:val="auto"/>
          <w:sz w:val="21"/>
          <w:szCs w:val="21"/>
          <w:highlight w:val="none"/>
        </w:rPr>
        <w:t>废标后，采购人应当将废标理由通知所有投标人</w:t>
      </w:r>
      <w:r>
        <w:rPr>
          <w:rFonts w:hint="eastAsia" w:ascii="宋体" w:hAnsi="宋体" w:eastAsia="宋体" w:cs="宋体"/>
          <w:color w:val="auto"/>
          <w:szCs w:val="21"/>
          <w:highlight w:val="none"/>
        </w:rPr>
        <w:t>。</w:t>
      </w:r>
    </w:p>
    <w:p w14:paraId="74A8301D">
      <w:pPr>
        <w:pStyle w:val="7"/>
        <w:keepNext w:val="0"/>
        <w:keepLines w:val="0"/>
        <w:spacing w:before="0" w:after="0" w:line="360" w:lineRule="auto"/>
        <w:ind w:left="420" w:left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31. 结果公告</w:t>
      </w:r>
    </w:p>
    <w:p w14:paraId="05D6246C">
      <w:pPr>
        <w:pStyle w:val="7"/>
        <w:keepNext w:val="0"/>
        <w:keepLines w:val="0"/>
        <w:spacing w:before="0" w:after="0" w:line="360" w:lineRule="auto"/>
        <w:ind w:firstLine="315" w:firstLineChars="15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31.1采购人或者采购代理机构应当自中标人确定之日起2个工作日内，在省级以上财政部门指定的媒体上公告中标结果，招标文件应当随中标结果同时公告。采购人或者采购代理发出中标通知书前，应当对中标人信用进行查询，对列入失信被执行人、</w:t>
      </w:r>
      <w:r>
        <w:rPr>
          <w:rFonts w:hint="eastAsia" w:ascii="宋体" w:hAnsi="宋体" w:eastAsia="宋体" w:cs="宋体"/>
          <w:b w:val="0"/>
          <w:color w:val="auto"/>
          <w:sz w:val="21"/>
          <w:szCs w:val="21"/>
          <w:highlight w:val="none"/>
        </w:rPr>
        <w:t>重大税收违法</w:t>
      </w:r>
      <w:r>
        <w:rPr>
          <w:rFonts w:hint="eastAsia" w:ascii="宋体" w:hAnsi="宋体" w:eastAsia="宋体" w:cs="宋体"/>
          <w:b w:val="0"/>
          <w:color w:val="auto"/>
          <w:sz w:val="21"/>
          <w:szCs w:val="21"/>
          <w:highlight w:val="none"/>
          <w:lang w:val="en-US" w:eastAsia="zh-CN"/>
        </w:rPr>
        <w:t>失信主体</w:t>
      </w:r>
      <w:r>
        <w:rPr>
          <w:rFonts w:hint="eastAsia" w:ascii="宋体" w:hAnsi="宋体" w:eastAsia="宋体" w:cs="宋体"/>
          <w:b w:val="0"/>
          <w:color w:val="auto"/>
          <w:sz w:val="21"/>
          <w:szCs w:val="21"/>
          <w:highlight w:val="none"/>
        </w:rPr>
        <w:t>名单</w:t>
      </w:r>
      <w:r>
        <w:rPr>
          <w:rFonts w:hint="eastAsia" w:ascii="宋体" w:hAnsi="宋体" w:eastAsia="宋体" w:cs="宋体"/>
          <w:b w:val="0"/>
          <w:color w:val="auto"/>
          <w:sz w:val="21"/>
          <w:szCs w:val="21"/>
          <w:highlight w:val="none"/>
        </w:rPr>
        <w:t>、政府采购严重违法失信行为记录名单及其他不符合《中华人民共和国政府采购法》第二十二条规定条件的投标人，取消其中标资格，并确定排名第二的中标候选人为中标人。排名第二的中标候选人因前款规定的同样原因被取消中标资格的，采购人可以确定排名第三的中标候选人为中标人，以此类推。</w:t>
      </w:r>
    </w:p>
    <w:p w14:paraId="67999AC5">
      <w:pPr>
        <w:pStyle w:val="7"/>
        <w:keepNext w:val="0"/>
        <w:keepLines w:val="0"/>
        <w:spacing w:before="0" w:after="0" w:line="360" w:lineRule="auto"/>
        <w:ind w:firstLine="315" w:firstLineChars="15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以上信息查询记录及相关证据与采购文件一并保存。</w:t>
      </w:r>
    </w:p>
    <w:p w14:paraId="07C3C06A">
      <w:pPr>
        <w:pStyle w:val="7"/>
        <w:keepNext w:val="0"/>
        <w:keepLines w:val="0"/>
        <w:spacing w:before="0" w:after="0" w:line="360" w:lineRule="auto"/>
        <w:ind w:firstLine="315" w:firstLineChars="15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31.2中标供应商享受《政府采购促进中小企业发展管理办法》（财库〔2020〕46号）规定的中小企业扶持政策的，采购人、采购代理机构应当随中标结果公开中标供应商的《中小企业声明函》。</w:t>
      </w:r>
    </w:p>
    <w:p w14:paraId="52526929">
      <w:pPr>
        <w:pStyle w:val="7"/>
        <w:keepNext w:val="0"/>
        <w:keepLines w:val="0"/>
        <w:spacing w:before="0" w:after="0" w:line="360" w:lineRule="auto"/>
        <w:ind w:left="420" w:left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32.发出中标通知书</w:t>
      </w:r>
    </w:p>
    <w:p w14:paraId="501D418C">
      <w:pPr>
        <w:pStyle w:val="7"/>
        <w:keepNext w:val="0"/>
        <w:keepLines w:val="0"/>
        <w:spacing w:before="0" w:after="0" w:line="360" w:lineRule="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 xml:space="preserve">    在发布中标公告的同时，采购代理机构向中标人通过“广西政府采购云平台”发出电子中标通知书。对未通过资格审查的投标人，应当告知其未通过的原因；采用综合评分办法评审的，还应当告知未中标人本人的评审得分与排序。</w:t>
      </w:r>
    </w:p>
    <w:p w14:paraId="3EFB3FD6">
      <w:pPr>
        <w:pStyle w:val="7"/>
        <w:keepNext w:val="0"/>
        <w:keepLines w:val="0"/>
        <w:spacing w:before="0" w:after="0" w:line="360" w:lineRule="auto"/>
        <w:ind w:left="420" w:left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33. 无义务解释未中标原因</w:t>
      </w:r>
    </w:p>
    <w:p w14:paraId="368E76D5">
      <w:pPr>
        <w:pStyle w:val="7"/>
        <w:keepNext w:val="0"/>
        <w:keepLines w:val="0"/>
        <w:spacing w:before="0" w:after="0" w:line="360" w:lineRule="auto"/>
        <w:ind w:left="420" w:left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采购代理机构无义务向未中标的投标人解释未中标原因。</w:t>
      </w:r>
    </w:p>
    <w:p w14:paraId="779421B2">
      <w:pPr>
        <w:pStyle w:val="7"/>
        <w:keepNext w:val="0"/>
        <w:keepLines w:val="0"/>
        <w:spacing w:before="0" w:after="0" w:line="360" w:lineRule="auto"/>
        <w:ind w:left="420" w:left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34.合同授予标准</w:t>
      </w:r>
    </w:p>
    <w:p w14:paraId="3738631D">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合同将授予被确定实质上响应招标文件要求，具备履行合同能力的中标人。</w:t>
      </w:r>
    </w:p>
    <w:p w14:paraId="5DCD0BA8">
      <w:pPr>
        <w:pStyle w:val="7"/>
        <w:keepNext w:val="0"/>
        <w:keepLines w:val="0"/>
        <w:spacing w:before="0" w:after="0" w:line="360" w:lineRule="auto"/>
        <w:ind w:left="420" w:left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35.履约保证金</w:t>
      </w:r>
    </w:p>
    <w:p w14:paraId="794909A2">
      <w:pPr>
        <w:pStyle w:val="7"/>
        <w:keepNext w:val="0"/>
        <w:keepLines w:val="0"/>
        <w:spacing w:before="0" w:after="0" w:line="360" w:lineRule="auto"/>
        <w:ind w:firstLine="315" w:firstLineChars="150"/>
        <w:rPr>
          <w:rFonts w:hint="eastAsia" w:ascii="宋体" w:hAnsi="宋体" w:eastAsia="宋体" w:cs="宋体"/>
          <w:b w:val="0"/>
          <w:color w:val="auto"/>
          <w:sz w:val="21"/>
          <w:szCs w:val="21"/>
          <w:highlight w:val="none"/>
        </w:rPr>
      </w:pPr>
      <w:bookmarkStart w:id="120" w:name="_39.1中标人须于签订合同前按本须知前附表规定的金额转账或电汇到指定账"/>
      <w:bookmarkEnd w:id="120"/>
      <w:r>
        <w:rPr>
          <w:rFonts w:hint="eastAsia" w:ascii="宋体" w:hAnsi="宋体" w:eastAsia="宋体" w:cs="宋体"/>
          <w:b w:val="0"/>
          <w:color w:val="auto"/>
          <w:sz w:val="21"/>
          <w:szCs w:val="21"/>
          <w:highlight w:val="none"/>
        </w:rPr>
        <w:t>35.1 履约保证金的金额、提交方式、退付的时间和条件详见 “投标人须知前附表”。中标人未按规定提交履约保证金的，视为拒绝与采购人签订合同。</w:t>
      </w:r>
    </w:p>
    <w:p w14:paraId="33C380C5">
      <w:pPr>
        <w:pStyle w:val="7"/>
        <w:keepNext w:val="0"/>
        <w:keepLines w:val="0"/>
        <w:spacing w:before="0" w:after="0" w:line="360" w:lineRule="auto"/>
        <w:ind w:firstLine="315" w:firstLineChars="150"/>
        <w:rPr>
          <w:rFonts w:hint="eastAsia" w:ascii="宋体" w:hAnsi="宋体" w:eastAsia="宋体" w:cs="宋体"/>
          <w:color w:val="auto"/>
          <w:sz w:val="21"/>
          <w:szCs w:val="21"/>
          <w:highlight w:val="none"/>
        </w:rPr>
      </w:pPr>
      <w:r>
        <w:rPr>
          <w:rFonts w:hint="eastAsia" w:ascii="宋体" w:hAnsi="宋体" w:eastAsia="宋体" w:cs="宋体"/>
          <w:b w:val="0"/>
          <w:bCs/>
          <w:color w:val="auto"/>
          <w:sz w:val="21"/>
          <w:szCs w:val="21"/>
          <w:highlight w:val="none"/>
        </w:rPr>
        <w:t>35.2在履约保证金退还日期前，若中标人的开户名称、开户银行、账号有变动的，请以书面形式通知履约保证金收取单位，否则由此产生的后果由中标人自行承担。</w:t>
      </w:r>
    </w:p>
    <w:p w14:paraId="24B6B18C">
      <w:pPr>
        <w:pStyle w:val="7"/>
        <w:keepNext w:val="0"/>
        <w:keepLines w:val="0"/>
        <w:spacing w:before="0" w:after="0" w:line="360" w:lineRule="auto"/>
        <w:ind w:left="420" w:left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36.签订合同</w:t>
      </w:r>
    </w:p>
    <w:p w14:paraId="259FA82A">
      <w:pPr>
        <w:pStyle w:val="7"/>
        <w:keepNext w:val="0"/>
        <w:keepLines w:val="0"/>
        <w:spacing w:before="0" w:after="0" w:line="360" w:lineRule="auto"/>
        <w:ind w:firstLine="316" w:firstLineChars="150"/>
        <w:rPr>
          <w:rFonts w:hint="eastAsia" w:ascii="宋体" w:hAnsi="宋体" w:eastAsia="宋体" w:cs="宋体"/>
          <w:b w:val="0"/>
          <w:color w:val="auto"/>
          <w:sz w:val="21"/>
          <w:szCs w:val="21"/>
          <w:highlight w:val="none"/>
        </w:rPr>
      </w:pPr>
      <w:bookmarkStart w:id="121" w:name="_40.1投标人接到中标通知书后，按须知前附表规定向采购人出示相关资格证"/>
      <w:bookmarkEnd w:id="121"/>
      <w:r>
        <w:rPr>
          <w:rFonts w:hint="eastAsia" w:ascii="宋体" w:hAnsi="宋体" w:eastAsia="宋体" w:cs="宋体"/>
          <w:color w:val="auto"/>
          <w:sz w:val="21"/>
          <w:szCs w:val="21"/>
          <w:highlight w:val="none"/>
        </w:rPr>
        <w:t xml:space="preserve"> 36.1签订电子采购合同：中标人领取电子中标通知书后，</w:t>
      </w:r>
      <w:r>
        <w:rPr>
          <w:rFonts w:hint="eastAsia" w:ascii="宋体" w:hAnsi="宋体" w:eastAsia="宋体" w:cs="宋体"/>
          <w:color w:val="auto"/>
          <w:kern w:val="0"/>
          <w:sz w:val="21"/>
          <w:szCs w:val="21"/>
          <w:highlight w:val="none"/>
        </w:rPr>
        <w:t>在</w:t>
      </w:r>
      <w:r>
        <w:rPr>
          <w:rFonts w:hint="eastAsia" w:ascii="宋体" w:hAnsi="宋体" w:eastAsia="宋体" w:cs="宋体"/>
          <w:color w:val="auto"/>
          <w:kern w:val="0"/>
          <w:sz w:val="21"/>
          <w:szCs w:val="21"/>
          <w:highlight w:val="none"/>
          <w:lang w:val="zh-CN"/>
        </w:rPr>
        <w:t>规定的日期、时间、地点，由法定代表人或其授权代表与采购人代表签订电子采购合同。</w:t>
      </w:r>
    </w:p>
    <w:p w14:paraId="1D64AE9A">
      <w:pPr>
        <w:pStyle w:val="7"/>
        <w:keepNext w:val="0"/>
        <w:keepLines w:val="0"/>
        <w:spacing w:before="0" w:after="0" w:line="360" w:lineRule="auto"/>
        <w:ind w:firstLine="315" w:firstLineChars="15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 xml:space="preserve"> 线下签订纸质合同：投标人领取中标通知书后，按“投标人须知前附表”规定向采购人出示相关证明材料，经采购人核验合格后方可签订合同。</w:t>
      </w:r>
    </w:p>
    <w:p w14:paraId="7B82D858">
      <w:pPr>
        <w:pStyle w:val="7"/>
        <w:keepNext w:val="0"/>
        <w:keepLines w:val="0"/>
        <w:numPr>
          <w:ilvl w:val="0"/>
          <w:numId w:val="0"/>
        </w:numPr>
        <w:spacing w:before="0" w:after="0" w:line="360" w:lineRule="auto"/>
        <w:ind w:firstLine="420" w:firstLine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36.2签订合同时间：按中标通知书规定的时间与采购人签订合同。</w:t>
      </w:r>
    </w:p>
    <w:p w14:paraId="32C22FFC">
      <w:pPr>
        <w:pStyle w:val="7"/>
        <w:keepNext w:val="0"/>
        <w:keepLines w:val="0"/>
        <w:spacing w:before="0" w:after="0" w:line="360" w:lineRule="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 xml:space="preserve">    36.3中标人拒绝签订政府采购合同（包括但不限于放弃中标、因不可抗力不能履行合同而放弃签订合同），采购人可以按照评审报告推荐的中标候选人名单排序，确定下一候选人为中标供应商，也可以重新开展政府采购活动。如采购人无正当理由拒签合同的，给中标供应商造成损失的，中标供应商可追究采购人承担相应的法律责任。</w:t>
      </w:r>
    </w:p>
    <w:p w14:paraId="58C9F7F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36.4政府采购合同是政府采购项目验收的依据，中标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3A80A9E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36.5采购人或中标供应商不得单方面向合同另一方提出任何招标文件没有约定的条件或不合理的要求，作为签订合同的条件；也不得协商另行订立背离招标文件和合同实质性内容的协议。</w:t>
      </w:r>
    </w:p>
    <w:p w14:paraId="490109A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36.6如签订合同并生效后，供应商无故拒绝或延期，除按照合同条款处理外，将承担相应的法律责任。</w:t>
      </w:r>
    </w:p>
    <w:p w14:paraId="5DFD191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36.7政府采购合同履行中，采购人需追加与合同标的相同的货物、工程或者服务的，在不改变合同其他条款的前提下，可以与供应商协商签订补充合同，但所有补充合同的采购金额不得超过原合同采购金额的10%。</w:t>
      </w:r>
    </w:p>
    <w:p w14:paraId="2A27E54C">
      <w:pPr>
        <w:pStyle w:val="7"/>
        <w:keepNext w:val="0"/>
        <w:keepLines w:val="0"/>
        <w:spacing w:before="0" w:after="0" w:line="360" w:lineRule="auto"/>
        <w:ind w:left="420" w:leftChars="200"/>
        <w:rPr>
          <w:rFonts w:hint="eastAsia" w:ascii="宋体" w:hAnsi="宋体" w:eastAsia="宋体" w:cs="宋体"/>
          <w:color w:val="auto"/>
          <w:sz w:val="24"/>
          <w:highlight w:val="none"/>
        </w:rPr>
      </w:pPr>
      <w:bookmarkStart w:id="122" w:name="_41.政府采购合同公告"/>
      <w:bookmarkEnd w:id="122"/>
      <w:r>
        <w:rPr>
          <w:rFonts w:hint="eastAsia" w:ascii="宋体" w:hAnsi="宋体" w:eastAsia="宋体" w:cs="宋体"/>
          <w:color w:val="auto"/>
          <w:sz w:val="24"/>
          <w:highlight w:val="none"/>
        </w:rPr>
        <w:t>37.政府采购合同公告</w:t>
      </w:r>
    </w:p>
    <w:p w14:paraId="4A7B9B7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采购人或者受托采购代理机构应当自政府采购合同签订之日起2个工作日内，将政府采购合同在省级以上人民政府财政部门指定的媒体上公告，但政府采购合同中涉及国家秘密、商业秘密的内容除外。</w:t>
      </w:r>
    </w:p>
    <w:p w14:paraId="18F1861F">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38. 询问、质疑和投诉</w:t>
      </w:r>
    </w:p>
    <w:p w14:paraId="07F60E91">
      <w:pPr>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38.1询问</w:t>
      </w:r>
    </w:p>
    <w:p w14:paraId="1B43F540">
      <w:pP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38.1.1供应商在开标前对政府采购活动事项有疑问的，可以向采购人或采购代理机构项目负责人提出询问。</w:t>
      </w:r>
    </w:p>
    <w:p w14:paraId="7D342B87">
      <w:pP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38.1.2采购人或采购人委托的采购代理机构自受理询问之日起3个工作日内对供应商依法提出的询问作出答复，</w:t>
      </w:r>
      <w:r>
        <w:rPr>
          <w:rFonts w:hint="eastAsia" w:ascii="宋体" w:hAnsi="宋体" w:eastAsia="宋体" w:cs="宋体"/>
          <w:color w:val="auto"/>
          <w:highlight w:val="none"/>
        </w:rPr>
        <w:t>但答复内容不得涉及商业秘密</w:t>
      </w:r>
      <w:r>
        <w:rPr>
          <w:rFonts w:hint="eastAsia" w:ascii="宋体" w:hAnsi="宋体" w:eastAsia="宋体" w:cs="宋体"/>
          <w:bCs/>
          <w:color w:val="auto"/>
          <w:szCs w:val="21"/>
          <w:highlight w:val="none"/>
        </w:rPr>
        <w:t>。</w:t>
      </w:r>
    </w:p>
    <w:p w14:paraId="3048DA49">
      <w:pP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38.1.3 询问事项可能影响中标、成交结果的，采购人应当暂停签订合同，已经签订合同的，应当中止履行合同。</w:t>
      </w:r>
    </w:p>
    <w:p w14:paraId="43AFF6DF">
      <w:pPr>
        <w:spacing w:line="360" w:lineRule="auto"/>
        <w:ind w:firstLine="422" w:firstLineChars="200"/>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 xml:space="preserve"> </w:t>
      </w:r>
      <w:r>
        <w:rPr>
          <w:rFonts w:hint="eastAsia" w:ascii="宋体" w:hAnsi="宋体" w:eastAsia="宋体" w:cs="宋体"/>
          <w:color w:val="auto"/>
          <w:szCs w:val="21"/>
          <w:highlight w:val="none"/>
        </w:rPr>
        <w:t>38.2质疑</w:t>
      </w:r>
    </w:p>
    <w:p w14:paraId="4AB8EEF3">
      <w:pPr>
        <w:spacing w:line="360" w:lineRule="auto"/>
        <w:ind w:firstLine="420" w:firstLineChars="200"/>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38.2.1</w:t>
      </w:r>
      <w:r>
        <w:rPr>
          <w:rFonts w:hint="eastAsia" w:ascii="宋体" w:hAnsi="宋体" w:eastAsia="宋体" w:cs="宋体"/>
          <w:b/>
          <w:color w:val="auto"/>
          <w:szCs w:val="21"/>
          <w:highlight w:val="none"/>
        </w:rPr>
        <w:t xml:space="preserve">供应商认为招标文件、采购过程或者中标结果使自己的合法权益受到损害的，必须在知道或者应知其权益受到损害之日起7个工作日内，以书面形式向采购人、采购代理机构提出质疑，质疑有效期结束后，采购人或采购代理机构不再受理该项目质疑。采购人、采购代理机构接收质疑函的方式、联系部门、联系电话和通讯地址等信息详见“投标人须知前附表”。具体质疑起算时间及处理方式如下： </w:t>
      </w:r>
    </w:p>
    <w:p w14:paraId="21A94291">
      <w:pPr>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（1）潜在供应商依法获取公开招标文件后，认为采购文件使自己的权益受到损害的，应当在公开招标文件公告期限届满之日起7个工作日内提出质疑。</w:t>
      </w:r>
      <w:r>
        <w:rPr>
          <w:rFonts w:hint="eastAsia" w:ascii="宋体" w:hAnsi="宋体" w:eastAsia="宋体" w:cs="宋体"/>
          <w:color w:val="auto"/>
          <w:highlight w:val="none"/>
        </w:rPr>
        <w:t>委托代理协议无特殊约定的，</w:t>
      </w:r>
      <w:r>
        <w:rPr>
          <w:rFonts w:hint="eastAsia" w:ascii="宋体" w:hAnsi="宋体" w:eastAsia="宋体" w:cs="宋体"/>
          <w:bCs/>
          <w:color w:val="auto"/>
          <w:highlight w:val="none"/>
        </w:rPr>
        <w:t>对公开招标文件中采购需求（含资格要求、采购预算和评分办法）的质疑由采购人受理并负责答复；对公开招标文件中的采购执行程序的质疑由采购代理机构受理并负责答复。</w:t>
      </w:r>
    </w:p>
    <w:p w14:paraId="001E42C1">
      <w:pPr>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2）供应商认为采购过程使自己的权益受到损害的，应当在各采购程序环节结束之日起7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3EBD3491">
      <w:pPr>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（3）供应商认为中标或者成交结果使自己的权益受到损害的，应当在中标或者成交结果公告期限届满之日起7个工作日内提出质疑，由采购人受理并负责答复。</w:t>
      </w:r>
    </w:p>
    <w:p w14:paraId="43E180EE">
      <w:pPr>
        <w:spacing w:line="360" w:lineRule="auto"/>
        <w:ind w:firstLine="422" w:firstLineChars="200"/>
        <w:rPr>
          <w:rFonts w:hint="eastAsia" w:ascii="宋体" w:hAnsi="宋体" w:eastAsia="宋体" w:cs="宋体"/>
          <w:bCs/>
          <w:color w:val="auto"/>
          <w:szCs w:val="21"/>
          <w:highlight w:val="none"/>
        </w:rPr>
      </w:pPr>
      <w:r>
        <w:rPr>
          <w:rFonts w:hint="eastAsia" w:ascii="宋体" w:hAnsi="宋体" w:eastAsia="宋体" w:cs="宋体"/>
          <w:b/>
          <w:bCs/>
          <w:color w:val="auto"/>
          <w:szCs w:val="21"/>
          <w:highlight w:val="none"/>
        </w:rPr>
        <w:t>38.2.2</w:t>
      </w:r>
      <w:r>
        <w:rPr>
          <w:rFonts w:hint="eastAsia" w:ascii="宋体" w:hAnsi="宋体" w:eastAsia="宋体" w:cs="宋体"/>
          <w:bCs/>
          <w:color w:val="auto"/>
          <w:szCs w:val="21"/>
          <w:highlight w:val="none"/>
        </w:rPr>
        <w:t>供应商质疑实行实名制，其质疑应当有具体的质疑事项及事实根据，质疑应当坚持依法依规、诚实信用原则，不得进行虚假、恶意质疑。</w:t>
      </w:r>
    </w:p>
    <w:p w14:paraId="59A79E5C">
      <w:pPr>
        <w:spacing w:line="360" w:lineRule="auto"/>
        <w:ind w:firstLine="422" w:firstLineChars="200"/>
        <w:rPr>
          <w:rFonts w:hint="eastAsia" w:ascii="宋体" w:hAnsi="宋体" w:eastAsia="宋体" w:cs="宋体"/>
          <w:bCs/>
          <w:color w:val="auto"/>
          <w:highlight w:val="none"/>
        </w:rPr>
      </w:pPr>
      <w:r>
        <w:rPr>
          <w:rFonts w:hint="eastAsia" w:ascii="宋体" w:hAnsi="宋体" w:eastAsia="宋体" w:cs="宋体"/>
          <w:b/>
          <w:bCs/>
          <w:color w:val="auto"/>
          <w:highlight w:val="none"/>
        </w:rPr>
        <w:t>38.2.3</w:t>
      </w:r>
      <w:r>
        <w:rPr>
          <w:rFonts w:hint="eastAsia" w:ascii="宋体" w:hAnsi="宋体" w:eastAsia="宋体" w:cs="宋体"/>
          <w:bCs/>
          <w:color w:val="auto"/>
          <w:highlight w:val="none"/>
        </w:rPr>
        <w:t xml:space="preserve"> 质疑供应商可以委托代理人办理质疑事务。委托代理人应熟悉相关业务情况。代理人办理质疑事务时，除提交质疑书外，还应当提交质疑供应商的授权委托书和委托代理人身份证明复印件</w:t>
      </w:r>
      <w:r>
        <w:rPr>
          <w:rFonts w:hint="eastAsia" w:ascii="宋体" w:hAnsi="宋体" w:eastAsia="宋体" w:cs="宋体"/>
          <w:color w:val="auto"/>
          <w:highlight w:val="none"/>
        </w:rPr>
        <w:t>。</w:t>
      </w:r>
    </w:p>
    <w:p w14:paraId="15E2892B">
      <w:pPr>
        <w:spacing w:line="360" w:lineRule="auto"/>
        <w:ind w:firstLine="422" w:firstLineChars="200"/>
        <w:rPr>
          <w:rFonts w:hint="eastAsia" w:ascii="宋体" w:hAnsi="宋体" w:eastAsia="宋体" w:cs="宋体"/>
          <w:b/>
          <w:bCs/>
          <w:color w:val="auto"/>
          <w:highlight w:val="none"/>
        </w:rPr>
      </w:pPr>
      <w:r>
        <w:rPr>
          <w:rFonts w:hint="eastAsia" w:ascii="宋体" w:hAnsi="宋体" w:eastAsia="宋体" w:cs="宋体"/>
          <w:b/>
          <w:bCs/>
          <w:color w:val="auto"/>
          <w:highlight w:val="none"/>
        </w:rPr>
        <w:t>38.2.4 质疑供应商提起质疑应当符合下列条件：</w:t>
      </w:r>
    </w:p>
    <w:p w14:paraId="3BE6DDBB">
      <w:pPr>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（1）质疑供应商是参与所质疑</w:t>
      </w:r>
      <w:r>
        <w:rPr>
          <w:rFonts w:hint="eastAsia" w:ascii="宋体" w:hAnsi="宋体" w:eastAsia="宋体" w:cs="宋体"/>
          <w:bCs/>
          <w:color w:val="auto"/>
          <w:szCs w:val="21"/>
          <w:highlight w:val="none"/>
        </w:rPr>
        <w:t>项目</w:t>
      </w:r>
      <w:r>
        <w:rPr>
          <w:rFonts w:hint="eastAsia" w:ascii="宋体" w:hAnsi="宋体" w:eastAsia="宋体" w:cs="宋体"/>
          <w:bCs/>
          <w:color w:val="auto"/>
          <w:highlight w:val="none"/>
        </w:rPr>
        <w:t>采购活动的供应商（潜在供应商已依法获取可质疑的采购文件的，可以对该采购文件质疑）；</w:t>
      </w:r>
    </w:p>
    <w:p w14:paraId="760261B1">
      <w:pPr>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（2）质疑函内容符合本章第38.2.5项的规定；</w:t>
      </w:r>
    </w:p>
    <w:p w14:paraId="4451DC51">
      <w:pPr>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（3）在质疑有效期限内提起质疑；</w:t>
      </w:r>
    </w:p>
    <w:p w14:paraId="4B525321">
      <w:pPr>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（4）属于所质疑的采购人或采购人委托的采购代理机构组织的采购活动；</w:t>
      </w:r>
    </w:p>
    <w:p w14:paraId="6B82AD41">
      <w:pPr>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 xml:space="preserve">（5）同一质疑事项未经采购人或采购人委托的采购代理机构质疑处理； </w:t>
      </w:r>
    </w:p>
    <w:p w14:paraId="2FBEFE74">
      <w:pPr>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（6）供应商对同一采购程序环节的质疑应当在质疑有效期内一次性提出；</w:t>
      </w:r>
    </w:p>
    <w:p w14:paraId="77EDEB6F">
      <w:pPr>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（7）供应商提交质疑应当提交必要的证明材料，证明材料应以合法手段取得；</w:t>
      </w:r>
    </w:p>
    <w:p w14:paraId="3F453281">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bCs/>
          <w:color w:val="auto"/>
          <w:highlight w:val="none"/>
        </w:rPr>
        <w:t>（8）财政部门规定的其他条件。</w:t>
      </w:r>
    </w:p>
    <w:p w14:paraId="75071DAB">
      <w:pPr>
        <w:spacing w:line="360" w:lineRule="auto"/>
        <w:ind w:firstLine="420" w:firstLineChars="200"/>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 xml:space="preserve"> 38.2.5 </w:t>
      </w:r>
      <w:r>
        <w:rPr>
          <w:rFonts w:hint="eastAsia" w:ascii="宋体" w:hAnsi="宋体" w:eastAsia="宋体" w:cs="宋体"/>
          <w:bCs/>
          <w:color w:val="auto"/>
          <w:highlight w:val="none"/>
        </w:rPr>
        <w:t>供应商提出质疑应当提交质疑函和必要的证明材料，针对同一采购程序环节的质疑必须在法定质疑期内一次性提出。质疑函应当包括下列内容（质疑函格式后附）：</w:t>
      </w:r>
    </w:p>
    <w:p w14:paraId="4B7AA3CD">
      <w:pPr>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（1）供应商的姓名或者名称、地址、邮编、联系人及联系电话；</w:t>
      </w:r>
    </w:p>
    <w:p w14:paraId="7976A485">
      <w:pPr>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（2）质疑项目的名称、编号；</w:t>
      </w:r>
    </w:p>
    <w:p w14:paraId="16D896B7">
      <w:pPr>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（3）具体、明确的质疑事项和与质疑事项相关的请求；</w:t>
      </w:r>
    </w:p>
    <w:p w14:paraId="1C27CD53">
      <w:pPr>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（4）事实依据（列明权益受到损害的事实和理由）；</w:t>
      </w:r>
    </w:p>
    <w:p w14:paraId="63241D47">
      <w:pPr>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（5）必要的法律依据；</w:t>
      </w:r>
    </w:p>
    <w:p w14:paraId="7D163F1E">
      <w:pPr>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（6）提出质疑的日期。</w:t>
      </w:r>
    </w:p>
    <w:p w14:paraId="4E758C88">
      <w:pPr>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供应商为自然人的，应当由本人签字；供应商为法人或者其他组织的，应当由法定代表人、主要负责人，或者其委托代理人签字或者盖章，并加盖公章。</w:t>
      </w:r>
    </w:p>
    <w:p w14:paraId="3D23C205">
      <w:pPr>
        <w:spacing w:line="360" w:lineRule="auto"/>
        <w:ind w:firstLine="422" w:firstLineChars="200"/>
        <w:rPr>
          <w:rFonts w:hint="eastAsia" w:ascii="宋体" w:hAnsi="宋体" w:eastAsia="宋体" w:cs="宋体"/>
          <w:b/>
          <w:color w:val="auto"/>
          <w:szCs w:val="20"/>
          <w:highlight w:val="none"/>
        </w:rPr>
      </w:pPr>
      <w:r>
        <w:rPr>
          <w:rFonts w:hint="eastAsia" w:ascii="宋体" w:hAnsi="宋体" w:eastAsia="宋体" w:cs="宋体"/>
          <w:b/>
          <w:color w:val="auto"/>
          <w:szCs w:val="20"/>
          <w:highlight w:val="none"/>
        </w:rPr>
        <w:t>38.2.6采购人或采购人委托的采购代理机构在收到质疑函后7个工作日内作出答复，并以书面形式通知质疑供应商及其他有关供应商。对不符合质疑条件的质疑，答复不予受理，并说明理由；对符合质疑条件的质疑，对质疑事项作出答复</w:t>
      </w:r>
    </w:p>
    <w:p w14:paraId="3C904F08">
      <w:pP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bCs/>
          <w:color w:val="auto"/>
          <w:szCs w:val="21"/>
          <w:highlight w:val="none"/>
        </w:rPr>
        <w:t>8.2.7采购人、采购代理机构认为供应商质疑不成立，或者成立但未对中标结果构成影响的，继续开展采购活动；认为供应商质疑成立且影响或者可能影响中标结果的，按照下列情况处理：</w:t>
      </w:r>
    </w:p>
    <w:p w14:paraId="31BD1735">
      <w:pPr>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（一）对招标文件提出的质疑，依法通过澄清或者修改可以继续开展采购活动的，澄清或者修改招标文件后继续开展采购活动；否则应当修改招标文件后重新开展采购活动。</w:t>
      </w:r>
    </w:p>
    <w:p w14:paraId="3433B665">
      <w:pPr>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（二）对采购过程、中标结果提出的质疑，合格供应商符合法定数量时，可以从合格的中标候选人中另行确定中标人的，应当依法另行确定中标人；否则应当重新开展采购活动。</w:t>
      </w:r>
    </w:p>
    <w:p w14:paraId="5F410866">
      <w:pPr>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质疑答复导致中标结果改变的，采购人或者采购代理机构应当将有关情况书面报告本级财政部门。</w:t>
      </w:r>
    </w:p>
    <w:p w14:paraId="13F46449">
      <w:pPr>
        <w:spacing w:line="360" w:lineRule="auto"/>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38.3投诉</w:t>
      </w:r>
    </w:p>
    <w:p w14:paraId="7CDA7245">
      <w:pPr>
        <w:spacing w:line="360" w:lineRule="auto"/>
        <w:ind w:firstLine="422" w:firstLineChars="200"/>
        <w:rPr>
          <w:rFonts w:hint="eastAsia" w:ascii="宋体" w:hAnsi="宋体" w:eastAsia="宋体" w:cs="宋体"/>
          <w:bCs/>
          <w:color w:val="auto"/>
          <w:highlight w:val="none"/>
        </w:rPr>
      </w:pPr>
      <w:r>
        <w:rPr>
          <w:rFonts w:hint="eastAsia" w:ascii="宋体" w:hAnsi="宋体" w:eastAsia="宋体" w:cs="宋体"/>
          <w:b/>
          <w:color w:val="auto"/>
          <w:highlight w:val="none"/>
        </w:rPr>
        <w:t>38.3</w:t>
      </w:r>
      <w:r>
        <w:rPr>
          <w:rFonts w:hint="eastAsia" w:ascii="宋体" w:hAnsi="宋体" w:eastAsia="宋体" w:cs="宋体"/>
          <w:bCs/>
          <w:color w:val="auto"/>
          <w:highlight w:val="none"/>
        </w:rPr>
        <w:t>.</w:t>
      </w:r>
      <w:r>
        <w:rPr>
          <w:rFonts w:hint="eastAsia" w:ascii="宋体" w:hAnsi="宋体" w:eastAsia="宋体" w:cs="宋体"/>
          <w:b/>
          <w:bCs/>
          <w:color w:val="auto"/>
          <w:highlight w:val="none"/>
        </w:rPr>
        <w:t xml:space="preserve">1 </w:t>
      </w:r>
      <w:r>
        <w:rPr>
          <w:rFonts w:hint="eastAsia" w:ascii="宋体" w:hAnsi="宋体" w:eastAsia="宋体" w:cs="宋体"/>
          <w:bCs/>
          <w:color w:val="auto"/>
          <w:highlight w:val="none"/>
        </w:rPr>
        <w:t xml:space="preserve"> 供应商认为采购文件、采购过程、中标和成交结果使自己的合法权益受到损害的，应当首先依法向采购人或采购人委托的</w:t>
      </w:r>
      <w:r>
        <w:rPr>
          <w:rFonts w:hint="eastAsia" w:ascii="宋体" w:hAnsi="宋体" w:eastAsia="宋体" w:cs="宋体"/>
          <w:color w:val="auto"/>
          <w:highlight w:val="none"/>
        </w:rPr>
        <w:t>采购代理机构</w:t>
      </w:r>
      <w:r>
        <w:rPr>
          <w:rFonts w:hint="eastAsia" w:ascii="宋体" w:hAnsi="宋体" w:eastAsia="宋体" w:cs="宋体"/>
          <w:bCs/>
          <w:color w:val="auto"/>
          <w:highlight w:val="none"/>
        </w:rPr>
        <w:t>提出质疑。对采购人、</w:t>
      </w:r>
      <w:r>
        <w:rPr>
          <w:rFonts w:hint="eastAsia" w:ascii="宋体" w:hAnsi="宋体" w:eastAsia="宋体" w:cs="宋体"/>
          <w:color w:val="auto"/>
          <w:highlight w:val="none"/>
        </w:rPr>
        <w:t>采购代理机构</w:t>
      </w:r>
      <w:r>
        <w:rPr>
          <w:rFonts w:hint="eastAsia" w:ascii="宋体" w:hAnsi="宋体" w:eastAsia="宋体" w:cs="宋体"/>
          <w:bCs/>
          <w:color w:val="auto"/>
          <w:highlight w:val="none"/>
        </w:rPr>
        <w:t>的答复不满意，或者采购人、</w:t>
      </w:r>
      <w:r>
        <w:rPr>
          <w:rFonts w:hint="eastAsia" w:ascii="宋体" w:hAnsi="宋体" w:eastAsia="宋体" w:cs="宋体"/>
          <w:color w:val="auto"/>
          <w:highlight w:val="none"/>
        </w:rPr>
        <w:t>采购代理机构</w:t>
      </w:r>
      <w:r>
        <w:rPr>
          <w:rFonts w:hint="eastAsia" w:ascii="宋体" w:hAnsi="宋体" w:eastAsia="宋体" w:cs="宋体"/>
          <w:bCs/>
          <w:color w:val="auto"/>
          <w:highlight w:val="none"/>
        </w:rPr>
        <w:t>未在规定期限内作出答复的，供应商可以在答复期满后15个工作日内向政府采购监督管理部门提起投诉，投诉联系方式见“投标人须知前附表”。</w:t>
      </w:r>
    </w:p>
    <w:p w14:paraId="76B1B6D9">
      <w:pPr>
        <w:spacing w:line="360" w:lineRule="auto"/>
        <w:ind w:firstLine="422" w:firstLineChars="200"/>
        <w:rPr>
          <w:rFonts w:hint="eastAsia" w:ascii="宋体" w:hAnsi="宋体" w:eastAsia="宋体" w:cs="宋体"/>
          <w:bCs/>
          <w:color w:val="auto"/>
          <w:highlight w:val="none"/>
        </w:rPr>
      </w:pPr>
      <w:r>
        <w:rPr>
          <w:rFonts w:hint="eastAsia" w:ascii="宋体" w:hAnsi="宋体" w:eastAsia="宋体" w:cs="宋体"/>
          <w:b/>
          <w:color w:val="auto"/>
          <w:highlight w:val="none"/>
        </w:rPr>
        <w:t xml:space="preserve">38.3.2 </w:t>
      </w:r>
      <w:r>
        <w:rPr>
          <w:rFonts w:hint="eastAsia" w:ascii="宋体" w:hAnsi="宋体" w:eastAsia="宋体" w:cs="宋体"/>
          <w:color w:val="auto"/>
          <w:highlight w:val="none"/>
        </w:rPr>
        <w:t xml:space="preserve"> 投诉人投诉时，应当提交投诉书，并按照被投诉采购人、采购代理机构和与投诉事项有关的供应商数量提供投诉书的副本。投诉书</w:t>
      </w:r>
      <w:r>
        <w:rPr>
          <w:rFonts w:hint="eastAsia" w:ascii="宋体" w:hAnsi="宋体" w:eastAsia="宋体" w:cs="宋体"/>
          <w:color w:val="auto"/>
          <w:szCs w:val="21"/>
          <w:highlight w:val="none"/>
        </w:rPr>
        <w:t>应当包括下列主要内容</w:t>
      </w:r>
      <w:r>
        <w:rPr>
          <w:rFonts w:hint="eastAsia" w:ascii="宋体" w:hAnsi="宋体" w:eastAsia="宋体" w:cs="宋体"/>
          <w:color w:val="auto"/>
          <w:highlight w:val="none"/>
        </w:rPr>
        <w:t>（如材料中有外文资料应同时附上对应的中文译本）</w:t>
      </w:r>
      <w:r>
        <w:rPr>
          <w:rFonts w:hint="eastAsia" w:ascii="宋体" w:hAnsi="宋体" w:eastAsia="宋体" w:cs="宋体"/>
          <w:bCs/>
          <w:color w:val="auto"/>
          <w:highlight w:val="none"/>
        </w:rPr>
        <w:t>（投诉书格式后附）</w:t>
      </w:r>
      <w:r>
        <w:rPr>
          <w:rFonts w:hint="eastAsia" w:ascii="宋体" w:hAnsi="宋体" w:eastAsia="宋体" w:cs="宋体"/>
          <w:color w:val="auto"/>
          <w:szCs w:val="21"/>
          <w:highlight w:val="none"/>
        </w:rPr>
        <w:t>：</w:t>
      </w:r>
    </w:p>
    <w:p w14:paraId="6E7D644E">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（1）投诉人和被投诉人的名称、地址、邮编、联系人及联系电话等； </w:t>
      </w:r>
    </w:p>
    <w:p w14:paraId="0E37172C">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（2）质疑和质疑答复情况及相关证明材料； </w:t>
      </w:r>
    </w:p>
    <w:p w14:paraId="44F4B1C4">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（3）具体、明确的投诉事项和与投诉事项相关的投诉请求；</w:t>
      </w:r>
    </w:p>
    <w:p w14:paraId="11E2947A">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（4）事实依据；</w:t>
      </w:r>
    </w:p>
    <w:p w14:paraId="6E434895">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（5）法律依据；</w:t>
      </w:r>
    </w:p>
    <w:p w14:paraId="49208008">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（6）提起投诉的日期。</w:t>
      </w:r>
    </w:p>
    <w:p w14:paraId="3DD0D9EC">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（7）附件材料：营业执照副本内页复印件（要求证件有效并清晰反映企业法人经营范围）。</w:t>
      </w:r>
    </w:p>
    <w:p w14:paraId="0AF7D620">
      <w:pPr>
        <w:spacing w:line="360" w:lineRule="auto"/>
        <w:ind w:firstLine="422" w:firstLineChars="200"/>
        <w:rPr>
          <w:rFonts w:hint="eastAsia" w:ascii="宋体" w:hAnsi="宋体" w:eastAsia="宋体" w:cs="宋体"/>
          <w:bCs/>
          <w:color w:val="auto"/>
          <w:highlight w:val="none"/>
        </w:rPr>
      </w:pPr>
      <w:r>
        <w:rPr>
          <w:rFonts w:hint="eastAsia" w:ascii="宋体" w:hAnsi="宋体" w:eastAsia="宋体" w:cs="宋体"/>
          <w:b/>
          <w:color w:val="auto"/>
          <w:highlight w:val="none"/>
        </w:rPr>
        <w:t xml:space="preserve">38.3.3  </w:t>
      </w:r>
      <w:r>
        <w:rPr>
          <w:rFonts w:hint="eastAsia" w:ascii="宋体" w:hAnsi="宋体" w:eastAsia="宋体" w:cs="宋体"/>
          <w:color w:val="auto"/>
          <w:highlight w:val="none"/>
        </w:rPr>
        <w:t>投诉人可以委托代理人办理投诉事务。</w:t>
      </w:r>
      <w:r>
        <w:rPr>
          <w:rFonts w:hint="eastAsia" w:ascii="宋体" w:hAnsi="宋体" w:eastAsia="宋体" w:cs="宋体"/>
          <w:bCs/>
          <w:color w:val="auto"/>
          <w:highlight w:val="none"/>
        </w:rPr>
        <w:t>委托代理人应熟悉相关业务情况。</w:t>
      </w:r>
      <w:r>
        <w:rPr>
          <w:rFonts w:hint="eastAsia" w:ascii="宋体" w:hAnsi="宋体" w:eastAsia="宋体" w:cs="宋体"/>
          <w:color w:val="auto"/>
          <w:highlight w:val="none"/>
        </w:rPr>
        <w:t>代理人办理投诉事务时，除提交投诉书外，还应当提交投诉人的授权委托书和委托代理人身份证明复印件。</w:t>
      </w:r>
    </w:p>
    <w:p w14:paraId="24FD4368">
      <w:pPr>
        <w:spacing w:line="360" w:lineRule="auto"/>
        <w:ind w:firstLine="422" w:firstLineChars="200"/>
        <w:rPr>
          <w:rFonts w:hint="eastAsia" w:ascii="宋体" w:hAnsi="宋体" w:eastAsia="宋体" w:cs="宋体"/>
          <w:color w:val="auto"/>
          <w:highlight w:val="none"/>
        </w:rPr>
      </w:pPr>
      <w:r>
        <w:rPr>
          <w:rFonts w:hint="eastAsia" w:ascii="宋体" w:hAnsi="宋体" w:eastAsia="宋体" w:cs="宋体"/>
          <w:b/>
          <w:color w:val="auto"/>
          <w:highlight w:val="none"/>
        </w:rPr>
        <w:t>38.3.4</w:t>
      </w:r>
      <w:r>
        <w:rPr>
          <w:rFonts w:hint="eastAsia" w:ascii="宋体" w:hAnsi="宋体" w:eastAsia="宋体" w:cs="宋体"/>
          <w:color w:val="auto"/>
          <w:highlight w:val="none"/>
        </w:rPr>
        <w:t xml:space="preserve">  投诉人提起投诉应当符合下列条件：</w:t>
      </w:r>
    </w:p>
    <w:p w14:paraId="1EDEC7CA">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（1）投诉人是参与所投诉政府采购活动的供应商；</w:t>
      </w:r>
    </w:p>
    <w:p w14:paraId="1A2FB894">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（2）提起投诉前已依法进行质疑；</w:t>
      </w:r>
    </w:p>
    <w:p w14:paraId="426CBFC5">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（3）投诉书内容符合本章第38.3.2项的规定；</w:t>
      </w:r>
    </w:p>
    <w:p w14:paraId="1C117B5B">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（4）在投诉有效期限内提起投诉；</w:t>
      </w:r>
    </w:p>
    <w:p w14:paraId="57901471">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（5）属于政府采购监督管理部门管辖；</w:t>
      </w:r>
    </w:p>
    <w:p w14:paraId="0FDCF1D4">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（6）同一投诉事项未经</w:t>
      </w:r>
      <w:r>
        <w:rPr>
          <w:rFonts w:hint="eastAsia" w:ascii="宋体" w:hAnsi="宋体" w:eastAsia="宋体" w:cs="宋体"/>
          <w:bCs/>
          <w:color w:val="auto"/>
          <w:highlight w:val="none"/>
        </w:rPr>
        <w:t>政府采购监督管理部门</w:t>
      </w:r>
      <w:r>
        <w:rPr>
          <w:rFonts w:hint="eastAsia" w:ascii="宋体" w:hAnsi="宋体" w:eastAsia="宋体" w:cs="宋体"/>
          <w:color w:val="auto"/>
          <w:highlight w:val="none"/>
        </w:rPr>
        <w:t>投诉处理；</w:t>
      </w:r>
    </w:p>
    <w:p w14:paraId="3D6B1CF3">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（7）国务院财政部门规定的其他条件。</w:t>
      </w:r>
    </w:p>
    <w:p w14:paraId="0AABBCCE">
      <w:pPr>
        <w:spacing w:line="360" w:lineRule="auto"/>
        <w:ind w:firstLine="422" w:firstLineChars="200"/>
        <w:rPr>
          <w:rFonts w:hint="eastAsia" w:ascii="宋体" w:hAnsi="宋体" w:eastAsia="宋体" w:cs="宋体"/>
          <w:color w:val="auto"/>
          <w:highlight w:val="none"/>
        </w:rPr>
      </w:pPr>
      <w:r>
        <w:rPr>
          <w:rFonts w:hint="eastAsia" w:ascii="宋体" w:hAnsi="宋体" w:eastAsia="宋体" w:cs="宋体"/>
          <w:b/>
          <w:color w:val="auto"/>
          <w:highlight w:val="none"/>
        </w:rPr>
        <w:t>38.3.5</w:t>
      </w:r>
      <w:r>
        <w:rPr>
          <w:rFonts w:hint="eastAsia" w:ascii="宋体" w:hAnsi="宋体" w:eastAsia="宋体" w:cs="宋体"/>
          <w:color w:val="auto"/>
          <w:highlight w:val="none"/>
        </w:rPr>
        <w:t xml:space="preserve">  政府采购监督管理部门自受理投诉之日起30个工作日内，对投诉事项作出处理决定，并以书面形式通知投诉人、被投诉人及其他与投诉处理结果有利害关系的政府采购当事人。并将投诉结果在http://zfcg.gxzf.gov.cn (广西壮族自治区政府采购网)发布。</w:t>
      </w:r>
    </w:p>
    <w:p w14:paraId="1DFA4CEE">
      <w:pPr>
        <w:spacing w:line="360" w:lineRule="auto"/>
        <w:ind w:firstLine="422" w:firstLineChars="200"/>
        <w:rPr>
          <w:rFonts w:hint="eastAsia" w:ascii="宋体" w:hAnsi="宋体" w:eastAsia="宋体" w:cs="宋体"/>
          <w:color w:val="auto"/>
          <w:highlight w:val="none"/>
        </w:rPr>
      </w:pPr>
      <w:r>
        <w:rPr>
          <w:rFonts w:hint="eastAsia" w:ascii="宋体" w:hAnsi="宋体" w:eastAsia="宋体" w:cs="宋体"/>
          <w:b/>
          <w:color w:val="auto"/>
          <w:highlight w:val="none"/>
        </w:rPr>
        <w:t>38.3.6</w:t>
      </w:r>
      <w:r>
        <w:rPr>
          <w:rFonts w:hint="eastAsia" w:ascii="宋体" w:hAnsi="宋体" w:eastAsia="宋体" w:cs="宋体"/>
          <w:color w:val="auto"/>
          <w:highlight w:val="none"/>
        </w:rPr>
        <w:t xml:space="preserve">  政府采购监督管理部门在处理投诉事项期间，可以视具体情况暂停采购活动。</w:t>
      </w:r>
    </w:p>
    <w:p w14:paraId="0E09850B">
      <w:pPr>
        <w:pStyle w:val="5"/>
        <w:keepNext w:val="0"/>
        <w:keepLines w:val="0"/>
        <w:spacing w:before="240" w:after="240" w:line="415" w:lineRule="auto"/>
        <w:jc w:val="center"/>
        <w:rPr>
          <w:rFonts w:hint="eastAsia" w:ascii="宋体" w:hAnsi="宋体" w:eastAsia="宋体" w:cs="宋体"/>
          <w:color w:val="auto"/>
          <w:highlight w:val="none"/>
        </w:rPr>
      </w:pPr>
      <w:bookmarkStart w:id="123" w:name="_八、其他事项"/>
      <w:bookmarkEnd w:id="123"/>
      <w:r>
        <w:rPr>
          <w:rFonts w:hint="eastAsia" w:ascii="宋体" w:hAnsi="宋体" w:eastAsia="宋体" w:cs="宋体"/>
          <w:color w:val="auto"/>
          <w:highlight w:val="none"/>
        </w:rPr>
        <w:t>八、其他事项</w:t>
      </w:r>
    </w:p>
    <w:p w14:paraId="4A2EFD0A">
      <w:pPr>
        <w:pStyle w:val="7"/>
        <w:keepNext w:val="0"/>
        <w:keepLines w:val="0"/>
        <w:spacing w:before="0" w:after="0" w:line="360" w:lineRule="auto"/>
        <w:ind w:left="420" w:leftChars="200"/>
        <w:rPr>
          <w:rFonts w:hint="eastAsia" w:ascii="宋体" w:hAnsi="宋体" w:eastAsia="宋体" w:cs="宋体"/>
          <w:color w:val="auto"/>
          <w:sz w:val="24"/>
          <w:highlight w:val="none"/>
        </w:rPr>
      </w:pPr>
      <w:bookmarkStart w:id="124" w:name="_42.代理服务费"/>
      <w:bookmarkEnd w:id="124"/>
      <w:r>
        <w:rPr>
          <w:rFonts w:hint="eastAsia" w:ascii="宋体" w:hAnsi="宋体" w:eastAsia="宋体" w:cs="宋体"/>
          <w:color w:val="auto"/>
          <w:sz w:val="24"/>
          <w:highlight w:val="none"/>
        </w:rPr>
        <w:t>39.代理服务费</w:t>
      </w:r>
    </w:p>
    <w:p w14:paraId="5315029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39.1代理服务收取标准及缴费账户详见“投标人须知前附表”。</w:t>
      </w:r>
    </w:p>
    <w:p w14:paraId="3EF6190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39.2代理服务收费标准：代理服务费参照桂价费〔2011〕55号收费标准（服务类型）采用差额定率累进法计算向</w:t>
      </w:r>
      <w:r>
        <w:rPr>
          <w:rFonts w:hint="eastAsia" w:ascii="宋体" w:hAnsi="宋体" w:eastAsia="宋体" w:cs="宋体"/>
          <w:color w:val="auto"/>
          <w:szCs w:val="21"/>
          <w:highlight w:val="none"/>
          <w:lang w:val="en-US" w:eastAsia="zh-CN"/>
        </w:rPr>
        <w:t>中标</w:t>
      </w:r>
      <w:r>
        <w:rPr>
          <w:rFonts w:hint="eastAsia" w:ascii="宋体" w:hAnsi="宋体" w:eastAsia="宋体" w:cs="宋体"/>
          <w:color w:val="auto"/>
          <w:szCs w:val="21"/>
          <w:highlight w:val="none"/>
        </w:rPr>
        <w:t>供应商收取</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以中标价格为计费额，参照下表收费标准，采用差额定率累进法计算出收费</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发布中标结果公告后，中标人须向</w:t>
      </w:r>
      <w:r>
        <w:rPr>
          <w:rFonts w:hint="eastAsia" w:ascii="宋体" w:hAnsi="宋体" w:eastAsia="宋体" w:cs="宋体"/>
          <w:color w:val="auto"/>
          <w:szCs w:val="21"/>
          <w:highlight w:val="none"/>
          <w:lang w:val="en-US" w:eastAsia="zh-CN"/>
        </w:rPr>
        <w:t>代理机构</w:t>
      </w:r>
      <w:r>
        <w:rPr>
          <w:rFonts w:hint="eastAsia" w:ascii="宋体" w:hAnsi="宋体" w:eastAsia="宋体" w:cs="宋体"/>
          <w:color w:val="auto"/>
          <w:szCs w:val="21"/>
          <w:highlight w:val="none"/>
        </w:rPr>
        <w:t>一次付清服务费。</w:t>
      </w:r>
    </w:p>
    <w:p w14:paraId="36595F9B">
      <w:pPr>
        <w:spacing w:before="240" w:beforeLines="100" w:after="240" w:afterLines="100"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招标代理服务收费标准表</w:t>
      </w:r>
    </w:p>
    <w:tbl>
      <w:tblPr>
        <w:tblStyle w:val="6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86"/>
        <w:gridCol w:w="1807"/>
        <w:gridCol w:w="1839"/>
        <w:gridCol w:w="1807"/>
      </w:tblGrid>
      <w:tr w14:paraId="2DD69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3786" w:type="dxa"/>
            <w:tcBorders>
              <w:tl2br w:val="single" w:color="auto" w:sz="4" w:space="0"/>
            </w:tcBorders>
            <w:vAlign w:val="center"/>
          </w:tcPr>
          <w:p w14:paraId="179CF748">
            <w:pPr>
              <w:spacing w:line="360" w:lineRule="auto"/>
              <w:ind w:firstLine="2415" w:firstLineChars="115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费率</w:t>
            </w:r>
          </w:p>
          <w:p w14:paraId="4623C708">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中标金额</w:t>
            </w:r>
          </w:p>
        </w:tc>
        <w:tc>
          <w:tcPr>
            <w:tcW w:w="1807" w:type="dxa"/>
            <w:vAlign w:val="center"/>
          </w:tcPr>
          <w:p w14:paraId="2C0BA363">
            <w:pPr>
              <w:spacing w:line="360" w:lineRule="auto"/>
              <w:ind w:firstLine="105" w:firstLineChars="5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货物招标</w:t>
            </w:r>
          </w:p>
        </w:tc>
        <w:tc>
          <w:tcPr>
            <w:tcW w:w="1839" w:type="dxa"/>
            <w:vAlign w:val="center"/>
          </w:tcPr>
          <w:p w14:paraId="74A6945D">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服务招标</w:t>
            </w:r>
          </w:p>
        </w:tc>
        <w:tc>
          <w:tcPr>
            <w:tcW w:w="1807" w:type="dxa"/>
            <w:vAlign w:val="center"/>
          </w:tcPr>
          <w:p w14:paraId="0ED985B7">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工程招标</w:t>
            </w:r>
          </w:p>
        </w:tc>
      </w:tr>
      <w:tr w14:paraId="5292A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3786" w:type="dxa"/>
            <w:vAlign w:val="center"/>
          </w:tcPr>
          <w:p w14:paraId="2E4201A0">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100万元以下</w:t>
            </w:r>
          </w:p>
        </w:tc>
        <w:tc>
          <w:tcPr>
            <w:tcW w:w="1807" w:type="dxa"/>
            <w:vAlign w:val="center"/>
          </w:tcPr>
          <w:p w14:paraId="6E2EB87E">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1.5%</w:t>
            </w:r>
          </w:p>
        </w:tc>
        <w:tc>
          <w:tcPr>
            <w:tcW w:w="1839" w:type="dxa"/>
            <w:vAlign w:val="center"/>
          </w:tcPr>
          <w:p w14:paraId="0D2EDD6C">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1.5%</w:t>
            </w:r>
          </w:p>
        </w:tc>
        <w:tc>
          <w:tcPr>
            <w:tcW w:w="1807" w:type="dxa"/>
            <w:vAlign w:val="center"/>
          </w:tcPr>
          <w:p w14:paraId="4F81AACF">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1.0%</w:t>
            </w:r>
          </w:p>
        </w:tc>
      </w:tr>
      <w:tr w14:paraId="2D4B1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3786" w:type="dxa"/>
            <w:vAlign w:val="center"/>
          </w:tcPr>
          <w:p w14:paraId="102E876E">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100～500万元</w:t>
            </w:r>
          </w:p>
        </w:tc>
        <w:tc>
          <w:tcPr>
            <w:tcW w:w="1807" w:type="dxa"/>
            <w:vAlign w:val="center"/>
          </w:tcPr>
          <w:p w14:paraId="14C27C85">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1.1%</w:t>
            </w:r>
          </w:p>
        </w:tc>
        <w:tc>
          <w:tcPr>
            <w:tcW w:w="1839" w:type="dxa"/>
            <w:vAlign w:val="center"/>
          </w:tcPr>
          <w:p w14:paraId="68D13B02">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0.8%</w:t>
            </w:r>
          </w:p>
        </w:tc>
        <w:tc>
          <w:tcPr>
            <w:tcW w:w="1807" w:type="dxa"/>
            <w:vAlign w:val="center"/>
          </w:tcPr>
          <w:p w14:paraId="263E54FB">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0.7%</w:t>
            </w:r>
          </w:p>
        </w:tc>
      </w:tr>
      <w:tr w14:paraId="6A466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3786" w:type="dxa"/>
            <w:vAlign w:val="center"/>
          </w:tcPr>
          <w:p w14:paraId="6A6AA653">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500～1000万元</w:t>
            </w:r>
          </w:p>
        </w:tc>
        <w:tc>
          <w:tcPr>
            <w:tcW w:w="1807" w:type="dxa"/>
            <w:vAlign w:val="center"/>
          </w:tcPr>
          <w:p w14:paraId="15EEB451">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0.8%</w:t>
            </w:r>
          </w:p>
        </w:tc>
        <w:tc>
          <w:tcPr>
            <w:tcW w:w="1839" w:type="dxa"/>
            <w:vAlign w:val="center"/>
          </w:tcPr>
          <w:p w14:paraId="44045337">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0.45%</w:t>
            </w:r>
          </w:p>
        </w:tc>
        <w:tc>
          <w:tcPr>
            <w:tcW w:w="1807" w:type="dxa"/>
            <w:vAlign w:val="center"/>
          </w:tcPr>
          <w:p w14:paraId="09E4C650">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0.55%</w:t>
            </w:r>
          </w:p>
        </w:tc>
      </w:tr>
      <w:tr w14:paraId="0652A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3786" w:type="dxa"/>
            <w:vAlign w:val="center"/>
          </w:tcPr>
          <w:p w14:paraId="49957D39">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1000～5000万元</w:t>
            </w:r>
          </w:p>
        </w:tc>
        <w:tc>
          <w:tcPr>
            <w:tcW w:w="1807" w:type="dxa"/>
            <w:vAlign w:val="center"/>
          </w:tcPr>
          <w:p w14:paraId="332E2B3D">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0.5%</w:t>
            </w:r>
          </w:p>
        </w:tc>
        <w:tc>
          <w:tcPr>
            <w:tcW w:w="1839" w:type="dxa"/>
            <w:vAlign w:val="center"/>
          </w:tcPr>
          <w:p w14:paraId="13700DC8">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0.25%</w:t>
            </w:r>
          </w:p>
        </w:tc>
        <w:tc>
          <w:tcPr>
            <w:tcW w:w="1807" w:type="dxa"/>
            <w:vAlign w:val="center"/>
          </w:tcPr>
          <w:p w14:paraId="795F7E1A">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0.35%</w:t>
            </w:r>
          </w:p>
        </w:tc>
      </w:tr>
      <w:tr w14:paraId="52C96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3786" w:type="dxa"/>
            <w:vAlign w:val="center"/>
          </w:tcPr>
          <w:p w14:paraId="76659504">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5000万元～1亿元</w:t>
            </w:r>
          </w:p>
        </w:tc>
        <w:tc>
          <w:tcPr>
            <w:tcW w:w="1807" w:type="dxa"/>
            <w:vAlign w:val="center"/>
          </w:tcPr>
          <w:p w14:paraId="6B612CC7">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0.25%</w:t>
            </w:r>
          </w:p>
        </w:tc>
        <w:tc>
          <w:tcPr>
            <w:tcW w:w="1839" w:type="dxa"/>
            <w:vAlign w:val="center"/>
          </w:tcPr>
          <w:p w14:paraId="742EEED3">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0.1%</w:t>
            </w:r>
          </w:p>
        </w:tc>
        <w:tc>
          <w:tcPr>
            <w:tcW w:w="1807" w:type="dxa"/>
            <w:vAlign w:val="center"/>
          </w:tcPr>
          <w:p w14:paraId="10ACDEA6">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0.2%</w:t>
            </w:r>
          </w:p>
        </w:tc>
      </w:tr>
      <w:tr w14:paraId="2638F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3786" w:type="dxa"/>
            <w:vAlign w:val="center"/>
          </w:tcPr>
          <w:p w14:paraId="5448CD2E">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1～5亿元</w:t>
            </w:r>
          </w:p>
        </w:tc>
        <w:tc>
          <w:tcPr>
            <w:tcW w:w="1807" w:type="dxa"/>
            <w:vAlign w:val="center"/>
          </w:tcPr>
          <w:p w14:paraId="549A825E">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0.05%</w:t>
            </w:r>
          </w:p>
        </w:tc>
        <w:tc>
          <w:tcPr>
            <w:tcW w:w="1839" w:type="dxa"/>
            <w:vAlign w:val="center"/>
          </w:tcPr>
          <w:p w14:paraId="6A91D7F1">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0.05%</w:t>
            </w:r>
          </w:p>
        </w:tc>
        <w:tc>
          <w:tcPr>
            <w:tcW w:w="1807" w:type="dxa"/>
            <w:vAlign w:val="center"/>
          </w:tcPr>
          <w:p w14:paraId="599A1809">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0.05%</w:t>
            </w:r>
          </w:p>
        </w:tc>
      </w:tr>
      <w:tr w14:paraId="04074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3786" w:type="dxa"/>
            <w:vAlign w:val="center"/>
          </w:tcPr>
          <w:p w14:paraId="4F3D8165">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5～10亿元</w:t>
            </w:r>
          </w:p>
        </w:tc>
        <w:tc>
          <w:tcPr>
            <w:tcW w:w="1807" w:type="dxa"/>
            <w:vAlign w:val="center"/>
          </w:tcPr>
          <w:p w14:paraId="3995280B">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0.035%</w:t>
            </w:r>
          </w:p>
        </w:tc>
        <w:tc>
          <w:tcPr>
            <w:tcW w:w="1839" w:type="dxa"/>
            <w:vAlign w:val="center"/>
          </w:tcPr>
          <w:p w14:paraId="008E03A2">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0.035%</w:t>
            </w:r>
          </w:p>
        </w:tc>
        <w:tc>
          <w:tcPr>
            <w:tcW w:w="1807" w:type="dxa"/>
            <w:vAlign w:val="center"/>
          </w:tcPr>
          <w:p w14:paraId="40153187">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0.035%</w:t>
            </w:r>
          </w:p>
        </w:tc>
      </w:tr>
      <w:tr w14:paraId="09117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3786" w:type="dxa"/>
            <w:vAlign w:val="center"/>
          </w:tcPr>
          <w:p w14:paraId="7CBB00E4">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10～50亿元</w:t>
            </w:r>
          </w:p>
        </w:tc>
        <w:tc>
          <w:tcPr>
            <w:tcW w:w="1807" w:type="dxa"/>
            <w:vAlign w:val="center"/>
          </w:tcPr>
          <w:p w14:paraId="7FF45EC1">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0.008%</w:t>
            </w:r>
          </w:p>
        </w:tc>
        <w:tc>
          <w:tcPr>
            <w:tcW w:w="1839" w:type="dxa"/>
            <w:vAlign w:val="center"/>
          </w:tcPr>
          <w:p w14:paraId="707EED60">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0.008%</w:t>
            </w:r>
          </w:p>
        </w:tc>
        <w:tc>
          <w:tcPr>
            <w:tcW w:w="1807" w:type="dxa"/>
            <w:vAlign w:val="center"/>
          </w:tcPr>
          <w:p w14:paraId="6557C525">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0.008%</w:t>
            </w:r>
          </w:p>
        </w:tc>
      </w:tr>
      <w:tr w14:paraId="2701D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3786" w:type="dxa"/>
            <w:vAlign w:val="center"/>
          </w:tcPr>
          <w:p w14:paraId="50519952">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50～100亿元</w:t>
            </w:r>
          </w:p>
        </w:tc>
        <w:tc>
          <w:tcPr>
            <w:tcW w:w="1807" w:type="dxa"/>
            <w:vAlign w:val="center"/>
          </w:tcPr>
          <w:p w14:paraId="140748E4">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0.006%</w:t>
            </w:r>
          </w:p>
        </w:tc>
        <w:tc>
          <w:tcPr>
            <w:tcW w:w="1839" w:type="dxa"/>
            <w:vAlign w:val="center"/>
          </w:tcPr>
          <w:p w14:paraId="5774503B">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0.006%</w:t>
            </w:r>
          </w:p>
        </w:tc>
        <w:tc>
          <w:tcPr>
            <w:tcW w:w="1807" w:type="dxa"/>
            <w:vAlign w:val="center"/>
          </w:tcPr>
          <w:p w14:paraId="72336804">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0.006%</w:t>
            </w:r>
          </w:p>
        </w:tc>
      </w:tr>
      <w:tr w14:paraId="0BF6B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3786" w:type="dxa"/>
            <w:vAlign w:val="center"/>
          </w:tcPr>
          <w:p w14:paraId="0F7717F8">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100亿以上</w:t>
            </w:r>
          </w:p>
        </w:tc>
        <w:tc>
          <w:tcPr>
            <w:tcW w:w="1807" w:type="dxa"/>
            <w:vAlign w:val="center"/>
          </w:tcPr>
          <w:p w14:paraId="16260AA6">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0.004%</w:t>
            </w:r>
          </w:p>
        </w:tc>
        <w:tc>
          <w:tcPr>
            <w:tcW w:w="1839" w:type="dxa"/>
            <w:vAlign w:val="center"/>
          </w:tcPr>
          <w:p w14:paraId="65306613">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0.004%</w:t>
            </w:r>
          </w:p>
        </w:tc>
        <w:tc>
          <w:tcPr>
            <w:tcW w:w="1807" w:type="dxa"/>
            <w:vAlign w:val="center"/>
          </w:tcPr>
          <w:p w14:paraId="61FEE075">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0.004%</w:t>
            </w:r>
          </w:p>
        </w:tc>
      </w:tr>
    </w:tbl>
    <w:p w14:paraId="6834A8AE">
      <w:pPr>
        <w:spacing w:line="460" w:lineRule="exact"/>
        <w:rPr>
          <w:rFonts w:hint="eastAsia" w:ascii="宋体" w:hAnsi="宋体" w:eastAsia="宋体" w:cs="宋体"/>
          <w:color w:val="auto"/>
          <w:highlight w:val="none"/>
        </w:rPr>
      </w:pPr>
      <w:r>
        <w:rPr>
          <w:rFonts w:hint="eastAsia" w:ascii="宋体" w:hAnsi="宋体" w:eastAsia="宋体" w:cs="宋体"/>
          <w:color w:val="auto"/>
          <w:highlight w:val="none"/>
        </w:rPr>
        <w:t>注：</w:t>
      </w:r>
    </w:p>
    <w:p w14:paraId="40AE77F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招标代理服务收费按差额定率累进法计算。例如：某服务招标代理业务中标金额为600万元，计算招标代理服务收费额如下：</w:t>
      </w:r>
    </w:p>
    <w:p w14:paraId="53BD150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100万元×1.5%=1.50万元</w:t>
      </w:r>
    </w:p>
    <w:p w14:paraId="3EB7B00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（500-100）万元×0.8%=3.20万元</w:t>
      </w:r>
    </w:p>
    <w:p w14:paraId="140B296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（600-500）万元×0.45%=0.45万元</w:t>
      </w:r>
    </w:p>
    <w:p w14:paraId="0895BA1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合计收费=1.50+3.20+0.45=5.15（万元）。</w:t>
      </w:r>
    </w:p>
    <w:p w14:paraId="0F418AF7">
      <w:pPr>
        <w:pStyle w:val="7"/>
        <w:keepNext w:val="0"/>
        <w:keepLines w:val="0"/>
        <w:spacing w:before="0" w:after="0" w:line="360" w:lineRule="auto"/>
        <w:ind w:left="420" w:left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40. 需要补充的其他内容</w:t>
      </w:r>
    </w:p>
    <w:p w14:paraId="5CD84D1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40.1本招标文件解释规则详见“投标人须知前附表”。</w:t>
      </w:r>
    </w:p>
    <w:p w14:paraId="78B5989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40.2 其他事项详见“投标人须知前附表”。</w:t>
      </w:r>
    </w:p>
    <w:p w14:paraId="4DA44AE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40.3本招标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招标文件规定的中小企业扶持政策：</w:t>
      </w:r>
    </w:p>
    <w:p w14:paraId="5E2D80D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（1）在货物采购项目中，货物由中小企业制造，即货物由中小企业生产且使用该中小企业商号或者注册商标，不对其中涉及的工程承建商和服务的承接商作出要求；</w:t>
      </w:r>
    </w:p>
    <w:p w14:paraId="6CB0CD8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（2）在工程采购项目中，工程由中小企业承建，即工程施工单位为中小企业，不对其中涉及的货物的制造商和服务的承接商作出要求；</w:t>
      </w:r>
    </w:p>
    <w:p w14:paraId="0B1936C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（3）在服务采购项目中，服务由中小企业承接，即提供服务的人员为中小企业依照《中华人民共和国劳动合同法》订立劳动合同的从业人员，不对其中涉及的货物的制造商和工程承建商作出要求。</w:t>
      </w:r>
    </w:p>
    <w:p w14:paraId="40EB72A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在货物采购项目中，供应商提供的货物既有中小企业制造货物，也有大型企业制造货物的，不享受本招标文件规定的中小企业扶持政策。</w:t>
      </w:r>
    </w:p>
    <w:p w14:paraId="53C15178">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szCs w:val="21"/>
          <w:highlight w:val="none"/>
        </w:rPr>
        <w:t>依据本招标文件规定享受扶持政策获得政府采购合同的，小微企业不得将合同分包给大中型企业，中型企业不得将合同分包给大型企业。</w:t>
      </w:r>
      <w:r>
        <w:rPr>
          <w:rFonts w:hint="eastAsia" w:ascii="宋体" w:hAnsi="宋体" w:eastAsia="宋体" w:cs="宋体"/>
          <w:color w:val="auto"/>
          <w:highlight w:val="none"/>
        </w:rPr>
        <w:br w:type="page"/>
      </w:r>
    </w:p>
    <w:p w14:paraId="35992C95">
      <w:pPr>
        <w:jc w:val="center"/>
        <w:rPr>
          <w:rFonts w:hint="eastAsia" w:ascii="宋体" w:hAnsi="宋体" w:eastAsia="宋体" w:cs="宋体"/>
          <w:color w:val="auto"/>
          <w:highlight w:val="none"/>
        </w:rPr>
      </w:pPr>
      <w:bookmarkStart w:id="125" w:name="_Toc26138"/>
      <w:bookmarkStart w:id="126" w:name="_Toc254970548"/>
      <w:bookmarkStart w:id="127" w:name="_Toc27918"/>
      <w:bookmarkStart w:id="128" w:name="_Toc254970689"/>
      <w:bookmarkStart w:id="129" w:name="_Toc330456896"/>
    </w:p>
    <w:p w14:paraId="6E0B3192">
      <w:pPr>
        <w:jc w:val="center"/>
        <w:rPr>
          <w:rFonts w:hint="eastAsia" w:ascii="宋体" w:hAnsi="宋体" w:eastAsia="宋体" w:cs="宋体"/>
          <w:color w:val="auto"/>
          <w:highlight w:val="none"/>
        </w:rPr>
      </w:pPr>
    </w:p>
    <w:p w14:paraId="3EAA8DCA">
      <w:pPr>
        <w:pStyle w:val="38"/>
        <w:rPr>
          <w:rFonts w:hint="eastAsia" w:ascii="宋体" w:hAnsi="宋体" w:eastAsia="宋体" w:cs="宋体"/>
          <w:color w:val="auto"/>
          <w:highlight w:val="none"/>
        </w:rPr>
      </w:pPr>
    </w:p>
    <w:p w14:paraId="309BBD0A">
      <w:pPr>
        <w:pStyle w:val="38"/>
        <w:rPr>
          <w:rFonts w:hint="eastAsia" w:ascii="宋体" w:hAnsi="宋体" w:eastAsia="宋体" w:cs="宋体"/>
          <w:color w:val="auto"/>
          <w:highlight w:val="none"/>
        </w:rPr>
      </w:pPr>
    </w:p>
    <w:p w14:paraId="34E1934E">
      <w:pPr>
        <w:pStyle w:val="38"/>
        <w:rPr>
          <w:rFonts w:hint="eastAsia" w:ascii="宋体" w:hAnsi="宋体" w:eastAsia="宋体" w:cs="宋体"/>
          <w:color w:val="auto"/>
          <w:highlight w:val="none"/>
        </w:rPr>
      </w:pPr>
    </w:p>
    <w:p w14:paraId="6D20EAF9">
      <w:pPr>
        <w:pStyle w:val="38"/>
        <w:rPr>
          <w:rFonts w:hint="eastAsia" w:ascii="宋体" w:hAnsi="宋体" w:eastAsia="宋体" w:cs="宋体"/>
          <w:color w:val="auto"/>
          <w:highlight w:val="none"/>
        </w:rPr>
      </w:pPr>
    </w:p>
    <w:p w14:paraId="45006888">
      <w:pPr>
        <w:pStyle w:val="38"/>
        <w:rPr>
          <w:rFonts w:hint="eastAsia" w:ascii="宋体" w:hAnsi="宋体" w:eastAsia="宋体" w:cs="宋体"/>
          <w:color w:val="auto"/>
          <w:highlight w:val="none"/>
        </w:rPr>
      </w:pPr>
    </w:p>
    <w:p w14:paraId="643FF2D4">
      <w:pPr>
        <w:pStyle w:val="38"/>
        <w:rPr>
          <w:rFonts w:hint="eastAsia" w:ascii="宋体" w:hAnsi="宋体" w:eastAsia="宋体" w:cs="宋体"/>
          <w:color w:val="auto"/>
          <w:highlight w:val="none"/>
        </w:rPr>
      </w:pPr>
    </w:p>
    <w:p w14:paraId="7DBEF6A6">
      <w:pPr>
        <w:pStyle w:val="38"/>
        <w:rPr>
          <w:rFonts w:hint="eastAsia" w:ascii="宋体" w:hAnsi="宋体" w:eastAsia="宋体" w:cs="宋体"/>
          <w:color w:val="auto"/>
          <w:highlight w:val="none"/>
        </w:rPr>
      </w:pPr>
    </w:p>
    <w:p w14:paraId="3FF97306">
      <w:pPr>
        <w:pStyle w:val="38"/>
        <w:rPr>
          <w:rFonts w:hint="eastAsia" w:ascii="宋体" w:hAnsi="宋体" w:eastAsia="宋体" w:cs="宋体"/>
          <w:color w:val="auto"/>
          <w:highlight w:val="none"/>
        </w:rPr>
      </w:pPr>
    </w:p>
    <w:p w14:paraId="04030423">
      <w:pPr>
        <w:pStyle w:val="38"/>
        <w:rPr>
          <w:rFonts w:hint="eastAsia" w:ascii="宋体" w:hAnsi="宋体" w:eastAsia="宋体" w:cs="宋体"/>
          <w:color w:val="auto"/>
          <w:highlight w:val="none"/>
        </w:rPr>
      </w:pPr>
    </w:p>
    <w:p w14:paraId="2304A088">
      <w:pPr>
        <w:pStyle w:val="38"/>
        <w:rPr>
          <w:rFonts w:hint="eastAsia" w:ascii="宋体" w:hAnsi="宋体" w:eastAsia="宋体" w:cs="宋体"/>
          <w:color w:val="auto"/>
          <w:highlight w:val="none"/>
        </w:rPr>
      </w:pPr>
    </w:p>
    <w:p w14:paraId="3AAD662B">
      <w:pPr>
        <w:pStyle w:val="38"/>
        <w:rPr>
          <w:rFonts w:hint="eastAsia" w:ascii="宋体" w:hAnsi="宋体" w:eastAsia="宋体" w:cs="宋体"/>
          <w:color w:val="auto"/>
          <w:highlight w:val="none"/>
        </w:rPr>
      </w:pPr>
    </w:p>
    <w:p w14:paraId="718F6C35">
      <w:pPr>
        <w:pStyle w:val="38"/>
        <w:rPr>
          <w:rFonts w:hint="eastAsia" w:ascii="宋体" w:hAnsi="宋体" w:eastAsia="宋体" w:cs="宋体"/>
          <w:color w:val="auto"/>
          <w:highlight w:val="none"/>
        </w:rPr>
      </w:pPr>
    </w:p>
    <w:p w14:paraId="0F5419EA">
      <w:pPr>
        <w:pStyle w:val="38"/>
        <w:rPr>
          <w:rFonts w:hint="eastAsia" w:ascii="宋体" w:hAnsi="宋体" w:eastAsia="宋体" w:cs="宋体"/>
          <w:color w:val="auto"/>
          <w:highlight w:val="none"/>
        </w:rPr>
      </w:pPr>
    </w:p>
    <w:p w14:paraId="0A8F907E">
      <w:pPr>
        <w:jc w:val="center"/>
        <w:rPr>
          <w:rFonts w:hint="eastAsia" w:ascii="宋体" w:hAnsi="宋体" w:eastAsia="宋体" w:cs="宋体"/>
          <w:color w:val="auto"/>
          <w:highlight w:val="none"/>
        </w:rPr>
      </w:pPr>
    </w:p>
    <w:p w14:paraId="3D048912">
      <w:pPr>
        <w:pStyle w:val="3"/>
        <w:jc w:val="center"/>
        <w:rPr>
          <w:rFonts w:hint="eastAsia" w:ascii="宋体" w:hAnsi="宋体" w:eastAsia="宋体" w:cs="宋体"/>
          <w:color w:val="auto"/>
          <w:highlight w:val="none"/>
        </w:rPr>
      </w:pPr>
      <w:r>
        <w:rPr>
          <w:rFonts w:hint="eastAsia" w:ascii="宋体" w:hAnsi="宋体" w:eastAsia="宋体" w:cs="宋体"/>
          <w:color w:val="auto"/>
          <w:highlight w:val="none"/>
        </w:rPr>
        <w:t>第四章  评标方法及评标标准</w:t>
      </w:r>
      <w:bookmarkEnd w:id="125"/>
      <w:bookmarkEnd w:id="126"/>
      <w:bookmarkEnd w:id="127"/>
      <w:bookmarkEnd w:id="128"/>
      <w:bookmarkEnd w:id="129"/>
    </w:p>
    <w:p w14:paraId="38BC8C21">
      <w:pPr>
        <w:widowControl/>
        <w:jc w:val="left"/>
        <w:rPr>
          <w:rFonts w:hint="eastAsia" w:ascii="宋体" w:hAnsi="宋体" w:eastAsia="宋体" w:cs="宋体"/>
          <w:color w:val="auto"/>
          <w:highlight w:val="none"/>
        </w:rPr>
      </w:pPr>
      <w:r>
        <w:rPr>
          <w:rFonts w:hint="eastAsia" w:ascii="宋体" w:hAnsi="宋体" w:eastAsia="宋体" w:cs="宋体"/>
          <w:b/>
          <w:bCs/>
          <w:color w:val="auto"/>
          <w:highlight w:val="none"/>
        </w:rPr>
        <w:br w:type="page"/>
      </w:r>
    </w:p>
    <w:p w14:paraId="7D9F9B65">
      <w:pPr>
        <w:pStyle w:val="5"/>
        <w:keepNext w:val="0"/>
        <w:keepLines w:val="0"/>
        <w:jc w:val="center"/>
        <w:rPr>
          <w:rFonts w:hint="eastAsia" w:ascii="宋体" w:hAnsi="宋体" w:eastAsia="宋体" w:cs="宋体"/>
          <w:color w:val="auto"/>
          <w:highlight w:val="none"/>
        </w:rPr>
      </w:pPr>
      <w:r>
        <w:rPr>
          <w:rFonts w:hint="eastAsia" w:ascii="宋体" w:hAnsi="宋体" w:eastAsia="宋体" w:cs="宋体"/>
          <w:color w:val="auto"/>
          <w:highlight w:val="none"/>
        </w:rPr>
        <w:t>一、评标方法</w:t>
      </w:r>
    </w:p>
    <w:p w14:paraId="5F3D4970">
      <w:pPr>
        <w:pStyle w:val="31"/>
        <w:ind w:firstLine="420" w:firstLineChars="200"/>
        <w:rPr>
          <w:rFonts w:hint="eastAsia" w:ascii="宋体" w:hAnsi="宋体" w:eastAsia="宋体" w:cs="宋体"/>
          <w:color w:val="auto"/>
          <w:w w:val="100"/>
          <w:highlight w:val="none"/>
        </w:rPr>
      </w:pPr>
      <w:r>
        <w:rPr>
          <w:rFonts w:hint="eastAsia" w:ascii="宋体" w:hAnsi="宋体" w:eastAsia="宋体" w:cs="宋体"/>
          <w:color w:val="auto"/>
          <w:w w:val="100"/>
          <w:szCs w:val="21"/>
          <w:highlight w:val="none"/>
        </w:rPr>
        <w:t>本项目采用</w:t>
      </w:r>
      <w:r>
        <w:rPr>
          <w:rFonts w:hint="eastAsia" w:ascii="宋体" w:hAnsi="宋体" w:eastAsia="宋体" w:cs="宋体"/>
          <w:color w:val="auto"/>
          <w:w w:val="100"/>
          <w:szCs w:val="21"/>
          <w:highlight w:val="none"/>
          <w:u w:val="single"/>
        </w:rPr>
        <w:t xml:space="preserve"> 综合评分法</w:t>
      </w:r>
      <w:r>
        <w:rPr>
          <w:rFonts w:hint="eastAsia" w:ascii="宋体" w:hAnsi="宋体" w:eastAsia="宋体" w:cs="宋体"/>
          <w:color w:val="auto"/>
          <w:w w:val="100"/>
          <w:szCs w:val="21"/>
          <w:highlight w:val="none"/>
        </w:rPr>
        <w:t>进行评审。</w:t>
      </w:r>
      <w:r>
        <w:rPr>
          <w:rFonts w:hint="eastAsia" w:ascii="宋体" w:hAnsi="宋体" w:eastAsia="宋体" w:cs="宋体"/>
          <w:color w:val="auto"/>
          <w:w w:val="100"/>
          <w:highlight w:val="none"/>
        </w:rPr>
        <w:t>综合评分法，是指投标文件满足招标文件全部实质性要求，且按照评审因素的量化指标评审得分最高的投标人为中标候选人的评标方法。</w:t>
      </w:r>
    </w:p>
    <w:p w14:paraId="16B0C803">
      <w:pPr>
        <w:pStyle w:val="5"/>
        <w:keepNext w:val="0"/>
        <w:keepLines w:val="0"/>
        <w:jc w:val="center"/>
        <w:rPr>
          <w:rFonts w:hint="eastAsia" w:ascii="宋体" w:hAnsi="宋体" w:eastAsia="宋体" w:cs="宋体"/>
          <w:color w:val="auto"/>
          <w:highlight w:val="none"/>
        </w:rPr>
      </w:pPr>
      <w:r>
        <w:rPr>
          <w:rFonts w:hint="eastAsia" w:ascii="宋体" w:hAnsi="宋体" w:eastAsia="宋体" w:cs="宋体"/>
          <w:color w:val="auto"/>
          <w:highlight w:val="none"/>
        </w:rPr>
        <w:t>二、评标程序</w:t>
      </w:r>
    </w:p>
    <w:p w14:paraId="2BEB22D5">
      <w:pPr>
        <w:pStyle w:val="7"/>
        <w:keepNext w:val="0"/>
        <w:keepLines w:val="0"/>
        <w:spacing w:before="0" w:after="0" w:line="360" w:lineRule="auto"/>
        <w:ind w:left="420" w:left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1.符合性审查</w:t>
      </w:r>
    </w:p>
    <w:p w14:paraId="04045A0D">
      <w:pPr>
        <w:pStyle w:val="31"/>
        <w:rPr>
          <w:rFonts w:hint="eastAsia" w:ascii="宋体" w:hAnsi="宋体" w:eastAsia="宋体" w:cs="宋体"/>
          <w:color w:val="auto"/>
          <w:w w:val="100"/>
          <w:kern w:val="2"/>
          <w:highlight w:val="none"/>
        </w:rPr>
      </w:pPr>
      <w:r>
        <w:rPr>
          <w:rFonts w:hint="eastAsia" w:ascii="宋体" w:hAnsi="宋体" w:eastAsia="宋体" w:cs="宋体"/>
          <w:color w:val="auto"/>
          <w:w w:val="100"/>
          <w:kern w:val="2"/>
          <w:highlight w:val="none"/>
        </w:rPr>
        <w:t>评标委员会应当对符合资格的投标人的投标文件进行投标报价、商务、技术等实质性内容符合性审查，以确定其是否满足招标文件的实质性要求。</w:t>
      </w:r>
    </w:p>
    <w:p w14:paraId="0DC183A6">
      <w:pPr>
        <w:pStyle w:val="7"/>
        <w:keepNext w:val="0"/>
        <w:keepLines w:val="0"/>
        <w:spacing w:before="0" w:after="0" w:line="360" w:lineRule="auto"/>
        <w:ind w:left="420" w:left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2.符合性审查不通过而导致投标无效的情形</w:t>
      </w:r>
    </w:p>
    <w:p w14:paraId="1475C3BC">
      <w:pPr>
        <w:snapToGrid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投标人的投标文件中存在对招标文件的任何实质性要求和条件的负偏离，将被视为投标无效。</w:t>
      </w:r>
    </w:p>
    <w:p w14:paraId="01B00B9A">
      <w:pPr>
        <w:pStyle w:val="7"/>
        <w:keepNext w:val="0"/>
        <w:keepLines w:val="0"/>
        <w:spacing w:before="0" w:after="0" w:line="360" w:lineRule="auto"/>
        <w:ind w:left="420" w:left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2.1在报价评审时，如发现下列情形之一的，将被视为投标无效：</w:t>
      </w:r>
    </w:p>
    <w:p w14:paraId="0676566C">
      <w:pPr>
        <w:pStyle w:val="9"/>
        <w:numPr>
          <w:ilvl w:val="0"/>
          <w:numId w:val="26"/>
        </w:numPr>
        <w:spacing w:line="360" w:lineRule="auto"/>
        <w:ind w:firstLine="398" w:firstLineChars="200"/>
        <w:rPr>
          <w:rFonts w:hint="eastAsia" w:ascii="宋体" w:hAnsi="宋体" w:eastAsia="宋体" w:cs="宋体"/>
          <w:b/>
          <w:color w:val="auto"/>
          <w:spacing w:val="-6"/>
          <w:szCs w:val="21"/>
          <w:highlight w:val="none"/>
        </w:rPr>
      </w:pPr>
      <w:r>
        <w:rPr>
          <w:rFonts w:hint="eastAsia" w:ascii="宋体" w:hAnsi="宋体" w:eastAsia="宋体" w:cs="宋体"/>
          <w:b/>
          <w:color w:val="auto"/>
          <w:spacing w:val="-6"/>
          <w:szCs w:val="21"/>
          <w:highlight w:val="none"/>
        </w:rPr>
        <w:t>报价文件未提供“投标人须知前附表”第13.1条规定中“必须提供”的文件资料的；</w:t>
      </w:r>
    </w:p>
    <w:p w14:paraId="325D077B">
      <w:pPr>
        <w:pStyle w:val="9"/>
        <w:numPr>
          <w:ilvl w:val="0"/>
          <w:numId w:val="26"/>
        </w:numPr>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未采用人民币报价或者未按照招标文件标明的币种报价的；</w:t>
      </w:r>
    </w:p>
    <w:p w14:paraId="723C5519">
      <w:pPr>
        <w:pStyle w:val="9"/>
        <w:numPr>
          <w:ilvl w:val="0"/>
          <w:numId w:val="26"/>
        </w:numPr>
        <w:spacing w:line="360" w:lineRule="auto"/>
        <w:ind w:left="-2" w:firstLine="422"/>
        <w:rPr>
          <w:rFonts w:hint="eastAsia" w:ascii="宋体" w:hAnsi="宋体" w:eastAsia="宋体" w:cs="宋体"/>
          <w:b/>
          <w:color w:val="auto"/>
          <w:spacing w:val="-6"/>
          <w:szCs w:val="21"/>
          <w:highlight w:val="none"/>
        </w:rPr>
      </w:pPr>
      <w:r>
        <w:rPr>
          <w:rFonts w:hint="eastAsia" w:ascii="宋体" w:hAnsi="宋体" w:eastAsia="宋体" w:cs="宋体"/>
          <w:b/>
          <w:color w:val="auto"/>
          <w:spacing w:val="-6"/>
          <w:szCs w:val="21"/>
          <w:highlight w:val="none"/>
        </w:rPr>
        <w:t>报价超出招标文件相应规定最高限价，或者超出相应采购预算金额的；</w:t>
      </w:r>
    </w:p>
    <w:p w14:paraId="3D963380">
      <w:pPr>
        <w:pStyle w:val="9"/>
        <w:numPr>
          <w:ilvl w:val="0"/>
          <w:numId w:val="26"/>
        </w:numPr>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投标人未就所投分标进行报价或者存在漏项报价；投标人未就所投分标的单项内容作唯一报价；投标人未就所投分标的全部内容作完整唯一总价报价；存在有选择、有条件报价的（招标文件允许有备选方案或者其他约定的除外）；</w:t>
      </w:r>
    </w:p>
    <w:p w14:paraId="7FB20CE9">
      <w:pPr>
        <w:pStyle w:val="9"/>
        <w:numPr>
          <w:ilvl w:val="0"/>
          <w:numId w:val="26"/>
        </w:numPr>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修正后的报价，投标人不确认的；</w:t>
      </w:r>
    </w:p>
    <w:p w14:paraId="344E6F3C">
      <w:pPr>
        <w:pStyle w:val="9"/>
        <w:numPr>
          <w:ilvl w:val="0"/>
          <w:numId w:val="26"/>
        </w:numPr>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投标人属于本章第5.1条（2）或者第5.2条（2）项情形的。</w:t>
      </w:r>
    </w:p>
    <w:p w14:paraId="48E87CDB">
      <w:pPr>
        <w:pStyle w:val="9"/>
        <w:numPr>
          <w:ilvl w:val="0"/>
          <w:numId w:val="26"/>
        </w:numPr>
        <w:spacing w:line="360" w:lineRule="auto"/>
        <w:ind w:firstLine="398" w:firstLineChars="200"/>
        <w:rPr>
          <w:rFonts w:hint="eastAsia" w:ascii="宋体" w:hAnsi="宋体" w:eastAsia="宋体" w:cs="宋体"/>
          <w:b/>
          <w:color w:val="auto"/>
          <w:szCs w:val="21"/>
          <w:highlight w:val="none"/>
        </w:rPr>
      </w:pPr>
      <w:r>
        <w:rPr>
          <w:rFonts w:hint="eastAsia" w:ascii="宋体" w:hAnsi="宋体" w:eastAsia="宋体" w:cs="宋体"/>
          <w:b/>
          <w:color w:val="auto"/>
          <w:spacing w:val="-6"/>
          <w:szCs w:val="21"/>
          <w:highlight w:val="none"/>
        </w:rPr>
        <w:t>报价文件</w:t>
      </w:r>
      <w:r>
        <w:rPr>
          <w:rFonts w:hint="eastAsia" w:ascii="宋体" w:hAnsi="宋体" w:eastAsia="宋体" w:cs="宋体"/>
          <w:b/>
          <w:color w:val="auto"/>
          <w:szCs w:val="21"/>
          <w:highlight w:val="none"/>
        </w:rPr>
        <w:t>响应的标的数量及单位与招标文件要求实质性不一致的。</w:t>
      </w:r>
    </w:p>
    <w:p w14:paraId="525790EE">
      <w:pPr>
        <w:pStyle w:val="7"/>
        <w:keepNext w:val="0"/>
        <w:keepLines w:val="0"/>
        <w:numPr>
          <w:ilvl w:val="4"/>
          <w:numId w:val="27"/>
        </w:numPr>
        <w:spacing w:before="0" w:after="0" w:line="360" w:lineRule="auto"/>
        <w:ind w:left="420" w:left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2.2在商务及技术评审时，如发现下列情形之一的，将被视为投标无效：</w:t>
      </w:r>
    </w:p>
    <w:p w14:paraId="5C15275D">
      <w:pPr>
        <w:numPr>
          <w:ilvl w:val="0"/>
          <w:numId w:val="28"/>
        </w:numPr>
        <w:snapToGrid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投标文件未按招标文件要求签署、盖章的；</w:t>
      </w:r>
    </w:p>
    <w:p w14:paraId="3A275B0A">
      <w:pPr>
        <w:numPr>
          <w:ilvl w:val="0"/>
          <w:numId w:val="28"/>
        </w:numPr>
        <w:snapToGrid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 xml:space="preserve">委托代理人未能出具有效身份证或者出具的身份证与授权委托书中的信息不符的； </w:t>
      </w:r>
    </w:p>
    <w:p w14:paraId="3DD7FA61">
      <w:pPr>
        <w:numPr>
          <w:ilvl w:val="0"/>
          <w:numId w:val="28"/>
        </w:numPr>
        <w:snapToGrid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为无效投标保证金的或者未按照招标文件的规定提交投标保证金的；</w:t>
      </w:r>
    </w:p>
    <w:p w14:paraId="20ED0A3C">
      <w:pPr>
        <w:numPr>
          <w:ilvl w:val="0"/>
          <w:numId w:val="28"/>
        </w:numPr>
        <w:snapToGrid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投标文件未提供“投标人须知前附表”第13条“商务及技术文件”规定中“必须提供”或者“委托时必须提供”的文件资料的；</w:t>
      </w:r>
    </w:p>
    <w:p w14:paraId="2BBE4EDD">
      <w:pPr>
        <w:numPr>
          <w:ilvl w:val="0"/>
          <w:numId w:val="28"/>
        </w:numPr>
        <w:snapToGrid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商务要求评审允许负偏离的条款数超过“投标人须知前附表”规定项数的；</w:t>
      </w:r>
    </w:p>
    <w:p w14:paraId="188EA017">
      <w:pPr>
        <w:numPr>
          <w:ilvl w:val="0"/>
          <w:numId w:val="28"/>
        </w:numPr>
        <w:snapToGrid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投标文件的实质性内容未使用中文表述、使用计量单位不符合招标文件要求的；</w:t>
      </w:r>
    </w:p>
    <w:p w14:paraId="7C2A2092">
      <w:pPr>
        <w:numPr>
          <w:ilvl w:val="0"/>
          <w:numId w:val="28"/>
        </w:numPr>
        <w:snapToGrid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投标文件中的文件资料因填写不齐全或者内容虚假或者出现其他情形而导致被评标委员会认定无效的；</w:t>
      </w:r>
    </w:p>
    <w:p w14:paraId="5B6E1B53">
      <w:pPr>
        <w:numPr>
          <w:ilvl w:val="0"/>
          <w:numId w:val="28"/>
        </w:numPr>
        <w:snapToGrid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投标文件含有采购人不能接受的附加条件的；</w:t>
      </w:r>
    </w:p>
    <w:p w14:paraId="743D97DB">
      <w:pPr>
        <w:numPr>
          <w:ilvl w:val="0"/>
          <w:numId w:val="28"/>
        </w:numPr>
        <w:snapToGrid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属于投标人须知正文第9.2条情形的；</w:t>
      </w:r>
    </w:p>
    <w:p w14:paraId="2B45F244">
      <w:pPr>
        <w:numPr>
          <w:ilvl w:val="0"/>
          <w:numId w:val="28"/>
        </w:numPr>
        <w:snapToGrid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投标文件标注的项目名称或者项目编号与招标文件标注的项目名称或者项目编号不一致的；</w:t>
      </w:r>
    </w:p>
    <w:p w14:paraId="4C41E81F">
      <w:pPr>
        <w:numPr>
          <w:ilvl w:val="0"/>
          <w:numId w:val="28"/>
        </w:numPr>
        <w:snapToGrid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投标文件中承诺的投标有效期低于招标文件要求的期限的；</w:t>
      </w:r>
    </w:p>
    <w:p w14:paraId="133C2FB1">
      <w:pPr>
        <w:numPr>
          <w:ilvl w:val="0"/>
          <w:numId w:val="28"/>
        </w:numPr>
        <w:snapToGrid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虚假投标，或者出现其他情形而导致被评标委员会认定无效的；</w:t>
      </w:r>
    </w:p>
    <w:p w14:paraId="76A3246D">
      <w:pPr>
        <w:numPr>
          <w:ilvl w:val="0"/>
          <w:numId w:val="28"/>
        </w:numPr>
        <w:snapToGrid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招标文件未载明允许提供备选（替代）投标方案或明确不允许提供备选（替代）投标方案时，投标人提供了备选（替代）投标方案的；</w:t>
      </w:r>
    </w:p>
    <w:p w14:paraId="6442D1C1">
      <w:pPr>
        <w:numPr>
          <w:ilvl w:val="0"/>
          <w:numId w:val="28"/>
        </w:numPr>
        <w:snapToGrid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未响应招标文件实质性要求的。</w:t>
      </w:r>
    </w:p>
    <w:p w14:paraId="11B64B34">
      <w:pPr>
        <w:pStyle w:val="23"/>
        <w:snapToGrid w:val="0"/>
        <w:spacing w:line="360" w:lineRule="auto"/>
        <w:ind w:firstLine="413" w:firstLineChars="196"/>
        <w:rPr>
          <w:rFonts w:hint="eastAsia" w:ascii="宋体" w:hAnsi="宋体" w:eastAsia="宋体" w:cs="宋体"/>
          <w:b/>
          <w:color w:val="auto"/>
          <w:kern w:val="2"/>
          <w:sz w:val="21"/>
          <w:szCs w:val="21"/>
          <w:highlight w:val="none"/>
        </w:rPr>
      </w:pPr>
      <w:r>
        <w:rPr>
          <w:rFonts w:hint="eastAsia" w:ascii="宋体" w:hAnsi="宋体" w:eastAsia="宋体" w:cs="宋体"/>
          <w:b/>
          <w:color w:val="auto"/>
          <w:kern w:val="2"/>
          <w:sz w:val="21"/>
          <w:szCs w:val="21"/>
          <w:highlight w:val="none"/>
        </w:rPr>
        <w:t>（15）法律、法规和招标文件规定的其他无效情形。</w:t>
      </w:r>
    </w:p>
    <w:p w14:paraId="4CBB97DB">
      <w:pPr>
        <w:pStyle w:val="7"/>
        <w:keepNext w:val="0"/>
        <w:keepLines w:val="0"/>
        <w:spacing w:before="0" w:after="0" w:line="360" w:lineRule="auto"/>
        <w:ind w:left="420" w:left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3.澄清补正</w:t>
      </w:r>
    </w:p>
    <w:p w14:paraId="1368859A">
      <w:pPr>
        <w:spacing w:line="360" w:lineRule="auto"/>
        <w:ind w:firstLine="420" w:firstLineChars="200"/>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对投标文件中含义不明确、同类问题表述不一致或者有明显文字和计算错误的内容，评标委员会应在“广西政府采购云平台”发布电子澄清函，要求投标人在规定时间内作出必要的澄清、说明或者补正。投标人在“广西政府采购云平台”接收到电子澄清函后根据澄清函内容上传PDF格式回函，电子澄清答复函使用CA证书加盖投标人电子签章后在线上传至评标委员会。投标人的澄清、说明或者补正不得超出投标文件的范围或者改变投标文件的实质性内容。</w:t>
      </w:r>
    </w:p>
    <w:p w14:paraId="1A5E451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2760FB0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未按评标委员会的要求作出明确澄清、说明或者更正的投标人的投标文件将按照有利于采购人的原则由评标委员会进行判定。</w:t>
      </w:r>
    </w:p>
    <w:p w14:paraId="3F956DF1">
      <w:pPr>
        <w:pStyle w:val="7"/>
        <w:keepNext w:val="0"/>
        <w:keepLines w:val="0"/>
        <w:spacing w:before="0" w:after="0" w:line="360" w:lineRule="auto"/>
        <w:ind w:left="420" w:left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4.投标文件修正</w:t>
      </w:r>
    </w:p>
    <w:p w14:paraId="6A42C61F">
      <w:pPr>
        <w:pStyle w:val="7"/>
        <w:keepNext w:val="0"/>
        <w:keepLines w:val="0"/>
        <w:spacing w:before="0" w:after="0" w:line="360" w:lineRule="auto"/>
        <w:ind w:left="420" w:left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 xml:space="preserve">4.1投标文件报价出现前后不一致的，按照下列规定修正： </w:t>
      </w:r>
    </w:p>
    <w:p w14:paraId="011BAB31">
      <w:pPr>
        <w:pStyle w:val="31"/>
        <w:ind w:firstLine="424" w:firstLineChars="202"/>
        <w:rPr>
          <w:rFonts w:hint="eastAsia" w:ascii="宋体" w:hAnsi="宋体" w:eastAsia="宋体" w:cs="宋体"/>
          <w:color w:val="auto"/>
          <w:w w:val="100"/>
          <w:highlight w:val="none"/>
        </w:rPr>
      </w:pPr>
      <w:r>
        <w:rPr>
          <w:rFonts w:hint="eastAsia" w:ascii="宋体" w:hAnsi="宋体" w:eastAsia="宋体" w:cs="宋体"/>
          <w:color w:val="auto"/>
          <w:w w:val="100"/>
          <w:highlight w:val="none"/>
        </w:rPr>
        <w:t>（1）投标文件中开标一览表（报价表）内容与投标文件中相应内容不一致的，以开标一览表（报价表）为准；</w:t>
      </w:r>
    </w:p>
    <w:p w14:paraId="55A527D1">
      <w:pPr>
        <w:pStyle w:val="31"/>
        <w:ind w:firstLine="424" w:firstLineChars="202"/>
        <w:rPr>
          <w:rFonts w:hint="eastAsia" w:ascii="宋体" w:hAnsi="宋体" w:eastAsia="宋体" w:cs="宋体"/>
          <w:color w:val="auto"/>
          <w:w w:val="100"/>
          <w:highlight w:val="none"/>
        </w:rPr>
      </w:pPr>
      <w:r>
        <w:rPr>
          <w:rFonts w:hint="eastAsia" w:ascii="宋体" w:hAnsi="宋体" w:eastAsia="宋体" w:cs="宋体"/>
          <w:color w:val="auto"/>
          <w:w w:val="100"/>
          <w:highlight w:val="none"/>
        </w:rPr>
        <w:t>（2）大写金额和小写金额不一致的，以大写金额为准；</w:t>
      </w:r>
    </w:p>
    <w:p w14:paraId="321D34D1">
      <w:pPr>
        <w:pStyle w:val="31"/>
        <w:ind w:firstLine="424" w:firstLineChars="202"/>
        <w:rPr>
          <w:rFonts w:hint="eastAsia" w:ascii="宋体" w:hAnsi="宋体" w:eastAsia="宋体" w:cs="宋体"/>
          <w:color w:val="auto"/>
          <w:w w:val="100"/>
          <w:highlight w:val="none"/>
        </w:rPr>
      </w:pPr>
      <w:r>
        <w:rPr>
          <w:rFonts w:hint="eastAsia" w:ascii="宋体" w:hAnsi="宋体" w:eastAsia="宋体" w:cs="宋体"/>
          <w:color w:val="auto"/>
          <w:w w:val="100"/>
          <w:highlight w:val="none"/>
        </w:rPr>
        <w:t>（3）单价金额小数点或者百分比有明显错位的，以开标一览表的总价为准，并修改单价；</w:t>
      </w:r>
    </w:p>
    <w:p w14:paraId="688DFFE5">
      <w:pPr>
        <w:pStyle w:val="31"/>
        <w:ind w:firstLine="424" w:firstLineChars="202"/>
        <w:rPr>
          <w:rFonts w:hint="eastAsia" w:ascii="宋体" w:hAnsi="宋体" w:eastAsia="宋体" w:cs="宋体"/>
          <w:color w:val="auto"/>
          <w:w w:val="100"/>
          <w:highlight w:val="none"/>
        </w:rPr>
      </w:pPr>
      <w:r>
        <w:rPr>
          <w:rFonts w:hint="eastAsia" w:ascii="宋体" w:hAnsi="宋体" w:eastAsia="宋体" w:cs="宋体"/>
          <w:color w:val="auto"/>
          <w:w w:val="100"/>
          <w:highlight w:val="none"/>
        </w:rPr>
        <w:t>（4）总价金额与按单价汇总金额不一致的，以单价金额计算结果为准。</w:t>
      </w:r>
    </w:p>
    <w:p w14:paraId="47C0A2A8">
      <w:pPr>
        <w:pStyle w:val="31"/>
        <w:ind w:firstLine="424" w:firstLineChars="202"/>
        <w:rPr>
          <w:rFonts w:hint="eastAsia" w:ascii="宋体" w:hAnsi="宋体" w:eastAsia="宋体" w:cs="宋体"/>
          <w:color w:val="auto"/>
          <w:w w:val="100"/>
          <w:highlight w:val="none"/>
        </w:rPr>
      </w:pPr>
      <w:r>
        <w:rPr>
          <w:rFonts w:hint="eastAsia" w:ascii="宋体" w:hAnsi="宋体" w:eastAsia="宋体" w:cs="宋体"/>
          <w:color w:val="auto"/>
          <w:w w:val="100"/>
          <w:highlight w:val="none"/>
        </w:rPr>
        <w:t>同时出现两种以上不一致的，按照以上（1）-（4）规定的顺序修正。修正后的报价经投标人确认后产生约束力，投标人不确认的，</w:t>
      </w:r>
      <w:r>
        <w:rPr>
          <w:rFonts w:hint="eastAsia" w:ascii="宋体" w:hAnsi="宋体" w:eastAsia="宋体" w:cs="宋体"/>
          <w:b/>
          <w:color w:val="auto"/>
          <w:w w:val="100"/>
          <w:kern w:val="2"/>
          <w:highlight w:val="none"/>
        </w:rPr>
        <w:t>其投标无效</w:t>
      </w:r>
      <w:r>
        <w:rPr>
          <w:rFonts w:hint="eastAsia" w:ascii="宋体" w:hAnsi="宋体" w:eastAsia="宋体" w:cs="宋体"/>
          <w:color w:val="auto"/>
          <w:w w:val="100"/>
          <w:highlight w:val="none"/>
        </w:rPr>
        <w:t>。</w:t>
      </w:r>
    </w:p>
    <w:p w14:paraId="7DB3F333">
      <w:pPr>
        <w:pStyle w:val="7"/>
        <w:keepNext w:val="0"/>
        <w:keepLines w:val="0"/>
        <w:spacing w:before="0" w:after="0" w:line="360" w:lineRule="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 xml:space="preserve">    4.2经投标人确认修正后的报价若超过采购预算金额或者最高限价，</w:t>
      </w:r>
      <w:r>
        <w:rPr>
          <w:rFonts w:hint="eastAsia" w:ascii="宋体" w:hAnsi="宋体" w:eastAsia="宋体" w:cs="宋体"/>
          <w:color w:val="auto"/>
          <w:sz w:val="21"/>
          <w:szCs w:val="21"/>
          <w:highlight w:val="none"/>
        </w:rPr>
        <w:t>投标人的投标文件作无效投标处理</w:t>
      </w:r>
      <w:r>
        <w:rPr>
          <w:rFonts w:hint="eastAsia" w:ascii="宋体" w:hAnsi="宋体" w:eastAsia="宋体" w:cs="宋体"/>
          <w:b w:val="0"/>
          <w:color w:val="auto"/>
          <w:sz w:val="21"/>
          <w:szCs w:val="21"/>
          <w:highlight w:val="none"/>
        </w:rPr>
        <w:t>。</w:t>
      </w:r>
    </w:p>
    <w:p w14:paraId="743ED617">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4.3经投标人确认修正后的报价作为签订合同的依据，并以此报价计算价格分。</w:t>
      </w:r>
    </w:p>
    <w:p w14:paraId="31004A09">
      <w:pPr>
        <w:pStyle w:val="7"/>
        <w:keepNext w:val="0"/>
        <w:keepLines w:val="0"/>
        <w:spacing w:before="0" w:after="0" w:line="360" w:lineRule="auto"/>
        <w:ind w:left="420" w:left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5.比较与评价</w:t>
      </w:r>
    </w:p>
    <w:p w14:paraId="2D149454">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5.1采用综合评分法的</w:t>
      </w:r>
    </w:p>
    <w:p w14:paraId="0B94C198">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5.1评标委员会按照招标文件中规定的评标方法和评标标准，对符合性审查合格的投标文件进行商务和技术评估，综合比较与评价。</w:t>
      </w:r>
    </w:p>
    <w:p w14:paraId="26370834">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5.2评标委员会独立对每个投标人的投标文件进行评价，并汇总每个投标人的得分。</w:t>
      </w:r>
    </w:p>
    <w:p w14:paraId="68ACFDAB">
      <w:pPr>
        <w:widowControl/>
        <w:numPr>
          <w:ilvl w:val="0"/>
          <w:numId w:val="29"/>
        </w:num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评审委员会成员要根据政府采购法律法规和采购文件所载明的评审方法、标准进行评审。对供应商的价格分等客观评分项的评分应当一致，对其他需要借助专业知识评判的主观评分项，应当严格按照评分细则公正评分。</w:t>
      </w:r>
    </w:p>
    <w:p w14:paraId="161FF5A1">
      <w:pPr>
        <w:widowControl/>
        <w:numPr>
          <w:ilvl w:val="0"/>
          <w:numId w:val="29"/>
        </w:num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将其作为无效投标处理。</w:t>
      </w:r>
    </w:p>
    <w:p w14:paraId="20CACB94">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5.3评标委员会按照招标文件中规定的评标方法和标准计算各投标人的报价得分。在计算过程中，不得去掉最高报价或者最低报价。</w:t>
      </w:r>
    </w:p>
    <w:p w14:paraId="2F5CD799">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5.4各投标人的得分为所有评委的有效评分的算术平均数。</w:t>
      </w:r>
    </w:p>
    <w:p w14:paraId="53F87E6D">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5.5评标委员会按照招标文件中的规定推荐中标候选人。</w:t>
      </w:r>
    </w:p>
    <w:p w14:paraId="3E79F4A5">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5.6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作出结论。持不同意见的评标委员会应当在评标报告上签署不同意见及理由，否则视为同意评标报告。</w:t>
      </w:r>
    </w:p>
    <w:p w14:paraId="5505CA88">
      <w:pPr>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6.评审复核</w:t>
      </w:r>
    </w:p>
    <w:p w14:paraId="42C2C6F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6.1评标报告签署前，评标委员会要对评审结果进行复核，复核意见要体现在评标报告中。</w:t>
      </w:r>
    </w:p>
    <w:p w14:paraId="34A23454">
      <w:pPr>
        <w:widowControl/>
        <w:spacing w:line="360" w:lineRule="auto"/>
        <w:ind w:firstLine="420" w:firstLineChars="200"/>
        <w:jc w:val="left"/>
        <w:textAlignment w:val="baseline"/>
        <w:rPr>
          <w:rFonts w:hint="eastAsia" w:ascii="宋体" w:hAnsi="宋体" w:eastAsia="宋体" w:cs="宋体"/>
          <w:color w:val="auto"/>
          <w:highlight w:val="none"/>
        </w:rPr>
      </w:pPr>
      <w:r>
        <w:rPr>
          <w:rFonts w:hint="eastAsia" w:ascii="宋体" w:hAnsi="宋体" w:eastAsia="宋体" w:cs="宋体"/>
          <w:color w:val="auto"/>
          <w:highlight w:val="none"/>
        </w:rPr>
        <w:t>6.2评标结果汇总完成后，除下列情形外，任何人不得修改评标结果：</w:t>
      </w:r>
    </w:p>
    <w:p w14:paraId="4D7B11EC">
      <w:pPr>
        <w:widowControl/>
        <w:spacing w:line="360" w:lineRule="auto"/>
        <w:jc w:val="left"/>
        <w:textAlignment w:val="baseline"/>
        <w:rPr>
          <w:rFonts w:hint="eastAsia" w:ascii="宋体" w:hAnsi="宋体" w:eastAsia="宋体" w:cs="宋体"/>
          <w:color w:val="auto"/>
          <w:highlight w:val="none"/>
        </w:rPr>
      </w:pPr>
      <w:r>
        <w:rPr>
          <w:rFonts w:hint="eastAsia" w:ascii="宋体" w:hAnsi="宋体" w:eastAsia="宋体" w:cs="宋体"/>
          <w:color w:val="auto"/>
          <w:highlight w:val="none"/>
        </w:rPr>
        <w:t>　　（一）分值汇总计算错误的；</w:t>
      </w:r>
    </w:p>
    <w:p w14:paraId="4D200914">
      <w:pPr>
        <w:widowControl/>
        <w:spacing w:line="360" w:lineRule="auto"/>
        <w:jc w:val="left"/>
        <w:textAlignment w:val="baseline"/>
        <w:rPr>
          <w:rFonts w:hint="eastAsia" w:ascii="宋体" w:hAnsi="宋体" w:eastAsia="宋体" w:cs="宋体"/>
          <w:color w:val="auto"/>
          <w:highlight w:val="none"/>
        </w:rPr>
      </w:pPr>
      <w:r>
        <w:rPr>
          <w:rFonts w:hint="eastAsia" w:ascii="宋体" w:hAnsi="宋体" w:eastAsia="宋体" w:cs="宋体"/>
          <w:color w:val="auto"/>
          <w:highlight w:val="none"/>
        </w:rPr>
        <w:t>　　（二）分项评分超出评分标准范围的；</w:t>
      </w:r>
    </w:p>
    <w:p w14:paraId="420C69FD">
      <w:pPr>
        <w:widowControl/>
        <w:spacing w:line="360" w:lineRule="auto"/>
        <w:jc w:val="left"/>
        <w:textAlignment w:val="baseline"/>
        <w:rPr>
          <w:rFonts w:hint="eastAsia" w:ascii="宋体" w:hAnsi="宋体" w:eastAsia="宋体" w:cs="宋体"/>
          <w:color w:val="auto"/>
          <w:highlight w:val="none"/>
        </w:rPr>
      </w:pPr>
      <w:r>
        <w:rPr>
          <w:rFonts w:hint="eastAsia" w:ascii="宋体" w:hAnsi="宋体" w:eastAsia="宋体" w:cs="宋体"/>
          <w:color w:val="auto"/>
          <w:highlight w:val="none"/>
        </w:rPr>
        <w:t>　　（三）评标委员会成员对客观评审因素评分不一致的；</w:t>
      </w:r>
    </w:p>
    <w:p w14:paraId="7005440B">
      <w:pPr>
        <w:widowControl/>
        <w:spacing w:line="360" w:lineRule="auto"/>
        <w:jc w:val="left"/>
        <w:textAlignment w:val="baseline"/>
        <w:rPr>
          <w:rFonts w:hint="eastAsia" w:ascii="宋体" w:hAnsi="宋体" w:eastAsia="宋体" w:cs="宋体"/>
          <w:color w:val="auto"/>
          <w:highlight w:val="none"/>
        </w:rPr>
      </w:pPr>
      <w:r>
        <w:rPr>
          <w:rFonts w:hint="eastAsia" w:ascii="宋体" w:hAnsi="宋体" w:eastAsia="宋体" w:cs="宋体"/>
          <w:color w:val="auto"/>
          <w:highlight w:val="none"/>
        </w:rPr>
        <w:t>　　（四）经评标委员会认定评分畸高、畸低的。</w:t>
      </w:r>
    </w:p>
    <w:p w14:paraId="7D2A335F">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46E31BE5">
      <w:pPr>
        <w:snapToGrid w:val="0"/>
        <w:spacing w:line="360" w:lineRule="auto"/>
        <w:ind w:firstLine="424" w:firstLineChars="202"/>
        <w:jc w:val="center"/>
        <w:rPr>
          <w:rFonts w:hint="eastAsia" w:ascii="宋体" w:hAnsi="宋体" w:eastAsia="宋体" w:cs="宋体"/>
          <w:color w:val="auto"/>
          <w:szCs w:val="21"/>
          <w:highlight w:val="none"/>
        </w:rPr>
      </w:pPr>
    </w:p>
    <w:p w14:paraId="4056B718">
      <w:pPr>
        <w:pStyle w:val="31"/>
        <w:numPr>
          <w:ilvl w:val="0"/>
          <w:numId w:val="30"/>
        </w:numPr>
        <w:spacing w:line="560" w:lineRule="exact"/>
        <w:jc w:val="center"/>
        <w:rPr>
          <w:rFonts w:hint="eastAsia" w:ascii="宋体" w:hAnsi="宋体" w:eastAsia="宋体" w:cs="宋体"/>
          <w:b/>
          <w:color w:val="auto"/>
          <w:sz w:val="32"/>
          <w:szCs w:val="32"/>
          <w:highlight w:val="none"/>
        </w:rPr>
      </w:pPr>
      <w:r>
        <w:rPr>
          <w:rFonts w:hint="eastAsia" w:ascii="宋体" w:hAnsi="宋体" w:eastAsia="宋体" w:cs="宋体"/>
          <w:color w:val="auto"/>
          <w:highlight w:val="none"/>
        </w:rPr>
        <w:br w:type="page"/>
      </w:r>
      <w:bookmarkStart w:id="130" w:name="_Hlk71707917"/>
      <w:r>
        <w:rPr>
          <w:rFonts w:hint="eastAsia" w:ascii="宋体" w:hAnsi="宋体" w:eastAsia="宋体" w:cs="宋体"/>
          <w:b/>
          <w:color w:val="auto"/>
          <w:sz w:val="32"/>
          <w:szCs w:val="32"/>
          <w:highlight w:val="none"/>
        </w:rPr>
        <w:t>评标方法及评分标准</w:t>
      </w:r>
    </w:p>
    <w:p w14:paraId="35C2B5A0">
      <w:pP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评审依据：</w:t>
      </w:r>
      <w:r>
        <w:rPr>
          <w:rFonts w:hint="eastAsia" w:ascii="宋体" w:hAnsi="宋体" w:eastAsia="宋体" w:cs="宋体"/>
          <w:bCs/>
          <w:color w:val="auto"/>
          <w:szCs w:val="21"/>
          <w:highlight w:val="none"/>
          <w:lang w:val="en-US" w:eastAsia="zh-CN"/>
        </w:rPr>
        <w:t>评标委员会</w:t>
      </w:r>
      <w:r>
        <w:rPr>
          <w:rFonts w:hint="eastAsia" w:ascii="宋体" w:hAnsi="宋体" w:eastAsia="宋体" w:cs="宋体"/>
          <w:bCs/>
          <w:color w:val="auto"/>
          <w:szCs w:val="21"/>
          <w:highlight w:val="none"/>
        </w:rPr>
        <w:t>将以</w:t>
      </w:r>
      <w:r>
        <w:rPr>
          <w:rFonts w:hint="eastAsia" w:ascii="宋体" w:hAnsi="宋体" w:eastAsia="宋体" w:cs="宋体"/>
          <w:bCs/>
          <w:color w:val="auto"/>
          <w:szCs w:val="21"/>
          <w:highlight w:val="none"/>
          <w:lang w:val="en-US" w:eastAsia="zh-CN"/>
        </w:rPr>
        <w:t>采购</w:t>
      </w:r>
      <w:r>
        <w:rPr>
          <w:rFonts w:hint="eastAsia" w:ascii="宋体" w:hAnsi="宋体" w:eastAsia="宋体" w:cs="宋体"/>
          <w:bCs/>
          <w:color w:val="auto"/>
          <w:szCs w:val="21"/>
          <w:highlight w:val="none"/>
        </w:rPr>
        <w:t>文件</w:t>
      </w:r>
      <w:r>
        <w:rPr>
          <w:rFonts w:hint="eastAsia" w:ascii="宋体" w:hAnsi="宋体" w:eastAsia="宋体" w:cs="宋体"/>
          <w:bCs/>
          <w:color w:val="auto"/>
          <w:szCs w:val="21"/>
          <w:highlight w:val="none"/>
          <w:lang w:val="en-US" w:eastAsia="zh-CN"/>
        </w:rPr>
        <w:t>及投标文件</w:t>
      </w:r>
      <w:r>
        <w:rPr>
          <w:rFonts w:hint="eastAsia" w:ascii="宋体" w:hAnsi="宋体" w:eastAsia="宋体" w:cs="宋体"/>
          <w:bCs/>
          <w:color w:val="auto"/>
          <w:szCs w:val="21"/>
          <w:highlight w:val="none"/>
        </w:rPr>
        <w:t>为评审依据，对供应商的报价、技术、商务等方面内容按百分制打分。（计分方法按四舍五入取至百分位）</w:t>
      </w:r>
    </w:p>
    <w:p w14:paraId="66F095E0">
      <w:pPr>
        <w:pStyle w:val="31"/>
        <w:numPr>
          <w:ilvl w:val="0"/>
          <w:numId w:val="0"/>
        </w:numPr>
        <w:spacing w:line="560" w:lineRule="exact"/>
        <w:jc w:val="both"/>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分标1：</w:t>
      </w:r>
    </w:p>
    <w:bookmarkEnd w:id="130"/>
    <w:tbl>
      <w:tblPr>
        <w:tblStyle w:val="6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7"/>
        <w:gridCol w:w="1377"/>
        <w:gridCol w:w="6155"/>
        <w:gridCol w:w="851"/>
      </w:tblGrid>
      <w:tr w14:paraId="341E2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7" w:type="dxa"/>
            <w:noWrap w:val="0"/>
            <w:vAlign w:val="center"/>
          </w:tcPr>
          <w:p w14:paraId="06EBB02C">
            <w:pPr>
              <w:widowControl/>
              <w:wordWrap w:val="0"/>
              <w:spacing w:line="400" w:lineRule="exact"/>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序号</w:t>
            </w:r>
          </w:p>
        </w:tc>
        <w:tc>
          <w:tcPr>
            <w:tcW w:w="1377" w:type="dxa"/>
            <w:noWrap w:val="0"/>
            <w:vAlign w:val="center"/>
          </w:tcPr>
          <w:p w14:paraId="07469317">
            <w:pPr>
              <w:widowControl/>
              <w:wordWrap w:val="0"/>
              <w:spacing w:line="400" w:lineRule="exact"/>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评审因素</w:t>
            </w:r>
          </w:p>
        </w:tc>
        <w:tc>
          <w:tcPr>
            <w:tcW w:w="6155" w:type="dxa"/>
            <w:noWrap w:val="0"/>
            <w:vAlign w:val="center"/>
          </w:tcPr>
          <w:p w14:paraId="500501B7">
            <w:pPr>
              <w:widowControl/>
              <w:wordWrap w:val="0"/>
              <w:spacing w:line="400" w:lineRule="exact"/>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评审因素具体内容</w:t>
            </w:r>
          </w:p>
        </w:tc>
        <w:tc>
          <w:tcPr>
            <w:tcW w:w="851" w:type="dxa"/>
            <w:noWrap w:val="0"/>
            <w:vAlign w:val="center"/>
          </w:tcPr>
          <w:p w14:paraId="037D5D28">
            <w:pPr>
              <w:widowControl/>
              <w:wordWrap w:val="0"/>
              <w:spacing w:line="400" w:lineRule="exact"/>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分值</w:t>
            </w:r>
          </w:p>
        </w:tc>
      </w:tr>
      <w:tr w14:paraId="77E5A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7" w:type="dxa"/>
            <w:noWrap w:val="0"/>
            <w:vAlign w:val="center"/>
          </w:tcPr>
          <w:p w14:paraId="0F28261D">
            <w:pPr>
              <w:widowControl/>
              <w:wordWrap w:val="0"/>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w:t>
            </w:r>
          </w:p>
        </w:tc>
        <w:tc>
          <w:tcPr>
            <w:tcW w:w="1377" w:type="dxa"/>
            <w:noWrap w:val="0"/>
            <w:vAlign w:val="center"/>
          </w:tcPr>
          <w:p w14:paraId="72B54FFE">
            <w:pPr>
              <w:widowControl/>
              <w:wordWrap w:val="0"/>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价格分</w:t>
            </w:r>
          </w:p>
        </w:tc>
        <w:tc>
          <w:tcPr>
            <w:tcW w:w="6155" w:type="dxa"/>
            <w:noWrap w:val="0"/>
            <w:vAlign w:val="top"/>
          </w:tcPr>
          <w:p w14:paraId="02DA5537">
            <w:pPr>
              <w:numPr>
                <w:ilvl w:val="-1"/>
                <w:numId w:val="0"/>
              </w:numPr>
              <w:snapToGrid w:val="0"/>
              <w:spacing w:line="360" w:lineRule="auto"/>
              <w:ind w:firstLine="420" w:firstLineChars="200"/>
              <w:outlineLvl w:val="9"/>
              <w:rPr>
                <w:rFonts w:hint="eastAsia" w:ascii="宋体" w:hAnsi="宋体" w:eastAsia="宋体" w:cs="宋体"/>
                <w:color w:val="auto"/>
                <w:highlight w:val="none"/>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lang w:eastAsia="zh-CN"/>
              </w:rPr>
              <w:t>）</w:t>
            </w:r>
            <w:r>
              <w:rPr>
                <w:rFonts w:hint="eastAsia" w:ascii="宋体" w:hAnsi="宋体" w:eastAsia="宋体" w:cs="宋体"/>
                <w:bCs/>
                <w:color w:val="auto"/>
                <w:szCs w:val="21"/>
                <w:highlight w:val="none"/>
              </w:rPr>
              <w:t>本项目为专门面向</w:t>
            </w:r>
            <w:r>
              <w:rPr>
                <w:rFonts w:hint="eastAsia" w:ascii="宋体" w:hAnsi="宋体" w:eastAsia="宋体" w:cs="宋体"/>
                <w:bCs/>
                <w:color w:val="auto"/>
                <w:szCs w:val="21"/>
                <w:highlight w:val="none"/>
                <w:lang w:val="en-US" w:eastAsia="zh-CN"/>
              </w:rPr>
              <w:t>中</w:t>
            </w:r>
            <w:r>
              <w:rPr>
                <w:rFonts w:hint="eastAsia" w:ascii="宋体" w:hAnsi="宋体" w:eastAsia="宋体" w:cs="宋体"/>
                <w:bCs/>
                <w:color w:val="auto"/>
                <w:szCs w:val="21"/>
                <w:highlight w:val="none"/>
              </w:rPr>
              <w:t>小企业采购的项目，供应商不重复享受政策价格扣除。最终</w:t>
            </w:r>
            <w:r>
              <w:rPr>
                <w:rFonts w:hint="eastAsia" w:ascii="宋体" w:hAnsi="宋体" w:eastAsia="宋体" w:cs="宋体"/>
                <w:bCs/>
                <w:color w:val="auto"/>
                <w:szCs w:val="21"/>
                <w:highlight w:val="none"/>
                <w:lang w:eastAsia="zh-CN"/>
              </w:rPr>
              <w:t>中标</w:t>
            </w:r>
            <w:r>
              <w:rPr>
                <w:rFonts w:hint="eastAsia" w:ascii="宋体" w:hAnsi="宋体" w:eastAsia="宋体" w:cs="宋体"/>
                <w:bCs/>
                <w:color w:val="auto"/>
                <w:szCs w:val="21"/>
                <w:highlight w:val="none"/>
              </w:rPr>
              <w:t>供应商的</w:t>
            </w:r>
            <w:r>
              <w:rPr>
                <w:rFonts w:hint="eastAsia" w:ascii="宋体" w:hAnsi="宋体" w:eastAsia="宋体" w:cs="宋体"/>
                <w:bCs/>
                <w:color w:val="auto"/>
                <w:szCs w:val="21"/>
                <w:highlight w:val="none"/>
                <w:lang w:eastAsia="zh-CN"/>
              </w:rPr>
              <w:t>中标</w:t>
            </w:r>
            <w:r>
              <w:rPr>
                <w:rFonts w:hint="eastAsia" w:ascii="宋体" w:hAnsi="宋体" w:eastAsia="宋体" w:cs="宋体"/>
                <w:bCs/>
                <w:color w:val="auto"/>
                <w:szCs w:val="21"/>
                <w:highlight w:val="none"/>
              </w:rPr>
              <w:t>金额等于最后报价（如有修正，以确认修正后的最后报价为准）。</w:t>
            </w:r>
          </w:p>
          <w:p w14:paraId="709BE5C6">
            <w:pPr>
              <w:spacing w:line="360" w:lineRule="exact"/>
              <w:ind w:firstLine="420" w:firstLineChars="200"/>
              <w:outlineLvl w:val="9"/>
              <w:rPr>
                <w:rFonts w:hint="eastAsia" w:ascii="宋体" w:hAnsi="宋体" w:eastAsia="宋体" w:cs="宋体"/>
                <w:color w:val="auto"/>
                <w:highlight w:val="none"/>
              </w:rPr>
            </w:pPr>
            <w:r>
              <w:rPr>
                <w:rFonts w:hint="eastAsia" w:ascii="宋体" w:hAnsi="宋体" w:eastAsia="宋体" w:cs="宋体"/>
                <w:color w:val="auto"/>
                <w:highlight w:val="none"/>
              </w:rPr>
              <w:t>（2）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不重复享受政策。</w:t>
            </w:r>
          </w:p>
          <w:p w14:paraId="3E8020DF">
            <w:pPr>
              <w:spacing w:line="360" w:lineRule="exact"/>
              <w:ind w:firstLine="420" w:firstLineChars="200"/>
              <w:outlineLvl w:val="9"/>
              <w:rPr>
                <w:rFonts w:hint="eastAsia" w:ascii="宋体" w:hAnsi="宋体" w:eastAsia="宋体" w:cs="宋体"/>
                <w:color w:val="auto"/>
                <w:highlight w:val="none"/>
              </w:rPr>
            </w:pPr>
            <w:r>
              <w:rPr>
                <w:rFonts w:hint="eastAsia" w:ascii="宋体" w:hAnsi="宋体" w:eastAsia="宋体" w:cs="宋体"/>
                <w:color w:val="auto"/>
                <w:highlight w:val="none"/>
              </w:rPr>
              <w:t>（3）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5DB8EBE4">
            <w:pPr>
              <w:spacing w:line="360" w:lineRule="exact"/>
              <w:ind w:firstLine="420" w:firstLineChars="200"/>
              <w:outlineLvl w:val="9"/>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rPr>
              <w:t>）评审报价＝最后报价。</w:t>
            </w:r>
          </w:p>
          <w:p w14:paraId="5B4ABD5B">
            <w:pPr>
              <w:spacing w:line="360" w:lineRule="exact"/>
              <w:ind w:firstLine="420" w:firstLineChars="200"/>
              <w:outlineLvl w:val="9"/>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（5）以进入比较与评价环节的最低的评审报价为基准价，基准价得分为 20分。</w:t>
            </w:r>
          </w:p>
          <w:p w14:paraId="2E76084F">
            <w:pPr>
              <w:spacing w:line="360" w:lineRule="exact"/>
              <w:ind w:firstLine="420" w:firstLineChars="200"/>
              <w:outlineLvl w:val="9"/>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（6）价格分计算公式：</w:t>
            </w:r>
          </w:p>
          <w:p w14:paraId="38FD30D4">
            <w:pPr>
              <w:keepNext w:val="0"/>
              <w:keepLines w:val="0"/>
              <w:pageBreakBefore w:val="0"/>
              <w:kinsoku/>
              <w:wordWrap w:val="0"/>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报价得分=（基准价/</w:t>
            </w:r>
            <w:r>
              <w:rPr>
                <w:rFonts w:hint="eastAsia" w:ascii="宋体" w:hAnsi="宋体" w:eastAsia="宋体" w:cs="宋体"/>
                <w:color w:val="auto"/>
                <w:highlight w:val="none"/>
                <w:lang w:val="en-US" w:eastAsia="zh-CN"/>
              </w:rPr>
              <w:t>供应商有效</w:t>
            </w:r>
            <w:r>
              <w:rPr>
                <w:rFonts w:hint="eastAsia" w:ascii="宋体" w:hAnsi="宋体" w:eastAsia="宋体" w:cs="宋体"/>
                <w:color w:val="auto"/>
                <w:highlight w:val="none"/>
                <w:lang w:eastAsia="zh-CN"/>
              </w:rPr>
              <w:t xml:space="preserve">最后报价）× </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lang w:eastAsia="zh-CN"/>
              </w:rPr>
              <w:t>0分</w:t>
            </w:r>
          </w:p>
          <w:p w14:paraId="25F59CDC">
            <w:pPr>
              <w:keepNext w:val="0"/>
              <w:keepLines w:val="0"/>
              <w:pageBreakBefore w:val="0"/>
              <w:kinsoku/>
              <w:wordWrap w:val="0"/>
              <w:overflowPunct/>
              <w:topLinePunct w:val="0"/>
              <w:autoSpaceDE/>
              <w:autoSpaceDN/>
              <w:bidi w:val="0"/>
              <w:adjustRightInd w:val="0"/>
              <w:snapToGrid w:val="0"/>
              <w:spacing w:line="400" w:lineRule="exact"/>
              <w:ind w:firstLine="422" w:firstLineChars="200"/>
              <w:textAlignment w:val="auto"/>
              <w:rPr>
                <w:rFonts w:hint="eastAsia" w:ascii="宋体" w:hAnsi="宋体" w:eastAsia="宋体" w:cs="宋体"/>
                <w:color w:val="auto"/>
                <w:highlight w:val="none"/>
                <w:lang w:eastAsia="zh-CN"/>
              </w:rPr>
            </w:pPr>
            <w:r>
              <w:rPr>
                <w:rFonts w:hint="eastAsia" w:ascii="宋体" w:hAnsi="宋体" w:eastAsia="宋体" w:cs="宋体"/>
                <w:b/>
                <w:bCs/>
                <w:color w:val="auto"/>
                <w:szCs w:val="21"/>
                <w:highlight w:val="none"/>
                <w:lang w:val="en-US" w:eastAsia="zh-CN"/>
              </w:rPr>
              <w:t>注：本标项采用单价进行报价，单价超过各单价最高限价的投标无效；以各单项报价的合计作为价格分计算依据。</w:t>
            </w:r>
          </w:p>
        </w:tc>
        <w:tc>
          <w:tcPr>
            <w:tcW w:w="851" w:type="dxa"/>
            <w:noWrap w:val="0"/>
            <w:vAlign w:val="center"/>
          </w:tcPr>
          <w:p w14:paraId="3B8BA610">
            <w:pPr>
              <w:widowControl/>
              <w:wordWrap w:val="0"/>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20分</w:t>
            </w:r>
          </w:p>
        </w:tc>
      </w:tr>
      <w:tr w14:paraId="5753B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7" w:type="dxa"/>
            <w:noWrap w:val="0"/>
            <w:vAlign w:val="center"/>
          </w:tcPr>
          <w:p w14:paraId="1ACA0742">
            <w:pPr>
              <w:widowControl/>
              <w:wordWrap w:val="0"/>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w:t>
            </w:r>
          </w:p>
        </w:tc>
        <w:tc>
          <w:tcPr>
            <w:tcW w:w="1377" w:type="dxa"/>
            <w:noWrap w:val="0"/>
            <w:vAlign w:val="center"/>
          </w:tcPr>
          <w:p w14:paraId="5329A9E6">
            <w:pPr>
              <w:widowControl/>
              <w:wordWrap w:val="0"/>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技术分</w:t>
            </w:r>
          </w:p>
        </w:tc>
        <w:tc>
          <w:tcPr>
            <w:tcW w:w="7006" w:type="dxa"/>
            <w:gridSpan w:val="2"/>
            <w:noWrap w:val="0"/>
            <w:vAlign w:val="top"/>
          </w:tcPr>
          <w:p w14:paraId="5DEA2FC2">
            <w:pPr>
              <w:keepNext w:val="0"/>
              <w:keepLines w:val="0"/>
              <w:pageBreakBefore w:val="0"/>
              <w:widowControl/>
              <w:kinsoku/>
              <w:wordWrap w:val="0"/>
              <w:overflowPunct/>
              <w:topLinePunct w:val="0"/>
              <w:autoSpaceDE/>
              <w:autoSpaceDN/>
              <w:bidi w:val="0"/>
              <w:spacing w:line="400" w:lineRule="exact"/>
              <w:ind w:firstLine="420" w:firstLineChars="200"/>
              <w:jc w:val="center"/>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评审因素</w:t>
            </w:r>
          </w:p>
        </w:tc>
      </w:tr>
      <w:tr w14:paraId="0C293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7" w:type="dxa"/>
            <w:noWrap w:val="0"/>
            <w:vAlign w:val="center"/>
          </w:tcPr>
          <w:p w14:paraId="596261C3">
            <w:pPr>
              <w:wordWrap w:val="0"/>
              <w:adjustRightInd w:val="0"/>
              <w:spacing w:line="400" w:lineRule="exact"/>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2.1</w:t>
            </w:r>
          </w:p>
        </w:tc>
        <w:tc>
          <w:tcPr>
            <w:tcW w:w="1377" w:type="dxa"/>
            <w:noWrap w:val="0"/>
            <w:vAlign w:val="center"/>
          </w:tcPr>
          <w:p w14:paraId="50B78FB1">
            <w:pPr>
              <w:spacing w:line="360" w:lineRule="exact"/>
              <w:outlineLvl w:val="9"/>
              <w:rPr>
                <w:rFonts w:hint="eastAsia" w:ascii="宋体" w:hAnsi="宋体" w:eastAsia="宋体" w:cs="宋体"/>
                <w:color w:val="auto"/>
                <w:highlight w:val="none"/>
              </w:rPr>
            </w:pPr>
            <w:r>
              <w:rPr>
                <w:rFonts w:hint="eastAsia" w:ascii="宋体" w:hAnsi="宋体" w:eastAsia="宋体" w:cs="宋体"/>
                <w:color w:val="auto"/>
                <w:highlight w:val="none"/>
                <w:lang w:val="zh-CN"/>
              </w:rPr>
              <w:t>实施方案（主要分部分项实施方法及技术措施）、实施部署及现场组织管理机构</w:t>
            </w:r>
          </w:p>
        </w:tc>
        <w:tc>
          <w:tcPr>
            <w:tcW w:w="6155" w:type="dxa"/>
            <w:noWrap w:val="0"/>
            <w:vAlign w:val="center"/>
          </w:tcPr>
          <w:p w14:paraId="448C709A">
            <w:pPr>
              <w:spacing w:line="360" w:lineRule="exact"/>
              <w:ind w:firstLine="420" w:firstLineChars="200"/>
              <w:outlineLvl w:val="9"/>
              <w:rPr>
                <w:rFonts w:hint="eastAsia" w:ascii="宋体" w:hAnsi="宋体" w:eastAsia="宋体" w:cs="宋体"/>
                <w:color w:val="auto"/>
                <w:highlight w:val="none"/>
                <w:lang w:val="zh-CN"/>
              </w:rPr>
            </w:pPr>
            <w:bookmarkStart w:id="131" w:name="OLE_LINK47"/>
            <w:bookmarkStart w:id="132" w:name="OLE_LINK48"/>
            <w:r>
              <w:rPr>
                <w:rFonts w:hint="eastAsia" w:ascii="宋体" w:hAnsi="宋体" w:eastAsia="宋体" w:cs="宋体"/>
                <w:color w:val="auto"/>
                <w:highlight w:val="none"/>
                <w:lang w:val="zh-CN"/>
              </w:rPr>
              <w:t>一档（</w:t>
            </w: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lang w:val="zh-CN"/>
              </w:rPr>
              <w:t>分）：实施方案基本合理，但内容简单，约包含对具体实施方法及技术措施的分析、对实施部署及现场组织管理机构的分析，内容简单，有可行性。</w:t>
            </w:r>
          </w:p>
          <w:p w14:paraId="11745149">
            <w:pPr>
              <w:spacing w:line="360" w:lineRule="exact"/>
              <w:ind w:firstLine="420" w:firstLineChars="200"/>
              <w:outlineLvl w:val="9"/>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二档（1</w:t>
            </w:r>
            <w:r>
              <w:rPr>
                <w:rFonts w:hint="eastAsia" w:ascii="宋体" w:hAnsi="宋体" w:eastAsia="宋体" w:cs="宋体"/>
                <w:color w:val="auto"/>
                <w:highlight w:val="none"/>
                <w:lang w:val="en-US" w:eastAsia="zh-CN"/>
              </w:rPr>
              <w:t>0</w:t>
            </w:r>
            <w:r>
              <w:rPr>
                <w:rFonts w:hint="eastAsia" w:ascii="宋体" w:hAnsi="宋体" w:eastAsia="宋体" w:cs="宋体"/>
                <w:color w:val="auto"/>
                <w:highlight w:val="none"/>
                <w:lang w:val="zh-CN"/>
              </w:rPr>
              <w:t>分）：实施方案合理详尽，约包含对具体实施方法及技术措施的分析、对实施部署及现场组织管理机构的分析、对现状分析，有安全措施，内容充实，有可行性。在实施工艺、实施方法、技术等方面有保证工期的具体措施。</w:t>
            </w:r>
          </w:p>
          <w:p w14:paraId="25A91B1B">
            <w:pPr>
              <w:spacing w:line="360" w:lineRule="exact"/>
              <w:ind w:firstLine="420" w:firstLineChars="200"/>
              <w:outlineLvl w:val="9"/>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三档（</w:t>
            </w:r>
            <w:r>
              <w:rPr>
                <w:rFonts w:hint="eastAsia" w:ascii="宋体" w:hAnsi="宋体" w:eastAsia="宋体" w:cs="宋体"/>
                <w:color w:val="auto"/>
                <w:highlight w:val="none"/>
                <w:lang w:val="en-US" w:eastAsia="zh-CN"/>
              </w:rPr>
              <w:t>15</w:t>
            </w:r>
            <w:r>
              <w:rPr>
                <w:rFonts w:hint="eastAsia" w:ascii="宋体" w:hAnsi="宋体" w:eastAsia="宋体" w:cs="宋体"/>
                <w:color w:val="auto"/>
                <w:highlight w:val="none"/>
                <w:lang w:val="zh-CN"/>
              </w:rPr>
              <w:t>分）：有项目实施组织结构图、工作进度计划表、劳动力使用计划、安全措施，计划非常详细、合理可行。在实施工艺、实施方法、技术等方面有保证工期的具体措施且措施得当。</w:t>
            </w:r>
          </w:p>
          <w:p w14:paraId="44531EDA">
            <w:pPr>
              <w:spacing w:line="360" w:lineRule="exact"/>
              <w:outlineLvl w:val="9"/>
              <w:rPr>
                <w:rFonts w:hint="eastAsia" w:ascii="宋体" w:hAnsi="宋体" w:eastAsia="宋体" w:cs="宋体"/>
                <w:color w:val="auto"/>
                <w:kern w:val="2"/>
                <w:sz w:val="21"/>
                <w:highlight w:val="none"/>
              </w:rPr>
            </w:pPr>
            <w:r>
              <w:rPr>
                <w:rFonts w:hint="eastAsia" w:ascii="宋体" w:hAnsi="宋体" w:eastAsia="宋体" w:cs="宋体"/>
                <w:color w:val="auto"/>
                <w:highlight w:val="none"/>
                <w:lang w:val="zh-CN"/>
              </w:rPr>
              <w:t>未提供不得分。</w:t>
            </w:r>
            <w:bookmarkEnd w:id="131"/>
            <w:bookmarkEnd w:id="132"/>
          </w:p>
        </w:tc>
        <w:tc>
          <w:tcPr>
            <w:tcW w:w="851" w:type="dxa"/>
            <w:noWrap w:val="0"/>
            <w:vAlign w:val="center"/>
          </w:tcPr>
          <w:p w14:paraId="7667DA5D">
            <w:pPr>
              <w:wordWrap w:val="0"/>
              <w:spacing w:line="400" w:lineRule="exact"/>
              <w:jc w:val="center"/>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15分</w:t>
            </w:r>
          </w:p>
        </w:tc>
      </w:tr>
      <w:tr w14:paraId="12557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7" w:type="dxa"/>
            <w:noWrap w:val="0"/>
            <w:vAlign w:val="center"/>
          </w:tcPr>
          <w:p w14:paraId="12E891C6">
            <w:pPr>
              <w:wordWrap w:val="0"/>
              <w:adjustRightInd w:val="0"/>
              <w:spacing w:line="400" w:lineRule="exact"/>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2.2</w:t>
            </w:r>
          </w:p>
        </w:tc>
        <w:tc>
          <w:tcPr>
            <w:tcW w:w="1377" w:type="dxa"/>
            <w:noWrap w:val="0"/>
            <w:vAlign w:val="center"/>
          </w:tcPr>
          <w:p w14:paraId="0A70E42B">
            <w:pPr>
              <w:adjustRightInd w:val="0"/>
              <w:snapToGrid w:val="0"/>
              <w:spacing w:line="360" w:lineRule="exact"/>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突发事件的应急处理方案</w:t>
            </w:r>
          </w:p>
        </w:tc>
        <w:tc>
          <w:tcPr>
            <w:tcW w:w="6155" w:type="dxa"/>
            <w:noWrap w:val="0"/>
            <w:vAlign w:val="center"/>
          </w:tcPr>
          <w:p w14:paraId="5AC68FDA">
            <w:pPr>
              <w:autoSpaceDE w:val="0"/>
              <w:autoSpaceDN w:val="0"/>
              <w:spacing w:line="34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一档（</w:t>
            </w:r>
            <w:r>
              <w:rPr>
                <w:rFonts w:hint="eastAsia" w:ascii="宋体" w:hAnsi="宋体" w:eastAsia="宋体" w:cs="宋体"/>
                <w:color w:val="auto"/>
                <w:highlight w:val="none"/>
                <w:lang w:val="en-US" w:eastAsia="zh-CN"/>
              </w:rPr>
              <w:t>6</w:t>
            </w:r>
            <w:r>
              <w:rPr>
                <w:rFonts w:hint="eastAsia" w:ascii="宋体" w:hAnsi="宋体" w:eastAsia="宋体" w:cs="宋体"/>
                <w:color w:val="auto"/>
                <w:highlight w:val="none"/>
              </w:rPr>
              <w:t>分）：突发事件的应急处理方案有简单的处理方案。</w:t>
            </w:r>
          </w:p>
          <w:p w14:paraId="563585C7">
            <w:pPr>
              <w:autoSpaceDE w:val="0"/>
              <w:autoSpaceDN w:val="0"/>
              <w:spacing w:line="34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二档（1</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分）：突发事件的应急处理方案有具体的对突发性社会群体事件、负面舆论事件的处理方案，对应急预案的针对性、实用性和可操作性有分析。</w:t>
            </w:r>
          </w:p>
          <w:p w14:paraId="239814E5">
            <w:pPr>
              <w:autoSpaceDE w:val="0"/>
              <w:autoSpaceDN w:val="0"/>
              <w:spacing w:line="34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三档（2</w:t>
            </w:r>
            <w:r>
              <w:rPr>
                <w:rFonts w:hint="eastAsia" w:ascii="宋体" w:hAnsi="宋体" w:eastAsia="宋体" w:cs="宋体"/>
                <w:color w:val="auto"/>
                <w:highlight w:val="none"/>
                <w:lang w:val="en-US" w:eastAsia="zh-CN"/>
              </w:rPr>
              <w:t>0</w:t>
            </w:r>
            <w:r>
              <w:rPr>
                <w:rFonts w:hint="eastAsia" w:ascii="宋体" w:hAnsi="宋体" w:eastAsia="宋体" w:cs="宋体"/>
                <w:color w:val="auto"/>
                <w:highlight w:val="none"/>
              </w:rPr>
              <w:t>分)：突发事件的应急处理方案有详细具体的对突发性社会群体事件、负面舆论事件的处理方案，有社区利益方矛盾解决方案，应急预案具有针对性﹑实用性和可操作性有详细分析和预防。</w:t>
            </w:r>
          </w:p>
          <w:p w14:paraId="2265D6FF">
            <w:pPr>
              <w:autoSpaceDE w:val="0"/>
              <w:autoSpaceDN w:val="0"/>
              <w:spacing w:line="34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highlight w:val="none"/>
              </w:rPr>
              <w:t>未提供不得分。</w:t>
            </w:r>
          </w:p>
        </w:tc>
        <w:tc>
          <w:tcPr>
            <w:tcW w:w="851" w:type="dxa"/>
            <w:noWrap w:val="0"/>
            <w:vAlign w:val="center"/>
          </w:tcPr>
          <w:p w14:paraId="72058ADE">
            <w:pPr>
              <w:wordWrap w:val="0"/>
              <w:spacing w:line="400" w:lineRule="exact"/>
              <w:jc w:val="center"/>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20分</w:t>
            </w:r>
          </w:p>
        </w:tc>
      </w:tr>
      <w:tr w14:paraId="33315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7" w:type="dxa"/>
            <w:noWrap w:val="0"/>
            <w:vAlign w:val="center"/>
          </w:tcPr>
          <w:p w14:paraId="0B8EAF5B">
            <w:pPr>
              <w:wordWrap w:val="0"/>
              <w:adjustRightInd w:val="0"/>
              <w:spacing w:line="400" w:lineRule="exact"/>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2.3</w:t>
            </w:r>
          </w:p>
        </w:tc>
        <w:tc>
          <w:tcPr>
            <w:tcW w:w="1377" w:type="dxa"/>
            <w:noWrap w:val="0"/>
            <w:vAlign w:val="center"/>
          </w:tcPr>
          <w:p w14:paraId="3FE423FA">
            <w:pPr>
              <w:adjustRightInd w:val="0"/>
              <w:snapToGrid w:val="0"/>
              <w:spacing w:line="360" w:lineRule="exact"/>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拟投入的主要物资计划、劳动力安排计划方案分</w:t>
            </w:r>
          </w:p>
        </w:tc>
        <w:tc>
          <w:tcPr>
            <w:tcW w:w="6155" w:type="dxa"/>
            <w:noWrap w:val="0"/>
            <w:vAlign w:val="center"/>
          </w:tcPr>
          <w:p w14:paraId="00ACC7F3">
            <w:pPr>
              <w:spacing w:line="400" w:lineRule="exact"/>
              <w:ind w:firstLine="422" w:firstLineChars="200"/>
              <w:rPr>
                <w:rFonts w:hint="eastAsia" w:ascii="宋体" w:hAnsi="宋体" w:eastAsia="宋体" w:cs="宋体"/>
                <w:color w:val="auto"/>
                <w:highlight w:val="none"/>
              </w:rPr>
            </w:pPr>
            <w:r>
              <w:rPr>
                <w:rFonts w:hint="eastAsia" w:ascii="宋体" w:hAnsi="宋体" w:eastAsia="宋体" w:cs="宋体"/>
                <w:b/>
                <w:bCs/>
                <w:color w:val="auto"/>
                <w:highlight w:val="none"/>
              </w:rPr>
              <w:t>未提供拟投入的主要物资计划、劳动力安排计划方案的不得分。</w:t>
            </w:r>
          </w:p>
          <w:p w14:paraId="56E34F93">
            <w:pPr>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一档（3分）：投入的主要物资有组织计划，基本满足施工需要。各主要施工工序有劳动力安排计划，有各工种劳动力安排计划，基本能满足施工需要。</w:t>
            </w:r>
          </w:p>
          <w:p w14:paraId="6AD4E618">
            <w:pPr>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二档（6分）：投入的主要物资计划与进度计划呼应，满足施工需要，定量定点堆放物资。各主要施工工序有周密的劳动力安排计划，不窝工，有各工种劳动力安排计划，能满足施工需要。</w:t>
            </w:r>
          </w:p>
          <w:p w14:paraId="138FF2F3">
            <w:pPr>
              <w:spacing w:line="34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highlight w:val="none"/>
              </w:rPr>
              <w:t>三档（10分）：投入的主要物资计划与进度计划呼应，满足施工需要，材料物资采购及供应保证措施，定量定点堆放物资。各主要施工工序有周密的劳动力安排计划，不窝工，各工种劳动力安排计划切实高效，有切实有效的劳动力保障措施，能满足施工需要且衔接得当。</w:t>
            </w:r>
          </w:p>
        </w:tc>
        <w:tc>
          <w:tcPr>
            <w:tcW w:w="851" w:type="dxa"/>
            <w:noWrap w:val="0"/>
            <w:vAlign w:val="center"/>
          </w:tcPr>
          <w:p w14:paraId="0C2EA619">
            <w:pPr>
              <w:wordWrap w:val="0"/>
              <w:spacing w:line="400" w:lineRule="exact"/>
              <w:jc w:val="center"/>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10分</w:t>
            </w:r>
          </w:p>
        </w:tc>
      </w:tr>
      <w:tr w14:paraId="61169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7" w:type="dxa"/>
            <w:noWrap w:val="0"/>
            <w:vAlign w:val="center"/>
          </w:tcPr>
          <w:p w14:paraId="730116FC">
            <w:pPr>
              <w:wordWrap w:val="0"/>
              <w:adjustRightInd w:val="0"/>
              <w:spacing w:line="400" w:lineRule="exact"/>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2.4</w:t>
            </w:r>
          </w:p>
        </w:tc>
        <w:tc>
          <w:tcPr>
            <w:tcW w:w="1377" w:type="dxa"/>
            <w:noWrap w:val="0"/>
            <w:vAlign w:val="center"/>
          </w:tcPr>
          <w:p w14:paraId="7076126A">
            <w:pPr>
              <w:adjustRightInd w:val="0"/>
              <w:snapToGrid w:val="0"/>
              <w:spacing w:line="360" w:lineRule="exact"/>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确保服务质量的技术组织措施方案分</w:t>
            </w:r>
          </w:p>
        </w:tc>
        <w:tc>
          <w:tcPr>
            <w:tcW w:w="6155" w:type="dxa"/>
            <w:noWrap w:val="0"/>
            <w:vAlign w:val="center"/>
          </w:tcPr>
          <w:p w14:paraId="7C88E5FE">
            <w:pPr>
              <w:spacing w:line="400" w:lineRule="exact"/>
              <w:ind w:firstLine="422"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未提供确保服务质量的技术组织措施方案的不得分。</w:t>
            </w:r>
          </w:p>
          <w:p w14:paraId="33D91E39">
            <w:pPr>
              <w:spacing w:line="34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一档（5分）：有质量技术管理班子和制度，主要工序有质量技术保证措施和手段。</w:t>
            </w:r>
          </w:p>
          <w:p w14:paraId="1976FCDD">
            <w:pPr>
              <w:spacing w:line="34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二档（10分）：有质量技术管理班子和制度，主要工序有质量技术保证措施和手段、自控体系、准备阶段和服务过程质量控制措施，能保证技术质量，满足采购文件的质量要求及验收规范要求。</w:t>
            </w:r>
          </w:p>
          <w:p w14:paraId="7D1CC1C6">
            <w:pPr>
              <w:spacing w:line="34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highlight w:val="none"/>
              </w:rPr>
              <w:t>三档（15分）：有专门的质量技术管理班子和制度，明确管理班子质量责任，主要工序有质量技术保证措施和手段、自控体系、准备阶段、服务过程、验收及交付阶段质量控制措施，有服务质量验收制度，服务质量保修方案，能有效保证技术质量，达到承诺的质量标准及验收规范要求。</w:t>
            </w:r>
          </w:p>
        </w:tc>
        <w:tc>
          <w:tcPr>
            <w:tcW w:w="851" w:type="dxa"/>
            <w:noWrap w:val="0"/>
            <w:vAlign w:val="center"/>
          </w:tcPr>
          <w:p w14:paraId="333C3418">
            <w:pPr>
              <w:wordWrap w:val="0"/>
              <w:spacing w:line="400" w:lineRule="exact"/>
              <w:jc w:val="center"/>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15分</w:t>
            </w:r>
          </w:p>
        </w:tc>
      </w:tr>
      <w:tr w14:paraId="43CA0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7" w:type="dxa"/>
            <w:noWrap w:val="0"/>
            <w:vAlign w:val="center"/>
          </w:tcPr>
          <w:p w14:paraId="2D0D496C">
            <w:pPr>
              <w:widowControl/>
              <w:wordWrap w:val="0"/>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w:t>
            </w:r>
          </w:p>
        </w:tc>
        <w:tc>
          <w:tcPr>
            <w:tcW w:w="1377" w:type="dxa"/>
            <w:noWrap w:val="0"/>
            <w:vAlign w:val="center"/>
          </w:tcPr>
          <w:p w14:paraId="5A6373BF">
            <w:pPr>
              <w:widowControl/>
              <w:wordWrap w:val="0"/>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商务分</w:t>
            </w:r>
          </w:p>
        </w:tc>
        <w:tc>
          <w:tcPr>
            <w:tcW w:w="7006" w:type="dxa"/>
            <w:gridSpan w:val="2"/>
            <w:noWrap w:val="0"/>
            <w:vAlign w:val="center"/>
          </w:tcPr>
          <w:p w14:paraId="448E81A9">
            <w:pPr>
              <w:keepNext w:val="0"/>
              <w:keepLines w:val="0"/>
              <w:pageBreakBefore w:val="0"/>
              <w:widowControl/>
              <w:kinsoku/>
              <w:wordWrap w:val="0"/>
              <w:overflowPunct/>
              <w:topLinePunct w:val="0"/>
              <w:autoSpaceDE/>
              <w:autoSpaceDN/>
              <w:bidi w:val="0"/>
              <w:spacing w:line="400" w:lineRule="exact"/>
              <w:ind w:firstLine="420" w:firstLineChars="200"/>
              <w:jc w:val="center"/>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评审因素</w:t>
            </w:r>
          </w:p>
        </w:tc>
      </w:tr>
      <w:tr w14:paraId="7EF77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7" w:type="dxa"/>
            <w:noWrap w:val="0"/>
            <w:vAlign w:val="center"/>
          </w:tcPr>
          <w:p w14:paraId="6F53B7DD">
            <w:pPr>
              <w:wordWrap w:val="0"/>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3.1</w:t>
            </w:r>
          </w:p>
        </w:tc>
        <w:tc>
          <w:tcPr>
            <w:tcW w:w="1377" w:type="dxa"/>
            <w:noWrap w:val="0"/>
            <w:vAlign w:val="center"/>
          </w:tcPr>
          <w:p w14:paraId="75B2F98F">
            <w:pPr>
              <w:snapToGrid w:val="0"/>
              <w:spacing w:line="400" w:lineRule="atLeast"/>
              <w:jc w:val="center"/>
              <w:rPr>
                <w:rFonts w:hint="eastAsia" w:ascii="宋体" w:hAnsi="宋体" w:eastAsia="宋体" w:cs="宋体"/>
                <w:color w:val="auto"/>
                <w:highlight w:val="none"/>
              </w:rPr>
            </w:pPr>
            <w:r>
              <w:rPr>
                <w:rFonts w:hint="eastAsia" w:ascii="宋体" w:hAnsi="宋体" w:eastAsia="宋体" w:cs="宋体"/>
                <w:color w:val="auto"/>
                <w:highlight w:val="none"/>
              </w:rPr>
              <w:t>拟投入人员</w:t>
            </w:r>
          </w:p>
          <w:p w14:paraId="487D272E">
            <w:pPr>
              <w:widowControl/>
              <w:wordWrap w:val="0"/>
              <w:spacing w:line="400" w:lineRule="exact"/>
              <w:jc w:val="center"/>
              <w:rPr>
                <w:rFonts w:hint="eastAsia" w:ascii="宋体" w:hAnsi="宋体" w:eastAsia="宋体" w:cs="宋体"/>
                <w:color w:val="auto"/>
                <w:szCs w:val="21"/>
                <w:highlight w:val="none"/>
              </w:rPr>
            </w:pPr>
          </w:p>
        </w:tc>
        <w:tc>
          <w:tcPr>
            <w:tcW w:w="6155" w:type="dxa"/>
            <w:noWrap w:val="0"/>
            <w:vAlign w:val="top"/>
          </w:tcPr>
          <w:p w14:paraId="5C3BF3FD">
            <w:pPr>
              <w:widowControl/>
              <w:snapToGrid w:val="0"/>
              <w:spacing w:line="36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除项目负责人外，拟投入人员中具备生态学、风景园林或林学类中级工程师职称每增加1人得0.5分，具备生态学、风景园林或林学类高级工程师及以上职称每增加1人得1分，满分8分。</w:t>
            </w:r>
          </w:p>
          <w:p w14:paraId="188D26DD">
            <w:pPr>
              <w:spacing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有类似科研院所（大中院校）专业科研团队技术支撑得2分。</w:t>
            </w:r>
          </w:p>
          <w:p w14:paraId="3E65B547">
            <w:pPr>
              <w:keepNext w:val="0"/>
              <w:keepLines w:val="0"/>
              <w:pageBreakBefore w:val="0"/>
              <w:numPr>
                <w:ilvl w:val="0"/>
                <w:numId w:val="31"/>
              </w:numPr>
              <w:kinsoku/>
              <w:wordWrap w:val="0"/>
              <w:overflowPunct/>
              <w:topLinePunct w:val="0"/>
              <w:autoSpaceDE/>
              <w:autoSpaceDN/>
              <w:bidi w:val="0"/>
              <w:spacing w:line="400" w:lineRule="exact"/>
              <w:ind w:left="420" w:leftChars="200" w:firstLine="0" w:firstLineChars="0"/>
              <w:textAlignment w:val="auto"/>
              <w:rPr>
                <w:rFonts w:hint="eastAsia" w:ascii="宋体" w:hAnsi="宋体" w:eastAsia="宋体" w:cs="宋体"/>
                <w:color w:val="auto"/>
                <w:highlight w:val="none"/>
              </w:rPr>
            </w:pPr>
            <w:r>
              <w:rPr>
                <w:rFonts w:hint="eastAsia" w:ascii="宋体" w:hAnsi="宋体" w:eastAsia="宋体" w:cs="宋体"/>
                <w:color w:val="auto"/>
                <w:highlight w:val="none"/>
              </w:rPr>
              <w:t>以上人员不可重复计分；</w:t>
            </w:r>
          </w:p>
          <w:p w14:paraId="3272DC83">
            <w:pPr>
              <w:keepNext w:val="0"/>
              <w:keepLines w:val="0"/>
              <w:pageBreakBefore w:val="0"/>
              <w:numPr>
                <w:ilvl w:val="0"/>
                <w:numId w:val="0"/>
              </w:numPr>
              <w:kinsoku/>
              <w:wordWrap w:val="0"/>
              <w:overflowPunct/>
              <w:topLinePunct w:val="0"/>
              <w:autoSpaceDE/>
              <w:autoSpaceDN/>
              <w:bidi w:val="0"/>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2.投标文件中须提供身份证</w:t>
            </w:r>
            <w:r>
              <w:rPr>
                <w:rFonts w:hint="eastAsia" w:ascii="宋体" w:hAnsi="宋体" w:cs="宋体"/>
                <w:color w:val="auto"/>
                <w:highlight w:val="none"/>
                <w:lang w:eastAsia="zh-CN"/>
              </w:rPr>
              <w:t>，</w:t>
            </w:r>
            <w:r>
              <w:rPr>
                <w:rFonts w:hint="eastAsia" w:ascii="宋体" w:hAnsi="宋体" w:eastAsia="宋体" w:cs="宋体"/>
                <w:color w:val="auto"/>
                <w:highlight w:val="none"/>
              </w:rPr>
              <w:t>毕业证</w:t>
            </w:r>
            <w:r>
              <w:rPr>
                <w:rFonts w:hint="eastAsia" w:ascii="宋体" w:hAnsi="宋体" w:cs="宋体"/>
                <w:color w:val="auto"/>
                <w:highlight w:val="none"/>
                <w:lang w:val="en-US" w:eastAsia="zh-CN"/>
              </w:rPr>
              <w:t>或</w:t>
            </w:r>
            <w:r>
              <w:rPr>
                <w:rFonts w:hint="eastAsia" w:ascii="宋体" w:hAnsi="宋体" w:eastAsia="宋体" w:cs="宋体"/>
                <w:color w:val="auto"/>
                <w:highlight w:val="none"/>
              </w:rPr>
              <w:t>职称证书复印件及供应商自投标文件提交截止时间前6个月内为上述人员缴纳的任意1个月的社保证明（退休人员无社保证明的，提供退休证明及供应商的聘用合同）或提供上述人员为本公司的正式员工的承诺函，复印件均加盖供应商公章，未按要求提供不得分。</w:t>
            </w:r>
          </w:p>
        </w:tc>
        <w:tc>
          <w:tcPr>
            <w:tcW w:w="851" w:type="dxa"/>
            <w:noWrap w:val="0"/>
            <w:vAlign w:val="center"/>
          </w:tcPr>
          <w:p w14:paraId="1FB248EF">
            <w:pPr>
              <w:widowControl/>
              <w:wordWrap w:val="0"/>
              <w:spacing w:line="400" w:lineRule="exact"/>
              <w:jc w:val="center"/>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10分</w:t>
            </w:r>
          </w:p>
        </w:tc>
      </w:tr>
      <w:tr w14:paraId="64BB1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7" w:type="dxa"/>
            <w:noWrap w:val="0"/>
            <w:vAlign w:val="center"/>
          </w:tcPr>
          <w:p w14:paraId="716FCC13">
            <w:pPr>
              <w:wordWrap w:val="0"/>
              <w:spacing w:line="400" w:lineRule="exact"/>
              <w:jc w:val="center"/>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3.2</w:t>
            </w:r>
          </w:p>
        </w:tc>
        <w:tc>
          <w:tcPr>
            <w:tcW w:w="1377" w:type="dxa"/>
            <w:noWrap w:val="0"/>
            <w:vAlign w:val="center"/>
          </w:tcPr>
          <w:p w14:paraId="4E06C50E">
            <w:pPr>
              <w:widowControl/>
              <w:wordWrap w:val="0"/>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业绩分</w:t>
            </w:r>
          </w:p>
        </w:tc>
        <w:tc>
          <w:tcPr>
            <w:tcW w:w="6155" w:type="dxa"/>
            <w:noWrap w:val="0"/>
            <w:vAlign w:val="top"/>
          </w:tcPr>
          <w:p w14:paraId="75CAC627">
            <w:pPr>
              <w:keepNext w:val="0"/>
              <w:keepLines w:val="0"/>
              <w:pageBreakBefore w:val="0"/>
              <w:kinsoku/>
              <w:wordWrap w:val="0"/>
              <w:overflowPunct/>
              <w:topLinePunct w:val="0"/>
              <w:autoSpaceDE/>
              <w:autoSpaceDN/>
              <w:bidi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highlight w:val="none"/>
              </w:rPr>
              <w:t>供应商自202</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年1月1日以来，承接过类似项目的业绩，每个得2分，满分10分。需提供合同或中标</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成交</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通知书复印件加盖供应商公章。</w:t>
            </w:r>
          </w:p>
        </w:tc>
        <w:tc>
          <w:tcPr>
            <w:tcW w:w="851" w:type="dxa"/>
            <w:noWrap w:val="0"/>
            <w:vAlign w:val="center"/>
          </w:tcPr>
          <w:p w14:paraId="6DCFCAD3">
            <w:pPr>
              <w:widowControl/>
              <w:wordWrap w:val="0"/>
              <w:spacing w:line="400" w:lineRule="exact"/>
              <w:jc w:val="center"/>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10分</w:t>
            </w:r>
          </w:p>
        </w:tc>
      </w:tr>
      <w:tr w14:paraId="6106D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090" w:type="dxa"/>
            <w:gridSpan w:val="4"/>
            <w:noWrap w:val="0"/>
            <w:vAlign w:val="center"/>
          </w:tcPr>
          <w:p w14:paraId="661C9850">
            <w:pPr>
              <w:widowControl/>
              <w:wordWrap w:val="0"/>
              <w:spacing w:line="400" w:lineRule="exact"/>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szCs w:val="21"/>
                <w:highlight w:val="none"/>
              </w:rPr>
              <w:t>总得分为以上各项评审因素得分合计</w:t>
            </w:r>
          </w:p>
        </w:tc>
      </w:tr>
    </w:tbl>
    <w:p w14:paraId="2040B2B4">
      <w:pPr>
        <w:pStyle w:val="31"/>
        <w:numPr>
          <w:ilvl w:val="0"/>
          <w:numId w:val="0"/>
        </w:numPr>
        <w:spacing w:line="560" w:lineRule="exact"/>
        <w:jc w:val="both"/>
        <w:rPr>
          <w:rFonts w:hint="eastAsia" w:ascii="宋体" w:hAnsi="宋体" w:eastAsia="宋体" w:cs="宋体"/>
          <w:b/>
          <w:color w:val="auto"/>
          <w:sz w:val="24"/>
          <w:szCs w:val="24"/>
          <w:highlight w:val="none"/>
          <w:lang w:val="en-US" w:eastAsia="zh-CN"/>
        </w:rPr>
      </w:pPr>
    </w:p>
    <w:p w14:paraId="2FCB080E">
      <w:pPr>
        <w:rPr>
          <w:rFonts w:hint="eastAsia" w:ascii="宋体" w:hAnsi="宋体" w:eastAsia="宋体" w:cs="宋体"/>
          <w:b/>
          <w:color w:val="auto"/>
          <w:sz w:val="24"/>
          <w:szCs w:val="24"/>
          <w:highlight w:val="none"/>
          <w:lang w:val="en-US" w:eastAsia="zh-CN"/>
        </w:rPr>
      </w:pPr>
    </w:p>
    <w:p w14:paraId="66807742">
      <w:pPr>
        <w:pStyle w:val="38"/>
        <w:rPr>
          <w:rFonts w:hint="eastAsia" w:ascii="宋体" w:hAnsi="宋体" w:eastAsia="宋体" w:cs="宋体"/>
          <w:b/>
          <w:color w:val="auto"/>
          <w:sz w:val="24"/>
          <w:szCs w:val="24"/>
          <w:highlight w:val="none"/>
          <w:lang w:val="en-US" w:eastAsia="zh-CN"/>
        </w:rPr>
      </w:pPr>
    </w:p>
    <w:p w14:paraId="5B88CD06">
      <w:pPr>
        <w:rPr>
          <w:rFonts w:hint="eastAsia" w:ascii="宋体" w:hAnsi="宋体" w:eastAsia="宋体" w:cs="宋体"/>
          <w:b/>
          <w:color w:val="auto"/>
          <w:sz w:val="24"/>
          <w:szCs w:val="24"/>
          <w:highlight w:val="none"/>
          <w:lang w:val="en-US" w:eastAsia="zh-CN"/>
        </w:rPr>
      </w:pPr>
    </w:p>
    <w:p w14:paraId="6DD77AC4">
      <w:pPr>
        <w:pStyle w:val="38"/>
        <w:rPr>
          <w:rFonts w:hint="eastAsia" w:ascii="宋体" w:hAnsi="宋体" w:eastAsia="宋体" w:cs="宋体"/>
          <w:b/>
          <w:color w:val="auto"/>
          <w:sz w:val="24"/>
          <w:szCs w:val="24"/>
          <w:highlight w:val="none"/>
          <w:lang w:val="en-US" w:eastAsia="zh-CN"/>
        </w:rPr>
      </w:pPr>
    </w:p>
    <w:p w14:paraId="107BDF26">
      <w:pPr>
        <w:rPr>
          <w:rFonts w:hint="eastAsia" w:ascii="宋体" w:hAnsi="宋体" w:eastAsia="宋体" w:cs="宋体"/>
          <w:b/>
          <w:color w:val="auto"/>
          <w:sz w:val="24"/>
          <w:szCs w:val="24"/>
          <w:highlight w:val="none"/>
          <w:lang w:val="en-US" w:eastAsia="zh-CN"/>
        </w:rPr>
      </w:pPr>
    </w:p>
    <w:p w14:paraId="6323BD02">
      <w:pPr>
        <w:pStyle w:val="38"/>
        <w:rPr>
          <w:rFonts w:hint="eastAsia" w:ascii="宋体" w:hAnsi="宋体" w:eastAsia="宋体" w:cs="宋体"/>
          <w:b/>
          <w:color w:val="auto"/>
          <w:sz w:val="24"/>
          <w:szCs w:val="24"/>
          <w:highlight w:val="none"/>
          <w:lang w:val="en-US" w:eastAsia="zh-CN"/>
        </w:rPr>
      </w:pPr>
    </w:p>
    <w:p w14:paraId="5AD59F9E">
      <w:pPr>
        <w:rPr>
          <w:rFonts w:hint="eastAsia" w:ascii="宋体" w:hAnsi="宋体" w:eastAsia="宋体" w:cs="宋体"/>
          <w:b/>
          <w:color w:val="auto"/>
          <w:sz w:val="24"/>
          <w:szCs w:val="24"/>
          <w:highlight w:val="none"/>
          <w:lang w:val="en-US" w:eastAsia="zh-CN"/>
        </w:rPr>
      </w:pPr>
    </w:p>
    <w:p w14:paraId="420BD181">
      <w:pPr>
        <w:pStyle w:val="38"/>
        <w:rPr>
          <w:rFonts w:hint="eastAsia" w:ascii="宋体" w:hAnsi="宋体" w:eastAsia="宋体" w:cs="宋体"/>
          <w:b/>
          <w:color w:val="auto"/>
          <w:sz w:val="24"/>
          <w:szCs w:val="24"/>
          <w:highlight w:val="none"/>
          <w:lang w:val="en-US" w:eastAsia="zh-CN"/>
        </w:rPr>
      </w:pPr>
    </w:p>
    <w:p w14:paraId="44D4516F">
      <w:pPr>
        <w:rPr>
          <w:rFonts w:hint="eastAsia" w:ascii="宋体" w:hAnsi="宋体" w:eastAsia="宋体" w:cs="宋体"/>
          <w:b/>
          <w:color w:val="auto"/>
          <w:sz w:val="24"/>
          <w:szCs w:val="24"/>
          <w:highlight w:val="none"/>
          <w:lang w:val="en-US" w:eastAsia="zh-CN"/>
        </w:rPr>
      </w:pPr>
    </w:p>
    <w:p w14:paraId="1AA165AA">
      <w:pPr>
        <w:pStyle w:val="38"/>
        <w:rPr>
          <w:rFonts w:hint="eastAsia" w:ascii="宋体" w:hAnsi="宋体" w:eastAsia="宋体" w:cs="宋体"/>
          <w:b/>
          <w:color w:val="auto"/>
          <w:sz w:val="24"/>
          <w:szCs w:val="24"/>
          <w:highlight w:val="none"/>
          <w:lang w:val="en-US" w:eastAsia="zh-CN"/>
        </w:rPr>
      </w:pPr>
    </w:p>
    <w:p w14:paraId="20D7945E">
      <w:pPr>
        <w:rPr>
          <w:rFonts w:hint="eastAsia" w:ascii="宋体" w:hAnsi="宋体" w:eastAsia="宋体" w:cs="宋体"/>
          <w:b/>
          <w:color w:val="auto"/>
          <w:sz w:val="24"/>
          <w:szCs w:val="24"/>
          <w:highlight w:val="none"/>
          <w:lang w:val="en-US" w:eastAsia="zh-CN"/>
        </w:rPr>
      </w:pPr>
    </w:p>
    <w:p w14:paraId="541EBFEB">
      <w:pPr>
        <w:pStyle w:val="38"/>
        <w:rPr>
          <w:rFonts w:hint="eastAsia" w:ascii="宋体" w:hAnsi="宋体" w:eastAsia="宋体" w:cs="宋体"/>
          <w:b/>
          <w:color w:val="auto"/>
          <w:sz w:val="24"/>
          <w:szCs w:val="24"/>
          <w:highlight w:val="none"/>
          <w:lang w:val="en-US" w:eastAsia="zh-CN"/>
        </w:rPr>
      </w:pPr>
    </w:p>
    <w:p w14:paraId="556B4000">
      <w:pPr>
        <w:rPr>
          <w:rFonts w:hint="eastAsia" w:ascii="宋体" w:hAnsi="宋体" w:eastAsia="宋体" w:cs="宋体"/>
          <w:b/>
          <w:color w:val="auto"/>
          <w:sz w:val="24"/>
          <w:szCs w:val="24"/>
          <w:highlight w:val="none"/>
          <w:lang w:val="en-US" w:eastAsia="zh-CN"/>
        </w:rPr>
      </w:pPr>
    </w:p>
    <w:p w14:paraId="4596DBF5">
      <w:pPr>
        <w:pStyle w:val="38"/>
        <w:rPr>
          <w:rFonts w:hint="eastAsia" w:ascii="宋体" w:hAnsi="宋体" w:eastAsia="宋体" w:cs="宋体"/>
          <w:b/>
          <w:color w:val="auto"/>
          <w:sz w:val="24"/>
          <w:szCs w:val="24"/>
          <w:highlight w:val="none"/>
          <w:lang w:val="en-US" w:eastAsia="zh-CN"/>
        </w:rPr>
      </w:pPr>
    </w:p>
    <w:p w14:paraId="265E7624">
      <w:pPr>
        <w:rPr>
          <w:rFonts w:hint="eastAsia" w:ascii="宋体" w:hAnsi="宋体" w:eastAsia="宋体" w:cs="宋体"/>
          <w:b/>
          <w:color w:val="auto"/>
          <w:sz w:val="24"/>
          <w:szCs w:val="24"/>
          <w:highlight w:val="none"/>
          <w:lang w:val="en-US" w:eastAsia="zh-CN"/>
        </w:rPr>
      </w:pPr>
    </w:p>
    <w:p w14:paraId="1E396D20">
      <w:pPr>
        <w:pStyle w:val="38"/>
        <w:rPr>
          <w:rFonts w:hint="eastAsia" w:ascii="宋体" w:hAnsi="宋体" w:eastAsia="宋体" w:cs="宋体"/>
          <w:b/>
          <w:color w:val="auto"/>
          <w:sz w:val="24"/>
          <w:szCs w:val="24"/>
          <w:highlight w:val="none"/>
          <w:lang w:val="en-US" w:eastAsia="zh-CN"/>
        </w:rPr>
      </w:pPr>
    </w:p>
    <w:p w14:paraId="213E835E">
      <w:pPr>
        <w:rPr>
          <w:rFonts w:hint="eastAsia" w:ascii="宋体" w:hAnsi="宋体" w:eastAsia="宋体" w:cs="宋体"/>
          <w:b/>
          <w:color w:val="auto"/>
          <w:sz w:val="24"/>
          <w:szCs w:val="24"/>
          <w:highlight w:val="none"/>
          <w:lang w:val="en-US" w:eastAsia="zh-CN"/>
        </w:rPr>
      </w:pPr>
    </w:p>
    <w:p w14:paraId="5E730029">
      <w:pPr>
        <w:pStyle w:val="38"/>
        <w:rPr>
          <w:rFonts w:hint="eastAsia" w:ascii="宋体" w:hAnsi="宋体" w:eastAsia="宋体" w:cs="宋体"/>
          <w:b/>
          <w:color w:val="auto"/>
          <w:sz w:val="24"/>
          <w:szCs w:val="24"/>
          <w:highlight w:val="none"/>
          <w:lang w:val="en-US" w:eastAsia="zh-CN"/>
        </w:rPr>
      </w:pPr>
    </w:p>
    <w:p w14:paraId="3159D7CF">
      <w:pPr>
        <w:rPr>
          <w:rFonts w:hint="eastAsia" w:ascii="宋体" w:hAnsi="宋体" w:eastAsia="宋体" w:cs="宋体"/>
          <w:b/>
          <w:color w:val="auto"/>
          <w:sz w:val="24"/>
          <w:szCs w:val="24"/>
          <w:highlight w:val="none"/>
          <w:lang w:val="en-US" w:eastAsia="zh-CN"/>
        </w:rPr>
      </w:pPr>
    </w:p>
    <w:p w14:paraId="2DB5CF3B">
      <w:pPr>
        <w:pStyle w:val="38"/>
        <w:rPr>
          <w:rFonts w:hint="eastAsia" w:ascii="宋体" w:hAnsi="宋体" w:eastAsia="宋体" w:cs="宋体"/>
          <w:b/>
          <w:color w:val="auto"/>
          <w:sz w:val="24"/>
          <w:szCs w:val="24"/>
          <w:highlight w:val="none"/>
          <w:lang w:val="en-US" w:eastAsia="zh-CN"/>
        </w:rPr>
      </w:pPr>
    </w:p>
    <w:p w14:paraId="33AEB906">
      <w:pPr>
        <w:rPr>
          <w:rFonts w:hint="eastAsia" w:ascii="宋体" w:hAnsi="宋体" w:eastAsia="宋体" w:cs="宋体"/>
          <w:b/>
          <w:color w:val="auto"/>
          <w:sz w:val="24"/>
          <w:szCs w:val="24"/>
          <w:highlight w:val="none"/>
          <w:lang w:val="en-US" w:eastAsia="zh-CN"/>
        </w:rPr>
      </w:pPr>
    </w:p>
    <w:p w14:paraId="0DEF13D9">
      <w:pPr>
        <w:pStyle w:val="38"/>
        <w:rPr>
          <w:rFonts w:hint="eastAsia" w:ascii="宋体" w:hAnsi="宋体" w:eastAsia="宋体" w:cs="宋体"/>
          <w:b/>
          <w:color w:val="auto"/>
          <w:sz w:val="24"/>
          <w:szCs w:val="24"/>
          <w:highlight w:val="none"/>
          <w:lang w:val="en-US" w:eastAsia="zh-CN"/>
        </w:rPr>
      </w:pPr>
    </w:p>
    <w:p w14:paraId="0538C69C">
      <w:pPr>
        <w:rPr>
          <w:rFonts w:hint="eastAsia" w:ascii="宋体" w:hAnsi="宋体" w:eastAsia="宋体" w:cs="宋体"/>
          <w:b/>
          <w:color w:val="auto"/>
          <w:sz w:val="24"/>
          <w:szCs w:val="24"/>
          <w:highlight w:val="none"/>
          <w:lang w:val="en-US" w:eastAsia="zh-CN"/>
        </w:rPr>
      </w:pPr>
    </w:p>
    <w:p w14:paraId="4179F307">
      <w:pPr>
        <w:pStyle w:val="38"/>
        <w:rPr>
          <w:rFonts w:hint="eastAsia" w:ascii="宋体" w:hAnsi="宋体" w:eastAsia="宋体" w:cs="宋体"/>
          <w:b/>
          <w:color w:val="auto"/>
          <w:sz w:val="24"/>
          <w:szCs w:val="24"/>
          <w:highlight w:val="none"/>
          <w:lang w:val="en-US" w:eastAsia="zh-CN"/>
        </w:rPr>
      </w:pPr>
    </w:p>
    <w:p w14:paraId="52635ED2">
      <w:pPr>
        <w:pStyle w:val="38"/>
        <w:rPr>
          <w:rFonts w:hint="eastAsia" w:ascii="宋体" w:hAnsi="宋体" w:eastAsia="宋体" w:cs="宋体"/>
          <w:b/>
          <w:color w:val="auto"/>
          <w:sz w:val="24"/>
          <w:szCs w:val="24"/>
          <w:highlight w:val="none"/>
          <w:lang w:val="en-US" w:eastAsia="zh-CN"/>
        </w:rPr>
      </w:pPr>
    </w:p>
    <w:p w14:paraId="28EB0E53">
      <w:pPr>
        <w:pStyle w:val="31"/>
        <w:numPr>
          <w:ilvl w:val="0"/>
          <w:numId w:val="0"/>
        </w:numPr>
        <w:spacing w:line="560" w:lineRule="exact"/>
        <w:jc w:val="both"/>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分标2：</w:t>
      </w:r>
    </w:p>
    <w:tbl>
      <w:tblPr>
        <w:tblStyle w:val="6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7"/>
        <w:gridCol w:w="1377"/>
        <w:gridCol w:w="6155"/>
        <w:gridCol w:w="851"/>
      </w:tblGrid>
      <w:tr w14:paraId="1AD1B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7" w:type="dxa"/>
            <w:noWrap w:val="0"/>
            <w:vAlign w:val="center"/>
          </w:tcPr>
          <w:p w14:paraId="7B88AE52">
            <w:pPr>
              <w:widowControl/>
              <w:wordWrap w:val="0"/>
              <w:spacing w:line="400" w:lineRule="exact"/>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序号</w:t>
            </w:r>
          </w:p>
        </w:tc>
        <w:tc>
          <w:tcPr>
            <w:tcW w:w="1377" w:type="dxa"/>
            <w:noWrap w:val="0"/>
            <w:vAlign w:val="center"/>
          </w:tcPr>
          <w:p w14:paraId="079FE014">
            <w:pPr>
              <w:widowControl/>
              <w:wordWrap w:val="0"/>
              <w:spacing w:line="400" w:lineRule="exact"/>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评审因素</w:t>
            </w:r>
          </w:p>
        </w:tc>
        <w:tc>
          <w:tcPr>
            <w:tcW w:w="6155" w:type="dxa"/>
            <w:noWrap w:val="0"/>
            <w:vAlign w:val="center"/>
          </w:tcPr>
          <w:p w14:paraId="59C8F6EF">
            <w:pPr>
              <w:widowControl/>
              <w:wordWrap w:val="0"/>
              <w:spacing w:line="400" w:lineRule="exact"/>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评审因素具体内容</w:t>
            </w:r>
          </w:p>
        </w:tc>
        <w:tc>
          <w:tcPr>
            <w:tcW w:w="851" w:type="dxa"/>
            <w:noWrap w:val="0"/>
            <w:vAlign w:val="center"/>
          </w:tcPr>
          <w:p w14:paraId="4DA02659">
            <w:pPr>
              <w:widowControl/>
              <w:wordWrap w:val="0"/>
              <w:spacing w:line="400" w:lineRule="exact"/>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分值</w:t>
            </w:r>
          </w:p>
        </w:tc>
      </w:tr>
      <w:tr w14:paraId="02B8C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7" w:type="dxa"/>
            <w:noWrap w:val="0"/>
            <w:vAlign w:val="center"/>
          </w:tcPr>
          <w:p w14:paraId="353CF141">
            <w:pPr>
              <w:widowControl/>
              <w:wordWrap w:val="0"/>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w:t>
            </w:r>
          </w:p>
        </w:tc>
        <w:tc>
          <w:tcPr>
            <w:tcW w:w="1377" w:type="dxa"/>
            <w:noWrap w:val="0"/>
            <w:vAlign w:val="center"/>
          </w:tcPr>
          <w:p w14:paraId="6C0F811E">
            <w:pPr>
              <w:widowControl/>
              <w:wordWrap w:val="0"/>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价格分</w:t>
            </w:r>
          </w:p>
        </w:tc>
        <w:tc>
          <w:tcPr>
            <w:tcW w:w="6155" w:type="dxa"/>
            <w:noWrap w:val="0"/>
            <w:vAlign w:val="top"/>
          </w:tcPr>
          <w:p w14:paraId="045CC0B5">
            <w:pPr>
              <w:numPr>
                <w:ilvl w:val="-1"/>
                <w:numId w:val="0"/>
              </w:numPr>
              <w:snapToGrid w:val="0"/>
              <w:spacing w:line="360" w:lineRule="auto"/>
              <w:ind w:firstLine="420" w:firstLineChars="200"/>
              <w:outlineLvl w:val="9"/>
              <w:rPr>
                <w:rFonts w:hint="eastAsia" w:ascii="宋体" w:hAnsi="宋体" w:eastAsia="宋体" w:cs="宋体"/>
                <w:color w:val="auto"/>
                <w:highlight w:val="none"/>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lang w:eastAsia="zh-CN"/>
              </w:rPr>
              <w:t>）</w:t>
            </w:r>
            <w:r>
              <w:rPr>
                <w:rFonts w:hint="eastAsia" w:ascii="宋体" w:hAnsi="宋体" w:eastAsia="宋体" w:cs="宋体"/>
                <w:bCs/>
                <w:color w:val="auto"/>
                <w:szCs w:val="21"/>
                <w:highlight w:val="none"/>
              </w:rPr>
              <w:t>本项目为专门面向</w:t>
            </w:r>
            <w:r>
              <w:rPr>
                <w:rFonts w:hint="eastAsia" w:ascii="宋体" w:hAnsi="宋体" w:eastAsia="宋体" w:cs="宋体"/>
                <w:bCs/>
                <w:color w:val="auto"/>
                <w:szCs w:val="21"/>
                <w:highlight w:val="none"/>
                <w:lang w:val="en-US" w:eastAsia="zh-CN"/>
              </w:rPr>
              <w:t>中</w:t>
            </w:r>
            <w:r>
              <w:rPr>
                <w:rFonts w:hint="eastAsia" w:ascii="宋体" w:hAnsi="宋体" w:eastAsia="宋体" w:cs="宋体"/>
                <w:bCs/>
                <w:color w:val="auto"/>
                <w:szCs w:val="21"/>
                <w:highlight w:val="none"/>
              </w:rPr>
              <w:t>小企业采购的项目，供应商不重复享受政策价格扣除。最终</w:t>
            </w:r>
            <w:r>
              <w:rPr>
                <w:rFonts w:hint="eastAsia" w:ascii="宋体" w:hAnsi="宋体" w:eastAsia="宋体" w:cs="宋体"/>
                <w:bCs/>
                <w:color w:val="auto"/>
                <w:szCs w:val="21"/>
                <w:highlight w:val="none"/>
                <w:lang w:eastAsia="zh-CN"/>
              </w:rPr>
              <w:t>中标</w:t>
            </w:r>
            <w:r>
              <w:rPr>
                <w:rFonts w:hint="eastAsia" w:ascii="宋体" w:hAnsi="宋体" w:eastAsia="宋体" w:cs="宋体"/>
                <w:bCs/>
                <w:color w:val="auto"/>
                <w:szCs w:val="21"/>
                <w:highlight w:val="none"/>
              </w:rPr>
              <w:t>供应商的</w:t>
            </w:r>
            <w:r>
              <w:rPr>
                <w:rFonts w:hint="eastAsia" w:ascii="宋体" w:hAnsi="宋体" w:eastAsia="宋体" w:cs="宋体"/>
                <w:bCs/>
                <w:color w:val="auto"/>
                <w:szCs w:val="21"/>
                <w:highlight w:val="none"/>
                <w:lang w:eastAsia="zh-CN"/>
              </w:rPr>
              <w:t>中标</w:t>
            </w:r>
            <w:r>
              <w:rPr>
                <w:rFonts w:hint="eastAsia" w:ascii="宋体" w:hAnsi="宋体" w:eastAsia="宋体" w:cs="宋体"/>
                <w:bCs/>
                <w:color w:val="auto"/>
                <w:szCs w:val="21"/>
                <w:highlight w:val="none"/>
              </w:rPr>
              <w:t>金额等于最后报价（如有修正，以确认修正后的最后报价为准）。</w:t>
            </w:r>
          </w:p>
          <w:p w14:paraId="2EC712F9">
            <w:pPr>
              <w:spacing w:line="360" w:lineRule="exact"/>
              <w:ind w:firstLine="420" w:firstLineChars="200"/>
              <w:outlineLvl w:val="9"/>
              <w:rPr>
                <w:rFonts w:hint="eastAsia" w:ascii="宋体" w:hAnsi="宋体" w:eastAsia="宋体" w:cs="宋体"/>
                <w:color w:val="auto"/>
                <w:highlight w:val="none"/>
              </w:rPr>
            </w:pPr>
            <w:r>
              <w:rPr>
                <w:rFonts w:hint="eastAsia" w:ascii="宋体" w:hAnsi="宋体" w:eastAsia="宋体" w:cs="宋体"/>
                <w:color w:val="auto"/>
                <w:highlight w:val="none"/>
              </w:rPr>
              <w:t>（2）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不重复享受政策。</w:t>
            </w:r>
          </w:p>
          <w:p w14:paraId="1976CA72">
            <w:pPr>
              <w:spacing w:line="360" w:lineRule="exact"/>
              <w:ind w:firstLine="420" w:firstLineChars="200"/>
              <w:outlineLvl w:val="9"/>
              <w:rPr>
                <w:rFonts w:hint="eastAsia" w:ascii="宋体" w:hAnsi="宋体" w:eastAsia="宋体" w:cs="宋体"/>
                <w:color w:val="auto"/>
                <w:highlight w:val="none"/>
              </w:rPr>
            </w:pPr>
            <w:r>
              <w:rPr>
                <w:rFonts w:hint="eastAsia" w:ascii="宋体" w:hAnsi="宋体" w:eastAsia="宋体" w:cs="宋体"/>
                <w:color w:val="auto"/>
                <w:highlight w:val="none"/>
              </w:rPr>
              <w:t>（3）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250F828F">
            <w:pPr>
              <w:spacing w:line="360" w:lineRule="exact"/>
              <w:ind w:firstLine="420" w:firstLineChars="200"/>
              <w:outlineLvl w:val="9"/>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rPr>
              <w:t>）评审报价＝最后报价。</w:t>
            </w:r>
          </w:p>
          <w:p w14:paraId="0CDEEDE9">
            <w:pPr>
              <w:spacing w:line="360" w:lineRule="exact"/>
              <w:ind w:firstLine="420" w:firstLineChars="200"/>
              <w:outlineLvl w:val="9"/>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（5）以进入比较与评价环节的最低的评审报价为基准价，基准价得分为 20分。</w:t>
            </w:r>
          </w:p>
          <w:p w14:paraId="43F51191">
            <w:pPr>
              <w:spacing w:line="360" w:lineRule="exact"/>
              <w:ind w:firstLine="420" w:firstLineChars="200"/>
              <w:outlineLvl w:val="9"/>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（6）价格分计算公式：</w:t>
            </w:r>
          </w:p>
          <w:p w14:paraId="519F7268">
            <w:pPr>
              <w:keepNext w:val="0"/>
              <w:keepLines w:val="0"/>
              <w:pageBreakBefore w:val="0"/>
              <w:kinsoku/>
              <w:wordWrap w:val="0"/>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报价得分=（基准价/</w:t>
            </w:r>
            <w:r>
              <w:rPr>
                <w:rFonts w:hint="eastAsia" w:ascii="宋体" w:hAnsi="宋体" w:eastAsia="宋体" w:cs="宋体"/>
                <w:color w:val="auto"/>
                <w:highlight w:val="none"/>
                <w:lang w:val="en-US" w:eastAsia="zh-CN"/>
              </w:rPr>
              <w:t>供应商有效</w:t>
            </w:r>
            <w:r>
              <w:rPr>
                <w:rFonts w:hint="eastAsia" w:ascii="宋体" w:hAnsi="宋体" w:eastAsia="宋体" w:cs="宋体"/>
                <w:color w:val="auto"/>
                <w:highlight w:val="none"/>
                <w:lang w:eastAsia="zh-CN"/>
              </w:rPr>
              <w:t xml:space="preserve">最后报价）× </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lang w:eastAsia="zh-CN"/>
              </w:rPr>
              <w:t>0分</w:t>
            </w:r>
          </w:p>
          <w:p w14:paraId="45B33651">
            <w:pPr>
              <w:keepNext w:val="0"/>
              <w:keepLines w:val="0"/>
              <w:pageBreakBefore w:val="0"/>
              <w:kinsoku/>
              <w:wordWrap w:val="0"/>
              <w:overflowPunct/>
              <w:topLinePunct w:val="0"/>
              <w:autoSpaceDE/>
              <w:autoSpaceDN/>
              <w:bidi w:val="0"/>
              <w:adjustRightInd w:val="0"/>
              <w:snapToGrid w:val="0"/>
              <w:spacing w:line="400" w:lineRule="exact"/>
              <w:ind w:firstLine="422" w:firstLineChars="200"/>
              <w:textAlignment w:val="auto"/>
              <w:rPr>
                <w:rFonts w:hint="eastAsia" w:ascii="宋体" w:hAnsi="宋体" w:eastAsia="宋体" w:cs="宋体"/>
                <w:color w:val="auto"/>
                <w:highlight w:val="none"/>
                <w:lang w:eastAsia="zh-CN"/>
              </w:rPr>
            </w:pPr>
            <w:r>
              <w:rPr>
                <w:rFonts w:hint="eastAsia" w:ascii="宋体" w:hAnsi="宋体" w:eastAsia="宋体" w:cs="宋体"/>
                <w:b/>
                <w:bCs/>
                <w:color w:val="auto"/>
                <w:szCs w:val="21"/>
                <w:highlight w:val="none"/>
                <w:lang w:val="en-US" w:eastAsia="zh-CN"/>
              </w:rPr>
              <w:t>注：本标项采用单价进行报价，单价超过各单价最高限价的投标无效；以各单项报价的合计作为价格分计算依据。</w:t>
            </w:r>
          </w:p>
        </w:tc>
        <w:tc>
          <w:tcPr>
            <w:tcW w:w="851" w:type="dxa"/>
            <w:noWrap w:val="0"/>
            <w:vAlign w:val="center"/>
          </w:tcPr>
          <w:p w14:paraId="1834BCFD">
            <w:pPr>
              <w:widowControl/>
              <w:wordWrap w:val="0"/>
              <w:spacing w:line="400" w:lineRule="exact"/>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20分</w:t>
            </w:r>
          </w:p>
        </w:tc>
      </w:tr>
      <w:tr w14:paraId="2617C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7" w:type="dxa"/>
            <w:noWrap w:val="0"/>
            <w:vAlign w:val="center"/>
          </w:tcPr>
          <w:p w14:paraId="24ECF7A9">
            <w:pPr>
              <w:widowControl/>
              <w:wordWrap w:val="0"/>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w:t>
            </w:r>
          </w:p>
        </w:tc>
        <w:tc>
          <w:tcPr>
            <w:tcW w:w="1377" w:type="dxa"/>
            <w:noWrap w:val="0"/>
            <w:vAlign w:val="center"/>
          </w:tcPr>
          <w:p w14:paraId="355BE5FF">
            <w:pPr>
              <w:widowControl/>
              <w:wordWrap w:val="0"/>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技术分</w:t>
            </w:r>
          </w:p>
        </w:tc>
        <w:tc>
          <w:tcPr>
            <w:tcW w:w="7006" w:type="dxa"/>
            <w:gridSpan w:val="2"/>
            <w:noWrap w:val="0"/>
            <w:vAlign w:val="top"/>
          </w:tcPr>
          <w:p w14:paraId="5CDDC6B7">
            <w:pPr>
              <w:keepNext w:val="0"/>
              <w:keepLines w:val="0"/>
              <w:pageBreakBefore w:val="0"/>
              <w:widowControl/>
              <w:kinsoku/>
              <w:wordWrap w:val="0"/>
              <w:overflowPunct/>
              <w:topLinePunct w:val="0"/>
              <w:autoSpaceDE/>
              <w:autoSpaceDN/>
              <w:bidi w:val="0"/>
              <w:spacing w:line="400" w:lineRule="exact"/>
              <w:ind w:firstLine="420" w:firstLineChars="200"/>
              <w:jc w:val="center"/>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评审因素</w:t>
            </w:r>
          </w:p>
        </w:tc>
      </w:tr>
      <w:tr w14:paraId="00E3F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7" w:type="dxa"/>
            <w:noWrap w:val="0"/>
            <w:vAlign w:val="center"/>
          </w:tcPr>
          <w:p w14:paraId="2EFA657E">
            <w:pPr>
              <w:wordWrap w:val="0"/>
              <w:adjustRightInd w:val="0"/>
              <w:spacing w:line="400" w:lineRule="exact"/>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2.1</w:t>
            </w:r>
          </w:p>
        </w:tc>
        <w:tc>
          <w:tcPr>
            <w:tcW w:w="1377" w:type="dxa"/>
            <w:noWrap w:val="0"/>
            <w:vAlign w:val="center"/>
          </w:tcPr>
          <w:p w14:paraId="6DE2F9EF">
            <w:pPr>
              <w:wordWrap w:val="0"/>
              <w:adjustRightInd w:val="0"/>
              <w:spacing w:line="400" w:lineRule="exact"/>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项目实施方案</w:t>
            </w:r>
          </w:p>
        </w:tc>
        <w:tc>
          <w:tcPr>
            <w:tcW w:w="6155" w:type="dxa"/>
            <w:noWrap w:val="0"/>
            <w:vAlign w:val="center"/>
          </w:tcPr>
          <w:p w14:paraId="2A820059">
            <w:pPr>
              <w:keepNext w:val="0"/>
              <w:keepLines w:val="0"/>
              <w:pageBreakBefore w:val="0"/>
              <w:kinsoku/>
              <w:wordWrap w:val="0"/>
              <w:overflowPunct/>
              <w:topLinePunct w:val="0"/>
              <w:autoSpaceDE/>
              <w:autoSpaceDN/>
              <w:bidi w:val="0"/>
              <w:spacing w:line="400" w:lineRule="exact"/>
              <w:ind w:firstLine="422" w:firstLineChars="200"/>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提供的项目实施方案内容未达到一档要求的不得分：</w:t>
            </w:r>
          </w:p>
          <w:p w14:paraId="769CD854">
            <w:pPr>
              <w:keepNext w:val="0"/>
              <w:keepLines w:val="0"/>
              <w:pageBreakBefore w:val="0"/>
              <w:kinsoku/>
              <w:wordWrap w:val="0"/>
              <w:overflowPunct/>
              <w:topLinePunct w:val="0"/>
              <w:autoSpaceDE/>
              <w:autoSpaceDN/>
              <w:bidi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一档（5分）：供应商提供的项目实施方案对项目的整体要求理解不够准确，方案可操作性不强；</w:t>
            </w:r>
          </w:p>
          <w:p w14:paraId="7419085C">
            <w:pPr>
              <w:keepNext w:val="0"/>
              <w:keepLines w:val="0"/>
              <w:pageBreakBefore w:val="0"/>
              <w:kinsoku/>
              <w:wordWrap w:val="0"/>
              <w:overflowPunct/>
              <w:topLinePunct w:val="0"/>
              <w:autoSpaceDE/>
              <w:autoSpaceDN/>
              <w:bidi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二档（10分）：供应商提供的项目实施方案基本理解项目的整体要求，提供有作业流程和作业规范，基本合理，提供对项目的重点和难点理解基本准确，方案基本可行；</w:t>
            </w:r>
          </w:p>
          <w:p w14:paraId="450002A2">
            <w:pPr>
              <w:keepNext w:val="0"/>
              <w:keepLines w:val="0"/>
              <w:pageBreakBefore w:val="0"/>
              <w:kinsoku/>
              <w:wordWrap w:val="0"/>
              <w:overflowPunct/>
              <w:topLinePunct w:val="0"/>
              <w:autoSpaceDE/>
              <w:autoSpaceDN/>
              <w:bidi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三档（15分）：供应商提供的项目实施方案对项目的整体要求理解正确，提供合理的作业流程和作业规范，有具体技术路线措施，对项目的重点和难点、工作内容理解准确，对项目政策背景的理解正确全面；提供废旧设施后期处理方案，处理方式符合环保要求，整体方案具有可行性。</w:t>
            </w:r>
          </w:p>
          <w:p w14:paraId="1BB1524D">
            <w:pPr>
              <w:keepNext w:val="0"/>
              <w:keepLines w:val="0"/>
              <w:pageBreakBefore w:val="0"/>
              <w:kinsoku/>
              <w:wordWrap w:val="0"/>
              <w:overflowPunct/>
              <w:topLinePunct w:val="0"/>
              <w:autoSpaceDE/>
              <w:autoSpaceDN/>
              <w:bidi w:val="0"/>
              <w:spacing w:line="400" w:lineRule="exact"/>
              <w:ind w:firstLine="420" w:firstLineChars="200"/>
              <w:textAlignment w:val="auto"/>
              <w:rPr>
                <w:rFonts w:hint="eastAsia" w:ascii="宋体" w:hAnsi="宋体" w:eastAsia="宋体" w:cs="宋体"/>
                <w:color w:val="auto"/>
                <w:kern w:val="2"/>
                <w:sz w:val="21"/>
                <w:highlight w:val="none"/>
              </w:rPr>
            </w:pPr>
            <w:r>
              <w:rPr>
                <w:rFonts w:hint="eastAsia" w:ascii="宋体" w:hAnsi="宋体" w:eastAsia="宋体" w:cs="宋体"/>
                <w:color w:val="auto"/>
                <w:szCs w:val="21"/>
                <w:highlight w:val="none"/>
              </w:rPr>
              <w:t>四档（20分）：供应商提供的项目实施方案对项目的整体要求理解正确，作业流程科学合理，能详细说明作业流程细节并符合作业规范，方案操作性强，技术路线科学合理，对项目的重点和难点、工作内容理解和掌握完全准确，并提供明确的技术路线、技术分析和具体措施，对项目政策背景的理解正确全面；提供详细的废旧设施后期处理方案，处理方式符合环保要求，提供可行的再利用的方案，能确保资源的有效利用；整体方案可行性强，完全满足项目的实际需求。</w:t>
            </w:r>
          </w:p>
        </w:tc>
        <w:tc>
          <w:tcPr>
            <w:tcW w:w="851" w:type="dxa"/>
            <w:noWrap w:val="0"/>
            <w:vAlign w:val="center"/>
          </w:tcPr>
          <w:p w14:paraId="6492BFB1">
            <w:pPr>
              <w:wordWrap w:val="0"/>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20分</w:t>
            </w:r>
          </w:p>
        </w:tc>
      </w:tr>
      <w:tr w14:paraId="534F2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7" w:type="dxa"/>
            <w:noWrap w:val="0"/>
            <w:vAlign w:val="center"/>
          </w:tcPr>
          <w:p w14:paraId="30B5E8D3">
            <w:pPr>
              <w:wordWrap w:val="0"/>
              <w:adjustRightInd w:val="0"/>
              <w:spacing w:line="400" w:lineRule="exact"/>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2.2</w:t>
            </w:r>
          </w:p>
        </w:tc>
        <w:tc>
          <w:tcPr>
            <w:tcW w:w="1377" w:type="dxa"/>
            <w:noWrap w:val="0"/>
            <w:vAlign w:val="center"/>
          </w:tcPr>
          <w:p w14:paraId="712851E8">
            <w:pPr>
              <w:wordWrap w:val="0"/>
              <w:adjustRightInd w:val="0"/>
              <w:spacing w:line="400" w:lineRule="exact"/>
              <w:jc w:val="center"/>
              <w:textAlignment w:val="baseline"/>
              <w:rPr>
                <w:rFonts w:hint="eastAsia" w:ascii="宋体" w:hAnsi="宋体" w:eastAsia="宋体" w:cs="宋体"/>
                <w:color w:val="auto"/>
                <w:kern w:val="0"/>
                <w:szCs w:val="21"/>
                <w:highlight w:val="none"/>
              </w:rPr>
            </w:pPr>
            <w:r>
              <w:rPr>
                <w:rFonts w:hint="eastAsia" w:ascii="宋体" w:hAnsi="宋体" w:eastAsia="宋体" w:cs="宋体"/>
                <w:bCs/>
                <w:color w:val="auto"/>
                <w:szCs w:val="21"/>
                <w:highlight w:val="none"/>
              </w:rPr>
              <w:t>作业质量和安全保障方案分</w:t>
            </w:r>
          </w:p>
        </w:tc>
        <w:tc>
          <w:tcPr>
            <w:tcW w:w="6155" w:type="dxa"/>
            <w:noWrap w:val="0"/>
            <w:vAlign w:val="top"/>
          </w:tcPr>
          <w:p w14:paraId="6AF4DE60">
            <w:pPr>
              <w:pStyle w:val="31"/>
              <w:keepNext w:val="0"/>
              <w:keepLines w:val="0"/>
              <w:pageBreakBefore w:val="0"/>
              <w:kinsoku/>
              <w:wordWrap w:val="0"/>
              <w:overflowPunct/>
              <w:topLinePunct w:val="0"/>
              <w:autoSpaceDE/>
              <w:autoSpaceDN/>
              <w:bidi w:val="0"/>
              <w:spacing w:line="400" w:lineRule="exact"/>
              <w:ind w:firstLine="400" w:firstLineChars="200"/>
              <w:textAlignment w:val="auto"/>
              <w:rPr>
                <w:rFonts w:hint="eastAsia" w:ascii="宋体" w:hAnsi="宋体" w:eastAsia="宋体" w:cs="宋体"/>
                <w:color w:val="auto"/>
                <w:kern w:val="2"/>
                <w:sz w:val="21"/>
                <w:highlight w:val="none"/>
              </w:rPr>
            </w:pPr>
            <w:r>
              <w:rPr>
                <w:rFonts w:hint="eastAsia" w:ascii="宋体" w:hAnsi="宋体" w:eastAsia="宋体" w:cs="宋体"/>
                <w:b/>
                <w:bCs/>
                <w:color w:val="auto"/>
                <w:sz w:val="21"/>
                <w:highlight w:val="none"/>
              </w:rPr>
              <w:t>未提供作业质量和安全保障方案或提供的方案内容未达到一档要求的不得分：</w:t>
            </w:r>
          </w:p>
          <w:p w14:paraId="1DF09F60">
            <w:pPr>
              <w:keepNext w:val="0"/>
              <w:keepLines w:val="0"/>
              <w:pageBreakBefore w:val="0"/>
              <w:kinsoku/>
              <w:wordWrap w:val="0"/>
              <w:overflowPunct/>
              <w:topLinePunct w:val="0"/>
              <w:autoSpaceDE/>
              <w:autoSpaceDN/>
              <w:bidi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一档（3分）：提供有作业质量和安全保障方案，整体质控措施不够完善。</w:t>
            </w:r>
          </w:p>
          <w:p w14:paraId="1BE0144D">
            <w:pPr>
              <w:keepNext w:val="0"/>
              <w:keepLines w:val="0"/>
              <w:pageBreakBefore w:val="0"/>
              <w:kinsoku/>
              <w:wordWrap w:val="0"/>
              <w:overflowPunct/>
              <w:topLinePunct w:val="0"/>
              <w:autoSpaceDE/>
              <w:autoSpaceDN/>
              <w:bidi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二档（6分）：提供的作业质量和安全保障方案内容基本贴合项目实际，提供有用船安全措施，上述内容基本可行。</w:t>
            </w:r>
          </w:p>
          <w:p w14:paraId="58942429">
            <w:pPr>
              <w:keepNext w:val="0"/>
              <w:keepLines w:val="0"/>
              <w:pageBreakBefore w:val="0"/>
              <w:kinsoku/>
              <w:wordWrap w:val="0"/>
              <w:overflowPunct/>
              <w:topLinePunct w:val="0"/>
              <w:autoSpaceDE/>
              <w:autoSpaceDN/>
              <w:bidi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三档（9分）：提供的作业质量和安全保障方案内容贴合项目实际，提供有作业质量控制、用船安全措施和作业安全措施，上述内容基本完整，整体质控措施可行。</w:t>
            </w:r>
          </w:p>
          <w:p w14:paraId="682E8B76">
            <w:pPr>
              <w:keepNext w:val="0"/>
              <w:keepLines w:val="0"/>
              <w:pageBreakBefore w:val="0"/>
              <w:kinsoku/>
              <w:wordWrap w:val="0"/>
              <w:overflowPunct/>
              <w:topLinePunct w:val="0"/>
              <w:autoSpaceDE/>
              <w:autoSpaceDN/>
              <w:bidi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四档（12分）：作业质量和安全保障方案完善，具有针对性的作业数据检查、作业质量控制以及反馈纠错措施；具有切实有效地用船安全措施和作业安全措施，能有效的保障项目的开展。</w:t>
            </w:r>
          </w:p>
        </w:tc>
        <w:tc>
          <w:tcPr>
            <w:tcW w:w="851" w:type="dxa"/>
            <w:noWrap w:val="0"/>
            <w:vAlign w:val="center"/>
          </w:tcPr>
          <w:p w14:paraId="4E526714">
            <w:pPr>
              <w:wordWrap w:val="0"/>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12分</w:t>
            </w:r>
          </w:p>
        </w:tc>
      </w:tr>
      <w:tr w14:paraId="3C180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7" w:type="dxa"/>
            <w:noWrap w:val="0"/>
            <w:vAlign w:val="center"/>
          </w:tcPr>
          <w:p w14:paraId="5B108EE2">
            <w:pPr>
              <w:wordWrap w:val="0"/>
              <w:adjustRightInd w:val="0"/>
              <w:spacing w:line="400" w:lineRule="exact"/>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2.3</w:t>
            </w:r>
          </w:p>
        </w:tc>
        <w:tc>
          <w:tcPr>
            <w:tcW w:w="1377" w:type="dxa"/>
            <w:noWrap w:val="0"/>
            <w:vAlign w:val="center"/>
          </w:tcPr>
          <w:p w14:paraId="44CC31B6">
            <w:pPr>
              <w:wordWrap w:val="0"/>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bCs/>
                <w:color w:val="auto"/>
                <w:szCs w:val="21"/>
                <w:highlight w:val="none"/>
              </w:rPr>
              <w:t>服务响应方案</w:t>
            </w:r>
          </w:p>
        </w:tc>
        <w:tc>
          <w:tcPr>
            <w:tcW w:w="6155" w:type="dxa"/>
            <w:noWrap w:val="0"/>
            <w:vAlign w:val="center"/>
          </w:tcPr>
          <w:p w14:paraId="5CF4947D">
            <w:pPr>
              <w:keepNext w:val="0"/>
              <w:keepLines w:val="0"/>
              <w:pageBreakBefore w:val="0"/>
              <w:kinsoku/>
              <w:wordWrap w:val="0"/>
              <w:overflowPunct/>
              <w:topLinePunct w:val="0"/>
              <w:autoSpaceDE/>
              <w:autoSpaceDN/>
              <w:bidi w:val="0"/>
              <w:spacing w:line="400" w:lineRule="exact"/>
              <w:ind w:firstLine="422" w:firstLineChars="200"/>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未提供服务响应方案或提供的内容未达到一档要求的不得分：</w:t>
            </w:r>
          </w:p>
          <w:p w14:paraId="61865FE8">
            <w:pPr>
              <w:keepNext w:val="0"/>
              <w:keepLines w:val="0"/>
              <w:pageBreakBefore w:val="0"/>
              <w:kinsoku/>
              <w:wordWrap w:val="0"/>
              <w:overflowPunct/>
              <w:topLinePunct w:val="0"/>
              <w:autoSpaceDE/>
              <w:autoSpaceDN/>
              <w:bidi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一档（5分）：服务承诺基本满足采购文件要求，响应程度满足项目要求。</w:t>
            </w:r>
          </w:p>
          <w:p w14:paraId="5244BE50">
            <w:pPr>
              <w:keepNext w:val="0"/>
              <w:keepLines w:val="0"/>
              <w:pageBreakBefore w:val="0"/>
              <w:kinsoku/>
              <w:wordWrap w:val="0"/>
              <w:overflowPunct/>
              <w:topLinePunct w:val="0"/>
              <w:autoSpaceDE/>
              <w:autoSpaceDN/>
              <w:bidi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档（10分）：服务承诺满足采购文件要求，内容基本完整、可行，响应程度满足项目要求，按采购文件要求对采购人进行服务，服务期内出现任何项目问题，供应商承诺在15分钟内电话响应，3小时内到达指定地点协助采购人处理并解决问题；提供的项目移交方案内容不够具体。</w:t>
            </w:r>
          </w:p>
          <w:p w14:paraId="6D2C59FA">
            <w:pPr>
              <w:keepNext w:val="0"/>
              <w:keepLines w:val="0"/>
              <w:pageBreakBefore w:val="0"/>
              <w:kinsoku/>
              <w:wordWrap w:val="0"/>
              <w:overflowPunct/>
              <w:topLinePunct w:val="0"/>
              <w:autoSpaceDE/>
              <w:autoSpaceDN/>
              <w:bidi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三档（15分）：服务承诺优于采购文件要求，内容完整、齐全、可行，响应程度高，按采购文件要求对采购人进行服务，服务期内出现任何项目问题，供应商承诺在5分钟内电话响应，2小时内到达指定地点协助采购人处理并解决问题；提供有详细的项目移交方案（至少包括管理资料移交和工作移交等），且提供有成果文件移交的后续服务承诺，后续服务承诺内容具体，有利于采购人对项目的整体管控。</w:t>
            </w:r>
          </w:p>
        </w:tc>
        <w:tc>
          <w:tcPr>
            <w:tcW w:w="851" w:type="dxa"/>
            <w:noWrap w:val="0"/>
            <w:vAlign w:val="center"/>
          </w:tcPr>
          <w:p w14:paraId="671974FD">
            <w:pPr>
              <w:wordWrap w:val="0"/>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bCs/>
                <w:color w:val="auto"/>
                <w:szCs w:val="21"/>
                <w:highlight w:val="none"/>
              </w:rPr>
              <w:t>15分</w:t>
            </w:r>
          </w:p>
        </w:tc>
      </w:tr>
      <w:tr w14:paraId="5F27B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7" w:type="dxa"/>
            <w:noWrap w:val="0"/>
            <w:vAlign w:val="center"/>
          </w:tcPr>
          <w:p w14:paraId="58F90B7A">
            <w:pPr>
              <w:wordWrap w:val="0"/>
              <w:adjustRightInd w:val="0"/>
              <w:spacing w:line="400" w:lineRule="exact"/>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2.4</w:t>
            </w:r>
          </w:p>
        </w:tc>
        <w:tc>
          <w:tcPr>
            <w:tcW w:w="1377" w:type="dxa"/>
            <w:noWrap w:val="0"/>
            <w:vAlign w:val="center"/>
          </w:tcPr>
          <w:p w14:paraId="487DE2F4">
            <w:pPr>
              <w:wordWrap w:val="0"/>
              <w:adjustRightInd w:val="0"/>
              <w:spacing w:line="400" w:lineRule="exact"/>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拟投入人员管理方案</w:t>
            </w:r>
          </w:p>
        </w:tc>
        <w:tc>
          <w:tcPr>
            <w:tcW w:w="6155" w:type="dxa"/>
            <w:noWrap w:val="0"/>
            <w:vAlign w:val="center"/>
          </w:tcPr>
          <w:p w14:paraId="49C8C591">
            <w:pPr>
              <w:keepNext w:val="0"/>
              <w:keepLines w:val="0"/>
              <w:pageBreakBefore w:val="0"/>
              <w:kinsoku/>
              <w:wordWrap w:val="0"/>
              <w:overflowPunct/>
              <w:topLinePunct w:val="0"/>
              <w:autoSpaceDE/>
              <w:autoSpaceDN/>
              <w:bidi w:val="0"/>
              <w:spacing w:line="400" w:lineRule="exact"/>
              <w:ind w:firstLine="422" w:firstLineChars="200"/>
              <w:jc w:val="left"/>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提供人员管理方案内容未达到一档要求的不得分：</w:t>
            </w:r>
          </w:p>
          <w:p w14:paraId="18777500">
            <w:pPr>
              <w:keepNext w:val="0"/>
              <w:keepLines w:val="0"/>
              <w:pageBreakBefore w:val="0"/>
              <w:kinsoku/>
              <w:wordWrap w:val="0"/>
              <w:overflowPunct/>
              <w:topLinePunct w:val="0"/>
              <w:autoSpaceDE/>
              <w:autoSpaceDN/>
              <w:bidi w:val="0"/>
              <w:spacing w:line="4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一档（4分）：提供的人员管理方案内容不全面，包含有服务人员工作安排计划，对人员岗位设置制定有相应的岗位职责及分工说明。</w:t>
            </w:r>
          </w:p>
          <w:p w14:paraId="27CDE9D0">
            <w:pPr>
              <w:keepNext w:val="0"/>
              <w:keepLines w:val="0"/>
              <w:pageBreakBefore w:val="0"/>
              <w:kinsoku/>
              <w:wordWrap w:val="0"/>
              <w:overflowPunct/>
              <w:topLinePunct w:val="0"/>
              <w:autoSpaceDE/>
              <w:autoSpaceDN/>
              <w:bidi w:val="0"/>
              <w:spacing w:line="4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二档（8分）：提供的人员管理方案内容完善，包含有服务人员工作安排计划，对人员岗位设置制定有相应的岗位职责及分工说明并具有人员管理制度。</w:t>
            </w:r>
          </w:p>
          <w:p w14:paraId="02096127">
            <w:pPr>
              <w:keepNext w:val="0"/>
              <w:keepLines w:val="0"/>
              <w:pageBreakBefore w:val="0"/>
              <w:kinsoku/>
              <w:wordWrap w:val="0"/>
              <w:overflowPunct/>
              <w:topLinePunct w:val="0"/>
              <w:autoSpaceDE/>
              <w:autoSpaceDN/>
              <w:bidi w:val="0"/>
              <w:spacing w:line="4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三档（12分）：提供的人员管理方案内容完善、合理，对服务人员的数量，专业及工作安排计划有详细说明。并对人员岗位设置制定有相应的岗位职责、岗位分工说明；针对本项目制定合理的拟投入人员的管理制度、考核管理及人员管理办法。</w:t>
            </w:r>
          </w:p>
        </w:tc>
        <w:tc>
          <w:tcPr>
            <w:tcW w:w="851" w:type="dxa"/>
            <w:noWrap w:val="0"/>
            <w:vAlign w:val="center"/>
          </w:tcPr>
          <w:p w14:paraId="151986BB">
            <w:pPr>
              <w:wordWrap w:val="0"/>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12分</w:t>
            </w:r>
          </w:p>
        </w:tc>
      </w:tr>
      <w:tr w14:paraId="7A8D0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7" w:type="dxa"/>
            <w:noWrap w:val="0"/>
            <w:vAlign w:val="center"/>
          </w:tcPr>
          <w:p w14:paraId="29A30F42">
            <w:pPr>
              <w:wordWrap w:val="0"/>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2.5</w:t>
            </w:r>
          </w:p>
        </w:tc>
        <w:tc>
          <w:tcPr>
            <w:tcW w:w="1377" w:type="dxa"/>
            <w:noWrap w:val="0"/>
            <w:vAlign w:val="center"/>
          </w:tcPr>
          <w:p w14:paraId="2D883603">
            <w:pPr>
              <w:wordWrap w:val="0"/>
              <w:adjustRightInd w:val="0"/>
              <w:spacing w:line="400" w:lineRule="exact"/>
              <w:jc w:val="center"/>
              <w:textAlignment w:val="baseline"/>
              <w:rPr>
                <w:rFonts w:hint="eastAsia" w:ascii="宋体" w:hAnsi="宋体" w:eastAsia="宋体" w:cs="宋体"/>
                <w:color w:val="auto"/>
                <w:kern w:val="0"/>
                <w:szCs w:val="21"/>
                <w:highlight w:val="none"/>
              </w:rPr>
            </w:pPr>
            <w:r>
              <w:rPr>
                <w:rFonts w:hint="eastAsia" w:ascii="宋体" w:hAnsi="宋体" w:eastAsia="宋体" w:cs="宋体"/>
                <w:bCs/>
                <w:color w:val="auto"/>
                <w:szCs w:val="21"/>
                <w:highlight w:val="none"/>
              </w:rPr>
              <w:t>应急方案</w:t>
            </w:r>
          </w:p>
        </w:tc>
        <w:tc>
          <w:tcPr>
            <w:tcW w:w="6155" w:type="dxa"/>
            <w:noWrap w:val="0"/>
            <w:vAlign w:val="center"/>
          </w:tcPr>
          <w:p w14:paraId="6B568352">
            <w:pPr>
              <w:keepNext w:val="0"/>
              <w:keepLines w:val="0"/>
              <w:pageBreakBefore w:val="0"/>
              <w:kinsoku/>
              <w:wordWrap w:val="0"/>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宋体"/>
                <w:b/>
                <w:bCs/>
                <w:color w:val="auto"/>
                <w:szCs w:val="21"/>
                <w:highlight w:val="none"/>
              </w:rPr>
            </w:pPr>
            <w:r>
              <w:rPr>
                <w:rFonts w:hint="eastAsia" w:ascii="宋体" w:hAnsi="宋体" w:eastAsia="宋体" w:cs="宋体"/>
                <w:color w:val="auto"/>
                <w:szCs w:val="21"/>
                <w:highlight w:val="none"/>
              </w:rPr>
              <w:t>由</w:t>
            </w:r>
            <w:r>
              <w:rPr>
                <w:rFonts w:hint="eastAsia" w:ascii="宋体" w:hAnsi="宋体" w:eastAsia="宋体" w:cs="宋体"/>
                <w:color w:val="auto"/>
                <w:szCs w:val="21"/>
                <w:highlight w:val="none"/>
                <w:lang w:val="en-US" w:eastAsia="zh-CN"/>
              </w:rPr>
              <w:t>评标委员会</w:t>
            </w:r>
            <w:r>
              <w:rPr>
                <w:rFonts w:hint="eastAsia" w:ascii="宋体" w:hAnsi="宋体" w:eastAsia="宋体" w:cs="宋体"/>
                <w:color w:val="auto"/>
                <w:szCs w:val="21"/>
                <w:highlight w:val="none"/>
              </w:rPr>
              <w:t>根据供应商提供的应急方案进行独立评审，应急方案里有对突发事件、工人意外事故、特殊天气（如台风、暴雨、暴风等）等的应急预案。</w:t>
            </w:r>
            <w:r>
              <w:rPr>
                <w:rFonts w:hint="eastAsia" w:ascii="宋体" w:hAnsi="宋体" w:eastAsia="宋体" w:cs="宋体"/>
                <w:b/>
                <w:bCs/>
                <w:color w:val="auto"/>
                <w:szCs w:val="21"/>
                <w:highlight w:val="none"/>
              </w:rPr>
              <w:t>未提供应急方案或方案内容未达到一档要求的不得分。</w:t>
            </w:r>
          </w:p>
          <w:p w14:paraId="28101681">
            <w:pPr>
              <w:keepNext w:val="0"/>
              <w:keepLines w:val="0"/>
              <w:pageBreakBefore w:val="0"/>
              <w:kinsoku/>
              <w:wordWrap w:val="0"/>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一档（6分）：提供的应急方案不够完整，部分具有可操作性；</w:t>
            </w:r>
          </w:p>
          <w:p w14:paraId="101E97C5">
            <w:pPr>
              <w:keepNext w:val="0"/>
              <w:keepLines w:val="0"/>
              <w:pageBreakBefore w:val="0"/>
              <w:kinsoku/>
              <w:wordWrap w:val="0"/>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二档（9分）：方案内容基本完整、具有可操作性，对部分突发事件有应对处置流程措施；</w:t>
            </w:r>
          </w:p>
          <w:p w14:paraId="4E9D43FF">
            <w:pPr>
              <w:keepNext w:val="0"/>
              <w:keepLines w:val="0"/>
              <w:pageBreakBefore w:val="0"/>
              <w:kinsoku/>
              <w:wordWrap w:val="0"/>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三档（12分）：方案内容完整、有合理性和可操作性，根据各种突发事件，提供相应有效的应对处置流程措施，提供完善的</w:t>
            </w:r>
            <w:r>
              <w:rPr>
                <w:rFonts w:hint="eastAsia" w:ascii="宋体" w:hAnsi="宋体" w:eastAsia="宋体" w:cs="宋体"/>
                <w:bCs/>
                <w:color w:val="auto"/>
                <w:szCs w:val="21"/>
                <w:highlight w:val="none"/>
              </w:rPr>
              <w:t>遇险方案措施</w:t>
            </w:r>
            <w:r>
              <w:rPr>
                <w:rFonts w:hint="eastAsia" w:ascii="宋体" w:hAnsi="宋体" w:eastAsia="宋体" w:cs="宋体"/>
                <w:color w:val="auto"/>
                <w:szCs w:val="21"/>
                <w:highlight w:val="none"/>
              </w:rPr>
              <w:t>；</w:t>
            </w:r>
          </w:p>
          <w:p w14:paraId="322C226A">
            <w:pPr>
              <w:keepNext w:val="0"/>
              <w:keepLines w:val="0"/>
              <w:pageBreakBefore w:val="0"/>
              <w:kinsoku/>
              <w:wordWrap w:val="0"/>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四档（15分）：方案内容明确、详尽，有合理性及可操作性，根据各种突发事件，提供相应有效的应对处置流程措施，提供完善的</w:t>
            </w:r>
            <w:r>
              <w:rPr>
                <w:rFonts w:hint="eastAsia" w:ascii="宋体" w:hAnsi="宋体" w:eastAsia="宋体" w:cs="宋体"/>
                <w:bCs/>
                <w:color w:val="auto"/>
                <w:szCs w:val="21"/>
                <w:highlight w:val="none"/>
              </w:rPr>
              <w:t>遇险方案措施</w:t>
            </w:r>
            <w:r>
              <w:rPr>
                <w:rFonts w:hint="eastAsia" w:ascii="宋体" w:hAnsi="宋体" w:eastAsia="宋体" w:cs="宋体"/>
                <w:color w:val="auto"/>
                <w:szCs w:val="21"/>
                <w:highlight w:val="none"/>
              </w:rPr>
              <w:t>。特别针对突发性社会群体事件、负面舆论事件的处理方案，有详细的分析和预防措施，应急预案具有针对性﹑实用性和可操作性。</w:t>
            </w:r>
          </w:p>
        </w:tc>
        <w:tc>
          <w:tcPr>
            <w:tcW w:w="851" w:type="dxa"/>
            <w:noWrap w:val="0"/>
            <w:vAlign w:val="center"/>
          </w:tcPr>
          <w:p w14:paraId="681C5752">
            <w:pPr>
              <w:widowControl/>
              <w:wordWrap w:val="0"/>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15分</w:t>
            </w:r>
          </w:p>
        </w:tc>
      </w:tr>
      <w:tr w14:paraId="61748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7" w:type="dxa"/>
            <w:noWrap w:val="0"/>
            <w:vAlign w:val="center"/>
          </w:tcPr>
          <w:p w14:paraId="2E0CE9A7">
            <w:pPr>
              <w:widowControl/>
              <w:wordWrap w:val="0"/>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w:t>
            </w:r>
          </w:p>
        </w:tc>
        <w:tc>
          <w:tcPr>
            <w:tcW w:w="1377" w:type="dxa"/>
            <w:noWrap w:val="0"/>
            <w:vAlign w:val="center"/>
          </w:tcPr>
          <w:p w14:paraId="2C45D96B">
            <w:pPr>
              <w:widowControl/>
              <w:wordWrap w:val="0"/>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商务分</w:t>
            </w:r>
          </w:p>
        </w:tc>
        <w:tc>
          <w:tcPr>
            <w:tcW w:w="7006" w:type="dxa"/>
            <w:gridSpan w:val="2"/>
            <w:noWrap w:val="0"/>
            <w:vAlign w:val="center"/>
          </w:tcPr>
          <w:p w14:paraId="0AA02121">
            <w:pPr>
              <w:keepNext w:val="0"/>
              <w:keepLines w:val="0"/>
              <w:pageBreakBefore w:val="0"/>
              <w:widowControl/>
              <w:kinsoku/>
              <w:wordWrap w:val="0"/>
              <w:overflowPunct/>
              <w:topLinePunct w:val="0"/>
              <w:autoSpaceDE/>
              <w:autoSpaceDN/>
              <w:bidi w:val="0"/>
              <w:spacing w:line="400" w:lineRule="exact"/>
              <w:ind w:firstLine="420" w:firstLineChars="200"/>
              <w:jc w:val="center"/>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评审因素</w:t>
            </w:r>
          </w:p>
        </w:tc>
      </w:tr>
      <w:tr w14:paraId="176C2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7" w:type="dxa"/>
            <w:noWrap w:val="0"/>
            <w:vAlign w:val="center"/>
          </w:tcPr>
          <w:p w14:paraId="0664FA7D">
            <w:pPr>
              <w:wordWrap w:val="0"/>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3.1</w:t>
            </w:r>
          </w:p>
        </w:tc>
        <w:tc>
          <w:tcPr>
            <w:tcW w:w="1377" w:type="dxa"/>
            <w:noWrap w:val="0"/>
            <w:vAlign w:val="center"/>
          </w:tcPr>
          <w:p w14:paraId="1A403F95">
            <w:pPr>
              <w:widowControl/>
              <w:wordWrap w:val="0"/>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业绩分</w:t>
            </w:r>
          </w:p>
        </w:tc>
        <w:tc>
          <w:tcPr>
            <w:tcW w:w="6155" w:type="dxa"/>
            <w:noWrap w:val="0"/>
            <w:vAlign w:val="top"/>
          </w:tcPr>
          <w:p w14:paraId="3B5269C8">
            <w:pPr>
              <w:keepNext w:val="0"/>
              <w:keepLines w:val="0"/>
              <w:pageBreakBefore w:val="0"/>
              <w:kinsoku/>
              <w:wordWrap w:val="0"/>
              <w:overflowPunct/>
              <w:topLinePunct w:val="0"/>
              <w:autoSpaceDE/>
              <w:autoSpaceDN/>
              <w:bidi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202</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年1月1日以来供应商具有类似项目的业绩，每提供一份证明材料得2分，满分6分。</w:t>
            </w: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rPr>
              <w:t>须提供有效的合同或中标（成交）通知书复印件并加盖供应商公章，否则不予计分）。</w:t>
            </w:r>
          </w:p>
        </w:tc>
        <w:tc>
          <w:tcPr>
            <w:tcW w:w="851" w:type="dxa"/>
            <w:noWrap w:val="0"/>
            <w:vAlign w:val="center"/>
          </w:tcPr>
          <w:p w14:paraId="247D22CE">
            <w:pPr>
              <w:widowControl/>
              <w:wordWrap w:val="0"/>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6分</w:t>
            </w:r>
          </w:p>
        </w:tc>
      </w:tr>
      <w:tr w14:paraId="764DE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090" w:type="dxa"/>
            <w:gridSpan w:val="4"/>
            <w:noWrap w:val="0"/>
            <w:vAlign w:val="center"/>
          </w:tcPr>
          <w:p w14:paraId="688B9249">
            <w:pPr>
              <w:widowControl/>
              <w:wordWrap w:val="0"/>
              <w:spacing w:line="400" w:lineRule="exact"/>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szCs w:val="21"/>
                <w:highlight w:val="none"/>
              </w:rPr>
              <w:t>总得分为以上各项评审因素得分合计</w:t>
            </w:r>
          </w:p>
        </w:tc>
      </w:tr>
    </w:tbl>
    <w:p w14:paraId="784C204C">
      <w:pPr>
        <w:pStyle w:val="5"/>
        <w:keepNext w:val="0"/>
        <w:keepLines w:val="0"/>
        <w:jc w:val="center"/>
        <w:rPr>
          <w:rFonts w:hint="eastAsia" w:ascii="宋体" w:hAnsi="宋体" w:eastAsia="宋体" w:cs="宋体"/>
          <w:color w:val="auto"/>
          <w:sz w:val="30"/>
          <w:szCs w:val="30"/>
          <w:highlight w:val="none"/>
        </w:rPr>
      </w:pPr>
    </w:p>
    <w:p w14:paraId="46D9A481">
      <w:pPr>
        <w:pStyle w:val="6"/>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分标3：</w:t>
      </w:r>
    </w:p>
    <w:tbl>
      <w:tblPr>
        <w:tblStyle w:val="6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7"/>
        <w:gridCol w:w="1377"/>
        <w:gridCol w:w="6155"/>
        <w:gridCol w:w="851"/>
      </w:tblGrid>
      <w:tr w14:paraId="2CA7F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7" w:type="dxa"/>
            <w:noWrap w:val="0"/>
            <w:vAlign w:val="center"/>
          </w:tcPr>
          <w:p w14:paraId="4C062901">
            <w:pPr>
              <w:widowControl/>
              <w:wordWrap w:val="0"/>
              <w:spacing w:line="400" w:lineRule="exact"/>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序号</w:t>
            </w:r>
          </w:p>
        </w:tc>
        <w:tc>
          <w:tcPr>
            <w:tcW w:w="1377" w:type="dxa"/>
            <w:noWrap w:val="0"/>
            <w:vAlign w:val="center"/>
          </w:tcPr>
          <w:p w14:paraId="3DDA648A">
            <w:pPr>
              <w:widowControl/>
              <w:wordWrap w:val="0"/>
              <w:spacing w:line="400" w:lineRule="exact"/>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评审因素</w:t>
            </w:r>
          </w:p>
        </w:tc>
        <w:tc>
          <w:tcPr>
            <w:tcW w:w="6155" w:type="dxa"/>
            <w:noWrap w:val="0"/>
            <w:vAlign w:val="center"/>
          </w:tcPr>
          <w:p w14:paraId="14369ABF">
            <w:pPr>
              <w:widowControl/>
              <w:wordWrap w:val="0"/>
              <w:spacing w:line="400" w:lineRule="exact"/>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评审因素具体内容</w:t>
            </w:r>
          </w:p>
        </w:tc>
        <w:tc>
          <w:tcPr>
            <w:tcW w:w="851" w:type="dxa"/>
            <w:noWrap w:val="0"/>
            <w:vAlign w:val="center"/>
          </w:tcPr>
          <w:p w14:paraId="6B65691C">
            <w:pPr>
              <w:widowControl/>
              <w:wordWrap w:val="0"/>
              <w:spacing w:line="400" w:lineRule="exact"/>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分值</w:t>
            </w:r>
          </w:p>
        </w:tc>
      </w:tr>
      <w:tr w14:paraId="00974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7" w:type="dxa"/>
            <w:noWrap w:val="0"/>
            <w:vAlign w:val="center"/>
          </w:tcPr>
          <w:p w14:paraId="7C587E32">
            <w:pPr>
              <w:widowControl/>
              <w:wordWrap w:val="0"/>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w:t>
            </w:r>
          </w:p>
        </w:tc>
        <w:tc>
          <w:tcPr>
            <w:tcW w:w="1377" w:type="dxa"/>
            <w:noWrap w:val="0"/>
            <w:vAlign w:val="center"/>
          </w:tcPr>
          <w:p w14:paraId="6F65ADCC">
            <w:pPr>
              <w:widowControl/>
              <w:wordWrap w:val="0"/>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价格分</w:t>
            </w:r>
          </w:p>
        </w:tc>
        <w:tc>
          <w:tcPr>
            <w:tcW w:w="6155" w:type="dxa"/>
            <w:noWrap w:val="0"/>
            <w:vAlign w:val="top"/>
          </w:tcPr>
          <w:p w14:paraId="30CCB914">
            <w:pPr>
              <w:numPr>
                <w:ilvl w:val="-1"/>
                <w:numId w:val="0"/>
              </w:numPr>
              <w:snapToGrid w:val="0"/>
              <w:spacing w:line="360" w:lineRule="auto"/>
              <w:ind w:firstLine="420" w:firstLineChars="200"/>
              <w:outlineLvl w:val="9"/>
              <w:rPr>
                <w:rFonts w:hint="eastAsia" w:ascii="宋体" w:hAnsi="宋体" w:eastAsia="宋体" w:cs="宋体"/>
                <w:color w:val="auto"/>
                <w:highlight w:val="none"/>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lang w:eastAsia="zh-CN"/>
              </w:rPr>
              <w:t>）</w:t>
            </w:r>
            <w:r>
              <w:rPr>
                <w:rFonts w:hint="eastAsia" w:ascii="宋体" w:hAnsi="宋体" w:eastAsia="宋体" w:cs="宋体"/>
                <w:bCs/>
                <w:color w:val="auto"/>
                <w:szCs w:val="21"/>
                <w:highlight w:val="none"/>
              </w:rPr>
              <w:t>本项目为专门面向</w:t>
            </w:r>
            <w:r>
              <w:rPr>
                <w:rFonts w:hint="eastAsia" w:ascii="宋体" w:hAnsi="宋体" w:eastAsia="宋体" w:cs="宋体"/>
                <w:bCs/>
                <w:color w:val="auto"/>
                <w:szCs w:val="21"/>
                <w:highlight w:val="none"/>
                <w:lang w:val="en-US" w:eastAsia="zh-CN"/>
              </w:rPr>
              <w:t>中</w:t>
            </w:r>
            <w:r>
              <w:rPr>
                <w:rFonts w:hint="eastAsia" w:ascii="宋体" w:hAnsi="宋体" w:eastAsia="宋体" w:cs="宋体"/>
                <w:bCs/>
                <w:color w:val="auto"/>
                <w:szCs w:val="21"/>
                <w:highlight w:val="none"/>
              </w:rPr>
              <w:t>小企业采购的项目，供应商不重复享受政策价格扣除。最终</w:t>
            </w:r>
            <w:r>
              <w:rPr>
                <w:rFonts w:hint="eastAsia" w:ascii="宋体" w:hAnsi="宋体" w:eastAsia="宋体" w:cs="宋体"/>
                <w:bCs/>
                <w:color w:val="auto"/>
                <w:szCs w:val="21"/>
                <w:highlight w:val="none"/>
                <w:lang w:eastAsia="zh-CN"/>
              </w:rPr>
              <w:t>中标</w:t>
            </w:r>
            <w:r>
              <w:rPr>
                <w:rFonts w:hint="eastAsia" w:ascii="宋体" w:hAnsi="宋体" w:eastAsia="宋体" w:cs="宋体"/>
                <w:bCs/>
                <w:color w:val="auto"/>
                <w:szCs w:val="21"/>
                <w:highlight w:val="none"/>
              </w:rPr>
              <w:t>供应商的</w:t>
            </w:r>
            <w:r>
              <w:rPr>
                <w:rFonts w:hint="eastAsia" w:ascii="宋体" w:hAnsi="宋体" w:eastAsia="宋体" w:cs="宋体"/>
                <w:bCs/>
                <w:color w:val="auto"/>
                <w:szCs w:val="21"/>
                <w:highlight w:val="none"/>
                <w:lang w:eastAsia="zh-CN"/>
              </w:rPr>
              <w:t>中标</w:t>
            </w:r>
            <w:r>
              <w:rPr>
                <w:rFonts w:hint="eastAsia" w:ascii="宋体" w:hAnsi="宋体" w:eastAsia="宋体" w:cs="宋体"/>
                <w:bCs/>
                <w:color w:val="auto"/>
                <w:szCs w:val="21"/>
                <w:highlight w:val="none"/>
              </w:rPr>
              <w:t>金额等于最后报价（如有修正，以确认修正后的最后报价为准）。</w:t>
            </w:r>
          </w:p>
          <w:p w14:paraId="624009E8">
            <w:pPr>
              <w:spacing w:line="360" w:lineRule="exact"/>
              <w:ind w:firstLine="420" w:firstLineChars="200"/>
              <w:outlineLvl w:val="9"/>
              <w:rPr>
                <w:rFonts w:hint="eastAsia" w:ascii="宋体" w:hAnsi="宋体" w:eastAsia="宋体" w:cs="宋体"/>
                <w:color w:val="auto"/>
                <w:highlight w:val="none"/>
              </w:rPr>
            </w:pPr>
            <w:r>
              <w:rPr>
                <w:rFonts w:hint="eastAsia" w:ascii="宋体" w:hAnsi="宋体" w:eastAsia="宋体" w:cs="宋体"/>
                <w:color w:val="auto"/>
                <w:highlight w:val="none"/>
              </w:rPr>
              <w:t>（2）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不重复享受政策。</w:t>
            </w:r>
          </w:p>
          <w:p w14:paraId="35D09B6D">
            <w:pPr>
              <w:spacing w:line="360" w:lineRule="exact"/>
              <w:ind w:firstLine="420" w:firstLineChars="200"/>
              <w:outlineLvl w:val="9"/>
              <w:rPr>
                <w:rFonts w:hint="eastAsia" w:ascii="宋体" w:hAnsi="宋体" w:eastAsia="宋体" w:cs="宋体"/>
                <w:color w:val="auto"/>
                <w:highlight w:val="none"/>
              </w:rPr>
            </w:pPr>
            <w:r>
              <w:rPr>
                <w:rFonts w:hint="eastAsia" w:ascii="宋体" w:hAnsi="宋体" w:eastAsia="宋体" w:cs="宋体"/>
                <w:color w:val="auto"/>
                <w:highlight w:val="none"/>
              </w:rPr>
              <w:t>（3）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10C3E8DE">
            <w:pPr>
              <w:spacing w:line="360" w:lineRule="exact"/>
              <w:ind w:firstLine="420" w:firstLineChars="200"/>
              <w:outlineLvl w:val="9"/>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rPr>
              <w:t>）评审报价＝最后报价。</w:t>
            </w:r>
          </w:p>
          <w:p w14:paraId="179DA1B5">
            <w:pPr>
              <w:spacing w:line="360" w:lineRule="exact"/>
              <w:ind w:firstLine="420" w:firstLineChars="200"/>
              <w:outlineLvl w:val="9"/>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（5）以进入比较与评价环节的最低的评审报价为基准价，基准价得分为 20分。</w:t>
            </w:r>
          </w:p>
          <w:p w14:paraId="24D17ABB">
            <w:pPr>
              <w:spacing w:line="360" w:lineRule="exact"/>
              <w:ind w:firstLine="420" w:firstLineChars="200"/>
              <w:outlineLvl w:val="9"/>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（6）价格分计算公式：</w:t>
            </w:r>
          </w:p>
          <w:p w14:paraId="4E31A3EF">
            <w:pPr>
              <w:keepNext w:val="0"/>
              <w:keepLines w:val="0"/>
              <w:pageBreakBefore w:val="0"/>
              <w:kinsoku/>
              <w:wordWrap w:val="0"/>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报价得分=（基准价/</w:t>
            </w:r>
            <w:r>
              <w:rPr>
                <w:rFonts w:hint="eastAsia" w:ascii="宋体" w:hAnsi="宋体" w:eastAsia="宋体" w:cs="宋体"/>
                <w:color w:val="auto"/>
                <w:highlight w:val="none"/>
                <w:lang w:val="en-US" w:eastAsia="zh-CN"/>
              </w:rPr>
              <w:t>供应商有效</w:t>
            </w:r>
            <w:r>
              <w:rPr>
                <w:rFonts w:hint="eastAsia" w:ascii="宋体" w:hAnsi="宋体" w:eastAsia="宋体" w:cs="宋体"/>
                <w:color w:val="auto"/>
                <w:highlight w:val="none"/>
                <w:lang w:eastAsia="zh-CN"/>
              </w:rPr>
              <w:t xml:space="preserve">最后报价）× </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lang w:eastAsia="zh-CN"/>
              </w:rPr>
              <w:t>0分</w:t>
            </w:r>
          </w:p>
          <w:p w14:paraId="45681537">
            <w:pPr>
              <w:keepNext w:val="0"/>
              <w:keepLines w:val="0"/>
              <w:pageBreakBefore w:val="0"/>
              <w:kinsoku/>
              <w:wordWrap w:val="0"/>
              <w:overflowPunct/>
              <w:topLinePunct w:val="0"/>
              <w:autoSpaceDE/>
              <w:autoSpaceDN/>
              <w:bidi w:val="0"/>
              <w:adjustRightInd w:val="0"/>
              <w:snapToGrid w:val="0"/>
              <w:spacing w:line="400" w:lineRule="exact"/>
              <w:ind w:firstLine="422" w:firstLineChars="200"/>
              <w:textAlignment w:val="auto"/>
              <w:rPr>
                <w:rFonts w:hint="eastAsia" w:ascii="宋体" w:hAnsi="宋体" w:eastAsia="宋体" w:cs="宋体"/>
                <w:color w:val="auto"/>
                <w:highlight w:val="none"/>
                <w:lang w:eastAsia="zh-CN"/>
              </w:rPr>
            </w:pPr>
            <w:r>
              <w:rPr>
                <w:rFonts w:hint="eastAsia" w:ascii="宋体" w:hAnsi="宋体" w:eastAsia="宋体" w:cs="宋体"/>
                <w:b/>
                <w:bCs/>
                <w:color w:val="auto"/>
                <w:szCs w:val="21"/>
                <w:highlight w:val="none"/>
                <w:lang w:val="en-US" w:eastAsia="zh-CN"/>
              </w:rPr>
              <w:t>注：本标项采用单价进行报价，单价超过各单价最高限价的投标无效；以各单项报价的合计作为价格分计算依据。</w:t>
            </w:r>
          </w:p>
        </w:tc>
        <w:tc>
          <w:tcPr>
            <w:tcW w:w="851" w:type="dxa"/>
            <w:noWrap w:val="0"/>
            <w:vAlign w:val="center"/>
          </w:tcPr>
          <w:p w14:paraId="7F5ADC5D">
            <w:pPr>
              <w:widowControl/>
              <w:wordWrap w:val="0"/>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20分</w:t>
            </w:r>
          </w:p>
        </w:tc>
      </w:tr>
      <w:tr w14:paraId="38F6F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7" w:type="dxa"/>
            <w:noWrap w:val="0"/>
            <w:vAlign w:val="center"/>
          </w:tcPr>
          <w:p w14:paraId="4B5DCB08">
            <w:pPr>
              <w:widowControl/>
              <w:wordWrap w:val="0"/>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w:t>
            </w:r>
          </w:p>
        </w:tc>
        <w:tc>
          <w:tcPr>
            <w:tcW w:w="1377" w:type="dxa"/>
            <w:noWrap w:val="0"/>
            <w:vAlign w:val="center"/>
          </w:tcPr>
          <w:p w14:paraId="0BE02CB3">
            <w:pPr>
              <w:widowControl/>
              <w:wordWrap w:val="0"/>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技术分</w:t>
            </w:r>
          </w:p>
        </w:tc>
        <w:tc>
          <w:tcPr>
            <w:tcW w:w="7006" w:type="dxa"/>
            <w:gridSpan w:val="2"/>
            <w:noWrap w:val="0"/>
            <w:vAlign w:val="top"/>
          </w:tcPr>
          <w:p w14:paraId="7CFBFE34">
            <w:pPr>
              <w:keepNext w:val="0"/>
              <w:keepLines w:val="0"/>
              <w:pageBreakBefore w:val="0"/>
              <w:widowControl/>
              <w:kinsoku/>
              <w:wordWrap w:val="0"/>
              <w:overflowPunct/>
              <w:topLinePunct w:val="0"/>
              <w:autoSpaceDE/>
              <w:autoSpaceDN/>
              <w:bidi w:val="0"/>
              <w:spacing w:line="400" w:lineRule="exact"/>
              <w:ind w:firstLine="420" w:firstLineChars="200"/>
              <w:jc w:val="center"/>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评审因素</w:t>
            </w:r>
          </w:p>
        </w:tc>
      </w:tr>
      <w:tr w14:paraId="76BF4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7" w:type="dxa"/>
            <w:noWrap w:val="0"/>
            <w:vAlign w:val="center"/>
          </w:tcPr>
          <w:p w14:paraId="27226DB9">
            <w:pPr>
              <w:wordWrap w:val="0"/>
              <w:adjustRightInd w:val="0"/>
              <w:spacing w:line="400" w:lineRule="exact"/>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2.1</w:t>
            </w:r>
          </w:p>
        </w:tc>
        <w:tc>
          <w:tcPr>
            <w:tcW w:w="1377" w:type="dxa"/>
            <w:noWrap w:val="0"/>
            <w:vAlign w:val="center"/>
          </w:tcPr>
          <w:p w14:paraId="43E11CE0">
            <w:pPr>
              <w:adjustRightInd w:val="0"/>
              <w:snapToGrid w:val="0"/>
              <w:spacing w:line="360" w:lineRule="exact"/>
              <w:jc w:val="center"/>
              <w:textAlignment w:val="baseline"/>
              <w:rPr>
                <w:rFonts w:hint="eastAsia" w:ascii="宋体" w:hAnsi="宋体" w:eastAsia="宋体" w:cs="宋体"/>
                <w:color w:val="auto"/>
                <w:highlight w:val="none"/>
              </w:rPr>
            </w:pPr>
            <w:r>
              <w:rPr>
                <w:rFonts w:hint="eastAsia" w:ascii="宋体" w:hAnsi="宋体" w:eastAsia="宋体" w:cs="宋体"/>
                <w:color w:val="auto"/>
                <w:szCs w:val="21"/>
                <w:highlight w:val="none"/>
                <w:lang w:val="en-US" w:eastAsia="zh-CN"/>
              </w:rPr>
              <w:t>项目</w:t>
            </w:r>
            <w:r>
              <w:rPr>
                <w:rFonts w:hint="eastAsia" w:ascii="宋体" w:hAnsi="宋体" w:eastAsia="宋体" w:cs="宋体"/>
                <w:color w:val="auto"/>
                <w:szCs w:val="21"/>
                <w:highlight w:val="none"/>
                <w:lang w:val="zh-CN"/>
              </w:rPr>
              <w:t>实施方案</w:t>
            </w:r>
          </w:p>
        </w:tc>
        <w:tc>
          <w:tcPr>
            <w:tcW w:w="6155" w:type="dxa"/>
            <w:noWrap w:val="0"/>
            <w:vAlign w:val="center"/>
          </w:tcPr>
          <w:p w14:paraId="56D536D7">
            <w:pPr>
              <w:keepNext w:val="0"/>
              <w:keepLines w:val="0"/>
              <w:pageBreakBefore w:val="0"/>
              <w:kinsoku/>
              <w:wordWrap w:val="0"/>
              <w:overflowPunct/>
              <w:topLinePunct w:val="0"/>
              <w:autoSpaceDE/>
              <w:autoSpaceDN/>
              <w:bidi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一档（5分）：供应商提供的项目实施方案对项目的整体要求理解不够准确，方案可操作性不强；</w:t>
            </w:r>
          </w:p>
          <w:p w14:paraId="672C9C43">
            <w:pPr>
              <w:keepNext w:val="0"/>
              <w:keepLines w:val="0"/>
              <w:pageBreakBefore w:val="0"/>
              <w:kinsoku/>
              <w:wordWrap w:val="0"/>
              <w:overflowPunct/>
              <w:topLinePunct w:val="0"/>
              <w:autoSpaceDE/>
              <w:autoSpaceDN/>
              <w:bidi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二档（10分）：供应商提供的项目实施方案基本理解项目的整体要求，提供有作业流程和作业规范，基本合理，提供对项目的重点和难点理解基本准确，方案基本可行；</w:t>
            </w:r>
          </w:p>
          <w:p w14:paraId="3B544A4A">
            <w:pPr>
              <w:keepNext w:val="0"/>
              <w:keepLines w:val="0"/>
              <w:pageBreakBefore w:val="0"/>
              <w:kinsoku/>
              <w:wordWrap w:val="0"/>
              <w:overflowPunct/>
              <w:topLinePunct w:val="0"/>
              <w:autoSpaceDE/>
              <w:autoSpaceDN/>
              <w:bidi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三档（15分）：供应商提供的项目实施方案对项目的整体要求理解正确，提供合理的作业流程和作业规范，有具体技术路线措施，对项目的重点和难点、工作内容理解准确，对项目政策背景的理解正确全面；提供废旧设施后期处理方案，处理方式符合环保要求，整体方案具有可行性。</w:t>
            </w:r>
          </w:p>
          <w:p w14:paraId="23AF6BA6">
            <w:pPr>
              <w:autoSpaceDE w:val="0"/>
              <w:autoSpaceDN w:val="0"/>
              <w:spacing w:line="3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四档（20分）：供应商提供的项目实施方案对项目的整体要求理解正确，作业流程科学合理，能详细说明作业流程细节并符合作业规范，方案操作性强，技术路线科学合理，对项目的重点和难点、工作内容理解和掌握完全准确，并提供明确的技术路线、技术分析和具体措施，对项目政策背景的理解正确全面；提供详细的废旧设施后期处理方案，处理方式符合环保要求，提供可行的再利用的方案，能确保资源的有效利用；整体方案可行性强，完全满足项目的实际需求。</w:t>
            </w:r>
          </w:p>
          <w:p w14:paraId="02D5367B">
            <w:pPr>
              <w:spacing w:line="340" w:lineRule="exact"/>
              <w:jc w:val="left"/>
              <w:rPr>
                <w:rFonts w:hint="eastAsia" w:ascii="宋体" w:hAnsi="宋体" w:eastAsia="宋体" w:cs="宋体"/>
                <w:color w:val="auto"/>
                <w:kern w:val="2"/>
                <w:sz w:val="21"/>
                <w:highlight w:val="none"/>
              </w:rPr>
            </w:pPr>
            <w:r>
              <w:rPr>
                <w:rFonts w:hint="eastAsia" w:ascii="宋体" w:hAnsi="宋体" w:eastAsia="宋体" w:cs="宋体"/>
                <w:color w:val="auto"/>
                <w:highlight w:val="none"/>
              </w:rPr>
              <w:t>未提供不得分。</w:t>
            </w:r>
          </w:p>
        </w:tc>
        <w:tc>
          <w:tcPr>
            <w:tcW w:w="851" w:type="dxa"/>
            <w:noWrap w:val="0"/>
            <w:vAlign w:val="center"/>
          </w:tcPr>
          <w:p w14:paraId="0B47CDF4">
            <w:pPr>
              <w:wordWrap w:val="0"/>
              <w:spacing w:line="400" w:lineRule="exact"/>
              <w:jc w:val="center"/>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20分</w:t>
            </w:r>
          </w:p>
        </w:tc>
      </w:tr>
      <w:tr w14:paraId="24B7A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7" w:type="dxa"/>
            <w:noWrap w:val="0"/>
            <w:vAlign w:val="center"/>
          </w:tcPr>
          <w:p w14:paraId="2AC890B3">
            <w:pPr>
              <w:wordWrap w:val="0"/>
              <w:adjustRightInd w:val="0"/>
              <w:spacing w:line="400" w:lineRule="exact"/>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2.2</w:t>
            </w:r>
          </w:p>
        </w:tc>
        <w:tc>
          <w:tcPr>
            <w:tcW w:w="1377" w:type="dxa"/>
            <w:noWrap w:val="0"/>
            <w:vAlign w:val="center"/>
          </w:tcPr>
          <w:p w14:paraId="2DE5E5D4">
            <w:pPr>
              <w:adjustRightInd w:val="0"/>
              <w:snapToGrid w:val="0"/>
              <w:spacing w:line="360" w:lineRule="exact"/>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突发事件的应急处理方案</w:t>
            </w:r>
          </w:p>
        </w:tc>
        <w:tc>
          <w:tcPr>
            <w:tcW w:w="6155" w:type="dxa"/>
            <w:noWrap w:val="0"/>
            <w:vAlign w:val="center"/>
          </w:tcPr>
          <w:p w14:paraId="59594C31">
            <w:pPr>
              <w:autoSpaceDE w:val="0"/>
              <w:autoSpaceDN w:val="0"/>
              <w:spacing w:line="340" w:lineRule="exact"/>
              <w:jc w:val="left"/>
              <w:rPr>
                <w:rFonts w:hint="eastAsia" w:ascii="宋体" w:hAnsi="宋体" w:eastAsia="宋体" w:cs="宋体"/>
                <w:color w:val="auto"/>
                <w:highlight w:val="none"/>
              </w:rPr>
            </w:pPr>
          </w:p>
          <w:p w14:paraId="2E589375">
            <w:pPr>
              <w:autoSpaceDE w:val="0"/>
              <w:autoSpaceDN w:val="0"/>
              <w:spacing w:line="340" w:lineRule="exact"/>
              <w:jc w:val="left"/>
              <w:rPr>
                <w:rFonts w:hint="eastAsia" w:ascii="宋体" w:hAnsi="宋体" w:eastAsia="宋体" w:cs="宋体"/>
                <w:color w:val="auto"/>
                <w:highlight w:val="none"/>
              </w:rPr>
            </w:pPr>
            <w:r>
              <w:rPr>
                <w:rFonts w:hint="eastAsia" w:ascii="宋体" w:hAnsi="宋体" w:eastAsia="宋体" w:cs="宋体"/>
                <w:color w:val="auto"/>
                <w:highlight w:val="none"/>
              </w:rPr>
              <w:t>一档（</w:t>
            </w: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分）：突发事件的应急处理方案有简单的处理方案。</w:t>
            </w:r>
          </w:p>
          <w:p w14:paraId="1AF9A24A">
            <w:pPr>
              <w:autoSpaceDE w:val="0"/>
              <w:autoSpaceDN w:val="0"/>
              <w:spacing w:line="340" w:lineRule="exact"/>
              <w:jc w:val="left"/>
              <w:rPr>
                <w:rFonts w:hint="eastAsia" w:ascii="宋体" w:hAnsi="宋体" w:eastAsia="宋体" w:cs="宋体"/>
                <w:color w:val="auto"/>
                <w:highlight w:val="none"/>
              </w:rPr>
            </w:pPr>
            <w:r>
              <w:rPr>
                <w:rFonts w:hint="eastAsia" w:ascii="宋体" w:hAnsi="宋体" w:eastAsia="宋体" w:cs="宋体"/>
                <w:color w:val="auto"/>
                <w:highlight w:val="none"/>
              </w:rPr>
              <w:t>二档（</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0分）：突发事件的应急处理方案有具体的对突发性社会群体事件、负面舆论事件的处理方案，对应急预案的针对性、实用性和可操作性有分析。</w:t>
            </w:r>
          </w:p>
          <w:p w14:paraId="53B121B6">
            <w:pPr>
              <w:autoSpaceDE w:val="0"/>
              <w:autoSpaceDN w:val="0"/>
              <w:spacing w:line="340" w:lineRule="exact"/>
              <w:jc w:val="left"/>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三</w:t>
            </w:r>
            <w:r>
              <w:rPr>
                <w:rFonts w:hint="eastAsia" w:ascii="宋体" w:hAnsi="宋体" w:eastAsia="宋体" w:cs="宋体"/>
                <w:color w:val="auto"/>
                <w:highlight w:val="none"/>
              </w:rPr>
              <w:t>档（</w:t>
            </w:r>
            <w:r>
              <w:rPr>
                <w:rFonts w:hint="eastAsia" w:ascii="宋体" w:hAnsi="宋体" w:eastAsia="宋体" w:cs="宋体"/>
                <w:color w:val="auto"/>
                <w:highlight w:val="none"/>
                <w:lang w:val="en-US" w:eastAsia="zh-CN"/>
              </w:rPr>
              <w:t>15</w:t>
            </w:r>
            <w:r>
              <w:rPr>
                <w:rFonts w:hint="eastAsia" w:ascii="宋体" w:hAnsi="宋体" w:eastAsia="宋体" w:cs="宋体"/>
                <w:color w:val="auto"/>
                <w:highlight w:val="none"/>
              </w:rPr>
              <w:t>分）：突发事件的应急处理方案有详细具体的对突发性社会群体事件、负面舆论事件的处理方案，有社区利益方矛盾解决方案，应急预案具有针对性﹑实用性和可操作性有详细分析和预防。</w:t>
            </w:r>
          </w:p>
          <w:p w14:paraId="44E79D4B">
            <w:pPr>
              <w:autoSpaceDE w:val="0"/>
              <w:autoSpaceDN w:val="0"/>
              <w:spacing w:line="340" w:lineRule="exact"/>
              <w:jc w:val="left"/>
              <w:rPr>
                <w:rFonts w:hint="eastAsia" w:ascii="宋体" w:hAnsi="宋体" w:eastAsia="宋体" w:cs="宋体"/>
                <w:color w:val="auto"/>
                <w:szCs w:val="21"/>
                <w:highlight w:val="none"/>
              </w:rPr>
            </w:pPr>
            <w:r>
              <w:rPr>
                <w:rFonts w:hint="eastAsia" w:ascii="宋体" w:hAnsi="宋体" w:eastAsia="宋体" w:cs="宋体"/>
                <w:color w:val="auto"/>
                <w:highlight w:val="none"/>
              </w:rPr>
              <w:t>未提供不得分。</w:t>
            </w:r>
          </w:p>
        </w:tc>
        <w:tc>
          <w:tcPr>
            <w:tcW w:w="851" w:type="dxa"/>
            <w:noWrap w:val="0"/>
            <w:vAlign w:val="center"/>
          </w:tcPr>
          <w:p w14:paraId="75BB1FA9">
            <w:pPr>
              <w:wordWrap w:val="0"/>
              <w:spacing w:line="400" w:lineRule="exact"/>
              <w:jc w:val="center"/>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15分</w:t>
            </w:r>
          </w:p>
        </w:tc>
      </w:tr>
      <w:tr w14:paraId="0FEB5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7" w:type="dxa"/>
            <w:noWrap w:val="0"/>
            <w:vAlign w:val="center"/>
          </w:tcPr>
          <w:p w14:paraId="6870A287">
            <w:pPr>
              <w:wordWrap w:val="0"/>
              <w:adjustRightInd w:val="0"/>
              <w:spacing w:line="400" w:lineRule="exact"/>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2.3</w:t>
            </w:r>
          </w:p>
        </w:tc>
        <w:tc>
          <w:tcPr>
            <w:tcW w:w="1377" w:type="dxa"/>
            <w:noWrap w:val="0"/>
            <w:vAlign w:val="center"/>
          </w:tcPr>
          <w:p w14:paraId="1663AD6F">
            <w:pPr>
              <w:adjustRightInd w:val="0"/>
              <w:snapToGrid w:val="0"/>
              <w:spacing w:line="360" w:lineRule="exact"/>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lang w:val="en-US" w:eastAsia="zh-CN"/>
              </w:rPr>
              <w:t>服务响应</w:t>
            </w:r>
            <w:r>
              <w:rPr>
                <w:rFonts w:hint="eastAsia" w:ascii="宋体" w:hAnsi="宋体" w:eastAsia="宋体" w:cs="宋体"/>
                <w:color w:val="auto"/>
                <w:szCs w:val="21"/>
                <w:highlight w:val="none"/>
              </w:rPr>
              <w:t>方案</w:t>
            </w:r>
          </w:p>
        </w:tc>
        <w:tc>
          <w:tcPr>
            <w:tcW w:w="6155" w:type="dxa"/>
            <w:noWrap w:val="0"/>
            <w:vAlign w:val="center"/>
          </w:tcPr>
          <w:p w14:paraId="44AE9129">
            <w:pPr>
              <w:keepNext w:val="0"/>
              <w:keepLines w:val="0"/>
              <w:pageBreakBefore w:val="0"/>
              <w:kinsoku/>
              <w:wordWrap w:val="0"/>
              <w:overflowPunct/>
              <w:topLinePunct w:val="0"/>
              <w:autoSpaceDE/>
              <w:autoSpaceDN/>
              <w:bidi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一档（5分）：服务承诺基本满足采购文件要求，响应程度满足项目要求。</w:t>
            </w:r>
          </w:p>
          <w:p w14:paraId="5A458F8F">
            <w:pPr>
              <w:keepNext w:val="0"/>
              <w:keepLines w:val="0"/>
              <w:pageBreakBefore w:val="0"/>
              <w:kinsoku/>
              <w:wordWrap w:val="0"/>
              <w:overflowPunct/>
              <w:topLinePunct w:val="0"/>
              <w:autoSpaceDE/>
              <w:autoSpaceDN/>
              <w:bidi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档（10分）：服务承诺满足采购文件要求，内容基本完整、可行，响应程度满足项目要求，按采购文件要求对采购人进行服务，服务期内出现任何项目问题，供应商承诺在15分钟内电话响应，3小时内到达指定地点协助采购人处理并解决问题；提供的项目移交方案内容不够具体。</w:t>
            </w:r>
          </w:p>
          <w:p w14:paraId="3987AD40">
            <w:pPr>
              <w:spacing w:line="34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szCs w:val="21"/>
                <w:highlight w:val="none"/>
              </w:rPr>
              <w:t>三档（15分）：服务承诺优于采购文件要求，内容完整、齐全、可行，响应程度高，按采购文件要求对采购人进行服务，服务期内出现任何项目问题，供应商承诺在5分钟内电话响应，2小时内到达指定地点协助采购人处理并解决问题；提供有详细的项目移交方案（至少包括管理资料移交和工作移交等），且提供有成果文件移交的后续服务承诺，后续服务承诺内容具体，有利于采购人对项目的整体管控。</w:t>
            </w:r>
          </w:p>
        </w:tc>
        <w:tc>
          <w:tcPr>
            <w:tcW w:w="851" w:type="dxa"/>
            <w:noWrap w:val="0"/>
            <w:vAlign w:val="center"/>
          </w:tcPr>
          <w:p w14:paraId="77800E54">
            <w:pPr>
              <w:wordWrap w:val="0"/>
              <w:spacing w:line="400" w:lineRule="exact"/>
              <w:jc w:val="center"/>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15分</w:t>
            </w:r>
          </w:p>
        </w:tc>
      </w:tr>
      <w:tr w14:paraId="121DD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7" w:type="dxa"/>
            <w:noWrap w:val="0"/>
            <w:vAlign w:val="center"/>
          </w:tcPr>
          <w:p w14:paraId="11EC2547">
            <w:pPr>
              <w:wordWrap w:val="0"/>
              <w:adjustRightInd w:val="0"/>
              <w:spacing w:line="400" w:lineRule="exact"/>
              <w:jc w:val="center"/>
              <w:textAlignment w:val="baseline"/>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2.4</w:t>
            </w:r>
          </w:p>
        </w:tc>
        <w:tc>
          <w:tcPr>
            <w:tcW w:w="1377" w:type="dxa"/>
            <w:noWrap w:val="0"/>
            <w:vAlign w:val="center"/>
          </w:tcPr>
          <w:p w14:paraId="12F2C307">
            <w:pPr>
              <w:adjustRightInd w:val="0"/>
              <w:snapToGrid w:val="0"/>
              <w:spacing w:line="360" w:lineRule="exact"/>
              <w:jc w:val="center"/>
              <w:textAlignment w:val="baseline"/>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拟投入人员管理方案</w:t>
            </w:r>
          </w:p>
        </w:tc>
        <w:tc>
          <w:tcPr>
            <w:tcW w:w="6155" w:type="dxa"/>
            <w:noWrap w:val="0"/>
            <w:vAlign w:val="center"/>
          </w:tcPr>
          <w:p w14:paraId="0AB2ECD8">
            <w:pPr>
              <w:keepNext w:val="0"/>
              <w:keepLines w:val="0"/>
              <w:pageBreakBefore w:val="0"/>
              <w:kinsoku/>
              <w:wordWrap w:val="0"/>
              <w:overflowPunct/>
              <w:topLinePunct w:val="0"/>
              <w:autoSpaceDE/>
              <w:autoSpaceDN/>
              <w:bidi w:val="0"/>
              <w:spacing w:line="4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一档（4分）：提供的人员管理方案内容不全面，包含有服务人员工作安排计划，对人员岗位设置制定有相应的岗位职责及分工说明。</w:t>
            </w:r>
          </w:p>
          <w:p w14:paraId="7DA45B49">
            <w:pPr>
              <w:keepNext w:val="0"/>
              <w:keepLines w:val="0"/>
              <w:pageBreakBefore w:val="0"/>
              <w:kinsoku/>
              <w:wordWrap w:val="0"/>
              <w:overflowPunct/>
              <w:topLinePunct w:val="0"/>
              <w:autoSpaceDE/>
              <w:autoSpaceDN/>
              <w:bidi w:val="0"/>
              <w:spacing w:line="4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二档（8分）：提供的人员管理方案内容完善，包含有服务人员工作安排计划，对人员岗位设置制定有相应的岗位职责及分工说明并具有人员管理制度。</w:t>
            </w:r>
          </w:p>
          <w:p w14:paraId="6AD80BF3">
            <w:pPr>
              <w:spacing w:line="34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szCs w:val="21"/>
                <w:highlight w:val="none"/>
              </w:rPr>
              <w:t>三档（12分）：提供的人员管理方案内容完善、合理，对服务人员的数量，专业及工作安排计划有详细说明。并对人员岗位设置制定有相应的岗位职责、岗位分工说明；针对本项目制定合理的拟投入人员的管理制度、考核管理及人员管理办法。</w:t>
            </w:r>
          </w:p>
        </w:tc>
        <w:tc>
          <w:tcPr>
            <w:tcW w:w="851" w:type="dxa"/>
            <w:noWrap w:val="0"/>
            <w:vAlign w:val="center"/>
          </w:tcPr>
          <w:p w14:paraId="12CDDE76">
            <w:pPr>
              <w:wordWrap w:val="0"/>
              <w:spacing w:line="400" w:lineRule="exact"/>
              <w:jc w:val="center"/>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12分</w:t>
            </w:r>
          </w:p>
        </w:tc>
      </w:tr>
      <w:tr w14:paraId="7EDB2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7" w:type="dxa"/>
            <w:noWrap w:val="0"/>
            <w:vAlign w:val="center"/>
          </w:tcPr>
          <w:p w14:paraId="58547EC0">
            <w:pPr>
              <w:widowControl/>
              <w:wordWrap w:val="0"/>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w:t>
            </w:r>
          </w:p>
        </w:tc>
        <w:tc>
          <w:tcPr>
            <w:tcW w:w="1377" w:type="dxa"/>
            <w:noWrap w:val="0"/>
            <w:vAlign w:val="center"/>
          </w:tcPr>
          <w:p w14:paraId="193CC54C">
            <w:pPr>
              <w:widowControl/>
              <w:wordWrap w:val="0"/>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商务分</w:t>
            </w:r>
          </w:p>
        </w:tc>
        <w:tc>
          <w:tcPr>
            <w:tcW w:w="7006" w:type="dxa"/>
            <w:gridSpan w:val="2"/>
            <w:noWrap w:val="0"/>
            <w:vAlign w:val="center"/>
          </w:tcPr>
          <w:p w14:paraId="4B0E0940">
            <w:pPr>
              <w:keepNext w:val="0"/>
              <w:keepLines w:val="0"/>
              <w:pageBreakBefore w:val="0"/>
              <w:widowControl/>
              <w:kinsoku/>
              <w:wordWrap w:val="0"/>
              <w:overflowPunct/>
              <w:topLinePunct w:val="0"/>
              <w:autoSpaceDE/>
              <w:autoSpaceDN/>
              <w:bidi w:val="0"/>
              <w:spacing w:line="400" w:lineRule="exact"/>
              <w:ind w:firstLine="420" w:firstLineChars="200"/>
              <w:jc w:val="center"/>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评审因素</w:t>
            </w:r>
          </w:p>
        </w:tc>
      </w:tr>
      <w:tr w14:paraId="0AE29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7" w:type="dxa"/>
            <w:noWrap w:val="0"/>
            <w:vAlign w:val="center"/>
          </w:tcPr>
          <w:p w14:paraId="26A03A82">
            <w:pPr>
              <w:wordWrap w:val="0"/>
              <w:spacing w:line="400" w:lineRule="exact"/>
              <w:jc w:val="center"/>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3.1</w:t>
            </w:r>
          </w:p>
        </w:tc>
        <w:tc>
          <w:tcPr>
            <w:tcW w:w="1377" w:type="dxa"/>
            <w:noWrap w:val="0"/>
            <w:vAlign w:val="center"/>
          </w:tcPr>
          <w:p w14:paraId="75A10934">
            <w:pPr>
              <w:snapToGrid w:val="0"/>
              <w:spacing w:line="400" w:lineRule="atLeast"/>
              <w:jc w:val="center"/>
              <w:rPr>
                <w:rFonts w:hint="eastAsia" w:ascii="宋体" w:hAnsi="宋体" w:eastAsia="宋体" w:cs="宋体"/>
                <w:color w:val="auto"/>
                <w:szCs w:val="21"/>
                <w:highlight w:val="none"/>
              </w:rPr>
            </w:pPr>
            <w:r>
              <w:rPr>
                <w:rFonts w:hint="eastAsia" w:ascii="宋体" w:hAnsi="宋体" w:eastAsia="宋体" w:cs="宋体"/>
                <w:color w:val="auto"/>
                <w:highlight w:val="none"/>
              </w:rPr>
              <w:t>拟投入专业设备</w:t>
            </w:r>
          </w:p>
        </w:tc>
        <w:tc>
          <w:tcPr>
            <w:tcW w:w="6155" w:type="dxa"/>
            <w:noWrap w:val="0"/>
            <w:vAlign w:val="top"/>
          </w:tcPr>
          <w:p w14:paraId="0565B3E8">
            <w:pPr>
              <w:keepNext w:val="0"/>
              <w:keepLines w:val="0"/>
              <w:pageBreakBefore w:val="0"/>
              <w:kinsoku/>
              <w:wordWrap w:val="0"/>
              <w:overflowPunct/>
              <w:topLinePunct w:val="0"/>
              <w:autoSpaceDE/>
              <w:autoSpaceDN/>
              <w:bidi w:val="0"/>
              <w:spacing w:line="400" w:lineRule="exact"/>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每多投入</w:t>
            </w:r>
            <w:r>
              <w:rPr>
                <w:rFonts w:hint="eastAsia" w:ascii="宋体" w:hAnsi="宋体" w:eastAsia="宋体" w:cs="宋体"/>
                <w:color w:val="auto"/>
                <w:highlight w:val="none"/>
                <w:lang w:val="en-US" w:eastAsia="zh-CN"/>
              </w:rPr>
              <w:t>专业作业</w:t>
            </w:r>
            <w:r>
              <w:rPr>
                <w:rFonts w:hint="eastAsia" w:ascii="宋体" w:hAnsi="宋体" w:eastAsia="宋体" w:cs="宋体"/>
                <w:color w:val="auto"/>
                <w:highlight w:val="none"/>
              </w:rPr>
              <w:t>船艇1艘加</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分，</w:t>
            </w:r>
            <w:r>
              <w:rPr>
                <w:rFonts w:hint="eastAsia" w:ascii="宋体" w:hAnsi="宋体" w:eastAsia="宋体" w:cs="宋体"/>
                <w:color w:val="auto"/>
                <w:highlight w:val="none"/>
                <w:lang w:val="en-US" w:eastAsia="zh-CN"/>
              </w:rPr>
              <w:t>专业作业</w:t>
            </w:r>
            <w:r>
              <w:rPr>
                <w:rFonts w:hint="eastAsia" w:ascii="宋体" w:hAnsi="宋体" w:eastAsia="宋体" w:cs="宋体"/>
                <w:color w:val="auto"/>
                <w:highlight w:val="none"/>
              </w:rPr>
              <w:t>车辆一辆加</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分。同一类设备最高加到</w:t>
            </w: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rPr>
              <w:t>分。</w:t>
            </w:r>
            <w:r>
              <w:rPr>
                <w:rFonts w:hint="eastAsia" w:ascii="宋体" w:hAnsi="宋体" w:eastAsia="宋体" w:cs="宋体"/>
                <w:color w:val="auto"/>
                <w:highlight w:val="none"/>
                <w:lang w:val="en-US" w:eastAsia="zh-CN"/>
              </w:rPr>
              <w:t>本项满分8分。（提供作业</w:t>
            </w:r>
            <w:r>
              <w:rPr>
                <w:rFonts w:hint="eastAsia" w:ascii="宋体" w:hAnsi="宋体" w:eastAsia="宋体" w:cs="宋体"/>
                <w:color w:val="auto"/>
                <w:highlight w:val="none"/>
              </w:rPr>
              <w:t>船艇</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车辆</w:t>
            </w:r>
            <w:r>
              <w:rPr>
                <w:rFonts w:hint="eastAsia" w:ascii="宋体" w:hAnsi="宋体" w:eastAsia="宋体" w:cs="宋体"/>
                <w:color w:val="auto"/>
                <w:highlight w:val="none"/>
                <w:lang w:val="en-US" w:eastAsia="zh-CN"/>
              </w:rPr>
              <w:t>购买发票或租赁合同复印件，未提供的不得分）</w:t>
            </w:r>
          </w:p>
        </w:tc>
        <w:tc>
          <w:tcPr>
            <w:tcW w:w="851" w:type="dxa"/>
            <w:noWrap w:val="0"/>
            <w:vAlign w:val="center"/>
          </w:tcPr>
          <w:p w14:paraId="6C4FD043">
            <w:pPr>
              <w:widowControl/>
              <w:wordWrap w:val="0"/>
              <w:spacing w:line="400" w:lineRule="exact"/>
              <w:jc w:val="center"/>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8分</w:t>
            </w:r>
          </w:p>
        </w:tc>
      </w:tr>
      <w:tr w14:paraId="6DABD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7" w:type="dxa"/>
            <w:noWrap w:val="0"/>
            <w:vAlign w:val="center"/>
          </w:tcPr>
          <w:p w14:paraId="0E52A2E1">
            <w:pPr>
              <w:wordWrap w:val="0"/>
              <w:spacing w:line="400" w:lineRule="exact"/>
              <w:jc w:val="center"/>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3.2</w:t>
            </w:r>
          </w:p>
        </w:tc>
        <w:tc>
          <w:tcPr>
            <w:tcW w:w="1377" w:type="dxa"/>
            <w:noWrap w:val="0"/>
            <w:vAlign w:val="center"/>
          </w:tcPr>
          <w:p w14:paraId="6DC7B97D">
            <w:pPr>
              <w:widowControl/>
              <w:wordWrap w:val="0"/>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业绩分</w:t>
            </w:r>
          </w:p>
        </w:tc>
        <w:tc>
          <w:tcPr>
            <w:tcW w:w="6155" w:type="dxa"/>
            <w:noWrap w:val="0"/>
            <w:vAlign w:val="top"/>
          </w:tcPr>
          <w:p w14:paraId="49366BC1">
            <w:pPr>
              <w:keepNext w:val="0"/>
              <w:keepLines w:val="0"/>
              <w:pageBreakBefore w:val="0"/>
              <w:kinsoku/>
              <w:wordWrap w:val="0"/>
              <w:overflowPunct/>
              <w:topLinePunct w:val="0"/>
              <w:autoSpaceDE/>
              <w:autoSpaceDN/>
              <w:bidi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供应商自202</w:t>
            </w:r>
            <w:r>
              <w:rPr>
                <w:rFonts w:hint="eastAsia" w:ascii="宋体" w:hAnsi="宋体" w:eastAsia="宋体" w:cs="宋体"/>
                <w:color w:val="auto"/>
                <w:highlight w:val="none"/>
                <w:lang w:val="en-US" w:eastAsia="zh-CN"/>
              </w:rPr>
              <w:t>3</w:t>
            </w:r>
            <w:r>
              <w:rPr>
                <w:rFonts w:hint="eastAsia" w:ascii="宋体" w:hAnsi="宋体" w:eastAsia="宋体" w:cs="宋体"/>
                <w:color w:val="auto"/>
                <w:szCs w:val="21"/>
                <w:highlight w:val="none"/>
              </w:rPr>
              <w:t>年1月1日以来，承接过类似项目每个得2.5分，满分</w:t>
            </w:r>
            <w:r>
              <w:rPr>
                <w:rFonts w:hint="eastAsia" w:ascii="宋体" w:hAnsi="宋体" w:eastAsia="宋体" w:cs="宋体"/>
                <w:color w:val="auto"/>
                <w:szCs w:val="21"/>
                <w:highlight w:val="none"/>
                <w:lang w:val="en-US" w:eastAsia="zh-CN"/>
              </w:rPr>
              <w:t>10</w:t>
            </w:r>
            <w:r>
              <w:rPr>
                <w:rFonts w:hint="eastAsia" w:ascii="宋体" w:hAnsi="宋体" w:eastAsia="宋体" w:cs="宋体"/>
                <w:color w:val="auto"/>
                <w:szCs w:val="21"/>
                <w:highlight w:val="none"/>
              </w:rPr>
              <w:t>分。需提供合同或中标通知书复印件加盖供应</w:t>
            </w:r>
            <w:r>
              <w:rPr>
                <w:rFonts w:hint="eastAsia" w:ascii="宋体" w:hAnsi="宋体" w:eastAsia="宋体" w:cs="宋体"/>
                <w:color w:val="auto"/>
                <w:szCs w:val="21"/>
                <w:highlight w:val="none"/>
              </w:rPr>
              <w:t>商公章。</w:t>
            </w:r>
          </w:p>
        </w:tc>
        <w:tc>
          <w:tcPr>
            <w:tcW w:w="851" w:type="dxa"/>
            <w:noWrap w:val="0"/>
            <w:vAlign w:val="center"/>
          </w:tcPr>
          <w:p w14:paraId="77E1282F">
            <w:pPr>
              <w:widowControl/>
              <w:wordWrap w:val="0"/>
              <w:spacing w:line="400" w:lineRule="exact"/>
              <w:jc w:val="center"/>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10分</w:t>
            </w:r>
          </w:p>
        </w:tc>
      </w:tr>
      <w:tr w14:paraId="1B6F9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090" w:type="dxa"/>
            <w:gridSpan w:val="4"/>
            <w:noWrap w:val="0"/>
            <w:vAlign w:val="center"/>
          </w:tcPr>
          <w:p w14:paraId="2C5A219A">
            <w:pPr>
              <w:widowControl/>
              <w:wordWrap w:val="0"/>
              <w:spacing w:line="400" w:lineRule="exact"/>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szCs w:val="21"/>
                <w:highlight w:val="none"/>
              </w:rPr>
              <w:t>总得分为以上各项评审因素得分合计</w:t>
            </w:r>
          </w:p>
        </w:tc>
      </w:tr>
    </w:tbl>
    <w:p w14:paraId="0646733D">
      <w:pPr>
        <w:pStyle w:val="6"/>
        <w:rPr>
          <w:rFonts w:hint="eastAsia" w:ascii="宋体" w:hAnsi="宋体" w:eastAsia="宋体" w:cs="宋体"/>
          <w:color w:val="auto"/>
          <w:sz w:val="24"/>
          <w:szCs w:val="24"/>
          <w:highlight w:val="none"/>
          <w:lang w:val="en-US" w:eastAsia="zh-CN"/>
        </w:rPr>
      </w:pPr>
    </w:p>
    <w:p w14:paraId="0115D77E">
      <w:pPr>
        <w:rPr>
          <w:rFonts w:hint="eastAsia" w:ascii="宋体" w:hAnsi="宋体" w:eastAsia="宋体" w:cs="宋体"/>
          <w:color w:val="auto"/>
          <w:sz w:val="24"/>
          <w:szCs w:val="24"/>
          <w:highlight w:val="none"/>
          <w:lang w:val="en-US" w:eastAsia="zh-CN"/>
        </w:rPr>
      </w:pPr>
    </w:p>
    <w:p w14:paraId="664D23E2">
      <w:pPr>
        <w:pStyle w:val="38"/>
        <w:rPr>
          <w:rFonts w:hint="eastAsia" w:ascii="宋体" w:hAnsi="宋体" w:eastAsia="宋体" w:cs="宋体"/>
          <w:color w:val="auto"/>
          <w:sz w:val="24"/>
          <w:szCs w:val="24"/>
          <w:highlight w:val="none"/>
          <w:lang w:val="en-US" w:eastAsia="zh-CN"/>
        </w:rPr>
      </w:pPr>
    </w:p>
    <w:p w14:paraId="4DAFEDCD">
      <w:pPr>
        <w:pStyle w:val="38"/>
        <w:rPr>
          <w:rFonts w:hint="eastAsia" w:ascii="宋体" w:hAnsi="宋体" w:eastAsia="宋体" w:cs="宋体"/>
          <w:color w:val="auto"/>
          <w:sz w:val="24"/>
          <w:szCs w:val="24"/>
          <w:highlight w:val="none"/>
          <w:lang w:val="en-US" w:eastAsia="zh-CN"/>
        </w:rPr>
      </w:pPr>
    </w:p>
    <w:p w14:paraId="5780F7B8">
      <w:pPr>
        <w:pStyle w:val="38"/>
        <w:rPr>
          <w:rFonts w:hint="eastAsia" w:ascii="宋体" w:hAnsi="宋体" w:eastAsia="宋体" w:cs="宋体"/>
          <w:color w:val="auto"/>
          <w:sz w:val="24"/>
          <w:szCs w:val="24"/>
          <w:highlight w:val="none"/>
          <w:lang w:val="en-US" w:eastAsia="zh-CN"/>
        </w:rPr>
      </w:pPr>
    </w:p>
    <w:p w14:paraId="5429EEAD">
      <w:pPr>
        <w:pStyle w:val="38"/>
        <w:rPr>
          <w:rFonts w:hint="eastAsia" w:ascii="宋体" w:hAnsi="宋体" w:eastAsia="宋体" w:cs="宋体"/>
          <w:color w:val="auto"/>
          <w:sz w:val="24"/>
          <w:szCs w:val="24"/>
          <w:highlight w:val="none"/>
          <w:lang w:val="en-US" w:eastAsia="zh-CN"/>
        </w:rPr>
      </w:pPr>
    </w:p>
    <w:p w14:paraId="05926E42">
      <w:pPr>
        <w:pStyle w:val="38"/>
        <w:rPr>
          <w:rFonts w:hint="eastAsia" w:ascii="宋体" w:hAnsi="宋体" w:eastAsia="宋体" w:cs="宋体"/>
          <w:color w:val="auto"/>
          <w:sz w:val="24"/>
          <w:szCs w:val="24"/>
          <w:highlight w:val="none"/>
          <w:lang w:val="en-US" w:eastAsia="zh-CN"/>
        </w:rPr>
      </w:pPr>
    </w:p>
    <w:p w14:paraId="4E98B75E">
      <w:pPr>
        <w:pStyle w:val="38"/>
        <w:rPr>
          <w:rFonts w:hint="eastAsia" w:ascii="宋体" w:hAnsi="宋体" w:eastAsia="宋体" w:cs="宋体"/>
          <w:color w:val="auto"/>
          <w:sz w:val="24"/>
          <w:szCs w:val="24"/>
          <w:highlight w:val="none"/>
          <w:lang w:val="en-US" w:eastAsia="zh-CN"/>
        </w:rPr>
      </w:pPr>
    </w:p>
    <w:p w14:paraId="4D5B2DE8">
      <w:pPr>
        <w:pStyle w:val="38"/>
        <w:rPr>
          <w:rFonts w:hint="eastAsia" w:ascii="宋体" w:hAnsi="宋体" w:eastAsia="宋体" w:cs="宋体"/>
          <w:color w:val="auto"/>
          <w:sz w:val="24"/>
          <w:szCs w:val="24"/>
          <w:highlight w:val="none"/>
          <w:lang w:val="en-US" w:eastAsia="zh-CN"/>
        </w:rPr>
      </w:pPr>
    </w:p>
    <w:p w14:paraId="00DE9BAD">
      <w:pPr>
        <w:pStyle w:val="38"/>
        <w:rPr>
          <w:rFonts w:hint="eastAsia" w:ascii="宋体" w:hAnsi="宋体" w:eastAsia="宋体" w:cs="宋体"/>
          <w:color w:val="auto"/>
          <w:sz w:val="24"/>
          <w:szCs w:val="24"/>
          <w:highlight w:val="none"/>
          <w:lang w:val="en-US" w:eastAsia="zh-CN"/>
        </w:rPr>
      </w:pPr>
    </w:p>
    <w:p w14:paraId="3D1F9704">
      <w:pPr>
        <w:pStyle w:val="38"/>
        <w:rPr>
          <w:rFonts w:hint="eastAsia" w:ascii="宋体" w:hAnsi="宋体" w:eastAsia="宋体" w:cs="宋体"/>
          <w:color w:val="auto"/>
          <w:sz w:val="24"/>
          <w:szCs w:val="24"/>
          <w:highlight w:val="none"/>
          <w:lang w:val="en-US" w:eastAsia="zh-CN"/>
        </w:rPr>
      </w:pPr>
    </w:p>
    <w:p w14:paraId="75EF175C">
      <w:pPr>
        <w:pStyle w:val="38"/>
        <w:rPr>
          <w:rFonts w:hint="eastAsia" w:ascii="宋体" w:hAnsi="宋体" w:eastAsia="宋体" w:cs="宋体"/>
          <w:color w:val="auto"/>
          <w:sz w:val="24"/>
          <w:szCs w:val="24"/>
          <w:highlight w:val="none"/>
          <w:lang w:val="en-US" w:eastAsia="zh-CN"/>
        </w:rPr>
      </w:pPr>
    </w:p>
    <w:p w14:paraId="4EEE9857">
      <w:pPr>
        <w:pStyle w:val="38"/>
        <w:rPr>
          <w:rFonts w:hint="eastAsia" w:ascii="宋体" w:hAnsi="宋体" w:eastAsia="宋体" w:cs="宋体"/>
          <w:color w:val="auto"/>
          <w:sz w:val="24"/>
          <w:szCs w:val="24"/>
          <w:highlight w:val="none"/>
          <w:lang w:val="en-US" w:eastAsia="zh-CN"/>
        </w:rPr>
      </w:pPr>
    </w:p>
    <w:p w14:paraId="1D98C158">
      <w:pPr>
        <w:pStyle w:val="38"/>
        <w:rPr>
          <w:rFonts w:hint="eastAsia" w:ascii="宋体" w:hAnsi="宋体" w:eastAsia="宋体" w:cs="宋体"/>
          <w:color w:val="auto"/>
          <w:sz w:val="24"/>
          <w:szCs w:val="24"/>
          <w:highlight w:val="none"/>
          <w:lang w:val="en-US" w:eastAsia="zh-CN"/>
        </w:rPr>
      </w:pPr>
    </w:p>
    <w:p w14:paraId="2CC3DCD2">
      <w:pPr>
        <w:pStyle w:val="38"/>
        <w:rPr>
          <w:rFonts w:hint="eastAsia" w:ascii="宋体" w:hAnsi="宋体" w:eastAsia="宋体" w:cs="宋体"/>
          <w:color w:val="auto"/>
          <w:sz w:val="24"/>
          <w:szCs w:val="24"/>
          <w:highlight w:val="none"/>
          <w:lang w:val="en-US" w:eastAsia="zh-CN"/>
        </w:rPr>
      </w:pPr>
    </w:p>
    <w:p w14:paraId="70793A7C">
      <w:pPr>
        <w:pStyle w:val="38"/>
        <w:rPr>
          <w:rFonts w:hint="eastAsia" w:ascii="宋体" w:hAnsi="宋体" w:eastAsia="宋体" w:cs="宋体"/>
          <w:color w:val="auto"/>
          <w:sz w:val="24"/>
          <w:szCs w:val="24"/>
          <w:highlight w:val="none"/>
          <w:lang w:val="en-US" w:eastAsia="zh-CN"/>
        </w:rPr>
      </w:pPr>
    </w:p>
    <w:p w14:paraId="7EFD544E">
      <w:pPr>
        <w:pStyle w:val="38"/>
        <w:rPr>
          <w:rFonts w:hint="eastAsia" w:ascii="宋体" w:hAnsi="宋体" w:eastAsia="宋体" w:cs="宋体"/>
          <w:color w:val="auto"/>
          <w:sz w:val="24"/>
          <w:szCs w:val="24"/>
          <w:highlight w:val="none"/>
          <w:lang w:val="en-US" w:eastAsia="zh-CN"/>
        </w:rPr>
      </w:pPr>
    </w:p>
    <w:p w14:paraId="269FC418">
      <w:pPr>
        <w:pStyle w:val="38"/>
        <w:rPr>
          <w:rFonts w:hint="eastAsia" w:ascii="宋体" w:hAnsi="宋体" w:eastAsia="宋体" w:cs="宋体"/>
          <w:color w:val="auto"/>
          <w:sz w:val="24"/>
          <w:szCs w:val="24"/>
          <w:highlight w:val="none"/>
          <w:lang w:val="en-US" w:eastAsia="zh-CN"/>
        </w:rPr>
      </w:pPr>
    </w:p>
    <w:p w14:paraId="3939C5FA">
      <w:pPr>
        <w:pStyle w:val="38"/>
        <w:rPr>
          <w:rFonts w:hint="eastAsia" w:ascii="宋体" w:hAnsi="宋体" w:eastAsia="宋体" w:cs="宋体"/>
          <w:color w:val="auto"/>
          <w:sz w:val="24"/>
          <w:szCs w:val="24"/>
          <w:highlight w:val="none"/>
          <w:lang w:val="en-US" w:eastAsia="zh-CN"/>
        </w:rPr>
      </w:pPr>
    </w:p>
    <w:p w14:paraId="0F591648">
      <w:pPr>
        <w:pStyle w:val="38"/>
        <w:rPr>
          <w:rFonts w:hint="eastAsia" w:ascii="宋体" w:hAnsi="宋体" w:eastAsia="宋体" w:cs="宋体"/>
          <w:color w:val="auto"/>
          <w:sz w:val="24"/>
          <w:szCs w:val="24"/>
          <w:highlight w:val="none"/>
          <w:lang w:val="en-US" w:eastAsia="zh-CN"/>
        </w:rPr>
      </w:pPr>
    </w:p>
    <w:p w14:paraId="1B93E175">
      <w:pPr>
        <w:pStyle w:val="38"/>
        <w:rPr>
          <w:rFonts w:hint="eastAsia" w:ascii="宋体" w:hAnsi="宋体" w:eastAsia="宋体" w:cs="宋体"/>
          <w:color w:val="auto"/>
          <w:sz w:val="24"/>
          <w:szCs w:val="24"/>
          <w:highlight w:val="none"/>
          <w:lang w:val="en-US" w:eastAsia="zh-CN"/>
        </w:rPr>
      </w:pPr>
    </w:p>
    <w:p w14:paraId="37CE1DF1">
      <w:pPr>
        <w:pStyle w:val="38"/>
        <w:rPr>
          <w:rFonts w:hint="eastAsia" w:ascii="宋体" w:hAnsi="宋体" w:eastAsia="宋体" w:cs="宋体"/>
          <w:color w:val="auto"/>
          <w:sz w:val="24"/>
          <w:szCs w:val="24"/>
          <w:highlight w:val="none"/>
          <w:lang w:val="en-US" w:eastAsia="zh-CN"/>
        </w:rPr>
      </w:pPr>
    </w:p>
    <w:p w14:paraId="22C1C674">
      <w:pPr>
        <w:pStyle w:val="38"/>
        <w:rPr>
          <w:rFonts w:hint="eastAsia" w:ascii="宋体" w:hAnsi="宋体" w:eastAsia="宋体" w:cs="宋体"/>
          <w:color w:val="auto"/>
          <w:sz w:val="24"/>
          <w:szCs w:val="24"/>
          <w:highlight w:val="none"/>
          <w:lang w:val="en-US" w:eastAsia="zh-CN"/>
        </w:rPr>
      </w:pPr>
    </w:p>
    <w:p w14:paraId="012EE4F0">
      <w:pPr>
        <w:rPr>
          <w:rFonts w:hint="eastAsia" w:ascii="宋体" w:hAnsi="宋体" w:eastAsia="宋体" w:cs="宋体"/>
          <w:color w:val="auto"/>
          <w:sz w:val="24"/>
          <w:szCs w:val="24"/>
          <w:highlight w:val="none"/>
          <w:lang w:val="en-US" w:eastAsia="zh-CN"/>
        </w:rPr>
      </w:pPr>
    </w:p>
    <w:p w14:paraId="21B8AFCC">
      <w:pPr>
        <w:pStyle w:val="38"/>
        <w:rPr>
          <w:rFonts w:hint="eastAsia" w:ascii="宋体" w:hAnsi="宋体" w:eastAsia="宋体" w:cs="宋体"/>
          <w:color w:val="auto"/>
          <w:sz w:val="24"/>
          <w:szCs w:val="24"/>
          <w:highlight w:val="none"/>
          <w:lang w:val="en-US" w:eastAsia="zh-CN"/>
        </w:rPr>
      </w:pPr>
    </w:p>
    <w:p w14:paraId="13653509">
      <w:pPr>
        <w:rPr>
          <w:rFonts w:hint="eastAsia" w:ascii="宋体" w:hAnsi="宋体" w:eastAsia="宋体" w:cs="宋体"/>
          <w:color w:val="auto"/>
          <w:sz w:val="24"/>
          <w:szCs w:val="24"/>
          <w:highlight w:val="none"/>
          <w:lang w:val="en-US" w:eastAsia="zh-CN"/>
        </w:rPr>
      </w:pPr>
    </w:p>
    <w:p w14:paraId="62172B8E">
      <w:pPr>
        <w:rPr>
          <w:rFonts w:hint="eastAsia" w:ascii="宋体" w:hAnsi="宋体" w:eastAsia="宋体" w:cs="宋体"/>
          <w:color w:val="auto"/>
          <w:sz w:val="24"/>
          <w:szCs w:val="24"/>
          <w:highlight w:val="none"/>
          <w:lang w:val="en-US" w:eastAsia="zh-CN"/>
        </w:rPr>
      </w:pPr>
    </w:p>
    <w:p w14:paraId="2A30D0AC">
      <w:pPr>
        <w:rPr>
          <w:rFonts w:hint="eastAsia" w:ascii="宋体" w:hAnsi="宋体" w:eastAsia="宋体" w:cs="宋体"/>
          <w:color w:val="auto"/>
          <w:sz w:val="24"/>
          <w:szCs w:val="24"/>
          <w:highlight w:val="none"/>
          <w:lang w:val="en-US" w:eastAsia="zh-CN"/>
        </w:rPr>
      </w:pPr>
    </w:p>
    <w:p w14:paraId="016B403F">
      <w:pPr>
        <w:rPr>
          <w:rFonts w:hint="eastAsia" w:ascii="宋体" w:hAnsi="宋体" w:eastAsia="宋体" w:cs="宋体"/>
          <w:color w:val="auto"/>
          <w:sz w:val="24"/>
          <w:szCs w:val="24"/>
          <w:highlight w:val="none"/>
          <w:lang w:val="en-US" w:eastAsia="zh-CN"/>
        </w:rPr>
      </w:pPr>
    </w:p>
    <w:p w14:paraId="2E8F6E27">
      <w:pPr>
        <w:rPr>
          <w:rFonts w:hint="eastAsia" w:ascii="宋体" w:hAnsi="宋体" w:eastAsia="宋体" w:cs="宋体"/>
          <w:color w:val="auto"/>
          <w:sz w:val="24"/>
          <w:szCs w:val="24"/>
          <w:highlight w:val="none"/>
          <w:lang w:val="en-US" w:eastAsia="zh-CN"/>
        </w:rPr>
      </w:pPr>
    </w:p>
    <w:p w14:paraId="0F95CDDE">
      <w:pPr>
        <w:rPr>
          <w:rFonts w:hint="eastAsia" w:ascii="宋体" w:hAnsi="宋体" w:eastAsia="宋体" w:cs="宋体"/>
          <w:color w:val="auto"/>
          <w:sz w:val="24"/>
          <w:szCs w:val="24"/>
          <w:highlight w:val="none"/>
          <w:lang w:val="en-US" w:eastAsia="zh-CN"/>
        </w:rPr>
      </w:pPr>
    </w:p>
    <w:p w14:paraId="0C46ABEB">
      <w:pPr>
        <w:pStyle w:val="38"/>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分标4：</w:t>
      </w:r>
    </w:p>
    <w:p w14:paraId="27EE1E1F">
      <w:pPr>
        <w:pStyle w:val="38"/>
        <w:rPr>
          <w:rFonts w:hint="eastAsia" w:ascii="宋体" w:hAnsi="宋体" w:eastAsia="宋体" w:cs="宋体"/>
          <w:color w:val="auto"/>
          <w:highlight w:val="none"/>
          <w:lang w:val="en-US" w:eastAsia="zh-CN"/>
        </w:rPr>
      </w:pPr>
    </w:p>
    <w:tbl>
      <w:tblPr>
        <w:tblStyle w:val="6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7"/>
        <w:gridCol w:w="1377"/>
        <w:gridCol w:w="6155"/>
        <w:gridCol w:w="851"/>
      </w:tblGrid>
      <w:tr w14:paraId="67ED9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7" w:type="dxa"/>
            <w:noWrap w:val="0"/>
            <w:vAlign w:val="center"/>
          </w:tcPr>
          <w:p w14:paraId="6F30A0BB">
            <w:pPr>
              <w:widowControl/>
              <w:wordWrap w:val="0"/>
              <w:spacing w:line="400" w:lineRule="exact"/>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序号</w:t>
            </w:r>
          </w:p>
        </w:tc>
        <w:tc>
          <w:tcPr>
            <w:tcW w:w="1377" w:type="dxa"/>
            <w:noWrap w:val="0"/>
            <w:vAlign w:val="center"/>
          </w:tcPr>
          <w:p w14:paraId="7478719D">
            <w:pPr>
              <w:widowControl/>
              <w:wordWrap w:val="0"/>
              <w:spacing w:line="400" w:lineRule="exact"/>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评审因素</w:t>
            </w:r>
          </w:p>
        </w:tc>
        <w:tc>
          <w:tcPr>
            <w:tcW w:w="6155" w:type="dxa"/>
            <w:noWrap w:val="0"/>
            <w:vAlign w:val="center"/>
          </w:tcPr>
          <w:p w14:paraId="3E9DE4BF">
            <w:pPr>
              <w:widowControl/>
              <w:wordWrap w:val="0"/>
              <w:spacing w:line="400" w:lineRule="exact"/>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评审因素具体内容</w:t>
            </w:r>
          </w:p>
        </w:tc>
        <w:tc>
          <w:tcPr>
            <w:tcW w:w="851" w:type="dxa"/>
            <w:noWrap w:val="0"/>
            <w:vAlign w:val="center"/>
          </w:tcPr>
          <w:p w14:paraId="0A129E9F">
            <w:pPr>
              <w:widowControl/>
              <w:wordWrap w:val="0"/>
              <w:spacing w:line="400" w:lineRule="exact"/>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分值</w:t>
            </w:r>
          </w:p>
        </w:tc>
      </w:tr>
      <w:tr w14:paraId="77AA8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7" w:type="dxa"/>
            <w:noWrap w:val="0"/>
            <w:vAlign w:val="center"/>
          </w:tcPr>
          <w:p w14:paraId="003CD7F4">
            <w:pPr>
              <w:widowControl/>
              <w:wordWrap w:val="0"/>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w:t>
            </w:r>
          </w:p>
        </w:tc>
        <w:tc>
          <w:tcPr>
            <w:tcW w:w="1377" w:type="dxa"/>
            <w:noWrap w:val="0"/>
            <w:vAlign w:val="center"/>
          </w:tcPr>
          <w:p w14:paraId="2BD804F5">
            <w:pPr>
              <w:widowControl/>
              <w:wordWrap w:val="0"/>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价格分</w:t>
            </w:r>
          </w:p>
        </w:tc>
        <w:tc>
          <w:tcPr>
            <w:tcW w:w="6155" w:type="dxa"/>
            <w:noWrap w:val="0"/>
            <w:vAlign w:val="top"/>
          </w:tcPr>
          <w:p w14:paraId="7A897767">
            <w:pPr>
              <w:numPr>
                <w:ilvl w:val="-1"/>
                <w:numId w:val="0"/>
              </w:numPr>
              <w:snapToGrid w:val="0"/>
              <w:spacing w:line="360" w:lineRule="auto"/>
              <w:ind w:firstLine="420" w:firstLineChars="200"/>
              <w:outlineLvl w:val="9"/>
              <w:rPr>
                <w:rFonts w:hint="eastAsia" w:ascii="宋体" w:hAnsi="宋体" w:eastAsia="宋体" w:cs="宋体"/>
                <w:color w:val="auto"/>
                <w:highlight w:val="none"/>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lang w:eastAsia="zh-CN"/>
              </w:rPr>
              <w:t>）</w:t>
            </w:r>
            <w:r>
              <w:rPr>
                <w:rFonts w:hint="eastAsia" w:ascii="宋体" w:hAnsi="宋体" w:eastAsia="宋体" w:cs="宋体"/>
                <w:bCs/>
                <w:color w:val="auto"/>
                <w:szCs w:val="21"/>
                <w:highlight w:val="none"/>
              </w:rPr>
              <w:t>本项目为专门面向</w:t>
            </w:r>
            <w:r>
              <w:rPr>
                <w:rFonts w:hint="eastAsia" w:ascii="宋体" w:hAnsi="宋体" w:eastAsia="宋体" w:cs="宋体"/>
                <w:bCs/>
                <w:color w:val="auto"/>
                <w:szCs w:val="21"/>
                <w:highlight w:val="none"/>
                <w:lang w:val="en-US" w:eastAsia="zh-CN"/>
              </w:rPr>
              <w:t>中</w:t>
            </w:r>
            <w:r>
              <w:rPr>
                <w:rFonts w:hint="eastAsia" w:ascii="宋体" w:hAnsi="宋体" w:eastAsia="宋体" w:cs="宋体"/>
                <w:bCs/>
                <w:color w:val="auto"/>
                <w:szCs w:val="21"/>
                <w:highlight w:val="none"/>
              </w:rPr>
              <w:t>小企业采购的项目，供应商不重复享受政策价格扣除。最终</w:t>
            </w:r>
            <w:r>
              <w:rPr>
                <w:rFonts w:hint="eastAsia" w:ascii="宋体" w:hAnsi="宋体" w:eastAsia="宋体" w:cs="宋体"/>
                <w:bCs/>
                <w:color w:val="auto"/>
                <w:szCs w:val="21"/>
                <w:highlight w:val="none"/>
                <w:lang w:eastAsia="zh-CN"/>
              </w:rPr>
              <w:t>中标</w:t>
            </w:r>
            <w:r>
              <w:rPr>
                <w:rFonts w:hint="eastAsia" w:ascii="宋体" w:hAnsi="宋体" w:eastAsia="宋体" w:cs="宋体"/>
                <w:bCs/>
                <w:color w:val="auto"/>
                <w:szCs w:val="21"/>
                <w:highlight w:val="none"/>
              </w:rPr>
              <w:t>供应商的</w:t>
            </w:r>
            <w:r>
              <w:rPr>
                <w:rFonts w:hint="eastAsia" w:ascii="宋体" w:hAnsi="宋体" w:eastAsia="宋体" w:cs="宋体"/>
                <w:bCs/>
                <w:color w:val="auto"/>
                <w:szCs w:val="21"/>
                <w:highlight w:val="none"/>
                <w:lang w:eastAsia="zh-CN"/>
              </w:rPr>
              <w:t>中标</w:t>
            </w:r>
            <w:r>
              <w:rPr>
                <w:rFonts w:hint="eastAsia" w:ascii="宋体" w:hAnsi="宋体" w:eastAsia="宋体" w:cs="宋体"/>
                <w:bCs/>
                <w:color w:val="auto"/>
                <w:szCs w:val="21"/>
                <w:highlight w:val="none"/>
              </w:rPr>
              <w:t>金额等于最后报价（如有修正，以确认修正后的最后报价为准）。</w:t>
            </w:r>
          </w:p>
          <w:p w14:paraId="3D853D95">
            <w:pPr>
              <w:spacing w:line="360" w:lineRule="exact"/>
              <w:ind w:firstLine="420" w:firstLineChars="200"/>
              <w:outlineLvl w:val="9"/>
              <w:rPr>
                <w:rFonts w:hint="eastAsia" w:ascii="宋体" w:hAnsi="宋体" w:eastAsia="宋体" w:cs="宋体"/>
                <w:color w:val="auto"/>
                <w:highlight w:val="none"/>
              </w:rPr>
            </w:pPr>
            <w:r>
              <w:rPr>
                <w:rFonts w:hint="eastAsia" w:ascii="宋体" w:hAnsi="宋体" w:eastAsia="宋体" w:cs="宋体"/>
                <w:color w:val="auto"/>
                <w:highlight w:val="none"/>
              </w:rPr>
              <w:t>（2）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不重复享受政策。</w:t>
            </w:r>
          </w:p>
          <w:p w14:paraId="415E0093">
            <w:pPr>
              <w:spacing w:line="360" w:lineRule="exact"/>
              <w:ind w:firstLine="420" w:firstLineChars="200"/>
              <w:outlineLvl w:val="9"/>
              <w:rPr>
                <w:rFonts w:hint="eastAsia" w:ascii="宋体" w:hAnsi="宋体" w:eastAsia="宋体" w:cs="宋体"/>
                <w:color w:val="auto"/>
                <w:highlight w:val="none"/>
              </w:rPr>
            </w:pPr>
            <w:r>
              <w:rPr>
                <w:rFonts w:hint="eastAsia" w:ascii="宋体" w:hAnsi="宋体" w:eastAsia="宋体" w:cs="宋体"/>
                <w:color w:val="auto"/>
                <w:highlight w:val="none"/>
              </w:rPr>
              <w:t>（3）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6834608A">
            <w:pPr>
              <w:spacing w:line="360" w:lineRule="exact"/>
              <w:ind w:firstLine="420" w:firstLineChars="200"/>
              <w:outlineLvl w:val="9"/>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rPr>
              <w:t>）评审报价＝最后报价。</w:t>
            </w:r>
          </w:p>
          <w:p w14:paraId="5D4A01D2">
            <w:pPr>
              <w:spacing w:line="360" w:lineRule="exact"/>
              <w:ind w:firstLine="420" w:firstLineChars="200"/>
              <w:outlineLvl w:val="9"/>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（5）以进入比较与评价环节的最低的评审报价为基准价，基准价得分为 20分。</w:t>
            </w:r>
          </w:p>
          <w:p w14:paraId="0349DD4D">
            <w:pPr>
              <w:spacing w:line="360" w:lineRule="exact"/>
              <w:ind w:firstLine="420" w:firstLineChars="200"/>
              <w:outlineLvl w:val="9"/>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（6）价格分计算公式：</w:t>
            </w:r>
          </w:p>
          <w:p w14:paraId="63A33ED1">
            <w:pPr>
              <w:keepNext w:val="0"/>
              <w:keepLines w:val="0"/>
              <w:pageBreakBefore w:val="0"/>
              <w:kinsoku/>
              <w:wordWrap w:val="0"/>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报价得分=（基准价/</w:t>
            </w:r>
            <w:r>
              <w:rPr>
                <w:rFonts w:hint="eastAsia" w:ascii="宋体" w:hAnsi="宋体" w:eastAsia="宋体" w:cs="宋体"/>
                <w:color w:val="auto"/>
                <w:highlight w:val="none"/>
                <w:lang w:val="en-US" w:eastAsia="zh-CN"/>
              </w:rPr>
              <w:t>供应商有效</w:t>
            </w:r>
            <w:r>
              <w:rPr>
                <w:rFonts w:hint="eastAsia" w:ascii="宋体" w:hAnsi="宋体" w:eastAsia="宋体" w:cs="宋体"/>
                <w:color w:val="auto"/>
                <w:highlight w:val="none"/>
                <w:lang w:eastAsia="zh-CN"/>
              </w:rPr>
              <w:t xml:space="preserve">最后报价）× </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lang w:eastAsia="zh-CN"/>
              </w:rPr>
              <w:t>0分</w:t>
            </w:r>
          </w:p>
          <w:p w14:paraId="69F0FA6B">
            <w:pPr>
              <w:keepNext w:val="0"/>
              <w:keepLines w:val="0"/>
              <w:pageBreakBefore w:val="0"/>
              <w:kinsoku/>
              <w:wordWrap w:val="0"/>
              <w:overflowPunct/>
              <w:topLinePunct w:val="0"/>
              <w:autoSpaceDE/>
              <w:autoSpaceDN/>
              <w:bidi w:val="0"/>
              <w:adjustRightInd w:val="0"/>
              <w:snapToGrid w:val="0"/>
              <w:spacing w:line="400" w:lineRule="exact"/>
              <w:ind w:firstLine="422"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b/>
                <w:bCs/>
                <w:color w:val="auto"/>
                <w:highlight w:val="none"/>
                <w:lang w:val="en-US" w:eastAsia="zh-CN"/>
              </w:rPr>
              <w:t>注：</w:t>
            </w:r>
            <w:r>
              <w:rPr>
                <w:rFonts w:hint="eastAsia" w:ascii="宋体" w:hAnsi="宋体" w:eastAsia="宋体" w:cs="宋体"/>
                <w:b/>
                <w:bCs/>
                <w:color w:val="auto"/>
                <w:szCs w:val="21"/>
                <w:highlight w:val="none"/>
                <w:lang w:val="en-US" w:eastAsia="zh-CN"/>
              </w:rPr>
              <w:t>本标项采用单价进行报价，单价超过各单价最高限价的投标无效；以各单项报价的合计作为价格分计算依据。</w:t>
            </w:r>
          </w:p>
        </w:tc>
        <w:tc>
          <w:tcPr>
            <w:tcW w:w="851" w:type="dxa"/>
            <w:noWrap w:val="0"/>
            <w:vAlign w:val="center"/>
          </w:tcPr>
          <w:p w14:paraId="28630E61">
            <w:pPr>
              <w:widowControl/>
              <w:wordWrap w:val="0"/>
              <w:spacing w:line="400" w:lineRule="exact"/>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20分</w:t>
            </w:r>
          </w:p>
        </w:tc>
      </w:tr>
      <w:tr w14:paraId="5A519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7" w:type="dxa"/>
            <w:noWrap w:val="0"/>
            <w:vAlign w:val="center"/>
          </w:tcPr>
          <w:p w14:paraId="4A264AEA">
            <w:pPr>
              <w:widowControl/>
              <w:wordWrap w:val="0"/>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w:t>
            </w:r>
          </w:p>
        </w:tc>
        <w:tc>
          <w:tcPr>
            <w:tcW w:w="1377" w:type="dxa"/>
            <w:noWrap w:val="0"/>
            <w:vAlign w:val="center"/>
          </w:tcPr>
          <w:p w14:paraId="2F763BAC">
            <w:pPr>
              <w:widowControl/>
              <w:wordWrap w:val="0"/>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技术分</w:t>
            </w:r>
          </w:p>
        </w:tc>
        <w:tc>
          <w:tcPr>
            <w:tcW w:w="7006" w:type="dxa"/>
            <w:gridSpan w:val="2"/>
            <w:noWrap w:val="0"/>
            <w:vAlign w:val="top"/>
          </w:tcPr>
          <w:p w14:paraId="7725B30A">
            <w:pPr>
              <w:keepNext w:val="0"/>
              <w:keepLines w:val="0"/>
              <w:pageBreakBefore w:val="0"/>
              <w:widowControl/>
              <w:kinsoku/>
              <w:wordWrap w:val="0"/>
              <w:overflowPunct/>
              <w:topLinePunct w:val="0"/>
              <w:autoSpaceDE/>
              <w:autoSpaceDN/>
              <w:bidi w:val="0"/>
              <w:spacing w:line="400" w:lineRule="exact"/>
              <w:ind w:firstLine="420" w:firstLineChars="200"/>
              <w:jc w:val="center"/>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评审因素</w:t>
            </w:r>
          </w:p>
        </w:tc>
      </w:tr>
      <w:tr w14:paraId="1509E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7" w:type="dxa"/>
            <w:noWrap w:val="0"/>
            <w:vAlign w:val="center"/>
          </w:tcPr>
          <w:p w14:paraId="7EC9A5A8">
            <w:pPr>
              <w:wordWrap w:val="0"/>
              <w:adjustRightInd w:val="0"/>
              <w:spacing w:line="400" w:lineRule="exact"/>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2.1</w:t>
            </w:r>
          </w:p>
        </w:tc>
        <w:tc>
          <w:tcPr>
            <w:tcW w:w="1377" w:type="dxa"/>
            <w:noWrap w:val="0"/>
            <w:vAlign w:val="center"/>
          </w:tcPr>
          <w:p w14:paraId="585E4738">
            <w:pPr>
              <w:wordWrap w:val="0"/>
              <w:adjustRightInd w:val="0"/>
              <w:spacing w:line="380" w:lineRule="exact"/>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rPr>
              <w:t>项目认识与理解方案</w:t>
            </w:r>
          </w:p>
        </w:tc>
        <w:tc>
          <w:tcPr>
            <w:tcW w:w="6155" w:type="dxa"/>
            <w:noWrap w:val="0"/>
            <w:vAlign w:val="center"/>
          </w:tcPr>
          <w:p w14:paraId="7A530FF8">
            <w:pPr>
              <w:keepNext w:val="0"/>
              <w:keepLines w:val="0"/>
              <w:pageBreakBefore w:val="0"/>
              <w:kinsoku/>
              <w:wordWrap w:val="0"/>
              <w:overflowPunct/>
              <w:topLinePunct w:val="0"/>
              <w:autoSpaceDE/>
              <w:autoSpaceDN/>
              <w:bidi w:val="0"/>
              <w:spacing w:line="400" w:lineRule="exact"/>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未提供项目认识与理解方案或提供的内容未达到一档要求的不得分：</w:t>
            </w:r>
          </w:p>
          <w:p w14:paraId="3AB0A602">
            <w:pPr>
              <w:keepNext w:val="0"/>
              <w:keepLines w:val="0"/>
              <w:pageBreakBefore w:val="0"/>
              <w:kinsoku/>
              <w:wordWrap w:val="0"/>
              <w:overflowPunct/>
              <w:topLinePunct w:val="0"/>
              <w:autoSpaceDE/>
              <w:autoSpaceDN/>
              <w:bidi w:val="0"/>
              <w:spacing w:line="400" w:lineRule="exact"/>
              <w:ind w:firstLine="420" w:firstLineChars="200"/>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一档（</w:t>
            </w: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zh-CN"/>
              </w:rPr>
              <w:t>分）：</w:t>
            </w:r>
            <w:r>
              <w:rPr>
                <w:rFonts w:hint="eastAsia" w:ascii="宋体" w:hAnsi="宋体" w:eastAsia="宋体" w:cs="宋体"/>
                <w:color w:val="auto"/>
                <w:sz w:val="21"/>
                <w:szCs w:val="21"/>
                <w:highlight w:val="none"/>
              </w:rPr>
              <w:t>提供有对本项目的认识与理解方案，结合本项目背景对</w:t>
            </w:r>
            <w:r>
              <w:rPr>
                <w:rFonts w:hint="eastAsia" w:ascii="宋体" w:hAnsi="宋体" w:eastAsia="宋体" w:cs="宋体"/>
                <w:bCs/>
                <w:color w:val="auto"/>
                <w:sz w:val="21"/>
                <w:szCs w:val="21"/>
                <w:highlight w:val="none"/>
              </w:rPr>
              <w:t>广西壮族自治区山口红树林生态国家级自然保护区红树林虫害及防治对象</w:t>
            </w:r>
            <w:r>
              <w:rPr>
                <w:rFonts w:hint="eastAsia" w:ascii="宋体" w:hAnsi="宋体" w:eastAsia="宋体" w:cs="宋体"/>
                <w:color w:val="auto"/>
                <w:sz w:val="21"/>
                <w:szCs w:val="21"/>
                <w:highlight w:val="none"/>
              </w:rPr>
              <w:t>有具体的调查方法。</w:t>
            </w:r>
          </w:p>
          <w:p w14:paraId="135795FF">
            <w:pPr>
              <w:keepNext w:val="0"/>
              <w:keepLines w:val="0"/>
              <w:pageBreakBefore w:val="0"/>
              <w:kinsoku/>
              <w:wordWrap w:val="0"/>
              <w:overflowPunct/>
              <w:topLinePunct w:val="0"/>
              <w:autoSpaceDE/>
              <w:autoSpaceDN/>
              <w:bidi w:val="0"/>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w:t>
            </w:r>
            <w:r>
              <w:rPr>
                <w:rFonts w:hint="eastAsia" w:ascii="宋体" w:hAnsi="宋体" w:eastAsia="宋体" w:cs="宋体"/>
                <w:color w:val="auto"/>
                <w:sz w:val="21"/>
                <w:szCs w:val="21"/>
                <w:highlight w:val="none"/>
                <w:lang w:val="zh-CN"/>
              </w:rPr>
              <w:t>档（</w:t>
            </w:r>
            <w:r>
              <w:rPr>
                <w:rFonts w:hint="eastAsia" w:ascii="宋体" w:hAnsi="宋体" w:eastAsia="宋体" w:cs="宋体"/>
                <w:color w:val="auto"/>
                <w:sz w:val="21"/>
                <w:szCs w:val="21"/>
                <w:highlight w:val="none"/>
              </w:rPr>
              <w:t>6</w:t>
            </w:r>
            <w:r>
              <w:rPr>
                <w:rFonts w:hint="eastAsia" w:ascii="宋体" w:hAnsi="宋体" w:eastAsia="宋体" w:cs="宋体"/>
                <w:color w:val="auto"/>
                <w:sz w:val="21"/>
                <w:szCs w:val="21"/>
                <w:highlight w:val="none"/>
                <w:lang w:val="zh-CN"/>
              </w:rPr>
              <w:t>分）：</w:t>
            </w:r>
            <w:r>
              <w:rPr>
                <w:rFonts w:hint="eastAsia" w:ascii="宋体" w:hAnsi="宋体" w:eastAsia="宋体" w:cs="宋体"/>
                <w:color w:val="auto"/>
                <w:sz w:val="21"/>
                <w:szCs w:val="21"/>
                <w:highlight w:val="none"/>
              </w:rPr>
              <w:t>有对本项目的认识与理解方案，结合本项目背景对广西壮族自治区山口红树林生态国家级自然保护区红树林虫害及防治对象的调查方法、形成原因、危害程度分析。</w:t>
            </w:r>
          </w:p>
          <w:p w14:paraId="53D170A5">
            <w:pPr>
              <w:keepNext w:val="0"/>
              <w:keepLines w:val="0"/>
              <w:pageBreakBefore w:val="0"/>
              <w:kinsoku/>
              <w:wordWrap w:val="0"/>
              <w:overflowPunct/>
              <w:topLinePunct w:val="0"/>
              <w:autoSpaceDE/>
              <w:autoSpaceDN/>
              <w:bidi w:val="0"/>
              <w:spacing w:line="400" w:lineRule="exact"/>
              <w:ind w:firstLine="420" w:firstLineChars="200"/>
              <w:textAlignment w:val="auto"/>
              <w:rPr>
                <w:rFonts w:hint="eastAsia" w:ascii="宋体" w:hAnsi="宋体" w:eastAsia="宋体" w:cs="宋体"/>
                <w:color w:val="auto"/>
                <w:kern w:val="2"/>
                <w:sz w:val="21"/>
                <w:highlight w:val="none"/>
              </w:rPr>
            </w:pPr>
            <w:r>
              <w:rPr>
                <w:rFonts w:hint="eastAsia" w:ascii="宋体" w:hAnsi="宋体" w:eastAsia="宋体" w:cs="宋体"/>
                <w:color w:val="auto"/>
                <w:sz w:val="21"/>
                <w:szCs w:val="21"/>
                <w:highlight w:val="none"/>
              </w:rPr>
              <w:t>三</w:t>
            </w:r>
            <w:r>
              <w:rPr>
                <w:rFonts w:hint="eastAsia" w:ascii="宋体" w:hAnsi="宋体" w:eastAsia="宋体" w:cs="宋体"/>
                <w:color w:val="auto"/>
                <w:sz w:val="21"/>
                <w:szCs w:val="21"/>
                <w:highlight w:val="none"/>
                <w:lang w:val="zh-CN"/>
              </w:rPr>
              <w:t>档（</w:t>
            </w:r>
            <w:r>
              <w:rPr>
                <w:rFonts w:hint="eastAsia" w:ascii="宋体" w:hAnsi="宋体" w:eastAsia="宋体" w:cs="宋体"/>
                <w:color w:val="auto"/>
                <w:sz w:val="21"/>
                <w:szCs w:val="21"/>
                <w:highlight w:val="none"/>
              </w:rPr>
              <w:t>10</w:t>
            </w:r>
            <w:r>
              <w:rPr>
                <w:rFonts w:hint="eastAsia" w:ascii="宋体" w:hAnsi="宋体" w:eastAsia="宋体" w:cs="宋体"/>
                <w:color w:val="auto"/>
                <w:sz w:val="21"/>
                <w:szCs w:val="21"/>
                <w:highlight w:val="none"/>
                <w:lang w:val="zh-CN"/>
              </w:rPr>
              <w:t>分）：</w:t>
            </w:r>
            <w:r>
              <w:rPr>
                <w:rFonts w:hint="eastAsia" w:ascii="宋体" w:hAnsi="宋体" w:eastAsia="宋体" w:cs="宋体"/>
                <w:color w:val="auto"/>
                <w:sz w:val="21"/>
                <w:szCs w:val="21"/>
                <w:highlight w:val="none"/>
              </w:rPr>
              <w:t>有对本项目的认识与理解方案，结合本项目背景对广西壮族自治区山口红树林生态国家级自然保护区红树林虫害及防治对象有具体的调查方法、形成原因、危害程度分析，对本项目的服务内容有重点、难点分析，针对重点难点问题提出解决方法及合理性建议。</w:t>
            </w:r>
          </w:p>
        </w:tc>
        <w:tc>
          <w:tcPr>
            <w:tcW w:w="851" w:type="dxa"/>
            <w:noWrap w:val="0"/>
            <w:vAlign w:val="center"/>
          </w:tcPr>
          <w:p w14:paraId="0950E366">
            <w:pPr>
              <w:wordWrap w:val="0"/>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1</w:t>
            </w:r>
            <w:r>
              <w:rPr>
                <w:rFonts w:hint="eastAsia" w:ascii="宋体" w:hAnsi="宋体" w:eastAsia="宋体" w:cs="宋体"/>
                <w:color w:val="auto"/>
                <w:kern w:val="0"/>
                <w:szCs w:val="21"/>
                <w:highlight w:val="none"/>
              </w:rPr>
              <w:t>0分</w:t>
            </w:r>
          </w:p>
        </w:tc>
      </w:tr>
      <w:tr w14:paraId="26DA1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7" w:type="dxa"/>
            <w:noWrap w:val="0"/>
            <w:vAlign w:val="center"/>
          </w:tcPr>
          <w:p w14:paraId="7315C58B">
            <w:pPr>
              <w:wordWrap w:val="0"/>
              <w:adjustRightInd w:val="0"/>
              <w:spacing w:line="400" w:lineRule="exact"/>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2.2</w:t>
            </w:r>
          </w:p>
        </w:tc>
        <w:tc>
          <w:tcPr>
            <w:tcW w:w="1377" w:type="dxa"/>
            <w:noWrap w:val="0"/>
            <w:vAlign w:val="center"/>
          </w:tcPr>
          <w:p w14:paraId="6FDC8124">
            <w:pPr>
              <w:wordWrap w:val="0"/>
              <w:adjustRightInd w:val="0"/>
              <w:spacing w:line="380" w:lineRule="exact"/>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rPr>
              <w:t>项目实施方案</w:t>
            </w:r>
          </w:p>
        </w:tc>
        <w:tc>
          <w:tcPr>
            <w:tcW w:w="6155" w:type="dxa"/>
            <w:noWrap w:val="0"/>
            <w:vAlign w:val="center"/>
          </w:tcPr>
          <w:p w14:paraId="55387ED2">
            <w:pPr>
              <w:keepNext w:val="0"/>
              <w:keepLines w:val="0"/>
              <w:pageBreakBefore w:val="0"/>
              <w:kinsoku/>
              <w:wordWrap w:val="0"/>
              <w:overflowPunct/>
              <w:topLinePunct w:val="0"/>
              <w:autoSpaceDE/>
              <w:autoSpaceDN/>
              <w:bidi w:val="0"/>
              <w:spacing w:line="400" w:lineRule="exact"/>
              <w:ind w:firstLine="422" w:firstLineChars="200"/>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提供的项目实施方案内容未达到一档要求的不得分：</w:t>
            </w:r>
          </w:p>
          <w:p w14:paraId="4BE64F05">
            <w:pPr>
              <w:keepNext w:val="0"/>
              <w:keepLines w:val="0"/>
              <w:pageBreakBefore w:val="0"/>
              <w:kinsoku/>
              <w:wordWrap w:val="0"/>
              <w:overflowPunct/>
              <w:topLinePunct w:val="0"/>
              <w:autoSpaceDE/>
              <w:autoSpaceDN/>
              <w:bidi w:val="0"/>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一档（6分）：提供有实施方案，包含项目的实施计划、项目实施组织计划，有工作流程图、项目管理框架，有技术服务路线。</w:t>
            </w:r>
          </w:p>
          <w:p w14:paraId="3CA5AD3A">
            <w:pPr>
              <w:keepNext w:val="0"/>
              <w:keepLines w:val="0"/>
              <w:pageBreakBefore w:val="0"/>
              <w:kinsoku/>
              <w:wordWrap w:val="0"/>
              <w:overflowPunct/>
              <w:topLinePunct w:val="0"/>
              <w:autoSpaceDE/>
              <w:autoSpaceDN/>
              <w:bidi w:val="0"/>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二档（9分）：提供有实施方案，包含项目的实施计划、项目实施组织计划、组织措施，有工作思路、工作流程图、项目管理框架、有工作服务要点和技术服务路线。</w:t>
            </w:r>
          </w:p>
          <w:p w14:paraId="255E6E6B">
            <w:pPr>
              <w:keepNext w:val="0"/>
              <w:keepLines w:val="0"/>
              <w:pageBreakBefore w:val="0"/>
              <w:kinsoku/>
              <w:wordWrap w:val="0"/>
              <w:overflowPunct/>
              <w:topLinePunct w:val="0"/>
              <w:autoSpaceDE/>
              <w:autoSpaceDN/>
              <w:bidi w:val="0"/>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档（12分）：提供有实施方案，包含项目的实施计划、项目实施组织计划、组织措施，对各阶段工作内容有详细的工作安排计划，工作思路清晰，有工作流程图、项目管理框架、项目实施规范、有工作服务要点和技术服务路线。对防治对象提出有整体解决方案。</w:t>
            </w:r>
          </w:p>
          <w:p w14:paraId="0E7DD2E6">
            <w:pPr>
              <w:keepNext w:val="0"/>
              <w:keepLines w:val="0"/>
              <w:pageBreakBefore w:val="0"/>
              <w:kinsoku/>
              <w:wordWrap w:val="0"/>
              <w:overflowPunct/>
              <w:topLinePunct w:val="0"/>
              <w:autoSpaceDE/>
              <w:autoSpaceDN/>
              <w:bidi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rPr>
              <w:t>四档（15分）：提供有实施方案，包含项目的实施计划、项目实施组织计划、组织措施，对各阶段工作内容有详细的工作安排计划，有针对性的详细描述及有实施细则，工作思路清晰，工作程序和方法详细，有工作流程图、项目管理框架、项目实施规范、有工作服务要点和技术服务路线（包括服务期前的准备、服务期内定期进行工作小结等），有各阶段进度安排及保证措施。对防治对象治理有预防方案、防治措施、解决方法，并有针对性说明。</w:t>
            </w:r>
          </w:p>
        </w:tc>
        <w:tc>
          <w:tcPr>
            <w:tcW w:w="851" w:type="dxa"/>
            <w:noWrap w:val="0"/>
            <w:vAlign w:val="center"/>
          </w:tcPr>
          <w:p w14:paraId="0BB4130F">
            <w:pPr>
              <w:wordWrap w:val="0"/>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w:t>
            </w:r>
            <w:r>
              <w:rPr>
                <w:rFonts w:hint="eastAsia" w:ascii="宋体" w:hAnsi="宋体" w:eastAsia="宋体" w:cs="宋体"/>
                <w:color w:val="auto"/>
                <w:kern w:val="0"/>
                <w:szCs w:val="21"/>
                <w:highlight w:val="none"/>
                <w:lang w:val="en-US" w:eastAsia="zh-CN"/>
              </w:rPr>
              <w:t>5</w:t>
            </w:r>
            <w:r>
              <w:rPr>
                <w:rFonts w:hint="eastAsia" w:ascii="宋体" w:hAnsi="宋体" w:eastAsia="宋体" w:cs="宋体"/>
                <w:color w:val="auto"/>
                <w:kern w:val="0"/>
                <w:szCs w:val="21"/>
                <w:highlight w:val="none"/>
              </w:rPr>
              <w:t>分</w:t>
            </w:r>
          </w:p>
        </w:tc>
      </w:tr>
      <w:tr w14:paraId="19917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7" w:type="dxa"/>
            <w:noWrap w:val="0"/>
            <w:vAlign w:val="center"/>
          </w:tcPr>
          <w:p w14:paraId="6FAC15AA">
            <w:pPr>
              <w:wordWrap w:val="0"/>
              <w:adjustRightInd w:val="0"/>
              <w:spacing w:line="400" w:lineRule="exact"/>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2.3</w:t>
            </w:r>
          </w:p>
        </w:tc>
        <w:tc>
          <w:tcPr>
            <w:tcW w:w="1377" w:type="dxa"/>
            <w:noWrap w:val="0"/>
            <w:vAlign w:val="center"/>
          </w:tcPr>
          <w:p w14:paraId="24D42F2D">
            <w:pPr>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bCs/>
                <w:color w:val="auto"/>
                <w:sz w:val="21"/>
                <w:szCs w:val="21"/>
                <w:highlight w:val="none"/>
              </w:rPr>
              <w:t>服务质量保障方案</w:t>
            </w:r>
          </w:p>
        </w:tc>
        <w:tc>
          <w:tcPr>
            <w:tcW w:w="6155" w:type="dxa"/>
            <w:noWrap w:val="0"/>
            <w:vAlign w:val="center"/>
          </w:tcPr>
          <w:p w14:paraId="24FA1CE1">
            <w:pPr>
              <w:keepNext w:val="0"/>
              <w:keepLines w:val="0"/>
              <w:pageBreakBefore w:val="0"/>
              <w:kinsoku/>
              <w:wordWrap w:val="0"/>
              <w:overflowPunct/>
              <w:topLinePunct w:val="0"/>
              <w:autoSpaceDE/>
              <w:autoSpaceDN/>
              <w:bidi w:val="0"/>
              <w:spacing w:line="400" w:lineRule="exact"/>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未提供服务质量保障方案或提供的内容未达到一档要求的不得分：</w:t>
            </w:r>
          </w:p>
          <w:p w14:paraId="271A7291">
            <w:pPr>
              <w:keepNext w:val="0"/>
              <w:keepLines w:val="0"/>
              <w:pageBreakBefore w:val="0"/>
              <w:kinsoku/>
              <w:wordWrap w:val="0"/>
              <w:overflowPunct/>
              <w:topLinePunct w:val="0"/>
              <w:autoSpaceDE/>
              <w:autoSpaceDN/>
              <w:bidi w:val="0"/>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一档</w:t>
            </w:r>
            <w:r>
              <w:rPr>
                <w:rFonts w:hint="eastAsia" w:ascii="宋体" w:hAnsi="宋体" w:eastAsia="宋体" w:cs="宋体"/>
                <w:color w:val="auto"/>
                <w:sz w:val="21"/>
                <w:szCs w:val="21"/>
                <w:highlight w:val="none"/>
              </w:rPr>
              <w:t>（4分）：提供有服务质量保障方案，服务满足</w:t>
            </w:r>
            <w:r>
              <w:rPr>
                <w:rFonts w:hint="eastAsia" w:ascii="宋体" w:hAnsi="宋体" w:eastAsia="宋体" w:cs="宋体"/>
                <w:color w:val="auto"/>
                <w:sz w:val="21"/>
                <w:szCs w:val="21"/>
                <w:highlight w:val="none"/>
                <w:lang w:val="en-US" w:eastAsia="zh-CN"/>
              </w:rPr>
              <w:t>招标</w:t>
            </w:r>
            <w:r>
              <w:rPr>
                <w:rFonts w:hint="eastAsia" w:ascii="宋体" w:hAnsi="宋体" w:eastAsia="宋体" w:cs="宋体"/>
                <w:color w:val="auto"/>
                <w:sz w:val="21"/>
                <w:szCs w:val="21"/>
                <w:highlight w:val="none"/>
              </w:rPr>
              <w:t>文件服务要求，具有服务响应措施、具体服务响应流程。</w:t>
            </w:r>
          </w:p>
          <w:p w14:paraId="1FAB0263">
            <w:pPr>
              <w:keepNext w:val="0"/>
              <w:keepLines w:val="0"/>
              <w:pageBreakBefore w:val="0"/>
              <w:kinsoku/>
              <w:wordWrap w:val="0"/>
              <w:overflowPunct/>
              <w:topLinePunct w:val="0"/>
              <w:autoSpaceDE/>
              <w:autoSpaceDN/>
              <w:bidi w:val="0"/>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档（8分）：按采购文件要求对采购人进行服务，服务期内出现任何项目问题，供应商承诺在40分钟内电话响应，4.5小时内到达指定地点协助采购人处理并解决问题；具有服务响应措施、具体服务响应流程、实施效率保障措施。</w:t>
            </w:r>
          </w:p>
          <w:p w14:paraId="561AC457">
            <w:pPr>
              <w:keepNext w:val="0"/>
              <w:keepLines w:val="0"/>
              <w:pageBreakBefore w:val="0"/>
              <w:kinsoku/>
              <w:wordWrap w:val="0"/>
              <w:overflowPunct/>
              <w:topLinePunct w:val="0"/>
              <w:autoSpaceDE/>
              <w:autoSpaceDN/>
              <w:bidi w:val="0"/>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档（12分）：按采购文件要求对采购人进行服务，服务期内出现任何项目问题，供应商承诺在25分钟内电话响应，4小时内到达指定地点协助采购人处理并解决问题；具有服务响应措施、具体服务响应流程、实施效率保障措施、服务质量管理制度，具有调查数据质量控制措施。</w:t>
            </w:r>
          </w:p>
          <w:p w14:paraId="03E53709">
            <w:pPr>
              <w:keepNext w:val="0"/>
              <w:keepLines w:val="0"/>
              <w:pageBreakBefore w:val="0"/>
              <w:kinsoku/>
              <w:wordWrap w:val="0"/>
              <w:overflowPunct/>
              <w:topLinePunct w:val="0"/>
              <w:autoSpaceDE/>
              <w:autoSpaceDN/>
              <w:bidi w:val="0"/>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档（16分）：按采购文件要求对采购人进行服务，服务期内出现任何项目问题，供应商承诺在15分钟内电话响应，3小时内到达指定地点协助采购人处理并解决问题；具有服务响应措施、具体服务响应流程、实施效率保障措施、服务质量管理制度，具有调查数据质量控制措施、自然保护区调查统计方案。</w:t>
            </w:r>
          </w:p>
          <w:p w14:paraId="6DA67F9E">
            <w:pPr>
              <w:keepNext w:val="0"/>
              <w:keepLines w:val="0"/>
              <w:pageBreakBefore w:val="0"/>
              <w:kinsoku/>
              <w:wordWrap w:val="0"/>
              <w:overflowPunct/>
              <w:topLinePunct w:val="0"/>
              <w:autoSpaceDE/>
              <w:autoSpaceDN/>
              <w:bidi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rPr>
              <w:t>五档（20分）：按采购文件要求对采购人进行服务，服务期内出现任何项目问题，供应商承诺在5分钟内电话响应，2小时内到达指定地点协助采购人处理并解决问题；具有服务响应措施、具体服务响应流程、实施效率保障措施、服务质量管理制度，具有调查数据质量控制措施、自然保护区调查统计方案，具有及时的数据检查、调查数据纠错措施、应急事件处置方案，针对本项目提供专门的技术服务支持，开展防治作业时提供植保无人机4台以上，并提供技术服务联系人姓名、电话等信息。</w:t>
            </w:r>
          </w:p>
        </w:tc>
        <w:tc>
          <w:tcPr>
            <w:tcW w:w="851" w:type="dxa"/>
            <w:noWrap w:val="0"/>
            <w:vAlign w:val="center"/>
          </w:tcPr>
          <w:p w14:paraId="4D5874AE">
            <w:pPr>
              <w:wordWrap w:val="0"/>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bCs/>
                <w:color w:val="auto"/>
                <w:szCs w:val="21"/>
                <w:highlight w:val="none"/>
                <w:lang w:val="en-US" w:eastAsia="zh-CN"/>
              </w:rPr>
              <w:t>20</w:t>
            </w:r>
            <w:r>
              <w:rPr>
                <w:rFonts w:hint="eastAsia" w:ascii="宋体" w:hAnsi="宋体" w:eastAsia="宋体" w:cs="宋体"/>
                <w:bCs/>
                <w:color w:val="auto"/>
                <w:szCs w:val="21"/>
                <w:highlight w:val="none"/>
              </w:rPr>
              <w:t>分</w:t>
            </w:r>
          </w:p>
        </w:tc>
      </w:tr>
      <w:tr w14:paraId="77C1E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7" w:type="dxa"/>
            <w:vMerge w:val="restart"/>
            <w:noWrap w:val="0"/>
            <w:vAlign w:val="center"/>
          </w:tcPr>
          <w:p w14:paraId="261FEC44">
            <w:pPr>
              <w:wordWrap w:val="0"/>
              <w:adjustRightInd w:val="0"/>
              <w:spacing w:line="400" w:lineRule="exact"/>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2.4</w:t>
            </w:r>
          </w:p>
        </w:tc>
        <w:tc>
          <w:tcPr>
            <w:tcW w:w="1377" w:type="dxa"/>
            <w:vMerge w:val="restart"/>
            <w:noWrap w:val="0"/>
            <w:vAlign w:val="center"/>
          </w:tcPr>
          <w:p w14:paraId="4F8D495A">
            <w:pPr>
              <w:wordWrap w:val="0"/>
              <w:adjustRightInd w:val="0"/>
              <w:spacing w:line="400" w:lineRule="exact"/>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sz w:val="21"/>
                <w:szCs w:val="21"/>
                <w:highlight w:val="none"/>
              </w:rPr>
              <w:t>拟投入人员管理方案</w:t>
            </w:r>
          </w:p>
        </w:tc>
        <w:tc>
          <w:tcPr>
            <w:tcW w:w="6155" w:type="dxa"/>
            <w:noWrap w:val="0"/>
            <w:vAlign w:val="center"/>
          </w:tcPr>
          <w:p w14:paraId="78AFAEEA">
            <w:pPr>
              <w:keepNext w:val="0"/>
              <w:keepLines w:val="0"/>
              <w:pageBreakBefore w:val="0"/>
              <w:kinsoku/>
              <w:wordWrap w:val="0"/>
              <w:overflowPunct/>
              <w:topLinePunct w:val="0"/>
              <w:autoSpaceDE/>
              <w:autoSpaceDN/>
              <w:bidi w:val="0"/>
              <w:spacing w:line="400" w:lineRule="exact"/>
              <w:ind w:firstLine="422"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拟投入的团队成员（不含项目负责人和技术负责人）</w:t>
            </w:r>
          </w:p>
          <w:p w14:paraId="2F210BFC">
            <w:pPr>
              <w:keepNext w:val="0"/>
              <w:keepLines w:val="0"/>
              <w:pageBreakBefore w:val="0"/>
              <w:kinsoku/>
              <w:wordWrap w:val="0"/>
              <w:overflowPunct/>
              <w:topLinePunct w:val="0"/>
              <w:autoSpaceDE/>
              <w:autoSpaceDN/>
              <w:bidi w:val="0"/>
              <w:spacing w:line="40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①团队成员具有林业有害生物防治员职业资格证书中级工（四级），每人得1分；具有高级</w:t>
            </w:r>
            <w:r>
              <w:rPr>
                <w:rFonts w:hint="eastAsia" w:ascii="宋体" w:hAnsi="宋体" w:eastAsia="宋体" w:cs="宋体"/>
                <w:color w:val="auto"/>
                <w:sz w:val="21"/>
                <w:szCs w:val="21"/>
                <w:highlight w:val="none"/>
              </w:rPr>
              <w:t>工</w:t>
            </w:r>
            <w:r>
              <w:rPr>
                <w:rFonts w:hint="eastAsia" w:ascii="宋体" w:hAnsi="宋体" w:eastAsia="宋体" w:cs="宋体"/>
                <w:bCs/>
                <w:color w:val="auto"/>
                <w:sz w:val="21"/>
                <w:szCs w:val="21"/>
                <w:highlight w:val="none"/>
              </w:rPr>
              <w:t>及以上（三级及以上）的，每人得2分。本项满分8分。</w:t>
            </w:r>
          </w:p>
          <w:p w14:paraId="7F1A7C02">
            <w:pPr>
              <w:keepNext w:val="0"/>
              <w:keepLines w:val="0"/>
              <w:pageBreakBefore w:val="0"/>
              <w:kinsoku/>
              <w:wordWrap w:val="0"/>
              <w:overflowPunct/>
              <w:topLinePunct w:val="0"/>
              <w:autoSpaceDE/>
              <w:autoSpaceDN/>
              <w:bidi w:val="0"/>
              <w:spacing w:line="40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②团队成员为相关专业（环境工程或生物学或生态学或野生动植物保护利用或林业技术等）毕业的，每人得1分，本项满分3分。</w:t>
            </w:r>
          </w:p>
          <w:p w14:paraId="35098837">
            <w:pPr>
              <w:keepNext w:val="0"/>
              <w:keepLines w:val="0"/>
              <w:pageBreakBefore w:val="0"/>
              <w:kinsoku/>
              <w:wordWrap w:val="0"/>
              <w:overflowPunct/>
              <w:topLinePunct w:val="0"/>
              <w:autoSpaceDE/>
              <w:autoSpaceDN/>
              <w:bidi w:val="0"/>
              <w:spacing w:line="40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③团队成员具有无人机系统操作手合格证的，每人得1分，本项满分4分。</w:t>
            </w:r>
          </w:p>
          <w:p w14:paraId="47A76EE2">
            <w:pPr>
              <w:keepNext w:val="0"/>
              <w:keepLines w:val="0"/>
              <w:pageBreakBefore w:val="0"/>
              <w:kinsoku/>
              <w:wordWrap w:val="0"/>
              <w:overflowPunct/>
              <w:topLinePunct w:val="0"/>
              <w:autoSpaceDE/>
              <w:autoSpaceDN/>
              <w:bidi w:val="0"/>
              <w:spacing w:line="40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注：</w:t>
            </w:r>
          </w:p>
          <w:p w14:paraId="789E3A1C">
            <w:pPr>
              <w:keepNext w:val="0"/>
              <w:keepLines w:val="0"/>
              <w:pageBreakBefore w:val="0"/>
              <w:kinsoku/>
              <w:wordWrap w:val="0"/>
              <w:overflowPunct/>
              <w:topLinePunct w:val="0"/>
              <w:autoSpaceDE/>
              <w:autoSpaceDN/>
              <w:bidi w:val="0"/>
              <w:spacing w:line="40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1.以上人员（不含项目负责人和技术负责人）不可重复计分；</w:t>
            </w:r>
          </w:p>
          <w:p w14:paraId="7DE9B3D7">
            <w:pPr>
              <w:keepNext w:val="0"/>
              <w:keepLines w:val="0"/>
              <w:pageBreakBefore w:val="0"/>
              <w:kinsoku/>
              <w:wordWrap w:val="0"/>
              <w:overflowPunct/>
              <w:topLinePunct w:val="0"/>
              <w:autoSpaceDE/>
              <w:autoSpaceDN/>
              <w:bidi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bCs/>
                <w:color w:val="auto"/>
                <w:sz w:val="21"/>
                <w:szCs w:val="21"/>
                <w:highlight w:val="none"/>
              </w:rPr>
              <w:t>2.</w:t>
            </w:r>
            <w:r>
              <w:rPr>
                <w:rFonts w:hint="eastAsia" w:ascii="宋体" w:hAnsi="宋体" w:eastAsia="宋体" w:cs="宋体"/>
                <w:bCs/>
                <w:color w:val="auto"/>
                <w:sz w:val="21"/>
                <w:szCs w:val="21"/>
                <w:highlight w:val="none"/>
                <w:lang w:val="en-US" w:eastAsia="zh-CN"/>
              </w:rPr>
              <w:t>投标</w:t>
            </w:r>
            <w:r>
              <w:rPr>
                <w:rFonts w:hint="eastAsia" w:ascii="宋体" w:hAnsi="宋体" w:eastAsia="宋体" w:cs="宋体"/>
                <w:bCs/>
                <w:color w:val="auto"/>
                <w:sz w:val="21"/>
                <w:szCs w:val="21"/>
                <w:highlight w:val="none"/>
                <w:lang w:eastAsia="zh-CN"/>
              </w:rPr>
              <w:t>文件中须提供上述人员的身份证，毕业证或相关证书复印件，同时提供</w:t>
            </w:r>
            <w:r>
              <w:rPr>
                <w:rFonts w:hint="eastAsia" w:ascii="宋体" w:hAnsi="宋体" w:eastAsia="宋体" w:cs="宋体"/>
                <w:bCs/>
                <w:color w:val="auto"/>
                <w:sz w:val="21"/>
                <w:szCs w:val="21"/>
                <w:highlight w:val="none"/>
              </w:rPr>
              <w:t>供应商</w:t>
            </w:r>
            <w:r>
              <w:rPr>
                <w:rFonts w:hint="eastAsia" w:ascii="宋体" w:hAnsi="宋体" w:eastAsia="宋体" w:cs="宋体"/>
                <w:bCs/>
                <w:color w:val="auto"/>
                <w:szCs w:val="21"/>
                <w:highlight w:val="none"/>
              </w:rPr>
              <w:t>自</w:t>
            </w:r>
            <w:r>
              <w:rPr>
                <w:rFonts w:hint="eastAsia" w:ascii="宋体" w:hAnsi="宋体" w:eastAsia="宋体" w:cs="宋体"/>
                <w:bCs/>
                <w:color w:val="auto"/>
                <w:szCs w:val="21"/>
                <w:highlight w:val="none"/>
                <w:lang w:val="en-US" w:eastAsia="zh-CN"/>
              </w:rPr>
              <w:t>投标</w:t>
            </w:r>
            <w:r>
              <w:rPr>
                <w:rFonts w:hint="eastAsia" w:ascii="宋体" w:hAnsi="宋体" w:eastAsia="宋体" w:cs="宋体"/>
                <w:bCs/>
                <w:color w:val="auto"/>
                <w:szCs w:val="21"/>
                <w:highlight w:val="none"/>
              </w:rPr>
              <w:t>文件提交截止时间前6个月内为上述人员缴纳的任意1个月的社保证明（退休人员无社保证明的，提供退休证明及供应商的聘用合同）或提供上述人员为本公司的正式员工的承诺函，复印件均加盖供应商公章，未按要求提供不得分。</w:t>
            </w:r>
          </w:p>
        </w:tc>
        <w:tc>
          <w:tcPr>
            <w:tcW w:w="851" w:type="dxa"/>
            <w:noWrap w:val="0"/>
            <w:vAlign w:val="center"/>
          </w:tcPr>
          <w:p w14:paraId="48125D87">
            <w:pPr>
              <w:wordWrap w:val="0"/>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分</w:t>
            </w:r>
          </w:p>
        </w:tc>
      </w:tr>
      <w:tr w14:paraId="59850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7" w:type="dxa"/>
            <w:vMerge w:val="continue"/>
            <w:noWrap w:val="0"/>
            <w:vAlign w:val="center"/>
          </w:tcPr>
          <w:p w14:paraId="486FD0FD">
            <w:pPr>
              <w:wordWrap w:val="0"/>
              <w:adjustRightInd w:val="0"/>
              <w:spacing w:line="400" w:lineRule="exact"/>
              <w:jc w:val="center"/>
              <w:textAlignment w:val="baseline"/>
              <w:rPr>
                <w:rFonts w:hint="eastAsia" w:ascii="宋体" w:hAnsi="宋体" w:eastAsia="宋体" w:cs="宋体"/>
                <w:color w:val="auto"/>
                <w:kern w:val="0"/>
                <w:szCs w:val="21"/>
                <w:highlight w:val="none"/>
              </w:rPr>
            </w:pPr>
          </w:p>
        </w:tc>
        <w:tc>
          <w:tcPr>
            <w:tcW w:w="1377" w:type="dxa"/>
            <w:vMerge w:val="continue"/>
            <w:noWrap w:val="0"/>
            <w:vAlign w:val="center"/>
          </w:tcPr>
          <w:p w14:paraId="7B63879E">
            <w:pPr>
              <w:wordWrap w:val="0"/>
              <w:adjustRightInd w:val="0"/>
              <w:spacing w:line="400" w:lineRule="exact"/>
              <w:jc w:val="center"/>
              <w:textAlignment w:val="baseline"/>
              <w:rPr>
                <w:rFonts w:hint="eastAsia" w:ascii="宋体" w:hAnsi="宋体" w:eastAsia="宋体" w:cs="宋体"/>
                <w:color w:val="auto"/>
                <w:kern w:val="0"/>
                <w:szCs w:val="21"/>
                <w:highlight w:val="none"/>
              </w:rPr>
            </w:pPr>
          </w:p>
        </w:tc>
        <w:tc>
          <w:tcPr>
            <w:tcW w:w="6155" w:type="dxa"/>
            <w:noWrap w:val="0"/>
            <w:vAlign w:val="center"/>
          </w:tcPr>
          <w:p w14:paraId="3B199965">
            <w:pPr>
              <w:keepNext w:val="0"/>
              <w:keepLines w:val="0"/>
              <w:pageBreakBefore w:val="0"/>
              <w:kinsoku/>
              <w:wordWrap w:val="0"/>
              <w:overflowPunct/>
              <w:topLinePunct w:val="0"/>
              <w:autoSpaceDE/>
              <w:autoSpaceDN/>
              <w:bidi w:val="0"/>
              <w:spacing w:line="400" w:lineRule="exact"/>
              <w:ind w:firstLine="422" w:firstLineChars="200"/>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人员管理方案分</w:t>
            </w:r>
          </w:p>
          <w:p w14:paraId="21E42164">
            <w:pPr>
              <w:keepNext w:val="0"/>
              <w:keepLines w:val="0"/>
              <w:pageBreakBefore w:val="0"/>
              <w:kinsoku/>
              <w:wordWrap w:val="0"/>
              <w:overflowPunct/>
              <w:topLinePunct w:val="0"/>
              <w:autoSpaceDE/>
              <w:autoSpaceDN/>
              <w:bidi w:val="0"/>
              <w:spacing w:line="400" w:lineRule="exact"/>
              <w:ind w:firstLine="422" w:firstLineChars="200"/>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提供人员管理方案内容未达到一档要求的不得分：</w:t>
            </w:r>
          </w:p>
          <w:p w14:paraId="01222881">
            <w:pPr>
              <w:keepNext w:val="0"/>
              <w:keepLines w:val="0"/>
              <w:pageBreakBefore w:val="0"/>
              <w:kinsoku/>
              <w:wordWrap w:val="0"/>
              <w:overflowPunct/>
              <w:topLinePunct w:val="0"/>
              <w:autoSpaceDE/>
              <w:autoSpaceDN/>
              <w:bidi w:val="0"/>
              <w:spacing w:line="40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一档（2分）：提供的项目组织方案内容不完善，包含有服务人员工作安排计划，对人员岗位设置制定有相应的岗位职责及分工说明。</w:t>
            </w:r>
          </w:p>
          <w:p w14:paraId="3EBD811D">
            <w:pPr>
              <w:keepNext w:val="0"/>
              <w:keepLines w:val="0"/>
              <w:pageBreakBefore w:val="0"/>
              <w:kinsoku/>
              <w:wordWrap w:val="0"/>
              <w:overflowPunct/>
              <w:topLinePunct w:val="0"/>
              <w:autoSpaceDE/>
              <w:autoSpaceDN/>
              <w:bidi w:val="0"/>
              <w:spacing w:line="40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二档（6分）：提供的项目组织方案内容详细，包含有服务人员工作安排计划，对人员岗位设置制定有相应的岗位职责及分工说明并具有人员管理制度。</w:t>
            </w:r>
          </w:p>
          <w:p w14:paraId="64662F0C">
            <w:pPr>
              <w:keepNext w:val="0"/>
              <w:keepLines w:val="0"/>
              <w:pageBreakBefore w:val="0"/>
              <w:kinsoku/>
              <w:wordWrap w:val="0"/>
              <w:overflowPunct/>
              <w:topLinePunct w:val="0"/>
              <w:autoSpaceDE/>
              <w:autoSpaceDN/>
              <w:bidi w:val="0"/>
              <w:spacing w:line="4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rPr>
              <w:t>三档（10分）：提供的项目组织方案内容详细、合理，对服务人员的数量，专业及工作安排计划有详细说明。并对人员岗位设置制定有相应的岗位职责、岗位分工说明；针对本项目制定合理的拟投入人员的管理制度、考核管理及人员管理办法。</w:t>
            </w:r>
          </w:p>
        </w:tc>
        <w:tc>
          <w:tcPr>
            <w:tcW w:w="851" w:type="dxa"/>
            <w:noWrap w:val="0"/>
            <w:vAlign w:val="center"/>
          </w:tcPr>
          <w:p w14:paraId="4C1D6DF1">
            <w:pPr>
              <w:wordWrap w:val="0"/>
              <w:spacing w:line="400" w:lineRule="exact"/>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10分</w:t>
            </w:r>
          </w:p>
        </w:tc>
      </w:tr>
      <w:tr w14:paraId="27875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7" w:type="dxa"/>
            <w:noWrap w:val="0"/>
            <w:vAlign w:val="center"/>
          </w:tcPr>
          <w:p w14:paraId="41BBBA74">
            <w:pPr>
              <w:widowControl/>
              <w:wordWrap w:val="0"/>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w:t>
            </w:r>
          </w:p>
        </w:tc>
        <w:tc>
          <w:tcPr>
            <w:tcW w:w="1377" w:type="dxa"/>
            <w:noWrap w:val="0"/>
            <w:vAlign w:val="center"/>
          </w:tcPr>
          <w:p w14:paraId="615F1DFD">
            <w:pPr>
              <w:widowControl/>
              <w:wordWrap w:val="0"/>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商务分</w:t>
            </w:r>
          </w:p>
        </w:tc>
        <w:tc>
          <w:tcPr>
            <w:tcW w:w="7006" w:type="dxa"/>
            <w:gridSpan w:val="2"/>
            <w:noWrap w:val="0"/>
            <w:vAlign w:val="center"/>
          </w:tcPr>
          <w:p w14:paraId="691E9B20">
            <w:pPr>
              <w:keepNext w:val="0"/>
              <w:keepLines w:val="0"/>
              <w:pageBreakBefore w:val="0"/>
              <w:widowControl/>
              <w:kinsoku/>
              <w:wordWrap w:val="0"/>
              <w:overflowPunct/>
              <w:topLinePunct w:val="0"/>
              <w:autoSpaceDE/>
              <w:autoSpaceDN/>
              <w:bidi w:val="0"/>
              <w:spacing w:line="400" w:lineRule="exact"/>
              <w:ind w:firstLine="420" w:firstLineChars="200"/>
              <w:jc w:val="center"/>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评审因素</w:t>
            </w:r>
          </w:p>
        </w:tc>
      </w:tr>
      <w:tr w14:paraId="6C5C9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7" w:type="dxa"/>
            <w:noWrap w:val="0"/>
            <w:vAlign w:val="center"/>
          </w:tcPr>
          <w:p w14:paraId="452C04C4">
            <w:pPr>
              <w:wordWrap w:val="0"/>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3.1</w:t>
            </w:r>
          </w:p>
        </w:tc>
        <w:tc>
          <w:tcPr>
            <w:tcW w:w="1377" w:type="dxa"/>
            <w:noWrap w:val="0"/>
            <w:vAlign w:val="center"/>
          </w:tcPr>
          <w:p w14:paraId="05CBDDC4">
            <w:pPr>
              <w:widowControl/>
              <w:wordWrap w:val="0"/>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业绩分</w:t>
            </w:r>
          </w:p>
        </w:tc>
        <w:tc>
          <w:tcPr>
            <w:tcW w:w="6155" w:type="dxa"/>
            <w:noWrap w:val="0"/>
            <w:vAlign w:val="top"/>
          </w:tcPr>
          <w:p w14:paraId="7DE1AA66">
            <w:pPr>
              <w:keepNext w:val="0"/>
              <w:keepLines w:val="0"/>
              <w:pageBreakBefore w:val="0"/>
              <w:kinsoku/>
              <w:wordWrap w:val="0"/>
              <w:overflowPunct/>
              <w:topLinePunct w:val="0"/>
              <w:autoSpaceDE/>
              <w:autoSpaceDN/>
              <w:bidi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rPr>
              <w:t>202</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年1月1日以来</w:t>
            </w:r>
            <w:r>
              <w:rPr>
                <w:rFonts w:hint="eastAsia" w:ascii="宋体" w:hAnsi="宋体" w:eastAsia="宋体" w:cs="宋体"/>
                <w:color w:val="auto"/>
                <w:sz w:val="21"/>
                <w:szCs w:val="21"/>
                <w:highlight w:val="none"/>
              </w:rPr>
              <w:t>，供应商具有类似项目的业绩，每提供一份证明材料得2分，满分10分。</w:t>
            </w:r>
            <w:r>
              <w:rPr>
                <w:rFonts w:hint="eastAsia" w:ascii="宋体" w:hAnsi="宋体" w:eastAsia="宋体" w:cs="宋体"/>
                <w:color w:val="auto"/>
                <w:sz w:val="21"/>
                <w:szCs w:val="21"/>
                <w:highlight w:val="none"/>
                <w:lang w:eastAsia="zh-CN"/>
              </w:rPr>
              <w:t>（</w:t>
            </w:r>
            <w:r>
              <w:rPr>
                <w:rFonts w:hint="eastAsia" w:ascii="宋体" w:hAnsi="宋体" w:eastAsia="宋体" w:cs="宋体"/>
                <w:b/>
                <w:bCs/>
                <w:color w:val="auto"/>
                <w:sz w:val="21"/>
                <w:szCs w:val="21"/>
                <w:highlight w:val="none"/>
              </w:rPr>
              <w:t>须提供有效的合同或中标（成交）通知书复印件并加盖供应商公章，否则不予计分）。</w:t>
            </w:r>
          </w:p>
        </w:tc>
        <w:tc>
          <w:tcPr>
            <w:tcW w:w="851" w:type="dxa"/>
            <w:noWrap w:val="0"/>
            <w:vAlign w:val="center"/>
          </w:tcPr>
          <w:p w14:paraId="1C67A6C1">
            <w:pPr>
              <w:widowControl/>
              <w:wordWrap w:val="0"/>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10</w:t>
            </w:r>
            <w:r>
              <w:rPr>
                <w:rFonts w:hint="eastAsia" w:ascii="宋体" w:hAnsi="宋体" w:eastAsia="宋体" w:cs="宋体"/>
                <w:color w:val="auto"/>
                <w:kern w:val="0"/>
                <w:szCs w:val="21"/>
                <w:highlight w:val="none"/>
              </w:rPr>
              <w:t>分</w:t>
            </w:r>
          </w:p>
        </w:tc>
      </w:tr>
      <w:tr w14:paraId="1C8DA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090" w:type="dxa"/>
            <w:gridSpan w:val="4"/>
            <w:noWrap w:val="0"/>
            <w:vAlign w:val="center"/>
          </w:tcPr>
          <w:p w14:paraId="65A627B8">
            <w:pPr>
              <w:widowControl/>
              <w:wordWrap w:val="0"/>
              <w:spacing w:line="400" w:lineRule="exact"/>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szCs w:val="21"/>
                <w:highlight w:val="none"/>
              </w:rPr>
              <w:t>总得分为以上各项评审因素得分合计</w:t>
            </w:r>
          </w:p>
        </w:tc>
      </w:tr>
    </w:tbl>
    <w:p w14:paraId="165AD374">
      <w:pPr>
        <w:rPr>
          <w:rFonts w:hint="eastAsia" w:ascii="宋体" w:hAnsi="宋体" w:eastAsia="宋体" w:cs="宋体"/>
          <w:color w:val="auto"/>
          <w:highlight w:val="none"/>
          <w:lang w:val="en-US" w:eastAsia="zh-CN"/>
        </w:rPr>
      </w:pPr>
    </w:p>
    <w:p w14:paraId="171905DA">
      <w:pPr>
        <w:pStyle w:val="38"/>
        <w:rPr>
          <w:rFonts w:hint="eastAsia" w:ascii="宋体" w:hAnsi="宋体" w:eastAsia="宋体" w:cs="宋体"/>
          <w:color w:val="auto"/>
          <w:highlight w:val="none"/>
          <w:lang w:val="en-US" w:eastAsia="zh-CN"/>
        </w:rPr>
      </w:pPr>
    </w:p>
    <w:p w14:paraId="15E9F39F">
      <w:pPr>
        <w:rPr>
          <w:rFonts w:hint="eastAsia" w:ascii="宋体" w:hAnsi="宋体" w:eastAsia="宋体" w:cs="宋体"/>
          <w:color w:val="auto"/>
          <w:highlight w:val="none"/>
          <w:lang w:val="en-US" w:eastAsia="zh-CN"/>
        </w:rPr>
      </w:pPr>
    </w:p>
    <w:p w14:paraId="59ACCAA2">
      <w:pPr>
        <w:pStyle w:val="38"/>
        <w:rPr>
          <w:rFonts w:hint="eastAsia" w:ascii="宋体" w:hAnsi="宋体" w:eastAsia="宋体" w:cs="宋体"/>
          <w:color w:val="auto"/>
          <w:highlight w:val="none"/>
          <w:lang w:val="en-US" w:eastAsia="zh-CN"/>
        </w:rPr>
      </w:pPr>
    </w:p>
    <w:p w14:paraId="1357CD28">
      <w:pPr>
        <w:rPr>
          <w:rFonts w:hint="eastAsia" w:ascii="宋体" w:hAnsi="宋体" w:eastAsia="宋体" w:cs="宋体"/>
          <w:color w:val="auto"/>
          <w:highlight w:val="none"/>
          <w:lang w:val="en-US" w:eastAsia="zh-CN"/>
        </w:rPr>
      </w:pPr>
    </w:p>
    <w:p w14:paraId="166A9901">
      <w:pPr>
        <w:pStyle w:val="6"/>
        <w:rPr>
          <w:rFonts w:hint="eastAsia" w:ascii="宋体" w:hAnsi="宋体" w:eastAsia="宋体" w:cs="宋体"/>
          <w:color w:val="auto"/>
          <w:highlight w:val="none"/>
          <w:lang w:val="en-US" w:eastAsia="zh-CN"/>
        </w:rPr>
      </w:pPr>
    </w:p>
    <w:p w14:paraId="45E69F04">
      <w:pPr>
        <w:rPr>
          <w:rFonts w:hint="eastAsia" w:ascii="宋体" w:hAnsi="宋体" w:eastAsia="宋体" w:cs="宋体"/>
          <w:color w:val="auto"/>
          <w:highlight w:val="none"/>
          <w:lang w:val="en-US" w:eastAsia="zh-CN"/>
        </w:rPr>
      </w:pPr>
    </w:p>
    <w:p w14:paraId="1FAB3132">
      <w:pPr>
        <w:pStyle w:val="6"/>
        <w:rPr>
          <w:rFonts w:hint="eastAsia" w:ascii="宋体" w:hAnsi="宋体" w:eastAsia="宋体" w:cs="宋体"/>
          <w:color w:val="auto"/>
          <w:highlight w:val="none"/>
          <w:lang w:val="en-US" w:eastAsia="zh-CN"/>
        </w:rPr>
      </w:pPr>
    </w:p>
    <w:p w14:paraId="2871C9A4">
      <w:pPr>
        <w:rPr>
          <w:rFonts w:hint="eastAsia" w:ascii="宋体" w:hAnsi="宋体" w:eastAsia="宋体" w:cs="宋体"/>
          <w:color w:val="auto"/>
          <w:highlight w:val="none"/>
          <w:lang w:val="en-US" w:eastAsia="zh-CN"/>
        </w:rPr>
      </w:pPr>
    </w:p>
    <w:p w14:paraId="7F5E45CE">
      <w:pPr>
        <w:pStyle w:val="6"/>
        <w:rPr>
          <w:rFonts w:hint="eastAsia" w:ascii="宋体" w:hAnsi="宋体" w:eastAsia="宋体" w:cs="宋体"/>
          <w:color w:val="auto"/>
          <w:highlight w:val="none"/>
          <w:lang w:val="en-US" w:eastAsia="zh-CN"/>
        </w:rPr>
      </w:pPr>
    </w:p>
    <w:p w14:paraId="614FB564">
      <w:pPr>
        <w:rPr>
          <w:rFonts w:hint="eastAsia" w:ascii="宋体" w:hAnsi="宋体" w:eastAsia="宋体" w:cs="宋体"/>
          <w:color w:val="auto"/>
          <w:highlight w:val="none"/>
          <w:lang w:val="en-US" w:eastAsia="zh-CN"/>
        </w:rPr>
      </w:pPr>
    </w:p>
    <w:p w14:paraId="013DE82E">
      <w:pPr>
        <w:pStyle w:val="6"/>
        <w:rPr>
          <w:rFonts w:hint="eastAsia" w:ascii="宋体" w:hAnsi="宋体" w:eastAsia="宋体" w:cs="宋体"/>
          <w:color w:val="auto"/>
          <w:highlight w:val="none"/>
          <w:lang w:val="en-US" w:eastAsia="zh-CN"/>
        </w:rPr>
      </w:pPr>
    </w:p>
    <w:p w14:paraId="068F1BE5">
      <w:pPr>
        <w:rPr>
          <w:rFonts w:hint="eastAsia" w:ascii="宋体" w:hAnsi="宋体" w:eastAsia="宋体" w:cs="宋体"/>
          <w:color w:val="auto"/>
          <w:highlight w:val="none"/>
          <w:lang w:val="en-US" w:eastAsia="zh-CN"/>
        </w:rPr>
      </w:pPr>
    </w:p>
    <w:p w14:paraId="576BB171">
      <w:pPr>
        <w:pStyle w:val="38"/>
        <w:rPr>
          <w:rFonts w:hint="eastAsia" w:ascii="宋体" w:hAnsi="宋体" w:eastAsia="宋体" w:cs="宋体"/>
          <w:b/>
          <w:bCs/>
          <w:color w:val="auto"/>
          <w:sz w:val="24"/>
          <w:szCs w:val="24"/>
          <w:highlight w:val="none"/>
          <w:lang w:val="en-US" w:eastAsia="zh-CN"/>
        </w:rPr>
      </w:pPr>
    </w:p>
    <w:p w14:paraId="45DD591E">
      <w:pPr>
        <w:pStyle w:val="38"/>
        <w:rPr>
          <w:rFonts w:hint="eastAsia" w:ascii="宋体" w:hAnsi="宋体" w:eastAsia="宋体" w:cs="宋体"/>
          <w:b/>
          <w:bCs/>
          <w:color w:val="auto"/>
          <w:sz w:val="24"/>
          <w:szCs w:val="24"/>
          <w:highlight w:val="none"/>
          <w:lang w:val="en-US" w:eastAsia="zh-CN"/>
        </w:rPr>
      </w:pPr>
    </w:p>
    <w:p w14:paraId="65D8B033">
      <w:pPr>
        <w:pStyle w:val="38"/>
        <w:rPr>
          <w:rFonts w:hint="eastAsia" w:ascii="宋体" w:hAnsi="宋体" w:eastAsia="宋体" w:cs="宋体"/>
          <w:b/>
          <w:bCs/>
          <w:color w:val="auto"/>
          <w:sz w:val="24"/>
          <w:szCs w:val="24"/>
          <w:highlight w:val="none"/>
          <w:lang w:val="en-US" w:eastAsia="zh-CN"/>
        </w:rPr>
      </w:pPr>
    </w:p>
    <w:p w14:paraId="32F3AC56">
      <w:pPr>
        <w:pStyle w:val="38"/>
        <w:rPr>
          <w:rFonts w:hint="eastAsia" w:ascii="宋体" w:hAnsi="宋体" w:eastAsia="宋体" w:cs="宋体"/>
          <w:b/>
          <w:bCs/>
          <w:color w:val="auto"/>
          <w:sz w:val="24"/>
          <w:szCs w:val="24"/>
          <w:highlight w:val="none"/>
          <w:lang w:val="en-US" w:eastAsia="zh-CN"/>
        </w:rPr>
      </w:pPr>
    </w:p>
    <w:p w14:paraId="32983F9C">
      <w:pPr>
        <w:pStyle w:val="38"/>
        <w:rPr>
          <w:rFonts w:hint="eastAsia" w:ascii="宋体" w:hAnsi="宋体" w:eastAsia="宋体" w:cs="宋体"/>
          <w:b/>
          <w:bCs/>
          <w:color w:val="auto"/>
          <w:sz w:val="24"/>
          <w:szCs w:val="24"/>
          <w:highlight w:val="none"/>
          <w:lang w:val="en-US" w:eastAsia="zh-CN"/>
        </w:rPr>
      </w:pPr>
    </w:p>
    <w:p w14:paraId="2129305B">
      <w:pPr>
        <w:pStyle w:val="38"/>
        <w:rPr>
          <w:rFonts w:hint="eastAsia" w:ascii="宋体" w:hAnsi="宋体" w:eastAsia="宋体" w:cs="宋体"/>
          <w:b/>
          <w:bCs/>
          <w:color w:val="auto"/>
          <w:sz w:val="24"/>
          <w:szCs w:val="24"/>
          <w:highlight w:val="none"/>
          <w:lang w:val="en-US" w:eastAsia="zh-CN"/>
        </w:rPr>
      </w:pPr>
    </w:p>
    <w:p w14:paraId="2E923CD3">
      <w:pPr>
        <w:pStyle w:val="38"/>
        <w:rPr>
          <w:rFonts w:hint="eastAsia" w:ascii="宋体" w:hAnsi="宋体" w:eastAsia="宋体" w:cs="宋体"/>
          <w:b/>
          <w:bCs/>
          <w:color w:val="auto"/>
          <w:sz w:val="24"/>
          <w:szCs w:val="24"/>
          <w:highlight w:val="none"/>
          <w:lang w:val="en-US" w:eastAsia="zh-CN"/>
        </w:rPr>
      </w:pPr>
    </w:p>
    <w:p w14:paraId="0D9D8764">
      <w:pPr>
        <w:pStyle w:val="38"/>
        <w:rPr>
          <w:rFonts w:hint="eastAsia" w:ascii="宋体" w:hAnsi="宋体" w:eastAsia="宋体" w:cs="宋体"/>
          <w:b/>
          <w:bCs/>
          <w:color w:val="auto"/>
          <w:sz w:val="24"/>
          <w:szCs w:val="24"/>
          <w:highlight w:val="none"/>
          <w:lang w:val="en-US" w:eastAsia="zh-CN"/>
        </w:rPr>
      </w:pPr>
    </w:p>
    <w:p w14:paraId="4205D724">
      <w:pPr>
        <w:pStyle w:val="38"/>
        <w:rPr>
          <w:rFonts w:hint="eastAsia" w:ascii="宋体" w:hAnsi="宋体" w:eastAsia="宋体" w:cs="宋体"/>
          <w:b/>
          <w:bCs/>
          <w:color w:val="auto"/>
          <w:sz w:val="24"/>
          <w:szCs w:val="24"/>
          <w:highlight w:val="none"/>
          <w:lang w:val="en-US" w:eastAsia="zh-CN"/>
        </w:rPr>
      </w:pPr>
    </w:p>
    <w:p w14:paraId="6D4A2FBF">
      <w:pPr>
        <w:pStyle w:val="38"/>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分标5：</w:t>
      </w:r>
    </w:p>
    <w:p w14:paraId="775431CB">
      <w:pPr>
        <w:pStyle w:val="38"/>
        <w:rPr>
          <w:rFonts w:hint="eastAsia" w:ascii="宋体" w:hAnsi="宋体" w:eastAsia="宋体" w:cs="宋体"/>
          <w:color w:val="auto"/>
          <w:highlight w:val="none"/>
          <w:lang w:val="en-US" w:eastAsia="zh-CN"/>
        </w:rPr>
      </w:pPr>
    </w:p>
    <w:tbl>
      <w:tblPr>
        <w:tblStyle w:val="6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7"/>
        <w:gridCol w:w="1377"/>
        <w:gridCol w:w="6155"/>
        <w:gridCol w:w="851"/>
      </w:tblGrid>
      <w:tr w14:paraId="60173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7" w:type="dxa"/>
            <w:noWrap w:val="0"/>
            <w:vAlign w:val="center"/>
          </w:tcPr>
          <w:p w14:paraId="15033CFF">
            <w:pPr>
              <w:widowControl/>
              <w:wordWrap w:val="0"/>
              <w:spacing w:line="400" w:lineRule="exact"/>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序号</w:t>
            </w:r>
          </w:p>
        </w:tc>
        <w:tc>
          <w:tcPr>
            <w:tcW w:w="1377" w:type="dxa"/>
            <w:noWrap w:val="0"/>
            <w:vAlign w:val="center"/>
          </w:tcPr>
          <w:p w14:paraId="0EDB37AB">
            <w:pPr>
              <w:widowControl/>
              <w:wordWrap w:val="0"/>
              <w:spacing w:line="400" w:lineRule="exact"/>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评审因素</w:t>
            </w:r>
          </w:p>
        </w:tc>
        <w:tc>
          <w:tcPr>
            <w:tcW w:w="6155" w:type="dxa"/>
            <w:noWrap w:val="0"/>
            <w:vAlign w:val="center"/>
          </w:tcPr>
          <w:p w14:paraId="5E66BEA8">
            <w:pPr>
              <w:widowControl/>
              <w:wordWrap w:val="0"/>
              <w:spacing w:line="400" w:lineRule="exact"/>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评审因素具体内容</w:t>
            </w:r>
          </w:p>
        </w:tc>
        <w:tc>
          <w:tcPr>
            <w:tcW w:w="851" w:type="dxa"/>
            <w:noWrap w:val="0"/>
            <w:vAlign w:val="center"/>
          </w:tcPr>
          <w:p w14:paraId="2BDD4671">
            <w:pPr>
              <w:widowControl/>
              <w:wordWrap w:val="0"/>
              <w:spacing w:line="400" w:lineRule="exact"/>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分值</w:t>
            </w:r>
          </w:p>
        </w:tc>
      </w:tr>
      <w:tr w14:paraId="572D4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7" w:type="dxa"/>
            <w:noWrap w:val="0"/>
            <w:vAlign w:val="center"/>
          </w:tcPr>
          <w:p w14:paraId="472959BF">
            <w:pPr>
              <w:widowControl/>
              <w:wordWrap w:val="0"/>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w:t>
            </w:r>
          </w:p>
        </w:tc>
        <w:tc>
          <w:tcPr>
            <w:tcW w:w="1377" w:type="dxa"/>
            <w:noWrap w:val="0"/>
            <w:vAlign w:val="center"/>
          </w:tcPr>
          <w:p w14:paraId="6C7DB2F6">
            <w:pPr>
              <w:widowControl/>
              <w:wordWrap w:val="0"/>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价格分</w:t>
            </w:r>
          </w:p>
        </w:tc>
        <w:tc>
          <w:tcPr>
            <w:tcW w:w="6155" w:type="dxa"/>
            <w:noWrap w:val="0"/>
            <w:vAlign w:val="top"/>
          </w:tcPr>
          <w:p w14:paraId="116B6742">
            <w:pPr>
              <w:numPr>
                <w:ilvl w:val="-1"/>
                <w:numId w:val="0"/>
              </w:numPr>
              <w:snapToGrid w:val="0"/>
              <w:spacing w:line="360" w:lineRule="auto"/>
              <w:ind w:firstLine="420" w:firstLineChars="200"/>
              <w:outlineLvl w:val="9"/>
              <w:rPr>
                <w:rFonts w:hint="eastAsia" w:ascii="宋体" w:hAnsi="宋体" w:eastAsia="宋体" w:cs="宋体"/>
                <w:color w:val="auto"/>
                <w:highlight w:val="none"/>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lang w:eastAsia="zh-CN"/>
              </w:rPr>
              <w:t>）</w:t>
            </w:r>
            <w:r>
              <w:rPr>
                <w:rFonts w:hint="eastAsia" w:ascii="宋体" w:hAnsi="宋体" w:eastAsia="宋体" w:cs="宋体"/>
                <w:bCs/>
                <w:color w:val="auto"/>
                <w:szCs w:val="21"/>
                <w:highlight w:val="none"/>
              </w:rPr>
              <w:t>本项目为专门面向</w:t>
            </w:r>
            <w:r>
              <w:rPr>
                <w:rFonts w:hint="eastAsia" w:ascii="宋体" w:hAnsi="宋体" w:eastAsia="宋体" w:cs="宋体"/>
                <w:bCs/>
                <w:color w:val="auto"/>
                <w:szCs w:val="21"/>
                <w:highlight w:val="none"/>
                <w:lang w:val="en-US" w:eastAsia="zh-CN"/>
              </w:rPr>
              <w:t>中</w:t>
            </w:r>
            <w:r>
              <w:rPr>
                <w:rFonts w:hint="eastAsia" w:ascii="宋体" w:hAnsi="宋体" w:eastAsia="宋体" w:cs="宋体"/>
                <w:bCs/>
                <w:color w:val="auto"/>
                <w:szCs w:val="21"/>
                <w:highlight w:val="none"/>
              </w:rPr>
              <w:t>小企业采购的项目，供应商不重复享受政策价格扣除。最终</w:t>
            </w:r>
            <w:r>
              <w:rPr>
                <w:rFonts w:hint="eastAsia" w:ascii="宋体" w:hAnsi="宋体" w:eastAsia="宋体" w:cs="宋体"/>
                <w:bCs/>
                <w:color w:val="auto"/>
                <w:szCs w:val="21"/>
                <w:highlight w:val="none"/>
                <w:lang w:eastAsia="zh-CN"/>
              </w:rPr>
              <w:t>中标</w:t>
            </w:r>
            <w:r>
              <w:rPr>
                <w:rFonts w:hint="eastAsia" w:ascii="宋体" w:hAnsi="宋体" w:eastAsia="宋体" w:cs="宋体"/>
                <w:bCs/>
                <w:color w:val="auto"/>
                <w:szCs w:val="21"/>
                <w:highlight w:val="none"/>
              </w:rPr>
              <w:t>供应商的</w:t>
            </w:r>
            <w:r>
              <w:rPr>
                <w:rFonts w:hint="eastAsia" w:ascii="宋体" w:hAnsi="宋体" w:eastAsia="宋体" w:cs="宋体"/>
                <w:bCs/>
                <w:color w:val="auto"/>
                <w:szCs w:val="21"/>
                <w:highlight w:val="none"/>
                <w:lang w:eastAsia="zh-CN"/>
              </w:rPr>
              <w:t>中标</w:t>
            </w:r>
            <w:r>
              <w:rPr>
                <w:rFonts w:hint="eastAsia" w:ascii="宋体" w:hAnsi="宋体" w:eastAsia="宋体" w:cs="宋体"/>
                <w:bCs/>
                <w:color w:val="auto"/>
                <w:szCs w:val="21"/>
                <w:highlight w:val="none"/>
              </w:rPr>
              <w:t>金额等于最后报价（如有修正，以确认修正后的最后报价为准）。</w:t>
            </w:r>
          </w:p>
          <w:p w14:paraId="1B24AD71">
            <w:pPr>
              <w:spacing w:line="360" w:lineRule="exact"/>
              <w:ind w:firstLine="420" w:firstLineChars="200"/>
              <w:outlineLvl w:val="9"/>
              <w:rPr>
                <w:rFonts w:hint="eastAsia" w:ascii="宋体" w:hAnsi="宋体" w:eastAsia="宋体" w:cs="宋体"/>
                <w:color w:val="auto"/>
                <w:highlight w:val="none"/>
              </w:rPr>
            </w:pPr>
            <w:r>
              <w:rPr>
                <w:rFonts w:hint="eastAsia" w:ascii="宋体" w:hAnsi="宋体" w:eastAsia="宋体" w:cs="宋体"/>
                <w:color w:val="auto"/>
                <w:highlight w:val="none"/>
              </w:rPr>
              <w:t>（2）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不重复享受政策。</w:t>
            </w:r>
          </w:p>
          <w:p w14:paraId="5442FF46">
            <w:pPr>
              <w:spacing w:line="360" w:lineRule="exact"/>
              <w:ind w:firstLine="420" w:firstLineChars="200"/>
              <w:outlineLvl w:val="9"/>
              <w:rPr>
                <w:rFonts w:hint="eastAsia" w:ascii="宋体" w:hAnsi="宋体" w:eastAsia="宋体" w:cs="宋体"/>
                <w:color w:val="auto"/>
                <w:highlight w:val="none"/>
              </w:rPr>
            </w:pPr>
            <w:r>
              <w:rPr>
                <w:rFonts w:hint="eastAsia" w:ascii="宋体" w:hAnsi="宋体" w:eastAsia="宋体" w:cs="宋体"/>
                <w:color w:val="auto"/>
                <w:highlight w:val="none"/>
              </w:rPr>
              <w:t>（3）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4F96D708">
            <w:pPr>
              <w:spacing w:line="360" w:lineRule="exact"/>
              <w:ind w:firstLine="420" w:firstLineChars="200"/>
              <w:outlineLvl w:val="9"/>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rPr>
              <w:t>）评审报价＝最后报价。</w:t>
            </w:r>
          </w:p>
          <w:p w14:paraId="7FE9739B">
            <w:pPr>
              <w:spacing w:line="360" w:lineRule="exact"/>
              <w:ind w:firstLine="420" w:firstLineChars="200"/>
              <w:outlineLvl w:val="9"/>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（5）以进入比较与评价环节的最低的评审报价为基准价，基准价得分为 20分。</w:t>
            </w:r>
          </w:p>
          <w:p w14:paraId="15F38F40">
            <w:pPr>
              <w:spacing w:line="360" w:lineRule="exact"/>
              <w:ind w:firstLine="420" w:firstLineChars="200"/>
              <w:outlineLvl w:val="9"/>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（6）价格分计算公式：</w:t>
            </w:r>
          </w:p>
          <w:p w14:paraId="75E19770">
            <w:pPr>
              <w:keepNext w:val="0"/>
              <w:keepLines w:val="0"/>
              <w:pageBreakBefore w:val="0"/>
              <w:kinsoku/>
              <w:wordWrap w:val="0"/>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eastAsia="zh-CN"/>
              </w:rPr>
              <w:t>报价得分=（基准价/</w:t>
            </w:r>
            <w:r>
              <w:rPr>
                <w:rFonts w:hint="eastAsia" w:ascii="宋体" w:hAnsi="宋体" w:eastAsia="宋体" w:cs="宋体"/>
                <w:color w:val="auto"/>
                <w:highlight w:val="none"/>
                <w:lang w:val="en-US" w:eastAsia="zh-CN"/>
              </w:rPr>
              <w:t>供应商有效</w:t>
            </w:r>
            <w:r>
              <w:rPr>
                <w:rFonts w:hint="eastAsia" w:ascii="宋体" w:hAnsi="宋体" w:eastAsia="宋体" w:cs="宋体"/>
                <w:color w:val="auto"/>
                <w:highlight w:val="none"/>
                <w:lang w:eastAsia="zh-CN"/>
              </w:rPr>
              <w:t xml:space="preserve">最后报价）× </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lang w:eastAsia="zh-CN"/>
              </w:rPr>
              <w:t>0分</w:t>
            </w:r>
          </w:p>
        </w:tc>
        <w:tc>
          <w:tcPr>
            <w:tcW w:w="851" w:type="dxa"/>
            <w:noWrap w:val="0"/>
            <w:vAlign w:val="center"/>
          </w:tcPr>
          <w:p w14:paraId="50A963E8">
            <w:pPr>
              <w:widowControl/>
              <w:wordWrap w:val="0"/>
              <w:spacing w:line="400" w:lineRule="exact"/>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20分</w:t>
            </w:r>
          </w:p>
        </w:tc>
      </w:tr>
      <w:tr w14:paraId="4605E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7" w:type="dxa"/>
            <w:noWrap w:val="0"/>
            <w:vAlign w:val="center"/>
          </w:tcPr>
          <w:p w14:paraId="783D2BCF">
            <w:pPr>
              <w:widowControl/>
              <w:wordWrap w:val="0"/>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w:t>
            </w:r>
          </w:p>
        </w:tc>
        <w:tc>
          <w:tcPr>
            <w:tcW w:w="1377" w:type="dxa"/>
            <w:noWrap w:val="0"/>
            <w:vAlign w:val="center"/>
          </w:tcPr>
          <w:p w14:paraId="53BB9FD7">
            <w:pPr>
              <w:widowControl/>
              <w:wordWrap w:val="0"/>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技术分</w:t>
            </w:r>
          </w:p>
        </w:tc>
        <w:tc>
          <w:tcPr>
            <w:tcW w:w="7006" w:type="dxa"/>
            <w:gridSpan w:val="2"/>
            <w:noWrap w:val="0"/>
            <w:vAlign w:val="top"/>
          </w:tcPr>
          <w:p w14:paraId="6B0C43BD">
            <w:pPr>
              <w:keepNext w:val="0"/>
              <w:keepLines w:val="0"/>
              <w:pageBreakBefore w:val="0"/>
              <w:widowControl/>
              <w:kinsoku/>
              <w:wordWrap w:val="0"/>
              <w:overflowPunct/>
              <w:topLinePunct w:val="0"/>
              <w:autoSpaceDE/>
              <w:autoSpaceDN/>
              <w:bidi w:val="0"/>
              <w:spacing w:line="400" w:lineRule="exact"/>
              <w:ind w:firstLine="420" w:firstLineChars="200"/>
              <w:jc w:val="center"/>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评审因素</w:t>
            </w:r>
          </w:p>
        </w:tc>
      </w:tr>
      <w:tr w14:paraId="291ED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7" w:type="dxa"/>
            <w:noWrap w:val="0"/>
            <w:vAlign w:val="center"/>
          </w:tcPr>
          <w:p w14:paraId="130E1285">
            <w:pPr>
              <w:wordWrap w:val="0"/>
              <w:adjustRightInd w:val="0"/>
              <w:spacing w:line="400" w:lineRule="exact"/>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2.1</w:t>
            </w:r>
          </w:p>
        </w:tc>
        <w:tc>
          <w:tcPr>
            <w:tcW w:w="1377" w:type="dxa"/>
            <w:noWrap w:val="0"/>
            <w:vAlign w:val="center"/>
          </w:tcPr>
          <w:p w14:paraId="2F416E0F">
            <w:pPr>
              <w:wordWrap w:val="0"/>
              <w:adjustRightInd w:val="0"/>
              <w:spacing w:line="380" w:lineRule="exact"/>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项目认识与理解方案</w:t>
            </w:r>
          </w:p>
        </w:tc>
        <w:tc>
          <w:tcPr>
            <w:tcW w:w="6155" w:type="dxa"/>
            <w:noWrap w:val="0"/>
            <w:vAlign w:val="center"/>
          </w:tcPr>
          <w:p w14:paraId="3956B151">
            <w:pPr>
              <w:wordWrap w:val="0"/>
              <w:spacing w:line="380" w:lineRule="exact"/>
              <w:ind w:firstLine="42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未提供项目认识与理解方案或提供的内容未达到一档要求的不得分：</w:t>
            </w:r>
          </w:p>
          <w:p w14:paraId="0B72D351">
            <w:pPr>
              <w:wordWrap w:val="0"/>
              <w:spacing w:line="380" w:lineRule="exact"/>
              <w:ind w:firstLine="420"/>
              <w:rPr>
                <w:rFonts w:hint="eastAsia" w:ascii="宋体" w:hAnsi="宋体" w:eastAsia="宋体" w:cs="宋体"/>
                <w:color w:val="auto"/>
                <w:highlight w:val="none"/>
              </w:rPr>
            </w:pPr>
            <w:r>
              <w:rPr>
                <w:rFonts w:hint="eastAsia" w:ascii="宋体" w:hAnsi="宋体" w:eastAsia="宋体" w:cs="宋体"/>
                <w:color w:val="auto"/>
                <w:highlight w:val="none"/>
                <w:lang w:val="zh-CN"/>
              </w:rPr>
              <w:t>一档（</w:t>
            </w:r>
            <w:r>
              <w:rPr>
                <w:rFonts w:hint="eastAsia" w:ascii="宋体" w:hAnsi="宋体" w:eastAsia="宋体" w:cs="宋体"/>
                <w:color w:val="auto"/>
                <w:highlight w:val="none"/>
              </w:rPr>
              <w:t>5</w:t>
            </w:r>
            <w:r>
              <w:rPr>
                <w:rFonts w:hint="eastAsia" w:ascii="宋体" w:hAnsi="宋体" w:eastAsia="宋体" w:cs="宋体"/>
                <w:color w:val="auto"/>
                <w:highlight w:val="none"/>
                <w:lang w:val="zh-CN"/>
              </w:rPr>
              <w:t>分）：</w:t>
            </w:r>
            <w:r>
              <w:rPr>
                <w:rFonts w:hint="eastAsia" w:ascii="宋体" w:hAnsi="宋体" w:eastAsia="宋体" w:cs="宋体"/>
                <w:color w:val="auto"/>
                <w:highlight w:val="none"/>
              </w:rPr>
              <w:t>提供有对本项目的认识与理解方案，结合本项目背景对</w:t>
            </w:r>
            <w:r>
              <w:rPr>
                <w:rFonts w:hint="eastAsia" w:ascii="宋体" w:hAnsi="宋体" w:eastAsia="宋体" w:cs="宋体"/>
                <w:bCs/>
                <w:color w:val="auto"/>
                <w:szCs w:val="21"/>
                <w:highlight w:val="none"/>
              </w:rPr>
              <w:t>广西壮族自治区山口红树林生态国家级自然保护区的主要管护巡护内容、工作职责、特殊性等进行分析，对项目的理解基本准确</w:t>
            </w:r>
            <w:r>
              <w:rPr>
                <w:rFonts w:hint="eastAsia" w:ascii="宋体" w:hAnsi="宋体" w:eastAsia="宋体" w:cs="宋体"/>
                <w:color w:val="auto"/>
                <w:highlight w:val="none"/>
              </w:rPr>
              <w:t>。</w:t>
            </w:r>
          </w:p>
          <w:p w14:paraId="37D452D2">
            <w:pPr>
              <w:wordWrap w:val="0"/>
              <w:spacing w:line="380" w:lineRule="exact"/>
              <w:ind w:firstLine="420"/>
              <w:rPr>
                <w:rFonts w:hint="eastAsia" w:ascii="宋体" w:hAnsi="宋体" w:eastAsia="宋体" w:cs="宋体"/>
                <w:color w:val="auto"/>
                <w:highlight w:val="none"/>
              </w:rPr>
            </w:pPr>
            <w:r>
              <w:rPr>
                <w:rFonts w:hint="eastAsia" w:ascii="宋体" w:hAnsi="宋体" w:eastAsia="宋体" w:cs="宋体"/>
                <w:color w:val="auto"/>
                <w:highlight w:val="none"/>
              </w:rPr>
              <w:t>二</w:t>
            </w:r>
            <w:r>
              <w:rPr>
                <w:rFonts w:hint="eastAsia" w:ascii="宋体" w:hAnsi="宋体" w:eastAsia="宋体" w:cs="宋体"/>
                <w:color w:val="auto"/>
                <w:highlight w:val="none"/>
                <w:lang w:val="zh-CN"/>
              </w:rPr>
              <w:t>档（</w:t>
            </w:r>
            <w:r>
              <w:rPr>
                <w:rFonts w:hint="eastAsia" w:ascii="宋体" w:hAnsi="宋体" w:eastAsia="宋体" w:cs="宋体"/>
                <w:color w:val="auto"/>
                <w:highlight w:val="none"/>
              </w:rPr>
              <w:t>10</w:t>
            </w:r>
            <w:r>
              <w:rPr>
                <w:rFonts w:hint="eastAsia" w:ascii="宋体" w:hAnsi="宋体" w:eastAsia="宋体" w:cs="宋体"/>
                <w:color w:val="auto"/>
                <w:highlight w:val="none"/>
                <w:lang w:val="zh-CN"/>
              </w:rPr>
              <w:t>分）：</w:t>
            </w:r>
            <w:r>
              <w:rPr>
                <w:rFonts w:hint="eastAsia" w:ascii="宋体" w:hAnsi="宋体" w:eastAsia="宋体" w:cs="宋体"/>
                <w:color w:val="auto"/>
                <w:highlight w:val="none"/>
              </w:rPr>
              <w:t>有对本项目的认识与理解方案，结合本项目背景对</w:t>
            </w:r>
            <w:r>
              <w:rPr>
                <w:rFonts w:hint="eastAsia" w:ascii="宋体" w:hAnsi="宋体" w:eastAsia="宋体" w:cs="宋体"/>
                <w:bCs/>
                <w:color w:val="auto"/>
                <w:szCs w:val="21"/>
                <w:highlight w:val="none"/>
              </w:rPr>
              <w:t>广西壮族自治区山口红树林生态国家级自然保护区的主要管护巡护内容、工作职责、特殊性等进行深入的分析和理解，对</w:t>
            </w:r>
            <w:r>
              <w:rPr>
                <w:rFonts w:hint="eastAsia" w:ascii="宋体" w:hAnsi="宋体" w:eastAsia="宋体" w:cs="宋体"/>
                <w:color w:val="auto"/>
                <w:szCs w:val="21"/>
                <w:highlight w:val="none"/>
              </w:rPr>
              <w:t>日常巡逻与监控、资源管理、科研宣教及记录与报告等工作内容的重点难点有正确的认识</w:t>
            </w:r>
            <w:r>
              <w:rPr>
                <w:rFonts w:hint="eastAsia" w:ascii="宋体" w:hAnsi="宋体" w:eastAsia="宋体" w:cs="宋体"/>
                <w:color w:val="auto"/>
                <w:highlight w:val="none"/>
                <w:lang w:val="zh-CN"/>
              </w:rPr>
              <w:t>。</w:t>
            </w:r>
          </w:p>
          <w:p w14:paraId="65A80CCA">
            <w:pPr>
              <w:wordWrap w:val="0"/>
              <w:spacing w:line="380" w:lineRule="exact"/>
              <w:ind w:firstLine="420" w:firstLineChars="0"/>
              <w:rPr>
                <w:rFonts w:hint="eastAsia" w:ascii="宋体" w:hAnsi="宋体" w:eastAsia="宋体" w:cs="宋体"/>
                <w:color w:val="auto"/>
                <w:kern w:val="2"/>
                <w:sz w:val="21"/>
                <w:highlight w:val="none"/>
              </w:rPr>
            </w:pPr>
            <w:r>
              <w:rPr>
                <w:rFonts w:hint="eastAsia" w:ascii="宋体" w:hAnsi="宋体" w:eastAsia="宋体" w:cs="宋体"/>
                <w:color w:val="auto"/>
                <w:highlight w:val="none"/>
              </w:rPr>
              <w:t>三</w:t>
            </w:r>
            <w:r>
              <w:rPr>
                <w:rFonts w:hint="eastAsia" w:ascii="宋体" w:hAnsi="宋体" w:eastAsia="宋体" w:cs="宋体"/>
                <w:color w:val="auto"/>
                <w:highlight w:val="none"/>
                <w:lang w:val="zh-CN"/>
              </w:rPr>
              <w:t>档（</w:t>
            </w:r>
            <w:r>
              <w:rPr>
                <w:rFonts w:hint="eastAsia" w:ascii="宋体" w:hAnsi="宋体" w:eastAsia="宋体" w:cs="宋体"/>
                <w:color w:val="auto"/>
                <w:highlight w:val="none"/>
              </w:rPr>
              <w:t>15</w:t>
            </w:r>
            <w:r>
              <w:rPr>
                <w:rFonts w:hint="eastAsia" w:ascii="宋体" w:hAnsi="宋体" w:eastAsia="宋体" w:cs="宋体"/>
                <w:color w:val="auto"/>
                <w:highlight w:val="none"/>
                <w:lang w:val="zh-CN"/>
              </w:rPr>
              <w:t>分）：有对本项目的认识与理解方案，结合本项目背景对广西壮族自治区山口红树林生态国家级自然保护区的主要管护巡护内容、工作职责、特殊性等进行</w:t>
            </w:r>
            <w:r>
              <w:rPr>
                <w:rFonts w:hint="eastAsia" w:ascii="宋体" w:hAnsi="宋体" w:eastAsia="宋体" w:cs="宋体"/>
                <w:color w:val="auto"/>
                <w:highlight w:val="none"/>
              </w:rPr>
              <w:t>详细且</w:t>
            </w:r>
            <w:r>
              <w:rPr>
                <w:rFonts w:hint="eastAsia" w:ascii="宋体" w:hAnsi="宋体" w:eastAsia="宋体" w:cs="宋体"/>
                <w:color w:val="auto"/>
                <w:highlight w:val="none"/>
                <w:lang w:val="zh-CN"/>
              </w:rPr>
              <w:t>深入的分析和理解，对</w:t>
            </w:r>
            <w:r>
              <w:rPr>
                <w:rFonts w:hint="eastAsia" w:ascii="宋体" w:hAnsi="宋体" w:eastAsia="宋体" w:cs="宋体"/>
                <w:color w:val="auto"/>
                <w:highlight w:val="none"/>
              </w:rPr>
              <w:t>各区域的</w:t>
            </w:r>
            <w:r>
              <w:rPr>
                <w:rFonts w:hint="eastAsia" w:ascii="宋体" w:hAnsi="宋体" w:eastAsia="宋体" w:cs="宋体"/>
                <w:color w:val="auto"/>
                <w:highlight w:val="none"/>
                <w:lang w:val="zh-CN"/>
              </w:rPr>
              <w:t>日常巡逻与监控、资源管理、科研宣教及记录与报告等工作内容的重点难点有正确的认识</w:t>
            </w:r>
            <w:r>
              <w:rPr>
                <w:rFonts w:hint="eastAsia" w:ascii="宋体" w:hAnsi="宋体" w:eastAsia="宋体" w:cs="宋体"/>
                <w:color w:val="auto"/>
                <w:highlight w:val="none"/>
              </w:rPr>
              <w:t>，针对重点难点问题提出解决方法及合理性建议，内容具有操作性、可行性。</w:t>
            </w:r>
          </w:p>
        </w:tc>
        <w:tc>
          <w:tcPr>
            <w:tcW w:w="851" w:type="dxa"/>
            <w:noWrap w:val="0"/>
            <w:vAlign w:val="center"/>
          </w:tcPr>
          <w:p w14:paraId="13776FEA">
            <w:pPr>
              <w:wordWrap w:val="0"/>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15</w:t>
            </w:r>
            <w:r>
              <w:rPr>
                <w:rFonts w:hint="eastAsia" w:ascii="宋体" w:hAnsi="宋体" w:eastAsia="宋体" w:cs="宋体"/>
                <w:color w:val="auto"/>
                <w:kern w:val="0"/>
                <w:szCs w:val="21"/>
                <w:highlight w:val="none"/>
              </w:rPr>
              <w:t>分</w:t>
            </w:r>
          </w:p>
        </w:tc>
      </w:tr>
      <w:tr w14:paraId="19525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7" w:type="dxa"/>
            <w:noWrap w:val="0"/>
            <w:vAlign w:val="center"/>
          </w:tcPr>
          <w:p w14:paraId="7021A350">
            <w:pPr>
              <w:wordWrap w:val="0"/>
              <w:adjustRightInd w:val="0"/>
              <w:spacing w:line="400" w:lineRule="exact"/>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2.2</w:t>
            </w:r>
          </w:p>
        </w:tc>
        <w:tc>
          <w:tcPr>
            <w:tcW w:w="1377" w:type="dxa"/>
            <w:noWrap w:val="0"/>
            <w:vAlign w:val="center"/>
          </w:tcPr>
          <w:p w14:paraId="1F211218">
            <w:pPr>
              <w:wordWrap w:val="0"/>
              <w:spacing w:line="380" w:lineRule="exact"/>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项目实施方案</w:t>
            </w:r>
          </w:p>
        </w:tc>
        <w:tc>
          <w:tcPr>
            <w:tcW w:w="6155" w:type="dxa"/>
            <w:noWrap w:val="0"/>
            <w:vAlign w:val="center"/>
          </w:tcPr>
          <w:p w14:paraId="3EC49328">
            <w:pPr>
              <w:wordWrap w:val="0"/>
              <w:spacing w:line="380" w:lineRule="exact"/>
              <w:ind w:firstLine="420" w:firstLineChars="0"/>
              <w:rPr>
                <w:rFonts w:hint="eastAsia" w:ascii="宋体" w:hAnsi="宋体" w:eastAsia="宋体" w:cs="宋体"/>
                <w:b/>
                <w:bCs/>
                <w:color w:val="auto"/>
                <w:highlight w:val="none"/>
                <w:lang w:val="zh-CN"/>
              </w:rPr>
            </w:pPr>
            <w:r>
              <w:rPr>
                <w:rFonts w:hint="eastAsia" w:ascii="宋体" w:hAnsi="宋体" w:eastAsia="宋体" w:cs="宋体"/>
                <w:b/>
                <w:bCs/>
                <w:color w:val="auto"/>
                <w:highlight w:val="none"/>
                <w:lang w:val="zh-CN"/>
              </w:rPr>
              <w:t>提供的项目实施方案内容未达到一档要求的不得分：</w:t>
            </w:r>
          </w:p>
          <w:p w14:paraId="3BBBC106">
            <w:pPr>
              <w:wordWrap w:val="0"/>
              <w:spacing w:line="380" w:lineRule="exact"/>
              <w:ind w:firstLine="420" w:firstLineChars="0"/>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一档（</w:t>
            </w: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lang w:val="zh-CN"/>
              </w:rPr>
              <w:t>分）：提供有实施方案，包含项目的实施计划、项目实施组织计划、技术服务路线等，内容与项目相关。</w:t>
            </w:r>
          </w:p>
          <w:p w14:paraId="22FA96C9">
            <w:pPr>
              <w:wordWrap w:val="0"/>
              <w:spacing w:line="380" w:lineRule="exact"/>
              <w:ind w:firstLine="420" w:firstLineChars="0"/>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二档（</w:t>
            </w:r>
            <w:r>
              <w:rPr>
                <w:rFonts w:hint="eastAsia" w:ascii="宋体" w:hAnsi="宋体" w:eastAsia="宋体" w:cs="宋体"/>
                <w:color w:val="auto"/>
                <w:highlight w:val="none"/>
                <w:lang w:val="en-US" w:eastAsia="zh-CN"/>
              </w:rPr>
              <w:t>8</w:t>
            </w:r>
            <w:r>
              <w:rPr>
                <w:rFonts w:hint="eastAsia" w:ascii="宋体" w:hAnsi="宋体" w:eastAsia="宋体" w:cs="宋体"/>
                <w:color w:val="auto"/>
                <w:highlight w:val="none"/>
                <w:lang w:val="zh-CN"/>
              </w:rPr>
              <w:t>分）：提供有实施方案，包含项目的实施计划、项目实施组织计划、组织措施，有工作思路、工作流程图、项目管理框架、有工作服务要点和技术服务路线，内容切合实际情况。</w:t>
            </w:r>
          </w:p>
          <w:p w14:paraId="2184E0E9">
            <w:pPr>
              <w:wordWrap w:val="0"/>
              <w:spacing w:line="380" w:lineRule="exact"/>
              <w:ind w:firstLine="420" w:firstLineChars="0"/>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三档（</w:t>
            </w:r>
            <w:r>
              <w:rPr>
                <w:rFonts w:hint="eastAsia" w:ascii="宋体" w:hAnsi="宋体" w:eastAsia="宋体" w:cs="宋体"/>
                <w:color w:val="auto"/>
                <w:highlight w:val="none"/>
                <w:lang w:val="en-US" w:eastAsia="zh-CN"/>
              </w:rPr>
              <w:t>12</w:t>
            </w:r>
            <w:r>
              <w:rPr>
                <w:rFonts w:hint="eastAsia" w:ascii="宋体" w:hAnsi="宋体" w:eastAsia="宋体" w:cs="宋体"/>
                <w:color w:val="auto"/>
                <w:highlight w:val="none"/>
                <w:lang w:val="zh-CN"/>
              </w:rPr>
              <w:t>分）：提供有实施方案，包含项目的实施计划、项目实施组织计划、组织措施，针对各片区的管护巡护路线的工作内容进行剖析和工作安排计划，工作思路清晰，有工作流程图、项目管理框架、项目实施规范、有工作服务要点和技术服务路线，内容切合实际情况。</w:t>
            </w:r>
          </w:p>
          <w:p w14:paraId="44E2DAB0">
            <w:pPr>
              <w:wordWrap w:val="0"/>
              <w:spacing w:line="380" w:lineRule="exact"/>
              <w:ind w:firstLine="420" w:firstLineChars="0"/>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四档（</w:t>
            </w:r>
            <w:r>
              <w:rPr>
                <w:rFonts w:hint="eastAsia" w:ascii="宋体" w:hAnsi="宋体" w:eastAsia="宋体" w:cs="宋体"/>
                <w:color w:val="auto"/>
                <w:highlight w:val="none"/>
                <w:lang w:val="en-US" w:eastAsia="zh-CN"/>
              </w:rPr>
              <w:t>15</w:t>
            </w:r>
            <w:r>
              <w:rPr>
                <w:rFonts w:hint="eastAsia" w:ascii="宋体" w:hAnsi="宋体" w:eastAsia="宋体" w:cs="宋体"/>
                <w:color w:val="auto"/>
                <w:highlight w:val="none"/>
                <w:lang w:val="zh-CN"/>
              </w:rPr>
              <w:t>分）：针对本项目提供有详细的实施方案，包含项目的实施计划、项目实施组织计划、组织措施，针对各片区的管护巡护路线的工作内容进行详细的剖析和工作安排计划，有针对性的详细描述及有实施细则，工作思路清晰，工作程序和方法详细，有工作流程图、项目管理框架、项目实施规范、有工作服务要点和技术服务路线（包括服务期前的准备、服务期内定期进行工作小结等），针对各类巡护出现的关键性问题提出具体可行的实施步骤。</w:t>
            </w:r>
          </w:p>
        </w:tc>
        <w:tc>
          <w:tcPr>
            <w:tcW w:w="851" w:type="dxa"/>
            <w:noWrap w:val="0"/>
            <w:vAlign w:val="center"/>
          </w:tcPr>
          <w:p w14:paraId="57189A06">
            <w:pPr>
              <w:wordWrap w:val="0"/>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15</w:t>
            </w:r>
            <w:r>
              <w:rPr>
                <w:rFonts w:hint="eastAsia" w:ascii="宋体" w:hAnsi="宋体" w:eastAsia="宋体" w:cs="宋体"/>
                <w:color w:val="auto"/>
                <w:kern w:val="0"/>
                <w:szCs w:val="21"/>
                <w:highlight w:val="none"/>
              </w:rPr>
              <w:t>分</w:t>
            </w:r>
          </w:p>
        </w:tc>
      </w:tr>
      <w:tr w14:paraId="1577E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7" w:type="dxa"/>
            <w:vMerge w:val="restart"/>
            <w:noWrap w:val="0"/>
            <w:vAlign w:val="center"/>
          </w:tcPr>
          <w:p w14:paraId="3364335F">
            <w:pPr>
              <w:wordWrap w:val="0"/>
              <w:adjustRightInd w:val="0"/>
              <w:spacing w:line="400" w:lineRule="exact"/>
              <w:jc w:val="center"/>
              <w:textAlignment w:val="baseline"/>
              <w:rPr>
                <w:rFonts w:hint="eastAsia" w:ascii="宋体" w:hAnsi="宋体" w:eastAsia="宋体" w:cs="宋体"/>
                <w:color w:val="auto"/>
                <w:kern w:val="0"/>
                <w:szCs w:val="21"/>
                <w:highlight w:val="none"/>
              </w:rPr>
            </w:pPr>
          </w:p>
          <w:p w14:paraId="6A3E7C9B">
            <w:pPr>
              <w:wordWrap w:val="0"/>
              <w:adjustRightInd w:val="0"/>
              <w:spacing w:line="400" w:lineRule="exact"/>
              <w:jc w:val="center"/>
              <w:textAlignment w:val="baseline"/>
              <w:rPr>
                <w:rFonts w:hint="eastAsia" w:ascii="宋体" w:hAnsi="宋体" w:eastAsia="宋体" w:cs="宋体"/>
                <w:color w:val="auto"/>
                <w:kern w:val="0"/>
                <w:szCs w:val="21"/>
                <w:highlight w:val="none"/>
              </w:rPr>
            </w:pPr>
          </w:p>
          <w:p w14:paraId="24FA342E">
            <w:pPr>
              <w:wordWrap w:val="0"/>
              <w:adjustRightInd w:val="0"/>
              <w:spacing w:line="400" w:lineRule="exact"/>
              <w:jc w:val="center"/>
              <w:textAlignment w:val="baseline"/>
              <w:rPr>
                <w:rFonts w:hint="eastAsia" w:ascii="宋体" w:hAnsi="宋体" w:eastAsia="宋体" w:cs="宋体"/>
                <w:color w:val="auto"/>
                <w:kern w:val="0"/>
                <w:szCs w:val="21"/>
                <w:highlight w:val="none"/>
              </w:rPr>
            </w:pPr>
          </w:p>
          <w:p w14:paraId="1ABD3E0B">
            <w:pPr>
              <w:wordWrap w:val="0"/>
              <w:adjustRightInd w:val="0"/>
              <w:spacing w:line="400" w:lineRule="exact"/>
              <w:jc w:val="center"/>
              <w:textAlignment w:val="baseline"/>
              <w:rPr>
                <w:rFonts w:hint="eastAsia" w:ascii="宋体" w:hAnsi="宋体" w:eastAsia="宋体" w:cs="宋体"/>
                <w:color w:val="auto"/>
                <w:kern w:val="0"/>
                <w:szCs w:val="21"/>
                <w:highlight w:val="none"/>
              </w:rPr>
            </w:pPr>
          </w:p>
          <w:p w14:paraId="2A34F75D">
            <w:pPr>
              <w:pStyle w:val="76"/>
              <w:rPr>
                <w:rFonts w:hint="eastAsia" w:ascii="宋体" w:hAnsi="宋体" w:eastAsia="宋体" w:cs="宋体"/>
                <w:color w:val="auto"/>
                <w:kern w:val="0"/>
                <w:szCs w:val="21"/>
                <w:highlight w:val="none"/>
              </w:rPr>
            </w:pPr>
          </w:p>
          <w:p w14:paraId="6E4011F7">
            <w:pPr>
              <w:wordWrap w:val="0"/>
              <w:adjustRightInd w:val="0"/>
              <w:spacing w:line="400" w:lineRule="exact"/>
              <w:jc w:val="center"/>
              <w:textAlignment w:val="baseline"/>
              <w:rPr>
                <w:rFonts w:hint="eastAsia" w:ascii="宋体" w:hAnsi="宋体" w:eastAsia="宋体" w:cs="宋体"/>
                <w:color w:val="auto"/>
                <w:kern w:val="0"/>
                <w:szCs w:val="21"/>
                <w:highlight w:val="none"/>
              </w:rPr>
            </w:pPr>
          </w:p>
          <w:p w14:paraId="30667C99">
            <w:pPr>
              <w:wordWrap w:val="0"/>
              <w:adjustRightInd w:val="0"/>
              <w:spacing w:line="400" w:lineRule="exact"/>
              <w:jc w:val="center"/>
              <w:textAlignment w:val="baseline"/>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rPr>
              <w:t>2.</w:t>
            </w:r>
            <w:r>
              <w:rPr>
                <w:rFonts w:hint="eastAsia" w:ascii="宋体" w:hAnsi="宋体" w:eastAsia="宋体" w:cs="宋体"/>
                <w:color w:val="auto"/>
                <w:kern w:val="0"/>
                <w:szCs w:val="21"/>
                <w:highlight w:val="none"/>
                <w:lang w:val="en-US" w:eastAsia="zh-CN"/>
              </w:rPr>
              <w:t>3</w:t>
            </w:r>
          </w:p>
          <w:p w14:paraId="43C7C1DF">
            <w:pPr>
              <w:pStyle w:val="76"/>
              <w:rPr>
                <w:rFonts w:hint="eastAsia" w:ascii="宋体" w:hAnsi="宋体" w:eastAsia="宋体" w:cs="宋体"/>
                <w:color w:val="auto"/>
                <w:kern w:val="0"/>
                <w:szCs w:val="21"/>
                <w:highlight w:val="none"/>
                <w:lang w:val="en-US" w:eastAsia="zh-CN"/>
              </w:rPr>
            </w:pPr>
          </w:p>
          <w:p w14:paraId="744CDB54">
            <w:pPr>
              <w:pStyle w:val="76"/>
              <w:rPr>
                <w:rFonts w:hint="eastAsia" w:ascii="宋体" w:hAnsi="宋体" w:eastAsia="宋体" w:cs="宋体"/>
                <w:color w:val="auto"/>
                <w:kern w:val="0"/>
                <w:szCs w:val="21"/>
                <w:highlight w:val="none"/>
                <w:lang w:val="en-US" w:eastAsia="zh-CN"/>
              </w:rPr>
            </w:pPr>
          </w:p>
          <w:p w14:paraId="1A8A49A8">
            <w:pPr>
              <w:pStyle w:val="76"/>
              <w:rPr>
                <w:rFonts w:hint="eastAsia" w:ascii="宋体" w:hAnsi="宋体" w:eastAsia="宋体" w:cs="宋体"/>
                <w:color w:val="auto"/>
                <w:kern w:val="0"/>
                <w:szCs w:val="21"/>
                <w:highlight w:val="none"/>
                <w:lang w:val="en-US" w:eastAsia="zh-CN"/>
              </w:rPr>
            </w:pPr>
          </w:p>
          <w:p w14:paraId="269588AF">
            <w:pPr>
              <w:pStyle w:val="76"/>
              <w:rPr>
                <w:rFonts w:hint="eastAsia" w:ascii="宋体" w:hAnsi="宋体" w:eastAsia="宋体" w:cs="宋体"/>
                <w:color w:val="auto"/>
                <w:kern w:val="0"/>
                <w:szCs w:val="21"/>
                <w:highlight w:val="none"/>
                <w:lang w:val="en-US" w:eastAsia="zh-CN"/>
              </w:rPr>
            </w:pPr>
          </w:p>
          <w:p w14:paraId="6C1B5105">
            <w:pPr>
              <w:pStyle w:val="76"/>
              <w:rPr>
                <w:rFonts w:hint="eastAsia" w:ascii="宋体" w:hAnsi="宋体" w:eastAsia="宋体" w:cs="宋体"/>
                <w:color w:val="auto"/>
                <w:kern w:val="0"/>
                <w:szCs w:val="21"/>
                <w:highlight w:val="none"/>
                <w:lang w:val="en-US" w:eastAsia="zh-CN"/>
              </w:rPr>
            </w:pPr>
          </w:p>
          <w:p w14:paraId="3DCC4A04">
            <w:pPr>
              <w:pStyle w:val="76"/>
              <w:rPr>
                <w:rFonts w:hint="eastAsia" w:ascii="宋体" w:hAnsi="宋体" w:eastAsia="宋体" w:cs="宋体"/>
                <w:color w:val="auto"/>
                <w:kern w:val="0"/>
                <w:szCs w:val="21"/>
                <w:highlight w:val="none"/>
                <w:lang w:val="en-US" w:eastAsia="zh-CN"/>
              </w:rPr>
            </w:pPr>
          </w:p>
          <w:p w14:paraId="6DA4B827">
            <w:pPr>
              <w:pStyle w:val="76"/>
              <w:rPr>
                <w:rFonts w:hint="eastAsia" w:ascii="宋体" w:hAnsi="宋体" w:eastAsia="宋体" w:cs="宋体"/>
                <w:color w:val="auto"/>
                <w:kern w:val="0"/>
                <w:szCs w:val="21"/>
                <w:highlight w:val="none"/>
                <w:lang w:val="en-US" w:eastAsia="zh-CN"/>
              </w:rPr>
            </w:pPr>
          </w:p>
          <w:p w14:paraId="6E886F23">
            <w:pPr>
              <w:pStyle w:val="76"/>
              <w:rPr>
                <w:rFonts w:hint="eastAsia" w:ascii="宋体" w:hAnsi="宋体" w:eastAsia="宋体" w:cs="宋体"/>
                <w:color w:val="auto"/>
                <w:kern w:val="0"/>
                <w:szCs w:val="21"/>
                <w:highlight w:val="none"/>
                <w:lang w:val="en-US" w:eastAsia="zh-CN"/>
              </w:rPr>
            </w:pPr>
          </w:p>
          <w:p w14:paraId="07A599CE">
            <w:pPr>
              <w:pStyle w:val="76"/>
              <w:rPr>
                <w:rFonts w:hint="eastAsia" w:ascii="宋体" w:hAnsi="宋体" w:eastAsia="宋体" w:cs="宋体"/>
                <w:color w:val="auto"/>
                <w:kern w:val="0"/>
                <w:szCs w:val="21"/>
                <w:highlight w:val="none"/>
                <w:lang w:val="en-US" w:eastAsia="zh-CN"/>
              </w:rPr>
            </w:pPr>
          </w:p>
          <w:p w14:paraId="769239DE">
            <w:pPr>
              <w:pStyle w:val="76"/>
              <w:rPr>
                <w:rFonts w:hint="eastAsia" w:ascii="宋体" w:hAnsi="宋体" w:eastAsia="宋体" w:cs="宋体"/>
                <w:color w:val="auto"/>
                <w:kern w:val="0"/>
                <w:szCs w:val="21"/>
                <w:highlight w:val="none"/>
                <w:lang w:val="en-US" w:eastAsia="zh-CN"/>
              </w:rPr>
            </w:pPr>
          </w:p>
          <w:p w14:paraId="321D823D">
            <w:pPr>
              <w:pStyle w:val="76"/>
              <w:rPr>
                <w:rFonts w:hint="eastAsia" w:ascii="宋体" w:hAnsi="宋体" w:eastAsia="宋体" w:cs="宋体"/>
                <w:color w:val="auto"/>
                <w:kern w:val="0"/>
                <w:szCs w:val="21"/>
                <w:highlight w:val="none"/>
                <w:lang w:val="en-US" w:eastAsia="zh-CN"/>
              </w:rPr>
            </w:pPr>
          </w:p>
          <w:p w14:paraId="0049F071">
            <w:pPr>
              <w:pStyle w:val="76"/>
              <w:rPr>
                <w:rFonts w:hint="eastAsia" w:ascii="宋体" w:hAnsi="宋体" w:eastAsia="宋体" w:cs="宋体"/>
                <w:color w:val="auto"/>
                <w:kern w:val="0"/>
                <w:szCs w:val="21"/>
                <w:highlight w:val="none"/>
                <w:lang w:val="en-US" w:eastAsia="zh-CN"/>
              </w:rPr>
            </w:pPr>
          </w:p>
          <w:p w14:paraId="4FC616FB">
            <w:pPr>
              <w:pStyle w:val="76"/>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2.4</w:t>
            </w:r>
          </w:p>
          <w:p w14:paraId="546F0B97">
            <w:pPr>
              <w:pStyle w:val="76"/>
              <w:rPr>
                <w:rFonts w:hint="eastAsia" w:ascii="宋体" w:hAnsi="宋体" w:eastAsia="宋体" w:cs="宋体"/>
                <w:color w:val="auto"/>
                <w:kern w:val="0"/>
                <w:szCs w:val="21"/>
                <w:highlight w:val="none"/>
                <w:lang w:val="en-US" w:eastAsia="zh-CN"/>
              </w:rPr>
            </w:pPr>
          </w:p>
        </w:tc>
        <w:tc>
          <w:tcPr>
            <w:tcW w:w="1377" w:type="dxa"/>
            <w:vMerge w:val="restart"/>
            <w:noWrap w:val="0"/>
            <w:vAlign w:val="center"/>
          </w:tcPr>
          <w:p w14:paraId="06047DA0">
            <w:pPr>
              <w:wordWrap w:val="0"/>
              <w:adjustRightInd w:val="0"/>
              <w:spacing w:line="400" w:lineRule="exact"/>
              <w:jc w:val="center"/>
              <w:textAlignment w:val="baseline"/>
              <w:rPr>
                <w:rFonts w:hint="eastAsia" w:ascii="宋体" w:hAnsi="宋体" w:eastAsia="宋体" w:cs="宋体"/>
                <w:color w:val="auto"/>
                <w:sz w:val="21"/>
                <w:szCs w:val="21"/>
                <w:highlight w:val="none"/>
              </w:rPr>
            </w:pPr>
          </w:p>
          <w:p w14:paraId="0DD70400">
            <w:pPr>
              <w:wordWrap w:val="0"/>
              <w:adjustRightInd w:val="0"/>
              <w:spacing w:line="400" w:lineRule="exact"/>
              <w:jc w:val="center"/>
              <w:textAlignment w:val="baseline"/>
              <w:rPr>
                <w:rFonts w:hint="eastAsia" w:ascii="宋体" w:hAnsi="宋体" w:eastAsia="宋体" w:cs="宋体"/>
                <w:color w:val="auto"/>
                <w:sz w:val="21"/>
                <w:szCs w:val="21"/>
                <w:highlight w:val="none"/>
              </w:rPr>
            </w:pPr>
          </w:p>
          <w:p w14:paraId="3E99B208">
            <w:pPr>
              <w:wordWrap w:val="0"/>
              <w:adjustRightInd w:val="0"/>
              <w:spacing w:line="400" w:lineRule="exact"/>
              <w:jc w:val="center"/>
              <w:textAlignment w:val="baseline"/>
              <w:rPr>
                <w:rFonts w:hint="eastAsia" w:ascii="宋体" w:hAnsi="宋体" w:eastAsia="宋体" w:cs="宋体"/>
                <w:color w:val="auto"/>
                <w:sz w:val="21"/>
                <w:szCs w:val="21"/>
                <w:highlight w:val="none"/>
              </w:rPr>
            </w:pPr>
          </w:p>
          <w:p w14:paraId="6D028A62">
            <w:pPr>
              <w:wordWrap w:val="0"/>
              <w:adjustRightInd w:val="0"/>
              <w:spacing w:line="400" w:lineRule="exact"/>
              <w:jc w:val="center"/>
              <w:textAlignment w:val="baseline"/>
              <w:rPr>
                <w:rFonts w:hint="eastAsia" w:ascii="宋体" w:hAnsi="宋体" w:eastAsia="宋体" w:cs="宋体"/>
                <w:color w:val="auto"/>
                <w:sz w:val="21"/>
                <w:szCs w:val="21"/>
                <w:highlight w:val="none"/>
              </w:rPr>
            </w:pPr>
          </w:p>
          <w:p w14:paraId="5B9D42B8">
            <w:pPr>
              <w:wordWrap w:val="0"/>
              <w:adjustRightInd w:val="0"/>
              <w:spacing w:line="400" w:lineRule="exact"/>
              <w:jc w:val="center"/>
              <w:textAlignment w:val="baseline"/>
              <w:rPr>
                <w:rFonts w:hint="eastAsia" w:ascii="宋体" w:hAnsi="宋体" w:eastAsia="宋体" w:cs="宋体"/>
                <w:color w:val="auto"/>
                <w:sz w:val="21"/>
                <w:szCs w:val="21"/>
                <w:highlight w:val="none"/>
              </w:rPr>
            </w:pPr>
          </w:p>
          <w:p w14:paraId="3947FA06">
            <w:pPr>
              <w:wordWrap/>
              <w:adjustRightInd/>
              <w:spacing w:line="400" w:lineRule="exact"/>
              <w:jc w:val="left"/>
              <w:textAlignment w:val="auto"/>
              <w:rPr>
                <w:rFonts w:hint="default"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rPr>
              <w:t>拟投</w:t>
            </w:r>
            <w:r>
              <w:rPr>
                <w:rFonts w:hint="eastAsia" w:ascii="宋体" w:hAnsi="宋体" w:eastAsia="宋体" w:cs="宋体"/>
                <w:b w:val="0"/>
                <w:bCs w:val="0"/>
                <w:color w:val="auto"/>
                <w:sz w:val="21"/>
                <w:szCs w:val="21"/>
                <w:highlight w:val="none"/>
              </w:rPr>
              <w:t>入人员</w:t>
            </w:r>
            <w:r>
              <w:rPr>
                <w:rFonts w:hint="eastAsia" w:ascii="宋体" w:hAnsi="宋体" w:eastAsia="宋体" w:cs="宋体"/>
                <w:b w:val="0"/>
                <w:bCs w:val="0"/>
                <w:color w:val="auto"/>
                <w:sz w:val="21"/>
                <w:szCs w:val="21"/>
                <w:highlight w:val="none"/>
                <w:lang w:val="en-US" w:eastAsia="zh-CN"/>
              </w:rPr>
              <w:t>配置分</w:t>
            </w:r>
          </w:p>
          <w:p w14:paraId="4450FA9C">
            <w:pPr>
              <w:pStyle w:val="76"/>
              <w:rPr>
                <w:rFonts w:hint="eastAsia" w:ascii="宋体" w:hAnsi="宋体" w:eastAsia="宋体" w:cs="宋体"/>
                <w:color w:val="auto"/>
                <w:sz w:val="21"/>
                <w:szCs w:val="21"/>
                <w:highlight w:val="none"/>
              </w:rPr>
            </w:pPr>
          </w:p>
          <w:p w14:paraId="180E9EE0">
            <w:pPr>
              <w:pStyle w:val="76"/>
              <w:rPr>
                <w:rFonts w:hint="eastAsia" w:ascii="宋体" w:hAnsi="宋体" w:eastAsia="宋体" w:cs="宋体"/>
                <w:color w:val="auto"/>
                <w:sz w:val="21"/>
                <w:szCs w:val="21"/>
                <w:highlight w:val="none"/>
              </w:rPr>
            </w:pPr>
          </w:p>
          <w:p w14:paraId="2DCFB89C">
            <w:pPr>
              <w:pStyle w:val="76"/>
              <w:rPr>
                <w:rFonts w:hint="eastAsia" w:ascii="宋体" w:hAnsi="宋体" w:eastAsia="宋体" w:cs="宋体"/>
                <w:color w:val="auto"/>
                <w:sz w:val="21"/>
                <w:szCs w:val="21"/>
                <w:highlight w:val="none"/>
              </w:rPr>
            </w:pPr>
          </w:p>
          <w:p w14:paraId="5EBB3A5B">
            <w:pPr>
              <w:pStyle w:val="76"/>
              <w:rPr>
                <w:rFonts w:hint="eastAsia" w:ascii="宋体" w:hAnsi="宋体" w:eastAsia="宋体" w:cs="宋体"/>
                <w:color w:val="auto"/>
                <w:sz w:val="21"/>
                <w:szCs w:val="21"/>
                <w:highlight w:val="none"/>
              </w:rPr>
            </w:pPr>
          </w:p>
          <w:p w14:paraId="1F47D4FC">
            <w:pPr>
              <w:pStyle w:val="76"/>
              <w:rPr>
                <w:rFonts w:hint="eastAsia" w:ascii="宋体" w:hAnsi="宋体" w:eastAsia="宋体" w:cs="宋体"/>
                <w:color w:val="auto"/>
                <w:sz w:val="21"/>
                <w:szCs w:val="21"/>
                <w:highlight w:val="none"/>
              </w:rPr>
            </w:pPr>
          </w:p>
          <w:p w14:paraId="01BA491E">
            <w:pPr>
              <w:pStyle w:val="76"/>
              <w:rPr>
                <w:rFonts w:hint="eastAsia" w:ascii="宋体" w:hAnsi="宋体" w:eastAsia="宋体" w:cs="宋体"/>
                <w:color w:val="auto"/>
                <w:sz w:val="21"/>
                <w:szCs w:val="21"/>
                <w:highlight w:val="none"/>
              </w:rPr>
            </w:pPr>
          </w:p>
          <w:p w14:paraId="0F02986D">
            <w:pPr>
              <w:pStyle w:val="76"/>
              <w:rPr>
                <w:rFonts w:hint="eastAsia" w:ascii="宋体" w:hAnsi="宋体" w:eastAsia="宋体" w:cs="宋体"/>
                <w:color w:val="auto"/>
                <w:sz w:val="21"/>
                <w:szCs w:val="21"/>
                <w:highlight w:val="none"/>
              </w:rPr>
            </w:pPr>
          </w:p>
          <w:p w14:paraId="3EB35A10">
            <w:pPr>
              <w:pStyle w:val="76"/>
              <w:rPr>
                <w:rFonts w:hint="eastAsia" w:ascii="宋体" w:hAnsi="宋体" w:eastAsia="宋体" w:cs="宋体"/>
                <w:color w:val="auto"/>
                <w:sz w:val="21"/>
                <w:szCs w:val="21"/>
                <w:highlight w:val="none"/>
              </w:rPr>
            </w:pPr>
          </w:p>
          <w:p w14:paraId="29192DF1">
            <w:pPr>
              <w:pStyle w:val="76"/>
              <w:rPr>
                <w:rFonts w:hint="eastAsia" w:ascii="宋体" w:hAnsi="宋体" w:eastAsia="宋体" w:cs="宋体"/>
                <w:color w:val="auto"/>
                <w:sz w:val="21"/>
                <w:szCs w:val="21"/>
                <w:highlight w:val="none"/>
              </w:rPr>
            </w:pPr>
          </w:p>
          <w:p w14:paraId="3D997D0E">
            <w:pPr>
              <w:pStyle w:val="76"/>
              <w:rPr>
                <w:rFonts w:hint="eastAsia" w:ascii="宋体" w:hAnsi="宋体" w:eastAsia="宋体" w:cs="宋体"/>
                <w:color w:val="auto"/>
                <w:sz w:val="21"/>
                <w:szCs w:val="21"/>
                <w:highlight w:val="none"/>
              </w:rPr>
            </w:pPr>
          </w:p>
          <w:p w14:paraId="10CCCA70">
            <w:pPr>
              <w:pStyle w:val="76"/>
              <w:rPr>
                <w:rFonts w:hint="eastAsia" w:ascii="宋体" w:hAnsi="宋体" w:eastAsia="宋体" w:cs="宋体"/>
                <w:color w:val="auto"/>
                <w:sz w:val="21"/>
                <w:szCs w:val="21"/>
                <w:highlight w:val="none"/>
              </w:rPr>
            </w:pPr>
          </w:p>
          <w:p w14:paraId="158D3550">
            <w:pPr>
              <w:pStyle w:val="76"/>
              <w:rPr>
                <w:rFonts w:hint="eastAsia" w:ascii="宋体" w:hAnsi="宋体" w:eastAsia="宋体" w:cs="宋体"/>
                <w:color w:val="auto"/>
                <w:sz w:val="21"/>
                <w:szCs w:val="21"/>
                <w:highlight w:val="none"/>
              </w:rPr>
            </w:pPr>
          </w:p>
          <w:p w14:paraId="6B5A0D07">
            <w:pPr>
              <w:pStyle w:val="76"/>
              <w:rPr>
                <w:rFonts w:hint="eastAsia" w:ascii="宋体" w:hAnsi="宋体" w:eastAsia="宋体" w:cs="宋体"/>
                <w:color w:val="auto"/>
                <w:sz w:val="21"/>
                <w:szCs w:val="21"/>
                <w:highlight w:val="none"/>
              </w:rPr>
            </w:pPr>
          </w:p>
          <w:p w14:paraId="1F7C61A0">
            <w:pPr>
              <w:spacing w:line="400" w:lineRule="exact"/>
              <w:jc w:val="left"/>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人员管理方案分</w:t>
            </w:r>
          </w:p>
          <w:p w14:paraId="0D1AD172">
            <w:pPr>
              <w:pStyle w:val="76"/>
              <w:rPr>
                <w:rFonts w:hint="eastAsia" w:ascii="宋体" w:hAnsi="宋体" w:eastAsia="宋体" w:cs="宋体"/>
                <w:color w:val="auto"/>
                <w:sz w:val="21"/>
                <w:szCs w:val="21"/>
                <w:highlight w:val="none"/>
              </w:rPr>
            </w:pPr>
          </w:p>
        </w:tc>
        <w:tc>
          <w:tcPr>
            <w:tcW w:w="6155" w:type="dxa"/>
            <w:noWrap w:val="0"/>
            <w:vAlign w:val="center"/>
          </w:tcPr>
          <w:p w14:paraId="521A6261">
            <w:pPr>
              <w:spacing w:line="400" w:lineRule="exact"/>
              <w:ind w:firstLine="211" w:firstLineChars="1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拟投入的团队成员（不含项目负责人）</w:t>
            </w:r>
          </w:p>
          <w:p w14:paraId="5DECA9D2">
            <w:pPr>
              <w:spacing w:line="40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①团队成员具有环境工程或生物学或生态学或林业工程相关专业中级职称，每人得1分，具有高级职称的，每人得2分。满分</w:t>
            </w:r>
            <w:r>
              <w:rPr>
                <w:rFonts w:hint="eastAsia" w:ascii="宋体" w:hAnsi="宋体" w:eastAsia="宋体" w:cs="宋体"/>
                <w:bCs/>
                <w:color w:val="auto"/>
                <w:szCs w:val="21"/>
                <w:highlight w:val="none"/>
                <w:lang w:val="en-US"/>
              </w:rPr>
              <w:t>10</w:t>
            </w:r>
            <w:r>
              <w:rPr>
                <w:rFonts w:hint="eastAsia" w:ascii="宋体" w:hAnsi="宋体" w:eastAsia="宋体" w:cs="宋体"/>
                <w:bCs/>
                <w:color w:val="auto"/>
                <w:szCs w:val="21"/>
                <w:highlight w:val="none"/>
              </w:rPr>
              <w:t>分。</w:t>
            </w:r>
          </w:p>
          <w:p w14:paraId="55E96084">
            <w:pPr>
              <w:spacing w:line="40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②团队成员为相关专业（环境工程或生物学或生态学或野生动植物保护利用等）毕业的，每人得1分，本项满分5分。</w:t>
            </w:r>
          </w:p>
          <w:p w14:paraId="11976436">
            <w:pPr>
              <w:spacing w:line="400" w:lineRule="exac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注：</w:t>
            </w:r>
          </w:p>
          <w:p w14:paraId="67FE769F">
            <w:pPr>
              <w:spacing w:line="40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1.以上人员（不含项目负责人）不可重复计算；</w:t>
            </w:r>
          </w:p>
          <w:p w14:paraId="7F602F6A">
            <w:pPr>
              <w:keepNext w:val="0"/>
              <w:keepLines w:val="0"/>
              <w:pageBreakBefore w:val="0"/>
              <w:kinsoku/>
              <w:wordWrap w:val="0"/>
              <w:overflowPunct/>
              <w:topLinePunct w:val="0"/>
              <w:autoSpaceDE/>
              <w:autoSpaceDN/>
              <w:bidi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2.</w:t>
            </w:r>
            <w:r>
              <w:rPr>
                <w:rFonts w:hint="eastAsia" w:ascii="宋体" w:hAnsi="宋体" w:eastAsia="宋体" w:cs="宋体"/>
                <w:bCs/>
                <w:color w:val="auto"/>
                <w:szCs w:val="21"/>
                <w:highlight w:val="none"/>
                <w:lang w:val="en-US" w:eastAsia="zh-CN"/>
              </w:rPr>
              <w:t>投标</w:t>
            </w:r>
            <w:r>
              <w:rPr>
                <w:rFonts w:hint="eastAsia" w:ascii="宋体" w:hAnsi="宋体" w:eastAsia="宋体" w:cs="宋体"/>
                <w:bCs/>
                <w:color w:val="auto"/>
                <w:szCs w:val="21"/>
                <w:highlight w:val="none"/>
              </w:rPr>
              <w:t>文件中须提供身份证、毕业证、职称证书复印件及供应商自</w:t>
            </w:r>
            <w:r>
              <w:rPr>
                <w:rFonts w:hint="eastAsia" w:ascii="宋体" w:hAnsi="宋体" w:eastAsia="宋体" w:cs="宋体"/>
                <w:bCs/>
                <w:color w:val="auto"/>
                <w:szCs w:val="21"/>
                <w:highlight w:val="none"/>
                <w:lang w:val="en-US" w:eastAsia="zh-CN"/>
              </w:rPr>
              <w:t>投</w:t>
            </w:r>
            <w:r>
              <w:rPr>
                <w:rFonts w:hint="eastAsia" w:ascii="宋体" w:hAnsi="宋体" w:eastAsia="宋体" w:cs="宋体"/>
                <w:bCs/>
                <w:color w:val="auto"/>
                <w:szCs w:val="21"/>
                <w:highlight w:val="none"/>
                <w:lang w:val="en-US" w:eastAsia="zh-CN"/>
              </w:rPr>
              <w:t>标</w:t>
            </w:r>
            <w:r>
              <w:rPr>
                <w:rFonts w:hint="eastAsia" w:ascii="宋体" w:hAnsi="宋体" w:eastAsia="宋体" w:cs="宋体"/>
                <w:bCs/>
                <w:color w:val="auto"/>
                <w:szCs w:val="21"/>
                <w:highlight w:val="none"/>
              </w:rPr>
              <w:t>文件提交截止时间前6个月内为上述人员缴纳的任意1个月的社保证明（退休人员无社保</w:t>
            </w:r>
            <w:r>
              <w:rPr>
                <w:rFonts w:hint="eastAsia" w:ascii="宋体" w:hAnsi="宋体" w:eastAsia="宋体" w:cs="宋体"/>
                <w:bCs/>
                <w:color w:val="auto"/>
                <w:szCs w:val="21"/>
                <w:highlight w:val="none"/>
              </w:rPr>
              <w:t>证明的，提供退休证明及供应商的聘用合同）或提供上述人员为本公司的正式员工的承诺函，复印件均加盖供应商公章，未按要求提供不得分。</w:t>
            </w:r>
          </w:p>
        </w:tc>
        <w:tc>
          <w:tcPr>
            <w:tcW w:w="851" w:type="dxa"/>
            <w:noWrap w:val="0"/>
            <w:vAlign w:val="center"/>
          </w:tcPr>
          <w:p w14:paraId="7760A01D">
            <w:pPr>
              <w:wordWrap w:val="0"/>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分</w:t>
            </w:r>
          </w:p>
        </w:tc>
      </w:tr>
      <w:tr w14:paraId="0BA31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7" w:type="dxa"/>
            <w:vMerge w:val="continue"/>
            <w:noWrap w:val="0"/>
            <w:vAlign w:val="center"/>
          </w:tcPr>
          <w:p w14:paraId="1F0580C3">
            <w:pPr>
              <w:wordWrap w:val="0"/>
              <w:adjustRightInd w:val="0"/>
              <w:spacing w:line="400" w:lineRule="exact"/>
              <w:jc w:val="center"/>
              <w:textAlignment w:val="baseline"/>
              <w:rPr>
                <w:rFonts w:hint="eastAsia" w:ascii="宋体" w:hAnsi="宋体" w:eastAsia="宋体" w:cs="宋体"/>
                <w:color w:val="auto"/>
                <w:kern w:val="0"/>
                <w:szCs w:val="21"/>
                <w:highlight w:val="none"/>
              </w:rPr>
            </w:pPr>
          </w:p>
        </w:tc>
        <w:tc>
          <w:tcPr>
            <w:tcW w:w="1377" w:type="dxa"/>
            <w:vMerge w:val="continue"/>
            <w:noWrap w:val="0"/>
            <w:vAlign w:val="center"/>
          </w:tcPr>
          <w:p w14:paraId="589A6C5A">
            <w:pPr>
              <w:wordWrap w:val="0"/>
              <w:adjustRightInd w:val="0"/>
              <w:spacing w:line="400" w:lineRule="exact"/>
              <w:jc w:val="center"/>
              <w:textAlignment w:val="baseline"/>
              <w:rPr>
                <w:rFonts w:hint="eastAsia" w:ascii="宋体" w:hAnsi="宋体" w:eastAsia="宋体" w:cs="宋体"/>
                <w:color w:val="auto"/>
                <w:kern w:val="0"/>
                <w:szCs w:val="21"/>
                <w:highlight w:val="none"/>
              </w:rPr>
            </w:pPr>
          </w:p>
        </w:tc>
        <w:tc>
          <w:tcPr>
            <w:tcW w:w="6155" w:type="dxa"/>
            <w:noWrap w:val="0"/>
            <w:vAlign w:val="center"/>
          </w:tcPr>
          <w:p w14:paraId="1D0D28E4">
            <w:pPr>
              <w:spacing w:line="400" w:lineRule="exact"/>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提供人员管理方案内容未达到一档要求的不得分：</w:t>
            </w:r>
          </w:p>
          <w:p w14:paraId="4D2FE58D">
            <w:pPr>
              <w:spacing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一档（5分）：提供的人员管理方案内容不全面，包含有服务人员工作安排计划，对人员岗位设置制定有相应的岗位职责及分工说明。</w:t>
            </w:r>
          </w:p>
          <w:p w14:paraId="1F66AFAA">
            <w:pPr>
              <w:spacing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二档（10分）：提供的人员管理方案内容完善，包含有服务人员工作安排计划，对人员岗位设置制定有相应的岗位职责及分工说明并具有人员管理制度。</w:t>
            </w:r>
          </w:p>
          <w:p w14:paraId="39AE2164">
            <w:pPr>
              <w:keepNext w:val="0"/>
              <w:keepLines w:val="0"/>
              <w:pageBreakBefore w:val="0"/>
              <w:kinsoku/>
              <w:wordWrap w:val="0"/>
              <w:overflowPunct/>
              <w:topLinePunct w:val="0"/>
              <w:autoSpaceDE/>
              <w:autoSpaceDN/>
              <w:bidi w:val="0"/>
              <w:spacing w:line="4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三档（15分）：提供的人员管理方案内容完善、合理，对服务人员的数量，专业及工作安排计划有详细说明。并对人员岗位设置制定有相应的岗位职责、岗位分工说明；针对本项目制定合理的拟投入人员的管理制度、内部考核与激励机制。</w:t>
            </w:r>
          </w:p>
        </w:tc>
        <w:tc>
          <w:tcPr>
            <w:tcW w:w="851" w:type="dxa"/>
            <w:noWrap w:val="0"/>
            <w:vAlign w:val="center"/>
          </w:tcPr>
          <w:p w14:paraId="657749E5">
            <w:pPr>
              <w:wordWrap w:val="0"/>
              <w:spacing w:line="400" w:lineRule="exact"/>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15分</w:t>
            </w:r>
          </w:p>
        </w:tc>
      </w:tr>
      <w:tr w14:paraId="6DEA8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7" w:type="dxa"/>
            <w:noWrap w:val="0"/>
            <w:vAlign w:val="center"/>
          </w:tcPr>
          <w:p w14:paraId="06F2346E">
            <w:pPr>
              <w:wordWrap w:val="0"/>
              <w:adjustRightInd w:val="0"/>
              <w:spacing w:line="400" w:lineRule="exact"/>
              <w:jc w:val="center"/>
              <w:textAlignment w:val="baseline"/>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2.5</w:t>
            </w:r>
          </w:p>
        </w:tc>
        <w:tc>
          <w:tcPr>
            <w:tcW w:w="1377" w:type="dxa"/>
            <w:noWrap w:val="0"/>
            <w:vAlign w:val="center"/>
          </w:tcPr>
          <w:p w14:paraId="0756DF9E">
            <w:pPr>
              <w:wordWrap w:val="0"/>
              <w:adjustRightInd w:val="0"/>
              <w:spacing w:line="400" w:lineRule="exact"/>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服务承诺分</w:t>
            </w:r>
          </w:p>
        </w:tc>
        <w:tc>
          <w:tcPr>
            <w:tcW w:w="6155" w:type="dxa"/>
            <w:noWrap w:val="0"/>
            <w:vAlign w:val="center"/>
          </w:tcPr>
          <w:p w14:paraId="115B13AF">
            <w:pPr>
              <w:wordWrap w:val="0"/>
              <w:spacing w:line="380" w:lineRule="exac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提供的服务承诺方案内容未达到一档要求的不得分：</w:t>
            </w:r>
          </w:p>
          <w:p w14:paraId="48793D76">
            <w:pPr>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一档（</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分）：</w:t>
            </w:r>
            <w:r>
              <w:rPr>
                <w:rFonts w:hint="eastAsia" w:ascii="宋体" w:hAnsi="宋体" w:eastAsia="宋体" w:cs="宋体"/>
                <w:color w:val="auto"/>
                <w:szCs w:val="21"/>
                <w:highlight w:val="none"/>
              </w:rPr>
              <w:t>按采购文件要求对采购人进行服务，服务期内出现任何项目问题，供应商承诺在40分钟内电话响应，4.5小时内到达指定地点协助采购人处理并解决问题；具有服务响应措施、具体服务响应流程、实施效率保障措施</w:t>
            </w:r>
            <w:r>
              <w:rPr>
                <w:rFonts w:hint="eastAsia" w:ascii="宋体" w:hAnsi="宋体" w:eastAsia="宋体" w:cs="宋体"/>
                <w:color w:val="auto"/>
                <w:highlight w:val="none"/>
              </w:rPr>
              <w:t>。</w:t>
            </w:r>
          </w:p>
          <w:p w14:paraId="073A5E37">
            <w:pPr>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二档（</w:t>
            </w: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rPr>
              <w:t>分）：</w:t>
            </w:r>
            <w:r>
              <w:rPr>
                <w:rFonts w:hint="eastAsia" w:ascii="宋体" w:hAnsi="宋体" w:eastAsia="宋体" w:cs="宋体"/>
                <w:color w:val="auto"/>
                <w:szCs w:val="21"/>
                <w:highlight w:val="none"/>
              </w:rPr>
              <w:t>按采购文件要求对采购人进行服务，服务期内出现任何项目问题，供应商承诺在25分钟内电话响应，4小时内到达指定地点协助采购人处理并解决问题；具有服务响应措施、具体服务响应流程、实施效率保障措施、</w:t>
            </w:r>
            <w:r>
              <w:rPr>
                <w:rFonts w:hint="eastAsia" w:ascii="宋体" w:hAnsi="宋体" w:eastAsia="宋体" w:cs="宋体"/>
                <w:color w:val="auto"/>
                <w:highlight w:val="none"/>
              </w:rPr>
              <w:t>服务质量管理制度，具有服务质量控制措施。</w:t>
            </w:r>
          </w:p>
          <w:p w14:paraId="2E45C765">
            <w:pPr>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三档（</w:t>
            </w:r>
            <w:r>
              <w:rPr>
                <w:rFonts w:hint="eastAsia" w:ascii="宋体" w:hAnsi="宋体" w:eastAsia="宋体" w:cs="宋体"/>
                <w:color w:val="auto"/>
                <w:highlight w:val="none"/>
                <w:lang w:val="en-US" w:eastAsia="zh-CN"/>
              </w:rPr>
              <w:t>7</w:t>
            </w:r>
            <w:r>
              <w:rPr>
                <w:rFonts w:hint="eastAsia" w:ascii="宋体" w:hAnsi="宋体" w:eastAsia="宋体" w:cs="宋体"/>
                <w:color w:val="auto"/>
                <w:highlight w:val="none"/>
              </w:rPr>
              <w:t>分）：</w:t>
            </w:r>
            <w:r>
              <w:rPr>
                <w:rFonts w:hint="eastAsia" w:ascii="宋体" w:hAnsi="宋体" w:eastAsia="宋体" w:cs="宋体"/>
                <w:color w:val="auto"/>
                <w:szCs w:val="21"/>
                <w:highlight w:val="none"/>
              </w:rPr>
              <w:t>按采购文件要求对采购人进行服务，服务期内出现任何项目问题，供应商承诺在15分钟内电话响应，3小时内到达指定地点协助采购人处理并解决问题；具有服务响应措施、具体服务响应流程、实施效率保障措施、</w:t>
            </w:r>
            <w:r>
              <w:rPr>
                <w:rFonts w:hint="eastAsia" w:ascii="宋体" w:hAnsi="宋体" w:eastAsia="宋体" w:cs="宋体"/>
                <w:color w:val="auto"/>
                <w:highlight w:val="none"/>
              </w:rPr>
              <w:t>服务质量管理制度</w:t>
            </w:r>
            <w:r>
              <w:rPr>
                <w:rFonts w:hint="eastAsia" w:ascii="宋体" w:hAnsi="宋体" w:eastAsia="宋体" w:cs="宋体"/>
                <w:color w:val="auto"/>
                <w:szCs w:val="21"/>
                <w:highlight w:val="none"/>
              </w:rPr>
              <w:t>，</w:t>
            </w:r>
            <w:r>
              <w:rPr>
                <w:rFonts w:hint="eastAsia" w:ascii="宋体" w:hAnsi="宋体" w:eastAsia="宋体" w:cs="宋体"/>
                <w:color w:val="auto"/>
                <w:highlight w:val="none"/>
              </w:rPr>
              <w:t>具有服务质量控制措施。</w:t>
            </w:r>
          </w:p>
          <w:p w14:paraId="6BB52A5C">
            <w:pPr>
              <w:keepNext w:val="0"/>
              <w:keepLines w:val="0"/>
              <w:pageBreakBefore w:val="0"/>
              <w:kinsoku/>
              <w:wordWrap w:val="0"/>
              <w:overflowPunct/>
              <w:topLinePunct w:val="0"/>
              <w:autoSpaceDE/>
              <w:autoSpaceDN/>
              <w:bidi w:val="0"/>
              <w:spacing w:line="4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bCs/>
                <w:color w:val="auto"/>
                <w:highlight w:val="none"/>
              </w:rPr>
              <w:t>四档（1</w:t>
            </w:r>
            <w:r>
              <w:rPr>
                <w:rFonts w:hint="eastAsia" w:ascii="宋体" w:hAnsi="宋体" w:eastAsia="宋体" w:cs="宋体"/>
                <w:bCs/>
                <w:color w:val="auto"/>
                <w:highlight w:val="none"/>
                <w:lang w:val="en-US" w:eastAsia="zh-CN"/>
              </w:rPr>
              <w:t>0</w:t>
            </w:r>
            <w:r>
              <w:rPr>
                <w:rFonts w:hint="eastAsia" w:ascii="宋体" w:hAnsi="宋体" w:eastAsia="宋体" w:cs="宋体"/>
                <w:bCs/>
                <w:color w:val="auto"/>
                <w:highlight w:val="none"/>
              </w:rPr>
              <w:t>分）：按采购文件要求对采购人进行服务，服务期内出现任何项目问题，供应商承诺在5分钟内电话响应，2小时内到达指定地点协助采购人处理并解决问题；具有服务响应措施、具体服务响应流程、实施效率保障措施、服务质量管理制度，</w:t>
            </w:r>
            <w:r>
              <w:rPr>
                <w:rFonts w:hint="eastAsia" w:ascii="宋体" w:hAnsi="宋体" w:eastAsia="宋体" w:cs="宋体"/>
                <w:bCs/>
                <w:color w:val="auto"/>
                <w:highlight w:val="none"/>
              </w:rPr>
              <w:t>具有</w:t>
            </w:r>
            <w:r>
              <w:rPr>
                <w:rFonts w:hint="eastAsia" w:ascii="宋体" w:hAnsi="宋体" w:eastAsia="宋体" w:cs="宋体"/>
                <w:color w:val="auto"/>
                <w:highlight w:val="none"/>
              </w:rPr>
              <w:t>服务</w:t>
            </w:r>
            <w:r>
              <w:rPr>
                <w:rFonts w:hint="eastAsia" w:ascii="宋体" w:hAnsi="宋体" w:eastAsia="宋体" w:cs="宋体"/>
                <w:bCs/>
                <w:color w:val="auto"/>
                <w:highlight w:val="none"/>
              </w:rPr>
              <w:t>质量控制措施，具有应急事件处置方案，针对本项目提供专门的技术服务支持，并提供技术服务联系人姓名、电话等信息。</w:t>
            </w:r>
          </w:p>
        </w:tc>
        <w:tc>
          <w:tcPr>
            <w:tcW w:w="851" w:type="dxa"/>
            <w:noWrap w:val="0"/>
            <w:vAlign w:val="center"/>
          </w:tcPr>
          <w:p w14:paraId="13D04E25">
            <w:pPr>
              <w:wordWrap w:val="0"/>
              <w:spacing w:line="400" w:lineRule="exact"/>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10分</w:t>
            </w:r>
          </w:p>
        </w:tc>
      </w:tr>
      <w:tr w14:paraId="1BACD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7" w:type="dxa"/>
            <w:noWrap w:val="0"/>
            <w:vAlign w:val="center"/>
          </w:tcPr>
          <w:p w14:paraId="614F313A">
            <w:pPr>
              <w:widowControl/>
              <w:wordWrap w:val="0"/>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w:t>
            </w:r>
          </w:p>
        </w:tc>
        <w:tc>
          <w:tcPr>
            <w:tcW w:w="1377" w:type="dxa"/>
            <w:noWrap w:val="0"/>
            <w:vAlign w:val="center"/>
          </w:tcPr>
          <w:p w14:paraId="124CE926">
            <w:pPr>
              <w:widowControl/>
              <w:wordWrap w:val="0"/>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商务分</w:t>
            </w:r>
          </w:p>
        </w:tc>
        <w:tc>
          <w:tcPr>
            <w:tcW w:w="7006" w:type="dxa"/>
            <w:gridSpan w:val="2"/>
            <w:noWrap w:val="0"/>
            <w:vAlign w:val="center"/>
          </w:tcPr>
          <w:p w14:paraId="63131D0F">
            <w:pPr>
              <w:keepNext w:val="0"/>
              <w:keepLines w:val="0"/>
              <w:pageBreakBefore w:val="0"/>
              <w:widowControl/>
              <w:kinsoku/>
              <w:wordWrap w:val="0"/>
              <w:overflowPunct/>
              <w:topLinePunct w:val="0"/>
              <w:autoSpaceDE/>
              <w:autoSpaceDN/>
              <w:bidi w:val="0"/>
              <w:spacing w:line="400" w:lineRule="exact"/>
              <w:ind w:firstLine="420" w:firstLineChars="200"/>
              <w:jc w:val="center"/>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评审因素</w:t>
            </w:r>
          </w:p>
        </w:tc>
      </w:tr>
      <w:tr w14:paraId="62393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7" w:type="dxa"/>
            <w:noWrap w:val="0"/>
            <w:vAlign w:val="center"/>
          </w:tcPr>
          <w:p w14:paraId="4B001D60">
            <w:pPr>
              <w:wordWrap w:val="0"/>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3.1</w:t>
            </w:r>
          </w:p>
        </w:tc>
        <w:tc>
          <w:tcPr>
            <w:tcW w:w="1377" w:type="dxa"/>
            <w:noWrap w:val="0"/>
            <w:vAlign w:val="center"/>
          </w:tcPr>
          <w:p w14:paraId="1886239F">
            <w:pPr>
              <w:widowControl/>
              <w:wordWrap w:val="0"/>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业绩分</w:t>
            </w:r>
          </w:p>
        </w:tc>
        <w:tc>
          <w:tcPr>
            <w:tcW w:w="6155" w:type="dxa"/>
            <w:noWrap w:val="0"/>
            <w:vAlign w:val="top"/>
          </w:tcPr>
          <w:p w14:paraId="43E2ED1E">
            <w:pPr>
              <w:keepNext w:val="0"/>
              <w:keepLines w:val="0"/>
              <w:pageBreakBefore w:val="0"/>
              <w:kinsoku/>
              <w:wordWrap w:val="0"/>
              <w:overflowPunct/>
              <w:topLinePunct w:val="0"/>
              <w:autoSpaceDE/>
              <w:autoSpaceDN/>
              <w:bidi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rPr>
              <w:t>202</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年1月1日以来，供应商具有类似项目的业绩，</w:t>
            </w:r>
            <w:r>
              <w:rPr>
                <w:rFonts w:hint="eastAsia" w:ascii="宋体" w:hAnsi="宋体" w:eastAsia="宋体" w:cs="宋体"/>
                <w:color w:val="auto"/>
                <w:szCs w:val="21"/>
                <w:highlight w:val="none"/>
              </w:rPr>
              <w:t>供应商</w:t>
            </w:r>
            <w:r>
              <w:rPr>
                <w:rStyle w:val="72"/>
                <w:rFonts w:hint="eastAsia" w:ascii="宋体" w:hAnsi="宋体" w:eastAsia="宋体" w:cs="宋体"/>
                <w:color w:val="auto"/>
                <w:highlight w:val="none"/>
              </w:rPr>
              <w:t>具有</w:t>
            </w:r>
            <w:r>
              <w:rPr>
                <w:rFonts w:hint="eastAsia" w:ascii="宋体" w:hAnsi="宋体" w:eastAsia="宋体" w:cs="宋体"/>
                <w:color w:val="auto"/>
                <w:szCs w:val="21"/>
                <w:highlight w:val="none"/>
              </w:rPr>
              <w:t>同类项目的业绩，每</w:t>
            </w:r>
            <w:r>
              <w:rPr>
                <w:rFonts w:hint="eastAsia" w:ascii="宋体" w:hAnsi="宋体" w:eastAsia="宋体" w:cs="宋体"/>
                <w:color w:val="auto"/>
                <w:szCs w:val="21"/>
                <w:highlight w:val="none"/>
              </w:rPr>
              <w:t>提供一份证明材料得2分，满分10分。</w:t>
            </w:r>
            <w:r>
              <w:rPr>
                <w:rFonts w:hint="eastAsia" w:ascii="宋体" w:hAnsi="宋体" w:eastAsia="宋体" w:cs="宋体"/>
                <w:color w:val="auto"/>
                <w:sz w:val="21"/>
                <w:szCs w:val="21"/>
                <w:highlight w:val="none"/>
                <w:lang w:eastAsia="zh-CN"/>
              </w:rPr>
              <w:t>（</w:t>
            </w:r>
            <w:r>
              <w:rPr>
                <w:rFonts w:hint="eastAsia" w:ascii="宋体" w:hAnsi="宋体" w:eastAsia="宋体" w:cs="宋体"/>
                <w:b/>
                <w:bCs/>
                <w:color w:val="auto"/>
                <w:sz w:val="21"/>
                <w:szCs w:val="21"/>
                <w:highlight w:val="none"/>
              </w:rPr>
              <w:t>须提供有效的合同或中标（成交）通知书复印件并加盖供应商公章，否则不予计分）。</w:t>
            </w:r>
          </w:p>
        </w:tc>
        <w:tc>
          <w:tcPr>
            <w:tcW w:w="851" w:type="dxa"/>
            <w:noWrap w:val="0"/>
            <w:vAlign w:val="center"/>
          </w:tcPr>
          <w:p w14:paraId="07EF54A4">
            <w:pPr>
              <w:widowControl/>
              <w:wordWrap w:val="0"/>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10</w:t>
            </w:r>
            <w:r>
              <w:rPr>
                <w:rFonts w:hint="eastAsia" w:ascii="宋体" w:hAnsi="宋体" w:eastAsia="宋体" w:cs="宋体"/>
                <w:color w:val="auto"/>
                <w:kern w:val="0"/>
                <w:szCs w:val="21"/>
                <w:highlight w:val="none"/>
              </w:rPr>
              <w:t>分</w:t>
            </w:r>
          </w:p>
        </w:tc>
      </w:tr>
      <w:tr w14:paraId="1B677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090" w:type="dxa"/>
            <w:gridSpan w:val="4"/>
            <w:noWrap w:val="0"/>
            <w:vAlign w:val="center"/>
          </w:tcPr>
          <w:p w14:paraId="3C97FA40">
            <w:pPr>
              <w:widowControl/>
              <w:wordWrap w:val="0"/>
              <w:spacing w:line="400" w:lineRule="exact"/>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szCs w:val="21"/>
                <w:highlight w:val="none"/>
              </w:rPr>
              <w:t>总得分为以上各项评审因素得分合计</w:t>
            </w:r>
          </w:p>
        </w:tc>
      </w:tr>
    </w:tbl>
    <w:p w14:paraId="0DC366C6">
      <w:pPr>
        <w:pStyle w:val="5"/>
        <w:keepNext w:val="0"/>
        <w:keepLines w:val="0"/>
        <w:jc w:val="center"/>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四、中标候选人推荐原则</w:t>
      </w:r>
    </w:p>
    <w:p w14:paraId="3836C262">
      <w:pPr>
        <w:pStyle w:val="31"/>
        <w:jc w:val="center"/>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综合评分法</w:t>
      </w:r>
    </w:p>
    <w:p w14:paraId="43987BE7">
      <w:pPr>
        <w:keepNext w:val="0"/>
        <w:keepLines w:val="0"/>
        <w:pageBreakBefore w:val="0"/>
        <w:kinsoku/>
        <w:wordWrap w:val="0"/>
        <w:overflowPunct/>
        <w:topLinePunct w:val="0"/>
        <w:autoSpaceDE/>
        <w:autoSpaceDN/>
        <w:bidi w:val="0"/>
        <w:spacing w:line="40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1.评标委员会根据原始评标记录和评标结果编写评标报告，并通过电子交易平台向采购人、采购代理机构提交。</w:t>
      </w:r>
    </w:p>
    <w:p w14:paraId="25D74AE6">
      <w:pPr>
        <w:keepNext w:val="0"/>
        <w:keepLines w:val="0"/>
        <w:pageBreakBefore w:val="0"/>
        <w:kinsoku/>
        <w:wordWrap w:val="0"/>
        <w:overflowPunct/>
        <w:topLinePunct w:val="0"/>
        <w:autoSpaceDE/>
        <w:autoSpaceDN/>
        <w:bidi w:val="0"/>
        <w:spacing w:line="40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2.评标委员会将根据总得分由高到低排列次序并推荐中标候选人。得分相同的，以投标报价由低到高顺序排列，得分相同且投标报价相同的</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依次按项目</w:t>
      </w:r>
      <w:r>
        <w:rPr>
          <w:rFonts w:hint="eastAsia" w:ascii="宋体" w:hAnsi="宋体" w:eastAsia="宋体" w:cs="宋体"/>
          <w:color w:val="auto"/>
          <w:sz w:val="21"/>
          <w:szCs w:val="21"/>
          <w:highlight w:val="none"/>
          <w:lang w:val="en-US" w:eastAsia="zh-CN"/>
        </w:rPr>
        <w:t>技术</w:t>
      </w:r>
      <w:r>
        <w:rPr>
          <w:rFonts w:hint="eastAsia" w:ascii="宋体" w:hAnsi="宋体" w:eastAsia="宋体" w:cs="宋体"/>
          <w:color w:val="auto"/>
          <w:sz w:val="21"/>
          <w:szCs w:val="21"/>
          <w:highlight w:val="none"/>
        </w:rPr>
        <w:t>得分高者优先、商务分得分高者优先的顺序排列为排名第一的中标候选人。投标文件满足招标文件全部实质性要求，且按照评审因素的量化</w:t>
      </w:r>
      <w:r>
        <w:rPr>
          <w:rFonts w:hint="eastAsia" w:ascii="宋体" w:hAnsi="宋体" w:eastAsia="宋体" w:cs="宋体"/>
          <w:color w:val="auto"/>
          <w:sz w:val="21"/>
          <w:szCs w:val="21"/>
          <w:highlight w:val="none"/>
        </w:rPr>
        <w:t>指标评审得分最高的投标人为排名第一的中标候选人。</w:t>
      </w:r>
    </w:p>
    <w:p w14:paraId="25E5AD1F">
      <w:pPr>
        <w:spacing w:line="400" w:lineRule="exact"/>
        <w:ind w:firstLine="420" w:firstLineChars="200"/>
        <w:rPr>
          <w:rFonts w:hint="eastAsia" w:ascii="宋体" w:hAnsi="宋体" w:eastAsia="宋体" w:cs="宋体"/>
          <w:b w:val="0"/>
          <w:color w:val="auto"/>
          <w:kern w:val="0"/>
          <w:sz w:val="21"/>
          <w:szCs w:val="21"/>
          <w:highlight w:val="none"/>
        </w:rPr>
      </w:pPr>
      <w:r>
        <w:rPr>
          <w:rFonts w:hint="eastAsia" w:ascii="宋体" w:hAnsi="宋体" w:eastAsia="宋体" w:cs="宋体"/>
          <w:b w:val="0"/>
          <w:color w:val="auto"/>
          <w:kern w:val="0"/>
          <w:sz w:val="21"/>
          <w:szCs w:val="21"/>
          <w:highlight w:val="none"/>
        </w:rPr>
        <w:t>说明：投标人可以对所有分标进行投标，也可以选择某个分标</w:t>
      </w:r>
      <w:r>
        <w:rPr>
          <w:rFonts w:hint="eastAsia" w:ascii="宋体" w:hAnsi="宋体" w:eastAsia="宋体" w:cs="宋体"/>
          <w:b w:val="0"/>
          <w:color w:val="auto"/>
          <w:kern w:val="0"/>
          <w:sz w:val="21"/>
          <w:szCs w:val="21"/>
          <w:highlight w:val="none"/>
          <w:lang w:val="en-US" w:eastAsia="zh-CN"/>
        </w:rPr>
        <w:t>单独进行投标</w:t>
      </w:r>
      <w:r>
        <w:rPr>
          <w:rFonts w:hint="eastAsia" w:ascii="宋体" w:hAnsi="宋体" w:eastAsia="宋体" w:cs="宋体"/>
          <w:b w:val="0"/>
          <w:color w:val="auto"/>
          <w:kern w:val="0"/>
          <w:sz w:val="21"/>
          <w:szCs w:val="21"/>
          <w:highlight w:val="none"/>
        </w:rPr>
        <w:t>。为保证履约质量，一个投标人只能</w:t>
      </w:r>
      <w:r>
        <w:rPr>
          <w:rFonts w:hint="eastAsia" w:ascii="宋体" w:hAnsi="宋体" w:eastAsia="宋体" w:cs="宋体"/>
          <w:b w:val="0"/>
          <w:color w:val="auto"/>
          <w:kern w:val="0"/>
          <w:sz w:val="21"/>
          <w:szCs w:val="21"/>
          <w:highlight w:val="none"/>
          <w:lang w:val="en-US" w:eastAsia="zh-CN"/>
        </w:rPr>
        <w:t>在</w:t>
      </w:r>
      <w:r>
        <w:rPr>
          <w:rFonts w:hint="eastAsia" w:ascii="宋体" w:hAnsi="宋体" w:eastAsia="宋体" w:cs="宋体"/>
          <w:b w:val="0"/>
          <w:color w:val="auto"/>
          <w:kern w:val="0"/>
          <w:sz w:val="21"/>
          <w:szCs w:val="21"/>
          <w:highlight w:val="none"/>
        </w:rPr>
        <w:t>其中一个分标中</w:t>
      </w:r>
      <w:r>
        <w:rPr>
          <w:rFonts w:hint="eastAsia" w:ascii="宋体" w:hAnsi="宋体" w:eastAsia="宋体" w:cs="宋体"/>
          <w:b w:val="0"/>
          <w:color w:val="auto"/>
          <w:kern w:val="0"/>
          <w:sz w:val="21"/>
          <w:szCs w:val="21"/>
          <w:highlight w:val="none"/>
          <w:lang w:val="en-US" w:eastAsia="zh-CN"/>
        </w:rPr>
        <w:t>标</w:t>
      </w:r>
      <w:r>
        <w:rPr>
          <w:rFonts w:hint="eastAsia" w:ascii="宋体" w:hAnsi="宋体" w:eastAsia="宋体" w:cs="宋体"/>
          <w:b w:val="0"/>
          <w:color w:val="auto"/>
          <w:kern w:val="0"/>
          <w:sz w:val="21"/>
          <w:szCs w:val="21"/>
          <w:highlight w:val="none"/>
        </w:rPr>
        <w:t>。评标/中标顺序按分标</w:t>
      </w:r>
      <w:r>
        <w:rPr>
          <w:rFonts w:hint="eastAsia" w:ascii="宋体" w:hAnsi="宋体" w:eastAsia="宋体" w:cs="宋体"/>
          <w:b w:val="0"/>
          <w:color w:val="auto"/>
          <w:kern w:val="0"/>
          <w:sz w:val="21"/>
          <w:szCs w:val="21"/>
          <w:highlight w:val="none"/>
          <w:lang w:val="en-US" w:eastAsia="zh-CN"/>
        </w:rPr>
        <w:t>1</w:t>
      </w:r>
      <w:r>
        <w:rPr>
          <w:rFonts w:hint="eastAsia" w:ascii="宋体" w:hAnsi="宋体" w:eastAsia="宋体" w:cs="宋体"/>
          <w:b w:val="0"/>
          <w:color w:val="auto"/>
          <w:kern w:val="0"/>
          <w:sz w:val="21"/>
          <w:szCs w:val="21"/>
          <w:highlight w:val="none"/>
        </w:rPr>
        <w:t>→分标</w:t>
      </w:r>
      <w:r>
        <w:rPr>
          <w:rFonts w:hint="eastAsia" w:ascii="宋体" w:hAnsi="宋体" w:eastAsia="宋体" w:cs="宋体"/>
          <w:b w:val="0"/>
          <w:color w:val="auto"/>
          <w:kern w:val="0"/>
          <w:sz w:val="21"/>
          <w:szCs w:val="21"/>
          <w:highlight w:val="none"/>
          <w:lang w:val="en-US" w:eastAsia="zh-CN"/>
        </w:rPr>
        <w:t>2</w:t>
      </w:r>
      <w:r>
        <w:rPr>
          <w:rFonts w:hint="eastAsia" w:ascii="宋体" w:hAnsi="宋体" w:eastAsia="宋体" w:cs="宋体"/>
          <w:b w:val="0"/>
          <w:color w:val="auto"/>
          <w:kern w:val="0"/>
          <w:sz w:val="21"/>
          <w:szCs w:val="21"/>
          <w:highlight w:val="none"/>
        </w:rPr>
        <w:t>→分标</w:t>
      </w:r>
      <w:r>
        <w:rPr>
          <w:rFonts w:hint="eastAsia" w:ascii="宋体" w:hAnsi="宋体" w:eastAsia="宋体" w:cs="宋体"/>
          <w:b w:val="0"/>
          <w:color w:val="auto"/>
          <w:kern w:val="0"/>
          <w:sz w:val="21"/>
          <w:szCs w:val="21"/>
          <w:highlight w:val="none"/>
          <w:lang w:val="en-US" w:eastAsia="zh-CN"/>
        </w:rPr>
        <w:t>3</w:t>
      </w:r>
      <w:r>
        <w:rPr>
          <w:rFonts w:hint="eastAsia" w:ascii="宋体" w:hAnsi="宋体" w:eastAsia="宋体" w:cs="宋体"/>
          <w:b w:val="0"/>
          <w:color w:val="auto"/>
          <w:kern w:val="0"/>
          <w:sz w:val="21"/>
          <w:szCs w:val="21"/>
          <w:highlight w:val="none"/>
        </w:rPr>
        <w:t>→分标</w:t>
      </w:r>
      <w:r>
        <w:rPr>
          <w:rFonts w:hint="eastAsia" w:ascii="宋体" w:hAnsi="宋体" w:eastAsia="宋体" w:cs="宋体"/>
          <w:b w:val="0"/>
          <w:color w:val="auto"/>
          <w:kern w:val="0"/>
          <w:sz w:val="21"/>
          <w:szCs w:val="21"/>
          <w:highlight w:val="none"/>
          <w:lang w:val="en-US" w:eastAsia="zh-CN"/>
        </w:rPr>
        <w:t>4</w:t>
      </w:r>
      <w:r>
        <w:rPr>
          <w:rFonts w:hint="eastAsia" w:ascii="宋体" w:hAnsi="宋体" w:eastAsia="宋体" w:cs="宋体"/>
          <w:b w:val="0"/>
          <w:color w:val="auto"/>
          <w:kern w:val="0"/>
          <w:sz w:val="21"/>
          <w:szCs w:val="21"/>
          <w:highlight w:val="none"/>
        </w:rPr>
        <w:t>→分标</w:t>
      </w:r>
      <w:r>
        <w:rPr>
          <w:rFonts w:hint="eastAsia" w:ascii="宋体" w:hAnsi="宋体" w:eastAsia="宋体" w:cs="宋体"/>
          <w:b w:val="0"/>
          <w:color w:val="auto"/>
          <w:kern w:val="0"/>
          <w:sz w:val="21"/>
          <w:szCs w:val="21"/>
          <w:highlight w:val="none"/>
          <w:lang w:val="en-US" w:eastAsia="zh-CN"/>
        </w:rPr>
        <w:t>5</w:t>
      </w:r>
      <w:r>
        <w:rPr>
          <w:rFonts w:hint="eastAsia" w:ascii="宋体" w:hAnsi="宋体" w:eastAsia="宋体" w:cs="宋体"/>
          <w:b w:val="0"/>
          <w:color w:val="auto"/>
          <w:kern w:val="0"/>
          <w:sz w:val="21"/>
          <w:szCs w:val="21"/>
          <w:highlight w:val="none"/>
        </w:rPr>
        <w:t>顺推。(即</w:t>
      </w:r>
      <w:r>
        <w:rPr>
          <w:rFonts w:hint="eastAsia" w:ascii="宋体" w:hAnsi="宋体" w:eastAsia="宋体" w:cs="宋体"/>
          <w:b w:val="0"/>
          <w:color w:val="auto"/>
          <w:kern w:val="0"/>
          <w:sz w:val="21"/>
          <w:szCs w:val="21"/>
          <w:highlight w:val="none"/>
          <w:lang w:val="en-US" w:eastAsia="zh-CN"/>
        </w:rPr>
        <w:t>在</w:t>
      </w:r>
      <w:r>
        <w:rPr>
          <w:rFonts w:hint="eastAsia" w:ascii="宋体" w:hAnsi="宋体" w:eastAsia="宋体" w:cs="宋体"/>
          <w:b w:val="0"/>
          <w:color w:val="auto"/>
          <w:kern w:val="0"/>
          <w:sz w:val="21"/>
          <w:szCs w:val="21"/>
          <w:highlight w:val="none"/>
        </w:rPr>
        <w:t>分标</w:t>
      </w:r>
      <w:r>
        <w:rPr>
          <w:rFonts w:hint="eastAsia" w:ascii="宋体" w:hAnsi="宋体" w:eastAsia="宋体" w:cs="宋体"/>
          <w:b w:val="0"/>
          <w:color w:val="auto"/>
          <w:kern w:val="0"/>
          <w:sz w:val="21"/>
          <w:szCs w:val="21"/>
          <w:highlight w:val="none"/>
          <w:lang w:val="en-US" w:eastAsia="zh-CN"/>
        </w:rPr>
        <w:t>1中标</w:t>
      </w:r>
      <w:r>
        <w:rPr>
          <w:rFonts w:hint="eastAsia" w:ascii="宋体" w:hAnsi="宋体" w:eastAsia="宋体" w:cs="宋体"/>
          <w:b w:val="0"/>
          <w:color w:val="auto"/>
          <w:kern w:val="0"/>
          <w:sz w:val="21"/>
          <w:szCs w:val="21"/>
          <w:highlight w:val="none"/>
        </w:rPr>
        <w:t>后不能</w:t>
      </w:r>
      <w:r>
        <w:rPr>
          <w:rFonts w:hint="eastAsia" w:ascii="宋体" w:hAnsi="宋体" w:eastAsia="宋体" w:cs="宋体"/>
          <w:b w:val="0"/>
          <w:color w:val="auto"/>
          <w:kern w:val="0"/>
          <w:sz w:val="21"/>
          <w:szCs w:val="21"/>
          <w:highlight w:val="none"/>
          <w:lang w:val="en-US" w:eastAsia="zh-CN"/>
        </w:rPr>
        <w:t>在</w:t>
      </w:r>
      <w:r>
        <w:rPr>
          <w:rFonts w:hint="eastAsia" w:ascii="宋体" w:hAnsi="宋体" w:eastAsia="宋体" w:cs="宋体"/>
          <w:b w:val="0"/>
          <w:color w:val="auto"/>
          <w:kern w:val="0"/>
          <w:sz w:val="21"/>
          <w:szCs w:val="21"/>
          <w:highlight w:val="none"/>
        </w:rPr>
        <w:t>分标</w:t>
      </w:r>
      <w:r>
        <w:rPr>
          <w:rFonts w:hint="eastAsia" w:ascii="宋体" w:hAnsi="宋体" w:eastAsia="宋体" w:cs="宋体"/>
          <w:b w:val="0"/>
          <w:color w:val="auto"/>
          <w:kern w:val="0"/>
          <w:sz w:val="21"/>
          <w:szCs w:val="21"/>
          <w:highlight w:val="none"/>
          <w:lang w:val="en-US" w:eastAsia="zh-CN"/>
        </w:rPr>
        <w:t>2中标……</w:t>
      </w:r>
      <w:r>
        <w:rPr>
          <w:rFonts w:hint="eastAsia" w:ascii="宋体" w:hAnsi="宋体" w:eastAsia="宋体" w:cs="宋体"/>
          <w:b w:val="0"/>
          <w:color w:val="auto"/>
          <w:kern w:val="0"/>
          <w:sz w:val="21"/>
          <w:szCs w:val="21"/>
          <w:highlight w:val="none"/>
        </w:rPr>
        <w:t>，以此类推)。</w:t>
      </w:r>
    </w:p>
    <w:p w14:paraId="1858B5E8">
      <w:pPr>
        <w:spacing w:line="400" w:lineRule="exact"/>
        <w:ind w:firstLine="420" w:firstLineChars="200"/>
        <w:rPr>
          <w:rFonts w:hint="eastAsia" w:ascii="宋体" w:hAnsi="宋体" w:eastAsia="宋体" w:cs="宋体"/>
          <w:b w:val="0"/>
          <w:color w:val="auto"/>
          <w:kern w:val="0"/>
          <w:sz w:val="21"/>
          <w:szCs w:val="21"/>
          <w:highlight w:val="none"/>
        </w:rPr>
      </w:pPr>
      <w:r>
        <w:rPr>
          <w:rFonts w:hint="eastAsia" w:ascii="宋体" w:hAnsi="宋体" w:eastAsia="宋体" w:cs="宋体"/>
          <w:b w:val="0"/>
          <w:color w:val="auto"/>
          <w:kern w:val="0"/>
          <w:sz w:val="21"/>
          <w:szCs w:val="21"/>
          <w:highlight w:val="none"/>
        </w:rPr>
        <w:t>采购人应当按评审委员会推荐的排名顺序，按前述原则确定中标候选人作为中标人。</w:t>
      </w:r>
    </w:p>
    <w:p w14:paraId="1BC80B0B">
      <w:pPr>
        <w:spacing w:line="400" w:lineRule="exact"/>
        <w:ind w:firstLine="420" w:firstLineChars="200"/>
        <w:rPr>
          <w:rFonts w:hint="eastAsia" w:ascii="宋体" w:hAnsi="宋体" w:eastAsia="宋体" w:cs="宋体"/>
          <w:b w:val="0"/>
          <w:color w:val="auto"/>
          <w:kern w:val="0"/>
          <w:sz w:val="21"/>
          <w:szCs w:val="21"/>
          <w:highlight w:val="none"/>
        </w:rPr>
      </w:pPr>
      <w:r>
        <w:rPr>
          <w:rFonts w:hint="eastAsia" w:ascii="宋体" w:hAnsi="宋体" w:cs="宋体"/>
          <w:b w:val="0"/>
          <w:color w:val="auto"/>
          <w:kern w:val="0"/>
          <w:sz w:val="21"/>
          <w:szCs w:val="21"/>
          <w:highlight w:val="none"/>
          <w:lang w:val="en-US" w:eastAsia="zh-CN"/>
        </w:rPr>
        <w:t>3</w:t>
      </w:r>
      <w:r>
        <w:rPr>
          <w:rFonts w:hint="eastAsia" w:ascii="宋体" w:hAnsi="宋体" w:eastAsia="宋体" w:cs="宋体"/>
          <w:b w:val="0"/>
          <w:color w:val="auto"/>
          <w:kern w:val="0"/>
          <w:sz w:val="21"/>
          <w:szCs w:val="21"/>
          <w:highlight w:val="none"/>
          <w:lang w:val="en-US" w:eastAsia="zh-CN"/>
        </w:rPr>
        <w:t>、</w:t>
      </w:r>
      <w:r>
        <w:rPr>
          <w:rFonts w:hint="eastAsia" w:ascii="宋体" w:hAnsi="宋体" w:eastAsia="宋体" w:cs="宋体"/>
          <w:b w:val="0"/>
          <w:color w:val="auto"/>
          <w:kern w:val="0"/>
          <w:sz w:val="21"/>
          <w:szCs w:val="21"/>
          <w:highlight w:val="none"/>
        </w:rPr>
        <w:t>政府采购异常低价审查</w:t>
      </w:r>
    </w:p>
    <w:p w14:paraId="39FEE275">
      <w:pPr>
        <w:spacing w:line="400" w:lineRule="exact"/>
        <w:ind w:firstLine="420" w:firstLineChars="200"/>
        <w:rPr>
          <w:rFonts w:hint="eastAsia" w:ascii="宋体" w:hAnsi="宋体" w:eastAsia="宋体" w:cs="宋体"/>
          <w:b w:val="0"/>
          <w:color w:val="auto"/>
          <w:kern w:val="0"/>
          <w:sz w:val="21"/>
          <w:szCs w:val="21"/>
          <w:highlight w:val="none"/>
        </w:rPr>
      </w:pPr>
      <w:r>
        <w:rPr>
          <w:rFonts w:hint="eastAsia" w:ascii="宋体" w:hAnsi="宋体" w:eastAsia="宋体" w:cs="宋体"/>
          <w:b w:val="0"/>
          <w:color w:val="auto"/>
          <w:kern w:val="0"/>
          <w:sz w:val="21"/>
          <w:szCs w:val="21"/>
          <w:highlight w:val="none"/>
          <w:lang w:val="en-US" w:eastAsia="zh-CN"/>
        </w:rPr>
        <w:t>（一）采购人应当在采购文件中明确，政府采购评审中出现下列情形之一的，评审委员会应当启动异常低价投标（响应）审查程序：</w:t>
      </w:r>
    </w:p>
    <w:p w14:paraId="4A3AAF9D">
      <w:pPr>
        <w:spacing w:line="400" w:lineRule="exact"/>
        <w:ind w:firstLine="420" w:firstLineChars="200"/>
        <w:rPr>
          <w:rFonts w:hint="eastAsia" w:ascii="宋体" w:hAnsi="宋体" w:eastAsia="宋体" w:cs="宋体"/>
          <w:b w:val="0"/>
          <w:color w:val="auto"/>
          <w:kern w:val="0"/>
          <w:sz w:val="21"/>
          <w:szCs w:val="21"/>
          <w:highlight w:val="none"/>
        </w:rPr>
      </w:pPr>
      <w:r>
        <w:rPr>
          <w:rFonts w:hint="eastAsia" w:ascii="宋体" w:hAnsi="宋体" w:eastAsia="宋体" w:cs="宋体"/>
          <w:b w:val="0"/>
          <w:color w:val="auto"/>
          <w:kern w:val="0"/>
          <w:sz w:val="21"/>
          <w:szCs w:val="21"/>
          <w:highlight w:val="none"/>
          <w:lang w:val="en-US" w:eastAsia="zh-CN"/>
        </w:rPr>
        <w:t>1.投标（响应）报价低于全部通过符合性审查供应商投标（响应）报价平均值50%的，即投标（响应）报价&lt;全部通过符合性审查供应商投标（响应）报价平均值×50%；</w:t>
      </w:r>
    </w:p>
    <w:p w14:paraId="4FD1377F">
      <w:pPr>
        <w:spacing w:line="400" w:lineRule="exact"/>
        <w:ind w:firstLine="420" w:firstLineChars="200"/>
        <w:rPr>
          <w:rFonts w:hint="eastAsia" w:ascii="宋体" w:hAnsi="宋体" w:eastAsia="宋体" w:cs="宋体"/>
          <w:b w:val="0"/>
          <w:color w:val="auto"/>
          <w:kern w:val="0"/>
          <w:sz w:val="21"/>
          <w:szCs w:val="21"/>
          <w:highlight w:val="none"/>
        </w:rPr>
      </w:pPr>
      <w:r>
        <w:rPr>
          <w:rFonts w:hint="eastAsia" w:ascii="宋体" w:hAnsi="宋体" w:eastAsia="宋体" w:cs="宋体"/>
          <w:b w:val="0"/>
          <w:color w:val="auto"/>
          <w:kern w:val="0"/>
          <w:sz w:val="21"/>
          <w:szCs w:val="21"/>
          <w:highlight w:val="none"/>
          <w:lang w:val="en-US" w:eastAsia="zh-CN"/>
        </w:rPr>
        <w:t>2.投标（响应）报价低于通过符合性审查的次低报价供应商投标（响应）报价50%的，即投标（响应）报价&lt;通过符合性审查的次低报价供应商投标（响应）报价×50%；</w:t>
      </w:r>
    </w:p>
    <w:p w14:paraId="369DFA72">
      <w:pPr>
        <w:spacing w:line="400" w:lineRule="exact"/>
        <w:ind w:firstLine="420" w:firstLineChars="200"/>
        <w:rPr>
          <w:rFonts w:hint="eastAsia" w:ascii="宋体" w:hAnsi="宋体" w:eastAsia="宋体" w:cs="宋体"/>
          <w:b w:val="0"/>
          <w:color w:val="auto"/>
          <w:kern w:val="0"/>
          <w:sz w:val="21"/>
          <w:szCs w:val="21"/>
          <w:highlight w:val="none"/>
        </w:rPr>
      </w:pPr>
      <w:r>
        <w:rPr>
          <w:rFonts w:hint="eastAsia" w:ascii="宋体" w:hAnsi="宋体" w:eastAsia="宋体" w:cs="宋体"/>
          <w:b w:val="0"/>
          <w:color w:val="auto"/>
          <w:kern w:val="0"/>
          <w:sz w:val="21"/>
          <w:szCs w:val="21"/>
          <w:highlight w:val="none"/>
          <w:lang w:val="en-US" w:eastAsia="zh-CN"/>
        </w:rPr>
        <w:t>3.投标（响应）报价低于采购项目最高限价45%的，即投标（响应）报价&lt;采购项目最高限价×45%；</w:t>
      </w:r>
    </w:p>
    <w:p w14:paraId="76C5E376">
      <w:pPr>
        <w:spacing w:line="400" w:lineRule="exact"/>
        <w:ind w:firstLine="420" w:firstLineChars="200"/>
        <w:rPr>
          <w:rFonts w:hint="eastAsia" w:ascii="宋体" w:hAnsi="宋体" w:eastAsia="宋体" w:cs="宋体"/>
          <w:b w:val="0"/>
          <w:color w:val="auto"/>
          <w:kern w:val="0"/>
          <w:sz w:val="21"/>
          <w:szCs w:val="21"/>
          <w:highlight w:val="none"/>
        </w:rPr>
      </w:pPr>
      <w:r>
        <w:rPr>
          <w:rFonts w:hint="eastAsia" w:ascii="宋体" w:hAnsi="宋体" w:eastAsia="宋体" w:cs="宋体"/>
          <w:b w:val="0"/>
          <w:color w:val="auto"/>
          <w:kern w:val="0"/>
          <w:sz w:val="21"/>
          <w:szCs w:val="21"/>
          <w:highlight w:val="none"/>
          <w:lang w:val="en-US" w:eastAsia="zh-CN"/>
        </w:rPr>
        <w:t>4.评审委员会基于专业判断，认为供应商报价过低，有可能影响产品质量或者不能诚信履约的其他情形。</w:t>
      </w:r>
    </w:p>
    <w:p w14:paraId="17F1A356">
      <w:pPr>
        <w:spacing w:line="400" w:lineRule="exact"/>
        <w:ind w:firstLine="420" w:firstLineChars="200"/>
        <w:rPr>
          <w:rFonts w:hint="eastAsia" w:ascii="宋体" w:hAnsi="宋体" w:eastAsia="宋体" w:cs="宋体"/>
          <w:b w:val="0"/>
          <w:color w:val="auto"/>
          <w:kern w:val="0"/>
          <w:sz w:val="21"/>
          <w:szCs w:val="21"/>
          <w:highlight w:val="none"/>
        </w:rPr>
      </w:pPr>
      <w:r>
        <w:rPr>
          <w:rFonts w:hint="eastAsia" w:ascii="宋体" w:hAnsi="宋体" w:eastAsia="宋体" w:cs="宋体"/>
          <w:b w:val="0"/>
          <w:color w:val="auto"/>
          <w:kern w:val="0"/>
          <w:sz w:val="21"/>
          <w:szCs w:val="21"/>
          <w:highlight w:val="none"/>
          <w:lang w:val="en-US" w:eastAsia="zh-CN"/>
        </w:rPr>
        <w:t>采购人可以结合具体项目实际情况，提高上述第1项至第3项中启动异常低价投标（响应）审查的数值标准，但是最高不得超过65%。</w:t>
      </w:r>
    </w:p>
    <w:p w14:paraId="3907F5E8">
      <w:pPr>
        <w:spacing w:line="400" w:lineRule="exact"/>
        <w:ind w:firstLine="420" w:firstLineChars="200"/>
        <w:rPr>
          <w:rFonts w:hint="eastAsia" w:ascii="宋体" w:hAnsi="宋体" w:eastAsia="宋体" w:cs="宋体"/>
          <w:b w:val="0"/>
          <w:color w:val="auto"/>
          <w:kern w:val="0"/>
          <w:sz w:val="21"/>
          <w:szCs w:val="21"/>
          <w:highlight w:val="none"/>
        </w:rPr>
      </w:pPr>
      <w:r>
        <w:rPr>
          <w:rFonts w:hint="eastAsia" w:ascii="宋体" w:hAnsi="宋体" w:eastAsia="宋体" w:cs="宋体"/>
          <w:b w:val="0"/>
          <w:color w:val="auto"/>
          <w:kern w:val="0"/>
          <w:sz w:val="21"/>
          <w:szCs w:val="21"/>
          <w:highlight w:val="none"/>
          <w:lang w:val="en-US" w:eastAsia="zh-CN"/>
        </w:rPr>
        <w:t>相关法律法规对供应商报价有规定的，从其规定。</w:t>
      </w:r>
    </w:p>
    <w:p w14:paraId="1D8AF797">
      <w:pPr>
        <w:spacing w:line="400" w:lineRule="exact"/>
        <w:ind w:firstLine="420" w:firstLineChars="200"/>
        <w:rPr>
          <w:rFonts w:hint="eastAsia" w:ascii="宋体" w:hAnsi="宋体" w:eastAsia="宋体" w:cs="宋体"/>
          <w:b w:val="0"/>
          <w:color w:val="auto"/>
          <w:kern w:val="0"/>
          <w:sz w:val="21"/>
          <w:szCs w:val="21"/>
          <w:highlight w:val="none"/>
        </w:rPr>
      </w:pPr>
      <w:r>
        <w:rPr>
          <w:rFonts w:hint="eastAsia" w:ascii="宋体" w:hAnsi="宋体" w:eastAsia="宋体" w:cs="宋体"/>
          <w:b w:val="0"/>
          <w:color w:val="auto"/>
          <w:kern w:val="0"/>
          <w:sz w:val="21"/>
          <w:szCs w:val="21"/>
          <w:highlight w:val="none"/>
          <w:lang w:val="en-US" w:eastAsia="zh-CN"/>
        </w:rPr>
        <w:t>（二）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5358FB26">
      <w:pPr>
        <w:spacing w:line="400" w:lineRule="exact"/>
        <w:ind w:firstLine="420" w:firstLineChars="200"/>
        <w:rPr>
          <w:rFonts w:hint="eastAsia" w:ascii="宋体" w:hAnsi="宋体" w:eastAsia="宋体" w:cs="宋体"/>
          <w:b w:val="0"/>
          <w:color w:val="auto"/>
          <w:kern w:val="0"/>
          <w:sz w:val="21"/>
          <w:szCs w:val="21"/>
          <w:highlight w:val="none"/>
        </w:rPr>
      </w:pPr>
      <w:r>
        <w:rPr>
          <w:rFonts w:hint="eastAsia" w:ascii="宋体" w:hAnsi="宋体" w:eastAsia="宋体" w:cs="宋体"/>
          <w:b w:val="0"/>
          <w:color w:val="auto"/>
          <w:kern w:val="0"/>
          <w:sz w:val="21"/>
          <w:szCs w:val="21"/>
          <w:highlight w:val="none"/>
          <w:lang w:val="en-US" w:eastAsia="zh-CN"/>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0653BD64">
      <w:pPr>
        <w:spacing w:line="400" w:lineRule="exact"/>
        <w:ind w:firstLine="420" w:firstLineChars="200"/>
        <w:rPr>
          <w:rFonts w:hint="eastAsia" w:ascii="宋体" w:hAnsi="宋体" w:eastAsia="宋体" w:cs="宋体"/>
          <w:b w:val="0"/>
          <w:color w:val="auto"/>
          <w:kern w:val="0"/>
          <w:sz w:val="21"/>
          <w:szCs w:val="21"/>
          <w:highlight w:val="none"/>
          <w:lang w:val="en-US" w:eastAsia="zh-CN"/>
        </w:rPr>
      </w:pPr>
    </w:p>
    <w:p w14:paraId="61D1743E">
      <w:pPr>
        <w:pStyle w:val="31"/>
        <w:spacing w:before="120" w:beforeLines="50" w:after="120" w:afterLines="50" w:line="360" w:lineRule="auto"/>
        <w:ind w:firstLine="398" w:firstLineChars="200"/>
        <w:rPr>
          <w:rFonts w:hint="eastAsia" w:ascii="宋体" w:hAnsi="宋体" w:eastAsia="宋体" w:cs="宋体"/>
          <w:b w:val="0"/>
          <w:color w:val="auto"/>
          <w:sz w:val="21"/>
          <w:szCs w:val="21"/>
          <w:highlight w:val="none"/>
        </w:rPr>
      </w:pPr>
    </w:p>
    <w:p w14:paraId="4FACD4CF">
      <w:pPr>
        <w:pStyle w:val="31"/>
        <w:spacing w:before="120" w:beforeLines="50" w:after="120" w:afterLines="50" w:line="360" w:lineRule="auto"/>
        <w:ind w:firstLine="456" w:firstLineChars="200"/>
        <w:rPr>
          <w:rFonts w:hint="eastAsia" w:ascii="宋体" w:hAnsi="宋体" w:eastAsia="宋体" w:cs="宋体"/>
          <w:b/>
          <w:color w:val="auto"/>
          <w:sz w:val="24"/>
          <w:highlight w:val="none"/>
        </w:rPr>
      </w:pPr>
      <w:r>
        <w:rPr>
          <w:rFonts w:hint="eastAsia" w:ascii="宋体" w:hAnsi="宋体" w:eastAsia="宋体" w:cs="宋体"/>
          <w:color w:val="auto"/>
          <w:sz w:val="24"/>
          <w:szCs w:val="24"/>
          <w:highlight w:val="none"/>
        </w:rPr>
        <w:br w:type="page"/>
      </w:r>
    </w:p>
    <w:p w14:paraId="684EB7CF">
      <w:pPr>
        <w:spacing w:before="120" w:beforeLines="50" w:after="120" w:afterLines="50" w:line="400" w:lineRule="exact"/>
        <w:rPr>
          <w:rFonts w:hint="eastAsia" w:ascii="宋体" w:hAnsi="宋体" w:eastAsia="宋体" w:cs="宋体"/>
          <w:b/>
          <w:color w:val="auto"/>
          <w:sz w:val="24"/>
          <w:highlight w:val="none"/>
        </w:rPr>
      </w:pPr>
    </w:p>
    <w:p w14:paraId="2DF5A5AE">
      <w:pPr>
        <w:pStyle w:val="3"/>
        <w:snapToGrid w:val="0"/>
        <w:jc w:val="center"/>
        <w:rPr>
          <w:rFonts w:hint="eastAsia" w:ascii="宋体" w:hAnsi="宋体" w:eastAsia="宋体" w:cs="宋体"/>
          <w:bCs/>
          <w:color w:val="auto"/>
          <w:sz w:val="32"/>
          <w:szCs w:val="32"/>
          <w:highlight w:val="none"/>
        </w:rPr>
      </w:pPr>
      <w:bookmarkStart w:id="133" w:name="_Toc28267"/>
      <w:bookmarkStart w:id="134" w:name="_Toc6945"/>
      <w:r>
        <w:rPr>
          <w:rFonts w:hint="eastAsia" w:ascii="宋体" w:hAnsi="宋体" w:eastAsia="宋体" w:cs="宋体"/>
          <w:color w:val="auto"/>
          <w:highlight w:val="none"/>
        </w:rPr>
        <w:t>第五章  拟签订的合同文本</w:t>
      </w:r>
      <w:bookmarkEnd w:id="133"/>
      <w:bookmarkEnd w:id="134"/>
    </w:p>
    <w:p w14:paraId="500D51F2">
      <w:pPr>
        <w:autoSpaceDE w:val="0"/>
        <w:autoSpaceDN w:val="0"/>
        <w:adjustRightInd w:val="0"/>
        <w:snapToGrid w:val="0"/>
        <w:spacing w:after="156" w:line="640" w:lineRule="exact"/>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52"/>
          <w:szCs w:val="52"/>
          <w:highlight w:val="none"/>
        </w:rPr>
        <w:t>政府采购合同</w:t>
      </w:r>
    </w:p>
    <w:p w14:paraId="66F0389D">
      <w:pPr>
        <w:wordWrap w:val="0"/>
        <w:spacing w:line="700" w:lineRule="exact"/>
        <w:ind w:firstLine="1799" w:firstLineChars="64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 xml:space="preserve">                     </w:t>
      </w:r>
    </w:p>
    <w:p w14:paraId="258D18ED">
      <w:pPr>
        <w:wordWrap w:val="0"/>
        <w:spacing w:line="700" w:lineRule="exact"/>
        <w:ind w:firstLine="1799" w:firstLineChars="640"/>
        <w:rPr>
          <w:rFonts w:hint="eastAsia" w:ascii="宋体" w:hAnsi="宋体" w:eastAsia="宋体" w:cs="宋体"/>
          <w:b/>
          <w:color w:val="auto"/>
          <w:sz w:val="28"/>
          <w:szCs w:val="28"/>
          <w:highlight w:val="none"/>
        </w:rPr>
      </w:pPr>
    </w:p>
    <w:p w14:paraId="0BECFE1A">
      <w:pPr>
        <w:keepNext w:val="0"/>
        <w:keepLines w:val="0"/>
        <w:pageBreakBefore w:val="0"/>
        <w:widowControl w:val="0"/>
        <w:kinsoku/>
        <w:wordWrap w:val="0"/>
        <w:overflowPunct/>
        <w:topLinePunct w:val="0"/>
        <w:autoSpaceDE/>
        <w:autoSpaceDN/>
        <w:bidi w:val="0"/>
        <w:adjustRightInd/>
        <w:snapToGrid/>
        <w:spacing w:line="540" w:lineRule="exact"/>
        <w:ind w:left="2530" w:hanging="2530" w:hangingChars="900"/>
        <w:jc w:val="left"/>
        <w:textAlignment w:val="auto"/>
        <w:rPr>
          <w:rFonts w:hint="eastAsia" w:ascii="宋体" w:hAnsi="宋体" w:eastAsia="宋体" w:cs="宋体"/>
          <w:b/>
          <w:color w:val="auto"/>
          <w:sz w:val="28"/>
          <w:szCs w:val="28"/>
          <w:highlight w:val="none"/>
          <w:u w:val="single"/>
          <w:lang w:val="en-US" w:eastAsia="zh-CN"/>
        </w:rPr>
      </w:pP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合同名称</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u w:val="single"/>
          <w:lang w:val="en-US" w:eastAsia="zh-CN"/>
        </w:rPr>
        <w:t xml:space="preserve">                                      </w:t>
      </w:r>
    </w:p>
    <w:p w14:paraId="460FCF83">
      <w:pPr>
        <w:keepNext w:val="0"/>
        <w:keepLines w:val="0"/>
        <w:pageBreakBefore w:val="0"/>
        <w:widowControl w:val="0"/>
        <w:kinsoku/>
        <w:wordWrap w:val="0"/>
        <w:overflowPunct/>
        <w:topLinePunct w:val="0"/>
        <w:autoSpaceDE/>
        <w:autoSpaceDN/>
        <w:bidi w:val="0"/>
        <w:adjustRightInd/>
        <w:snapToGrid/>
        <w:spacing w:line="540" w:lineRule="exact"/>
        <w:ind w:firstLine="1124" w:firstLineChars="400"/>
        <w:jc w:val="both"/>
        <w:textAlignment w:val="auto"/>
        <w:rPr>
          <w:rFonts w:hint="eastAsia" w:ascii="宋体" w:hAnsi="宋体" w:eastAsia="宋体" w:cs="宋体"/>
          <w:b/>
          <w:color w:val="auto"/>
          <w:sz w:val="28"/>
          <w:szCs w:val="28"/>
          <w:highlight w:val="none"/>
          <w:u w:val="single"/>
          <w:lang w:val="en-US" w:eastAsia="zh-CN"/>
        </w:rPr>
      </w:pPr>
      <w:r>
        <w:rPr>
          <w:rFonts w:hint="eastAsia" w:ascii="宋体" w:hAnsi="宋体" w:eastAsia="宋体" w:cs="宋体"/>
          <w:b/>
          <w:color w:val="auto"/>
          <w:sz w:val="28"/>
          <w:szCs w:val="28"/>
          <w:highlight w:val="none"/>
        </w:rPr>
        <w:t>合同编号</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u w:val="single"/>
          <w:lang w:val="en-US" w:eastAsia="zh-CN"/>
        </w:rPr>
        <w:t xml:space="preserve">                                     </w:t>
      </w:r>
    </w:p>
    <w:p w14:paraId="17C5922C">
      <w:pPr>
        <w:keepNext w:val="0"/>
        <w:keepLines w:val="0"/>
        <w:pageBreakBefore w:val="0"/>
        <w:widowControl w:val="0"/>
        <w:kinsoku/>
        <w:wordWrap w:val="0"/>
        <w:overflowPunct/>
        <w:topLinePunct w:val="0"/>
        <w:autoSpaceDE/>
        <w:autoSpaceDN/>
        <w:bidi w:val="0"/>
        <w:adjustRightInd/>
        <w:snapToGrid/>
        <w:spacing w:line="540" w:lineRule="exact"/>
        <w:ind w:firstLine="1799" w:firstLineChars="640"/>
        <w:jc w:val="center"/>
        <w:textAlignment w:val="auto"/>
        <w:rPr>
          <w:rFonts w:hint="eastAsia" w:ascii="宋体" w:hAnsi="宋体" w:eastAsia="宋体" w:cs="宋体"/>
          <w:b/>
          <w:color w:val="auto"/>
          <w:sz w:val="28"/>
          <w:szCs w:val="28"/>
          <w:highlight w:val="none"/>
        </w:rPr>
      </w:pPr>
    </w:p>
    <w:p w14:paraId="23BB9B59">
      <w:pPr>
        <w:keepNext w:val="0"/>
        <w:keepLines w:val="0"/>
        <w:pageBreakBefore w:val="0"/>
        <w:widowControl w:val="0"/>
        <w:kinsoku/>
        <w:wordWrap w:val="0"/>
        <w:overflowPunct/>
        <w:topLinePunct w:val="0"/>
        <w:autoSpaceDE/>
        <w:autoSpaceDN/>
        <w:bidi w:val="0"/>
        <w:adjustRightInd/>
        <w:snapToGrid/>
        <w:spacing w:line="540" w:lineRule="exact"/>
        <w:ind w:firstLine="1799" w:firstLineChars="640"/>
        <w:jc w:val="center"/>
        <w:textAlignment w:val="auto"/>
        <w:rPr>
          <w:rFonts w:hint="eastAsia" w:ascii="宋体" w:hAnsi="宋体" w:eastAsia="宋体" w:cs="宋体"/>
          <w:b/>
          <w:color w:val="auto"/>
          <w:sz w:val="28"/>
          <w:szCs w:val="28"/>
          <w:highlight w:val="none"/>
        </w:rPr>
      </w:pPr>
    </w:p>
    <w:p w14:paraId="099DCDFA">
      <w:pPr>
        <w:keepNext w:val="0"/>
        <w:keepLines w:val="0"/>
        <w:pageBreakBefore w:val="0"/>
        <w:widowControl w:val="0"/>
        <w:kinsoku/>
        <w:wordWrap w:val="0"/>
        <w:overflowPunct/>
        <w:topLinePunct w:val="0"/>
        <w:autoSpaceDE/>
        <w:autoSpaceDN/>
        <w:bidi w:val="0"/>
        <w:adjustRightInd/>
        <w:snapToGrid/>
        <w:spacing w:line="540" w:lineRule="exact"/>
        <w:ind w:firstLine="1799" w:firstLineChars="640"/>
        <w:jc w:val="center"/>
        <w:textAlignment w:val="auto"/>
        <w:rPr>
          <w:rFonts w:hint="eastAsia" w:ascii="宋体" w:hAnsi="宋体" w:eastAsia="宋体" w:cs="宋体"/>
          <w:b/>
          <w:color w:val="auto"/>
          <w:sz w:val="28"/>
          <w:szCs w:val="28"/>
          <w:highlight w:val="none"/>
        </w:rPr>
      </w:pPr>
    </w:p>
    <w:p w14:paraId="0610E2B7">
      <w:pPr>
        <w:keepNext w:val="0"/>
        <w:keepLines w:val="0"/>
        <w:pageBreakBefore w:val="0"/>
        <w:widowControl w:val="0"/>
        <w:kinsoku/>
        <w:wordWrap w:val="0"/>
        <w:overflowPunct/>
        <w:topLinePunct w:val="0"/>
        <w:autoSpaceDE/>
        <w:autoSpaceDN/>
        <w:bidi w:val="0"/>
        <w:adjustRightInd/>
        <w:snapToGrid/>
        <w:spacing w:line="540" w:lineRule="exact"/>
        <w:ind w:firstLine="1799" w:firstLineChars="640"/>
        <w:jc w:val="center"/>
        <w:textAlignment w:val="auto"/>
        <w:rPr>
          <w:rFonts w:hint="eastAsia" w:ascii="宋体" w:hAnsi="宋体" w:eastAsia="宋体" w:cs="宋体"/>
          <w:b/>
          <w:color w:val="auto"/>
          <w:sz w:val="28"/>
          <w:szCs w:val="28"/>
          <w:highlight w:val="none"/>
        </w:rPr>
      </w:pPr>
    </w:p>
    <w:p w14:paraId="00DAC5E9">
      <w:pPr>
        <w:keepNext w:val="0"/>
        <w:keepLines w:val="0"/>
        <w:pageBreakBefore w:val="0"/>
        <w:widowControl w:val="0"/>
        <w:kinsoku/>
        <w:wordWrap w:val="0"/>
        <w:overflowPunct/>
        <w:topLinePunct w:val="0"/>
        <w:autoSpaceDE/>
        <w:autoSpaceDN/>
        <w:bidi w:val="0"/>
        <w:adjustRightInd/>
        <w:snapToGrid/>
        <w:spacing w:line="540" w:lineRule="exact"/>
        <w:ind w:firstLine="1799" w:firstLineChars="640"/>
        <w:jc w:val="center"/>
        <w:textAlignment w:val="auto"/>
        <w:rPr>
          <w:rFonts w:hint="eastAsia" w:ascii="宋体" w:hAnsi="宋体" w:eastAsia="宋体" w:cs="宋体"/>
          <w:b/>
          <w:color w:val="auto"/>
          <w:sz w:val="28"/>
          <w:szCs w:val="28"/>
          <w:highlight w:val="none"/>
        </w:rPr>
      </w:pPr>
    </w:p>
    <w:p w14:paraId="23546B45">
      <w:pPr>
        <w:keepNext w:val="0"/>
        <w:keepLines w:val="0"/>
        <w:pageBreakBefore w:val="0"/>
        <w:widowControl w:val="0"/>
        <w:kinsoku/>
        <w:wordWrap w:val="0"/>
        <w:overflowPunct/>
        <w:topLinePunct w:val="0"/>
        <w:autoSpaceDE/>
        <w:autoSpaceDN/>
        <w:bidi w:val="0"/>
        <w:adjustRightInd/>
        <w:snapToGrid/>
        <w:spacing w:line="540" w:lineRule="exact"/>
        <w:ind w:firstLine="1799" w:firstLineChars="640"/>
        <w:jc w:val="center"/>
        <w:textAlignment w:val="auto"/>
        <w:rPr>
          <w:rFonts w:hint="eastAsia" w:ascii="宋体" w:hAnsi="宋体" w:eastAsia="宋体" w:cs="宋体"/>
          <w:b/>
          <w:color w:val="auto"/>
          <w:sz w:val="28"/>
          <w:szCs w:val="28"/>
          <w:highlight w:val="none"/>
        </w:rPr>
      </w:pPr>
    </w:p>
    <w:p w14:paraId="2E1BE743">
      <w:pPr>
        <w:keepNext w:val="0"/>
        <w:keepLines w:val="0"/>
        <w:pageBreakBefore w:val="0"/>
        <w:widowControl w:val="0"/>
        <w:kinsoku/>
        <w:wordWrap w:val="0"/>
        <w:overflowPunct/>
        <w:topLinePunct w:val="0"/>
        <w:autoSpaceDE/>
        <w:autoSpaceDN/>
        <w:bidi w:val="0"/>
        <w:adjustRightInd/>
        <w:snapToGrid/>
        <w:spacing w:line="540" w:lineRule="exact"/>
        <w:jc w:val="center"/>
        <w:textAlignment w:val="auto"/>
        <w:rPr>
          <w:rFonts w:hint="eastAsia" w:ascii="宋体" w:hAnsi="宋体" w:eastAsia="宋体" w:cs="宋体"/>
          <w:b/>
          <w:color w:val="auto"/>
          <w:sz w:val="28"/>
          <w:szCs w:val="28"/>
          <w:highlight w:val="none"/>
          <w:u w:val="single"/>
        </w:rPr>
      </w:pP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采购人（甲方）</w:t>
      </w:r>
      <w:r>
        <w:rPr>
          <w:rFonts w:hint="eastAsia" w:ascii="宋体" w:hAnsi="宋体" w:eastAsia="宋体" w:cs="宋体"/>
          <w:b/>
          <w:color w:val="auto"/>
          <w:sz w:val="28"/>
          <w:szCs w:val="28"/>
          <w:highlight w:val="none"/>
          <w:u w:val="single"/>
        </w:rPr>
        <w:t>广西壮族自治区山口红树林生态国家级自然保护</w:t>
      </w:r>
    </w:p>
    <w:p w14:paraId="41173DE5">
      <w:pPr>
        <w:keepNext w:val="0"/>
        <w:keepLines w:val="0"/>
        <w:pageBreakBefore w:val="0"/>
        <w:widowControl w:val="0"/>
        <w:kinsoku/>
        <w:wordWrap w:val="0"/>
        <w:overflowPunct/>
        <w:topLinePunct w:val="0"/>
        <w:autoSpaceDE/>
        <w:autoSpaceDN/>
        <w:bidi w:val="0"/>
        <w:adjustRightInd/>
        <w:snapToGrid/>
        <w:spacing w:line="540" w:lineRule="exact"/>
        <w:ind w:firstLine="1124" w:firstLineChars="400"/>
        <w:jc w:val="both"/>
        <w:textAlignment w:val="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u w:val="single"/>
        </w:rPr>
        <w:t>区管理中心</w:t>
      </w:r>
    </w:p>
    <w:p w14:paraId="76475251">
      <w:pPr>
        <w:keepNext w:val="0"/>
        <w:keepLines w:val="0"/>
        <w:pageBreakBefore w:val="0"/>
        <w:widowControl w:val="0"/>
        <w:kinsoku/>
        <w:wordWrap w:val="0"/>
        <w:overflowPunct/>
        <w:topLinePunct w:val="0"/>
        <w:autoSpaceDE/>
        <w:autoSpaceDN/>
        <w:bidi w:val="0"/>
        <w:adjustRightInd/>
        <w:snapToGrid/>
        <w:spacing w:line="540" w:lineRule="exact"/>
        <w:ind w:firstLine="1124" w:firstLineChars="400"/>
        <w:jc w:val="both"/>
        <w:textAlignment w:val="auto"/>
        <w:rPr>
          <w:rFonts w:hint="eastAsia" w:ascii="宋体" w:hAnsi="宋体" w:eastAsia="宋体" w:cs="宋体"/>
          <w:b/>
          <w:color w:val="auto"/>
          <w:sz w:val="28"/>
          <w:szCs w:val="28"/>
          <w:highlight w:val="none"/>
          <w:u w:val="single"/>
          <w:lang w:val="en-US" w:eastAsia="zh-CN"/>
        </w:rPr>
      </w:pPr>
      <w:r>
        <w:rPr>
          <w:rFonts w:hint="eastAsia" w:ascii="宋体" w:hAnsi="宋体" w:eastAsia="宋体" w:cs="宋体"/>
          <w:b/>
          <w:color w:val="auto"/>
          <w:sz w:val="28"/>
          <w:szCs w:val="28"/>
          <w:highlight w:val="none"/>
        </w:rPr>
        <w:t>供应商（乙方）</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u w:val="single"/>
          <w:lang w:val="en-US" w:eastAsia="zh-CN"/>
        </w:rPr>
        <w:t xml:space="preserve">                                 </w:t>
      </w:r>
    </w:p>
    <w:p w14:paraId="2772EC81">
      <w:pPr>
        <w:keepNext w:val="0"/>
        <w:keepLines w:val="0"/>
        <w:pageBreakBefore w:val="0"/>
        <w:widowControl w:val="0"/>
        <w:kinsoku/>
        <w:wordWrap w:val="0"/>
        <w:overflowPunct/>
        <w:topLinePunct w:val="0"/>
        <w:autoSpaceDE/>
        <w:autoSpaceDN/>
        <w:bidi w:val="0"/>
        <w:adjustRightInd/>
        <w:snapToGrid/>
        <w:spacing w:line="540" w:lineRule="exact"/>
        <w:ind w:firstLine="1799" w:firstLineChars="640"/>
        <w:jc w:val="center"/>
        <w:textAlignment w:val="auto"/>
        <w:rPr>
          <w:rFonts w:hint="eastAsia" w:ascii="宋体" w:hAnsi="宋体" w:eastAsia="宋体" w:cs="宋体"/>
          <w:b/>
          <w:color w:val="auto"/>
          <w:sz w:val="28"/>
          <w:szCs w:val="28"/>
          <w:highlight w:val="none"/>
        </w:rPr>
      </w:pPr>
    </w:p>
    <w:p w14:paraId="310061D9">
      <w:pPr>
        <w:keepNext w:val="0"/>
        <w:keepLines w:val="0"/>
        <w:pageBreakBefore w:val="0"/>
        <w:widowControl w:val="0"/>
        <w:kinsoku/>
        <w:wordWrap w:val="0"/>
        <w:overflowPunct/>
        <w:topLinePunct w:val="0"/>
        <w:autoSpaceDE/>
        <w:autoSpaceDN/>
        <w:bidi w:val="0"/>
        <w:adjustRightInd/>
        <w:snapToGrid/>
        <w:spacing w:line="540" w:lineRule="exact"/>
        <w:jc w:val="both"/>
        <w:textAlignment w:val="auto"/>
        <w:rPr>
          <w:rFonts w:hint="eastAsia" w:ascii="宋体" w:hAnsi="宋体" w:eastAsia="宋体" w:cs="宋体"/>
          <w:b/>
          <w:color w:val="auto"/>
          <w:sz w:val="28"/>
          <w:szCs w:val="28"/>
          <w:highlight w:val="none"/>
        </w:rPr>
      </w:pPr>
    </w:p>
    <w:p w14:paraId="3F489D03">
      <w:pPr>
        <w:keepNext w:val="0"/>
        <w:keepLines w:val="0"/>
        <w:pageBreakBefore w:val="0"/>
        <w:widowControl w:val="0"/>
        <w:kinsoku/>
        <w:wordWrap w:val="0"/>
        <w:overflowPunct/>
        <w:topLinePunct w:val="0"/>
        <w:autoSpaceDE/>
        <w:autoSpaceDN/>
        <w:bidi w:val="0"/>
        <w:adjustRightInd/>
        <w:snapToGrid/>
        <w:spacing w:line="540" w:lineRule="exact"/>
        <w:jc w:val="center"/>
        <w:textAlignment w:val="auto"/>
        <w:rPr>
          <w:rFonts w:hint="eastAsia" w:ascii="宋体" w:hAnsi="宋体" w:eastAsia="宋体" w:cs="宋体"/>
          <w:b/>
          <w:color w:val="auto"/>
          <w:sz w:val="28"/>
          <w:szCs w:val="28"/>
          <w:highlight w:val="none"/>
          <w:u w:val="single"/>
        </w:rPr>
      </w:pP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签订合同地点</w:t>
      </w:r>
      <w:r>
        <w:rPr>
          <w:rFonts w:hint="eastAsia" w:ascii="宋体" w:hAnsi="宋体" w:eastAsia="宋体" w:cs="宋体"/>
          <w:color w:val="auto"/>
          <w:sz w:val="28"/>
          <w:szCs w:val="28"/>
          <w:highlight w:val="none"/>
        </w:rPr>
        <w:t>：</w:t>
      </w:r>
      <w:r>
        <w:rPr>
          <w:rFonts w:hint="eastAsia" w:ascii="宋体" w:hAnsi="宋体" w:eastAsia="宋体" w:cs="宋体"/>
          <w:b/>
          <w:color w:val="auto"/>
          <w:sz w:val="28"/>
          <w:szCs w:val="28"/>
          <w:highlight w:val="none"/>
          <w:u w:val="single"/>
        </w:rPr>
        <w:t>广西壮族自治区山口红树林生态国家级自然保护区</w:t>
      </w:r>
    </w:p>
    <w:p w14:paraId="39E42003">
      <w:pPr>
        <w:keepNext w:val="0"/>
        <w:keepLines w:val="0"/>
        <w:pageBreakBefore w:val="0"/>
        <w:widowControl w:val="0"/>
        <w:kinsoku/>
        <w:wordWrap w:val="0"/>
        <w:overflowPunct/>
        <w:topLinePunct w:val="0"/>
        <w:autoSpaceDE/>
        <w:autoSpaceDN/>
        <w:bidi w:val="0"/>
        <w:adjustRightInd/>
        <w:snapToGrid/>
        <w:spacing w:line="540" w:lineRule="exact"/>
        <w:ind w:firstLine="1124" w:firstLineChars="400"/>
        <w:jc w:val="both"/>
        <w:textAlignment w:val="auto"/>
        <w:rPr>
          <w:rFonts w:hint="eastAsia" w:ascii="宋体" w:hAnsi="宋体" w:eastAsia="宋体" w:cs="宋体"/>
          <w:b/>
          <w:color w:val="auto"/>
          <w:sz w:val="28"/>
          <w:szCs w:val="28"/>
          <w:highlight w:val="none"/>
          <w:u w:val="single"/>
        </w:rPr>
      </w:pPr>
      <w:r>
        <w:rPr>
          <w:rFonts w:hint="eastAsia" w:ascii="宋体" w:hAnsi="宋体" w:eastAsia="宋体" w:cs="宋体"/>
          <w:b/>
          <w:color w:val="auto"/>
          <w:sz w:val="28"/>
          <w:szCs w:val="28"/>
          <w:highlight w:val="none"/>
          <w:u w:val="single"/>
        </w:rPr>
        <w:t>管理中心</w:t>
      </w:r>
    </w:p>
    <w:p w14:paraId="33FE5083">
      <w:pPr>
        <w:keepNext w:val="0"/>
        <w:keepLines w:val="0"/>
        <w:pageBreakBefore w:val="0"/>
        <w:widowControl w:val="0"/>
        <w:kinsoku/>
        <w:wordWrap w:val="0"/>
        <w:overflowPunct/>
        <w:topLinePunct w:val="0"/>
        <w:autoSpaceDE/>
        <w:autoSpaceDN/>
        <w:bidi w:val="0"/>
        <w:adjustRightInd/>
        <w:snapToGrid/>
        <w:spacing w:line="540" w:lineRule="exact"/>
        <w:ind w:firstLine="1124" w:firstLineChars="400"/>
        <w:jc w:val="both"/>
        <w:textAlignment w:val="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签订合同时间</w:t>
      </w:r>
      <w:r>
        <w:rPr>
          <w:rFonts w:hint="eastAsia" w:ascii="宋体" w:hAnsi="宋体" w:eastAsia="宋体" w:cs="宋体"/>
          <w:color w:val="auto"/>
          <w:sz w:val="28"/>
          <w:szCs w:val="28"/>
          <w:highlight w:val="none"/>
        </w:rPr>
        <w:t>：</w:t>
      </w:r>
      <w:r>
        <w:rPr>
          <w:rFonts w:hint="eastAsia" w:ascii="宋体" w:hAnsi="宋体" w:eastAsia="宋体" w:cs="宋体"/>
          <w:b/>
          <w:color w:val="auto"/>
          <w:sz w:val="28"/>
          <w:szCs w:val="28"/>
          <w:highlight w:val="none"/>
          <w:u w:val="single"/>
        </w:rPr>
        <w:t xml:space="preserve"> </w:t>
      </w:r>
      <w:r>
        <w:rPr>
          <w:rFonts w:hint="eastAsia" w:ascii="宋体" w:hAnsi="宋体" w:eastAsia="宋体" w:cs="宋体"/>
          <w:b/>
          <w:color w:val="auto"/>
          <w:sz w:val="28"/>
          <w:szCs w:val="28"/>
          <w:highlight w:val="none"/>
          <w:u w:val="single"/>
          <w:lang w:val="en-US" w:eastAsia="zh-CN"/>
        </w:rPr>
        <w:t>2026</w:t>
      </w:r>
      <w:r>
        <w:rPr>
          <w:rFonts w:hint="eastAsia" w:ascii="宋体" w:hAnsi="宋体" w:eastAsia="宋体" w:cs="宋体"/>
          <w:b/>
          <w:color w:val="auto"/>
          <w:sz w:val="28"/>
          <w:szCs w:val="28"/>
          <w:highlight w:val="none"/>
          <w:u w:val="single"/>
        </w:rPr>
        <w:t xml:space="preserve"> 年 </w:t>
      </w:r>
      <w:r>
        <w:rPr>
          <w:rFonts w:hint="eastAsia" w:ascii="宋体" w:hAnsi="宋体" w:eastAsia="宋体" w:cs="宋体"/>
          <w:b/>
          <w:color w:val="auto"/>
          <w:sz w:val="28"/>
          <w:szCs w:val="28"/>
          <w:highlight w:val="none"/>
          <w:u w:val="single"/>
          <w:lang w:val="en-US" w:eastAsia="zh-CN"/>
        </w:rPr>
        <w:t xml:space="preserve"> </w:t>
      </w:r>
      <w:r>
        <w:rPr>
          <w:rFonts w:hint="eastAsia" w:ascii="宋体" w:hAnsi="宋体" w:eastAsia="宋体" w:cs="宋体"/>
          <w:b/>
          <w:color w:val="auto"/>
          <w:sz w:val="28"/>
          <w:szCs w:val="28"/>
          <w:highlight w:val="none"/>
          <w:u w:val="single"/>
        </w:rPr>
        <w:t>月</w:t>
      </w:r>
      <w:r>
        <w:rPr>
          <w:rFonts w:hint="eastAsia" w:ascii="宋体" w:hAnsi="宋体" w:eastAsia="宋体" w:cs="宋体"/>
          <w:b/>
          <w:color w:val="auto"/>
          <w:sz w:val="28"/>
          <w:szCs w:val="28"/>
          <w:highlight w:val="none"/>
          <w:u w:val="single"/>
          <w:lang w:val="en-US" w:eastAsia="zh-CN"/>
        </w:rPr>
        <w:t xml:space="preserve">    </w:t>
      </w:r>
      <w:r>
        <w:rPr>
          <w:rFonts w:hint="eastAsia" w:ascii="宋体" w:hAnsi="宋体" w:eastAsia="宋体" w:cs="宋体"/>
          <w:b/>
          <w:color w:val="auto"/>
          <w:sz w:val="28"/>
          <w:szCs w:val="28"/>
          <w:highlight w:val="none"/>
          <w:u w:val="single"/>
        </w:rPr>
        <w:t>日</w:t>
      </w:r>
    </w:p>
    <w:p w14:paraId="75A9B214">
      <w:pPr>
        <w:keepNext w:val="0"/>
        <w:keepLines w:val="0"/>
        <w:pageBreakBefore w:val="0"/>
        <w:widowControl w:val="0"/>
        <w:kinsoku/>
        <w:wordWrap w:val="0"/>
        <w:overflowPunct/>
        <w:topLinePunct w:val="0"/>
        <w:autoSpaceDE/>
        <w:autoSpaceDN/>
        <w:bidi w:val="0"/>
        <w:adjustRightInd/>
        <w:snapToGrid/>
        <w:spacing w:line="540" w:lineRule="exact"/>
        <w:jc w:val="left"/>
        <w:textAlignment w:val="auto"/>
        <w:rPr>
          <w:rFonts w:hint="eastAsia" w:ascii="宋体" w:hAnsi="宋体" w:eastAsia="宋体" w:cs="宋体"/>
          <w:b/>
          <w:bCs/>
          <w:color w:val="auto"/>
          <w:sz w:val="44"/>
          <w:szCs w:val="44"/>
          <w:highlight w:val="none"/>
        </w:rPr>
      </w:pPr>
      <w:r>
        <w:rPr>
          <w:rFonts w:hint="eastAsia" w:ascii="宋体" w:hAnsi="宋体" w:eastAsia="宋体" w:cs="宋体"/>
          <w:color w:val="auto"/>
          <w:sz w:val="28"/>
          <w:szCs w:val="28"/>
          <w:highlight w:val="none"/>
        </w:rPr>
        <w:t xml:space="preserve"> </w:t>
      </w:r>
    </w:p>
    <w:p w14:paraId="04776FDB">
      <w:pPr>
        <w:jc w:val="center"/>
        <w:rPr>
          <w:rFonts w:hint="eastAsia" w:ascii="宋体" w:hAnsi="宋体" w:eastAsia="宋体" w:cs="宋体"/>
          <w:b/>
          <w:bCs/>
          <w:color w:val="auto"/>
          <w:sz w:val="44"/>
          <w:szCs w:val="44"/>
          <w:highlight w:val="none"/>
        </w:rPr>
      </w:pPr>
      <w:r>
        <w:rPr>
          <w:rFonts w:hint="eastAsia" w:ascii="宋体" w:hAnsi="宋体" w:eastAsia="宋体" w:cs="宋体"/>
          <w:b/>
          <w:bCs/>
          <w:color w:val="auto"/>
          <w:sz w:val="44"/>
          <w:szCs w:val="44"/>
          <w:highlight w:val="none"/>
        </w:rPr>
        <w:t>政府采购合同</w:t>
      </w:r>
    </w:p>
    <w:p w14:paraId="750AD290">
      <w:pPr>
        <w:jc w:val="center"/>
        <w:rPr>
          <w:rFonts w:hint="eastAsia" w:ascii="宋体" w:hAnsi="宋体" w:eastAsia="宋体" w:cs="宋体"/>
          <w:b/>
          <w:bCs/>
          <w:color w:val="auto"/>
          <w:sz w:val="44"/>
          <w:szCs w:val="44"/>
          <w:highlight w:val="none"/>
        </w:rPr>
      </w:pPr>
    </w:p>
    <w:p w14:paraId="3B3CCC62">
      <w:pPr>
        <w:ind w:firstLine="562" w:firstLineChars="200"/>
        <w:rPr>
          <w:rFonts w:hint="eastAsia" w:ascii="宋体" w:hAnsi="宋体" w:eastAsia="宋体" w:cs="宋体"/>
          <w:b/>
          <w:bCs/>
          <w:color w:val="auto"/>
          <w:sz w:val="28"/>
          <w:szCs w:val="28"/>
          <w:highlight w:val="none"/>
        </w:rPr>
      </w:pPr>
    </w:p>
    <w:p w14:paraId="26799F00">
      <w:pPr>
        <w:pStyle w:val="31"/>
        <w:wordWrap w:val="0"/>
        <w:spacing w:line="400" w:lineRule="exact"/>
        <w:rPr>
          <w:rFonts w:hint="eastAsia" w:ascii="宋体" w:hAnsi="宋体" w:eastAsia="宋体" w:cs="宋体"/>
          <w:bCs/>
          <w:color w:val="auto"/>
          <w:sz w:val="24"/>
          <w:szCs w:val="24"/>
          <w:highlight w:val="none"/>
          <w:u w:val="single"/>
          <w:lang w:val="en-US" w:eastAsia="zh-CN"/>
        </w:rPr>
      </w:pPr>
      <w:r>
        <w:rPr>
          <w:rFonts w:hint="eastAsia" w:ascii="宋体" w:hAnsi="宋体" w:eastAsia="宋体" w:cs="宋体"/>
          <w:bCs/>
          <w:color w:val="auto"/>
          <w:sz w:val="24"/>
          <w:szCs w:val="24"/>
          <w:highlight w:val="none"/>
        </w:rPr>
        <w:t>合同编号：</w:t>
      </w:r>
      <w:r>
        <w:rPr>
          <w:rFonts w:hint="eastAsia" w:ascii="宋体" w:hAnsi="宋体" w:eastAsia="宋体" w:cs="宋体"/>
          <w:bCs/>
          <w:color w:val="auto"/>
          <w:sz w:val="24"/>
          <w:szCs w:val="24"/>
          <w:highlight w:val="none"/>
          <w:u w:val="single"/>
          <w:lang w:val="en-US" w:eastAsia="zh-CN"/>
        </w:rPr>
        <w:t xml:space="preserve">                 </w:t>
      </w:r>
    </w:p>
    <w:p w14:paraId="22D57CD9">
      <w:pPr>
        <w:pStyle w:val="31"/>
        <w:wordWrap w:val="0"/>
        <w:spacing w:line="400" w:lineRule="exac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采购人(甲方):</w:t>
      </w:r>
      <w:r>
        <w:rPr>
          <w:rFonts w:hint="eastAsia" w:ascii="宋体" w:hAnsi="宋体" w:eastAsia="宋体" w:cs="宋体"/>
          <w:color w:val="auto"/>
          <w:highlight w:val="none"/>
        </w:rPr>
        <w:t xml:space="preserve"> </w:t>
      </w:r>
      <w:r>
        <w:rPr>
          <w:rFonts w:hint="eastAsia" w:ascii="宋体" w:hAnsi="宋体" w:eastAsia="宋体" w:cs="宋体"/>
          <w:bCs/>
          <w:color w:val="auto"/>
          <w:sz w:val="24"/>
          <w:szCs w:val="24"/>
          <w:highlight w:val="none"/>
          <w:u w:val="single"/>
        </w:rPr>
        <w:t>广西壮族自治区山口红树林生态国家级自然保护区管理中心；</w:t>
      </w:r>
    </w:p>
    <w:p w14:paraId="73234CFF">
      <w:pPr>
        <w:pStyle w:val="31"/>
        <w:wordWrap w:val="0"/>
        <w:spacing w:line="400" w:lineRule="exac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供应商(乙方):</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bCs/>
          <w:color w:val="auto"/>
          <w:sz w:val="24"/>
          <w:szCs w:val="24"/>
          <w:highlight w:val="none"/>
        </w:rPr>
        <w:t xml:space="preserve">； </w:t>
      </w:r>
    </w:p>
    <w:p w14:paraId="2C4DCD5F">
      <w:pPr>
        <w:pStyle w:val="31"/>
        <w:wordWrap w:val="0"/>
        <w:spacing w:line="400" w:lineRule="exac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采购计划号：</w:t>
      </w:r>
      <w:r>
        <w:rPr>
          <w:rFonts w:hint="eastAsia" w:ascii="宋体" w:hAnsi="宋体" w:eastAsia="宋体" w:cs="宋体"/>
          <w:bCs/>
          <w:color w:val="auto"/>
          <w:kern w:val="2"/>
          <w:sz w:val="24"/>
          <w:szCs w:val="24"/>
          <w:highlight w:val="none"/>
          <w:u w:val="single"/>
          <w:lang w:val="en-US" w:eastAsia="zh-CN"/>
        </w:rPr>
        <w:t xml:space="preserve">                                   </w:t>
      </w:r>
      <w:r>
        <w:rPr>
          <w:rFonts w:hint="eastAsia" w:ascii="宋体" w:hAnsi="宋体" w:eastAsia="宋体" w:cs="宋体"/>
          <w:bCs/>
          <w:color w:val="auto"/>
          <w:sz w:val="24"/>
          <w:szCs w:val="24"/>
          <w:highlight w:val="none"/>
          <w:u w:val="single"/>
        </w:rPr>
        <w:t>；</w:t>
      </w:r>
    </w:p>
    <w:p w14:paraId="3FCC7D5E">
      <w:pPr>
        <w:pStyle w:val="31"/>
        <w:wordWrap w:val="0"/>
        <w:spacing w:line="400" w:lineRule="exac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项目名称：</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kern w:val="2"/>
          <w:sz w:val="24"/>
          <w:szCs w:val="24"/>
          <w:highlight w:val="none"/>
          <w:u w:val="single"/>
          <w:lang w:val="en-US" w:eastAsia="zh-CN"/>
        </w:rPr>
        <w:t xml:space="preserve">                                     </w:t>
      </w:r>
      <w:r>
        <w:rPr>
          <w:rFonts w:hint="eastAsia" w:ascii="宋体" w:hAnsi="宋体" w:eastAsia="宋体" w:cs="宋体"/>
          <w:bCs/>
          <w:color w:val="auto"/>
          <w:sz w:val="24"/>
          <w:szCs w:val="24"/>
          <w:highlight w:val="none"/>
          <w:u w:val="single"/>
        </w:rPr>
        <w:t>；</w:t>
      </w:r>
    </w:p>
    <w:p w14:paraId="22F26068">
      <w:pPr>
        <w:pStyle w:val="31"/>
        <w:wordWrap w:val="0"/>
        <w:spacing w:line="400" w:lineRule="exact"/>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项目编号：</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kern w:val="2"/>
          <w:sz w:val="24"/>
          <w:szCs w:val="24"/>
          <w:highlight w:val="none"/>
          <w:u w:val="single"/>
        </w:rPr>
        <w:t xml:space="preserve"> </w:t>
      </w:r>
      <w:r>
        <w:rPr>
          <w:rFonts w:hint="eastAsia" w:ascii="宋体" w:hAnsi="宋体" w:eastAsia="宋体" w:cs="宋体"/>
          <w:bCs/>
          <w:color w:val="auto"/>
          <w:kern w:val="2"/>
          <w:sz w:val="24"/>
          <w:szCs w:val="24"/>
          <w:highlight w:val="none"/>
          <w:u w:val="single"/>
          <w:lang w:val="en-US" w:eastAsia="zh-CN"/>
        </w:rPr>
        <w:t xml:space="preserve">                                   </w:t>
      </w:r>
      <w:r>
        <w:rPr>
          <w:rFonts w:hint="eastAsia" w:ascii="宋体" w:hAnsi="宋体" w:eastAsia="宋体" w:cs="宋体"/>
          <w:bCs/>
          <w:color w:val="auto"/>
          <w:kern w:val="2"/>
          <w:sz w:val="24"/>
          <w:szCs w:val="24"/>
          <w:highlight w:val="none"/>
          <w:u w:val="single"/>
        </w:rPr>
        <w:t xml:space="preserve"> </w:t>
      </w:r>
      <w:r>
        <w:rPr>
          <w:rFonts w:hint="eastAsia" w:ascii="宋体" w:hAnsi="宋体" w:eastAsia="宋体" w:cs="宋体"/>
          <w:bCs/>
          <w:color w:val="auto"/>
          <w:sz w:val="24"/>
          <w:szCs w:val="24"/>
          <w:highlight w:val="none"/>
          <w:u w:val="single"/>
        </w:rPr>
        <w:t>；</w:t>
      </w:r>
    </w:p>
    <w:p w14:paraId="476946C7">
      <w:pPr>
        <w:wordWrap w:val="0"/>
        <w:spacing w:line="400" w:lineRule="exact"/>
        <w:rPr>
          <w:rFonts w:hint="eastAsia" w:ascii="宋体" w:hAnsi="宋体" w:eastAsia="宋体" w:cs="宋体"/>
          <w:color w:val="auto"/>
          <w:sz w:val="24"/>
          <w:highlight w:val="none"/>
          <w:u w:val="single"/>
        </w:rPr>
      </w:pPr>
      <w:r>
        <w:rPr>
          <w:rFonts w:hint="eastAsia" w:ascii="宋体" w:hAnsi="宋体" w:eastAsia="宋体" w:cs="宋体"/>
          <w:bCs/>
          <w:color w:val="auto"/>
          <w:sz w:val="24"/>
          <w:highlight w:val="none"/>
        </w:rPr>
        <w:t>标项：</w:t>
      </w:r>
      <w:r>
        <w:rPr>
          <w:rFonts w:hint="eastAsia" w:ascii="宋体" w:hAnsi="宋体" w:eastAsia="宋体" w:cs="宋体"/>
          <w:bCs/>
          <w:color w:val="auto"/>
          <w:sz w:val="24"/>
          <w:highlight w:val="none"/>
          <w:u w:val="single"/>
          <w:lang w:val="en-US" w:eastAsia="zh-CN"/>
        </w:rPr>
        <w:t xml:space="preserve">                                        </w:t>
      </w:r>
      <w:r>
        <w:rPr>
          <w:rFonts w:hint="eastAsia" w:ascii="宋体" w:hAnsi="宋体" w:eastAsia="宋体" w:cs="宋体"/>
          <w:bCs/>
          <w:color w:val="auto"/>
          <w:sz w:val="24"/>
          <w:highlight w:val="none"/>
          <w:u w:val="single"/>
        </w:rPr>
        <w:t>；</w:t>
      </w:r>
    </w:p>
    <w:p w14:paraId="2CCD27B2">
      <w:pPr>
        <w:pStyle w:val="31"/>
        <w:wordWrap w:val="0"/>
        <w:spacing w:line="400" w:lineRule="exact"/>
        <w:rPr>
          <w:rFonts w:hint="eastAsia" w:ascii="宋体" w:hAnsi="宋体" w:eastAsia="宋体" w:cs="宋体"/>
          <w:bCs/>
          <w:color w:val="auto"/>
          <w:sz w:val="24"/>
          <w:szCs w:val="24"/>
          <w:highlight w:val="none"/>
          <w:u w:val="single"/>
          <w:lang w:val="en-US" w:eastAsia="zh-CN"/>
        </w:rPr>
      </w:pPr>
      <w:r>
        <w:rPr>
          <w:rFonts w:hint="eastAsia" w:ascii="宋体" w:hAnsi="宋体" w:eastAsia="宋体" w:cs="宋体"/>
          <w:bCs/>
          <w:color w:val="auto"/>
          <w:sz w:val="24"/>
          <w:szCs w:val="24"/>
          <w:highlight w:val="none"/>
        </w:rPr>
        <w:t>合同类型：</w:t>
      </w:r>
      <w:r>
        <w:rPr>
          <w:rFonts w:hint="eastAsia" w:ascii="宋体" w:hAnsi="宋体" w:eastAsia="宋体" w:cs="宋体"/>
          <w:bCs/>
          <w:color w:val="auto"/>
          <w:sz w:val="24"/>
          <w:szCs w:val="24"/>
          <w:highlight w:val="none"/>
          <w:u w:val="single"/>
        </w:rPr>
        <w:t>技术服务合同</w:t>
      </w:r>
    </w:p>
    <w:p w14:paraId="5578A49D">
      <w:pPr>
        <w:pStyle w:val="31"/>
        <w:wordWrap w:val="0"/>
        <w:spacing w:line="400" w:lineRule="exac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本合同为中小企业预留合同：</w:t>
      </w:r>
      <w:r>
        <w:rPr>
          <w:rFonts w:hint="eastAsia" w:ascii="宋体" w:hAnsi="宋体" w:eastAsia="宋体" w:cs="宋体"/>
          <w:bCs/>
          <w:color w:val="auto"/>
          <w:sz w:val="24"/>
          <w:szCs w:val="24"/>
          <w:highlight w:val="none"/>
          <w:u w:val="single"/>
          <w:lang w:val="en-US" w:eastAsia="zh-CN"/>
        </w:rPr>
        <w:t>是</w:t>
      </w:r>
      <w:r>
        <w:rPr>
          <w:rFonts w:hint="eastAsia" w:ascii="宋体" w:hAnsi="宋体" w:eastAsia="宋体" w:cs="宋体"/>
          <w:bCs/>
          <w:color w:val="auto"/>
          <w:sz w:val="24"/>
          <w:szCs w:val="24"/>
          <w:highlight w:val="none"/>
        </w:rPr>
        <w:t>。</w:t>
      </w:r>
    </w:p>
    <w:p w14:paraId="105009C8">
      <w:pPr>
        <w:pStyle w:val="31"/>
        <w:spacing w:line="400" w:lineRule="exact"/>
        <w:rPr>
          <w:rFonts w:hint="eastAsia" w:ascii="宋体" w:hAnsi="宋体" w:eastAsia="宋体" w:cs="宋体"/>
          <w:bCs/>
          <w:color w:val="auto"/>
          <w:sz w:val="24"/>
          <w:szCs w:val="24"/>
          <w:highlight w:val="none"/>
        </w:rPr>
      </w:pPr>
    </w:p>
    <w:p w14:paraId="699402F6">
      <w:pPr>
        <w:pStyle w:val="31"/>
        <w:spacing w:line="400" w:lineRule="exact"/>
        <w:ind w:firstLine="456"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根据《中华人民共和国政府采购法》、《中华人民共和国民法典》等法律、法规规定，按照采购文件规定条款和乙方竞标承诺，甲乙双方签订本合同。</w:t>
      </w:r>
    </w:p>
    <w:p w14:paraId="6E42983E">
      <w:pPr>
        <w:pStyle w:val="3"/>
        <w:spacing w:before="0" w:after="0" w:line="400" w:lineRule="exact"/>
        <w:rPr>
          <w:rFonts w:hint="eastAsia" w:ascii="宋体" w:hAnsi="宋体" w:eastAsia="宋体" w:cs="宋体"/>
          <w:color w:val="auto"/>
          <w:sz w:val="24"/>
          <w:szCs w:val="24"/>
          <w:highlight w:val="none"/>
        </w:rPr>
      </w:pPr>
      <w:bookmarkStart w:id="135" w:name="_Toc6435"/>
      <w:r>
        <w:rPr>
          <w:rFonts w:hint="eastAsia" w:ascii="宋体" w:hAnsi="宋体" w:eastAsia="宋体" w:cs="宋体"/>
          <w:color w:val="auto"/>
          <w:sz w:val="24"/>
          <w:szCs w:val="24"/>
          <w:highlight w:val="none"/>
        </w:rPr>
        <w:t>第一条  合同标的</w:t>
      </w:r>
      <w:bookmarkEnd w:id="135"/>
    </w:p>
    <w:tbl>
      <w:tblPr>
        <w:tblStyle w:val="61"/>
        <w:tblW w:w="8861" w:type="dxa"/>
        <w:tblInd w:w="-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8"/>
        <w:gridCol w:w="1864"/>
        <w:gridCol w:w="3734"/>
        <w:gridCol w:w="819"/>
        <w:gridCol w:w="1836"/>
      </w:tblGrid>
      <w:tr w14:paraId="2BECF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9" w:hRule="atLeast"/>
        </w:trPr>
        <w:tc>
          <w:tcPr>
            <w:tcW w:w="608" w:type="dxa"/>
            <w:vAlign w:val="center"/>
          </w:tcPr>
          <w:p w14:paraId="0BD76C8D">
            <w:pPr>
              <w:spacing w:line="400" w:lineRule="exact"/>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序号</w:t>
            </w:r>
          </w:p>
        </w:tc>
        <w:tc>
          <w:tcPr>
            <w:tcW w:w="1864" w:type="dxa"/>
            <w:vAlign w:val="center"/>
          </w:tcPr>
          <w:p w14:paraId="626C1199">
            <w:pPr>
              <w:spacing w:line="400" w:lineRule="exact"/>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标项名称</w:t>
            </w:r>
          </w:p>
        </w:tc>
        <w:tc>
          <w:tcPr>
            <w:tcW w:w="3734" w:type="dxa"/>
            <w:vAlign w:val="center"/>
          </w:tcPr>
          <w:p w14:paraId="66EBF325">
            <w:pPr>
              <w:spacing w:line="400" w:lineRule="exact"/>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服务内容</w:t>
            </w:r>
          </w:p>
        </w:tc>
        <w:tc>
          <w:tcPr>
            <w:tcW w:w="819" w:type="dxa"/>
            <w:vAlign w:val="center"/>
          </w:tcPr>
          <w:p w14:paraId="04DBC71C">
            <w:pPr>
              <w:spacing w:line="400" w:lineRule="exact"/>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数量</w:t>
            </w:r>
          </w:p>
        </w:tc>
        <w:tc>
          <w:tcPr>
            <w:tcW w:w="1836" w:type="dxa"/>
            <w:vAlign w:val="center"/>
          </w:tcPr>
          <w:p w14:paraId="7E722987">
            <w:pPr>
              <w:spacing w:line="400" w:lineRule="exact"/>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单位</w:t>
            </w:r>
          </w:p>
        </w:tc>
      </w:tr>
      <w:tr w14:paraId="59F99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6" w:hRule="atLeast"/>
        </w:trPr>
        <w:tc>
          <w:tcPr>
            <w:tcW w:w="608" w:type="dxa"/>
            <w:vAlign w:val="center"/>
          </w:tcPr>
          <w:p w14:paraId="3D7A2DEE">
            <w:pPr>
              <w:spacing w:line="40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c>
          <w:tcPr>
            <w:tcW w:w="1864" w:type="dxa"/>
            <w:vAlign w:val="center"/>
          </w:tcPr>
          <w:p w14:paraId="1340CCAB">
            <w:pPr>
              <w:snapToGrid w:val="0"/>
              <w:spacing w:line="400" w:lineRule="exact"/>
              <w:jc w:val="center"/>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val="en-US" w:eastAsia="zh-CN"/>
              </w:rPr>
              <w:t xml:space="preserve"> </w:t>
            </w:r>
          </w:p>
        </w:tc>
        <w:tc>
          <w:tcPr>
            <w:tcW w:w="3734" w:type="dxa"/>
            <w:vAlign w:val="center"/>
          </w:tcPr>
          <w:p w14:paraId="37F8815B">
            <w:pPr>
              <w:snapToGrid w:val="0"/>
              <w:spacing w:line="400" w:lineRule="exact"/>
              <w:jc w:val="center"/>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val="en-US" w:eastAsia="zh-CN"/>
              </w:rPr>
              <w:t xml:space="preserve"> </w:t>
            </w:r>
          </w:p>
        </w:tc>
        <w:tc>
          <w:tcPr>
            <w:tcW w:w="819" w:type="dxa"/>
            <w:vAlign w:val="center"/>
          </w:tcPr>
          <w:p w14:paraId="5387539A">
            <w:pPr>
              <w:snapToGrid w:val="0"/>
              <w:spacing w:line="40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c>
          <w:tcPr>
            <w:tcW w:w="1836" w:type="dxa"/>
            <w:vAlign w:val="center"/>
          </w:tcPr>
          <w:p w14:paraId="099F2918">
            <w:pPr>
              <w:snapToGrid w:val="0"/>
              <w:spacing w:line="40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项</w:t>
            </w:r>
          </w:p>
        </w:tc>
      </w:tr>
    </w:tbl>
    <w:p w14:paraId="567522CB">
      <w:pPr>
        <w:pStyle w:val="3"/>
        <w:spacing w:before="0" w:after="0" w:line="400" w:lineRule="exact"/>
        <w:rPr>
          <w:rFonts w:hint="eastAsia" w:ascii="宋体" w:hAnsi="宋体" w:eastAsia="宋体" w:cs="宋体"/>
          <w:color w:val="auto"/>
          <w:sz w:val="24"/>
          <w:szCs w:val="24"/>
          <w:highlight w:val="none"/>
        </w:rPr>
      </w:pPr>
      <w:bookmarkStart w:id="136" w:name="_Toc31507"/>
      <w:r>
        <w:rPr>
          <w:rFonts w:hint="eastAsia" w:ascii="宋体" w:hAnsi="宋体" w:eastAsia="宋体" w:cs="宋体"/>
          <w:color w:val="auto"/>
          <w:sz w:val="24"/>
          <w:szCs w:val="24"/>
          <w:highlight w:val="none"/>
        </w:rPr>
        <w:t>第二条  标的质量</w:t>
      </w:r>
      <w:bookmarkEnd w:id="136"/>
    </w:p>
    <w:p w14:paraId="66C4AE32">
      <w:pPr>
        <w:pStyle w:val="31"/>
        <w:spacing w:line="400" w:lineRule="exact"/>
        <w:ind w:firstLine="456"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乙方所提供的服务内容和</w:t>
      </w:r>
      <w:r>
        <w:rPr>
          <w:rFonts w:hint="eastAsia" w:ascii="宋体" w:hAnsi="宋体" w:eastAsia="宋体" w:cs="宋体"/>
          <w:color w:val="auto"/>
          <w:sz w:val="24"/>
          <w:szCs w:val="24"/>
          <w:highlight w:val="none"/>
        </w:rPr>
        <w:t>服务质量、货物（如有）</w:t>
      </w:r>
      <w:r>
        <w:rPr>
          <w:rFonts w:hint="eastAsia" w:ascii="宋体" w:hAnsi="宋体" w:eastAsia="宋体" w:cs="宋体"/>
          <w:bCs/>
          <w:color w:val="auto"/>
          <w:sz w:val="24"/>
          <w:szCs w:val="24"/>
          <w:highlight w:val="none"/>
        </w:rPr>
        <w:t>必须与乙方</w:t>
      </w:r>
      <w:r>
        <w:rPr>
          <w:rFonts w:hint="eastAsia" w:ascii="宋体" w:hAnsi="宋体" w:eastAsia="宋体" w:cs="宋体"/>
          <w:bCs/>
          <w:color w:val="auto"/>
          <w:sz w:val="24"/>
          <w:szCs w:val="24"/>
          <w:highlight w:val="none"/>
          <w:lang w:val="en-US" w:eastAsia="zh-CN"/>
        </w:rPr>
        <w:t>投标</w:t>
      </w:r>
      <w:r>
        <w:rPr>
          <w:rFonts w:hint="eastAsia" w:ascii="宋体" w:hAnsi="宋体" w:eastAsia="宋体" w:cs="宋体"/>
          <w:bCs/>
          <w:color w:val="auto"/>
          <w:sz w:val="24"/>
          <w:szCs w:val="24"/>
          <w:highlight w:val="none"/>
        </w:rPr>
        <w:t>文件及有关承诺相一致，且满足项目实施要求。有国家强制性标准的，还必须符合国家强制性标准的规定，没有国家强制性标准但有其他强制性标准的，必须符合其他强制性标准的规定。</w:t>
      </w:r>
    </w:p>
    <w:p w14:paraId="225B95F3">
      <w:pPr>
        <w:pStyle w:val="3"/>
        <w:spacing w:before="0" w:after="0" w:line="400" w:lineRule="exact"/>
        <w:rPr>
          <w:rFonts w:hint="eastAsia" w:ascii="宋体" w:hAnsi="宋体" w:eastAsia="宋体" w:cs="宋体"/>
          <w:color w:val="auto"/>
          <w:sz w:val="24"/>
          <w:szCs w:val="24"/>
          <w:highlight w:val="none"/>
        </w:rPr>
      </w:pPr>
      <w:bookmarkStart w:id="137" w:name="_Toc1547"/>
      <w:r>
        <w:rPr>
          <w:rFonts w:hint="eastAsia" w:ascii="宋体" w:hAnsi="宋体" w:eastAsia="宋体" w:cs="宋体"/>
          <w:color w:val="auto"/>
          <w:sz w:val="24"/>
          <w:szCs w:val="24"/>
          <w:highlight w:val="none"/>
        </w:rPr>
        <w:t>第三条  履行时间(期限)、地点和方式</w:t>
      </w:r>
      <w:bookmarkEnd w:id="137"/>
    </w:p>
    <w:p w14:paraId="2E944054">
      <w:pPr>
        <w:pStyle w:val="31"/>
        <w:spacing w:line="400" w:lineRule="exact"/>
        <w:ind w:firstLine="456" w:firstLineChars="200"/>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 xml:space="preserve">1.履行时间(期限):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p>
    <w:p w14:paraId="0874A113">
      <w:pPr>
        <w:pStyle w:val="31"/>
        <w:spacing w:line="400" w:lineRule="exact"/>
        <w:ind w:firstLine="456"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2.履行地点：</w:t>
      </w:r>
      <w:r>
        <w:rPr>
          <w:rFonts w:hint="eastAsia" w:ascii="宋体" w:hAnsi="宋体" w:eastAsia="宋体" w:cs="宋体"/>
          <w:bCs/>
          <w:color w:val="auto"/>
          <w:sz w:val="24"/>
          <w:szCs w:val="24"/>
          <w:highlight w:val="none"/>
          <w:u w:val="single"/>
        </w:rPr>
        <w:t>甲方指定地点。</w:t>
      </w:r>
    </w:p>
    <w:p w14:paraId="7D53FF1C">
      <w:pPr>
        <w:pStyle w:val="3"/>
        <w:spacing w:before="0" w:after="0" w:line="400" w:lineRule="exact"/>
        <w:rPr>
          <w:rFonts w:hint="eastAsia" w:ascii="宋体" w:hAnsi="宋体" w:eastAsia="宋体" w:cs="宋体"/>
          <w:color w:val="auto"/>
          <w:sz w:val="24"/>
          <w:szCs w:val="24"/>
          <w:highlight w:val="none"/>
        </w:rPr>
      </w:pPr>
      <w:bookmarkStart w:id="138" w:name="_Toc20026"/>
      <w:r>
        <w:rPr>
          <w:rFonts w:hint="eastAsia" w:ascii="宋体" w:hAnsi="宋体" w:eastAsia="宋体" w:cs="宋体"/>
          <w:color w:val="auto"/>
          <w:sz w:val="24"/>
          <w:szCs w:val="24"/>
          <w:highlight w:val="none"/>
        </w:rPr>
        <w:t>第四条  合同价款及支付</w:t>
      </w:r>
      <w:bookmarkEnd w:id="138"/>
    </w:p>
    <w:p w14:paraId="1A6ED1A1">
      <w:pPr>
        <w:pStyle w:val="31"/>
        <w:spacing w:line="400" w:lineRule="exact"/>
        <w:ind w:firstLine="456"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1.本合同以人民币付款。</w:t>
      </w:r>
    </w:p>
    <w:p w14:paraId="286CDC17">
      <w:pPr>
        <w:pStyle w:val="31"/>
        <w:spacing w:line="400" w:lineRule="exact"/>
        <w:ind w:firstLine="456"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2.合同价款：</w:t>
      </w:r>
      <w:r>
        <w:rPr>
          <w:rFonts w:hint="eastAsia" w:ascii="宋体" w:hAnsi="宋体" w:eastAsia="宋体" w:cs="宋体"/>
          <w:bCs/>
          <w:color w:val="auto"/>
          <w:sz w:val="24"/>
          <w:szCs w:val="24"/>
          <w:highlight w:val="none"/>
          <w:u w:val="single"/>
          <w:lang w:val="en-US" w:eastAsia="zh-CN"/>
        </w:rPr>
        <w:t>人民币          整（¥            .00）</w:t>
      </w:r>
      <w:r>
        <w:rPr>
          <w:rFonts w:hint="eastAsia" w:ascii="宋体" w:hAnsi="宋体" w:eastAsia="宋体" w:cs="宋体"/>
          <w:bCs/>
          <w:color w:val="auto"/>
          <w:sz w:val="24"/>
          <w:szCs w:val="24"/>
          <w:highlight w:val="none"/>
        </w:rPr>
        <w:t>。</w:t>
      </w:r>
    </w:p>
    <w:p w14:paraId="73442695">
      <w:pPr>
        <w:pStyle w:val="31"/>
        <w:spacing w:line="400" w:lineRule="exact"/>
        <w:ind w:firstLine="456" w:firstLineChars="200"/>
        <w:rPr>
          <w:rFonts w:hint="eastAsia" w:ascii="宋体" w:hAnsi="宋体" w:eastAsia="宋体" w:cs="宋体"/>
          <w:bCs/>
          <w:i/>
          <w:iCs/>
          <w:color w:val="auto"/>
          <w:sz w:val="24"/>
          <w:szCs w:val="24"/>
          <w:highlight w:val="none"/>
          <w:u w:val="single"/>
        </w:rPr>
      </w:pPr>
      <w:r>
        <w:rPr>
          <w:rFonts w:hint="eastAsia" w:ascii="宋体" w:hAnsi="宋体" w:eastAsia="宋体" w:cs="宋体"/>
          <w:bCs/>
          <w:color w:val="auto"/>
          <w:sz w:val="24"/>
          <w:szCs w:val="24"/>
          <w:highlight w:val="none"/>
        </w:rPr>
        <w:t>3.</w:t>
      </w:r>
      <w:r>
        <w:rPr>
          <w:rFonts w:hint="eastAsia" w:ascii="宋体" w:hAnsi="宋体" w:eastAsia="宋体" w:cs="宋体"/>
          <w:bCs/>
          <w:color w:val="auto"/>
          <w:sz w:val="24"/>
          <w:szCs w:val="24"/>
          <w:highlight w:val="none"/>
          <w:u w:val="single"/>
        </w:rPr>
        <w:t>合同价款是履行合同的最终价格，即满足全部采购需求所应提供的服务，以及伴随的货物和工程（如有）的价格；包含但不限于劳务费用、食宿费用、交通费用、通讯费用、保险、税费、办公费用、专业问题咨询费用、成果论证、评审费、成果公开展示费用、后续技术支持及合同所示的所有责任义务和各种风险等合同履约过程可预见或不可预见的一切成本、费用。乙方在固定总价中必须考虑各种风险费用。在合同履行过程中，甲方不予支付合同以外的其他费用。乙方负责实施人员人身、设备安全，验收前，设备丢失自行负责。除此之外，甲方无需再另外支付与项目有关的任何费用。</w:t>
      </w:r>
    </w:p>
    <w:p w14:paraId="1889263B">
      <w:pPr>
        <w:pStyle w:val="31"/>
        <w:spacing w:line="400" w:lineRule="exact"/>
        <w:ind w:firstLine="456"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4.付</w:t>
      </w:r>
      <w:r>
        <w:rPr>
          <w:rFonts w:hint="eastAsia" w:ascii="宋体" w:hAnsi="宋体" w:eastAsia="宋体" w:cs="宋体"/>
          <w:bCs/>
          <w:color w:val="auto"/>
          <w:sz w:val="24"/>
          <w:szCs w:val="24"/>
          <w:highlight w:val="none"/>
        </w:rPr>
        <w:t>款进度安排：</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lang w:val="en-US" w:eastAsia="zh-CN"/>
        </w:rPr>
        <w:t>1-4标段</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u w:val="single"/>
        </w:rPr>
        <w:t>签订合同且本项目财政资金到位后10个工作日内，甲方向乙方支付合同总金额的50%预付款；乙方根据项目进度向甲方申请进度款，进度款不超过合同总金额的45%；剩余款项待项目验收合格且本项目财政资金到位后10个工作日内一次性支付完毕。</w:t>
      </w:r>
    </w:p>
    <w:p w14:paraId="703E874E">
      <w:pPr>
        <w:rPr>
          <w:rFonts w:hint="eastAsia" w:ascii="宋体" w:hAnsi="宋体" w:eastAsia="宋体" w:cs="宋体"/>
          <w:color w:val="auto"/>
          <w:highlight w:val="none"/>
          <w:lang w:val="en-US" w:eastAsia="zh-CN"/>
        </w:rPr>
      </w:pPr>
      <w:r>
        <w:rPr>
          <w:rFonts w:hint="eastAsia" w:ascii="宋体" w:hAnsi="宋体" w:eastAsia="宋体" w:cs="宋体"/>
          <w:bCs/>
          <w:color w:val="auto"/>
          <w:w w:val="95"/>
          <w:kern w:val="0"/>
          <w:sz w:val="24"/>
          <w:szCs w:val="24"/>
          <w:highlight w:val="none"/>
          <w:u w:val="single"/>
          <w:lang w:val="en-US" w:eastAsia="zh-CN" w:bidi="ar-SA"/>
        </w:rPr>
        <w:t>（5标段）签订合同且本项目财政资金到位后10个工作日内，甲方向乙方支付合同总金额的10%预付款；乙方根据项目进度向甲方申请进度款，进度款不超过合同总金额的75%；剩余款项待项目验收合格且本项目财政资金到位后10个工作日内一次性支付完毕</w:t>
      </w:r>
      <w:r>
        <w:rPr>
          <w:rFonts w:hint="eastAsia" w:ascii="宋体" w:hAnsi="宋体" w:eastAsia="宋体" w:cs="宋体"/>
          <w:color w:val="auto"/>
          <w:szCs w:val="21"/>
          <w:highlight w:val="none"/>
        </w:rPr>
        <w:t>。</w:t>
      </w:r>
    </w:p>
    <w:p w14:paraId="608C61E6">
      <w:pPr>
        <w:pStyle w:val="31"/>
        <w:spacing w:line="400" w:lineRule="exact"/>
        <w:ind w:firstLine="456" w:firstLineChars="200"/>
        <w:rPr>
          <w:rFonts w:hint="eastAsia" w:ascii="宋体" w:hAnsi="宋体" w:eastAsia="宋体" w:cs="宋体"/>
          <w:bCs/>
          <w:color w:val="auto"/>
          <w:sz w:val="24"/>
          <w:szCs w:val="24"/>
          <w:highlight w:val="none"/>
        </w:rPr>
      </w:pPr>
      <w:r>
        <w:rPr>
          <w:rFonts w:hint="eastAsia" w:ascii="宋体" w:hAnsi="宋体" w:eastAsia="宋体" w:cs="宋体"/>
          <w:color w:val="auto"/>
          <w:kern w:val="2"/>
          <w:sz w:val="24"/>
          <w:szCs w:val="24"/>
          <w:highlight w:val="none"/>
        </w:rPr>
        <w:t>5.</w:t>
      </w:r>
      <w:r>
        <w:rPr>
          <w:rFonts w:hint="eastAsia" w:ascii="宋体" w:hAnsi="宋体" w:eastAsia="宋体" w:cs="宋体"/>
          <w:bCs/>
          <w:color w:val="auto"/>
          <w:sz w:val="24"/>
          <w:szCs w:val="24"/>
          <w:highlight w:val="none"/>
        </w:rPr>
        <w:t>甲方付款前，乙方应向甲方开具等额有效的发票，甲方未收到发票的，有权不予支付相应款项直至乙方提供合格发票，且无需承担延迟付款责任。</w:t>
      </w:r>
    </w:p>
    <w:p w14:paraId="0494A4CD">
      <w:pPr>
        <w:pStyle w:val="31"/>
        <w:spacing w:line="400" w:lineRule="exact"/>
        <w:ind w:firstLine="456"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甲方开票信息为：</w:t>
      </w:r>
    </w:p>
    <w:p w14:paraId="558303B2">
      <w:pPr>
        <w:widowControl/>
        <w:kinsoku w:val="0"/>
        <w:autoSpaceDE w:val="0"/>
        <w:autoSpaceDN w:val="0"/>
        <w:adjustRightInd w:val="0"/>
        <w:snapToGrid w:val="0"/>
        <w:spacing w:line="400" w:lineRule="exact"/>
        <w:ind w:firstLine="468" w:firstLineChars="200"/>
        <w:textAlignment w:val="baseline"/>
        <w:rPr>
          <w:rFonts w:hint="eastAsia" w:ascii="宋体" w:hAnsi="宋体" w:eastAsia="宋体" w:cs="宋体"/>
          <w:bCs/>
          <w:color w:val="auto"/>
          <w:w w:val="95"/>
          <w:kern w:val="0"/>
          <w:sz w:val="24"/>
          <w:szCs w:val="24"/>
          <w:highlight w:val="none"/>
          <w:u w:val="single"/>
          <w:lang w:val="en-US" w:eastAsia="zh-CN" w:bidi="ar-SA"/>
        </w:rPr>
      </w:pPr>
      <w:r>
        <w:rPr>
          <w:rFonts w:hint="eastAsia" w:ascii="宋体" w:hAnsi="宋体" w:eastAsia="宋体" w:cs="宋体"/>
          <w:color w:val="auto"/>
          <w:spacing w:val="-3"/>
          <w:sz w:val="24"/>
          <w:highlight w:val="none"/>
        </w:rPr>
        <w:t>单位名称：</w:t>
      </w:r>
      <w:r>
        <w:rPr>
          <w:rFonts w:hint="eastAsia" w:ascii="宋体" w:hAnsi="宋体" w:eastAsia="宋体" w:cs="宋体"/>
          <w:bCs/>
          <w:color w:val="auto"/>
          <w:w w:val="95"/>
          <w:kern w:val="0"/>
          <w:sz w:val="24"/>
          <w:szCs w:val="24"/>
          <w:highlight w:val="none"/>
          <w:u w:val="single"/>
          <w:lang w:val="en-US" w:eastAsia="zh-CN" w:bidi="ar-SA"/>
        </w:rPr>
        <w:t xml:space="preserve">广西壮族自治区山口红树林生态国家级自然保护区管理中心  </w:t>
      </w:r>
    </w:p>
    <w:p w14:paraId="1E31987C">
      <w:pPr>
        <w:widowControl/>
        <w:kinsoku w:val="0"/>
        <w:autoSpaceDE w:val="0"/>
        <w:autoSpaceDN w:val="0"/>
        <w:adjustRightInd w:val="0"/>
        <w:snapToGrid w:val="0"/>
        <w:spacing w:line="400" w:lineRule="exact"/>
        <w:ind w:firstLine="468" w:firstLineChars="200"/>
        <w:textAlignment w:val="baseline"/>
        <w:rPr>
          <w:rFonts w:hint="eastAsia" w:ascii="宋体" w:hAnsi="宋体" w:eastAsia="宋体" w:cs="宋体"/>
          <w:color w:val="auto"/>
          <w:sz w:val="24"/>
          <w:highlight w:val="none"/>
        </w:rPr>
      </w:pPr>
      <w:r>
        <w:rPr>
          <w:rFonts w:hint="eastAsia" w:ascii="宋体" w:hAnsi="宋体" w:eastAsia="宋体" w:cs="宋体"/>
          <w:color w:val="auto"/>
          <w:spacing w:val="-3"/>
          <w:sz w:val="24"/>
          <w:highlight w:val="none"/>
        </w:rPr>
        <w:t>统一社会信用代码：</w:t>
      </w:r>
      <w:r>
        <w:rPr>
          <w:rFonts w:hint="eastAsia" w:ascii="宋体" w:hAnsi="宋体" w:eastAsia="宋体" w:cs="宋体"/>
          <w:bCs/>
          <w:color w:val="auto"/>
          <w:w w:val="95"/>
          <w:kern w:val="0"/>
          <w:sz w:val="24"/>
          <w:szCs w:val="24"/>
          <w:highlight w:val="none"/>
          <w:u w:val="single"/>
          <w:lang w:val="en-US" w:eastAsia="zh-CN" w:bidi="ar-SA"/>
        </w:rPr>
        <w:t xml:space="preserve">12450000498816671X </w:t>
      </w:r>
    </w:p>
    <w:p w14:paraId="6FB39833">
      <w:pPr>
        <w:pStyle w:val="31"/>
        <w:spacing w:line="400" w:lineRule="exact"/>
        <w:ind w:firstLine="456"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资金支付方式：银行转账。</w:t>
      </w:r>
    </w:p>
    <w:p w14:paraId="57E2BD7C">
      <w:pPr>
        <w:pStyle w:val="31"/>
        <w:spacing w:line="400" w:lineRule="exact"/>
        <w:ind w:firstLine="456"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6.乙方收款账户信息：</w:t>
      </w:r>
    </w:p>
    <w:p w14:paraId="308C19AF">
      <w:pPr>
        <w:pStyle w:val="31"/>
        <w:spacing w:line="400" w:lineRule="exact"/>
        <w:ind w:firstLine="456" w:firstLineChars="200"/>
        <w:rPr>
          <w:rFonts w:hint="eastAsia" w:ascii="宋体" w:hAnsi="宋体" w:eastAsia="宋体" w:cs="宋体"/>
          <w:bCs/>
          <w:color w:val="auto"/>
          <w:sz w:val="24"/>
          <w:szCs w:val="24"/>
          <w:highlight w:val="none"/>
          <w:u w:val="single"/>
          <w:lang w:val="en-US" w:eastAsia="zh-CN"/>
        </w:rPr>
      </w:pPr>
      <w:r>
        <w:rPr>
          <w:rFonts w:hint="eastAsia" w:ascii="宋体" w:hAnsi="宋体" w:eastAsia="宋体" w:cs="宋体"/>
          <w:bCs/>
          <w:color w:val="auto"/>
          <w:sz w:val="24"/>
          <w:szCs w:val="24"/>
          <w:highlight w:val="none"/>
        </w:rPr>
        <w:t>开户行名称：</w:t>
      </w:r>
      <w:r>
        <w:rPr>
          <w:rFonts w:hint="eastAsia" w:ascii="宋体" w:hAnsi="宋体" w:eastAsia="宋体" w:cs="宋体"/>
          <w:color w:val="auto"/>
          <w:sz w:val="24"/>
          <w:highlight w:val="none"/>
          <w:u w:val="single"/>
          <w:lang w:val="en-US" w:eastAsia="zh-CN"/>
        </w:rPr>
        <w:t xml:space="preserve">                           </w:t>
      </w:r>
    </w:p>
    <w:p w14:paraId="09C22E09">
      <w:pPr>
        <w:pStyle w:val="31"/>
        <w:spacing w:line="400" w:lineRule="exact"/>
        <w:ind w:firstLine="456" w:firstLineChars="200"/>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rPr>
        <w:t>开户行账号：</w:t>
      </w:r>
      <w:r>
        <w:rPr>
          <w:rFonts w:hint="eastAsia" w:ascii="宋体" w:hAnsi="宋体" w:eastAsia="宋体" w:cs="宋体"/>
          <w:bCs/>
          <w:color w:val="auto"/>
          <w:sz w:val="24"/>
          <w:szCs w:val="24"/>
          <w:highlight w:val="none"/>
          <w:u w:val="single"/>
          <w:lang w:val="en-US" w:eastAsia="zh-CN"/>
        </w:rPr>
        <w:t xml:space="preserve">                            </w:t>
      </w:r>
    </w:p>
    <w:p w14:paraId="796CD27A">
      <w:pPr>
        <w:pStyle w:val="31"/>
        <w:spacing w:line="400" w:lineRule="exact"/>
        <w:ind w:firstLine="456"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开户户名：</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u w:val="single"/>
          <w:lang w:val="en-US" w:eastAsia="zh-CN"/>
        </w:rPr>
        <w:t xml:space="preserve">                            </w:t>
      </w:r>
      <w:r>
        <w:rPr>
          <w:rFonts w:hint="eastAsia" w:ascii="宋体" w:hAnsi="宋体" w:eastAsia="宋体" w:cs="宋体"/>
          <w:bCs/>
          <w:color w:val="auto"/>
          <w:sz w:val="24"/>
          <w:szCs w:val="24"/>
          <w:highlight w:val="none"/>
          <w:u w:val="single"/>
        </w:rPr>
        <w:t xml:space="preserve"> </w:t>
      </w:r>
    </w:p>
    <w:p w14:paraId="5ED38FE6">
      <w:pPr>
        <w:pStyle w:val="3"/>
        <w:spacing w:before="0" w:after="0" w:line="400" w:lineRule="exact"/>
        <w:rPr>
          <w:rFonts w:hint="eastAsia" w:ascii="宋体" w:hAnsi="宋体" w:eastAsia="宋体" w:cs="宋体"/>
          <w:color w:val="auto"/>
          <w:sz w:val="24"/>
          <w:szCs w:val="24"/>
          <w:highlight w:val="none"/>
        </w:rPr>
      </w:pPr>
      <w:bookmarkStart w:id="139" w:name="_Toc2070"/>
      <w:r>
        <w:rPr>
          <w:rFonts w:hint="eastAsia" w:ascii="宋体" w:hAnsi="宋体" w:eastAsia="宋体" w:cs="宋体"/>
          <w:color w:val="auto"/>
          <w:sz w:val="24"/>
          <w:szCs w:val="24"/>
          <w:highlight w:val="none"/>
        </w:rPr>
        <w:t>第五条  验收</w:t>
      </w:r>
      <w:bookmarkEnd w:id="139"/>
    </w:p>
    <w:p w14:paraId="754454E0">
      <w:pPr>
        <w:pStyle w:val="31"/>
        <w:spacing w:line="400" w:lineRule="exact"/>
        <w:ind w:firstLine="456"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1.甲方对乙方提交的服务依据本项目</w:t>
      </w:r>
      <w:r>
        <w:rPr>
          <w:rFonts w:hint="eastAsia" w:ascii="宋体" w:hAnsi="宋体" w:eastAsia="宋体" w:cs="宋体"/>
          <w:bCs/>
          <w:color w:val="auto"/>
          <w:sz w:val="24"/>
          <w:szCs w:val="24"/>
          <w:highlight w:val="none"/>
          <w:lang w:val="en-US" w:eastAsia="zh-CN"/>
        </w:rPr>
        <w:t>招标</w:t>
      </w:r>
      <w:r>
        <w:rPr>
          <w:rFonts w:hint="eastAsia" w:ascii="宋体" w:hAnsi="宋体" w:eastAsia="宋体" w:cs="宋体"/>
          <w:bCs/>
          <w:color w:val="auto"/>
          <w:sz w:val="24"/>
          <w:szCs w:val="24"/>
          <w:highlight w:val="none"/>
        </w:rPr>
        <w:t>文件上的货物(如有)、服务要求和国家有关质量标准进行现场初步验收，符合</w:t>
      </w:r>
      <w:r>
        <w:rPr>
          <w:rFonts w:hint="eastAsia" w:ascii="宋体" w:hAnsi="宋体" w:eastAsia="宋体" w:cs="宋体"/>
          <w:bCs/>
          <w:color w:val="auto"/>
          <w:sz w:val="24"/>
          <w:szCs w:val="24"/>
          <w:highlight w:val="none"/>
          <w:lang w:val="en-US" w:eastAsia="zh-CN"/>
        </w:rPr>
        <w:t>招标</w:t>
      </w:r>
      <w:r>
        <w:rPr>
          <w:rFonts w:hint="eastAsia" w:ascii="宋体" w:hAnsi="宋体" w:eastAsia="宋体" w:cs="宋体"/>
          <w:bCs/>
          <w:color w:val="auto"/>
          <w:sz w:val="24"/>
          <w:szCs w:val="24"/>
          <w:highlight w:val="none"/>
        </w:rPr>
        <w:t>文件技术要求的，给予签收，初步验收不合格的不予签收。甲方应当在收到乙方的服务</w:t>
      </w:r>
      <w:r>
        <w:rPr>
          <w:rFonts w:hint="eastAsia" w:ascii="宋体" w:hAnsi="宋体" w:eastAsia="宋体" w:cs="宋体"/>
          <w:bCs/>
          <w:color w:val="auto"/>
          <w:sz w:val="24"/>
          <w:szCs w:val="24"/>
          <w:highlight w:val="none"/>
        </w:rPr>
        <w:t>成果提交后七个工作日内进行验收。</w:t>
      </w:r>
    </w:p>
    <w:p w14:paraId="59790BE9">
      <w:pPr>
        <w:pStyle w:val="31"/>
        <w:spacing w:line="400" w:lineRule="exact"/>
        <w:ind w:firstLine="456"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2.乙方提交服务成果前应对提交的服务成果作出全面检查和对验收文件进行整理，并列出清单，作为甲方验收和使用的技术条件依据，检验的结果应随服务成果交给甲方。</w:t>
      </w:r>
    </w:p>
    <w:p w14:paraId="13CAD146">
      <w:pPr>
        <w:pStyle w:val="31"/>
        <w:spacing w:line="400" w:lineRule="exact"/>
        <w:ind w:firstLine="456"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3.验收时乙方必须在现场，验收完毕后作出验收合格结果报告并加盖甲方公章，甲乙双方各执一份；验收费用由乙方负责。</w:t>
      </w:r>
    </w:p>
    <w:p w14:paraId="66CB25EC">
      <w:pPr>
        <w:pStyle w:val="31"/>
        <w:spacing w:line="400" w:lineRule="exact"/>
        <w:ind w:firstLine="456"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4.乙方提供不符合</w:t>
      </w:r>
      <w:r>
        <w:rPr>
          <w:rFonts w:hint="eastAsia" w:ascii="宋体" w:hAnsi="宋体" w:eastAsia="宋体" w:cs="宋体"/>
          <w:bCs/>
          <w:color w:val="auto"/>
          <w:sz w:val="24"/>
          <w:szCs w:val="24"/>
          <w:highlight w:val="none"/>
          <w:lang w:val="en-US" w:eastAsia="zh-CN"/>
        </w:rPr>
        <w:t>投标</w:t>
      </w:r>
      <w:r>
        <w:rPr>
          <w:rFonts w:hint="eastAsia" w:ascii="宋体" w:hAnsi="宋体" w:eastAsia="宋体" w:cs="宋体"/>
          <w:bCs/>
          <w:color w:val="auto"/>
          <w:sz w:val="24"/>
          <w:szCs w:val="24"/>
          <w:highlight w:val="none"/>
        </w:rPr>
        <w:t>文件和本合同规定的服务成果，甲方有权拒绝接受。</w:t>
      </w:r>
    </w:p>
    <w:p w14:paraId="1A7AB11E">
      <w:pPr>
        <w:pStyle w:val="31"/>
        <w:spacing w:line="400" w:lineRule="exact"/>
        <w:ind w:firstLine="456"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5.甲方在初步验收或者最终验收过程中如发现乙方提供的服务成果不满足</w:t>
      </w:r>
      <w:r>
        <w:rPr>
          <w:rFonts w:hint="eastAsia" w:ascii="宋体" w:hAnsi="宋体" w:eastAsia="宋体" w:cs="宋体"/>
          <w:bCs/>
          <w:color w:val="auto"/>
          <w:sz w:val="24"/>
          <w:szCs w:val="24"/>
          <w:highlight w:val="none"/>
          <w:lang w:val="en-US" w:eastAsia="zh-CN"/>
        </w:rPr>
        <w:t>投标</w:t>
      </w:r>
      <w:r>
        <w:rPr>
          <w:rFonts w:hint="eastAsia" w:ascii="宋体" w:hAnsi="宋体" w:eastAsia="宋体" w:cs="宋体"/>
          <w:bCs/>
          <w:color w:val="auto"/>
          <w:sz w:val="24"/>
          <w:szCs w:val="24"/>
          <w:highlight w:val="none"/>
        </w:rPr>
        <w:t>文件及本合同规定的，可暂缓向乙方付款，直到乙方及时完善并提交相应的服务成果且经甲方验收合格后，方可办理付款。</w:t>
      </w:r>
    </w:p>
    <w:p w14:paraId="6FE99254">
      <w:pPr>
        <w:pStyle w:val="31"/>
        <w:spacing w:line="400" w:lineRule="exact"/>
        <w:ind w:firstLine="456"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6.甲方验收时有权以书面形式提出异议，乙方应自收到甲方书面异议后七个工作日内及时予以解决，否则甲方有权不出具服务验收合格结果报告。</w:t>
      </w:r>
    </w:p>
    <w:p w14:paraId="6E9F96D3">
      <w:pPr>
        <w:pStyle w:val="3"/>
        <w:spacing w:before="0" w:after="0" w:line="400" w:lineRule="exact"/>
        <w:rPr>
          <w:rFonts w:hint="eastAsia" w:ascii="宋体" w:hAnsi="宋体" w:eastAsia="宋体" w:cs="宋体"/>
          <w:color w:val="auto"/>
          <w:sz w:val="24"/>
          <w:szCs w:val="24"/>
          <w:highlight w:val="none"/>
        </w:rPr>
      </w:pPr>
      <w:bookmarkStart w:id="140" w:name="_Toc31288"/>
      <w:r>
        <w:rPr>
          <w:rFonts w:hint="eastAsia" w:ascii="宋体" w:hAnsi="宋体" w:eastAsia="宋体" w:cs="宋体"/>
          <w:color w:val="auto"/>
          <w:sz w:val="24"/>
          <w:szCs w:val="24"/>
          <w:highlight w:val="none"/>
        </w:rPr>
        <w:t>第六条  服务承诺</w:t>
      </w:r>
      <w:bookmarkEnd w:id="140"/>
    </w:p>
    <w:p w14:paraId="7B6A15A9">
      <w:pPr>
        <w:pStyle w:val="31"/>
        <w:spacing w:line="400" w:lineRule="exact"/>
        <w:ind w:firstLine="456"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1.乙方应按照国家有关法律法规规定以及</w:t>
      </w:r>
      <w:r>
        <w:rPr>
          <w:rFonts w:hint="eastAsia" w:ascii="宋体" w:hAnsi="宋体" w:eastAsia="宋体" w:cs="宋体"/>
          <w:bCs/>
          <w:color w:val="auto"/>
          <w:sz w:val="24"/>
          <w:szCs w:val="24"/>
          <w:highlight w:val="none"/>
          <w:lang w:eastAsia="zh-CN"/>
        </w:rPr>
        <w:t>投标</w:t>
      </w:r>
      <w:r>
        <w:rPr>
          <w:rFonts w:hint="eastAsia" w:ascii="宋体" w:hAnsi="宋体" w:eastAsia="宋体" w:cs="宋体"/>
          <w:bCs/>
          <w:color w:val="auto"/>
          <w:sz w:val="24"/>
          <w:szCs w:val="24"/>
          <w:highlight w:val="none"/>
        </w:rPr>
        <w:t>承诺，为甲方提供服务。</w:t>
      </w:r>
    </w:p>
    <w:p w14:paraId="2FCDDBB9">
      <w:pPr>
        <w:pStyle w:val="31"/>
        <w:spacing w:line="400" w:lineRule="exact"/>
        <w:ind w:firstLine="456"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2.提交服务成果要求</w:t>
      </w:r>
      <w:r>
        <w:rPr>
          <w:rFonts w:hint="eastAsia" w:ascii="宋体" w:hAnsi="宋体" w:eastAsia="宋体" w:cs="宋体"/>
          <w:bCs/>
          <w:color w:val="auto"/>
          <w:sz w:val="24"/>
          <w:szCs w:val="24"/>
          <w:highlight w:val="none"/>
          <w:u w:val="single"/>
        </w:rPr>
        <w:t>：</w:t>
      </w:r>
    </w:p>
    <w:p w14:paraId="14566F32">
      <w:pPr>
        <w:pStyle w:val="31"/>
        <w:spacing w:line="400" w:lineRule="exact"/>
        <w:ind w:firstLine="456" w:firstLineChars="200"/>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分标1：</w:t>
      </w:r>
    </w:p>
    <w:p w14:paraId="7F2841E3">
      <w:pPr>
        <w:pStyle w:val="31"/>
        <w:numPr>
          <w:ilvl w:val="0"/>
          <w:numId w:val="32"/>
        </w:numPr>
        <w:spacing w:line="400" w:lineRule="exact"/>
        <w:ind w:firstLine="456" w:firstLineChars="200"/>
        <w:rPr>
          <w:rFonts w:hint="eastAsia" w:ascii="宋体" w:hAnsi="宋体" w:eastAsia="宋体" w:cs="宋体"/>
          <w:bCs/>
          <w:color w:val="auto"/>
          <w:spacing w:val="0"/>
          <w:sz w:val="24"/>
          <w:szCs w:val="24"/>
          <w:highlight w:val="none"/>
        </w:rPr>
      </w:pPr>
      <w:r>
        <w:rPr>
          <w:rFonts w:hint="eastAsia" w:ascii="宋体" w:hAnsi="宋体" w:eastAsia="宋体" w:cs="宋体"/>
          <w:bCs/>
          <w:color w:val="auto"/>
          <w:sz w:val="24"/>
          <w:szCs w:val="24"/>
          <w:highlight w:val="none"/>
          <w:lang w:val="en-US" w:eastAsia="zh-CN"/>
        </w:rPr>
        <w:t>乙方按照采购内容；</w:t>
      </w:r>
      <w:r>
        <w:rPr>
          <w:rFonts w:hint="eastAsia" w:ascii="宋体" w:hAnsi="宋体" w:eastAsia="宋体" w:cs="宋体"/>
          <w:bCs/>
          <w:color w:val="auto"/>
          <w:spacing w:val="0"/>
          <w:sz w:val="24"/>
          <w:szCs w:val="24"/>
          <w:highlight w:val="none"/>
        </w:rPr>
        <w:t xml:space="preserve"> </w:t>
      </w:r>
      <w:r>
        <w:rPr>
          <w:rFonts w:hint="eastAsia" w:ascii="宋体" w:hAnsi="宋体" w:eastAsia="宋体" w:cs="宋体"/>
          <w:bCs/>
          <w:color w:val="auto"/>
          <w:sz w:val="24"/>
          <w:szCs w:val="24"/>
          <w:highlight w:val="none"/>
          <w:lang w:val="en-US" w:eastAsia="zh-CN"/>
        </w:rPr>
        <w:t>完成1125亩互花米草后期管护工作，互花米草复发率低于2%；</w:t>
      </w:r>
      <w:r>
        <w:rPr>
          <w:rFonts w:hint="eastAsia" w:ascii="宋体" w:hAnsi="宋体" w:eastAsia="宋体" w:cs="宋体"/>
          <w:bCs/>
          <w:color w:val="auto"/>
          <w:sz w:val="24"/>
          <w:szCs w:val="24"/>
          <w:highlight w:val="none"/>
        </w:rPr>
        <w:t>并在林缘处进行胚轴插植</w:t>
      </w:r>
      <w:r>
        <w:rPr>
          <w:rFonts w:hint="eastAsia" w:ascii="宋体" w:hAnsi="宋体" w:eastAsia="宋体" w:cs="宋体"/>
          <w:bCs/>
          <w:color w:val="auto"/>
          <w:spacing w:val="0"/>
          <w:sz w:val="24"/>
          <w:szCs w:val="24"/>
          <w:highlight w:val="none"/>
        </w:rPr>
        <w:t>37.2亩，</w:t>
      </w:r>
      <w:r>
        <w:rPr>
          <w:rFonts w:hint="eastAsia" w:ascii="宋体" w:hAnsi="宋体" w:eastAsia="宋体" w:cs="宋体"/>
          <w:bCs/>
          <w:color w:val="auto"/>
          <w:sz w:val="24"/>
          <w:szCs w:val="24"/>
          <w:highlight w:val="none"/>
          <w:lang w:val="en-US" w:eastAsia="zh-CN"/>
        </w:rPr>
        <w:t>成活率90%；</w:t>
      </w:r>
      <w:r>
        <w:rPr>
          <w:rFonts w:hint="eastAsia" w:ascii="宋体" w:hAnsi="宋体" w:eastAsia="宋体" w:cs="宋体"/>
          <w:bCs/>
          <w:color w:val="auto"/>
          <w:spacing w:val="0"/>
          <w:sz w:val="24"/>
          <w:szCs w:val="24"/>
          <w:highlight w:val="none"/>
        </w:rPr>
        <w:t xml:space="preserve">布设警示标志牌 2块、插建高木桩 </w:t>
      </w:r>
      <w:r>
        <w:rPr>
          <w:rFonts w:hint="eastAsia" w:ascii="宋体" w:hAnsi="宋体" w:eastAsia="宋体" w:cs="宋体"/>
          <w:bCs/>
          <w:color w:val="auto"/>
          <w:spacing w:val="0"/>
          <w:sz w:val="24"/>
          <w:szCs w:val="24"/>
          <w:highlight w:val="none"/>
          <w:lang w:val="en-US" w:eastAsia="zh-CN"/>
        </w:rPr>
        <w:t>850</w:t>
      </w:r>
      <w:r>
        <w:rPr>
          <w:rFonts w:hint="eastAsia" w:ascii="宋体" w:hAnsi="宋体" w:eastAsia="宋体" w:cs="宋体"/>
          <w:bCs/>
          <w:color w:val="auto"/>
          <w:spacing w:val="0"/>
          <w:sz w:val="24"/>
          <w:szCs w:val="24"/>
          <w:highlight w:val="none"/>
        </w:rPr>
        <w:t>根、围防护网</w:t>
      </w:r>
      <w:r>
        <w:rPr>
          <w:rFonts w:hint="eastAsia" w:ascii="宋体" w:hAnsi="宋体" w:eastAsia="宋体" w:cs="宋体"/>
          <w:bCs/>
          <w:color w:val="auto"/>
          <w:spacing w:val="0"/>
          <w:sz w:val="24"/>
          <w:szCs w:val="24"/>
          <w:highlight w:val="none"/>
          <w:lang w:val="en-US" w:eastAsia="zh-CN"/>
        </w:rPr>
        <w:t>7100</w:t>
      </w:r>
      <w:r>
        <w:rPr>
          <w:rFonts w:hint="eastAsia" w:ascii="宋体" w:hAnsi="宋体" w:eastAsia="宋体" w:cs="宋体"/>
          <w:bCs/>
          <w:color w:val="auto"/>
          <w:spacing w:val="0"/>
          <w:sz w:val="24"/>
          <w:szCs w:val="24"/>
          <w:highlight w:val="none"/>
        </w:rPr>
        <w:t>平方米、雇佣专人管护。</w:t>
      </w:r>
    </w:p>
    <w:p w14:paraId="2675AF3D">
      <w:pPr>
        <w:pStyle w:val="31"/>
        <w:numPr>
          <w:ilvl w:val="-1"/>
          <w:numId w:val="0"/>
        </w:numPr>
        <w:spacing w:line="400" w:lineRule="exact"/>
        <w:ind w:firstLine="456" w:firstLineChars="200"/>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（2）互花米草后期管护要求，每月至少开展1次清除，实现每月动态清零。乙方完成每月的管护工作后，向甲方报送管护工作日志及相关照片；</w:t>
      </w:r>
      <w:r>
        <w:rPr>
          <w:rFonts w:hint="eastAsia" w:ascii="宋体" w:hAnsi="宋体" w:eastAsia="宋体" w:cs="宋体"/>
          <w:bCs/>
          <w:color w:val="auto"/>
          <w:sz w:val="24"/>
          <w:szCs w:val="24"/>
          <w:highlight w:val="none"/>
        </w:rPr>
        <w:t>乙方完成每</w:t>
      </w:r>
      <w:r>
        <w:rPr>
          <w:rFonts w:hint="eastAsia" w:ascii="宋体" w:hAnsi="宋体" w:eastAsia="宋体" w:cs="宋体"/>
          <w:bCs/>
          <w:color w:val="auto"/>
          <w:sz w:val="24"/>
          <w:szCs w:val="24"/>
          <w:highlight w:val="none"/>
          <w:lang w:val="en-US" w:eastAsia="zh-CN"/>
        </w:rPr>
        <w:t>季度</w:t>
      </w:r>
      <w:r>
        <w:rPr>
          <w:rFonts w:hint="eastAsia" w:ascii="宋体" w:hAnsi="宋体" w:eastAsia="宋体" w:cs="宋体"/>
          <w:bCs/>
          <w:color w:val="auto"/>
          <w:sz w:val="24"/>
          <w:szCs w:val="24"/>
          <w:highlight w:val="none"/>
        </w:rPr>
        <w:t>的管护工作后，向甲方</w:t>
      </w:r>
      <w:r>
        <w:rPr>
          <w:rFonts w:hint="eastAsia" w:ascii="宋体" w:hAnsi="宋体" w:eastAsia="宋体" w:cs="宋体"/>
          <w:bCs/>
          <w:color w:val="auto"/>
          <w:sz w:val="24"/>
          <w:szCs w:val="24"/>
          <w:highlight w:val="none"/>
          <w:lang w:val="en-US" w:eastAsia="zh-CN"/>
        </w:rPr>
        <w:t>报送管护工作季度总结报告及相关无人机航拍影像图片。</w:t>
      </w:r>
    </w:p>
    <w:p w14:paraId="5A2CCC23">
      <w:pPr>
        <w:pStyle w:val="31"/>
        <w:spacing w:line="400" w:lineRule="exact"/>
        <w:ind w:firstLine="456" w:firstLineChars="200"/>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（3）</w:t>
      </w:r>
      <w:r>
        <w:rPr>
          <w:rFonts w:hint="eastAsia" w:ascii="宋体" w:hAnsi="宋体" w:eastAsia="宋体" w:cs="宋体"/>
          <w:bCs/>
          <w:color w:val="auto"/>
          <w:sz w:val="24"/>
          <w:szCs w:val="24"/>
          <w:highlight w:val="none"/>
        </w:rPr>
        <w:t>乙方在所有</w:t>
      </w:r>
      <w:r>
        <w:rPr>
          <w:rFonts w:hint="eastAsia" w:ascii="宋体" w:hAnsi="宋体" w:eastAsia="宋体" w:cs="宋体"/>
          <w:bCs/>
          <w:color w:val="auto"/>
          <w:sz w:val="24"/>
          <w:szCs w:val="24"/>
          <w:highlight w:val="none"/>
          <w:lang w:val="en-US" w:eastAsia="zh-CN"/>
        </w:rPr>
        <w:t>采购内容</w:t>
      </w:r>
      <w:r>
        <w:rPr>
          <w:rFonts w:hint="eastAsia" w:ascii="宋体" w:hAnsi="宋体" w:eastAsia="宋体" w:cs="宋体"/>
          <w:bCs/>
          <w:color w:val="auto"/>
          <w:sz w:val="24"/>
          <w:szCs w:val="24"/>
          <w:highlight w:val="none"/>
        </w:rPr>
        <w:t>完成后10日历内向</w:t>
      </w:r>
      <w:r>
        <w:rPr>
          <w:rFonts w:hint="eastAsia" w:ascii="宋体" w:hAnsi="宋体" w:eastAsia="宋体" w:cs="宋体"/>
          <w:bCs/>
          <w:color w:val="auto"/>
          <w:sz w:val="24"/>
          <w:szCs w:val="24"/>
          <w:highlight w:val="none"/>
          <w:lang w:eastAsia="zh-CN"/>
        </w:rPr>
        <w:t>甲方</w:t>
      </w:r>
      <w:r>
        <w:rPr>
          <w:rFonts w:hint="eastAsia" w:ascii="宋体" w:hAnsi="宋体" w:eastAsia="宋体" w:cs="宋体"/>
          <w:bCs/>
          <w:color w:val="auto"/>
          <w:sz w:val="24"/>
          <w:szCs w:val="24"/>
          <w:highlight w:val="none"/>
        </w:rPr>
        <w:t>递交</w:t>
      </w:r>
      <w:r>
        <w:rPr>
          <w:rFonts w:hint="eastAsia" w:ascii="宋体" w:hAnsi="宋体" w:eastAsia="宋体" w:cs="宋体"/>
          <w:bCs/>
          <w:color w:val="auto"/>
          <w:sz w:val="24"/>
          <w:szCs w:val="24"/>
          <w:highlight w:val="none"/>
          <w:lang w:eastAsia="zh-CN"/>
        </w:rPr>
        <w:t>加盖公章的</w:t>
      </w:r>
      <w:r>
        <w:rPr>
          <w:rFonts w:hint="eastAsia" w:ascii="宋体" w:hAnsi="宋体" w:eastAsia="宋体" w:cs="宋体"/>
          <w:bCs/>
          <w:color w:val="auto"/>
          <w:sz w:val="24"/>
          <w:szCs w:val="24"/>
          <w:highlight w:val="none"/>
        </w:rPr>
        <w:t>总体</w:t>
      </w:r>
      <w:r>
        <w:rPr>
          <w:rFonts w:hint="eastAsia" w:ascii="宋体" w:hAnsi="宋体" w:eastAsia="宋体" w:cs="宋体"/>
          <w:bCs/>
          <w:color w:val="auto"/>
          <w:sz w:val="24"/>
          <w:szCs w:val="24"/>
          <w:highlight w:val="none"/>
          <w:lang w:val="en-US" w:eastAsia="zh-CN"/>
        </w:rPr>
        <w:t>工作</w:t>
      </w:r>
      <w:r>
        <w:rPr>
          <w:rFonts w:hint="eastAsia" w:ascii="宋体" w:hAnsi="宋体" w:eastAsia="宋体" w:cs="宋体"/>
          <w:bCs/>
          <w:color w:val="auto"/>
          <w:sz w:val="24"/>
          <w:szCs w:val="24"/>
          <w:highlight w:val="none"/>
        </w:rPr>
        <w:t>报告</w:t>
      </w:r>
      <w:r>
        <w:rPr>
          <w:rFonts w:hint="eastAsia" w:ascii="宋体" w:hAnsi="宋体" w:eastAsia="宋体" w:cs="宋体"/>
          <w:bCs/>
          <w:color w:val="auto"/>
          <w:sz w:val="24"/>
          <w:szCs w:val="24"/>
          <w:highlight w:val="none"/>
          <w:lang w:val="en-US" w:eastAsia="zh-CN"/>
        </w:rPr>
        <w:t>原件5份</w:t>
      </w:r>
      <w:r>
        <w:rPr>
          <w:rFonts w:hint="eastAsia" w:ascii="宋体" w:hAnsi="宋体" w:eastAsia="宋体" w:cs="宋体"/>
          <w:bCs/>
          <w:color w:val="auto"/>
          <w:sz w:val="24"/>
          <w:szCs w:val="24"/>
          <w:highlight w:val="none"/>
        </w:rPr>
        <w:t>，电子版1份。</w:t>
      </w:r>
    </w:p>
    <w:p w14:paraId="1F4E9013">
      <w:pPr>
        <w:pStyle w:val="31"/>
        <w:numPr>
          <w:ilvl w:val="0"/>
          <w:numId w:val="0"/>
        </w:numPr>
        <w:spacing w:line="400" w:lineRule="exact"/>
        <w:ind w:firstLine="456" w:firstLineChars="200"/>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分标2：</w:t>
      </w:r>
    </w:p>
    <w:p w14:paraId="51332ADE">
      <w:pPr>
        <w:pStyle w:val="31"/>
        <w:spacing w:line="400" w:lineRule="exact"/>
        <w:ind w:firstLine="456" w:firstLineChars="200"/>
        <w:rPr>
          <w:rFonts w:hint="eastAsia" w:ascii="宋体" w:hAnsi="宋体" w:eastAsia="宋体" w:cs="宋体"/>
          <w:color w:val="auto"/>
          <w:highlight w:val="none"/>
          <w:lang w:val="en-US" w:eastAsia="zh-CN"/>
        </w:rPr>
      </w:pPr>
      <w:r>
        <w:rPr>
          <w:rFonts w:hint="eastAsia" w:ascii="宋体" w:hAnsi="宋体" w:eastAsia="宋体" w:cs="宋体"/>
          <w:bCs/>
          <w:i w:val="0"/>
          <w:iCs w:val="0"/>
          <w:color w:val="auto"/>
          <w:sz w:val="24"/>
          <w:szCs w:val="24"/>
          <w:highlight w:val="none"/>
        </w:rPr>
        <w:t>按甲方要求定期提供清理报告。</w:t>
      </w:r>
    </w:p>
    <w:p w14:paraId="6C6A9D45">
      <w:pPr>
        <w:pStyle w:val="31"/>
        <w:spacing w:line="400" w:lineRule="exact"/>
        <w:ind w:firstLine="456" w:firstLineChars="200"/>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分标3：</w:t>
      </w:r>
    </w:p>
    <w:p w14:paraId="340CF045">
      <w:pPr>
        <w:pStyle w:val="31"/>
        <w:spacing w:line="400" w:lineRule="exact"/>
        <w:ind w:firstLine="456" w:firstLineChars="200"/>
        <w:rPr>
          <w:rFonts w:hint="eastAsia" w:ascii="宋体" w:hAnsi="宋体" w:eastAsia="宋体" w:cs="宋体"/>
          <w:bCs/>
          <w:color w:val="auto"/>
          <w:sz w:val="24"/>
          <w:szCs w:val="24"/>
          <w:highlight w:val="none"/>
          <w:lang w:val="en-US" w:eastAsia="zh-CN"/>
        </w:rPr>
      </w:pPr>
      <w:r>
        <w:rPr>
          <w:rFonts w:hint="eastAsia" w:ascii="宋体" w:hAnsi="宋体" w:eastAsia="宋体" w:cs="宋体"/>
          <w:bCs/>
          <w:i w:val="0"/>
          <w:iCs w:val="0"/>
          <w:color w:val="auto"/>
          <w:sz w:val="24"/>
          <w:szCs w:val="24"/>
          <w:highlight w:val="none"/>
        </w:rPr>
        <w:t>按甲方要求定期提供清理报告。</w:t>
      </w:r>
    </w:p>
    <w:p w14:paraId="33F2AD91">
      <w:pPr>
        <w:pStyle w:val="31"/>
        <w:spacing w:line="400" w:lineRule="exact"/>
        <w:ind w:firstLine="456"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分标4：病虫害防治</w:t>
      </w:r>
    </w:p>
    <w:p w14:paraId="312C7D05">
      <w:pPr>
        <w:pStyle w:val="31"/>
        <w:spacing w:line="400" w:lineRule="exact"/>
        <w:ind w:firstLine="456"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（1）项目实施前制定病虫害防治实施方案，提交实施方案加盖公章的纸质版10份，电子版1份。</w:t>
      </w:r>
    </w:p>
    <w:p w14:paraId="4A732D9E">
      <w:pPr>
        <w:pStyle w:val="31"/>
        <w:spacing w:line="400" w:lineRule="exact"/>
        <w:ind w:firstLine="456"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（2）乙方在完成防治任务后15日历日内向甲方递交病虫害防治总结报告加盖公章的纸质版15份，电子版1份；同时提交防治范围图</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lang w:val="en-US" w:eastAsia="zh-CN"/>
        </w:rPr>
        <w:t>防治记录</w:t>
      </w:r>
      <w:r>
        <w:rPr>
          <w:rFonts w:hint="eastAsia" w:ascii="宋体" w:hAnsi="宋体" w:eastAsia="宋体" w:cs="宋体"/>
          <w:bCs/>
          <w:color w:val="auto"/>
          <w:sz w:val="24"/>
          <w:szCs w:val="24"/>
          <w:highlight w:val="none"/>
        </w:rPr>
        <w:t>及影像资料。</w:t>
      </w:r>
    </w:p>
    <w:p w14:paraId="01EB3E9D">
      <w:pPr>
        <w:pStyle w:val="31"/>
        <w:spacing w:line="400" w:lineRule="exact"/>
        <w:ind w:firstLine="456"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分标5：</w:t>
      </w:r>
    </w:p>
    <w:p w14:paraId="5DC78081">
      <w:pPr>
        <w:pStyle w:val="31"/>
        <w:spacing w:line="400" w:lineRule="exact"/>
        <w:ind w:firstLine="456" w:firstLineChars="200"/>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（1）按采购需求完成巡护管护服务，年度总</w:t>
      </w:r>
      <w:r>
        <w:rPr>
          <w:rFonts w:hint="eastAsia" w:ascii="宋体" w:hAnsi="宋体" w:eastAsia="宋体" w:cs="宋体"/>
          <w:bCs/>
          <w:color w:val="auto"/>
          <w:sz w:val="24"/>
          <w:szCs w:val="24"/>
          <w:highlight w:val="none"/>
          <w:lang w:val="en-US" w:eastAsia="zh-CN"/>
        </w:rPr>
        <w:t>工日不少于 3036 工日；</w:t>
      </w:r>
    </w:p>
    <w:p w14:paraId="1535879D">
      <w:pPr>
        <w:pStyle w:val="31"/>
        <w:spacing w:line="400" w:lineRule="exact"/>
        <w:ind w:firstLine="456" w:firstLineChars="200"/>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（2）每月结束后 5 个工作日内提交月度工作报告；服务期满后 15 个工作日内提交项目服务工作总结报告及全套档案资料；</w:t>
      </w:r>
    </w:p>
    <w:p w14:paraId="6BA9C8EC">
      <w:pPr>
        <w:pStyle w:val="31"/>
        <w:spacing w:before="0" w:after="0"/>
        <w:ind w:firstLine="0" w:firstLineChars="0"/>
        <w:rPr>
          <w:rFonts w:hint="eastAsia" w:ascii="宋体" w:hAnsi="宋体" w:eastAsia="宋体" w:cs="宋体"/>
          <w:color w:val="auto"/>
          <w:sz w:val="24"/>
          <w:szCs w:val="24"/>
          <w:highlight w:val="none"/>
        </w:rPr>
      </w:pPr>
      <w:bookmarkStart w:id="141" w:name="_Toc32737"/>
    </w:p>
    <w:p w14:paraId="07730E45">
      <w:pPr>
        <w:pStyle w:val="3"/>
        <w:spacing w:before="0" w:after="0"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第七条  履约保证金</w:t>
      </w:r>
      <w:bookmarkEnd w:id="141"/>
    </w:p>
    <w:p w14:paraId="63F71A2C">
      <w:pPr>
        <w:pStyle w:val="31"/>
        <w:spacing w:line="400" w:lineRule="exact"/>
        <w:ind w:firstLine="456"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1.履约保证金金额：</w:t>
      </w:r>
      <w:r>
        <w:rPr>
          <w:rFonts w:hint="eastAsia" w:ascii="宋体" w:hAnsi="宋体" w:eastAsia="宋体" w:cs="宋体"/>
          <w:bCs/>
          <w:color w:val="auto"/>
          <w:sz w:val="24"/>
          <w:szCs w:val="24"/>
          <w:highlight w:val="none"/>
          <w:u w:val="single"/>
        </w:rPr>
        <w:t>按合同金额的2%。</w:t>
      </w:r>
    </w:p>
    <w:p w14:paraId="19B3F12A">
      <w:pPr>
        <w:pStyle w:val="31"/>
        <w:spacing w:line="400" w:lineRule="exact"/>
        <w:ind w:firstLine="456"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2.履约保证金递交方式：</w:t>
      </w:r>
      <w:r>
        <w:rPr>
          <w:rFonts w:hint="eastAsia" w:ascii="宋体" w:hAnsi="宋体" w:eastAsia="宋体" w:cs="宋体"/>
          <w:bCs/>
          <w:color w:val="auto"/>
          <w:sz w:val="24"/>
          <w:szCs w:val="24"/>
          <w:highlight w:val="none"/>
          <w:u w:val="single"/>
        </w:rPr>
        <w:t>银行转账、支票、汇票、本票或者金融、担保机构出具的保函等非现金方式。</w:t>
      </w:r>
    </w:p>
    <w:p w14:paraId="2737904E">
      <w:pPr>
        <w:pStyle w:val="31"/>
        <w:spacing w:line="400" w:lineRule="exact"/>
        <w:ind w:firstLine="456"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3.履约保证金缴纳期限</w:t>
      </w:r>
      <w:r>
        <w:rPr>
          <w:rFonts w:hint="eastAsia" w:ascii="宋体" w:hAnsi="宋体" w:eastAsia="宋体" w:cs="宋体"/>
          <w:bCs/>
          <w:color w:val="auto"/>
          <w:sz w:val="24"/>
          <w:szCs w:val="24"/>
          <w:highlight w:val="none"/>
          <w:u w:val="single"/>
        </w:rPr>
        <w:t>：合同签订之日起3日内。</w:t>
      </w:r>
    </w:p>
    <w:p w14:paraId="19A7D515">
      <w:pPr>
        <w:pStyle w:val="31"/>
        <w:spacing w:line="400" w:lineRule="exact"/>
        <w:ind w:firstLine="456"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4.履约保证金退付的方式、时间及条件：</w:t>
      </w:r>
      <w:r>
        <w:rPr>
          <w:rFonts w:hint="eastAsia" w:ascii="宋体" w:hAnsi="宋体" w:eastAsia="宋体" w:cs="宋体"/>
          <w:bCs/>
          <w:color w:val="auto"/>
          <w:sz w:val="24"/>
          <w:szCs w:val="24"/>
          <w:highlight w:val="none"/>
          <w:u w:val="single"/>
        </w:rPr>
        <w:t>全部服务完成，并经甲方验收合格后，由乙方向甲方提供《广西壮族自治区政府采购项目合同验收书》（详见桂财采〔2015〕22号），向甲方提出退还履约保证金的书面申请，经甲方审核如无质量、违约等问题，并将相关费用（违约金、赔偿损失等）扣除后，剩余的履约保证金在5个工作日内一次性办理退还手续（不计利息）。乙方不及时办理退还履约保证金手续所造成的一切后果，由乙方自行承担。履约保证金因违约等原因被扣除，数额不足的，乙方应及时补足。</w:t>
      </w:r>
    </w:p>
    <w:p w14:paraId="56A64AD0">
      <w:pPr>
        <w:pStyle w:val="31"/>
        <w:spacing w:line="400" w:lineRule="exact"/>
        <w:ind w:firstLine="456"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5.不予退还的情形：签</w:t>
      </w:r>
      <w:r>
        <w:rPr>
          <w:rFonts w:hint="eastAsia" w:ascii="宋体" w:hAnsi="宋体" w:eastAsia="宋体" w:cs="宋体"/>
          <w:bCs/>
          <w:color w:val="auto"/>
          <w:sz w:val="24"/>
          <w:szCs w:val="24"/>
          <w:highlight w:val="none"/>
          <w:u w:val="single"/>
        </w:rPr>
        <w:t>订合同后，如乙方不按双方签订的合同规定履约，则其全部履约保证金不予退还。</w:t>
      </w:r>
    </w:p>
    <w:p w14:paraId="4490F2A4">
      <w:pPr>
        <w:pStyle w:val="3"/>
        <w:spacing w:before="0" w:after="0" w:line="400" w:lineRule="exact"/>
        <w:rPr>
          <w:rFonts w:hint="eastAsia" w:ascii="宋体" w:hAnsi="宋体" w:eastAsia="宋体" w:cs="宋体"/>
          <w:color w:val="auto"/>
          <w:sz w:val="24"/>
          <w:szCs w:val="24"/>
          <w:highlight w:val="none"/>
        </w:rPr>
      </w:pPr>
      <w:bookmarkStart w:id="142" w:name="_Toc26916"/>
      <w:r>
        <w:rPr>
          <w:rFonts w:hint="eastAsia" w:ascii="宋体" w:hAnsi="宋体" w:eastAsia="宋体" w:cs="宋体"/>
          <w:color w:val="auto"/>
          <w:sz w:val="24"/>
          <w:szCs w:val="24"/>
          <w:highlight w:val="none"/>
        </w:rPr>
        <w:t>第八条  甲乙双方的权利与义务</w:t>
      </w:r>
      <w:bookmarkEnd w:id="142"/>
    </w:p>
    <w:p w14:paraId="07B958B2">
      <w:pPr>
        <w:pStyle w:val="31"/>
        <w:spacing w:line="400" w:lineRule="exact"/>
        <w:ind w:firstLine="458"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(一)甲方权利与义务</w:t>
      </w:r>
    </w:p>
    <w:p w14:paraId="6C8C5358">
      <w:pPr>
        <w:pStyle w:val="31"/>
        <w:spacing w:line="400" w:lineRule="exact"/>
        <w:ind w:firstLine="456"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1.有权对乙方的服务工作进行监督、指导，有权安排专人负责与乙方进行工作对接，对乙方的工作服务质量提出意见和建议。</w:t>
      </w:r>
    </w:p>
    <w:p w14:paraId="5E663706">
      <w:pPr>
        <w:pStyle w:val="31"/>
        <w:spacing w:line="400" w:lineRule="exact"/>
        <w:ind w:firstLine="456"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2.乙方服务工作完成后，甲方有权按合同约定对服务工作成果进行合格验收，并且有权提出书面异议。</w:t>
      </w:r>
    </w:p>
    <w:p w14:paraId="1259DC4A">
      <w:pPr>
        <w:pStyle w:val="31"/>
        <w:spacing w:line="400" w:lineRule="exact"/>
        <w:ind w:firstLine="456"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3.甲方有权按合同约定要求乙方开具合格发票。</w:t>
      </w:r>
    </w:p>
    <w:p w14:paraId="1C64C712">
      <w:pPr>
        <w:pStyle w:val="31"/>
        <w:spacing w:line="400" w:lineRule="exact"/>
        <w:ind w:firstLine="456"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4.甲方提供合同约定服务所需的相关资料和信息，并给予工作上的支持和必要的协助。</w:t>
      </w:r>
    </w:p>
    <w:p w14:paraId="6135BC41">
      <w:pPr>
        <w:pStyle w:val="31"/>
        <w:spacing w:line="400" w:lineRule="exact"/>
        <w:ind w:firstLine="456"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5.甲方按合同约定支付服务费用。</w:t>
      </w:r>
    </w:p>
    <w:p w14:paraId="6583E4B9">
      <w:pPr>
        <w:pStyle w:val="31"/>
        <w:spacing w:line="400" w:lineRule="exact"/>
        <w:ind w:firstLine="458"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(二)乙方权利与义务</w:t>
      </w:r>
    </w:p>
    <w:p w14:paraId="0FEA889E">
      <w:pPr>
        <w:pStyle w:val="31"/>
        <w:spacing w:line="400" w:lineRule="exact"/>
        <w:ind w:firstLine="456"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1.乙方在本项目服务期间是安全生产工作第一责任人，</w:t>
      </w:r>
      <w:bookmarkStart w:id="143" w:name="OLE_LINK18"/>
      <w:r>
        <w:rPr>
          <w:rFonts w:hint="eastAsia" w:ascii="宋体" w:hAnsi="宋体" w:eastAsia="宋体" w:cs="宋体"/>
          <w:bCs/>
          <w:color w:val="auto"/>
          <w:sz w:val="24"/>
          <w:szCs w:val="24"/>
          <w:highlight w:val="none"/>
        </w:rPr>
        <w:t>落实好派出人员的安全培训和安全措施等，</w:t>
      </w:r>
      <w:bookmarkEnd w:id="143"/>
      <w:r>
        <w:rPr>
          <w:rFonts w:hint="eastAsia" w:ascii="宋体" w:hAnsi="宋体" w:eastAsia="宋体" w:cs="宋体"/>
          <w:bCs/>
          <w:color w:val="auto"/>
          <w:sz w:val="24"/>
          <w:szCs w:val="24"/>
          <w:highlight w:val="none"/>
        </w:rPr>
        <w:t>在此期间有关人员出现人身意外、财产损失等事故，由乙方承担全部责任，与甲方无关。</w:t>
      </w:r>
    </w:p>
    <w:p w14:paraId="3387CF18">
      <w:pPr>
        <w:pStyle w:val="31"/>
        <w:spacing w:line="400" w:lineRule="exact"/>
        <w:ind w:firstLine="456"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2.乙方必须对本项目相关的全部内容和有关材料保密，未经甲方书面同意，不得用公开发表等方式为社会所公知，不得擅自修改、复印或向第三方转让或用于合同项目外的项目。</w:t>
      </w:r>
    </w:p>
    <w:p w14:paraId="7C20A04F">
      <w:pPr>
        <w:pStyle w:val="31"/>
        <w:spacing w:line="400" w:lineRule="exact"/>
        <w:ind w:firstLine="456"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3.安排专人负责与甲方联系，及时为甲方提供相关工作的服务支持，对甲方在服务期内提出的服务质量问题、违约问题，及时派人给予解决。否则，如给甲方带来损失，应给予赔偿。</w:t>
      </w:r>
    </w:p>
    <w:p w14:paraId="0AB2F9AD">
      <w:pPr>
        <w:pStyle w:val="31"/>
        <w:spacing w:line="400" w:lineRule="exact"/>
        <w:ind w:firstLine="456"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4.乙方应按合同约定严格履行义务，未经甲方书面同意，不得擅自将合同约定的权利义务转让、分包或委托任何第三方。</w:t>
      </w:r>
    </w:p>
    <w:p w14:paraId="0F2128CF">
      <w:pPr>
        <w:pStyle w:val="31"/>
        <w:spacing w:line="400" w:lineRule="exact"/>
        <w:ind w:firstLine="456" w:firstLineChars="200"/>
        <w:rPr>
          <w:rFonts w:hint="eastAsia" w:ascii="宋体" w:hAnsi="宋体" w:eastAsia="宋体" w:cs="宋体"/>
          <w:bCs/>
          <w:color w:val="auto"/>
          <w:sz w:val="24"/>
          <w:szCs w:val="24"/>
          <w:highlight w:val="none"/>
        </w:rPr>
      </w:pPr>
      <w:bookmarkStart w:id="144" w:name="OLE_LINK15"/>
      <w:bookmarkStart w:id="145" w:name="OLE_LINK16"/>
      <w:r>
        <w:rPr>
          <w:rFonts w:hint="eastAsia" w:ascii="宋体" w:hAnsi="宋体" w:eastAsia="宋体" w:cs="宋体"/>
          <w:bCs/>
          <w:color w:val="auto"/>
          <w:sz w:val="24"/>
          <w:szCs w:val="24"/>
          <w:highlight w:val="none"/>
        </w:rPr>
        <w:t>5.服从甲方工作安排，遵守甲方规章制度和国家法律法规。</w:t>
      </w:r>
      <w:bookmarkEnd w:id="144"/>
      <w:bookmarkEnd w:id="145"/>
    </w:p>
    <w:p w14:paraId="06274134">
      <w:pPr>
        <w:pStyle w:val="3"/>
        <w:spacing w:before="0" w:after="0" w:line="400" w:lineRule="exact"/>
        <w:rPr>
          <w:rFonts w:hint="eastAsia" w:ascii="宋体" w:hAnsi="宋体" w:eastAsia="宋体" w:cs="宋体"/>
          <w:color w:val="auto"/>
          <w:sz w:val="24"/>
          <w:szCs w:val="24"/>
          <w:highlight w:val="none"/>
        </w:rPr>
      </w:pPr>
      <w:bookmarkStart w:id="146" w:name="_Toc21330"/>
      <w:r>
        <w:rPr>
          <w:rFonts w:hint="eastAsia" w:ascii="宋体" w:hAnsi="宋体" w:eastAsia="宋体" w:cs="宋体"/>
          <w:color w:val="auto"/>
          <w:sz w:val="24"/>
          <w:szCs w:val="24"/>
          <w:highlight w:val="none"/>
        </w:rPr>
        <w:t>第九条  违约责任</w:t>
      </w:r>
      <w:bookmarkEnd w:id="146"/>
    </w:p>
    <w:p w14:paraId="2AFD1D9E">
      <w:pPr>
        <w:pStyle w:val="31"/>
        <w:spacing w:line="400" w:lineRule="exact"/>
        <w:ind w:firstLine="456"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乙方因自身原因不能按本合同约定如期提供、完成本项目所涉及的货物(如有)和服务的，视为乙方逾期履约，须承担逾期履约的违约责任；乙方所提供的货物(如有)和服务质量不合格的，应及时采取修理、更换、退货、整改处理等补救措施，补救不及时的，视为乙方逾期履约，应按照本合同逾期履约的约定承担违约责任；因货物(如有)、服务质量问题甲方不同意接收的或特殊情况甲方同意接收的，乙方应按合同约定总金额的 30%向甲方支付违约金并赔偿甲方经济损失。</w:t>
      </w:r>
    </w:p>
    <w:p w14:paraId="4B65F2F1">
      <w:pPr>
        <w:pStyle w:val="31"/>
        <w:spacing w:line="400" w:lineRule="exact"/>
        <w:ind w:firstLine="456"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乙方给甲方造成的损失超过违约金金额的，乙方应对甲方高出违约金的部分予以赔偿；乙方不服从甲方管理、乙方不按照甲方提出建议整改，甲方有权解除本合同，乙方退回全部甲方支付费用，并有权要求乙方承担相当于合同总金额的 30%的违约金及赔偿责任，没收履约保证金。</w:t>
      </w:r>
    </w:p>
    <w:p w14:paraId="2125D867">
      <w:pPr>
        <w:pStyle w:val="31"/>
        <w:spacing w:line="400" w:lineRule="exact"/>
        <w:ind w:firstLine="456"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未经甲方同意，乙方逾期履约，若甲方同意继续履行本合同的，每逾期一日，乙方除每日按照合同约定总金额的万分之三支付违约金外，仍需继续履行合同或重新提供符合要求的服务；若甲方不同意继续履行本合同或者逾期超过 30 日的，甲方有权单方解除本合同，要求退还已付服务费用，不再支付未付款项，并有权要求乙方承担相当于合同总金额的 30%的违约金及赔偿责任，没收履约保证金。</w:t>
      </w:r>
    </w:p>
    <w:p w14:paraId="43EB9A85">
      <w:pPr>
        <w:pStyle w:val="31"/>
        <w:spacing w:line="400" w:lineRule="exact"/>
        <w:ind w:firstLine="456"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乙方未按合同约定提供服务内容等约定义务的，甲方有权拒付相关费用，如造成甲方损失的，还应承担赔偿责任。如乙方存在违反本条约定或服务质量不合格的，经甲方提出整改意见，拒不改正或者整改后仍不合格的，甲方有权解除本合同，要求乙方按照以上本条第三款承担责任。</w:t>
      </w:r>
    </w:p>
    <w:p w14:paraId="4093B583">
      <w:pPr>
        <w:pStyle w:val="31"/>
        <w:spacing w:line="400" w:lineRule="exact"/>
        <w:ind w:firstLine="456"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5.未经甲方书面同意，乙方不得将本合同项下的全部或部分权利义务转让给第三人，否则甲方有权单方解除本合同，要求乙方按照以上本条第三款承担责任。</w:t>
      </w:r>
    </w:p>
    <w:p w14:paraId="7DA72A38">
      <w:pPr>
        <w:pStyle w:val="31"/>
        <w:spacing w:line="400" w:lineRule="exact"/>
        <w:ind w:firstLine="456"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6.在合同订立前、履行中、终止后，乙方对于获取甲方的资料或获悉的信息</w:t>
      </w:r>
      <w:r>
        <w:rPr>
          <w:rFonts w:hint="eastAsia" w:ascii="宋体" w:hAnsi="宋体" w:eastAsia="宋体" w:cs="宋体"/>
          <w:bCs/>
          <w:color w:val="auto"/>
          <w:sz w:val="24"/>
          <w:szCs w:val="24"/>
          <w:highlight w:val="none"/>
        </w:rPr>
        <w:tab/>
      </w:r>
      <w:r>
        <w:rPr>
          <w:rFonts w:hint="eastAsia" w:ascii="宋体" w:hAnsi="宋体" w:eastAsia="宋体" w:cs="宋体"/>
          <w:bCs/>
          <w:color w:val="auto"/>
          <w:sz w:val="24"/>
          <w:szCs w:val="24"/>
          <w:highlight w:val="none"/>
        </w:rPr>
        <w:t>(包括但不限于涉密公文、技术资料、图样、数据、及其他信息等)负有保密责任，不得擅自修改、复印或向第三方转让或用于合同项目外的项目。否则，乙方应按合同总金额 50%向甲方支付违约金及承担赔偿责任，并自行承担其他相关法律责任。致使本合同无法继续履行的，甲方还有权解除合同，要求乙方按照以上本条第三款承担责任。本保密条款具有独立性，不受本合同终止或解除的影响。</w:t>
      </w:r>
    </w:p>
    <w:p w14:paraId="110B9910">
      <w:pPr>
        <w:pStyle w:val="31"/>
        <w:spacing w:line="400" w:lineRule="exact"/>
        <w:ind w:firstLine="456"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7.甲方有权在应付乙方款项中扣除乙方根据法律规定、本合同约定应承担的违约金、赔偿金等。</w:t>
      </w:r>
    </w:p>
    <w:p w14:paraId="04FBB1E4">
      <w:pPr>
        <w:pStyle w:val="31"/>
        <w:spacing w:line="400" w:lineRule="exact"/>
        <w:ind w:firstLine="456"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8.因本合同的履行等发生争议的，守约方有权要求违约方承担的维权费用，包括但不限于诉讼费、保全费、保全保险费、公告费、鉴定费、评估费、律师费、交通费、差旅费等。</w:t>
      </w:r>
    </w:p>
    <w:p w14:paraId="46E41859">
      <w:pPr>
        <w:pStyle w:val="31"/>
        <w:spacing w:line="400" w:lineRule="exact"/>
        <w:ind w:firstLine="456"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9.甲方核实乙方违规和不合格产品入场，甲方可按核实乙方违规和不合格产品入场的数量，要求乙方赔偿甲方核实价值的两倍金额，同时乙方应重新提供合格的产品或服务。</w:t>
      </w:r>
    </w:p>
    <w:p w14:paraId="3786E1BA">
      <w:pPr>
        <w:pStyle w:val="31"/>
        <w:spacing w:line="400" w:lineRule="exact"/>
        <w:ind w:firstLine="456"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10.其它违约责任按《中华人民共和国民法典》及相关司法解释的规定处理。</w:t>
      </w:r>
    </w:p>
    <w:p w14:paraId="4C8E7CC7">
      <w:pPr>
        <w:pStyle w:val="31"/>
        <w:spacing w:line="400" w:lineRule="exact"/>
        <w:ind w:firstLine="456"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11.未经甲方同意，乙方不得擅自就治理、监测项目发表论文或对外宣传等工作，否则甲方有权要求乙方按合同总价的30%支付违约金，甚至解除合同。</w:t>
      </w:r>
    </w:p>
    <w:p w14:paraId="1155C0D4">
      <w:pPr>
        <w:pStyle w:val="31"/>
        <w:spacing w:line="400" w:lineRule="exact"/>
        <w:ind w:firstLine="456" w:firstLineChars="200"/>
        <w:rPr>
          <w:rFonts w:hint="eastAsia" w:ascii="宋体" w:hAnsi="宋体" w:eastAsia="宋体" w:cs="宋体"/>
          <w:bCs/>
          <w:color w:val="auto"/>
          <w:sz w:val="24"/>
          <w:szCs w:val="24"/>
          <w:highlight w:val="none"/>
        </w:rPr>
      </w:pPr>
      <w:bookmarkStart w:id="147" w:name="OLE_LINK19"/>
      <w:bookmarkStart w:id="148" w:name="OLE_LINK20"/>
      <w:r>
        <w:rPr>
          <w:rFonts w:hint="eastAsia" w:ascii="宋体" w:hAnsi="宋体" w:eastAsia="宋体" w:cs="宋体"/>
          <w:bCs/>
          <w:color w:val="auto"/>
          <w:sz w:val="24"/>
          <w:szCs w:val="24"/>
          <w:highlight w:val="none"/>
        </w:rPr>
        <w:t>12.乙方在本项目服务期间是安全生产工作第一责任人，落实好派出人员的安全培训和安全措施等，在此期间有关人员出现人身意外、财产损失等事故，由乙方承担全部责任，与甲方无关，甲方视情况追加乙方的违约责任</w:t>
      </w:r>
      <w:bookmarkStart w:id="149" w:name="OLE_LINK8"/>
      <w:bookmarkStart w:id="150" w:name="OLE_LINK9"/>
      <w:r>
        <w:rPr>
          <w:rFonts w:hint="eastAsia" w:ascii="宋体" w:hAnsi="宋体" w:eastAsia="宋体" w:cs="宋体"/>
          <w:bCs/>
          <w:color w:val="auto"/>
          <w:sz w:val="24"/>
          <w:szCs w:val="24"/>
          <w:highlight w:val="none"/>
        </w:rPr>
        <w:t>及赔偿责任</w:t>
      </w:r>
      <w:bookmarkEnd w:id="149"/>
      <w:bookmarkEnd w:id="150"/>
      <w:r>
        <w:rPr>
          <w:rFonts w:hint="eastAsia" w:ascii="宋体" w:hAnsi="宋体" w:eastAsia="宋体" w:cs="宋体"/>
          <w:bCs/>
          <w:color w:val="auto"/>
          <w:sz w:val="24"/>
          <w:szCs w:val="24"/>
          <w:highlight w:val="none"/>
        </w:rPr>
        <w:t>。</w:t>
      </w:r>
    </w:p>
    <w:p w14:paraId="21D33306">
      <w:pPr>
        <w:pStyle w:val="31"/>
        <w:spacing w:line="400" w:lineRule="exact"/>
        <w:ind w:firstLine="456"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13.因项目实施导致社会舆情或社会不利于保护区舆论或泄密或不按甲方要求提交完整合格结算、验收材料或不及时兑现农民工工资的，如乙方不及时解决，甲方有权要求乙方按合同总价的30%支付违约金及赔偿责任，并且退还已付服务费用、解除合同。</w:t>
      </w:r>
      <w:bookmarkEnd w:id="147"/>
      <w:bookmarkEnd w:id="148"/>
    </w:p>
    <w:p w14:paraId="3E5934E3">
      <w:pPr>
        <w:ind w:firstLine="400"/>
        <w:rPr>
          <w:rFonts w:hint="eastAsia" w:ascii="宋体" w:hAnsi="宋体" w:eastAsia="宋体" w:cs="宋体"/>
          <w:bCs/>
          <w:color w:val="auto"/>
          <w:w w:val="95"/>
          <w:kern w:val="0"/>
          <w:sz w:val="24"/>
          <w:highlight w:val="none"/>
        </w:rPr>
      </w:pPr>
      <w:r>
        <w:rPr>
          <w:rFonts w:hint="eastAsia" w:ascii="宋体" w:hAnsi="宋体" w:eastAsia="宋体" w:cs="宋体"/>
          <w:bCs/>
          <w:color w:val="auto"/>
          <w:w w:val="95"/>
          <w:kern w:val="0"/>
          <w:sz w:val="24"/>
          <w:highlight w:val="none"/>
        </w:rPr>
        <w:t>14. 采购需求中的</w:t>
      </w:r>
      <w:r>
        <w:rPr>
          <w:rFonts w:hint="eastAsia" w:ascii="宋体" w:hAnsi="宋体" w:eastAsia="宋体" w:cs="宋体"/>
          <w:bCs/>
          <w:color w:val="auto"/>
          <w:w w:val="95"/>
          <w:kern w:val="0"/>
          <w:sz w:val="24"/>
          <w:highlight w:val="none"/>
          <w:lang w:eastAsia="zh-CN"/>
        </w:rPr>
        <w:t>“</w:t>
      </w:r>
      <w:r>
        <w:rPr>
          <w:rFonts w:hint="eastAsia" w:ascii="宋体" w:hAnsi="宋体" w:eastAsia="宋体" w:cs="宋体"/>
          <w:bCs/>
          <w:color w:val="auto"/>
          <w:w w:val="95"/>
          <w:kern w:val="0"/>
          <w:sz w:val="24"/>
          <w:highlight w:val="none"/>
        </w:rPr>
        <w:t>供应商违约</w:t>
      </w:r>
      <w:r>
        <w:rPr>
          <w:rFonts w:hint="eastAsia" w:ascii="宋体" w:hAnsi="宋体" w:eastAsia="宋体" w:cs="宋体"/>
          <w:bCs/>
          <w:color w:val="auto"/>
          <w:w w:val="95"/>
          <w:kern w:val="0"/>
          <w:sz w:val="24"/>
          <w:highlight w:val="none"/>
          <w:lang w:eastAsia="zh-CN"/>
        </w:rPr>
        <w:t>”</w:t>
      </w:r>
      <w:r>
        <w:rPr>
          <w:rFonts w:hint="eastAsia" w:ascii="宋体" w:hAnsi="宋体" w:eastAsia="宋体" w:cs="宋体"/>
          <w:bCs/>
          <w:color w:val="auto"/>
          <w:w w:val="95"/>
          <w:kern w:val="0"/>
          <w:sz w:val="24"/>
          <w:highlight w:val="none"/>
        </w:rPr>
        <w:t>条款为本条前述条款在本项目中的具体细化和补充，两者同时适用。供应商违反该条款约定的，按照其中的具体认定标准（一般违约/严重违约）承担违约责任，甲方有权按约定扣款、扣除履约保证金、解除合同等</w:t>
      </w:r>
      <w:r>
        <w:rPr>
          <w:rFonts w:hint="eastAsia" w:ascii="宋体" w:hAnsi="宋体" w:eastAsia="宋体" w:cs="宋体"/>
          <w:bCs/>
          <w:color w:val="auto"/>
          <w:w w:val="95"/>
          <w:kern w:val="0"/>
          <w:sz w:val="24"/>
          <w:highlight w:val="none"/>
          <w:lang w:eastAsia="zh-CN"/>
        </w:rPr>
        <w:t>。如同一违约行为同时适用本条前述条款和采购需求违约条款的，择一从重适用，不重复处罚。（</w:t>
      </w:r>
      <w:r>
        <w:rPr>
          <w:rFonts w:hint="eastAsia" w:ascii="宋体" w:hAnsi="宋体" w:eastAsia="宋体" w:cs="宋体"/>
          <w:bCs/>
          <w:color w:val="auto"/>
          <w:w w:val="95"/>
          <w:kern w:val="0"/>
          <w:sz w:val="24"/>
          <w:highlight w:val="none"/>
          <w:lang w:val="en-US" w:eastAsia="zh-CN"/>
        </w:rPr>
        <w:t>分标5）</w:t>
      </w:r>
    </w:p>
    <w:p w14:paraId="7F4EBBC8">
      <w:pPr>
        <w:pStyle w:val="3"/>
        <w:spacing w:before="0" w:after="0" w:line="400" w:lineRule="exact"/>
        <w:rPr>
          <w:rFonts w:hint="eastAsia" w:ascii="宋体" w:hAnsi="宋体" w:eastAsia="宋体" w:cs="宋体"/>
          <w:color w:val="auto"/>
          <w:sz w:val="24"/>
          <w:szCs w:val="24"/>
          <w:highlight w:val="none"/>
        </w:rPr>
      </w:pPr>
      <w:bookmarkStart w:id="151" w:name="_Toc9425"/>
      <w:r>
        <w:rPr>
          <w:rFonts w:hint="eastAsia" w:ascii="宋体" w:hAnsi="宋体" w:eastAsia="宋体" w:cs="宋体"/>
          <w:color w:val="auto"/>
          <w:sz w:val="24"/>
          <w:szCs w:val="24"/>
          <w:highlight w:val="none"/>
        </w:rPr>
        <w:t>第十条  不可抗力事件处理</w:t>
      </w:r>
      <w:bookmarkEnd w:id="151"/>
    </w:p>
    <w:p w14:paraId="0A86E743">
      <w:pPr>
        <w:pStyle w:val="31"/>
        <w:spacing w:line="400" w:lineRule="exact"/>
        <w:ind w:firstLine="456"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1.在合同有效期内，任何一方因不可抗力事件导致不能履行合同，则合同履行期可延长，其延长期与不可抗力影响期相同。</w:t>
      </w:r>
    </w:p>
    <w:p w14:paraId="7462B5B3">
      <w:pPr>
        <w:pStyle w:val="31"/>
        <w:spacing w:line="400" w:lineRule="exact"/>
        <w:ind w:firstLine="456"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2.不可抗力事件发生后，应立即通知对方，并寄送有关权威机构出具的证明。</w:t>
      </w:r>
    </w:p>
    <w:p w14:paraId="09E1955B">
      <w:pPr>
        <w:pStyle w:val="31"/>
        <w:spacing w:line="400" w:lineRule="exact"/>
        <w:ind w:firstLine="456"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3.不可抗力事件延续一百二十天以上，双方应通过友好协商，确定是否继续履行合同。</w:t>
      </w:r>
    </w:p>
    <w:p w14:paraId="2E2B8B51">
      <w:pPr>
        <w:pStyle w:val="3"/>
        <w:spacing w:before="0" w:after="0" w:line="400" w:lineRule="exact"/>
        <w:rPr>
          <w:rFonts w:hint="eastAsia" w:ascii="宋体" w:hAnsi="宋体" w:eastAsia="宋体" w:cs="宋体"/>
          <w:color w:val="auto"/>
          <w:sz w:val="24"/>
          <w:szCs w:val="24"/>
          <w:highlight w:val="none"/>
        </w:rPr>
      </w:pPr>
      <w:bookmarkStart w:id="152" w:name="_Toc14954"/>
      <w:r>
        <w:rPr>
          <w:rFonts w:hint="eastAsia" w:ascii="宋体" w:hAnsi="宋体" w:eastAsia="宋体" w:cs="宋体"/>
          <w:color w:val="auto"/>
          <w:sz w:val="24"/>
          <w:szCs w:val="24"/>
          <w:highlight w:val="none"/>
        </w:rPr>
        <w:t>第十一条  合同争议解决</w:t>
      </w:r>
      <w:bookmarkEnd w:id="152"/>
    </w:p>
    <w:p w14:paraId="578C724C">
      <w:pPr>
        <w:pStyle w:val="31"/>
        <w:spacing w:line="400" w:lineRule="exact"/>
        <w:ind w:firstLine="456"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因货物(如有)、服务质量问题发生争议的，甲、乙可共同协商邀请国家认可的质量检测机构对服务质量进行鉴定，如协商不成的，甲方有权单方面选定国家认可的质量检测机构对服务质量进行鉴定。经鉴定，货物(如有)、服务符合标准的，鉴定费由甲方承担；服务不符合标准的，鉴定费由乙方承担。</w:t>
      </w:r>
    </w:p>
    <w:p w14:paraId="4209BF93">
      <w:pPr>
        <w:pStyle w:val="31"/>
        <w:spacing w:line="400" w:lineRule="exact"/>
        <w:ind w:firstLine="456"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2.因履行本合同履行引起的或与本合同有关的争议，甲乙双方可先通过友好协商解决。如果协商不成或者无法沟通协商的，任何一方均可向甲方所在地人民法院提起诉讼。</w:t>
      </w:r>
    </w:p>
    <w:p w14:paraId="0B074ECF">
      <w:pPr>
        <w:pStyle w:val="31"/>
        <w:spacing w:line="400" w:lineRule="exact"/>
        <w:ind w:firstLine="456"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3.诉讼期间，经甲方书面同意，本合同继续履行。</w:t>
      </w:r>
    </w:p>
    <w:p w14:paraId="32671DF6">
      <w:pPr>
        <w:pStyle w:val="3"/>
        <w:spacing w:before="0" w:after="0" w:line="400" w:lineRule="exact"/>
        <w:rPr>
          <w:rFonts w:hint="eastAsia" w:ascii="宋体" w:hAnsi="宋体" w:eastAsia="宋体" w:cs="宋体"/>
          <w:color w:val="auto"/>
          <w:sz w:val="24"/>
          <w:szCs w:val="24"/>
          <w:highlight w:val="none"/>
        </w:rPr>
      </w:pPr>
      <w:bookmarkStart w:id="153" w:name="_Toc27855"/>
      <w:r>
        <w:rPr>
          <w:rFonts w:hint="eastAsia" w:ascii="宋体" w:hAnsi="宋体" w:eastAsia="宋体" w:cs="宋体"/>
          <w:color w:val="auto"/>
          <w:sz w:val="24"/>
          <w:szCs w:val="24"/>
          <w:highlight w:val="none"/>
        </w:rPr>
        <w:t>第十二条  通知与送达</w:t>
      </w:r>
      <w:bookmarkEnd w:id="153"/>
    </w:p>
    <w:p w14:paraId="38F53A23">
      <w:pPr>
        <w:pStyle w:val="31"/>
        <w:spacing w:line="400" w:lineRule="exact"/>
        <w:ind w:firstLine="456"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1.送达可通过本合同约定的送达地址、邮箱等方式送达，以本合同所留联系方式、地址等为准。</w:t>
      </w:r>
    </w:p>
    <w:p w14:paraId="32C42D67">
      <w:pPr>
        <w:pStyle w:val="31"/>
        <w:spacing w:line="400" w:lineRule="exact"/>
        <w:ind w:firstLine="456"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2.甲方的送达地址：</w:t>
      </w:r>
      <w:r>
        <w:rPr>
          <w:rFonts w:hint="eastAsia" w:ascii="宋体" w:hAnsi="宋体" w:eastAsia="宋体" w:cs="宋体"/>
          <w:bCs/>
          <w:color w:val="auto"/>
          <w:sz w:val="24"/>
          <w:szCs w:val="24"/>
          <w:highlight w:val="none"/>
          <w:u w:val="single"/>
        </w:rPr>
        <w:t>与本合同尾部约定地址一致</w:t>
      </w:r>
      <w:r>
        <w:rPr>
          <w:rFonts w:hint="eastAsia" w:ascii="宋体" w:hAnsi="宋体" w:eastAsia="宋体" w:cs="宋体"/>
          <w:bCs/>
          <w:color w:val="auto"/>
          <w:sz w:val="24"/>
          <w:szCs w:val="24"/>
          <w:highlight w:val="none"/>
        </w:rPr>
        <w:t>，联系人：</w:t>
      </w:r>
      <w:r>
        <w:rPr>
          <w:rFonts w:hint="eastAsia" w:ascii="宋体" w:hAnsi="宋体" w:eastAsia="宋体" w:cs="宋体"/>
          <w:bCs/>
          <w:color w:val="auto"/>
          <w:sz w:val="24"/>
          <w:szCs w:val="24"/>
          <w:highlight w:val="none"/>
          <w:u w:val="single"/>
          <w:lang w:val="en-US" w:eastAsia="zh-CN"/>
        </w:rPr>
        <w:t xml:space="preserve">       </w:t>
      </w:r>
      <w:r>
        <w:rPr>
          <w:rFonts w:hint="eastAsia" w:ascii="宋体" w:hAnsi="宋体" w:eastAsia="宋体" w:cs="宋体"/>
          <w:bCs/>
          <w:color w:val="auto"/>
          <w:sz w:val="24"/>
          <w:szCs w:val="24"/>
          <w:highlight w:val="none"/>
          <w:u w:val="single"/>
        </w:rPr>
        <w:t>，</w:t>
      </w:r>
      <w:r>
        <w:rPr>
          <w:rFonts w:hint="eastAsia" w:ascii="宋体" w:hAnsi="宋体" w:eastAsia="宋体" w:cs="宋体"/>
          <w:bCs/>
          <w:color w:val="auto"/>
          <w:sz w:val="24"/>
          <w:szCs w:val="24"/>
          <w:highlight w:val="none"/>
        </w:rPr>
        <w:t>联系电话 ：</w:t>
      </w:r>
      <w:r>
        <w:rPr>
          <w:rFonts w:hint="eastAsia" w:ascii="宋体" w:hAnsi="宋体" w:eastAsia="宋体" w:cs="宋体"/>
          <w:bCs/>
          <w:color w:val="auto"/>
          <w:sz w:val="24"/>
          <w:szCs w:val="24"/>
          <w:highlight w:val="none"/>
          <w:u w:val="single"/>
          <w:lang w:val="en-US" w:eastAsia="zh-CN"/>
        </w:rPr>
        <w:t xml:space="preserve">              </w:t>
      </w:r>
      <w:r>
        <w:rPr>
          <w:rFonts w:hint="eastAsia" w:ascii="宋体" w:hAnsi="宋体" w:eastAsia="宋体" w:cs="宋体"/>
          <w:bCs/>
          <w:color w:val="auto"/>
          <w:sz w:val="24"/>
          <w:szCs w:val="24"/>
          <w:highlight w:val="none"/>
        </w:rPr>
        <w:t>； 电子邮箱：</w:t>
      </w:r>
      <w:r>
        <w:rPr>
          <w:rFonts w:hint="eastAsia" w:ascii="宋体" w:hAnsi="宋体" w:eastAsia="宋体" w:cs="宋体"/>
          <w:bCs/>
          <w:color w:val="auto"/>
          <w:sz w:val="24"/>
          <w:szCs w:val="24"/>
          <w:highlight w:val="none"/>
          <w:u w:val="single"/>
        </w:rPr>
        <w:t>shankoubaohuqu@126.com</w:t>
      </w:r>
      <w:r>
        <w:rPr>
          <w:rFonts w:hint="eastAsia" w:ascii="宋体" w:hAnsi="宋体" w:eastAsia="宋体" w:cs="宋体"/>
          <w:bCs/>
          <w:color w:val="auto"/>
          <w:sz w:val="24"/>
          <w:szCs w:val="24"/>
          <w:highlight w:val="none"/>
        </w:rPr>
        <w:t>。</w:t>
      </w:r>
    </w:p>
    <w:p w14:paraId="2B0E9658">
      <w:pPr>
        <w:pStyle w:val="31"/>
        <w:spacing w:line="400" w:lineRule="exact"/>
        <w:ind w:firstLine="456"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3.乙方的送达地址：</w:t>
      </w:r>
      <w:r>
        <w:rPr>
          <w:rFonts w:hint="eastAsia" w:ascii="宋体" w:hAnsi="宋体" w:eastAsia="宋体" w:cs="宋体"/>
          <w:bCs/>
          <w:color w:val="auto"/>
          <w:sz w:val="24"/>
          <w:szCs w:val="24"/>
          <w:highlight w:val="none"/>
          <w:u w:val="single"/>
        </w:rPr>
        <w:t>与本合同尾部约定地址一致</w:t>
      </w:r>
      <w:r>
        <w:rPr>
          <w:rFonts w:hint="eastAsia" w:ascii="宋体" w:hAnsi="宋体" w:eastAsia="宋体" w:cs="宋体"/>
          <w:bCs/>
          <w:color w:val="auto"/>
          <w:sz w:val="24"/>
          <w:szCs w:val="24"/>
          <w:highlight w:val="none"/>
        </w:rPr>
        <w:t>，联系人：</w:t>
      </w:r>
      <w:r>
        <w:rPr>
          <w:rFonts w:hint="eastAsia" w:ascii="宋体" w:hAnsi="宋体" w:eastAsia="宋体" w:cs="宋体"/>
          <w:bCs/>
          <w:color w:val="auto"/>
          <w:sz w:val="24"/>
          <w:szCs w:val="24"/>
          <w:highlight w:val="none"/>
          <w:u w:val="single"/>
          <w:lang w:val="en-US" w:eastAsia="zh-CN"/>
        </w:rPr>
        <w:t xml:space="preserve">        </w:t>
      </w:r>
      <w:r>
        <w:rPr>
          <w:rFonts w:hint="eastAsia" w:ascii="宋体" w:hAnsi="宋体" w:eastAsia="宋体" w:cs="宋体"/>
          <w:bCs/>
          <w:color w:val="auto"/>
          <w:sz w:val="24"/>
          <w:szCs w:val="24"/>
          <w:highlight w:val="none"/>
        </w:rPr>
        <w:t>，联系电话</w:t>
      </w:r>
      <w:r>
        <w:rPr>
          <w:rFonts w:hint="eastAsia" w:ascii="宋体" w:hAnsi="宋体" w:eastAsia="宋体" w:cs="宋体"/>
          <w:bCs/>
          <w:color w:val="auto"/>
          <w:sz w:val="24"/>
          <w:szCs w:val="24"/>
          <w:highlight w:val="none"/>
          <w:u w:val="single"/>
        </w:rPr>
        <w:t>：</w:t>
      </w:r>
      <w:r>
        <w:rPr>
          <w:rFonts w:hint="eastAsia" w:ascii="宋体" w:hAnsi="宋体" w:eastAsia="宋体" w:cs="宋体"/>
          <w:bCs/>
          <w:color w:val="auto"/>
          <w:sz w:val="24"/>
          <w:szCs w:val="24"/>
          <w:highlight w:val="none"/>
          <w:u w:val="single"/>
          <w:lang w:val="en-US" w:eastAsia="zh-CN"/>
        </w:rPr>
        <w:t xml:space="preserve">               </w:t>
      </w:r>
      <w:r>
        <w:rPr>
          <w:rFonts w:hint="eastAsia" w:ascii="宋体" w:hAnsi="宋体" w:eastAsia="宋体" w:cs="宋体"/>
          <w:bCs/>
          <w:color w:val="auto"/>
          <w:sz w:val="24"/>
          <w:szCs w:val="24"/>
          <w:highlight w:val="none"/>
          <w:u w:val="single"/>
        </w:rPr>
        <w:t>；</w:t>
      </w:r>
      <w:r>
        <w:rPr>
          <w:rFonts w:hint="eastAsia" w:ascii="宋体" w:hAnsi="宋体" w:eastAsia="宋体" w:cs="宋体"/>
          <w:bCs/>
          <w:color w:val="auto"/>
          <w:sz w:val="24"/>
          <w:szCs w:val="24"/>
          <w:highlight w:val="none"/>
        </w:rPr>
        <w:t>电子邮箱：</w:t>
      </w:r>
      <w:r>
        <w:rPr>
          <w:rFonts w:hint="eastAsia" w:ascii="宋体" w:hAnsi="宋体" w:eastAsia="宋体" w:cs="宋体"/>
          <w:bCs/>
          <w:color w:val="auto"/>
          <w:sz w:val="24"/>
          <w:szCs w:val="24"/>
          <w:highlight w:val="none"/>
          <w:u w:val="single"/>
          <w:lang w:val="en-US" w:eastAsia="zh-CN"/>
        </w:rPr>
        <w:t xml:space="preserve">                    </w:t>
      </w:r>
      <w:r>
        <w:rPr>
          <w:rFonts w:hint="eastAsia" w:ascii="宋体" w:hAnsi="宋体" w:eastAsia="宋体" w:cs="宋体"/>
          <w:bCs/>
          <w:color w:val="auto"/>
          <w:sz w:val="24"/>
          <w:szCs w:val="24"/>
          <w:highlight w:val="none"/>
        </w:rPr>
        <w:t>。</w:t>
      </w:r>
    </w:p>
    <w:p w14:paraId="69AA8436">
      <w:pPr>
        <w:pStyle w:val="31"/>
        <w:spacing w:line="400" w:lineRule="exact"/>
        <w:ind w:firstLine="456"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4.任何一方变更送达地址的，应在变更之日起五日内以书面形式通知另一方，因通讯地址、联系电话变更或不准确造成的损失由变更方承担。未通知的，视为没有变更。</w:t>
      </w:r>
    </w:p>
    <w:p w14:paraId="4D9EE814">
      <w:pPr>
        <w:pStyle w:val="31"/>
        <w:spacing w:line="400" w:lineRule="exact"/>
        <w:ind w:firstLine="456"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5.任何一方通过邮寄方式按送达地址送达的，即便出现“拒收”、“查无此人”、“地址迁离”等情形也不影响送达效力，自寄出的邮戳日起届满三日视为已有效送达。甲、乙双方在本合同的送达地址同样可以作为法院的送达地址。</w:t>
      </w:r>
    </w:p>
    <w:p w14:paraId="643A26A6">
      <w:pPr>
        <w:pStyle w:val="3"/>
        <w:spacing w:before="0" w:after="0" w:line="400" w:lineRule="exact"/>
        <w:rPr>
          <w:rFonts w:hint="eastAsia" w:ascii="宋体" w:hAnsi="宋体" w:eastAsia="宋体" w:cs="宋体"/>
          <w:color w:val="auto"/>
          <w:sz w:val="24"/>
          <w:szCs w:val="24"/>
          <w:highlight w:val="none"/>
        </w:rPr>
      </w:pPr>
      <w:bookmarkStart w:id="154" w:name="_Toc1987"/>
      <w:r>
        <w:rPr>
          <w:rFonts w:hint="eastAsia" w:ascii="宋体" w:hAnsi="宋体" w:eastAsia="宋体" w:cs="宋体"/>
          <w:color w:val="auto"/>
          <w:sz w:val="24"/>
          <w:szCs w:val="24"/>
          <w:highlight w:val="none"/>
        </w:rPr>
        <w:t>第十三条  合同的变更、中止或者终止</w:t>
      </w:r>
      <w:bookmarkEnd w:id="154"/>
    </w:p>
    <w:p w14:paraId="25E990EA">
      <w:pPr>
        <w:pStyle w:val="31"/>
        <w:spacing w:line="400" w:lineRule="exact"/>
        <w:ind w:firstLine="456"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1.除《中华人民共和国政府采购法》第五十条规定的情形外，本合同一经签订，甲乙双方不得擅自变更、中止或者终止合同。</w:t>
      </w:r>
    </w:p>
    <w:p w14:paraId="0C6915FC">
      <w:pPr>
        <w:pStyle w:val="31"/>
        <w:spacing w:line="400" w:lineRule="exact"/>
        <w:ind w:firstLine="456"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2.本合同继续履行将损害国家利益和社会公共利益的，双方当事人应当变更、中止或者终止合同。有过错的一方应当承担赔偿责任，双方都有过错的，各自承担相应的责任。</w:t>
      </w:r>
    </w:p>
    <w:p w14:paraId="367D2822">
      <w:pPr>
        <w:pStyle w:val="3"/>
        <w:spacing w:before="0" w:after="0" w:line="400" w:lineRule="exact"/>
        <w:rPr>
          <w:rFonts w:hint="eastAsia" w:ascii="宋体" w:hAnsi="宋体" w:eastAsia="宋体" w:cs="宋体"/>
          <w:color w:val="auto"/>
          <w:sz w:val="24"/>
          <w:szCs w:val="24"/>
          <w:highlight w:val="none"/>
        </w:rPr>
      </w:pPr>
      <w:bookmarkStart w:id="155" w:name="_Toc15727"/>
      <w:r>
        <w:rPr>
          <w:rFonts w:hint="eastAsia" w:ascii="宋体" w:hAnsi="宋体" w:eastAsia="宋体" w:cs="宋体"/>
          <w:color w:val="auto"/>
          <w:sz w:val="24"/>
          <w:szCs w:val="24"/>
          <w:highlight w:val="none"/>
        </w:rPr>
        <w:t>第十四条  合同文件构成</w:t>
      </w:r>
      <w:bookmarkEnd w:id="155"/>
    </w:p>
    <w:p w14:paraId="7A79740B">
      <w:pPr>
        <w:pStyle w:val="31"/>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56"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1.</w:t>
      </w:r>
      <w:r>
        <w:rPr>
          <w:rFonts w:hint="eastAsia" w:ascii="宋体" w:hAnsi="宋体" w:eastAsia="宋体" w:cs="宋体"/>
          <w:bCs/>
          <w:color w:val="auto"/>
          <w:sz w:val="24"/>
          <w:szCs w:val="24"/>
          <w:highlight w:val="none"/>
        </w:rPr>
        <w:t>政府采购合同</w:t>
      </w:r>
    </w:p>
    <w:p w14:paraId="2065C614">
      <w:pPr>
        <w:pStyle w:val="31"/>
        <w:keepNext w:val="0"/>
        <w:keepLines w:val="0"/>
        <w:pageBreakBefore w:val="0"/>
        <w:widowControl w:val="0"/>
        <w:kinsoku/>
        <w:wordWrap/>
        <w:overflowPunct/>
        <w:topLinePunct w:val="0"/>
        <w:autoSpaceDE/>
        <w:autoSpaceDN/>
        <w:bidi w:val="0"/>
        <w:adjustRightInd/>
        <w:snapToGrid/>
        <w:spacing w:line="400" w:lineRule="exact"/>
        <w:ind w:firstLine="456"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2.</w:t>
      </w:r>
      <w:r>
        <w:rPr>
          <w:rFonts w:hint="eastAsia" w:ascii="宋体" w:hAnsi="宋体" w:eastAsia="宋体" w:cs="宋体"/>
          <w:bCs/>
          <w:color w:val="auto"/>
          <w:sz w:val="24"/>
          <w:szCs w:val="24"/>
          <w:highlight w:val="none"/>
          <w:lang w:eastAsia="zh-CN"/>
        </w:rPr>
        <w:t>中标</w:t>
      </w:r>
      <w:r>
        <w:rPr>
          <w:rFonts w:hint="eastAsia" w:ascii="宋体" w:hAnsi="宋体" w:eastAsia="宋体" w:cs="宋体"/>
          <w:bCs/>
          <w:color w:val="auto"/>
          <w:sz w:val="24"/>
          <w:szCs w:val="24"/>
          <w:highlight w:val="none"/>
        </w:rPr>
        <w:t>通知书；</w:t>
      </w:r>
    </w:p>
    <w:p w14:paraId="7B6CBF4F">
      <w:pPr>
        <w:pStyle w:val="31"/>
        <w:keepNext w:val="0"/>
        <w:keepLines w:val="0"/>
        <w:pageBreakBefore w:val="0"/>
        <w:widowControl w:val="0"/>
        <w:kinsoku/>
        <w:wordWrap/>
        <w:overflowPunct/>
        <w:topLinePunct w:val="0"/>
        <w:autoSpaceDE/>
        <w:autoSpaceDN/>
        <w:bidi w:val="0"/>
        <w:adjustRightInd/>
        <w:snapToGrid/>
        <w:spacing w:line="400" w:lineRule="exact"/>
        <w:ind w:firstLine="456"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3.投标</w:t>
      </w:r>
      <w:r>
        <w:rPr>
          <w:rFonts w:hint="eastAsia" w:ascii="宋体" w:hAnsi="宋体" w:eastAsia="宋体" w:cs="宋体"/>
          <w:bCs/>
          <w:color w:val="auto"/>
          <w:sz w:val="24"/>
          <w:szCs w:val="24"/>
          <w:highlight w:val="none"/>
        </w:rPr>
        <w:t>文件；</w:t>
      </w:r>
    </w:p>
    <w:p w14:paraId="15F435EF">
      <w:pPr>
        <w:pStyle w:val="31"/>
        <w:keepNext w:val="0"/>
        <w:keepLines w:val="0"/>
        <w:pageBreakBefore w:val="0"/>
        <w:widowControl w:val="0"/>
        <w:kinsoku/>
        <w:wordWrap/>
        <w:overflowPunct/>
        <w:topLinePunct w:val="0"/>
        <w:autoSpaceDE/>
        <w:autoSpaceDN/>
        <w:bidi w:val="0"/>
        <w:adjustRightInd/>
        <w:snapToGrid/>
        <w:spacing w:line="400" w:lineRule="exact"/>
        <w:ind w:firstLine="456"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4.</w:t>
      </w:r>
      <w:r>
        <w:rPr>
          <w:rFonts w:hint="eastAsia" w:ascii="宋体" w:hAnsi="宋体" w:eastAsia="宋体" w:cs="宋体"/>
          <w:bCs/>
          <w:color w:val="auto"/>
          <w:sz w:val="24"/>
          <w:szCs w:val="24"/>
          <w:highlight w:val="none"/>
        </w:rPr>
        <w:t xml:space="preserve">采购文件及更正公告(澄清或补充通知)； </w:t>
      </w:r>
    </w:p>
    <w:p w14:paraId="54C5CB98">
      <w:pPr>
        <w:pStyle w:val="31"/>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56"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5.</w:t>
      </w:r>
      <w:r>
        <w:rPr>
          <w:rFonts w:hint="eastAsia" w:ascii="宋体" w:hAnsi="宋体" w:eastAsia="宋体" w:cs="宋体"/>
          <w:bCs/>
          <w:color w:val="auto"/>
          <w:sz w:val="24"/>
          <w:szCs w:val="24"/>
          <w:highlight w:val="none"/>
        </w:rPr>
        <w:t>标准、规范及有关技术文件；</w:t>
      </w:r>
    </w:p>
    <w:p w14:paraId="432061C8">
      <w:pPr>
        <w:pStyle w:val="31"/>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56"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6.</w:t>
      </w:r>
      <w:r>
        <w:rPr>
          <w:rFonts w:hint="eastAsia" w:ascii="宋体" w:hAnsi="宋体" w:eastAsia="宋体" w:cs="宋体"/>
          <w:bCs/>
          <w:color w:val="auto"/>
          <w:sz w:val="24"/>
          <w:szCs w:val="24"/>
          <w:highlight w:val="none"/>
        </w:rPr>
        <w:t>双方约定的其他合同文件。</w:t>
      </w:r>
    </w:p>
    <w:p w14:paraId="4C540E25">
      <w:pPr>
        <w:pStyle w:val="31"/>
        <w:spacing w:line="400" w:lineRule="exact"/>
        <w:ind w:firstLine="456"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上述合同文件互相补充和解释。如果合同文件之间存在矛盾或者不一致之处，以上述文件的排列顺序在先者为准。</w:t>
      </w:r>
    </w:p>
    <w:p w14:paraId="4FAF8F23">
      <w:pPr>
        <w:pStyle w:val="3"/>
        <w:spacing w:before="0" w:after="0" w:line="400" w:lineRule="exact"/>
        <w:rPr>
          <w:rFonts w:hint="eastAsia" w:ascii="宋体" w:hAnsi="宋体" w:eastAsia="宋体" w:cs="宋体"/>
          <w:color w:val="auto"/>
          <w:sz w:val="24"/>
          <w:szCs w:val="24"/>
          <w:highlight w:val="none"/>
        </w:rPr>
      </w:pPr>
      <w:bookmarkStart w:id="156" w:name="_Toc29185"/>
      <w:r>
        <w:rPr>
          <w:rFonts w:hint="eastAsia" w:ascii="宋体" w:hAnsi="宋体" w:eastAsia="宋体" w:cs="宋体"/>
          <w:color w:val="auto"/>
          <w:sz w:val="24"/>
          <w:szCs w:val="24"/>
          <w:highlight w:val="none"/>
        </w:rPr>
        <w:t>第十五条  知识产权和保密要求</w:t>
      </w:r>
      <w:bookmarkEnd w:id="156"/>
    </w:p>
    <w:p w14:paraId="1D13088F">
      <w:pPr>
        <w:pStyle w:val="31"/>
        <w:spacing w:line="400" w:lineRule="exact"/>
        <w:ind w:firstLine="456"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1.甲方在履行合同过程中提供给乙方的全部图纸、文件和其他含有数据和信息的资料，其知识产权属于甲方。</w:t>
      </w:r>
    </w:p>
    <w:p w14:paraId="7E3C1D6D">
      <w:pPr>
        <w:pStyle w:val="31"/>
        <w:spacing w:line="400" w:lineRule="exact"/>
        <w:ind w:firstLine="456"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2.除采购文件采购需求另有约定外，甲方不因签署和履行合同而享有乙方在履行合同过程中提供给甲方的图纸、文件、配套软件、电子辅助程序和其他含有数据和信息的资料的知识产权。</w:t>
      </w:r>
    </w:p>
    <w:p w14:paraId="6341E9BD">
      <w:pPr>
        <w:pStyle w:val="31"/>
        <w:spacing w:line="400" w:lineRule="exact"/>
        <w:ind w:firstLine="456"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乙方应保证所提供货物（如有）、服务在使用时不会侵犯任何第三方的知识产权或者其他权利。如合同货物（如有）、服务涉及知识产权，则乙方保证甲方在使用合同货物（如有）、服务过程中免于受到第三方提出的有关知识产权侵权的主张、索赔或诉讼的伤害。</w:t>
      </w:r>
    </w:p>
    <w:p w14:paraId="72B0DD56">
      <w:pPr>
        <w:pStyle w:val="31"/>
        <w:spacing w:line="400" w:lineRule="exact"/>
        <w:ind w:firstLine="456"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如果甲方收到任何第三方有关知识产权的主张、索赔或诉讼，乙方在收到甲方通知后，应以甲方名义并在甲方的协助下，自负费用处理与第三方的索赔或诉讼，并赔偿甲方因此发生的费用和遭受的损失。如果乙方拒绝处理前述索赔或诉讼或在收到甲方通知后 28 日内未作表示，甲方可以自己的名义进行这些索赔或诉讼，因此发生的费用和遭受的损失均应由乙方承担。</w:t>
      </w:r>
    </w:p>
    <w:p w14:paraId="062818BE">
      <w:pPr>
        <w:pStyle w:val="31"/>
        <w:spacing w:line="400" w:lineRule="exact"/>
        <w:ind w:firstLine="456"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5.未经甲方书面同意，乙方不得将由甲方提供的有关合同或者任何合同条款、规格、计划、图纸、样品或者资料提供给与履行本合同无关的任何其他人。即使向履行本合同有关的其他人员提供，也应注意保密并限于履行合同的必需范围。</w:t>
      </w:r>
    </w:p>
    <w:p w14:paraId="4B49E519">
      <w:pPr>
        <w:pStyle w:val="31"/>
        <w:spacing w:line="400" w:lineRule="exact"/>
        <w:ind w:firstLine="456"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6.乙方保证将要交付的货物（如有）、服务的所有权完全属于乙方且无任何抵押、质押、查封等产权瑕疵。</w:t>
      </w:r>
    </w:p>
    <w:p w14:paraId="6CE6D323">
      <w:pPr>
        <w:pStyle w:val="31"/>
        <w:spacing w:line="400" w:lineRule="exact"/>
        <w:ind w:firstLine="456"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7.乙方在项目实施过程中涉及的所有原始数据、材料、服务成果等知识产权归甲方所有。</w:t>
      </w:r>
    </w:p>
    <w:p w14:paraId="6E3EC47F">
      <w:pPr>
        <w:pStyle w:val="3"/>
        <w:spacing w:before="0" w:after="0" w:line="400" w:lineRule="exact"/>
        <w:rPr>
          <w:rFonts w:hint="eastAsia" w:ascii="宋体" w:hAnsi="宋体" w:eastAsia="宋体" w:cs="宋体"/>
          <w:color w:val="auto"/>
          <w:sz w:val="24"/>
          <w:szCs w:val="24"/>
          <w:highlight w:val="none"/>
        </w:rPr>
      </w:pPr>
      <w:bookmarkStart w:id="157" w:name="_Toc22522"/>
      <w:r>
        <w:rPr>
          <w:rFonts w:hint="eastAsia" w:ascii="宋体" w:hAnsi="宋体" w:eastAsia="宋体" w:cs="宋体"/>
          <w:color w:val="auto"/>
          <w:sz w:val="24"/>
          <w:szCs w:val="24"/>
          <w:highlight w:val="none"/>
        </w:rPr>
        <w:t>第十六条  合同生效及其它</w:t>
      </w:r>
      <w:bookmarkEnd w:id="157"/>
    </w:p>
    <w:p w14:paraId="790533CB">
      <w:pPr>
        <w:pStyle w:val="31"/>
        <w:spacing w:line="400" w:lineRule="exact"/>
        <w:ind w:firstLine="456"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1.本合同经双方法定代表人或者委托代理人签字并加盖单位公章后生效(委托代理人签字的需后附授权委托书，格式自拟)。</w:t>
      </w:r>
    </w:p>
    <w:p w14:paraId="57A0F618">
      <w:pPr>
        <w:pStyle w:val="31"/>
        <w:spacing w:line="400" w:lineRule="exact"/>
        <w:ind w:firstLine="456"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2.本合同执行中涉及采购资金和采购内容修改或者补充的，并签书面补充协议报财政部门备案，方可作为本合同不可分割的一部分。</w:t>
      </w:r>
    </w:p>
    <w:p w14:paraId="550DE097">
      <w:pPr>
        <w:pStyle w:val="31"/>
        <w:spacing w:line="400" w:lineRule="exact"/>
        <w:ind w:firstLine="456"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3.本合同生效后，甲乙双方不得因姓名、名称的变更或者法定代表人、负责人、承办人的变动而不履行合同义务。</w:t>
      </w:r>
    </w:p>
    <w:p w14:paraId="106DF3F3">
      <w:pPr>
        <w:pStyle w:val="31"/>
        <w:spacing w:line="400" w:lineRule="exact"/>
        <w:ind w:firstLine="456"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4.本合同未尽事宜，遵照《中华人民共和国民法典》有关条文执行。</w:t>
      </w:r>
    </w:p>
    <w:p w14:paraId="653464C0">
      <w:pPr>
        <w:pStyle w:val="31"/>
        <w:spacing w:line="400" w:lineRule="exact"/>
        <w:ind w:firstLine="456"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5.本合同一式</w:t>
      </w:r>
      <w:r>
        <w:rPr>
          <w:rFonts w:hint="eastAsia" w:ascii="宋体" w:hAnsi="宋体" w:eastAsia="宋体" w:cs="宋体"/>
          <w:bCs/>
          <w:color w:val="auto"/>
          <w:sz w:val="24"/>
          <w:szCs w:val="24"/>
          <w:highlight w:val="none"/>
          <w:u w:val="single"/>
        </w:rPr>
        <w:t>柒</w:t>
      </w:r>
      <w:r>
        <w:rPr>
          <w:rFonts w:hint="eastAsia" w:ascii="宋体" w:hAnsi="宋体" w:eastAsia="宋体" w:cs="宋体"/>
          <w:bCs/>
          <w:color w:val="auto"/>
          <w:sz w:val="24"/>
          <w:szCs w:val="24"/>
          <w:highlight w:val="none"/>
        </w:rPr>
        <w:t>份，具有同等法律效力，甲方</w:t>
      </w:r>
      <w:r>
        <w:rPr>
          <w:rFonts w:hint="eastAsia" w:ascii="宋体" w:hAnsi="宋体" w:eastAsia="宋体" w:cs="宋体"/>
          <w:bCs/>
          <w:color w:val="auto"/>
          <w:sz w:val="24"/>
          <w:szCs w:val="24"/>
          <w:highlight w:val="none"/>
          <w:u w:val="single"/>
        </w:rPr>
        <w:t>伍</w:t>
      </w:r>
      <w:r>
        <w:rPr>
          <w:rFonts w:hint="eastAsia" w:ascii="宋体" w:hAnsi="宋体" w:eastAsia="宋体" w:cs="宋体"/>
          <w:bCs/>
          <w:color w:val="auto"/>
          <w:sz w:val="24"/>
          <w:szCs w:val="24"/>
          <w:highlight w:val="none"/>
        </w:rPr>
        <w:t>份，乙方</w:t>
      </w:r>
      <w:r>
        <w:rPr>
          <w:rFonts w:hint="eastAsia" w:ascii="宋体" w:hAnsi="宋体" w:eastAsia="宋体" w:cs="宋体"/>
          <w:bCs/>
          <w:color w:val="auto"/>
          <w:sz w:val="24"/>
          <w:szCs w:val="24"/>
          <w:highlight w:val="none"/>
          <w:u w:val="single"/>
        </w:rPr>
        <w:t>壹</w:t>
      </w:r>
      <w:r>
        <w:rPr>
          <w:rFonts w:hint="eastAsia" w:ascii="宋体" w:hAnsi="宋体" w:eastAsia="宋体" w:cs="宋体"/>
          <w:bCs/>
          <w:color w:val="auto"/>
          <w:sz w:val="24"/>
          <w:szCs w:val="24"/>
          <w:highlight w:val="none"/>
        </w:rPr>
        <w:t>份，采购代理机构</w:t>
      </w:r>
      <w:r>
        <w:rPr>
          <w:rFonts w:hint="eastAsia" w:ascii="宋体" w:hAnsi="宋体" w:eastAsia="宋体" w:cs="宋体"/>
          <w:bCs/>
          <w:color w:val="auto"/>
          <w:sz w:val="24"/>
          <w:szCs w:val="24"/>
          <w:highlight w:val="none"/>
          <w:u w:val="single"/>
        </w:rPr>
        <w:t>壹</w:t>
      </w:r>
      <w:r>
        <w:rPr>
          <w:rFonts w:hint="eastAsia" w:ascii="宋体" w:hAnsi="宋体" w:eastAsia="宋体" w:cs="宋体"/>
          <w:bCs/>
          <w:color w:val="auto"/>
          <w:sz w:val="24"/>
          <w:szCs w:val="24"/>
          <w:highlight w:val="none"/>
        </w:rPr>
        <w:t>份。</w:t>
      </w:r>
    </w:p>
    <w:p w14:paraId="6B592568">
      <w:pPr>
        <w:spacing w:line="400" w:lineRule="exact"/>
        <w:ind w:firstLine="241" w:firstLineChars="1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以下无正文</w:t>
      </w:r>
    </w:p>
    <w:tbl>
      <w:tblPr>
        <w:tblStyle w:val="61"/>
        <w:tblW w:w="966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776"/>
        <w:gridCol w:w="4888"/>
      </w:tblGrid>
      <w:tr w14:paraId="645BD0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jc w:val="center"/>
        </w:trPr>
        <w:tc>
          <w:tcPr>
            <w:tcW w:w="4776" w:type="dxa"/>
            <w:vAlign w:val="center"/>
          </w:tcPr>
          <w:p w14:paraId="04569110">
            <w:pPr>
              <w:pStyle w:val="31"/>
              <w:spacing w:line="400" w:lineRule="exact"/>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甲方(章)：广西壮族自治区山口红树林生态国家级自然保护区管理中心</w:t>
            </w:r>
          </w:p>
          <w:p w14:paraId="0508F7AF">
            <w:pPr>
              <w:pStyle w:val="31"/>
              <w:spacing w:line="400" w:lineRule="exact"/>
              <w:ind w:firstLine="2964" w:firstLineChars="13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val="en-US" w:eastAsia="zh-CN"/>
              </w:rPr>
              <w:t>2026年  月   日</w:t>
            </w:r>
          </w:p>
        </w:tc>
        <w:tc>
          <w:tcPr>
            <w:tcW w:w="4888" w:type="dxa"/>
            <w:vAlign w:val="center"/>
          </w:tcPr>
          <w:p w14:paraId="20A0DEE5">
            <w:pPr>
              <w:pStyle w:val="31"/>
              <w:spacing w:line="400" w:lineRule="exact"/>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rPr>
              <w:t>乙方(章)</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lang w:val="en-US" w:eastAsia="zh-CN"/>
              </w:rPr>
              <w:t xml:space="preserve"> </w:t>
            </w:r>
          </w:p>
          <w:p w14:paraId="58CDE30A">
            <w:pPr>
              <w:pStyle w:val="31"/>
              <w:spacing w:line="400" w:lineRule="exact"/>
              <w:ind w:firstLine="456" w:firstLineChars="200"/>
              <w:rPr>
                <w:rFonts w:hint="eastAsia" w:ascii="宋体" w:hAnsi="宋体" w:eastAsia="宋体" w:cs="宋体"/>
                <w:bCs/>
                <w:color w:val="auto"/>
                <w:sz w:val="24"/>
                <w:szCs w:val="24"/>
                <w:highlight w:val="none"/>
                <w:lang w:eastAsia="zh-CN"/>
              </w:rPr>
            </w:pPr>
          </w:p>
          <w:p w14:paraId="12911EEB">
            <w:pPr>
              <w:pStyle w:val="31"/>
              <w:spacing w:line="400" w:lineRule="exact"/>
              <w:ind w:firstLine="2964" w:firstLineChars="13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val="en-US" w:eastAsia="zh-CN"/>
              </w:rPr>
              <w:t>2026</w:t>
            </w:r>
            <w:r>
              <w:rPr>
                <w:rFonts w:hint="eastAsia" w:ascii="宋体" w:hAnsi="宋体" w:eastAsia="宋体" w:cs="宋体"/>
                <w:bCs/>
                <w:color w:val="auto"/>
                <w:sz w:val="24"/>
                <w:szCs w:val="24"/>
                <w:highlight w:val="none"/>
                <w:lang w:eastAsia="zh-CN"/>
              </w:rPr>
              <w:t xml:space="preserve">年 </w:t>
            </w: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bCs/>
                <w:color w:val="auto"/>
                <w:sz w:val="24"/>
                <w:szCs w:val="24"/>
                <w:highlight w:val="none"/>
                <w:lang w:eastAsia="zh-CN"/>
              </w:rPr>
              <w:t xml:space="preserve"> 月 </w:t>
            </w: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bCs/>
                <w:color w:val="auto"/>
                <w:sz w:val="24"/>
                <w:szCs w:val="24"/>
                <w:highlight w:val="none"/>
                <w:lang w:eastAsia="zh-CN"/>
              </w:rPr>
              <w:t xml:space="preserve"> 日</w:t>
            </w:r>
          </w:p>
        </w:tc>
      </w:tr>
      <w:tr w14:paraId="5C9578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9" w:hRule="atLeast"/>
          <w:jc w:val="center"/>
        </w:trPr>
        <w:tc>
          <w:tcPr>
            <w:tcW w:w="4776" w:type="dxa"/>
            <w:vAlign w:val="center"/>
          </w:tcPr>
          <w:p w14:paraId="316DA63F">
            <w:pPr>
              <w:pStyle w:val="31"/>
              <w:spacing w:line="400" w:lineRule="exact"/>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 xml:space="preserve">单位地址：广西北海市银海区云南路278号             </w:t>
            </w:r>
          </w:p>
        </w:tc>
        <w:tc>
          <w:tcPr>
            <w:tcW w:w="4888" w:type="dxa"/>
            <w:vAlign w:val="center"/>
          </w:tcPr>
          <w:p w14:paraId="568F9008">
            <w:pPr>
              <w:pStyle w:val="31"/>
              <w:spacing w:line="400" w:lineRule="exact"/>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rPr>
              <w:t>单位地址：</w:t>
            </w:r>
            <w:r>
              <w:rPr>
                <w:rFonts w:hint="eastAsia" w:ascii="宋体" w:hAnsi="宋体" w:eastAsia="宋体" w:cs="宋体"/>
                <w:bCs/>
                <w:color w:val="auto"/>
                <w:sz w:val="24"/>
                <w:szCs w:val="24"/>
                <w:highlight w:val="none"/>
                <w:lang w:val="en-US" w:eastAsia="zh-CN"/>
              </w:rPr>
              <w:t xml:space="preserve"> </w:t>
            </w:r>
          </w:p>
        </w:tc>
      </w:tr>
      <w:tr w14:paraId="75613D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jc w:val="center"/>
        </w:trPr>
        <w:tc>
          <w:tcPr>
            <w:tcW w:w="4776" w:type="dxa"/>
            <w:vAlign w:val="center"/>
          </w:tcPr>
          <w:p w14:paraId="6D32CD98">
            <w:pPr>
              <w:pStyle w:val="31"/>
              <w:spacing w:line="400" w:lineRule="exact"/>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rPr>
              <w:t>法定代表人或者委托代理人：</w:t>
            </w:r>
          </w:p>
        </w:tc>
        <w:tc>
          <w:tcPr>
            <w:tcW w:w="4888" w:type="dxa"/>
            <w:vAlign w:val="center"/>
          </w:tcPr>
          <w:p w14:paraId="51062FB6">
            <w:pPr>
              <w:pStyle w:val="31"/>
              <w:spacing w:line="400" w:lineRule="exac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法定代表人或者委托代理人：</w:t>
            </w:r>
            <w:r>
              <w:rPr>
                <w:rFonts w:hint="eastAsia" w:ascii="宋体" w:hAnsi="宋体" w:eastAsia="宋体" w:cs="宋体"/>
                <w:bCs/>
                <w:color w:val="auto"/>
                <w:sz w:val="24"/>
                <w:szCs w:val="24"/>
                <w:highlight w:val="none"/>
                <w:lang w:val="en-US" w:eastAsia="zh-CN"/>
              </w:rPr>
              <w:t xml:space="preserve"> </w:t>
            </w:r>
          </w:p>
        </w:tc>
      </w:tr>
      <w:tr w14:paraId="67C47F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9" w:hRule="atLeast"/>
          <w:jc w:val="center"/>
        </w:trPr>
        <w:tc>
          <w:tcPr>
            <w:tcW w:w="4776" w:type="dxa"/>
            <w:vAlign w:val="center"/>
          </w:tcPr>
          <w:p w14:paraId="2E8AA00E">
            <w:pPr>
              <w:pStyle w:val="31"/>
              <w:spacing w:line="400" w:lineRule="exact"/>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经办人姓名及电话：</w:t>
            </w:r>
            <w:r>
              <w:rPr>
                <w:rFonts w:hint="eastAsia" w:ascii="宋体" w:hAnsi="宋体" w:eastAsia="宋体" w:cs="宋体"/>
                <w:bCs/>
                <w:color w:val="auto"/>
                <w:sz w:val="24"/>
                <w:szCs w:val="24"/>
                <w:highlight w:val="none"/>
                <w:lang w:val="en-US" w:eastAsia="zh-CN"/>
              </w:rPr>
              <w:t xml:space="preserve"> </w:t>
            </w:r>
          </w:p>
        </w:tc>
        <w:tc>
          <w:tcPr>
            <w:tcW w:w="4888" w:type="dxa"/>
            <w:vAlign w:val="center"/>
          </w:tcPr>
          <w:p w14:paraId="172B00A5">
            <w:pPr>
              <w:pStyle w:val="31"/>
              <w:spacing w:line="400" w:lineRule="exact"/>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经办人姓名及电话：</w:t>
            </w:r>
            <w:r>
              <w:rPr>
                <w:rFonts w:hint="eastAsia" w:ascii="宋体" w:hAnsi="宋体" w:eastAsia="宋体" w:cs="宋体"/>
                <w:bCs/>
                <w:color w:val="auto"/>
                <w:sz w:val="24"/>
                <w:szCs w:val="24"/>
                <w:highlight w:val="none"/>
                <w:lang w:val="en-US" w:eastAsia="zh-CN"/>
              </w:rPr>
              <w:t xml:space="preserve"> </w:t>
            </w:r>
          </w:p>
        </w:tc>
      </w:tr>
      <w:tr w14:paraId="19EED7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776" w:type="dxa"/>
            <w:vAlign w:val="center"/>
          </w:tcPr>
          <w:p w14:paraId="785574A2">
            <w:pPr>
              <w:pStyle w:val="31"/>
              <w:spacing w:line="400" w:lineRule="exact"/>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rPr>
              <w:t>电子邮箱：shankoubaohuqu@126.com</w:t>
            </w:r>
            <w:r>
              <w:rPr>
                <w:rFonts w:hint="eastAsia" w:ascii="宋体" w:hAnsi="宋体" w:eastAsia="宋体" w:cs="宋体"/>
                <w:bCs/>
                <w:color w:val="auto"/>
                <w:sz w:val="24"/>
                <w:szCs w:val="24"/>
                <w:highlight w:val="none"/>
                <w:lang w:eastAsia="zh-CN"/>
              </w:rPr>
              <w:t xml:space="preserve">  </w:t>
            </w:r>
          </w:p>
        </w:tc>
        <w:tc>
          <w:tcPr>
            <w:tcW w:w="4888" w:type="dxa"/>
            <w:vAlign w:val="center"/>
          </w:tcPr>
          <w:p w14:paraId="016850C2">
            <w:pPr>
              <w:pStyle w:val="31"/>
              <w:spacing w:line="400" w:lineRule="exact"/>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rPr>
              <w:t>电子邮箱：</w:t>
            </w:r>
            <w:r>
              <w:rPr>
                <w:rFonts w:hint="eastAsia" w:ascii="宋体" w:hAnsi="宋体" w:eastAsia="宋体" w:cs="宋体"/>
                <w:bCs/>
                <w:color w:val="auto"/>
                <w:sz w:val="24"/>
                <w:szCs w:val="24"/>
                <w:highlight w:val="none"/>
                <w:lang w:val="en-US" w:eastAsia="zh-CN"/>
              </w:rPr>
              <w:t xml:space="preserve"> </w:t>
            </w:r>
          </w:p>
        </w:tc>
      </w:tr>
      <w:tr w14:paraId="6D9848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6" w:hRule="atLeast"/>
          <w:jc w:val="center"/>
        </w:trPr>
        <w:tc>
          <w:tcPr>
            <w:tcW w:w="4776" w:type="dxa"/>
            <w:vAlign w:val="center"/>
          </w:tcPr>
          <w:p w14:paraId="7AC0C13E">
            <w:pPr>
              <w:pStyle w:val="31"/>
              <w:spacing w:line="400" w:lineRule="exact"/>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rPr>
              <w:t>开户银行：</w:t>
            </w:r>
            <w:r>
              <w:rPr>
                <w:rFonts w:hint="eastAsia" w:ascii="宋体" w:hAnsi="宋体" w:eastAsia="宋体" w:cs="宋体"/>
                <w:bCs/>
                <w:color w:val="auto"/>
                <w:sz w:val="24"/>
                <w:szCs w:val="24"/>
                <w:highlight w:val="none"/>
                <w:lang w:eastAsia="zh-CN"/>
              </w:rPr>
              <w:t>中国农业银行股份有限公司北海海城支行</w:t>
            </w:r>
          </w:p>
        </w:tc>
        <w:tc>
          <w:tcPr>
            <w:tcW w:w="4888" w:type="dxa"/>
            <w:vAlign w:val="center"/>
          </w:tcPr>
          <w:p w14:paraId="4FC25734">
            <w:pPr>
              <w:pStyle w:val="31"/>
              <w:spacing w:line="400" w:lineRule="exact"/>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rPr>
              <w:t>开户银行：</w:t>
            </w:r>
            <w:r>
              <w:rPr>
                <w:rFonts w:hint="eastAsia" w:ascii="宋体" w:hAnsi="宋体" w:eastAsia="宋体" w:cs="宋体"/>
                <w:bCs/>
                <w:color w:val="auto"/>
                <w:sz w:val="24"/>
                <w:szCs w:val="24"/>
                <w:highlight w:val="none"/>
                <w:lang w:val="en-US" w:eastAsia="zh-CN"/>
              </w:rPr>
              <w:t xml:space="preserve"> </w:t>
            </w:r>
          </w:p>
        </w:tc>
      </w:tr>
      <w:tr w14:paraId="496FCA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jc w:val="center"/>
        </w:trPr>
        <w:tc>
          <w:tcPr>
            <w:tcW w:w="4776" w:type="dxa"/>
            <w:vAlign w:val="center"/>
          </w:tcPr>
          <w:p w14:paraId="06306AD5">
            <w:pPr>
              <w:pStyle w:val="31"/>
              <w:spacing w:line="400" w:lineRule="exact"/>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rPr>
              <w:t>账号：20710101040010529</w:t>
            </w:r>
            <w:r>
              <w:rPr>
                <w:rFonts w:hint="eastAsia" w:ascii="宋体" w:hAnsi="宋体" w:eastAsia="宋体" w:cs="宋体"/>
                <w:bCs/>
                <w:color w:val="auto"/>
                <w:sz w:val="24"/>
                <w:szCs w:val="24"/>
                <w:highlight w:val="none"/>
                <w:lang w:eastAsia="zh-CN"/>
              </w:rPr>
              <w:t xml:space="preserve">               </w:t>
            </w:r>
          </w:p>
        </w:tc>
        <w:tc>
          <w:tcPr>
            <w:tcW w:w="4888" w:type="dxa"/>
            <w:vAlign w:val="center"/>
          </w:tcPr>
          <w:p w14:paraId="0A7F1C5D">
            <w:pPr>
              <w:pStyle w:val="31"/>
              <w:spacing w:line="400" w:lineRule="exact"/>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rPr>
              <w:t>账号：</w:t>
            </w:r>
            <w:r>
              <w:rPr>
                <w:rFonts w:hint="eastAsia" w:ascii="宋体" w:hAnsi="宋体" w:eastAsia="宋体" w:cs="宋体"/>
                <w:bCs/>
                <w:color w:val="auto"/>
                <w:sz w:val="24"/>
                <w:szCs w:val="24"/>
                <w:highlight w:val="none"/>
                <w:lang w:val="en-US" w:eastAsia="zh-CN"/>
              </w:rPr>
              <w:t xml:space="preserve"> </w:t>
            </w:r>
          </w:p>
        </w:tc>
      </w:tr>
      <w:tr w14:paraId="5B83C4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4" w:hRule="atLeast"/>
          <w:jc w:val="center"/>
        </w:trPr>
        <w:tc>
          <w:tcPr>
            <w:tcW w:w="4776" w:type="dxa"/>
            <w:vAlign w:val="center"/>
          </w:tcPr>
          <w:p w14:paraId="60CB3662">
            <w:pPr>
              <w:pStyle w:val="31"/>
              <w:spacing w:line="400" w:lineRule="exact"/>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rPr>
              <w:t>邮政编码：</w:t>
            </w:r>
            <w:r>
              <w:rPr>
                <w:rFonts w:hint="eastAsia" w:ascii="宋体" w:hAnsi="宋体" w:eastAsia="宋体" w:cs="宋体"/>
                <w:bCs/>
                <w:color w:val="auto"/>
                <w:sz w:val="24"/>
                <w:szCs w:val="24"/>
                <w:highlight w:val="none"/>
                <w:lang w:eastAsia="zh-CN"/>
              </w:rPr>
              <w:t xml:space="preserve">536000            </w:t>
            </w:r>
          </w:p>
        </w:tc>
        <w:tc>
          <w:tcPr>
            <w:tcW w:w="4888" w:type="dxa"/>
            <w:vAlign w:val="center"/>
          </w:tcPr>
          <w:p w14:paraId="6EF22BB5">
            <w:pPr>
              <w:pStyle w:val="31"/>
              <w:spacing w:line="400" w:lineRule="exact"/>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rPr>
              <w:t>邮政编码：</w:t>
            </w:r>
            <w:r>
              <w:rPr>
                <w:rFonts w:hint="eastAsia" w:ascii="宋体" w:hAnsi="宋体" w:eastAsia="宋体" w:cs="宋体"/>
                <w:bCs/>
                <w:color w:val="auto"/>
                <w:sz w:val="24"/>
                <w:szCs w:val="24"/>
                <w:highlight w:val="none"/>
                <w:lang w:val="en-US" w:eastAsia="zh-CN"/>
              </w:rPr>
              <w:t xml:space="preserve"> </w:t>
            </w:r>
          </w:p>
        </w:tc>
      </w:tr>
    </w:tbl>
    <w:p w14:paraId="262B05D1">
      <w:pPr>
        <w:snapToGrid w:val="0"/>
        <w:jc w:val="center"/>
        <w:rPr>
          <w:rFonts w:hint="eastAsia" w:ascii="宋体" w:hAnsi="宋体" w:eastAsia="宋体" w:cs="宋体"/>
          <w:bCs/>
          <w:color w:val="auto"/>
          <w:sz w:val="32"/>
          <w:szCs w:val="32"/>
          <w:highlight w:val="none"/>
        </w:rPr>
      </w:pPr>
    </w:p>
    <w:p w14:paraId="5D56B5BF">
      <w:pPr>
        <w:snapToGrid w:val="0"/>
        <w:jc w:val="center"/>
        <w:rPr>
          <w:rFonts w:hint="eastAsia" w:ascii="宋体" w:hAnsi="宋体" w:eastAsia="宋体" w:cs="宋体"/>
          <w:bCs/>
          <w:color w:val="auto"/>
          <w:sz w:val="32"/>
          <w:szCs w:val="32"/>
          <w:highlight w:val="none"/>
        </w:rPr>
      </w:pPr>
    </w:p>
    <w:p w14:paraId="580D30B3">
      <w:pPr>
        <w:snapToGrid w:val="0"/>
        <w:jc w:val="center"/>
        <w:rPr>
          <w:rFonts w:hint="eastAsia" w:ascii="宋体" w:hAnsi="宋体" w:eastAsia="宋体" w:cs="宋体"/>
          <w:bCs/>
          <w:color w:val="auto"/>
          <w:sz w:val="32"/>
          <w:szCs w:val="32"/>
          <w:highlight w:val="none"/>
        </w:rPr>
      </w:pPr>
    </w:p>
    <w:p w14:paraId="13FF23AF">
      <w:pPr>
        <w:snapToGrid w:val="0"/>
        <w:jc w:val="center"/>
        <w:rPr>
          <w:rFonts w:hint="eastAsia" w:ascii="宋体" w:hAnsi="宋体" w:eastAsia="宋体" w:cs="宋体"/>
          <w:bCs/>
          <w:color w:val="auto"/>
          <w:sz w:val="32"/>
          <w:szCs w:val="32"/>
          <w:highlight w:val="none"/>
        </w:rPr>
      </w:pPr>
    </w:p>
    <w:p w14:paraId="57D8B107">
      <w:pPr>
        <w:snapToGrid w:val="0"/>
        <w:jc w:val="center"/>
        <w:rPr>
          <w:rFonts w:hint="eastAsia" w:ascii="宋体" w:hAnsi="宋体" w:eastAsia="宋体" w:cs="宋体"/>
          <w:bCs/>
          <w:color w:val="auto"/>
          <w:sz w:val="32"/>
          <w:szCs w:val="32"/>
          <w:highlight w:val="none"/>
        </w:rPr>
      </w:pPr>
    </w:p>
    <w:p w14:paraId="48F4AA70">
      <w:pPr>
        <w:snapToGrid w:val="0"/>
        <w:jc w:val="center"/>
        <w:rPr>
          <w:rFonts w:hint="eastAsia" w:ascii="宋体" w:hAnsi="宋体" w:eastAsia="宋体" w:cs="宋体"/>
          <w:bCs/>
          <w:color w:val="auto"/>
          <w:sz w:val="32"/>
          <w:szCs w:val="32"/>
          <w:highlight w:val="none"/>
        </w:rPr>
      </w:pPr>
    </w:p>
    <w:p w14:paraId="1FDCDDF6">
      <w:pPr>
        <w:snapToGrid w:val="0"/>
        <w:jc w:val="center"/>
        <w:rPr>
          <w:rFonts w:hint="eastAsia" w:ascii="宋体" w:hAnsi="宋体" w:eastAsia="宋体" w:cs="宋体"/>
          <w:bCs/>
          <w:color w:val="auto"/>
          <w:sz w:val="32"/>
          <w:szCs w:val="32"/>
          <w:highlight w:val="none"/>
        </w:rPr>
      </w:pPr>
    </w:p>
    <w:p w14:paraId="31244AE9">
      <w:pPr>
        <w:snapToGrid w:val="0"/>
        <w:jc w:val="center"/>
        <w:rPr>
          <w:rFonts w:hint="eastAsia" w:ascii="宋体" w:hAnsi="宋体" w:eastAsia="宋体" w:cs="宋体"/>
          <w:bCs/>
          <w:color w:val="auto"/>
          <w:sz w:val="32"/>
          <w:szCs w:val="32"/>
          <w:highlight w:val="none"/>
        </w:rPr>
      </w:pPr>
    </w:p>
    <w:p w14:paraId="6E33C486">
      <w:pPr>
        <w:snapToGrid w:val="0"/>
        <w:jc w:val="center"/>
        <w:rPr>
          <w:rFonts w:hint="eastAsia" w:ascii="宋体" w:hAnsi="宋体" w:eastAsia="宋体" w:cs="宋体"/>
          <w:bCs/>
          <w:color w:val="auto"/>
          <w:sz w:val="32"/>
          <w:szCs w:val="32"/>
          <w:highlight w:val="none"/>
        </w:rPr>
      </w:pPr>
    </w:p>
    <w:p w14:paraId="6419800C">
      <w:pPr>
        <w:snapToGrid w:val="0"/>
        <w:jc w:val="center"/>
        <w:rPr>
          <w:rFonts w:hint="eastAsia" w:ascii="宋体" w:hAnsi="宋体" w:eastAsia="宋体" w:cs="宋体"/>
          <w:bCs/>
          <w:color w:val="auto"/>
          <w:sz w:val="32"/>
          <w:szCs w:val="32"/>
          <w:highlight w:val="none"/>
        </w:rPr>
      </w:pPr>
    </w:p>
    <w:p w14:paraId="0A1CC0DC">
      <w:pPr>
        <w:snapToGrid w:val="0"/>
        <w:jc w:val="center"/>
        <w:rPr>
          <w:rFonts w:hint="eastAsia" w:ascii="宋体" w:hAnsi="宋体" w:eastAsia="宋体" w:cs="宋体"/>
          <w:bCs/>
          <w:color w:val="auto"/>
          <w:sz w:val="32"/>
          <w:szCs w:val="32"/>
          <w:highlight w:val="none"/>
        </w:rPr>
      </w:pPr>
    </w:p>
    <w:p w14:paraId="33739F52">
      <w:pPr>
        <w:snapToGrid w:val="0"/>
        <w:jc w:val="center"/>
        <w:rPr>
          <w:rFonts w:hint="eastAsia" w:ascii="宋体" w:hAnsi="宋体" w:eastAsia="宋体" w:cs="宋体"/>
          <w:bCs/>
          <w:color w:val="auto"/>
          <w:sz w:val="32"/>
          <w:szCs w:val="32"/>
          <w:highlight w:val="none"/>
        </w:rPr>
      </w:pPr>
    </w:p>
    <w:p w14:paraId="15FB884F">
      <w:pPr>
        <w:snapToGrid w:val="0"/>
        <w:jc w:val="center"/>
        <w:rPr>
          <w:rFonts w:hint="eastAsia" w:ascii="宋体" w:hAnsi="宋体" w:eastAsia="宋体" w:cs="宋体"/>
          <w:bCs/>
          <w:color w:val="auto"/>
          <w:sz w:val="32"/>
          <w:szCs w:val="32"/>
          <w:highlight w:val="none"/>
        </w:rPr>
      </w:pPr>
    </w:p>
    <w:p w14:paraId="1D6C1FDB">
      <w:pPr>
        <w:snapToGrid w:val="0"/>
        <w:jc w:val="center"/>
        <w:rPr>
          <w:rFonts w:hint="eastAsia" w:ascii="宋体" w:hAnsi="宋体" w:eastAsia="宋体" w:cs="宋体"/>
          <w:bCs/>
          <w:color w:val="auto"/>
          <w:sz w:val="32"/>
          <w:szCs w:val="32"/>
          <w:highlight w:val="none"/>
        </w:rPr>
      </w:pPr>
    </w:p>
    <w:p w14:paraId="722D2EAF">
      <w:pPr>
        <w:pStyle w:val="76"/>
        <w:rPr>
          <w:rFonts w:hint="eastAsia" w:ascii="宋体" w:hAnsi="宋体" w:eastAsia="宋体" w:cs="宋体"/>
          <w:bCs/>
          <w:color w:val="auto"/>
          <w:sz w:val="32"/>
          <w:szCs w:val="32"/>
          <w:highlight w:val="none"/>
        </w:rPr>
      </w:pPr>
    </w:p>
    <w:p w14:paraId="489B56E0">
      <w:pPr>
        <w:pStyle w:val="31"/>
        <w:tabs>
          <w:tab w:val="left" w:pos="2472"/>
        </w:tabs>
        <w:spacing w:line="460" w:lineRule="exact"/>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廉 政 协 议 书</w:t>
      </w:r>
    </w:p>
    <w:p w14:paraId="0A60AA7E">
      <w:pPr>
        <w:pStyle w:val="31"/>
        <w:tabs>
          <w:tab w:val="left" w:pos="2472"/>
        </w:tabs>
        <w:spacing w:line="460" w:lineRule="exact"/>
        <w:rPr>
          <w:rFonts w:hint="eastAsia" w:ascii="宋体" w:hAnsi="宋体" w:eastAsia="宋体" w:cs="宋体"/>
          <w:b/>
          <w:color w:val="auto"/>
          <w:sz w:val="32"/>
          <w:szCs w:val="32"/>
          <w:highlight w:val="none"/>
        </w:rPr>
      </w:pPr>
    </w:p>
    <w:p w14:paraId="39795274">
      <w:pPr>
        <w:pStyle w:val="31"/>
        <w:tabs>
          <w:tab w:val="left" w:pos="2472"/>
        </w:tabs>
        <w:spacing w:line="400" w:lineRule="exact"/>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rPr>
        <w:t>甲方：</w:t>
      </w:r>
      <w:r>
        <w:rPr>
          <w:rFonts w:hint="eastAsia" w:ascii="宋体" w:hAnsi="宋体" w:eastAsia="宋体" w:cs="宋体"/>
          <w:b/>
          <w:bCs w:val="0"/>
          <w:color w:val="auto"/>
          <w:sz w:val="24"/>
          <w:szCs w:val="24"/>
          <w:highlight w:val="none"/>
          <w:u w:val="single"/>
        </w:rPr>
        <w:t xml:space="preserve">广西壮族自治区山口红树林生态国家级自然保护区管理中心 </w:t>
      </w:r>
    </w:p>
    <w:p w14:paraId="7E5D0C32">
      <w:pPr>
        <w:pStyle w:val="31"/>
        <w:tabs>
          <w:tab w:val="left" w:pos="2472"/>
        </w:tabs>
        <w:spacing w:line="400" w:lineRule="exact"/>
        <w:rPr>
          <w:rFonts w:hint="eastAsia" w:ascii="宋体" w:hAnsi="宋体" w:eastAsia="宋体" w:cs="宋体"/>
          <w:bCs/>
          <w:color w:val="auto"/>
          <w:sz w:val="24"/>
          <w:szCs w:val="24"/>
          <w:highlight w:val="none"/>
        </w:rPr>
      </w:pPr>
      <w:r>
        <w:rPr>
          <w:rFonts w:hint="eastAsia" w:ascii="宋体" w:hAnsi="宋体" w:eastAsia="宋体" w:cs="宋体"/>
          <w:b/>
          <w:bCs w:val="0"/>
          <w:color w:val="auto"/>
          <w:sz w:val="24"/>
          <w:szCs w:val="24"/>
          <w:highlight w:val="none"/>
        </w:rPr>
        <w:t>乙方：</w:t>
      </w:r>
      <w:r>
        <w:rPr>
          <w:rFonts w:hint="eastAsia" w:ascii="宋体" w:hAnsi="宋体" w:eastAsia="宋体" w:cs="宋体"/>
          <w:b/>
          <w:bCs w:val="0"/>
          <w:color w:val="auto"/>
          <w:sz w:val="24"/>
          <w:highlight w:val="none"/>
          <w:u w:val="single"/>
          <w:lang w:val="en-US" w:eastAsia="zh-CN"/>
        </w:rPr>
        <w:t xml:space="preserve">                         </w:t>
      </w:r>
      <w:r>
        <w:rPr>
          <w:rFonts w:hint="eastAsia" w:ascii="宋体" w:hAnsi="宋体" w:eastAsia="宋体" w:cs="宋体"/>
          <w:b/>
          <w:bCs w:val="0"/>
          <w:color w:val="auto"/>
          <w:sz w:val="24"/>
          <w:szCs w:val="24"/>
          <w:highlight w:val="none"/>
        </w:rPr>
        <w:t xml:space="preserve">    </w:t>
      </w:r>
      <w:r>
        <w:rPr>
          <w:rFonts w:hint="eastAsia" w:ascii="宋体" w:hAnsi="宋体" w:eastAsia="宋体" w:cs="宋体"/>
          <w:bCs/>
          <w:color w:val="auto"/>
          <w:sz w:val="24"/>
          <w:szCs w:val="24"/>
          <w:highlight w:val="none"/>
        </w:rPr>
        <w:t xml:space="preserve">           </w:t>
      </w:r>
    </w:p>
    <w:p w14:paraId="52A9D51F">
      <w:pPr>
        <w:pStyle w:val="31"/>
        <w:tabs>
          <w:tab w:val="left" w:pos="2472"/>
        </w:tabs>
        <w:spacing w:line="400" w:lineRule="exact"/>
        <w:ind w:firstLine="456" w:firstLineChars="200"/>
        <w:rPr>
          <w:rFonts w:hint="eastAsia" w:ascii="宋体" w:hAnsi="宋体" w:eastAsia="宋体" w:cs="宋体"/>
          <w:bCs/>
          <w:color w:val="auto"/>
          <w:sz w:val="24"/>
          <w:szCs w:val="24"/>
          <w:highlight w:val="none"/>
        </w:rPr>
      </w:pPr>
    </w:p>
    <w:p w14:paraId="5861E2F2">
      <w:pPr>
        <w:pStyle w:val="31"/>
        <w:tabs>
          <w:tab w:val="left" w:pos="2472"/>
        </w:tabs>
        <w:spacing w:line="400" w:lineRule="exact"/>
        <w:ind w:firstLine="456"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根据国家有关法律法规和廉洁自律规定，为加强廉政建设，防止发生各种谋取不正当利益的违法违纪行为，确保双方工作人员在合同履行过程中廉洁自律、诚实守信，保护双方合法权益，特订立本廉政协议书。</w:t>
      </w:r>
    </w:p>
    <w:p w14:paraId="3E4C5234">
      <w:pPr>
        <w:pStyle w:val="31"/>
        <w:tabs>
          <w:tab w:val="left" w:pos="2472"/>
        </w:tabs>
        <w:spacing w:line="400" w:lineRule="exact"/>
        <w:ind w:firstLine="458" w:firstLineChars="200"/>
        <w:rPr>
          <w:rFonts w:hint="eastAsia" w:ascii="宋体" w:hAnsi="宋体" w:eastAsia="宋体" w:cs="宋体"/>
          <w:bCs/>
          <w:color w:val="auto"/>
          <w:sz w:val="24"/>
          <w:szCs w:val="24"/>
          <w:highlight w:val="none"/>
        </w:rPr>
      </w:pPr>
      <w:r>
        <w:rPr>
          <w:rFonts w:hint="eastAsia" w:ascii="宋体" w:hAnsi="宋体" w:eastAsia="宋体" w:cs="宋体"/>
          <w:b/>
          <w:color w:val="auto"/>
          <w:sz w:val="24"/>
          <w:szCs w:val="24"/>
          <w:highlight w:val="none"/>
        </w:rPr>
        <w:t>第一条</w:t>
      </w:r>
      <w:r>
        <w:rPr>
          <w:rFonts w:hint="eastAsia" w:ascii="宋体" w:hAnsi="宋体" w:eastAsia="宋体" w:cs="宋体"/>
          <w:bCs/>
          <w:color w:val="auto"/>
          <w:sz w:val="24"/>
          <w:szCs w:val="24"/>
          <w:highlight w:val="none"/>
        </w:rPr>
        <w:t xml:space="preserve">  甲乙双方责任</w:t>
      </w:r>
    </w:p>
    <w:p w14:paraId="10FA6B23">
      <w:pPr>
        <w:pStyle w:val="31"/>
        <w:tabs>
          <w:tab w:val="left" w:pos="2472"/>
        </w:tabs>
        <w:spacing w:line="400" w:lineRule="exact"/>
        <w:ind w:firstLine="456"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(一)甲、乙双方单位及工作人员应严格遵守国家的法律法规和廉政建设方面的有关规定。</w:t>
      </w:r>
    </w:p>
    <w:p w14:paraId="71ECD3CF">
      <w:pPr>
        <w:pStyle w:val="31"/>
        <w:tabs>
          <w:tab w:val="left" w:pos="2472"/>
        </w:tabs>
        <w:spacing w:line="400" w:lineRule="exact"/>
        <w:ind w:firstLine="456"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(二)自项目采购、签订合同直至项目结束全过程，甲、乙双方工作人员均应全面履行合同内容及廉政协议的各项规定，自觉按合同办事。</w:t>
      </w:r>
    </w:p>
    <w:p w14:paraId="2586B1F3">
      <w:pPr>
        <w:pStyle w:val="31"/>
        <w:tabs>
          <w:tab w:val="left" w:pos="2472"/>
        </w:tabs>
        <w:spacing w:line="400" w:lineRule="exact"/>
        <w:ind w:firstLine="456"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(三)发现对方在业务活动中有违规、违纪、违法行为的，应及时提醒对方，情节严重的，应向其上级主管部门或纪检监察部门举报。</w:t>
      </w:r>
    </w:p>
    <w:p w14:paraId="3B657398">
      <w:pPr>
        <w:pStyle w:val="31"/>
        <w:tabs>
          <w:tab w:val="left" w:pos="2472"/>
        </w:tabs>
        <w:spacing w:line="400" w:lineRule="exact"/>
        <w:ind w:firstLine="458" w:firstLineChars="200"/>
        <w:rPr>
          <w:rFonts w:hint="eastAsia" w:ascii="宋体" w:hAnsi="宋体" w:eastAsia="宋体" w:cs="宋体"/>
          <w:bCs/>
          <w:color w:val="auto"/>
          <w:sz w:val="24"/>
          <w:szCs w:val="24"/>
          <w:highlight w:val="none"/>
        </w:rPr>
      </w:pPr>
      <w:r>
        <w:rPr>
          <w:rFonts w:hint="eastAsia" w:ascii="宋体" w:hAnsi="宋体" w:eastAsia="宋体" w:cs="宋体"/>
          <w:b/>
          <w:color w:val="auto"/>
          <w:sz w:val="24"/>
          <w:szCs w:val="24"/>
          <w:highlight w:val="none"/>
        </w:rPr>
        <w:t>第二条</w:t>
      </w:r>
      <w:r>
        <w:rPr>
          <w:rFonts w:hint="eastAsia" w:ascii="宋体" w:hAnsi="宋体" w:eastAsia="宋体" w:cs="宋体"/>
          <w:bCs/>
          <w:color w:val="auto"/>
          <w:sz w:val="24"/>
          <w:szCs w:val="24"/>
          <w:highlight w:val="none"/>
        </w:rPr>
        <w:t xml:space="preserve">  甲方责任</w:t>
      </w:r>
    </w:p>
    <w:p w14:paraId="3E107086">
      <w:pPr>
        <w:pStyle w:val="31"/>
        <w:tabs>
          <w:tab w:val="left" w:pos="2472"/>
        </w:tabs>
        <w:spacing w:line="400" w:lineRule="exact"/>
        <w:ind w:firstLine="456"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甲方单位及工作人员在合同签订及履行过程中要做到以下几点：</w:t>
      </w:r>
    </w:p>
    <w:p w14:paraId="17B9AA83">
      <w:pPr>
        <w:pStyle w:val="31"/>
        <w:tabs>
          <w:tab w:val="left" w:pos="2472"/>
        </w:tabs>
        <w:spacing w:line="400" w:lineRule="exact"/>
        <w:ind w:firstLine="456"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(一)严格遵守廉洁从业各项规定，不准以任何形式向乙方索取和收受回扣、佣金或其他好处；</w:t>
      </w:r>
    </w:p>
    <w:p w14:paraId="48CF114C">
      <w:pPr>
        <w:pStyle w:val="31"/>
        <w:tabs>
          <w:tab w:val="left" w:pos="2472"/>
        </w:tabs>
        <w:spacing w:line="400" w:lineRule="exact"/>
        <w:ind w:firstLine="456"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(二)不准在乙方单位及乙方所属单位报销任何应由甲方单位或个人支付的费用；</w:t>
      </w:r>
    </w:p>
    <w:p w14:paraId="4AD762CE">
      <w:pPr>
        <w:pStyle w:val="31"/>
        <w:tabs>
          <w:tab w:val="left" w:pos="2472"/>
        </w:tabs>
        <w:spacing w:line="400" w:lineRule="exact"/>
        <w:ind w:firstLine="456"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(三)不得要求或者接受乙方为其住房装修、婚丧嫁娶活动、配偶子女的工作安排以及出国出境、旅游等提供方便；</w:t>
      </w:r>
    </w:p>
    <w:p w14:paraId="43F65CA4">
      <w:pPr>
        <w:pStyle w:val="31"/>
        <w:tabs>
          <w:tab w:val="left" w:pos="2472"/>
        </w:tabs>
        <w:spacing w:line="400" w:lineRule="exact"/>
        <w:ind w:firstLine="456"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(四)除合同有特别约定外，不得向乙方介绍或指定项目分包或相关单位；</w:t>
      </w:r>
    </w:p>
    <w:p w14:paraId="5D4CD751">
      <w:pPr>
        <w:pStyle w:val="31"/>
        <w:tabs>
          <w:tab w:val="left" w:pos="2472"/>
        </w:tabs>
        <w:spacing w:line="400" w:lineRule="exact"/>
        <w:ind w:firstLine="456"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(五)除合同有特别约定外，不得向乙方推销或指定使用各种材料及设备等；</w:t>
      </w:r>
    </w:p>
    <w:p w14:paraId="67ED3329">
      <w:pPr>
        <w:pStyle w:val="31"/>
        <w:tabs>
          <w:tab w:val="left" w:pos="2472"/>
        </w:tabs>
        <w:spacing w:line="400" w:lineRule="exact"/>
        <w:ind w:firstLine="456"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 xml:space="preserve">(六)不得利用职权为其家属和亲友向乙方推销各类材料及设备等提供方便。 </w:t>
      </w:r>
    </w:p>
    <w:p w14:paraId="11D0ABF3">
      <w:pPr>
        <w:pStyle w:val="31"/>
        <w:tabs>
          <w:tab w:val="left" w:pos="2472"/>
        </w:tabs>
        <w:spacing w:line="400" w:lineRule="exact"/>
        <w:ind w:firstLine="458" w:firstLineChars="200"/>
        <w:rPr>
          <w:rFonts w:hint="eastAsia" w:ascii="宋体" w:hAnsi="宋体" w:eastAsia="宋体" w:cs="宋体"/>
          <w:bCs/>
          <w:color w:val="auto"/>
          <w:sz w:val="24"/>
          <w:szCs w:val="24"/>
          <w:highlight w:val="none"/>
        </w:rPr>
      </w:pPr>
      <w:r>
        <w:rPr>
          <w:rFonts w:hint="eastAsia" w:ascii="宋体" w:hAnsi="宋体" w:eastAsia="宋体" w:cs="宋体"/>
          <w:b/>
          <w:color w:val="auto"/>
          <w:sz w:val="24"/>
          <w:szCs w:val="24"/>
          <w:highlight w:val="none"/>
        </w:rPr>
        <w:t>第三条</w:t>
      </w:r>
      <w:r>
        <w:rPr>
          <w:rFonts w:hint="eastAsia" w:ascii="宋体" w:hAnsi="宋体" w:eastAsia="宋体" w:cs="宋体"/>
          <w:bCs/>
          <w:color w:val="auto"/>
          <w:sz w:val="24"/>
          <w:szCs w:val="24"/>
          <w:highlight w:val="none"/>
        </w:rPr>
        <w:t xml:space="preserve">  乙方责任</w:t>
      </w:r>
    </w:p>
    <w:p w14:paraId="0D614D04">
      <w:pPr>
        <w:pStyle w:val="31"/>
        <w:tabs>
          <w:tab w:val="left" w:pos="2472"/>
        </w:tabs>
        <w:spacing w:line="400" w:lineRule="exact"/>
        <w:ind w:firstLine="456"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乙方单位及所属工作人员在合同签订及履行过程中要做到以下几点：</w:t>
      </w:r>
    </w:p>
    <w:p w14:paraId="68D44DB8">
      <w:pPr>
        <w:pStyle w:val="31"/>
        <w:tabs>
          <w:tab w:val="left" w:pos="2472"/>
        </w:tabs>
        <w:spacing w:line="400" w:lineRule="exact"/>
        <w:ind w:firstLine="456"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(一)不得向甲方工作人员赠送礼品、礼金、有价证券、支付凭证等；</w:t>
      </w:r>
    </w:p>
    <w:p w14:paraId="33B67FAF">
      <w:pPr>
        <w:pStyle w:val="31"/>
        <w:tabs>
          <w:tab w:val="left" w:pos="2472"/>
        </w:tabs>
        <w:spacing w:line="400" w:lineRule="exact"/>
        <w:ind w:firstLine="456"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(二)不准以任何形式、理由为甲方和相关单位报销应由甲方单位或工作人员支付的费用；</w:t>
      </w:r>
    </w:p>
    <w:p w14:paraId="7B4D2F5E">
      <w:pPr>
        <w:pStyle w:val="31"/>
        <w:tabs>
          <w:tab w:val="left" w:pos="2472"/>
        </w:tabs>
        <w:spacing w:line="400" w:lineRule="exact"/>
        <w:ind w:firstLine="456"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(三)不准为其私用提供通讯工具、交通工具；</w:t>
      </w:r>
    </w:p>
    <w:p w14:paraId="5B1F1E56">
      <w:pPr>
        <w:pStyle w:val="31"/>
        <w:tabs>
          <w:tab w:val="left" w:pos="2472"/>
        </w:tabs>
        <w:spacing w:line="400" w:lineRule="exact"/>
        <w:ind w:firstLine="456"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(四)不准组织有可能影响甲方工作人员履行公职职责或可能影响项目(产品)质量、廉政建设的宴请、旅游等各种高消费娱乐活动。</w:t>
      </w:r>
    </w:p>
    <w:p w14:paraId="53DBA661">
      <w:pPr>
        <w:pStyle w:val="31"/>
        <w:tabs>
          <w:tab w:val="left" w:pos="2472"/>
        </w:tabs>
        <w:spacing w:line="400" w:lineRule="exact"/>
        <w:ind w:firstLine="458" w:firstLineChars="200"/>
        <w:rPr>
          <w:rFonts w:hint="eastAsia" w:ascii="宋体" w:hAnsi="宋体" w:eastAsia="宋体" w:cs="宋体"/>
          <w:bCs/>
          <w:color w:val="auto"/>
          <w:sz w:val="24"/>
          <w:szCs w:val="24"/>
          <w:highlight w:val="none"/>
        </w:rPr>
      </w:pPr>
      <w:r>
        <w:rPr>
          <w:rFonts w:hint="eastAsia" w:ascii="宋体" w:hAnsi="宋体" w:eastAsia="宋体" w:cs="宋体"/>
          <w:b/>
          <w:color w:val="auto"/>
          <w:sz w:val="24"/>
          <w:szCs w:val="24"/>
          <w:highlight w:val="none"/>
        </w:rPr>
        <w:t xml:space="preserve">第四条 </w:t>
      </w:r>
      <w:r>
        <w:rPr>
          <w:rFonts w:hint="eastAsia" w:ascii="宋体" w:hAnsi="宋体" w:eastAsia="宋体" w:cs="宋体"/>
          <w:bCs/>
          <w:color w:val="auto"/>
          <w:sz w:val="24"/>
          <w:szCs w:val="24"/>
          <w:highlight w:val="none"/>
        </w:rPr>
        <w:t xml:space="preserve"> 合同监管</w:t>
      </w:r>
    </w:p>
    <w:p w14:paraId="2C8AA89D">
      <w:pPr>
        <w:pStyle w:val="31"/>
        <w:tabs>
          <w:tab w:val="left" w:pos="2472"/>
        </w:tabs>
        <w:spacing w:line="400" w:lineRule="exact"/>
        <w:ind w:firstLine="456"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甲、乙双方单位纪检监察部门有权依照本合同内容的规定，对合同履约中的廉洁从业情况实施监督，并有权采取措施及时制止不廉洁行为的发生。</w:t>
      </w:r>
    </w:p>
    <w:p w14:paraId="5E734C8D">
      <w:pPr>
        <w:pStyle w:val="31"/>
        <w:tabs>
          <w:tab w:val="left" w:pos="2472"/>
        </w:tabs>
        <w:spacing w:line="400" w:lineRule="exact"/>
        <w:ind w:firstLine="458" w:firstLineChars="200"/>
        <w:rPr>
          <w:rFonts w:hint="eastAsia" w:ascii="宋体" w:hAnsi="宋体" w:eastAsia="宋体" w:cs="宋体"/>
          <w:bCs/>
          <w:color w:val="auto"/>
          <w:sz w:val="24"/>
          <w:szCs w:val="24"/>
          <w:highlight w:val="none"/>
        </w:rPr>
      </w:pPr>
      <w:r>
        <w:rPr>
          <w:rFonts w:hint="eastAsia" w:ascii="宋体" w:hAnsi="宋体" w:eastAsia="宋体" w:cs="宋体"/>
          <w:b/>
          <w:color w:val="auto"/>
          <w:sz w:val="24"/>
          <w:szCs w:val="24"/>
          <w:highlight w:val="none"/>
        </w:rPr>
        <w:t xml:space="preserve">第五条 </w:t>
      </w:r>
      <w:r>
        <w:rPr>
          <w:rFonts w:hint="eastAsia" w:ascii="宋体" w:hAnsi="宋体" w:eastAsia="宋体" w:cs="宋体"/>
          <w:bCs/>
          <w:color w:val="auto"/>
          <w:sz w:val="24"/>
          <w:szCs w:val="24"/>
          <w:highlight w:val="none"/>
        </w:rPr>
        <w:t xml:space="preserve"> 违约责任</w:t>
      </w:r>
    </w:p>
    <w:p w14:paraId="084C9BF0">
      <w:pPr>
        <w:pStyle w:val="31"/>
        <w:tabs>
          <w:tab w:val="left" w:pos="2472"/>
        </w:tabs>
        <w:spacing w:line="400" w:lineRule="exact"/>
        <w:ind w:firstLine="456"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(一)甲方工作人员有违反本协议书责任行为的，按照管理权限，依据有关法律法规和规定，将追究党纪、政纪责任和给予相应的经济处罚。</w:t>
      </w:r>
    </w:p>
    <w:p w14:paraId="7E06EA13">
      <w:pPr>
        <w:pStyle w:val="31"/>
        <w:tabs>
          <w:tab w:val="left" w:pos="2472"/>
        </w:tabs>
        <w:spacing w:line="400" w:lineRule="exact"/>
        <w:ind w:firstLine="456"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(二)乙方工作人员或所属单位人员有违反本协议书责任行为的，甲方有权要求乙方按主合同总价 30%支付违约金；违约情况严重而被当地纪检、监察、检察机关立案调查的，除追究乙方的上述责任外，甲方有权终止合同；违约金不足以弥补给甲方造成的实际经济损失的，乙方应当赔偿给甲方造成的实际经济损失。</w:t>
      </w:r>
    </w:p>
    <w:p w14:paraId="6A4EDB54">
      <w:pPr>
        <w:pStyle w:val="31"/>
        <w:tabs>
          <w:tab w:val="left" w:pos="2472"/>
        </w:tabs>
        <w:spacing w:line="400" w:lineRule="exact"/>
        <w:ind w:firstLine="458" w:firstLineChars="200"/>
        <w:rPr>
          <w:rFonts w:hint="eastAsia" w:ascii="宋体" w:hAnsi="宋体" w:eastAsia="宋体" w:cs="宋体"/>
          <w:bCs/>
          <w:color w:val="auto"/>
          <w:sz w:val="24"/>
          <w:szCs w:val="24"/>
          <w:highlight w:val="none"/>
        </w:rPr>
      </w:pPr>
      <w:r>
        <w:rPr>
          <w:rFonts w:hint="eastAsia" w:ascii="宋体" w:hAnsi="宋体" w:eastAsia="宋体" w:cs="宋体"/>
          <w:b/>
          <w:color w:val="auto"/>
          <w:sz w:val="24"/>
          <w:szCs w:val="24"/>
          <w:highlight w:val="none"/>
        </w:rPr>
        <w:t>第六条</w:t>
      </w:r>
      <w:r>
        <w:rPr>
          <w:rFonts w:hint="eastAsia" w:ascii="宋体" w:hAnsi="宋体" w:eastAsia="宋体" w:cs="宋体"/>
          <w:bCs/>
          <w:color w:val="auto"/>
          <w:sz w:val="24"/>
          <w:szCs w:val="24"/>
          <w:highlight w:val="none"/>
        </w:rPr>
        <w:t xml:space="preserve">  本协议书作为合同的附件，与该合同具有同等效力。经双方签字(签章)盖章后生效。</w:t>
      </w:r>
    </w:p>
    <w:p w14:paraId="6E410C3D">
      <w:pPr>
        <w:pStyle w:val="31"/>
        <w:tabs>
          <w:tab w:val="left" w:pos="2472"/>
        </w:tabs>
        <w:spacing w:line="400" w:lineRule="exact"/>
        <w:ind w:firstLine="458" w:firstLineChars="200"/>
        <w:rPr>
          <w:rFonts w:hint="eastAsia" w:ascii="宋体" w:hAnsi="宋体" w:eastAsia="宋体" w:cs="宋体"/>
          <w:bCs/>
          <w:color w:val="auto"/>
          <w:sz w:val="24"/>
          <w:szCs w:val="24"/>
          <w:highlight w:val="none"/>
        </w:rPr>
      </w:pPr>
      <w:r>
        <w:rPr>
          <w:rFonts w:hint="eastAsia" w:ascii="宋体" w:hAnsi="宋体" w:eastAsia="宋体" w:cs="宋体"/>
          <w:b/>
          <w:color w:val="auto"/>
          <w:sz w:val="24"/>
          <w:szCs w:val="24"/>
          <w:highlight w:val="none"/>
        </w:rPr>
        <w:t>第七条</w:t>
      </w:r>
      <w:r>
        <w:rPr>
          <w:rFonts w:hint="eastAsia" w:ascii="宋体" w:hAnsi="宋体" w:eastAsia="宋体" w:cs="宋体"/>
          <w:bCs/>
          <w:color w:val="auto"/>
          <w:sz w:val="24"/>
          <w:szCs w:val="24"/>
          <w:highlight w:val="none"/>
        </w:rPr>
        <w:t xml:space="preserve">  本协议书的有效期为双方签字(签章)盖章之日起至项目合同履行完成时止。</w:t>
      </w:r>
    </w:p>
    <w:p w14:paraId="1FAD057E">
      <w:pPr>
        <w:pStyle w:val="31"/>
        <w:keepNext w:val="0"/>
        <w:keepLines w:val="0"/>
        <w:pageBreakBefore w:val="0"/>
        <w:widowControl w:val="0"/>
        <w:tabs>
          <w:tab w:val="left" w:pos="2472"/>
        </w:tabs>
        <w:kinsoku/>
        <w:wordWrap/>
        <w:overflowPunct/>
        <w:topLinePunct w:val="0"/>
        <w:autoSpaceDE/>
        <w:autoSpaceDN/>
        <w:bidi w:val="0"/>
        <w:adjustRightInd/>
        <w:snapToGrid/>
        <w:spacing w:after="167" w:afterLines="50" w:line="400" w:lineRule="exact"/>
        <w:ind w:firstLine="458" w:firstLineChars="200"/>
        <w:textAlignment w:val="auto"/>
        <w:rPr>
          <w:rFonts w:hint="eastAsia" w:ascii="宋体" w:hAnsi="宋体" w:eastAsia="宋体" w:cs="宋体"/>
          <w:bCs/>
          <w:color w:val="auto"/>
          <w:sz w:val="24"/>
          <w:highlight w:val="none"/>
        </w:rPr>
      </w:pPr>
      <w:r>
        <w:rPr>
          <w:rFonts w:hint="eastAsia" w:ascii="宋体" w:hAnsi="宋体" w:eastAsia="宋体" w:cs="宋体"/>
          <w:b/>
          <w:color w:val="auto"/>
          <w:sz w:val="24"/>
          <w:szCs w:val="24"/>
          <w:highlight w:val="none"/>
        </w:rPr>
        <w:t>第八条</w:t>
      </w:r>
      <w:r>
        <w:rPr>
          <w:rFonts w:hint="eastAsia" w:ascii="宋体" w:hAnsi="宋体" w:eastAsia="宋体" w:cs="宋体"/>
          <w:bCs/>
          <w:color w:val="auto"/>
          <w:sz w:val="24"/>
          <w:szCs w:val="24"/>
          <w:highlight w:val="none"/>
        </w:rPr>
        <w:t xml:space="preserve">  未尽事宜，由双方协商解决。</w:t>
      </w:r>
    </w:p>
    <w:tbl>
      <w:tblPr>
        <w:tblStyle w:val="61"/>
        <w:tblW w:w="9161" w:type="dxa"/>
        <w:jc w:val="center"/>
        <w:tblLayout w:type="fixed"/>
        <w:tblCellMar>
          <w:top w:w="0" w:type="dxa"/>
          <w:left w:w="0" w:type="dxa"/>
          <w:bottom w:w="0" w:type="dxa"/>
          <w:right w:w="0" w:type="dxa"/>
        </w:tblCellMar>
      </w:tblPr>
      <w:tblGrid>
        <w:gridCol w:w="4846"/>
        <w:gridCol w:w="4315"/>
      </w:tblGrid>
      <w:tr w14:paraId="59212E99">
        <w:trPr>
          <w:trHeight w:val="2140" w:hRule="atLeast"/>
          <w:jc w:val="center"/>
        </w:trPr>
        <w:tc>
          <w:tcPr>
            <w:tcW w:w="4846" w:type="dxa"/>
          </w:tcPr>
          <w:p w14:paraId="0D744212">
            <w:pPr>
              <w:pStyle w:val="135"/>
              <w:spacing w:line="400" w:lineRule="exact"/>
              <w:ind w:left="5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7"/>
                <w:sz w:val="24"/>
                <w:szCs w:val="24"/>
                <w:highlight w:val="none"/>
                <w:lang w:eastAsia="zh-CN"/>
              </w:rPr>
              <w:t xml:space="preserve">甲方单位 </w:t>
            </w:r>
            <w:r>
              <w:rPr>
                <w:rFonts w:hint="eastAsia" w:ascii="宋体" w:hAnsi="宋体" w:eastAsia="宋体" w:cs="宋体"/>
                <w:color w:val="auto"/>
                <w:sz w:val="24"/>
                <w:szCs w:val="24"/>
                <w:highlight w:val="none"/>
                <w:lang w:eastAsia="zh-CN"/>
              </w:rPr>
              <w:t>（公章）</w:t>
            </w:r>
            <w:r>
              <w:rPr>
                <w:rFonts w:hint="eastAsia" w:ascii="宋体" w:hAnsi="宋体" w:eastAsia="宋体" w:cs="宋体"/>
                <w:color w:val="auto"/>
                <w:spacing w:val="15"/>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广西壮族自治区山口</w:t>
            </w:r>
          </w:p>
          <w:p w14:paraId="372BB15E">
            <w:pPr>
              <w:pStyle w:val="135"/>
              <w:spacing w:line="400" w:lineRule="exact"/>
              <w:ind w:left="2090" w:right="162"/>
              <w:rPr>
                <w:rFonts w:hint="eastAsia" w:ascii="宋体" w:hAnsi="宋体" w:eastAsia="宋体" w:cs="宋体"/>
                <w:color w:val="auto"/>
                <w:spacing w:val="10"/>
                <w:sz w:val="24"/>
                <w:szCs w:val="24"/>
                <w:highlight w:val="none"/>
                <w:lang w:eastAsia="zh-CN"/>
              </w:rPr>
            </w:pPr>
            <w:r>
              <w:rPr>
                <w:rFonts w:hint="eastAsia" w:ascii="宋体" w:hAnsi="宋体" w:eastAsia="宋体" w:cs="宋体"/>
                <w:color w:val="auto"/>
                <w:spacing w:val="10"/>
                <w:sz w:val="24"/>
                <w:szCs w:val="24"/>
                <w:highlight w:val="none"/>
                <w:lang w:eastAsia="zh-CN"/>
              </w:rPr>
              <w:t>红树林生态国家级</w:t>
            </w:r>
          </w:p>
          <w:p w14:paraId="2CD3968E">
            <w:pPr>
              <w:pStyle w:val="135"/>
              <w:spacing w:line="400" w:lineRule="exact"/>
              <w:ind w:left="2090" w:right="162"/>
              <w:rPr>
                <w:rFonts w:hint="eastAsia" w:ascii="宋体" w:hAnsi="宋体" w:eastAsia="宋体" w:cs="宋体"/>
                <w:color w:val="auto"/>
                <w:spacing w:val="-2"/>
                <w:sz w:val="24"/>
                <w:szCs w:val="24"/>
                <w:highlight w:val="none"/>
                <w:lang w:eastAsia="zh-CN"/>
              </w:rPr>
            </w:pPr>
            <w:r>
              <w:rPr>
                <w:rFonts w:hint="eastAsia" w:ascii="宋体" w:hAnsi="宋体" w:eastAsia="宋体" w:cs="宋体"/>
                <w:color w:val="auto"/>
                <w:spacing w:val="10"/>
                <w:sz w:val="24"/>
                <w:szCs w:val="24"/>
                <w:highlight w:val="none"/>
                <w:lang w:eastAsia="zh-CN"/>
              </w:rPr>
              <w:t>自</w:t>
            </w:r>
            <w:r>
              <w:rPr>
                <w:rFonts w:hint="eastAsia" w:ascii="宋体" w:hAnsi="宋体" w:eastAsia="宋体" w:cs="宋体"/>
                <w:color w:val="auto"/>
                <w:spacing w:val="-2"/>
                <w:sz w:val="24"/>
                <w:szCs w:val="24"/>
                <w:highlight w:val="none"/>
                <w:lang w:eastAsia="zh-CN"/>
              </w:rPr>
              <w:t>然保护区管理中心</w:t>
            </w:r>
          </w:p>
          <w:p w14:paraId="7F5170A6">
            <w:pPr>
              <w:pStyle w:val="135"/>
              <w:spacing w:line="400" w:lineRule="exact"/>
              <w:ind w:left="2090" w:right="162"/>
              <w:rPr>
                <w:rFonts w:hint="eastAsia" w:ascii="宋体" w:hAnsi="宋体" w:eastAsia="宋体" w:cs="宋体"/>
                <w:color w:val="auto"/>
                <w:spacing w:val="-2"/>
                <w:sz w:val="24"/>
                <w:szCs w:val="24"/>
                <w:highlight w:val="none"/>
                <w:lang w:eastAsia="zh-CN"/>
              </w:rPr>
            </w:pPr>
          </w:p>
          <w:p w14:paraId="6FBD8C7A">
            <w:pPr>
              <w:pStyle w:val="135"/>
              <w:spacing w:line="400" w:lineRule="exact"/>
              <w:ind w:left="50"/>
              <w:rPr>
                <w:rFonts w:hint="eastAsia" w:ascii="宋体" w:hAnsi="宋体" w:eastAsia="宋体" w:cs="宋体"/>
                <w:color w:val="auto"/>
                <w:spacing w:val="-7"/>
                <w:sz w:val="24"/>
                <w:szCs w:val="24"/>
                <w:highlight w:val="none"/>
                <w:lang w:eastAsia="zh-CN"/>
              </w:rPr>
            </w:pPr>
            <w:r>
              <w:rPr>
                <w:rFonts w:hint="eastAsia" w:ascii="宋体" w:hAnsi="宋体" w:eastAsia="宋体" w:cs="宋体"/>
                <w:color w:val="auto"/>
                <w:spacing w:val="-7"/>
                <w:sz w:val="24"/>
                <w:szCs w:val="24"/>
                <w:highlight w:val="none"/>
                <w:lang w:eastAsia="zh-CN"/>
              </w:rPr>
              <w:t>法定代表人（委托代理人）：</w:t>
            </w:r>
          </w:p>
          <w:p w14:paraId="3F808D77">
            <w:pPr>
              <w:pStyle w:val="135"/>
              <w:spacing w:line="400" w:lineRule="exact"/>
              <w:rPr>
                <w:rFonts w:hint="eastAsia" w:ascii="宋体" w:hAnsi="宋体" w:eastAsia="宋体" w:cs="宋体"/>
                <w:color w:val="auto"/>
                <w:sz w:val="24"/>
                <w:szCs w:val="24"/>
                <w:highlight w:val="none"/>
              </w:rPr>
            </w:pPr>
          </w:p>
          <w:p w14:paraId="24EEF3F0">
            <w:pPr>
              <w:pStyle w:val="135"/>
              <w:tabs>
                <w:tab w:val="left" w:pos="3544"/>
                <w:tab w:val="left" w:pos="4132"/>
              </w:tabs>
              <w:spacing w:line="400" w:lineRule="exact"/>
              <w:ind w:left="2834"/>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lang w:val="en-US" w:eastAsia="zh-CN"/>
              </w:rPr>
              <w:t>2026</w:t>
            </w:r>
            <w:r>
              <w:rPr>
                <w:rFonts w:hint="eastAsia" w:ascii="宋体" w:hAnsi="宋体" w:eastAsia="宋体" w:cs="宋体"/>
                <w:color w:val="auto"/>
                <w:spacing w:val="-10"/>
                <w:sz w:val="24"/>
                <w:szCs w:val="24"/>
                <w:highlight w:val="none"/>
              </w:rPr>
              <w:t>年</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pacing w:val="-10"/>
                <w:sz w:val="24"/>
                <w:szCs w:val="24"/>
                <w:highlight w:val="none"/>
              </w:rPr>
              <w:t>月</w:t>
            </w:r>
            <w:r>
              <w:rPr>
                <w:rFonts w:hint="eastAsia" w:ascii="宋体" w:hAnsi="宋体" w:eastAsia="宋体" w:cs="宋体"/>
                <w:color w:val="auto"/>
                <w:spacing w:val="-10"/>
                <w:sz w:val="24"/>
                <w:szCs w:val="24"/>
                <w:highlight w:val="none"/>
                <w:lang w:val="en-US" w:eastAsia="zh-CN"/>
              </w:rPr>
              <w:t xml:space="preserve">  </w:t>
            </w:r>
            <w:r>
              <w:rPr>
                <w:rFonts w:hint="eastAsia" w:ascii="宋体" w:hAnsi="宋体" w:eastAsia="宋体" w:cs="宋体"/>
                <w:color w:val="auto"/>
                <w:spacing w:val="-10"/>
                <w:sz w:val="24"/>
                <w:szCs w:val="24"/>
                <w:highlight w:val="none"/>
              </w:rPr>
              <w:t>日</w:t>
            </w:r>
          </w:p>
        </w:tc>
        <w:tc>
          <w:tcPr>
            <w:tcW w:w="4315" w:type="dxa"/>
          </w:tcPr>
          <w:p w14:paraId="4751E718">
            <w:pPr>
              <w:pStyle w:val="135"/>
              <w:spacing w:line="400" w:lineRule="exact"/>
              <w:ind w:left="2082" w:leftChars="23" w:hanging="2034" w:hangingChars="900"/>
              <w:rPr>
                <w:rFonts w:hint="eastAsia" w:ascii="宋体" w:hAnsi="宋体" w:eastAsia="宋体" w:cs="宋体"/>
                <w:color w:val="auto"/>
                <w:spacing w:val="-7"/>
                <w:sz w:val="24"/>
                <w:szCs w:val="24"/>
                <w:highlight w:val="none"/>
                <w:lang w:val="en-US" w:eastAsia="zh-CN"/>
              </w:rPr>
            </w:pPr>
            <w:r>
              <w:rPr>
                <w:rFonts w:hint="eastAsia" w:ascii="宋体" w:hAnsi="宋体" w:eastAsia="宋体" w:cs="宋体"/>
                <w:color w:val="auto"/>
                <w:spacing w:val="-7"/>
                <w:sz w:val="24"/>
                <w:szCs w:val="24"/>
                <w:highlight w:val="none"/>
                <w:lang w:eastAsia="zh-CN"/>
              </w:rPr>
              <w:t xml:space="preserve">乙方单位（公章）: </w:t>
            </w:r>
            <w:r>
              <w:rPr>
                <w:rFonts w:hint="eastAsia" w:ascii="宋体" w:hAnsi="宋体" w:eastAsia="宋体" w:cs="宋体"/>
                <w:color w:val="auto"/>
                <w:spacing w:val="-7"/>
                <w:sz w:val="24"/>
                <w:szCs w:val="24"/>
                <w:highlight w:val="none"/>
                <w:lang w:val="en-US" w:eastAsia="zh-CN"/>
              </w:rPr>
              <w:t xml:space="preserve"> </w:t>
            </w:r>
          </w:p>
          <w:p w14:paraId="2482E82E">
            <w:pPr>
              <w:pStyle w:val="135"/>
              <w:spacing w:line="400" w:lineRule="exact"/>
              <w:ind w:right="870"/>
              <w:rPr>
                <w:rFonts w:hint="eastAsia" w:ascii="宋体" w:hAnsi="宋体" w:eastAsia="宋体" w:cs="宋体"/>
                <w:color w:val="auto"/>
                <w:spacing w:val="-2"/>
                <w:sz w:val="24"/>
                <w:szCs w:val="24"/>
                <w:highlight w:val="none"/>
                <w:lang w:eastAsia="zh-CN"/>
              </w:rPr>
            </w:pPr>
          </w:p>
          <w:p w14:paraId="64F650EC">
            <w:pPr>
              <w:pStyle w:val="135"/>
              <w:spacing w:line="400" w:lineRule="exact"/>
              <w:ind w:right="870"/>
              <w:rPr>
                <w:rFonts w:hint="eastAsia" w:ascii="宋体" w:hAnsi="宋体" w:eastAsia="宋体" w:cs="宋体"/>
                <w:color w:val="auto"/>
                <w:spacing w:val="-2"/>
                <w:sz w:val="24"/>
                <w:szCs w:val="24"/>
                <w:highlight w:val="none"/>
                <w:lang w:eastAsia="zh-CN"/>
              </w:rPr>
            </w:pPr>
          </w:p>
          <w:p w14:paraId="676815DB">
            <w:pPr>
              <w:pStyle w:val="135"/>
              <w:spacing w:line="400" w:lineRule="exact"/>
              <w:ind w:left="50"/>
              <w:rPr>
                <w:rFonts w:hint="eastAsia" w:ascii="宋体" w:hAnsi="宋体" w:eastAsia="宋体" w:cs="宋体"/>
                <w:color w:val="auto"/>
                <w:spacing w:val="-7"/>
                <w:sz w:val="24"/>
                <w:szCs w:val="24"/>
                <w:highlight w:val="none"/>
                <w:lang w:eastAsia="zh-CN"/>
              </w:rPr>
            </w:pPr>
            <w:r>
              <w:rPr>
                <w:rFonts w:hint="eastAsia" w:ascii="宋体" w:hAnsi="宋体" w:eastAsia="宋体" w:cs="宋体"/>
                <w:color w:val="auto"/>
                <w:spacing w:val="-7"/>
                <w:sz w:val="24"/>
                <w:szCs w:val="24"/>
                <w:highlight w:val="none"/>
                <w:lang w:eastAsia="zh-CN"/>
              </w:rPr>
              <w:t>法定代表人（委托代理人）：</w:t>
            </w:r>
          </w:p>
          <w:p w14:paraId="70870DA4">
            <w:pPr>
              <w:pStyle w:val="135"/>
              <w:spacing w:line="400" w:lineRule="exact"/>
              <w:ind w:right="870"/>
              <w:rPr>
                <w:rFonts w:hint="eastAsia" w:ascii="宋体" w:hAnsi="宋体" w:eastAsia="宋体" w:cs="宋体"/>
                <w:color w:val="auto"/>
                <w:spacing w:val="-10"/>
                <w:sz w:val="24"/>
                <w:szCs w:val="24"/>
                <w:highlight w:val="none"/>
                <w:lang w:eastAsia="zh-CN"/>
              </w:rPr>
            </w:pPr>
          </w:p>
          <w:p w14:paraId="2570081E">
            <w:pPr>
              <w:pStyle w:val="135"/>
              <w:spacing w:line="400" w:lineRule="exact"/>
              <w:ind w:right="870"/>
              <w:jc w:val="right"/>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lang w:val="en-US" w:eastAsia="zh-CN"/>
              </w:rPr>
              <w:t>2026</w:t>
            </w:r>
            <w:r>
              <w:rPr>
                <w:rFonts w:hint="eastAsia" w:ascii="宋体" w:hAnsi="宋体" w:eastAsia="宋体" w:cs="宋体"/>
                <w:color w:val="auto"/>
                <w:spacing w:val="-10"/>
                <w:sz w:val="24"/>
                <w:szCs w:val="24"/>
                <w:highlight w:val="none"/>
              </w:rPr>
              <w:t>年</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pacing w:val="-10"/>
                <w:sz w:val="24"/>
                <w:szCs w:val="24"/>
                <w:highlight w:val="none"/>
              </w:rPr>
              <w:t>月</w:t>
            </w:r>
            <w:r>
              <w:rPr>
                <w:rFonts w:hint="eastAsia" w:ascii="宋体" w:hAnsi="宋体" w:eastAsia="宋体" w:cs="宋体"/>
                <w:color w:val="auto"/>
                <w:spacing w:val="-10"/>
                <w:sz w:val="24"/>
                <w:szCs w:val="24"/>
                <w:highlight w:val="none"/>
                <w:lang w:eastAsia="zh-CN"/>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pacing w:val="-10"/>
                <w:sz w:val="24"/>
                <w:szCs w:val="24"/>
                <w:highlight w:val="none"/>
              </w:rPr>
              <w:t>日</w:t>
            </w:r>
          </w:p>
        </w:tc>
      </w:tr>
    </w:tbl>
    <w:p w14:paraId="62199B4B">
      <w:pPr>
        <w:snapToGrid w:val="0"/>
        <w:jc w:val="center"/>
        <w:rPr>
          <w:rFonts w:hint="eastAsia" w:ascii="宋体" w:hAnsi="宋体" w:eastAsia="宋体" w:cs="宋体"/>
          <w:bCs/>
          <w:color w:val="auto"/>
          <w:sz w:val="32"/>
          <w:szCs w:val="32"/>
          <w:highlight w:val="none"/>
        </w:rPr>
      </w:pPr>
    </w:p>
    <w:p w14:paraId="39796630">
      <w:pPr>
        <w:snapToGrid w:val="0"/>
        <w:jc w:val="center"/>
        <w:rPr>
          <w:rFonts w:hint="eastAsia" w:ascii="宋体" w:hAnsi="宋体" w:eastAsia="宋体" w:cs="宋体"/>
          <w:bCs/>
          <w:color w:val="auto"/>
          <w:sz w:val="32"/>
          <w:szCs w:val="32"/>
          <w:highlight w:val="none"/>
        </w:rPr>
      </w:pPr>
    </w:p>
    <w:p w14:paraId="4E9AF5E6">
      <w:pPr>
        <w:snapToGrid w:val="0"/>
        <w:jc w:val="center"/>
        <w:rPr>
          <w:rFonts w:hint="eastAsia" w:ascii="宋体" w:hAnsi="宋体" w:eastAsia="宋体" w:cs="宋体"/>
          <w:bCs/>
          <w:color w:val="auto"/>
          <w:sz w:val="32"/>
          <w:szCs w:val="32"/>
          <w:highlight w:val="none"/>
        </w:rPr>
      </w:pPr>
    </w:p>
    <w:p w14:paraId="4A35D45A">
      <w:pPr>
        <w:snapToGrid w:val="0"/>
        <w:jc w:val="center"/>
        <w:rPr>
          <w:rFonts w:hint="eastAsia" w:ascii="宋体" w:hAnsi="宋体" w:eastAsia="宋体" w:cs="宋体"/>
          <w:bCs/>
          <w:color w:val="auto"/>
          <w:sz w:val="32"/>
          <w:szCs w:val="32"/>
          <w:highlight w:val="none"/>
        </w:rPr>
      </w:pPr>
    </w:p>
    <w:p w14:paraId="57E78A28">
      <w:pPr>
        <w:snapToGrid w:val="0"/>
        <w:jc w:val="center"/>
        <w:rPr>
          <w:rFonts w:hint="eastAsia" w:ascii="宋体" w:hAnsi="宋体" w:eastAsia="宋体" w:cs="宋体"/>
          <w:bCs/>
          <w:color w:val="auto"/>
          <w:sz w:val="32"/>
          <w:szCs w:val="32"/>
          <w:highlight w:val="none"/>
        </w:rPr>
      </w:pPr>
    </w:p>
    <w:p w14:paraId="2B43E2E6">
      <w:pPr>
        <w:pStyle w:val="3"/>
        <w:jc w:val="center"/>
        <w:rPr>
          <w:rFonts w:hint="eastAsia" w:ascii="宋体" w:hAnsi="宋体" w:eastAsia="宋体" w:cs="宋体"/>
          <w:color w:val="auto"/>
          <w:highlight w:val="none"/>
        </w:rPr>
      </w:pPr>
      <w:bookmarkStart w:id="158" w:name="_Toc7433"/>
      <w:bookmarkStart w:id="159" w:name="_Toc21405"/>
      <w:r>
        <w:rPr>
          <w:rFonts w:hint="eastAsia" w:ascii="宋体" w:hAnsi="宋体" w:eastAsia="宋体" w:cs="宋体"/>
          <w:color w:val="auto"/>
          <w:highlight w:val="none"/>
        </w:rPr>
        <w:t>第六章  投标文件格式</w:t>
      </w:r>
      <w:bookmarkEnd w:id="158"/>
      <w:bookmarkEnd w:id="159"/>
    </w:p>
    <w:p w14:paraId="26706936">
      <w:pPr>
        <w:snapToGrid w:val="0"/>
        <w:spacing w:before="50" w:after="50"/>
        <w:outlineLvl w:val="1"/>
        <w:rPr>
          <w:rFonts w:hint="eastAsia" w:ascii="宋体" w:hAnsi="宋体" w:eastAsia="宋体" w:cs="宋体"/>
          <w:color w:val="auto"/>
          <w:sz w:val="32"/>
          <w:szCs w:val="20"/>
          <w:highlight w:val="none"/>
        </w:rPr>
      </w:pPr>
    </w:p>
    <w:p w14:paraId="2B3347A5">
      <w:pPr>
        <w:snapToGrid w:val="0"/>
        <w:spacing w:before="50" w:after="50"/>
        <w:outlineLvl w:val="1"/>
        <w:rPr>
          <w:rFonts w:hint="eastAsia" w:ascii="宋体" w:hAnsi="宋体" w:eastAsia="宋体" w:cs="宋体"/>
          <w:color w:val="auto"/>
          <w:sz w:val="32"/>
          <w:szCs w:val="20"/>
          <w:highlight w:val="none"/>
        </w:rPr>
      </w:pPr>
    </w:p>
    <w:p w14:paraId="55D8CB06">
      <w:pPr>
        <w:snapToGrid w:val="0"/>
        <w:spacing w:before="50" w:after="50"/>
        <w:outlineLvl w:val="1"/>
        <w:rPr>
          <w:rFonts w:hint="eastAsia" w:ascii="宋体" w:hAnsi="宋体" w:eastAsia="宋体" w:cs="宋体"/>
          <w:color w:val="auto"/>
          <w:sz w:val="32"/>
          <w:szCs w:val="20"/>
          <w:highlight w:val="none"/>
        </w:rPr>
      </w:pPr>
    </w:p>
    <w:p w14:paraId="1FB2192B">
      <w:pPr>
        <w:snapToGrid w:val="0"/>
        <w:spacing w:before="50" w:after="50"/>
        <w:outlineLvl w:val="1"/>
        <w:rPr>
          <w:rFonts w:hint="eastAsia" w:ascii="宋体" w:hAnsi="宋体" w:eastAsia="宋体" w:cs="宋体"/>
          <w:color w:val="auto"/>
          <w:sz w:val="32"/>
          <w:szCs w:val="20"/>
          <w:highlight w:val="none"/>
        </w:rPr>
      </w:pPr>
    </w:p>
    <w:p w14:paraId="5A06E64E">
      <w:pPr>
        <w:snapToGrid w:val="0"/>
        <w:spacing w:before="50" w:after="50"/>
        <w:outlineLvl w:val="1"/>
        <w:rPr>
          <w:rFonts w:hint="eastAsia" w:ascii="宋体" w:hAnsi="宋体" w:eastAsia="宋体" w:cs="宋体"/>
          <w:color w:val="auto"/>
          <w:sz w:val="32"/>
          <w:szCs w:val="20"/>
          <w:highlight w:val="none"/>
        </w:rPr>
      </w:pPr>
    </w:p>
    <w:p w14:paraId="4131D97F">
      <w:pPr>
        <w:snapToGrid w:val="0"/>
        <w:spacing w:before="50" w:after="50"/>
        <w:outlineLvl w:val="1"/>
        <w:rPr>
          <w:rFonts w:hint="eastAsia" w:ascii="宋体" w:hAnsi="宋体" w:eastAsia="宋体" w:cs="宋体"/>
          <w:color w:val="auto"/>
          <w:sz w:val="32"/>
          <w:szCs w:val="20"/>
          <w:highlight w:val="none"/>
        </w:rPr>
      </w:pPr>
    </w:p>
    <w:p w14:paraId="75446837">
      <w:pPr>
        <w:snapToGrid w:val="0"/>
        <w:spacing w:before="50" w:after="50"/>
        <w:outlineLvl w:val="1"/>
        <w:rPr>
          <w:rFonts w:hint="eastAsia" w:ascii="宋体" w:hAnsi="宋体" w:eastAsia="宋体" w:cs="宋体"/>
          <w:color w:val="auto"/>
          <w:sz w:val="32"/>
          <w:szCs w:val="20"/>
          <w:highlight w:val="none"/>
        </w:rPr>
      </w:pPr>
    </w:p>
    <w:p w14:paraId="5014217B">
      <w:pPr>
        <w:snapToGrid w:val="0"/>
        <w:spacing w:before="50" w:after="50"/>
        <w:outlineLvl w:val="1"/>
        <w:rPr>
          <w:rFonts w:hint="eastAsia" w:ascii="宋体" w:hAnsi="宋体" w:eastAsia="宋体" w:cs="宋体"/>
          <w:color w:val="auto"/>
          <w:sz w:val="32"/>
          <w:szCs w:val="20"/>
          <w:highlight w:val="none"/>
        </w:rPr>
      </w:pPr>
    </w:p>
    <w:p w14:paraId="3BD9DBBF">
      <w:pPr>
        <w:snapToGrid w:val="0"/>
        <w:spacing w:before="50" w:after="50"/>
        <w:outlineLvl w:val="1"/>
        <w:rPr>
          <w:rFonts w:hint="eastAsia" w:ascii="宋体" w:hAnsi="宋体" w:eastAsia="宋体" w:cs="宋体"/>
          <w:color w:val="auto"/>
          <w:sz w:val="32"/>
          <w:szCs w:val="20"/>
          <w:highlight w:val="none"/>
        </w:rPr>
      </w:pPr>
    </w:p>
    <w:p w14:paraId="15C2E3E4">
      <w:pPr>
        <w:snapToGrid w:val="0"/>
        <w:spacing w:before="50" w:after="50"/>
        <w:outlineLvl w:val="1"/>
        <w:rPr>
          <w:rFonts w:hint="eastAsia" w:ascii="宋体" w:hAnsi="宋体" w:eastAsia="宋体" w:cs="宋体"/>
          <w:color w:val="auto"/>
          <w:sz w:val="32"/>
          <w:szCs w:val="20"/>
          <w:highlight w:val="none"/>
        </w:rPr>
      </w:pPr>
    </w:p>
    <w:p w14:paraId="125A1254">
      <w:pPr>
        <w:rPr>
          <w:rFonts w:hint="eastAsia" w:ascii="宋体" w:hAnsi="宋体" w:eastAsia="宋体" w:cs="宋体"/>
          <w:b/>
          <w:color w:val="auto"/>
          <w:sz w:val="28"/>
          <w:szCs w:val="28"/>
          <w:highlight w:val="none"/>
        </w:rPr>
      </w:pPr>
      <w:r>
        <w:rPr>
          <w:rFonts w:hint="eastAsia" w:ascii="宋体" w:hAnsi="宋体" w:eastAsia="宋体" w:cs="宋体"/>
          <w:color w:val="auto"/>
          <w:sz w:val="32"/>
          <w:szCs w:val="20"/>
          <w:highlight w:val="none"/>
        </w:rPr>
        <w:br w:type="page"/>
      </w:r>
      <w:bookmarkStart w:id="160" w:name="_Toc19686836"/>
      <w:bookmarkStart w:id="161" w:name="_Toc254970698"/>
      <w:bookmarkStart w:id="162" w:name="_Toc254970557"/>
      <w:r>
        <w:rPr>
          <w:rFonts w:hint="eastAsia" w:ascii="宋体" w:hAnsi="宋体" w:eastAsia="宋体" w:cs="宋体"/>
          <w:b/>
          <w:color w:val="auto"/>
          <w:sz w:val="28"/>
          <w:szCs w:val="28"/>
          <w:highlight w:val="none"/>
        </w:rPr>
        <w:t>一、报价文件格式</w:t>
      </w:r>
      <w:bookmarkEnd w:id="160"/>
    </w:p>
    <w:p w14:paraId="1EBA2C04">
      <w:pPr>
        <w:snapToGrid w:val="0"/>
        <w:spacing w:before="120" w:beforeLines="50" w:after="50" w:line="360" w:lineRule="auto"/>
        <w:ind w:left="142"/>
        <w:jc w:val="left"/>
        <w:rPr>
          <w:rFonts w:hint="eastAsia" w:ascii="宋体" w:hAnsi="宋体" w:eastAsia="宋体" w:cs="宋体"/>
          <w:color w:val="auto"/>
          <w:sz w:val="24"/>
          <w:szCs w:val="20"/>
          <w:highlight w:val="none"/>
        </w:rPr>
      </w:pPr>
      <w:r>
        <w:rPr>
          <w:rFonts w:hint="eastAsia" w:ascii="宋体" w:hAnsi="宋体" w:eastAsia="宋体" w:cs="宋体"/>
          <w:b/>
          <w:color w:val="auto"/>
          <w:sz w:val="24"/>
          <w:highlight w:val="none"/>
        </w:rPr>
        <w:t xml:space="preserve">1. 报价文件封面格式： </w:t>
      </w:r>
    </w:p>
    <w:p w14:paraId="765F37B6">
      <w:pPr>
        <w:snapToGrid w:val="0"/>
        <w:spacing w:before="120" w:beforeLines="50" w:after="50" w:line="360" w:lineRule="auto"/>
        <w:ind w:left="142"/>
        <w:jc w:val="center"/>
        <w:rPr>
          <w:rFonts w:hint="eastAsia" w:ascii="宋体" w:hAnsi="宋体" w:eastAsia="宋体" w:cs="宋体"/>
          <w:bCs/>
          <w:color w:val="auto"/>
          <w:sz w:val="48"/>
          <w:szCs w:val="48"/>
          <w:highlight w:val="none"/>
        </w:rPr>
      </w:pPr>
      <w:r>
        <w:rPr>
          <w:rFonts w:hint="eastAsia" w:ascii="宋体" w:hAnsi="宋体" w:eastAsia="宋体" w:cs="宋体"/>
          <w:bCs/>
          <w:color w:val="auto"/>
          <w:sz w:val="48"/>
          <w:szCs w:val="48"/>
          <w:highlight w:val="none"/>
        </w:rPr>
        <w:t>电子投标文件</w:t>
      </w:r>
    </w:p>
    <w:p w14:paraId="3F4EF569">
      <w:pPr>
        <w:snapToGrid w:val="0"/>
        <w:spacing w:before="120" w:beforeLines="50" w:after="50" w:line="400" w:lineRule="exact"/>
        <w:rPr>
          <w:rFonts w:hint="eastAsia" w:ascii="宋体" w:hAnsi="宋体" w:eastAsia="宋体" w:cs="宋体"/>
          <w:bCs/>
          <w:color w:val="auto"/>
          <w:sz w:val="32"/>
          <w:szCs w:val="20"/>
          <w:highlight w:val="none"/>
        </w:rPr>
      </w:pPr>
    </w:p>
    <w:p w14:paraId="7FF36706">
      <w:pPr>
        <w:snapToGrid w:val="0"/>
        <w:spacing w:before="120" w:beforeLines="50" w:after="50" w:line="400" w:lineRule="exact"/>
        <w:jc w:val="center"/>
        <w:rPr>
          <w:rFonts w:hint="eastAsia" w:ascii="宋体" w:hAnsi="宋体" w:eastAsia="宋体" w:cs="宋体"/>
          <w:bCs/>
          <w:color w:val="auto"/>
          <w:sz w:val="24"/>
          <w:szCs w:val="20"/>
          <w:highlight w:val="none"/>
        </w:rPr>
      </w:pPr>
    </w:p>
    <w:p w14:paraId="39F6EF6A">
      <w:pPr>
        <w:snapToGrid w:val="0"/>
        <w:spacing w:before="120" w:beforeLines="50" w:after="50" w:line="400" w:lineRule="exact"/>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报价文件</w:t>
      </w:r>
    </w:p>
    <w:p w14:paraId="5953815E">
      <w:pPr>
        <w:snapToGrid w:val="0"/>
        <w:spacing w:before="120" w:beforeLines="50" w:after="50" w:line="400" w:lineRule="exact"/>
        <w:rPr>
          <w:rFonts w:hint="eastAsia" w:ascii="宋体" w:hAnsi="宋体" w:eastAsia="宋体" w:cs="宋体"/>
          <w:bCs/>
          <w:color w:val="auto"/>
          <w:sz w:val="24"/>
          <w:szCs w:val="20"/>
          <w:highlight w:val="none"/>
        </w:rPr>
      </w:pPr>
    </w:p>
    <w:p w14:paraId="495DCC48">
      <w:pPr>
        <w:snapToGrid w:val="0"/>
        <w:spacing w:before="120" w:beforeLines="50" w:after="50" w:line="400" w:lineRule="exact"/>
        <w:rPr>
          <w:rFonts w:hint="eastAsia" w:ascii="宋体" w:hAnsi="宋体" w:eastAsia="宋体" w:cs="宋体"/>
          <w:bCs/>
          <w:color w:val="auto"/>
          <w:sz w:val="24"/>
          <w:szCs w:val="20"/>
          <w:highlight w:val="none"/>
        </w:rPr>
      </w:pPr>
    </w:p>
    <w:p w14:paraId="6C018823">
      <w:pPr>
        <w:snapToGrid w:val="0"/>
        <w:spacing w:before="120" w:beforeLines="50" w:after="50" w:line="400" w:lineRule="exact"/>
        <w:rPr>
          <w:rFonts w:hint="eastAsia" w:ascii="宋体" w:hAnsi="宋体" w:eastAsia="宋体" w:cs="宋体"/>
          <w:bCs/>
          <w:color w:val="auto"/>
          <w:sz w:val="24"/>
          <w:szCs w:val="20"/>
          <w:highlight w:val="none"/>
        </w:rPr>
      </w:pPr>
    </w:p>
    <w:p w14:paraId="6C3A9A19">
      <w:pPr>
        <w:snapToGrid w:val="0"/>
        <w:spacing w:before="120" w:beforeLines="50" w:after="50" w:line="400" w:lineRule="exact"/>
        <w:rPr>
          <w:rFonts w:hint="eastAsia" w:ascii="宋体" w:hAnsi="宋体" w:eastAsia="宋体" w:cs="宋体"/>
          <w:bCs/>
          <w:color w:val="auto"/>
          <w:sz w:val="24"/>
          <w:szCs w:val="20"/>
          <w:highlight w:val="none"/>
        </w:rPr>
      </w:pPr>
    </w:p>
    <w:p w14:paraId="5B370F5B">
      <w:pPr>
        <w:snapToGrid w:val="0"/>
        <w:spacing w:before="120" w:beforeLines="50" w:after="50" w:line="400" w:lineRule="exact"/>
        <w:ind w:firstLine="360" w:firstLineChars="15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 xml:space="preserve">项目名称： </w:t>
      </w:r>
    </w:p>
    <w:p w14:paraId="05746ADD">
      <w:pPr>
        <w:snapToGrid w:val="0"/>
        <w:spacing w:before="120" w:beforeLines="50" w:after="50" w:line="400" w:lineRule="exact"/>
        <w:ind w:firstLine="360" w:firstLineChars="150"/>
        <w:rPr>
          <w:rFonts w:hint="eastAsia" w:ascii="宋体" w:hAnsi="宋体" w:eastAsia="宋体" w:cs="宋体"/>
          <w:bCs/>
          <w:color w:val="auto"/>
          <w:sz w:val="24"/>
          <w:highlight w:val="none"/>
        </w:rPr>
      </w:pPr>
    </w:p>
    <w:p w14:paraId="04025C19">
      <w:pPr>
        <w:snapToGrid w:val="0"/>
        <w:spacing w:before="120" w:beforeLines="50" w:after="50" w:line="400" w:lineRule="exact"/>
        <w:ind w:firstLine="360" w:firstLineChars="15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 xml:space="preserve">项目编号： </w:t>
      </w:r>
    </w:p>
    <w:p w14:paraId="724AF4A4">
      <w:pPr>
        <w:snapToGrid w:val="0"/>
        <w:spacing w:before="120" w:beforeLines="50" w:after="50" w:line="400" w:lineRule="exact"/>
        <w:ind w:firstLine="360" w:firstLineChars="150"/>
        <w:rPr>
          <w:rFonts w:hint="eastAsia" w:ascii="宋体" w:hAnsi="宋体" w:eastAsia="宋体" w:cs="宋体"/>
          <w:bCs/>
          <w:color w:val="auto"/>
          <w:sz w:val="24"/>
          <w:highlight w:val="none"/>
        </w:rPr>
      </w:pPr>
    </w:p>
    <w:p w14:paraId="4D6D949E">
      <w:pPr>
        <w:snapToGrid w:val="0"/>
        <w:spacing w:before="120" w:beforeLines="50" w:after="50" w:line="400" w:lineRule="exact"/>
        <w:ind w:firstLine="360" w:firstLineChars="15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所投分标：</w:t>
      </w:r>
    </w:p>
    <w:p w14:paraId="6B6C08AC">
      <w:pPr>
        <w:snapToGrid w:val="0"/>
        <w:spacing w:before="120" w:beforeLines="50" w:after="50" w:line="400" w:lineRule="exact"/>
        <w:ind w:firstLine="360" w:firstLineChars="150"/>
        <w:rPr>
          <w:rFonts w:hint="eastAsia" w:ascii="宋体" w:hAnsi="宋体" w:eastAsia="宋体" w:cs="宋体"/>
          <w:bCs/>
          <w:color w:val="auto"/>
          <w:sz w:val="24"/>
          <w:highlight w:val="none"/>
        </w:rPr>
      </w:pPr>
    </w:p>
    <w:p w14:paraId="40F299C7">
      <w:pPr>
        <w:snapToGrid w:val="0"/>
        <w:spacing w:before="120" w:beforeLines="50" w:after="50" w:line="400" w:lineRule="exact"/>
        <w:ind w:firstLine="360" w:firstLineChars="15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投标人名称：</w:t>
      </w:r>
    </w:p>
    <w:p w14:paraId="27E02CF1">
      <w:pPr>
        <w:snapToGrid w:val="0"/>
        <w:spacing w:before="120" w:beforeLines="50" w:after="50" w:line="400" w:lineRule="exact"/>
        <w:ind w:firstLine="360" w:firstLineChars="150"/>
        <w:rPr>
          <w:rFonts w:hint="eastAsia" w:ascii="宋体" w:hAnsi="宋体" w:eastAsia="宋体" w:cs="宋体"/>
          <w:bCs/>
          <w:color w:val="auto"/>
          <w:sz w:val="24"/>
          <w:highlight w:val="none"/>
        </w:rPr>
      </w:pPr>
    </w:p>
    <w:p w14:paraId="269785A4">
      <w:pPr>
        <w:snapToGrid w:val="0"/>
        <w:spacing w:before="120" w:beforeLines="50" w:after="50" w:line="400" w:lineRule="exact"/>
        <w:ind w:firstLine="360" w:firstLineChars="15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投标人地址：</w:t>
      </w:r>
    </w:p>
    <w:p w14:paraId="3E13C525">
      <w:pPr>
        <w:pStyle w:val="9"/>
        <w:snapToGrid w:val="0"/>
        <w:spacing w:before="50" w:after="50" w:line="400" w:lineRule="exact"/>
        <w:ind w:firstLine="960" w:firstLineChars="400"/>
        <w:rPr>
          <w:rFonts w:hint="eastAsia" w:ascii="宋体" w:hAnsi="宋体" w:eastAsia="宋体" w:cs="宋体"/>
          <w:bCs/>
          <w:color w:val="auto"/>
          <w:sz w:val="24"/>
          <w:szCs w:val="24"/>
          <w:highlight w:val="none"/>
        </w:rPr>
      </w:pPr>
    </w:p>
    <w:p w14:paraId="2F29DD1D">
      <w:pPr>
        <w:snapToGrid w:val="0"/>
        <w:spacing w:before="120" w:beforeLines="50" w:after="50" w:line="400" w:lineRule="exact"/>
        <w:rPr>
          <w:rFonts w:hint="eastAsia" w:ascii="宋体" w:hAnsi="宋体" w:eastAsia="宋体" w:cs="宋体"/>
          <w:color w:val="auto"/>
          <w:sz w:val="30"/>
          <w:szCs w:val="20"/>
          <w:highlight w:val="none"/>
        </w:rPr>
      </w:pPr>
      <w:r>
        <w:rPr>
          <w:rFonts w:hint="eastAsia" w:ascii="宋体" w:hAnsi="宋体" w:eastAsia="宋体" w:cs="宋体"/>
          <w:color w:val="auto"/>
          <w:sz w:val="24"/>
          <w:highlight w:val="none"/>
        </w:rPr>
        <w:t xml:space="preserve">                                   年  月  日</w:t>
      </w:r>
    </w:p>
    <w:p w14:paraId="26C70D54">
      <w:pPr>
        <w:snapToGrid w:val="0"/>
        <w:spacing w:before="120" w:beforeLines="50" w:after="50" w:line="360" w:lineRule="auto"/>
        <w:jc w:val="left"/>
        <w:rPr>
          <w:rFonts w:hint="eastAsia" w:ascii="宋体" w:hAnsi="宋体" w:eastAsia="宋体" w:cs="宋体"/>
          <w:color w:val="auto"/>
          <w:sz w:val="24"/>
          <w:szCs w:val="20"/>
          <w:highlight w:val="none"/>
        </w:rPr>
      </w:pPr>
      <w:r>
        <w:rPr>
          <w:rFonts w:hint="eastAsia" w:ascii="宋体" w:hAnsi="宋体" w:eastAsia="宋体" w:cs="宋体"/>
          <w:b/>
          <w:color w:val="auto"/>
          <w:sz w:val="24"/>
          <w:highlight w:val="none"/>
        </w:rPr>
        <w:br w:type="page"/>
      </w:r>
      <w:r>
        <w:rPr>
          <w:rFonts w:hint="eastAsia" w:ascii="宋体" w:hAnsi="宋体" w:eastAsia="宋体" w:cs="宋体"/>
          <w:b/>
          <w:color w:val="auto"/>
          <w:sz w:val="24"/>
          <w:highlight w:val="none"/>
        </w:rPr>
        <w:t>2.</w:t>
      </w:r>
      <w:r>
        <w:rPr>
          <w:rFonts w:hint="eastAsia" w:ascii="宋体" w:hAnsi="宋体" w:eastAsia="宋体" w:cs="宋体"/>
          <w:b/>
          <w:bCs/>
          <w:color w:val="auto"/>
          <w:sz w:val="24"/>
          <w:highlight w:val="none"/>
        </w:rPr>
        <w:t>报价文件目录</w:t>
      </w:r>
    </w:p>
    <w:p w14:paraId="773D443A">
      <w:pPr>
        <w:snapToGrid w:val="0"/>
        <w:spacing w:before="50" w:after="120" w:afterLines="50" w:line="360" w:lineRule="auto"/>
        <w:jc w:val="left"/>
        <w:rPr>
          <w:rFonts w:hint="eastAsia" w:ascii="宋体" w:hAnsi="宋体" w:eastAsia="宋体" w:cs="宋体"/>
          <w:b/>
          <w:color w:val="auto"/>
          <w:sz w:val="24"/>
          <w:highlight w:val="none"/>
        </w:rPr>
      </w:pPr>
      <w:r>
        <w:rPr>
          <w:rFonts w:hint="eastAsia" w:ascii="宋体" w:hAnsi="宋体" w:eastAsia="宋体" w:cs="宋体"/>
          <w:color w:val="auto"/>
          <w:szCs w:val="21"/>
          <w:highlight w:val="none"/>
        </w:rPr>
        <w:t>根据招标文件规定及投标人提供的材料自行编写目录。</w:t>
      </w:r>
    </w:p>
    <w:p w14:paraId="716B2368">
      <w:pPr>
        <w:snapToGrid w:val="0"/>
        <w:spacing w:before="120" w:beforeLines="50" w:after="50"/>
        <w:rPr>
          <w:rFonts w:hint="eastAsia" w:ascii="宋体" w:hAnsi="宋体" w:eastAsia="宋体" w:cs="宋体"/>
          <w:b/>
          <w:color w:val="auto"/>
          <w:sz w:val="24"/>
          <w:highlight w:val="none"/>
        </w:rPr>
      </w:pPr>
    </w:p>
    <w:p w14:paraId="5005E7FC">
      <w:pPr>
        <w:snapToGrid w:val="0"/>
        <w:spacing w:before="120" w:beforeLines="50" w:after="50"/>
        <w:rPr>
          <w:rFonts w:hint="eastAsia" w:ascii="宋体" w:hAnsi="宋体" w:eastAsia="宋体" w:cs="宋体"/>
          <w:b/>
          <w:color w:val="auto"/>
          <w:sz w:val="24"/>
          <w:highlight w:val="none"/>
        </w:rPr>
      </w:pPr>
    </w:p>
    <w:p w14:paraId="0B348E17">
      <w:pPr>
        <w:snapToGrid w:val="0"/>
        <w:spacing w:before="120" w:beforeLines="50" w:after="50"/>
        <w:rPr>
          <w:rFonts w:hint="eastAsia" w:ascii="宋体" w:hAnsi="宋体" w:eastAsia="宋体" w:cs="宋体"/>
          <w:b/>
          <w:color w:val="auto"/>
          <w:sz w:val="24"/>
          <w:highlight w:val="none"/>
        </w:rPr>
      </w:pPr>
    </w:p>
    <w:p w14:paraId="2CA5B511">
      <w:pPr>
        <w:snapToGrid w:val="0"/>
        <w:spacing w:before="120" w:beforeLines="50" w:after="50"/>
        <w:ind w:left="142"/>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br w:type="page"/>
      </w:r>
      <w:r>
        <w:rPr>
          <w:rFonts w:hint="eastAsia" w:ascii="宋体" w:hAnsi="宋体" w:eastAsia="宋体" w:cs="宋体"/>
          <w:b/>
          <w:color w:val="auto"/>
          <w:sz w:val="24"/>
          <w:highlight w:val="none"/>
        </w:rPr>
        <w:t>3. 投标函格式：</w:t>
      </w:r>
    </w:p>
    <w:p w14:paraId="2BAD93AC">
      <w:pPr>
        <w:snapToGrid w:val="0"/>
        <w:spacing w:before="120" w:beforeLines="50" w:after="50" w:line="320" w:lineRule="exact"/>
        <w:jc w:val="center"/>
        <w:rPr>
          <w:rFonts w:hint="eastAsia" w:ascii="宋体" w:hAnsi="宋体" w:eastAsia="宋体" w:cs="宋体"/>
          <w:b/>
          <w:color w:val="auto"/>
          <w:sz w:val="32"/>
          <w:szCs w:val="32"/>
          <w:highlight w:val="none"/>
        </w:rPr>
      </w:pPr>
    </w:p>
    <w:p w14:paraId="650253ED">
      <w:pPr>
        <w:snapToGrid w:val="0"/>
        <w:spacing w:before="120" w:beforeLines="50" w:after="50" w:line="320" w:lineRule="exact"/>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投 标 函</w:t>
      </w:r>
    </w:p>
    <w:p w14:paraId="1475656E">
      <w:pPr>
        <w:snapToGrid w:val="0"/>
        <w:spacing w:line="360" w:lineRule="auto"/>
        <w:rPr>
          <w:rFonts w:hint="eastAsia" w:ascii="宋体" w:hAnsi="宋体" w:eastAsia="宋体" w:cs="宋体"/>
          <w:color w:val="auto"/>
          <w:sz w:val="21"/>
          <w:szCs w:val="21"/>
          <w:highlight w:val="none"/>
        </w:rPr>
      </w:pPr>
    </w:p>
    <w:p w14:paraId="3E0F9422">
      <w:pPr>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致：</w:t>
      </w:r>
      <w:r>
        <w:rPr>
          <w:rFonts w:hint="eastAsia" w:ascii="宋体" w:hAnsi="宋体" w:eastAsia="宋体" w:cs="宋体"/>
          <w:color w:val="auto"/>
          <w:sz w:val="21"/>
          <w:szCs w:val="21"/>
          <w:highlight w:val="none"/>
          <w:u w:val="single"/>
        </w:rPr>
        <w:t>采购人名称</w:t>
      </w:r>
    </w:p>
    <w:p w14:paraId="6BFBEE1C">
      <w:pPr>
        <w:snapToGrid w:val="0"/>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根据贵方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项目名称</w:t>
      </w:r>
      <w:r>
        <w:rPr>
          <w:rFonts w:hint="eastAsia" w:ascii="宋体" w:hAnsi="宋体" w:eastAsia="宋体" w:cs="宋体"/>
          <w:color w:val="auto"/>
          <w:sz w:val="21"/>
          <w:szCs w:val="21"/>
          <w:highlight w:val="none"/>
        </w:rPr>
        <w:t>（项目编号：</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）的招标文件，签字代表______（姓名）经正式授权并代表投标人</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（投标人名称）提交投标文件。</w:t>
      </w:r>
    </w:p>
    <w:p w14:paraId="7D3D7E05">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据此函，我方宣布同意如下：</w:t>
      </w:r>
    </w:p>
    <w:p w14:paraId="5A231AB0">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1.我方已详细审查全部“招标文件”，包括修改文件（如有的话）以及全部参考资料和有关附件，已经了解我方对于招标文件、采购过程、采购结果有依法进行询问、质疑、投诉的权利及相关渠道和要求。</w:t>
      </w:r>
    </w:p>
    <w:p w14:paraId="495064CA">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2.我方在投标之前已经完全理解并接受招标文件的各项规定和要求，对招标文件的合理性、合法性不再有异议。</w:t>
      </w:r>
    </w:p>
    <w:p w14:paraId="2F7C9C07">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3.本投标有效期自投标截止之日起</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日。</w:t>
      </w:r>
    </w:p>
    <w:p w14:paraId="7B1583AF">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4.如中标，本投标文件至本项目合同履行完毕止均保持有效，我方将按“招标文件”及政府采购法律、法规的规定履行合同责任和义务。</w:t>
      </w:r>
    </w:p>
    <w:p w14:paraId="2299D80E">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5.我方同意按照贵方要求提供与投标有关的一切数据或者资料。</w:t>
      </w:r>
    </w:p>
    <w:p w14:paraId="6CAE5690">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6.我方向贵方提交的所有投标文件、资料都是准确的和真实的。</w:t>
      </w:r>
    </w:p>
    <w:p w14:paraId="7E0ACB8C">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我方完全理解贵方不</w:t>
      </w:r>
      <w:r>
        <w:rPr>
          <w:rFonts w:hint="eastAsia" w:ascii="宋体" w:hAnsi="宋体" w:eastAsia="宋体" w:cs="宋体"/>
          <w:color w:val="auto"/>
          <w:highlight w:val="none"/>
        </w:rPr>
        <w:t>一定接受投标报价最低的投标人为中标供应商的行为。</w:t>
      </w:r>
    </w:p>
    <w:p w14:paraId="54B07B45">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根据《中华人民共和国政府采购法实施条例》第五十条要求对政府采购合同进行公告，但政府采购合同中涉及国家秘密、商业秘密的内容除外。我方就对本次投标文件进行注明如下：（两项内容中必须选择一项）</w:t>
      </w:r>
    </w:p>
    <w:p w14:paraId="263F6CC5">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□我方本次投标文件</w:t>
      </w:r>
      <w:r>
        <w:rPr>
          <w:rFonts w:hint="eastAsia" w:ascii="宋体" w:hAnsi="宋体" w:eastAsia="宋体" w:cs="宋体"/>
          <w:color w:val="auto"/>
          <w:kern w:val="2"/>
          <w:sz w:val="21"/>
          <w:szCs w:val="21"/>
          <w:highlight w:val="none"/>
        </w:rPr>
        <w:t>内容中</w:t>
      </w:r>
      <w:r>
        <w:rPr>
          <w:rFonts w:hint="eastAsia" w:ascii="宋体" w:hAnsi="宋体" w:eastAsia="宋体" w:cs="宋体"/>
          <w:color w:val="auto"/>
          <w:sz w:val="21"/>
          <w:szCs w:val="21"/>
          <w:highlight w:val="none"/>
        </w:rPr>
        <w:t>未</w:t>
      </w:r>
      <w:r>
        <w:rPr>
          <w:rFonts w:hint="eastAsia" w:ascii="宋体" w:hAnsi="宋体" w:eastAsia="宋体" w:cs="宋体"/>
          <w:color w:val="auto"/>
          <w:kern w:val="2"/>
          <w:sz w:val="21"/>
          <w:szCs w:val="21"/>
          <w:highlight w:val="none"/>
        </w:rPr>
        <w:t>涉及商业秘密；</w:t>
      </w:r>
    </w:p>
    <w:p w14:paraId="4220B22E">
      <w:pPr>
        <w:snapToGrid w:val="0"/>
        <w:spacing w:line="360" w:lineRule="auto"/>
        <w:ind w:firstLine="420" w:firstLineChars="200"/>
        <w:rPr>
          <w:rFonts w:hint="eastAsia" w:ascii="宋体" w:hAnsi="宋体" w:eastAsia="宋体" w:cs="宋体"/>
          <w:color w:val="auto"/>
          <w:kern w:val="2"/>
          <w:sz w:val="21"/>
          <w:szCs w:val="21"/>
          <w:highlight w:val="none"/>
        </w:rPr>
      </w:pPr>
      <w:r>
        <w:rPr>
          <w:rFonts w:hint="eastAsia" w:ascii="宋体" w:hAnsi="宋体" w:eastAsia="宋体" w:cs="宋体"/>
          <w:color w:val="auto"/>
          <w:sz w:val="21"/>
          <w:szCs w:val="21"/>
          <w:highlight w:val="none"/>
        </w:rPr>
        <w:t>□我方本次投标文件</w:t>
      </w:r>
      <w:r>
        <w:rPr>
          <w:rFonts w:hint="eastAsia" w:ascii="宋体" w:hAnsi="宋体" w:eastAsia="宋体" w:cs="宋体"/>
          <w:color w:val="auto"/>
          <w:kern w:val="2"/>
          <w:sz w:val="21"/>
          <w:szCs w:val="21"/>
          <w:highlight w:val="none"/>
        </w:rPr>
        <w:t>涉及商业秘密的内容有：</w:t>
      </w:r>
      <w:r>
        <w:rPr>
          <w:rFonts w:hint="eastAsia" w:ascii="宋体" w:hAnsi="宋体" w:eastAsia="宋体" w:cs="宋体"/>
          <w:color w:val="auto"/>
          <w:kern w:val="2"/>
          <w:sz w:val="21"/>
          <w:szCs w:val="21"/>
          <w:highlight w:val="none"/>
          <w:u w:val="single"/>
          <w:lang w:val="en-US" w:eastAsia="zh-CN"/>
        </w:rPr>
        <w:t xml:space="preserve">         </w:t>
      </w:r>
      <w:r>
        <w:rPr>
          <w:rFonts w:hint="eastAsia" w:ascii="宋体" w:hAnsi="宋体" w:eastAsia="宋体" w:cs="宋体"/>
          <w:color w:val="auto"/>
          <w:kern w:val="2"/>
          <w:sz w:val="21"/>
          <w:szCs w:val="21"/>
          <w:highlight w:val="none"/>
          <w:lang w:val="en-US" w:eastAsia="zh-CN"/>
        </w:rPr>
        <w:t xml:space="preserve"> </w:t>
      </w:r>
      <w:r>
        <w:rPr>
          <w:rFonts w:hint="eastAsia" w:ascii="宋体" w:hAnsi="宋体" w:eastAsia="宋体" w:cs="宋体"/>
          <w:color w:val="auto"/>
          <w:kern w:val="2"/>
          <w:sz w:val="21"/>
          <w:szCs w:val="21"/>
          <w:highlight w:val="none"/>
        </w:rPr>
        <w:t>；</w:t>
      </w:r>
    </w:p>
    <w:p w14:paraId="66B065B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9.</w:t>
      </w:r>
      <w:r>
        <w:rPr>
          <w:rFonts w:hint="eastAsia" w:ascii="宋体" w:hAnsi="宋体" w:eastAsia="宋体" w:cs="宋体"/>
          <w:color w:val="auto"/>
          <w:szCs w:val="21"/>
          <w:highlight w:val="none"/>
        </w:rPr>
        <w:t>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139CE12E">
      <w:pPr>
        <w:spacing w:line="360" w:lineRule="auto"/>
        <w:ind w:left="0" w:firstLine="420" w:firstLineChars="200"/>
        <w:rPr>
          <w:rFonts w:hint="eastAsia" w:ascii="宋体" w:hAnsi="宋体" w:eastAsia="宋体" w:cs="宋体"/>
          <w:color w:val="auto"/>
          <w:szCs w:val="21"/>
          <w:highlight w:val="none"/>
        </w:rPr>
      </w:pPr>
      <w:r>
        <w:rPr>
          <w:rFonts w:hint="eastAsia" w:ascii="宋体" w:hAnsi="宋体" w:eastAsia="宋体" w:cs="宋体"/>
          <w:color w:val="auto"/>
          <w:kern w:val="2"/>
          <w:sz w:val="21"/>
          <w:szCs w:val="21"/>
          <w:highlight w:val="none"/>
          <w:lang w:val="en-US" w:eastAsia="zh-CN" w:bidi="ar-SA"/>
        </w:rPr>
        <w:t>（1）</w:t>
      </w:r>
      <w:r>
        <w:rPr>
          <w:rFonts w:hint="eastAsia" w:ascii="宋体" w:hAnsi="宋体" w:eastAsia="宋体" w:cs="宋体"/>
          <w:color w:val="auto"/>
          <w:szCs w:val="21"/>
          <w:highlight w:val="none"/>
        </w:rPr>
        <w:t>提供虚假材料谋取中标、成交的；</w:t>
      </w:r>
    </w:p>
    <w:p w14:paraId="63691EFC">
      <w:pPr>
        <w:spacing w:line="360" w:lineRule="auto"/>
        <w:ind w:left="0" w:firstLine="420" w:firstLineChars="200"/>
        <w:rPr>
          <w:rFonts w:hint="eastAsia" w:ascii="宋体" w:hAnsi="宋体" w:eastAsia="宋体" w:cs="宋体"/>
          <w:color w:val="auto"/>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color w:val="auto"/>
          <w:szCs w:val="21"/>
          <w:highlight w:val="none"/>
        </w:rPr>
        <w:t>采取不正当手段诋毁、排挤其他供应商的；</w:t>
      </w:r>
    </w:p>
    <w:p w14:paraId="300D4D1C">
      <w:pPr>
        <w:spacing w:line="360" w:lineRule="auto"/>
        <w:ind w:left="0" w:firstLine="420" w:firstLineChars="200"/>
        <w:rPr>
          <w:rFonts w:hint="eastAsia" w:ascii="宋体" w:hAnsi="宋体" w:eastAsia="宋体" w:cs="宋体"/>
          <w:color w:val="auto"/>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color w:val="auto"/>
          <w:szCs w:val="21"/>
          <w:highlight w:val="none"/>
        </w:rPr>
        <w:t>与采购人、其他供应商或者采购代理机构恶意串通的；</w:t>
      </w:r>
    </w:p>
    <w:p w14:paraId="7BC7D4B5">
      <w:pPr>
        <w:spacing w:line="360" w:lineRule="auto"/>
        <w:ind w:left="0" w:firstLine="420" w:firstLineChars="200"/>
        <w:rPr>
          <w:rFonts w:hint="eastAsia" w:ascii="宋体" w:hAnsi="宋体" w:eastAsia="宋体" w:cs="宋体"/>
          <w:color w:val="auto"/>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color w:val="auto"/>
          <w:szCs w:val="21"/>
          <w:highlight w:val="none"/>
        </w:rPr>
        <w:t>向采购人、采购代理机构行贿或者提供其他不正当利益的；</w:t>
      </w:r>
    </w:p>
    <w:p w14:paraId="5F14F245">
      <w:pPr>
        <w:spacing w:line="360" w:lineRule="auto"/>
        <w:ind w:left="0" w:firstLine="420" w:firstLineChars="200"/>
        <w:rPr>
          <w:rFonts w:hint="eastAsia" w:ascii="宋体" w:hAnsi="宋体" w:eastAsia="宋体" w:cs="宋体"/>
          <w:color w:val="auto"/>
          <w:szCs w:val="21"/>
          <w:highlight w:val="none"/>
        </w:rPr>
      </w:pPr>
      <w:r>
        <w:rPr>
          <w:rFonts w:hint="eastAsia" w:ascii="宋体" w:hAnsi="宋体" w:eastAsia="宋体" w:cs="宋体"/>
          <w:color w:val="auto"/>
          <w:kern w:val="2"/>
          <w:sz w:val="21"/>
          <w:szCs w:val="21"/>
          <w:highlight w:val="none"/>
          <w:lang w:val="en-US" w:eastAsia="zh-CN" w:bidi="ar-SA"/>
        </w:rPr>
        <w:t>（5）</w:t>
      </w:r>
      <w:r>
        <w:rPr>
          <w:rFonts w:hint="eastAsia" w:ascii="宋体" w:hAnsi="宋体" w:eastAsia="宋体" w:cs="宋体"/>
          <w:color w:val="auto"/>
          <w:szCs w:val="21"/>
          <w:highlight w:val="none"/>
        </w:rPr>
        <w:t>在招标采购过程中与采购人进行协商谈判的；</w:t>
      </w:r>
    </w:p>
    <w:p w14:paraId="4A39E3B0">
      <w:pPr>
        <w:snapToGrid/>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kern w:val="2"/>
          <w:sz w:val="21"/>
          <w:szCs w:val="21"/>
          <w:highlight w:val="none"/>
          <w:lang w:val="en-US" w:eastAsia="zh-CN" w:bidi="ar-SA"/>
        </w:rPr>
        <w:t>（6）</w:t>
      </w:r>
      <w:r>
        <w:rPr>
          <w:rFonts w:hint="eastAsia" w:ascii="宋体" w:hAnsi="宋体" w:eastAsia="宋体" w:cs="宋体"/>
          <w:color w:val="auto"/>
          <w:szCs w:val="21"/>
          <w:highlight w:val="none"/>
        </w:rPr>
        <w:t>拒绝有关部门监督检查或提供虚假情况的。</w:t>
      </w:r>
    </w:p>
    <w:p w14:paraId="753D8323">
      <w:pPr>
        <w:snapToGrid/>
        <w:spacing w:line="360" w:lineRule="auto"/>
        <w:ind w:firstLine="420" w:firstLineChars="200"/>
        <w:rPr>
          <w:rFonts w:hint="eastAsia" w:ascii="宋体" w:hAnsi="宋体" w:eastAsia="宋体" w:cs="宋体"/>
          <w:color w:val="auto"/>
          <w:kern w:val="2"/>
          <w:sz w:val="21"/>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eastAsia="zh-CN"/>
        </w:rPr>
        <w:t>0</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以上事项如有虚假或隐瞒，我方愿意承担一切后果，并不再寻求任何旨在减轻或免除法律责任的辩解。</w:t>
      </w:r>
    </w:p>
    <w:p w14:paraId="0B52E7D6">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11</w:t>
      </w:r>
      <w:r>
        <w:rPr>
          <w:rFonts w:hint="eastAsia" w:ascii="宋体" w:hAnsi="宋体" w:eastAsia="宋体" w:cs="宋体"/>
          <w:color w:val="auto"/>
          <w:sz w:val="21"/>
          <w:szCs w:val="21"/>
          <w:highlight w:val="none"/>
        </w:rPr>
        <w:t>.与本项目有关的一切正式往来信函请寄：</w:t>
      </w:r>
    </w:p>
    <w:p w14:paraId="527D9914">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地址：</w:t>
      </w:r>
    </w:p>
    <w:p w14:paraId="04FAF6EC">
      <w:pPr>
        <w:snapToGrid w:val="0"/>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邮编：</w:t>
      </w:r>
    </w:p>
    <w:p w14:paraId="2373D734">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联系人：</w:t>
      </w:r>
    </w:p>
    <w:p w14:paraId="0FA1EC02">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电话：</w:t>
      </w:r>
    </w:p>
    <w:p w14:paraId="785CFAF2">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传真：</w:t>
      </w:r>
    </w:p>
    <w:p w14:paraId="10E48A60">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电子邮箱：</w:t>
      </w:r>
    </w:p>
    <w:p w14:paraId="0E3054A9">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投标人名称：</w:t>
      </w:r>
    </w:p>
    <w:p w14:paraId="19AB4AEE">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开户银行： </w:t>
      </w:r>
    </w:p>
    <w:p w14:paraId="2BAB6928">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银行账号：</w:t>
      </w:r>
    </w:p>
    <w:p w14:paraId="2C99EA51">
      <w:pPr>
        <w:snapToGrid w:val="0"/>
        <w:spacing w:line="360" w:lineRule="auto"/>
        <w:ind w:firstLine="420" w:firstLineChars="200"/>
        <w:jc w:val="left"/>
        <w:rPr>
          <w:rFonts w:hint="eastAsia" w:ascii="宋体" w:hAnsi="宋体" w:eastAsia="宋体" w:cs="宋体"/>
          <w:color w:val="auto"/>
          <w:sz w:val="21"/>
          <w:szCs w:val="21"/>
          <w:highlight w:val="none"/>
        </w:rPr>
      </w:pPr>
    </w:p>
    <w:p w14:paraId="2163F25B">
      <w:pPr>
        <w:snapToGrid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  法定代表人或者委托代理人（签字或者电子签名）：</w:t>
      </w:r>
    </w:p>
    <w:p w14:paraId="6F12C7DF">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投标人名称（电子签章）：                                  </w:t>
      </w:r>
    </w:p>
    <w:p w14:paraId="460B6A61">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日</w:t>
      </w:r>
    </w:p>
    <w:p w14:paraId="7479DDC5">
      <w:pPr>
        <w:snapToGrid w:val="0"/>
        <w:spacing w:before="120" w:beforeLines="50" w:after="50"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u w:val="single"/>
        </w:rPr>
        <w:br w:type="page"/>
      </w:r>
    </w:p>
    <w:p w14:paraId="2A584DB5">
      <w:pPr>
        <w:snapToGrid w:val="0"/>
        <w:spacing w:before="120" w:beforeLines="50" w:after="50"/>
        <w:jc w:val="left"/>
        <w:rPr>
          <w:rFonts w:hint="eastAsia" w:ascii="宋体" w:hAnsi="宋体" w:eastAsia="宋体" w:cs="宋体"/>
          <w:b/>
          <w:color w:val="auto"/>
          <w:sz w:val="24"/>
          <w:szCs w:val="20"/>
          <w:highlight w:val="none"/>
          <w:lang w:eastAsia="zh-CN"/>
        </w:rPr>
      </w:pPr>
      <w:r>
        <w:rPr>
          <w:rFonts w:hint="eastAsia" w:ascii="宋体" w:hAnsi="宋体" w:eastAsia="宋体" w:cs="宋体"/>
          <w:b/>
          <w:color w:val="auto"/>
          <w:sz w:val="24"/>
          <w:highlight w:val="none"/>
        </w:rPr>
        <w:t>4. 开标一览表</w:t>
      </w:r>
      <w:r>
        <w:rPr>
          <w:rFonts w:hint="eastAsia" w:ascii="宋体" w:hAnsi="宋体" w:eastAsia="宋体" w:cs="宋体"/>
          <w:b/>
          <w:color w:val="auto"/>
          <w:sz w:val="24"/>
          <w:highlight w:val="none"/>
          <w:lang w:eastAsia="zh-CN"/>
        </w:rPr>
        <w:t>（</w:t>
      </w:r>
      <w:r>
        <w:rPr>
          <w:rFonts w:hint="eastAsia" w:ascii="宋体" w:hAnsi="宋体" w:eastAsia="宋体" w:cs="宋体"/>
          <w:b/>
          <w:color w:val="auto"/>
          <w:sz w:val="24"/>
          <w:highlight w:val="none"/>
        </w:rPr>
        <w:t>分标</w:t>
      </w:r>
      <w:r>
        <w:rPr>
          <w:rFonts w:hint="eastAsia" w:ascii="宋体" w:hAnsi="宋体" w:eastAsia="宋体" w:cs="宋体"/>
          <w:b/>
          <w:color w:val="auto"/>
          <w:sz w:val="24"/>
          <w:highlight w:val="none"/>
          <w:lang w:val="en-US" w:eastAsia="zh-CN"/>
        </w:rPr>
        <w:t>1-</w:t>
      </w:r>
      <w:r>
        <w:rPr>
          <w:rFonts w:hint="eastAsia" w:ascii="宋体" w:hAnsi="宋体" w:eastAsia="宋体" w:cs="宋体"/>
          <w:b/>
          <w:color w:val="auto"/>
          <w:sz w:val="24"/>
          <w:highlight w:val="none"/>
        </w:rPr>
        <w:t>分标</w:t>
      </w:r>
      <w:r>
        <w:rPr>
          <w:rFonts w:hint="eastAsia" w:ascii="宋体" w:hAnsi="宋体" w:eastAsia="宋体" w:cs="宋体"/>
          <w:b/>
          <w:color w:val="auto"/>
          <w:sz w:val="24"/>
          <w:highlight w:val="none"/>
          <w:lang w:val="en-US" w:eastAsia="zh-CN"/>
        </w:rPr>
        <w:t>4格式</w:t>
      </w:r>
      <w:r>
        <w:rPr>
          <w:rFonts w:hint="eastAsia" w:ascii="宋体" w:hAnsi="宋体" w:eastAsia="宋体" w:cs="宋体"/>
          <w:b/>
          <w:color w:val="auto"/>
          <w:sz w:val="24"/>
          <w:highlight w:val="none"/>
          <w:lang w:eastAsia="zh-CN"/>
        </w:rPr>
        <w:t>）</w:t>
      </w:r>
    </w:p>
    <w:p w14:paraId="0F687575">
      <w:pPr>
        <w:snapToGrid w:val="0"/>
        <w:spacing w:before="50" w:after="50"/>
        <w:jc w:val="center"/>
        <w:rPr>
          <w:rFonts w:hint="eastAsia" w:ascii="宋体" w:hAnsi="宋体" w:eastAsia="宋体" w:cs="宋体"/>
          <w:b/>
          <w:color w:val="auto"/>
          <w:sz w:val="30"/>
          <w:highlight w:val="none"/>
        </w:rPr>
      </w:pPr>
      <w:r>
        <w:rPr>
          <w:rFonts w:hint="eastAsia" w:ascii="宋体" w:hAnsi="宋体" w:eastAsia="宋体" w:cs="宋体"/>
          <w:b/>
          <w:color w:val="auto"/>
          <w:sz w:val="30"/>
          <w:highlight w:val="none"/>
        </w:rPr>
        <w:t>开标一览表</w:t>
      </w:r>
    </w:p>
    <w:p w14:paraId="56907822">
      <w:pPr>
        <w:snapToGrid w:val="0"/>
        <w:spacing w:before="50" w:after="50"/>
        <w:jc w:val="center"/>
        <w:rPr>
          <w:rFonts w:hint="eastAsia" w:ascii="宋体" w:hAnsi="宋体" w:eastAsia="宋体" w:cs="宋体"/>
          <w:b/>
          <w:color w:val="auto"/>
          <w:sz w:val="30"/>
          <w:szCs w:val="20"/>
          <w:highlight w:val="none"/>
        </w:rPr>
      </w:pPr>
    </w:p>
    <w:p w14:paraId="1817F350">
      <w:pPr>
        <w:snapToGrid w:val="0"/>
        <w:spacing w:before="50" w:after="50" w:line="360" w:lineRule="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rPr>
        <w:t>项目名称：</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lang w:val="en-US" w:eastAsia="zh-CN"/>
        </w:rPr>
        <w:t xml:space="preserve">        </w:t>
      </w:r>
    </w:p>
    <w:p w14:paraId="40BB22D6">
      <w:pPr>
        <w:snapToGrid w:val="0"/>
        <w:spacing w:before="50" w:after="50"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项目编号：</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 xml:space="preserve">        </w:t>
      </w:r>
    </w:p>
    <w:p w14:paraId="11D60B4C">
      <w:pPr>
        <w:snapToGrid w:val="0"/>
        <w:spacing w:before="50" w:after="5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分标：</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 xml:space="preserve">                 </w:t>
      </w:r>
    </w:p>
    <w:tbl>
      <w:tblPr>
        <w:tblStyle w:val="61"/>
        <w:tblW w:w="9369"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5"/>
        <w:gridCol w:w="1866"/>
        <w:gridCol w:w="1963"/>
        <w:gridCol w:w="2217"/>
        <w:gridCol w:w="635"/>
        <w:gridCol w:w="595"/>
        <w:gridCol w:w="901"/>
        <w:gridCol w:w="617"/>
      </w:tblGrid>
      <w:tr w14:paraId="14C20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76" w:hRule="atLeast"/>
          <w:jc w:val="right"/>
        </w:trPr>
        <w:tc>
          <w:tcPr>
            <w:tcW w:w="575" w:type="dxa"/>
            <w:tcBorders>
              <w:top w:val="single" w:color="auto" w:sz="4" w:space="0"/>
              <w:left w:val="single" w:color="auto" w:sz="4" w:space="0"/>
              <w:bottom w:val="single" w:color="auto" w:sz="4" w:space="0"/>
              <w:right w:val="single" w:color="auto" w:sz="4" w:space="0"/>
            </w:tcBorders>
            <w:vAlign w:val="center"/>
          </w:tcPr>
          <w:p w14:paraId="20E3FBD6">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1866" w:type="dxa"/>
            <w:tcBorders>
              <w:top w:val="single" w:color="auto" w:sz="4" w:space="0"/>
              <w:left w:val="single" w:color="auto" w:sz="4" w:space="0"/>
              <w:bottom w:val="single" w:color="auto" w:sz="4" w:space="0"/>
              <w:right w:val="single" w:color="auto" w:sz="4" w:space="0"/>
            </w:tcBorders>
            <w:vAlign w:val="center"/>
          </w:tcPr>
          <w:p w14:paraId="646BCA3F">
            <w:pPr>
              <w:spacing w:line="440" w:lineRule="exact"/>
              <w:jc w:val="center"/>
              <w:rPr>
                <w:rFonts w:hint="default" w:ascii="宋体" w:hAnsi="宋体" w:cs="宋体"/>
                <w:color w:val="auto"/>
                <w:kern w:val="0"/>
                <w:szCs w:val="21"/>
                <w:highlight w:val="none"/>
                <w:lang w:val="en-US" w:eastAsia="zh-CN" w:bidi="ar"/>
              </w:rPr>
            </w:pPr>
            <w:r>
              <w:rPr>
                <w:rFonts w:hint="eastAsia" w:ascii="宋体" w:hAnsi="宋体" w:cs="宋体"/>
                <w:color w:val="auto"/>
                <w:kern w:val="0"/>
                <w:szCs w:val="21"/>
                <w:highlight w:val="none"/>
                <w:lang w:val="en-US" w:eastAsia="zh-CN" w:bidi="ar"/>
              </w:rPr>
              <w:t>标的名称</w:t>
            </w:r>
          </w:p>
        </w:tc>
        <w:tc>
          <w:tcPr>
            <w:tcW w:w="1963" w:type="dxa"/>
            <w:tcBorders>
              <w:top w:val="single" w:color="auto" w:sz="4" w:space="0"/>
              <w:left w:val="single" w:color="auto" w:sz="4" w:space="0"/>
              <w:bottom w:val="single" w:color="auto" w:sz="4" w:space="0"/>
              <w:right w:val="single" w:color="auto" w:sz="4" w:space="0"/>
            </w:tcBorders>
            <w:vAlign w:val="center"/>
          </w:tcPr>
          <w:p w14:paraId="7657326E">
            <w:pPr>
              <w:spacing w:line="240" w:lineRule="auto"/>
              <w:jc w:val="center"/>
              <w:rPr>
                <w:rFonts w:hint="default" w:ascii="宋体" w:hAnsi="宋体" w:eastAsia="宋体" w:cs="宋体"/>
                <w:color w:val="auto"/>
                <w:szCs w:val="21"/>
                <w:highlight w:val="none"/>
                <w:lang w:val="en-US" w:eastAsia="zh-CN"/>
              </w:rPr>
            </w:pPr>
            <w:r>
              <w:rPr>
                <w:rFonts w:hint="eastAsia" w:ascii="宋体" w:hAnsi="宋体" w:cs="宋体"/>
                <w:color w:val="auto"/>
                <w:kern w:val="0"/>
                <w:szCs w:val="21"/>
                <w:highlight w:val="none"/>
                <w:lang w:val="en-US" w:eastAsia="zh-CN" w:bidi="ar"/>
              </w:rPr>
              <w:t>服务内容（根据商务条款▲投标报价要求</w:t>
            </w:r>
            <w:r>
              <w:rPr>
                <w:rFonts w:hint="eastAsia" w:ascii="宋体" w:hAnsi="宋体" w:eastAsia="宋体" w:cs="宋体"/>
                <w:color w:val="auto"/>
                <w:szCs w:val="21"/>
                <w:highlight w:val="none"/>
              </w:rPr>
              <w:t>单价最高限价</w:t>
            </w:r>
            <w:r>
              <w:rPr>
                <w:rFonts w:hint="eastAsia" w:ascii="宋体" w:hAnsi="宋体" w:cs="宋体"/>
                <w:color w:val="auto"/>
                <w:szCs w:val="21"/>
                <w:highlight w:val="none"/>
                <w:lang w:val="en-US" w:eastAsia="zh-CN"/>
              </w:rPr>
              <w:t>表中</w:t>
            </w:r>
            <w:r>
              <w:rPr>
                <w:rFonts w:hint="eastAsia" w:ascii="宋体" w:hAnsi="宋体" w:cs="宋体"/>
                <w:color w:val="auto"/>
                <w:kern w:val="0"/>
                <w:szCs w:val="21"/>
                <w:highlight w:val="none"/>
                <w:lang w:val="en-US" w:eastAsia="zh-CN" w:bidi="ar"/>
              </w:rPr>
              <w:t>的服务内容填写）</w:t>
            </w:r>
          </w:p>
        </w:tc>
        <w:tc>
          <w:tcPr>
            <w:tcW w:w="2217" w:type="dxa"/>
            <w:tcBorders>
              <w:top w:val="single" w:color="auto" w:sz="4" w:space="0"/>
              <w:left w:val="single" w:color="auto" w:sz="4" w:space="0"/>
              <w:bottom w:val="single" w:color="auto" w:sz="4" w:space="0"/>
              <w:right w:val="single" w:color="auto" w:sz="4" w:space="0"/>
            </w:tcBorders>
            <w:vAlign w:val="center"/>
          </w:tcPr>
          <w:p w14:paraId="1A32655E">
            <w:pPr>
              <w:jc w:val="center"/>
              <w:rPr>
                <w:rFonts w:hint="default" w:ascii="宋体" w:hAnsi="宋体" w:eastAsia="宋体" w:cs="宋体"/>
                <w:color w:val="auto"/>
                <w:highlight w:val="none"/>
                <w:lang w:val="en-US"/>
              </w:rPr>
            </w:pPr>
            <w:r>
              <w:rPr>
                <w:rFonts w:hint="eastAsia" w:ascii="宋体" w:hAnsi="宋体" w:eastAsia="宋体" w:cs="宋体"/>
                <w:color w:val="auto"/>
                <w:sz w:val="21"/>
                <w:szCs w:val="21"/>
                <w:highlight w:val="none"/>
              </w:rPr>
              <w:t>服务</w:t>
            </w:r>
            <w:r>
              <w:rPr>
                <w:rFonts w:hint="eastAsia" w:ascii="宋体" w:hAnsi="宋体" w:eastAsia="宋体" w:cs="宋体"/>
                <w:color w:val="auto"/>
                <w:sz w:val="21"/>
                <w:szCs w:val="21"/>
                <w:highlight w:val="none"/>
                <w:lang w:val="en-US" w:eastAsia="zh-CN"/>
              </w:rPr>
              <w:t>要求</w:t>
            </w:r>
            <w:r>
              <w:rPr>
                <w:rFonts w:hint="eastAsia" w:ascii="宋体" w:hAnsi="宋体" w:cs="宋体"/>
                <w:color w:val="auto"/>
                <w:sz w:val="21"/>
                <w:szCs w:val="21"/>
                <w:highlight w:val="none"/>
                <w:lang w:val="en-US" w:eastAsia="zh-CN"/>
              </w:rPr>
              <w:t>、服务标准等（根据采购需求填写）</w:t>
            </w:r>
          </w:p>
        </w:tc>
        <w:tc>
          <w:tcPr>
            <w:tcW w:w="635" w:type="dxa"/>
            <w:tcBorders>
              <w:top w:val="single" w:color="auto" w:sz="4" w:space="0"/>
              <w:left w:val="single" w:color="auto" w:sz="4" w:space="0"/>
              <w:bottom w:val="single" w:color="auto" w:sz="4" w:space="0"/>
              <w:right w:val="single" w:color="auto" w:sz="4" w:space="0"/>
            </w:tcBorders>
            <w:vAlign w:val="center"/>
          </w:tcPr>
          <w:p w14:paraId="5BF3D358">
            <w:pPr>
              <w:spacing w:line="300" w:lineRule="auto"/>
              <w:jc w:val="center"/>
              <w:rPr>
                <w:rFonts w:hint="eastAsia" w:ascii="宋体" w:hAnsi="宋体" w:eastAsia="宋体" w:cs="宋体"/>
                <w:b/>
                <w:bCs/>
                <w:color w:val="auto"/>
                <w:szCs w:val="21"/>
                <w:highlight w:val="none"/>
              </w:rPr>
            </w:pPr>
            <w:r>
              <w:rPr>
                <w:rFonts w:hint="eastAsia" w:ascii="宋体" w:hAnsi="宋体" w:eastAsia="宋体" w:cs="宋体"/>
                <w:color w:val="auto"/>
                <w:sz w:val="21"/>
                <w:szCs w:val="21"/>
                <w:highlight w:val="none"/>
              </w:rPr>
              <w:t>数量</w:t>
            </w:r>
          </w:p>
        </w:tc>
        <w:tc>
          <w:tcPr>
            <w:tcW w:w="595" w:type="dxa"/>
            <w:tcBorders>
              <w:top w:val="single" w:color="auto" w:sz="4" w:space="0"/>
              <w:left w:val="single" w:color="auto" w:sz="4" w:space="0"/>
              <w:bottom w:val="single" w:color="auto" w:sz="4" w:space="0"/>
              <w:right w:val="single" w:color="auto" w:sz="4" w:space="0"/>
            </w:tcBorders>
            <w:vAlign w:val="center"/>
          </w:tcPr>
          <w:p w14:paraId="75C88136">
            <w:pPr>
              <w:spacing w:line="300" w:lineRule="auto"/>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单位</w:t>
            </w:r>
          </w:p>
        </w:tc>
        <w:tc>
          <w:tcPr>
            <w:tcW w:w="901" w:type="dxa"/>
            <w:tcBorders>
              <w:top w:val="single" w:color="auto" w:sz="4" w:space="0"/>
              <w:left w:val="single" w:color="auto" w:sz="4" w:space="0"/>
              <w:bottom w:val="single" w:color="auto" w:sz="4" w:space="0"/>
              <w:right w:val="single" w:color="auto" w:sz="4" w:space="0"/>
            </w:tcBorders>
            <w:vAlign w:val="center"/>
          </w:tcPr>
          <w:p w14:paraId="04BFC832">
            <w:pPr>
              <w:spacing w:line="30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单价（元）</w:t>
            </w:r>
          </w:p>
          <w:p w14:paraId="35E08151">
            <w:pPr>
              <w:spacing w:line="300" w:lineRule="auto"/>
              <w:jc w:val="center"/>
              <w:rPr>
                <w:rFonts w:hint="eastAsia" w:ascii="宋体" w:hAnsi="宋体" w:eastAsia="宋体" w:cs="宋体"/>
                <w:b/>
                <w:bCs/>
                <w:color w:val="auto"/>
                <w:szCs w:val="21"/>
                <w:highlight w:val="none"/>
              </w:rPr>
            </w:pPr>
          </w:p>
        </w:tc>
        <w:tc>
          <w:tcPr>
            <w:tcW w:w="617" w:type="dxa"/>
            <w:tcBorders>
              <w:top w:val="single" w:color="auto" w:sz="4" w:space="0"/>
              <w:left w:val="single" w:color="auto" w:sz="4" w:space="0"/>
              <w:bottom w:val="single" w:color="auto" w:sz="4" w:space="0"/>
              <w:right w:val="single" w:color="auto" w:sz="4" w:space="0"/>
            </w:tcBorders>
            <w:vAlign w:val="center"/>
          </w:tcPr>
          <w:p w14:paraId="4BAA5A3E">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备注</w:t>
            </w:r>
          </w:p>
        </w:tc>
      </w:tr>
      <w:tr w14:paraId="32C9F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6" w:hRule="atLeast"/>
          <w:jc w:val="right"/>
        </w:trPr>
        <w:tc>
          <w:tcPr>
            <w:tcW w:w="575" w:type="dxa"/>
            <w:tcBorders>
              <w:top w:val="single" w:color="auto" w:sz="4" w:space="0"/>
              <w:left w:val="single" w:color="auto" w:sz="4" w:space="0"/>
              <w:bottom w:val="single" w:color="auto" w:sz="4" w:space="0"/>
              <w:right w:val="single" w:color="auto" w:sz="4" w:space="0"/>
            </w:tcBorders>
            <w:vAlign w:val="center"/>
          </w:tcPr>
          <w:p w14:paraId="43EB8D37">
            <w:pPr>
              <w:spacing w:line="440" w:lineRule="exact"/>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w:t>
            </w:r>
          </w:p>
        </w:tc>
        <w:tc>
          <w:tcPr>
            <w:tcW w:w="1866" w:type="dxa"/>
            <w:tcBorders>
              <w:top w:val="single" w:color="auto" w:sz="4" w:space="0"/>
              <w:left w:val="single" w:color="auto" w:sz="4" w:space="0"/>
              <w:bottom w:val="single" w:color="auto" w:sz="4" w:space="0"/>
              <w:right w:val="single" w:color="auto" w:sz="4" w:space="0"/>
            </w:tcBorders>
            <w:vAlign w:val="center"/>
          </w:tcPr>
          <w:p w14:paraId="1A112203">
            <w:pPr>
              <w:spacing w:line="440" w:lineRule="exact"/>
              <w:jc w:val="center"/>
              <w:rPr>
                <w:rFonts w:hint="eastAsia" w:ascii="宋体" w:hAnsi="宋体" w:cs="宋体"/>
                <w:color w:val="auto"/>
                <w:kern w:val="0"/>
                <w:szCs w:val="21"/>
                <w:highlight w:val="none"/>
                <w:lang w:val="en-US" w:eastAsia="zh-CN" w:bidi="ar"/>
              </w:rPr>
            </w:pPr>
          </w:p>
        </w:tc>
        <w:tc>
          <w:tcPr>
            <w:tcW w:w="1963" w:type="dxa"/>
            <w:tcBorders>
              <w:top w:val="single" w:color="auto" w:sz="4" w:space="0"/>
              <w:left w:val="single" w:color="auto" w:sz="4" w:space="0"/>
              <w:bottom w:val="single" w:color="auto" w:sz="4" w:space="0"/>
              <w:right w:val="single" w:color="auto" w:sz="4" w:space="0"/>
            </w:tcBorders>
            <w:vAlign w:val="center"/>
          </w:tcPr>
          <w:p w14:paraId="5E183FEA">
            <w:pPr>
              <w:spacing w:line="240" w:lineRule="auto"/>
              <w:jc w:val="center"/>
              <w:rPr>
                <w:rFonts w:hint="eastAsia" w:ascii="宋体" w:hAnsi="宋体" w:cs="宋体"/>
                <w:color w:val="auto"/>
                <w:kern w:val="0"/>
                <w:szCs w:val="21"/>
                <w:highlight w:val="none"/>
                <w:lang w:val="en-US" w:eastAsia="zh-CN" w:bidi="ar"/>
              </w:rPr>
            </w:pPr>
          </w:p>
        </w:tc>
        <w:tc>
          <w:tcPr>
            <w:tcW w:w="2217" w:type="dxa"/>
            <w:tcBorders>
              <w:top w:val="single" w:color="auto" w:sz="4" w:space="0"/>
              <w:left w:val="single" w:color="auto" w:sz="4" w:space="0"/>
              <w:bottom w:val="single" w:color="auto" w:sz="4" w:space="0"/>
              <w:right w:val="single" w:color="auto" w:sz="4" w:space="0"/>
            </w:tcBorders>
            <w:vAlign w:val="center"/>
          </w:tcPr>
          <w:p w14:paraId="5218A930">
            <w:pPr>
              <w:jc w:val="center"/>
              <w:rPr>
                <w:rFonts w:hint="eastAsia" w:ascii="宋体" w:hAnsi="宋体" w:eastAsia="宋体" w:cs="宋体"/>
                <w:color w:val="auto"/>
                <w:sz w:val="21"/>
                <w:szCs w:val="21"/>
                <w:highlight w:val="none"/>
              </w:rPr>
            </w:pPr>
          </w:p>
        </w:tc>
        <w:tc>
          <w:tcPr>
            <w:tcW w:w="635" w:type="dxa"/>
            <w:tcBorders>
              <w:top w:val="single" w:color="auto" w:sz="4" w:space="0"/>
              <w:left w:val="single" w:color="auto" w:sz="4" w:space="0"/>
              <w:bottom w:val="single" w:color="auto" w:sz="4" w:space="0"/>
              <w:right w:val="single" w:color="auto" w:sz="4" w:space="0"/>
            </w:tcBorders>
            <w:vAlign w:val="center"/>
          </w:tcPr>
          <w:p w14:paraId="0E4C41AD">
            <w:pPr>
              <w:spacing w:line="300" w:lineRule="auto"/>
              <w:jc w:val="center"/>
              <w:rPr>
                <w:rFonts w:hint="eastAsia" w:ascii="宋体" w:hAnsi="宋体" w:eastAsia="宋体" w:cs="宋体"/>
                <w:color w:val="auto"/>
                <w:sz w:val="21"/>
                <w:szCs w:val="21"/>
                <w:highlight w:val="none"/>
              </w:rPr>
            </w:pPr>
          </w:p>
        </w:tc>
        <w:tc>
          <w:tcPr>
            <w:tcW w:w="595" w:type="dxa"/>
            <w:tcBorders>
              <w:top w:val="single" w:color="auto" w:sz="4" w:space="0"/>
              <w:left w:val="single" w:color="auto" w:sz="4" w:space="0"/>
              <w:bottom w:val="single" w:color="auto" w:sz="4" w:space="0"/>
              <w:right w:val="single" w:color="auto" w:sz="4" w:space="0"/>
            </w:tcBorders>
            <w:vAlign w:val="center"/>
          </w:tcPr>
          <w:p w14:paraId="1A33C836">
            <w:pPr>
              <w:spacing w:line="300" w:lineRule="auto"/>
              <w:jc w:val="center"/>
              <w:rPr>
                <w:rFonts w:hint="eastAsia" w:ascii="宋体" w:hAnsi="宋体" w:cs="宋体"/>
                <w:color w:val="auto"/>
                <w:sz w:val="21"/>
                <w:szCs w:val="21"/>
                <w:highlight w:val="none"/>
                <w:lang w:val="en-US" w:eastAsia="zh-CN"/>
              </w:rPr>
            </w:pPr>
          </w:p>
        </w:tc>
        <w:tc>
          <w:tcPr>
            <w:tcW w:w="901" w:type="dxa"/>
            <w:tcBorders>
              <w:top w:val="single" w:color="auto" w:sz="4" w:space="0"/>
              <w:left w:val="single" w:color="auto" w:sz="4" w:space="0"/>
              <w:bottom w:val="single" w:color="auto" w:sz="4" w:space="0"/>
              <w:right w:val="single" w:color="auto" w:sz="4" w:space="0"/>
            </w:tcBorders>
            <w:vAlign w:val="center"/>
          </w:tcPr>
          <w:p w14:paraId="18A77ABC">
            <w:pPr>
              <w:spacing w:line="300" w:lineRule="auto"/>
              <w:jc w:val="center"/>
              <w:rPr>
                <w:rFonts w:hint="eastAsia" w:ascii="宋体" w:hAnsi="宋体" w:eastAsia="宋体" w:cs="宋体"/>
                <w:b/>
                <w:bCs/>
                <w:color w:val="auto"/>
                <w:szCs w:val="21"/>
                <w:highlight w:val="none"/>
              </w:rPr>
            </w:pPr>
          </w:p>
        </w:tc>
        <w:tc>
          <w:tcPr>
            <w:tcW w:w="617" w:type="dxa"/>
            <w:tcBorders>
              <w:top w:val="single" w:color="auto" w:sz="4" w:space="0"/>
              <w:left w:val="single" w:color="auto" w:sz="4" w:space="0"/>
              <w:bottom w:val="single" w:color="auto" w:sz="4" w:space="0"/>
              <w:right w:val="single" w:color="auto" w:sz="4" w:space="0"/>
            </w:tcBorders>
            <w:vAlign w:val="center"/>
          </w:tcPr>
          <w:p w14:paraId="6EB3ED8F">
            <w:pPr>
              <w:spacing w:line="440" w:lineRule="exact"/>
              <w:jc w:val="center"/>
              <w:rPr>
                <w:rFonts w:hint="eastAsia" w:ascii="宋体" w:hAnsi="宋体" w:eastAsia="宋体" w:cs="宋体"/>
                <w:color w:val="auto"/>
                <w:szCs w:val="21"/>
                <w:highlight w:val="none"/>
              </w:rPr>
            </w:pPr>
          </w:p>
        </w:tc>
      </w:tr>
      <w:tr w14:paraId="09898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4" w:hRule="atLeast"/>
          <w:jc w:val="right"/>
        </w:trPr>
        <w:tc>
          <w:tcPr>
            <w:tcW w:w="575" w:type="dxa"/>
            <w:tcBorders>
              <w:top w:val="single" w:color="auto" w:sz="4" w:space="0"/>
              <w:left w:val="single" w:color="auto" w:sz="4" w:space="0"/>
              <w:bottom w:val="single" w:color="auto" w:sz="4" w:space="0"/>
              <w:right w:val="single" w:color="auto" w:sz="4" w:space="0"/>
            </w:tcBorders>
            <w:vAlign w:val="center"/>
          </w:tcPr>
          <w:p w14:paraId="68A4FAA3">
            <w:pPr>
              <w:spacing w:line="440" w:lineRule="exact"/>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w:t>
            </w:r>
          </w:p>
        </w:tc>
        <w:tc>
          <w:tcPr>
            <w:tcW w:w="1866" w:type="dxa"/>
            <w:tcBorders>
              <w:top w:val="single" w:color="auto" w:sz="4" w:space="0"/>
              <w:left w:val="single" w:color="auto" w:sz="4" w:space="0"/>
              <w:bottom w:val="single" w:color="auto" w:sz="4" w:space="0"/>
              <w:right w:val="single" w:color="auto" w:sz="4" w:space="0"/>
            </w:tcBorders>
            <w:vAlign w:val="center"/>
          </w:tcPr>
          <w:p w14:paraId="0F7935FB">
            <w:pPr>
              <w:spacing w:line="440" w:lineRule="exact"/>
              <w:jc w:val="center"/>
              <w:rPr>
                <w:rFonts w:hint="eastAsia" w:ascii="宋体" w:hAnsi="宋体" w:cs="宋体"/>
                <w:color w:val="auto"/>
                <w:kern w:val="0"/>
                <w:szCs w:val="21"/>
                <w:highlight w:val="none"/>
                <w:lang w:val="en-US" w:eastAsia="zh-CN" w:bidi="ar"/>
              </w:rPr>
            </w:pPr>
          </w:p>
        </w:tc>
        <w:tc>
          <w:tcPr>
            <w:tcW w:w="1963" w:type="dxa"/>
            <w:tcBorders>
              <w:top w:val="single" w:color="auto" w:sz="4" w:space="0"/>
              <w:left w:val="single" w:color="auto" w:sz="4" w:space="0"/>
              <w:bottom w:val="single" w:color="auto" w:sz="4" w:space="0"/>
              <w:right w:val="single" w:color="auto" w:sz="4" w:space="0"/>
            </w:tcBorders>
            <w:vAlign w:val="center"/>
          </w:tcPr>
          <w:p w14:paraId="2A261DFB">
            <w:pPr>
              <w:spacing w:line="240" w:lineRule="auto"/>
              <w:jc w:val="center"/>
              <w:rPr>
                <w:rFonts w:hint="eastAsia" w:ascii="宋体" w:hAnsi="宋体" w:cs="宋体"/>
                <w:color w:val="auto"/>
                <w:kern w:val="0"/>
                <w:szCs w:val="21"/>
                <w:highlight w:val="none"/>
                <w:lang w:val="en-US" w:eastAsia="zh-CN" w:bidi="ar"/>
              </w:rPr>
            </w:pPr>
          </w:p>
        </w:tc>
        <w:tc>
          <w:tcPr>
            <w:tcW w:w="2217" w:type="dxa"/>
            <w:tcBorders>
              <w:top w:val="single" w:color="auto" w:sz="4" w:space="0"/>
              <w:left w:val="single" w:color="auto" w:sz="4" w:space="0"/>
              <w:bottom w:val="single" w:color="auto" w:sz="4" w:space="0"/>
              <w:right w:val="single" w:color="auto" w:sz="4" w:space="0"/>
            </w:tcBorders>
            <w:vAlign w:val="center"/>
          </w:tcPr>
          <w:p w14:paraId="6E40BC46">
            <w:pPr>
              <w:jc w:val="center"/>
              <w:rPr>
                <w:rFonts w:hint="eastAsia" w:ascii="宋体" w:hAnsi="宋体" w:eastAsia="宋体" w:cs="宋体"/>
                <w:color w:val="auto"/>
                <w:sz w:val="21"/>
                <w:szCs w:val="21"/>
                <w:highlight w:val="none"/>
              </w:rPr>
            </w:pPr>
          </w:p>
        </w:tc>
        <w:tc>
          <w:tcPr>
            <w:tcW w:w="635" w:type="dxa"/>
            <w:tcBorders>
              <w:top w:val="single" w:color="auto" w:sz="4" w:space="0"/>
              <w:left w:val="single" w:color="auto" w:sz="4" w:space="0"/>
              <w:bottom w:val="single" w:color="auto" w:sz="4" w:space="0"/>
              <w:right w:val="single" w:color="auto" w:sz="4" w:space="0"/>
            </w:tcBorders>
            <w:vAlign w:val="center"/>
          </w:tcPr>
          <w:p w14:paraId="336D4AE2">
            <w:pPr>
              <w:spacing w:line="300" w:lineRule="auto"/>
              <w:jc w:val="center"/>
              <w:rPr>
                <w:rFonts w:hint="eastAsia" w:ascii="宋体" w:hAnsi="宋体" w:eastAsia="宋体" w:cs="宋体"/>
                <w:color w:val="auto"/>
                <w:sz w:val="21"/>
                <w:szCs w:val="21"/>
                <w:highlight w:val="none"/>
              </w:rPr>
            </w:pPr>
          </w:p>
        </w:tc>
        <w:tc>
          <w:tcPr>
            <w:tcW w:w="595" w:type="dxa"/>
            <w:tcBorders>
              <w:top w:val="single" w:color="auto" w:sz="4" w:space="0"/>
              <w:left w:val="single" w:color="auto" w:sz="4" w:space="0"/>
              <w:bottom w:val="single" w:color="auto" w:sz="4" w:space="0"/>
              <w:right w:val="single" w:color="auto" w:sz="4" w:space="0"/>
            </w:tcBorders>
            <w:vAlign w:val="center"/>
          </w:tcPr>
          <w:p w14:paraId="5D0CB432">
            <w:pPr>
              <w:spacing w:line="300" w:lineRule="auto"/>
              <w:jc w:val="center"/>
              <w:rPr>
                <w:rFonts w:hint="eastAsia" w:ascii="宋体" w:hAnsi="宋体" w:cs="宋体"/>
                <w:color w:val="auto"/>
                <w:sz w:val="21"/>
                <w:szCs w:val="21"/>
                <w:highlight w:val="none"/>
                <w:lang w:val="en-US" w:eastAsia="zh-CN"/>
              </w:rPr>
            </w:pPr>
          </w:p>
        </w:tc>
        <w:tc>
          <w:tcPr>
            <w:tcW w:w="901" w:type="dxa"/>
            <w:tcBorders>
              <w:top w:val="single" w:color="auto" w:sz="4" w:space="0"/>
              <w:left w:val="single" w:color="auto" w:sz="4" w:space="0"/>
              <w:bottom w:val="single" w:color="auto" w:sz="4" w:space="0"/>
              <w:right w:val="single" w:color="auto" w:sz="4" w:space="0"/>
            </w:tcBorders>
            <w:vAlign w:val="center"/>
          </w:tcPr>
          <w:p w14:paraId="663E2314">
            <w:pPr>
              <w:spacing w:line="300" w:lineRule="auto"/>
              <w:jc w:val="center"/>
              <w:rPr>
                <w:rFonts w:hint="eastAsia" w:ascii="宋体" w:hAnsi="宋体" w:eastAsia="宋体" w:cs="宋体"/>
                <w:b/>
                <w:bCs/>
                <w:color w:val="auto"/>
                <w:szCs w:val="21"/>
                <w:highlight w:val="none"/>
              </w:rPr>
            </w:pPr>
          </w:p>
        </w:tc>
        <w:tc>
          <w:tcPr>
            <w:tcW w:w="617" w:type="dxa"/>
            <w:tcBorders>
              <w:top w:val="single" w:color="auto" w:sz="4" w:space="0"/>
              <w:left w:val="single" w:color="auto" w:sz="4" w:space="0"/>
              <w:bottom w:val="single" w:color="auto" w:sz="4" w:space="0"/>
              <w:right w:val="single" w:color="auto" w:sz="4" w:space="0"/>
            </w:tcBorders>
            <w:vAlign w:val="center"/>
          </w:tcPr>
          <w:p w14:paraId="20B05684">
            <w:pPr>
              <w:spacing w:line="440" w:lineRule="exact"/>
              <w:jc w:val="center"/>
              <w:rPr>
                <w:rFonts w:hint="eastAsia" w:ascii="宋体" w:hAnsi="宋体" w:eastAsia="宋体" w:cs="宋体"/>
                <w:color w:val="auto"/>
                <w:szCs w:val="21"/>
                <w:highlight w:val="none"/>
              </w:rPr>
            </w:pPr>
          </w:p>
        </w:tc>
      </w:tr>
      <w:tr w14:paraId="67A44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8" w:hRule="atLeast"/>
          <w:jc w:val="right"/>
        </w:trPr>
        <w:tc>
          <w:tcPr>
            <w:tcW w:w="575" w:type="dxa"/>
            <w:tcBorders>
              <w:top w:val="single" w:color="auto" w:sz="4" w:space="0"/>
              <w:left w:val="single" w:color="auto" w:sz="4" w:space="0"/>
              <w:bottom w:val="single" w:color="auto" w:sz="4" w:space="0"/>
              <w:right w:val="single" w:color="auto" w:sz="4" w:space="0"/>
            </w:tcBorders>
            <w:vAlign w:val="center"/>
          </w:tcPr>
          <w:p w14:paraId="51E6E5BE">
            <w:pPr>
              <w:spacing w:line="440" w:lineRule="exact"/>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w:t>
            </w:r>
          </w:p>
        </w:tc>
        <w:tc>
          <w:tcPr>
            <w:tcW w:w="1866" w:type="dxa"/>
            <w:tcBorders>
              <w:top w:val="single" w:color="auto" w:sz="4" w:space="0"/>
              <w:left w:val="single" w:color="auto" w:sz="4" w:space="0"/>
              <w:bottom w:val="single" w:color="auto" w:sz="4" w:space="0"/>
              <w:right w:val="single" w:color="auto" w:sz="4" w:space="0"/>
            </w:tcBorders>
            <w:vAlign w:val="center"/>
          </w:tcPr>
          <w:p w14:paraId="052C15A7">
            <w:pPr>
              <w:spacing w:line="440" w:lineRule="exact"/>
              <w:jc w:val="center"/>
              <w:rPr>
                <w:rFonts w:hint="eastAsia" w:ascii="宋体" w:hAnsi="宋体" w:cs="宋体"/>
                <w:color w:val="auto"/>
                <w:kern w:val="0"/>
                <w:szCs w:val="21"/>
                <w:highlight w:val="none"/>
                <w:lang w:val="en-US" w:eastAsia="zh-CN" w:bidi="ar"/>
              </w:rPr>
            </w:pPr>
          </w:p>
        </w:tc>
        <w:tc>
          <w:tcPr>
            <w:tcW w:w="1963" w:type="dxa"/>
            <w:tcBorders>
              <w:top w:val="single" w:color="auto" w:sz="4" w:space="0"/>
              <w:left w:val="single" w:color="auto" w:sz="4" w:space="0"/>
              <w:bottom w:val="single" w:color="auto" w:sz="4" w:space="0"/>
              <w:right w:val="single" w:color="auto" w:sz="4" w:space="0"/>
            </w:tcBorders>
            <w:vAlign w:val="center"/>
          </w:tcPr>
          <w:p w14:paraId="50DCFB24">
            <w:pPr>
              <w:spacing w:line="240" w:lineRule="auto"/>
              <w:jc w:val="center"/>
              <w:rPr>
                <w:rFonts w:hint="eastAsia" w:ascii="宋体" w:hAnsi="宋体" w:cs="宋体"/>
                <w:color w:val="auto"/>
                <w:kern w:val="0"/>
                <w:szCs w:val="21"/>
                <w:highlight w:val="none"/>
                <w:lang w:val="en-US" w:eastAsia="zh-CN" w:bidi="ar"/>
              </w:rPr>
            </w:pPr>
          </w:p>
        </w:tc>
        <w:tc>
          <w:tcPr>
            <w:tcW w:w="2217" w:type="dxa"/>
            <w:tcBorders>
              <w:top w:val="single" w:color="auto" w:sz="4" w:space="0"/>
              <w:left w:val="single" w:color="auto" w:sz="4" w:space="0"/>
              <w:bottom w:val="single" w:color="auto" w:sz="4" w:space="0"/>
              <w:right w:val="single" w:color="auto" w:sz="4" w:space="0"/>
            </w:tcBorders>
            <w:vAlign w:val="center"/>
          </w:tcPr>
          <w:p w14:paraId="1BA60727">
            <w:pPr>
              <w:jc w:val="center"/>
              <w:rPr>
                <w:rFonts w:hint="eastAsia" w:ascii="宋体" w:hAnsi="宋体" w:eastAsia="宋体" w:cs="宋体"/>
                <w:color w:val="auto"/>
                <w:sz w:val="21"/>
                <w:szCs w:val="21"/>
                <w:highlight w:val="none"/>
              </w:rPr>
            </w:pPr>
          </w:p>
        </w:tc>
        <w:tc>
          <w:tcPr>
            <w:tcW w:w="635" w:type="dxa"/>
            <w:tcBorders>
              <w:top w:val="single" w:color="auto" w:sz="4" w:space="0"/>
              <w:left w:val="single" w:color="auto" w:sz="4" w:space="0"/>
              <w:bottom w:val="single" w:color="auto" w:sz="4" w:space="0"/>
              <w:right w:val="single" w:color="auto" w:sz="4" w:space="0"/>
            </w:tcBorders>
            <w:vAlign w:val="center"/>
          </w:tcPr>
          <w:p w14:paraId="1FFAC274">
            <w:pPr>
              <w:spacing w:line="300" w:lineRule="auto"/>
              <w:jc w:val="center"/>
              <w:rPr>
                <w:rFonts w:hint="eastAsia" w:ascii="宋体" w:hAnsi="宋体" w:eastAsia="宋体" w:cs="宋体"/>
                <w:color w:val="auto"/>
                <w:sz w:val="21"/>
                <w:szCs w:val="21"/>
                <w:highlight w:val="none"/>
              </w:rPr>
            </w:pPr>
          </w:p>
        </w:tc>
        <w:tc>
          <w:tcPr>
            <w:tcW w:w="595" w:type="dxa"/>
            <w:tcBorders>
              <w:top w:val="single" w:color="auto" w:sz="4" w:space="0"/>
              <w:left w:val="single" w:color="auto" w:sz="4" w:space="0"/>
              <w:bottom w:val="single" w:color="auto" w:sz="4" w:space="0"/>
              <w:right w:val="single" w:color="auto" w:sz="4" w:space="0"/>
            </w:tcBorders>
            <w:vAlign w:val="center"/>
          </w:tcPr>
          <w:p w14:paraId="1DB2E26B">
            <w:pPr>
              <w:spacing w:line="300" w:lineRule="auto"/>
              <w:jc w:val="center"/>
              <w:rPr>
                <w:rFonts w:hint="eastAsia" w:ascii="宋体" w:hAnsi="宋体" w:cs="宋体"/>
                <w:color w:val="auto"/>
                <w:sz w:val="21"/>
                <w:szCs w:val="21"/>
                <w:highlight w:val="none"/>
                <w:lang w:val="en-US" w:eastAsia="zh-CN"/>
              </w:rPr>
            </w:pPr>
          </w:p>
        </w:tc>
        <w:tc>
          <w:tcPr>
            <w:tcW w:w="901" w:type="dxa"/>
            <w:tcBorders>
              <w:top w:val="single" w:color="auto" w:sz="4" w:space="0"/>
              <w:left w:val="single" w:color="auto" w:sz="4" w:space="0"/>
              <w:bottom w:val="single" w:color="auto" w:sz="4" w:space="0"/>
              <w:right w:val="single" w:color="auto" w:sz="4" w:space="0"/>
            </w:tcBorders>
            <w:vAlign w:val="center"/>
          </w:tcPr>
          <w:p w14:paraId="67D73A87">
            <w:pPr>
              <w:spacing w:line="300" w:lineRule="auto"/>
              <w:jc w:val="center"/>
              <w:rPr>
                <w:rFonts w:hint="eastAsia" w:ascii="宋体" w:hAnsi="宋体" w:eastAsia="宋体" w:cs="宋体"/>
                <w:b/>
                <w:bCs/>
                <w:color w:val="auto"/>
                <w:szCs w:val="21"/>
                <w:highlight w:val="none"/>
              </w:rPr>
            </w:pPr>
          </w:p>
        </w:tc>
        <w:tc>
          <w:tcPr>
            <w:tcW w:w="617" w:type="dxa"/>
            <w:tcBorders>
              <w:top w:val="single" w:color="auto" w:sz="4" w:space="0"/>
              <w:left w:val="single" w:color="auto" w:sz="4" w:space="0"/>
              <w:bottom w:val="single" w:color="auto" w:sz="4" w:space="0"/>
              <w:right w:val="single" w:color="auto" w:sz="4" w:space="0"/>
            </w:tcBorders>
            <w:vAlign w:val="center"/>
          </w:tcPr>
          <w:p w14:paraId="60020A37">
            <w:pPr>
              <w:spacing w:line="440" w:lineRule="exact"/>
              <w:jc w:val="center"/>
              <w:rPr>
                <w:rFonts w:hint="eastAsia" w:ascii="宋体" w:hAnsi="宋体" w:eastAsia="宋体" w:cs="宋体"/>
                <w:color w:val="auto"/>
                <w:szCs w:val="21"/>
                <w:highlight w:val="none"/>
              </w:rPr>
            </w:pPr>
          </w:p>
        </w:tc>
      </w:tr>
      <w:tr w14:paraId="6F696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9" w:hRule="atLeast"/>
          <w:jc w:val="right"/>
        </w:trPr>
        <w:tc>
          <w:tcPr>
            <w:tcW w:w="9369" w:type="dxa"/>
            <w:gridSpan w:val="8"/>
            <w:tcBorders>
              <w:top w:val="single" w:color="auto" w:sz="4" w:space="0"/>
              <w:left w:val="single" w:color="auto" w:sz="4" w:space="0"/>
              <w:bottom w:val="single" w:color="auto" w:sz="4" w:space="0"/>
              <w:right w:val="single" w:color="auto" w:sz="4" w:space="0"/>
            </w:tcBorders>
            <w:vAlign w:val="center"/>
          </w:tcPr>
          <w:p w14:paraId="037E09B7">
            <w:pPr>
              <w:jc w:val="left"/>
              <w:rPr>
                <w:rFonts w:hint="eastAsia" w:eastAsia="宋体"/>
                <w:color w:val="auto"/>
                <w:highlight w:val="none"/>
                <w:lang w:eastAsia="zh-CN"/>
              </w:rPr>
            </w:pPr>
            <w:r>
              <w:rPr>
                <w:rFonts w:hint="eastAsia" w:ascii="宋体" w:hAnsi="宋体" w:eastAsia="宋体" w:cs="宋体"/>
                <w:b/>
                <w:bCs/>
                <w:color w:val="auto"/>
                <w:szCs w:val="21"/>
                <w:highlight w:val="none"/>
                <w:lang w:val="en-US" w:eastAsia="zh-CN"/>
              </w:rPr>
              <w:t>单价报</w:t>
            </w:r>
            <w:r>
              <w:rPr>
                <w:rFonts w:hint="eastAsia" w:ascii="宋体" w:hAnsi="宋体" w:eastAsia="宋体" w:cs="宋体"/>
                <w:b/>
                <w:bCs/>
                <w:color w:val="auto"/>
                <w:sz w:val="21"/>
                <w:szCs w:val="21"/>
                <w:highlight w:val="none"/>
                <w:lang w:val="en-US" w:eastAsia="zh-CN"/>
              </w:rPr>
              <w:t>价合计</w:t>
            </w:r>
            <w:r>
              <w:rPr>
                <w:rFonts w:hint="eastAsia" w:ascii="宋体" w:hAnsi="宋体" w:eastAsia="宋体" w:cs="宋体"/>
                <w:b/>
                <w:bCs/>
                <w:color w:val="auto"/>
                <w:sz w:val="21"/>
                <w:szCs w:val="21"/>
                <w:highlight w:val="none"/>
              </w:rPr>
              <w:t>（大写）</w:t>
            </w:r>
            <w:r>
              <w:rPr>
                <w:rFonts w:hint="eastAsia" w:ascii="宋体" w:hAnsi="宋体" w:eastAsia="宋体" w:cs="宋体"/>
                <w:color w:val="auto"/>
                <w:sz w:val="21"/>
                <w:szCs w:val="21"/>
                <w:highlight w:val="none"/>
              </w:rPr>
              <w:t>：人民币</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元）</w:t>
            </w:r>
          </w:p>
        </w:tc>
      </w:tr>
      <w:tr w14:paraId="069D1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1" w:hRule="atLeast"/>
          <w:jc w:val="right"/>
        </w:trPr>
        <w:tc>
          <w:tcPr>
            <w:tcW w:w="9369" w:type="dxa"/>
            <w:gridSpan w:val="8"/>
            <w:tcBorders>
              <w:top w:val="single" w:color="auto" w:sz="4" w:space="0"/>
              <w:left w:val="single" w:color="auto" w:sz="4" w:space="0"/>
              <w:bottom w:val="single" w:color="auto" w:sz="4" w:space="0"/>
              <w:right w:val="single" w:color="auto" w:sz="4" w:space="0"/>
            </w:tcBorders>
            <w:vAlign w:val="center"/>
          </w:tcPr>
          <w:p w14:paraId="7771FA91">
            <w:pPr>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lang w:val="en-US" w:eastAsia="zh-CN"/>
              </w:rPr>
              <w:t>服务期限</w:t>
            </w:r>
            <w:r>
              <w:rPr>
                <w:rFonts w:hint="eastAsia" w:ascii="宋体" w:hAnsi="宋体" w:eastAsia="宋体" w:cs="宋体"/>
                <w:color w:val="auto"/>
                <w:sz w:val="21"/>
                <w:szCs w:val="21"/>
                <w:highlight w:val="none"/>
              </w:rPr>
              <w:t>：</w:t>
            </w:r>
          </w:p>
        </w:tc>
      </w:tr>
      <w:tr w14:paraId="6253E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1" w:hRule="atLeast"/>
          <w:jc w:val="right"/>
        </w:trPr>
        <w:tc>
          <w:tcPr>
            <w:tcW w:w="9369" w:type="dxa"/>
            <w:gridSpan w:val="8"/>
            <w:tcBorders>
              <w:top w:val="single" w:color="auto" w:sz="4" w:space="0"/>
              <w:left w:val="single" w:color="auto" w:sz="4" w:space="0"/>
              <w:bottom w:val="single" w:color="auto" w:sz="4" w:space="0"/>
              <w:right w:val="single" w:color="auto" w:sz="4" w:space="0"/>
            </w:tcBorders>
            <w:vAlign w:val="center"/>
          </w:tcPr>
          <w:p w14:paraId="48A87A58">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验收标准：依据招标文件上的技术规格要求和国家有关质量标准进行。</w:t>
            </w:r>
          </w:p>
        </w:tc>
      </w:tr>
      <w:tr w14:paraId="60F7C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7" w:hRule="atLeast"/>
          <w:jc w:val="right"/>
        </w:trPr>
        <w:tc>
          <w:tcPr>
            <w:tcW w:w="9369" w:type="dxa"/>
            <w:gridSpan w:val="8"/>
            <w:tcBorders>
              <w:top w:val="single" w:color="auto" w:sz="4" w:space="0"/>
              <w:left w:val="single" w:color="auto" w:sz="4" w:space="0"/>
              <w:bottom w:val="single" w:color="auto" w:sz="4" w:space="0"/>
              <w:right w:val="single" w:color="auto" w:sz="4" w:space="0"/>
            </w:tcBorders>
            <w:vAlign w:val="center"/>
          </w:tcPr>
          <w:p w14:paraId="323EA623">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优惠及其他：</w:t>
            </w:r>
          </w:p>
        </w:tc>
      </w:tr>
    </w:tbl>
    <w:p w14:paraId="18DC9943">
      <w:pPr>
        <w:snapToGrid w:val="0"/>
        <w:spacing w:before="50" w:after="50" w:line="360" w:lineRule="auto"/>
        <w:rPr>
          <w:rFonts w:hint="eastAsia" w:ascii="宋体" w:hAnsi="宋体" w:eastAsia="宋体" w:cs="宋体"/>
          <w:color w:val="auto"/>
          <w:sz w:val="24"/>
          <w:highlight w:val="none"/>
        </w:rPr>
      </w:pPr>
    </w:p>
    <w:p w14:paraId="784CBA40">
      <w:pPr>
        <w:snapToGrid w:val="0"/>
        <w:spacing w:before="50" w:after="5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注: </w:t>
      </w:r>
    </w:p>
    <w:p w14:paraId="71157998">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.投标人的开标一览表必须加盖投标人电子签章并由法定代表人或者委托代理人签字或者电子签名，</w:t>
      </w:r>
      <w:r>
        <w:rPr>
          <w:rFonts w:hint="eastAsia" w:ascii="宋体" w:hAnsi="宋体" w:eastAsia="宋体" w:cs="宋体"/>
          <w:b/>
          <w:color w:val="auto"/>
          <w:sz w:val="21"/>
          <w:szCs w:val="21"/>
          <w:highlight w:val="none"/>
        </w:rPr>
        <w:t>否则其投标作无效标处理</w:t>
      </w:r>
      <w:r>
        <w:rPr>
          <w:rFonts w:hint="eastAsia" w:ascii="宋体" w:hAnsi="宋体" w:eastAsia="宋体" w:cs="宋体"/>
          <w:color w:val="auto"/>
          <w:sz w:val="21"/>
          <w:szCs w:val="21"/>
          <w:highlight w:val="none"/>
        </w:rPr>
        <w:t>。</w:t>
      </w:r>
    </w:p>
    <w:p w14:paraId="784836A7">
      <w:pPr>
        <w:snapToGrid w:val="0"/>
        <w:spacing w:line="360" w:lineRule="auto"/>
        <w:ind w:firstLine="420" w:firstLineChars="200"/>
        <w:jc w:val="left"/>
        <w:rPr>
          <w:rFonts w:hint="eastAsia" w:ascii="宋体" w:hAnsi="宋体" w:eastAsia="宋体" w:cs="宋体"/>
          <w:b/>
          <w:color w:val="auto"/>
          <w:sz w:val="21"/>
          <w:szCs w:val="21"/>
          <w:highlight w:val="none"/>
        </w:rPr>
      </w:pPr>
      <w:r>
        <w:rPr>
          <w:rFonts w:hint="eastAsia" w:ascii="宋体" w:hAnsi="宋体" w:eastAsia="宋体" w:cs="宋体"/>
          <w:bCs/>
          <w:color w:val="auto"/>
          <w:sz w:val="21"/>
          <w:szCs w:val="21"/>
          <w:highlight w:val="none"/>
          <w:lang w:val="en-US" w:eastAsia="zh-CN"/>
        </w:rPr>
        <w:t>2</w:t>
      </w:r>
      <w:r>
        <w:rPr>
          <w:rFonts w:hint="eastAsia" w:ascii="宋体" w:hAnsi="宋体" w:eastAsia="宋体" w:cs="宋体"/>
          <w:bCs/>
          <w:color w:val="auto"/>
          <w:sz w:val="21"/>
          <w:szCs w:val="21"/>
          <w:highlight w:val="none"/>
        </w:rPr>
        <w:t>.</w:t>
      </w:r>
      <w:r>
        <w:rPr>
          <w:rFonts w:hint="eastAsia" w:ascii="宋体" w:hAnsi="宋体" w:eastAsia="宋体" w:cs="宋体"/>
          <w:color w:val="auto"/>
          <w:sz w:val="21"/>
          <w:szCs w:val="21"/>
          <w:highlight w:val="none"/>
        </w:rPr>
        <w:t>报价一经涂改，应在涂改处加盖投标人公章或者加盖电子签章或者由法定代表人或者委托代理人签字（或者电子签名）</w:t>
      </w:r>
      <w:r>
        <w:rPr>
          <w:rFonts w:hint="eastAsia" w:ascii="宋体" w:hAnsi="宋体" w:eastAsia="宋体" w:cs="宋体"/>
          <w:b/>
          <w:color w:val="auto"/>
          <w:sz w:val="21"/>
          <w:szCs w:val="21"/>
          <w:highlight w:val="none"/>
        </w:rPr>
        <w:t>，否则其投标作无效标处理。</w:t>
      </w:r>
    </w:p>
    <w:p w14:paraId="4C35EBB7">
      <w:pPr>
        <w:snapToGrid w:val="0"/>
        <w:spacing w:line="360" w:lineRule="auto"/>
        <w:ind w:firstLine="420" w:firstLineChars="200"/>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.如有多分标，按分标分别提供开标一览表，</w:t>
      </w:r>
      <w:r>
        <w:rPr>
          <w:rFonts w:hint="eastAsia" w:ascii="宋体" w:hAnsi="宋体" w:eastAsia="宋体" w:cs="宋体"/>
          <w:b/>
          <w:color w:val="auto"/>
          <w:sz w:val="21"/>
          <w:szCs w:val="21"/>
          <w:highlight w:val="none"/>
        </w:rPr>
        <w:t>否则投标无效。</w:t>
      </w:r>
    </w:p>
    <w:p w14:paraId="71FF362E">
      <w:pPr>
        <w:snapToGrid w:val="0"/>
        <w:spacing w:line="360" w:lineRule="auto"/>
        <w:ind w:firstLine="422" w:firstLineChars="200"/>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4.本标项采用单价进行报价，单价超过各单价最高限价的投标无效；以各单项报价的合计作为价格分计算依据</w:t>
      </w:r>
      <w:r>
        <w:rPr>
          <w:rFonts w:hint="eastAsia" w:ascii="宋体" w:hAnsi="宋体" w:cs="宋体"/>
          <w:b/>
          <w:bCs/>
          <w:color w:val="auto"/>
          <w:szCs w:val="21"/>
          <w:highlight w:val="none"/>
          <w:lang w:val="en-US" w:eastAsia="zh-CN"/>
        </w:rPr>
        <w:t>，本标项无需报总价。</w:t>
      </w:r>
    </w:p>
    <w:p w14:paraId="7AF796A1">
      <w:pPr>
        <w:pStyle w:val="38"/>
        <w:rPr>
          <w:rFonts w:hint="eastAsia" w:ascii="宋体" w:hAnsi="宋体" w:eastAsia="宋体" w:cs="宋体"/>
          <w:color w:val="auto"/>
          <w:sz w:val="21"/>
          <w:szCs w:val="21"/>
          <w:highlight w:val="none"/>
        </w:rPr>
      </w:pPr>
    </w:p>
    <w:p w14:paraId="7A4F7FE4">
      <w:pPr>
        <w:snapToGrid w:val="0"/>
        <w:spacing w:line="360" w:lineRule="auto"/>
        <w:ind w:left="-2" w:leftChars="-1" w:right="-817" w:rightChars="-38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法定代表人或者委托代理人（签字或者电子签名）： </w:t>
      </w:r>
    </w:p>
    <w:p w14:paraId="75FAAA05">
      <w:pPr>
        <w:snapToGrid w:val="0"/>
        <w:spacing w:line="360" w:lineRule="auto"/>
        <w:ind w:left="-6" w:leftChars="-15" w:right="-817" w:rightChars="-389" w:hanging="25" w:hangingChars="1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投标人名称（电子签章）：</w:t>
      </w:r>
    </w:p>
    <w:p w14:paraId="2EC8CD1E">
      <w:pPr>
        <w:snapToGrid w:val="0"/>
        <w:spacing w:line="360" w:lineRule="auto"/>
        <w:ind w:left="-6" w:leftChars="-15" w:right="-817" w:rightChars="-389" w:hanging="25" w:hangingChars="1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日期：    年   月   日</w:t>
      </w:r>
    </w:p>
    <w:p w14:paraId="3AC25780">
      <w:pPr>
        <w:snapToGrid w:val="0"/>
        <w:spacing w:before="120" w:beforeLines="50" w:after="50"/>
        <w:jc w:val="left"/>
        <w:rPr>
          <w:rFonts w:hint="eastAsia" w:ascii="宋体" w:hAnsi="宋体" w:eastAsia="宋体" w:cs="宋体"/>
          <w:b/>
          <w:color w:val="auto"/>
          <w:sz w:val="24"/>
          <w:szCs w:val="20"/>
          <w:highlight w:val="none"/>
          <w:lang w:eastAsia="zh-CN"/>
        </w:rPr>
      </w:pPr>
      <w:r>
        <w:rPr>
          <w:rFonts w:hint="eastAsia" w:ascii="宋体" w:hAnsi="宋体" w:eastAsia="宋体" w:cs="宋体"/>
          <w:b/>
          <w:color w:val="auto"/>
          <w:sz w:val="24"/>
          <w:highlight w:val="none"/>
        </w:rPr>
        <w:t>开标一</w:t>
      </w:r>
      <w:r>
        <w:rPr>
          <w:rFonts w:hint="eastAsia" w:ascii="宋体" w:hAnsi="宋体" w:eastAsia="宋体" w:cs="宋体"/>
          <w:b/>
          <w:color w:val="auto"/>
          <w:sz w:val="24"/>
          <w:highlight w:val="none"/>
        </w:rPr>
        <w:t>览表</w:t>
      </w:r>
      <w:r>
        <w:rPr>
          <w:rFonts w:hint="eastAsia" w:ascii="宋体" w:hAnsi="宋体" w:eastAsia="宋体" w:cs="宋体"/>
          <w:b/>
          <w:color w:val="auto"/>
          <w:sz w:val="24"/>
          <w:highlight w:val="none"/>
          <w:lang w:eastAsia="zh-CN"/>
        </w:rPr>
        <w:t>（</w:t>
      </w:r>
      <w:r>
        <w:rPr>
          <w:rFonts w:hint="eastAsia" w:ascii="宋体" w:hAnsi="宋体" w:eastAsia="宋体" w:cs="宋体"/>
          <w:b/>
          <w:color w:val="auto"/>
          <w:sz w:val="24"/>
          <w:highlight w:val="none"/>
        </w:rPr>
        <w:t>分标</w:t>
      </w:r>
      <w:r>
        <w:rPr>
          <w:rFonts w:hint="eastAsia" w:ascii="宋体" w:hAnsi="宋体" w:cs="宋体"/>
          <w:b/>
          <w:color w:val="auto"/>
          <w:sz w:val="24"/>
          <w:highlight w:val="none"/>
          <w:lang w:val="en-US" w:eastAsia="zh-CN"/>
        </w:rPr>
        <w:t>5</w:t>
      </w:r>
      <w:r>
        <w:rPr>
          <w:rFonts w:hint="eastAsia" w:ascii="宋体" w:hAnsi="宋体" w:eastAsia="宋体" w:cs="宋体"/>
          <w:b/>
          <w:color w:val="auto"/>
          <w:sz w:val="24"/>
          <w:highlight w:val="none"/>
          <w:lang w:val="en-US" w:eastAsia="zh-CN"/>
        </w:rPr>
        <w:t>格式</w:t>
      </w:r>
      <w:r>
        <w:rPr>
          <w:rFonts w:hint="eastAsia" w:ascii="宋体" w:hAnsi="宋体" w:eastAsia="宋体" w:cs="宋体"/>
          <w:b/>
          <w:color w:val="auto"/>
          <w:sz w:val="24"/>
          <w:highlight w:val="none"/>
          <w:lang w:eastAsia="zh-CN"/>
        </w:rPr>
        <w:t>）</w:t>
      </w:r>
    </w:p>
    <w:p w14:paraId="1832B89C">
      <w:pPr>
        <w:snapToGrid w:val="0"/>
        <w:spacing w:before="50" w:after="50"/>
        <w:jc w:val="center"/>
        <w:rPr>
          <w:rFonts w:hint="eastAsia" w:ascii="宋体" w:hAnsi="宋体" w:eastAsia="宋体" w:cs="宋体"/>
          <w:b/>
          <w:color w:val="auto"/>
          <w:sz w:val="30"/>
          <w:highlight w:val="none"/>
        </w:rPr>
      </w:pPr>
      <w:r>
        <w:rPr>
          <w:rFonts w:hint="eastAsia" w:ascii="宋体" w:hAnsi="宋体" w:eastAsia="宋体" w:cs="宋体"/>
          <w:b/>
          <w:color w:val="auto"/>
          <w:sz w:val="30"/>
          <w:highlight w:val="none"/>
        </w:rPr>
        <w:t>开标一览表</w:t>
      </w:r>
    </w:p>
    <w:p w14:paraId="675128BC">
      <w:pPr>
        <w:snapToGrid w:val="0"/>
        <w:spacing w:before="50" w:after="50"/>
        <w:jc w:val="center"/>
        <w:rPr>
          <w:rFonts w:hint="eastAsia" w:ascii="宋体" w:hAnsi="宋体" w:eastAsia="宋体" w:cs="宋体"/>
          <w:b/>
          <w:color w:val="auto"/>
          <w:sz w:val="30"/>
          <w:szCs w:val="20"/>
          <w:highlight w:val="none"/>
        </w:rPr>
      </w:pPr>
    </w:p>
    <w:p w14:paraId="4D1819CC">
      <w:pPr>
        <w:snapToGrid w:val="0"/>
        <w:spacing w:before="50" w:after="50" w:line="360" w:lineRule="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rPr>
        <w:t>项目名称：</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lang w:val="en-US" w:eastAsia="zh-CN"/>
        </w:rPr>
        <w:t xml:space="preserve">        </w:t>
      </w:r>
    </w:p>
    <w:p w14:paraId="18E0719E">
      <w:pPr>
        <w:snapToGrid w:val="0"/>
        <w:spacing w:before="50" w:after="50"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项目编号：</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 xml:space="preserve">        </w:t>
      </w:r>
    </w:p>
    <w:p w14:paraId="41E06BE8">
      <w:pPr>
        <w:snapToGrid w:val="0"/>
        <w:spacing w:before="50" w:after="5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分标：</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 xml:space="preserve">                 </w:t>
      </w:r>
    </w:p>
    <w:tbl>
      <w:tblPr>
        <w:tblStyle w:val="61"/>
        <w:tblW w:w="9916"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2"/>
        <w:gridCol w:w="3775"/>
        <w:gridCol w:w="2875"/>
        <w:gridCol w:w="1955"/>
        <w:gridCol w:w="739"/>
      </w:tblGrid>
      <w:tr w14:paraId="20886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5" w:hRule="atLeast"/>
          <w:jc w:val="right"/>
        </w:trPr>
        <w:tc>
          <w:tcPr>
            <w:tcW w:w="572" w:type="dxa"/>
            <w:tcBorders>
              <w:top w:val="single" w:color="auto" w:sz="4" w:space="0"/>
              <w:left w:val="single" w:color="auto" w:sz="4" w:space="0"/>
              <w:bottom w:val="single" w:color="auto" w:sz="4" w:space="0"/>
              <w:right w:val="single" w:color="auto" w:sz="4" w:space="0"/>
            </w:tcBorders>
            <w:vAlign w:val="center"/>
          </w:tcPr>
          <w:p w14:paraId="48740921">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3775" w:type="dxa"/>
            <w:tcBorders>
              <w:top w:val="single" w:color="auto" w:sz="4" w:space="0"/>
              <w:left w:val="single" w:color="auto" w:sz="4" w:space="0"/>
              <w:bottom w:val="single" w:color="auto" w:sz="4" w:space="0"/>
              <w:right w:val="single" w:color="auto" w:sz="4" w:space="0"/>
            </w:tcBorders>
            <w:vAlign w:val="center"/>
          </w:tcPr>
          <w:p w14:paraId="78DD4A82">
            <w:pPr>
              <w:spacing w:line="440" w:lineRule="exact"/>
              <w:jc w:val="center"/>
              <w:rPr>
                <w:rFonts w:hint="default" w:ascii="宋体" w:hAnsi="宋体" w:cs="宋体"/>
                <w:color w:val="auto"/>
                <w:kern w:val="0"/>
                <w:szCs w:val="21"/>
                <w:highlight w:val="none"/>
                <w:lang w:val="en-US" w:eastAsia="zh-CN" w:bidi="ar"/>
              </w:rPr>
            </w:pPr>
            <w:r>
              <w:rPr>
                <w:rFonts w:hint="eastAsia" w:ascii="宋体" w:hAnsi="宋体" w:cs="宋体"/>
                <w:color w:val="auto"/>
                <w:kern w:val="0"/>
                <w:szCs w:val="21"/>
                <w:highlight w:val="none"/>
                <w:lang w:val="en-US" w:eastAsia="zh-CN" w:bidi="ar"/>
              </w:rPr>
              <w:t>标的名称</w:t>
            </w:r>
          </w:p>
        </w:tc>
        <w:tc>
          <w:tcPr>
            <w:tcW w:w="2875" w:type="dxa"/>
            <w:tcBorders>
              <w:top w:val="single" w:color="auto" w:sz="4" w:space="0"/>
              <w:left w:val="single" w:color="auto" w:sz="4" w:space="0"/>
              <w:bottom w:val="single" w:color="auto" w:sz="4" w:space="0"/>
              <w:right w:val="single" w:color="auto" w:sz="4" w:space="0"/>
            </w:tcBorders>
            <w:vAlign w:val="center"/>
          </w:tcPr>
          <w:p w14:paraId="6B5BCD90">
            <w:pPr>
              <w:jc w:val="center"/>
              <w:rPr>
                <w:rFonts w:hint="default" w:ascii="宋体" w:hAnsi="宋体" w:eastAsia="宋体" w:cs="宋体"/>
                <w:color w:val="auto"/>
                <w:highlight w:val="none"/>
                <w:lang w:val="en-US"/>
              </w:rPr>
            </w:pPr>
            <w:r>
              <w:rPr>
                <w:rFonts w:hint="eastAsia" w:ascii="宋体" w:hAnsi="宋体" w:cs="宋体"/>
                <w:color w:val="auto"/>
                <w:sz w:val="21"/>
                <w:szCs w:val="21"/>
                <w:highlight w:val="none"/>
                <w:lang w:val="en-US" w:eastAsia="zh-CN"/>
              </w:rPr>
              <w:t>服务内容、</w:t>
            </w:r>
            <w:r>
              <w:rPr>
                <w:rFonts w:hint="eastAsia" w:ascii="宋体" w:hAnsi="宋体" w:eastAsia="宋体" w:cs="宋体"/>
                <w:color w:val="auto"/>
                <w:sz w:val="21"/>
                <w:szCs w:val="21"/>
                <w:highlight w:val="none"/>
              </w:rPr>
              <w:t>服务</w:t>
            </w:r>
            <w:r>
              <w:rPr>
                <w:rFonts w:hint="eastAsia" w:ascii="宋体" w:hAnsi="宋体" w:eastAsia="宋体" w:cs="宋体"/>
                <w:color w:val="auto"/>
                <w:sz w:val="21"/>
                <w:szCs w:val="21"/>
                <w:highlight w:val="none"/>
                <w:lang w:val="en-US" w:eastAsia="zh-CN"/>
              </w:rPr>
              <w:t>要求</w:t>
            </w:r>
            <w:r>
              <w:rPr>
                <w:rFonts w:hint="eastAsia" w:ascii="宋体" w:hAnsi="宋体" w:cs="宋体"/>
                <w:color w:val="auto"/>
                <w:sz w:val="21"/>
                <w:szCs w:val="21"/>
                <w:highlight w:val="none"/>
                <w:lang w:val="en-US" w:eastAsia="zh-CN"/>
              </w:rPr>
              <w:t>、服务标准等（根据采购需求填写）</w:t>
            </w:r>
          </w:p>
        </w:tc>
        <w:tc>
          <w:tcPr>
            <w:tcW w:w="1955" w:type="dxa"/>
            <w:tcBorders>
              <w:top w:val="single" w:color="auto" w:sz="4" w:space="0"/>
              <w:left w:val="single" w:color="auto" w:sz="4" w:space="0"/>
              <w:bottom w:val="single" w:color="auto" w:sz="4" w:space="0"/>
              <w:right w:val="single" w:color="auto" w:sz="4" w:space="0"/>
            </w:tcBorders>
            <w:vAlign w:val="center"/>
          </w:tcPr>
          <w:p w14:paraId="4B1EFB38">
            <w:pPr>
              <w:spacing w:line="300" w:lineRule="auto"/>
              <w:jc w:val="center"/>
              <w:rPr>
                <w:rFonts w:hint="eastAsia" w:ascii="宋体" w:hAnsi="宋体" w:eastAsia="宋体" w:cs="宋体"/>
                <w:b/>
                <w:bCs/>
                <w:color w:val="auto"/>
                <w:szCs w:val="21"/>
                <w:highlight w:val="none"/>
              </w:rPr>
            </w:pPr>
            <w:r>
              <w:rPr>
                <w:rFonts w:hint="eastAsia" w:ascii="宋体" w:hAnsi="宋体" w:eastAsia="宋体" w:cs="宋体"/>
                <w:color w:val="auto"/>
                <w:sz w:val="21"/>
                <w:szCs w:val="21"/>
                <w:highlight w:val="none"/>
              </w:rPr>
              <w:t>单价（</w:t>
            </w:r>
            <w:r>
              <w:rPr>
                <w:rFonts w:hint="eastAsia" w:ascii="宋体" w:hAnsi="宋体" w:eastAsia="宋体" w:cs="宋体"/>
                <w:color w:val="auto"/>
                <w:kern w:val="0"/>
                <w:szCs w:val="21"/>
                <w:highlight w:val="none"/>
                <w:lang w:bidi="ar"/>
              </w:rPr>
              <w:t>元/工日/人</w:t>
            </w:r>
            <w:r>
              <w:rPr>
                <w:rFonts w:hint="eastAsia" w:ascii="宋体" w:hAnsi="宋体" w:eastAsia="宋体" w:cs="宋体"/>
                <w:color w:val="auto"/>
                <w:sz w:val="21"/>
                <w:szCs w:val="21"/>
                <w:highlight w:val="none"/>
              </w:rPr>
              <w:t>）</w:t>
            </w:r>
          </w:p>
        </w:tc>
        <w:tc>
          <w:tcPr>
            <w:tcW w:w="739" w:type="dxa"/>
            <w:tcBorders>
              <w:top w:val="single" w:color="auto" w:sz="4" w:space="0"/>
              <w:left w:val="single" w:color="auto" w:sz="4" w:space="0"/>
              <w:bottom w:val="single" w:color="auto" w:sz="4" w:space="0"/>
              <w:right w:val="single" w:color="auto" w:sz="4" w:space="0"/>
            </w:tcBorders>
            <w:vAlign w:val="center"/>
          </w:tcPr>
          <w:p w14:paraId="645392CC">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备注</w:t>
            </w:r>
          </w:p>
        </w:tc>
      </w:tr>
      <w:tr w14:paraId="1EF94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5" w:hRule="atLeast"/>
          <w:jc w:val="right"/>
        </w:trPr>
        <w:tc>
          <w:tcPr>
            <w:tcW w:w="572" w:type="dxa"/>
            <w:tcBorders>
              <w:top w:val="single" w:color="auto" w:sz="4" w:space="0"/>
              <w:left w:val="single" w:color="auto" w:sz="4" w:space="0"/>
              <w:bottom w:val="single" w:color="auto" w:sz="4" w:space="0"/>
              <w:right w:val="single" w:color="auto" w:sz="4" w:space="0"/>
            </w:tcBorders>
            <w:vAlign w:val="center"/>
          </w:tcPr>
          <w:p w14:paraId="4157B9AC">
            <w:pPr>
              <w:spacing w:line="440" w:lineRule="exact"/>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w:t>
            </w:r>
          </w:p>
        </w:tc>
        <w:tc>
          <w:tcPr>
            <w:tcW w:w="3775" w:type="dxa"/>
            <w:tcBorders>
              <w:top w:val="single" w:color="auto" w:sz="4" w:space="0"/>
              <w:left w:val="single" w:color="auto" w:sz="4" w:space="0"/>
              <w:bottom w:val="single" w:color="auto" w:sz="4" w:space="0"/>
              <w:right w:val="single" w:color="auto" w:sz="4" w:space="0"/>
            </w:tcBorders>
            <w:vAlign w:val="center"/>
          </w:tcPr>
          <w:p w14:paraId="169E4048">
            <w:pPr>
              <w:spacing w:line="440" w:lineRule="exact"/>
              <w:jc w:val="center"/>
              <w:rPr>
                <w:rFonts w:hint="eastAsia" w:ascii="宋体" w:hAnsi="宋体" w:cs="宋体"/>
                <w:color w:val="auto"/>
                <w:kern w:val="0"/>
                <w:szCs w:val="21"/>
                <w:highlight w:val="none"/>
                <w:lang w:val="en-US" w:eastAsia="zh-CN" w:bidi="ar"/>
              </w:rPr>
            </w:pPr>
          </w:p>
        </w:tc>
        <w:tc>
          <w:tcPr>
            <w:tcW w:w="2875" w:type="dxa"/>
            <w:tcBorders>
              <w:top w:val="single" w:color="auto" w:sz="4" w:space="0"/>
              <w:left w:val="single" w:color="auto" w:sz="4" w:space="0"/>
              <w:bottom w:val="single" w:color="auto" w:sz="4" w:space="0"/>
              <w:right w:val="single" w:color="auto" w:sz="4" w:space="0"/>
            </w:tcBorders>
            <w:vAlign w:val="center"/>
          </w:tcPr>
          <w:p w14:paraId="60DD682D">
            <w:pPr>
              <w:jc w:val="center"/>
              <w:rPr>
                <w:rFonts w:hint="eastAsia" w:ascii="宋体" w:hAnsi="宋体" w:eastAsia="宋体" w:cs="宋体"/>
                <w:color w:val="auto"/>
                <w:sz w:val="21"/>
                <w:szCs w:val="21"/>
                <w:highlight w:val="none"/>
              </w:rPr>
            </w:pPr>
          </w:p>
        </w:tc>
        <w:tc>
          <w:tcPr>
            <w:tcW w:w="1955" w:type="dxa"/>
            <w:tcBorders>
              <w:top w:val="single" w:color="auto" w:sz="4" w:space="0"/>
              <w:left w:val="single" w:color="auto" w:sz="4" w:space="0"/>
              <w:bottom w:val="single" w:color="auto" w:sz="4" w:space="0"/>
              <w:right w:val="single" w:color="auto" w:sz="4" w:space="0"/>
            </w:tcBorders>
            <w:vAlign w:val="center"/>
          </w:tcPr>
          <w:p w14:paraId="5E8098EF">
            <w:pPr>
              <w:spacing w:line="300" w:lineRule="auto"/>
              <w:jc w:val="center"/>
              <w:rPr>
                <w:rFonts w:hint="eastAsia" w:ascii="宋体" w:hAnsi="宋体" w:eastAsia="宋体" w:cs="宋体"/>
                <w:color w:val="auto"/>
                <w:sz w:val="21"/>
                <w:szCs w:val="21"/>
                <w:highlight w:val="none"/>
              </w:rPr>
            </w:pPr>
          </w:p>
        </w:tc>
        <w:tc>
          <w:tcPr>
            <w:tcW w:w="739" w:type="dxa"/>
            <w:tcBorders>
              <w:top w:val="single" w:color="auto" w:sz="4" w:space="0"/>
              <w:left w:val="single" w:color="auto" w:sz="4" w:space="0"/>
              <w:bottom w:val="single" w:color="auto" w:sz="4" w:space="0"/>
              <w:right w:val="single" w:color="auto" w:sz="4" w:space="0"/>
            </w:tcBorders>
            <w:vAlign w:val="center"/>
          </w:tcPr>
          <w:p w14:paraId="3C408779">
            <w:pPr>
              <w:spacing w:line="440" w:lineRule="exact"/>
              <w:jc w:val="center"/>
              <w:rPr>
                <w:rFonts w:hint="eastAsia" w:ascii="宋体" w:hAnsi="宋体" w:eastAsia="宋体" w:cs="宋体"/>
                <w:color w:val="auto"/>
                <w:szCs w:val="21"/>
                <w:highlight w:val="none"/>
              </w:rPr>
            </w:pPr>
          </w:p>
        </w:tc>
      </w:tr>
      <w:tr w14:paraId="0B8E3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3" w:hRule="atLeast"/>
          <w:jc w:val="right"/>
        </w:trPr>
        <w:tc>
          <w:tcPr>
            <w:tcW w:w="572" w:type="dxa"/>
            <w:tcBorders>
              <w:top w:val="single" w:color="auto" w:sz="4" w:space="0"/>
              <w:left w:val="single" w:color="auto" w:sz="4" w:space="0"/>
              <w:bottom w:val="single" w:color="auto" w:sz="4" w:space="0"/>
              <w:right w:val="single" w:color="auto" w:sz="4" w:space="0"/>
            </w:tcBorders>
            <w:vAlign w:val="center"/>
          </w:tcPr>
          <w:p w14:paraId="7454A09F">
            <w:pPr>
              <w:spacing w:line="440" w:lineRule="exact"/>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w:t>
            </w:r>
          </w:p>
        </w:tc>
        <w:tc>
          <w:tcPr>
            <w:tcW w:w="3775" w:type="dxa"/>
            <w:tcBorders>
              <w:top w:val="single" w:color="auto" w:sz="4" w:space="0"/>
              <w:left w:val="single" w:color="auto" w:sz="4" w:space="0"/>
              <w:bottom w:val="single" w:color="auto" w:sz="4" w:space="0"/>
              <w:right w:val="single" w:color="auto" w:sz="4" w:space="0"/>
            </w:tcBorders>
            <w:vAlign w:val="center"/>
          </w:tcPr>
          <w:p w14:paraId="54D88E71">
            <w:pPr>
              <w:spacing w:line="440" w:lineRule="exact"/>
              <w:jc w:val="center"/>
              <w:rPr>
                <w:rFonts w:hint="eastAsia" w:ascii="宋体" w:hAnsi="宋体" w:cs="宋体"/>
                <w:color w:val="auto"/>
                <w:kern w:val="0"/>
                <w:szCs w:val="21"/>
                <w:highlight w:val="none"/>
                <w:lang w:val="en-US" w:eastAsia="zh-CN" w:bidi="ar"/>
              </w:rPr>
            </w:pPr>
          </w:p>
        </w:tc>
        <w:tc>
          <w:tcPr>
            <w:tcW w:w="2875" w:type="dxa"/>
            <w:tcBorders>
              <w:top w:val="single" w:color="auto" w:sz="4" w:space="0"/>
              <w:left w:val="single" w:color="auto" w:sz="4" w:space="0"/>
              <w:bottom w:val="single" w:color="auto" w:sz="4" w:space="0"/>
              <w:right w:val="single" w:color="auto" w:sz="4" w:space="0"/>
            </w:tcBorders>
            <w:vAlign w:val="center"/>
          </w:tcPr>
          <w:p w14:paraId="203B96AC">
            <w:pPr>
              <w:jc w:val="center"/>
              <w:rPr>
                <w:rFonts w:hint="eastAsia" w:ascii="宋体" w:hAnsi="宋体" w:eastAsia="宋体" w:cs="宋体"/>
                <w:color w:val="auto"/>
                <w:sz w:val="21"/>
                <w:szCs w:val="21"/>
                <w:highlight w:val="none"/>
              </w:rPr>
            </w:pPr>
          </w:p>
        </w:tc>
        <w:tc>
          <w:tcPr>
            <w:tcW w:w="1955" w:type="dxa"/>
            <w:tcBorders>
              <w:top w:val="single" w:color="auto" w:sz="4" w:space="0"/>
              <w:left w:val="single" w:color="auto" w:sz="4" w:space="0"/>
              <w:bottom w:val="single" w:color="auto" w:sz="4" w:space="0"/>
              <w:right w:val="single" w:color="auto" w:sz="4" w:space="0"/>
            </w:tcBorders>
            <w:vAlign w:val="center"/>
          </w:tcPr>
          <w:p w14:paraId="0EB8D55F">
            <w:pPr>
              <w:spacing w:line="300" w:lineRule="auto"/>
              <w:jc w:val="center"/>
              <w:rPr>
                <w:rFonts w:hint="eastAsia" w:ascii="宋体" w:hAnsi="宋体" w:eastAsia="宋体" w:cs="宋体"/>
                <w:color w:val="auto"/>
                <w:sz w:val="21"/>
                <w:szCs w:val="21"/>
                <w:highlight w:val="none"/>
              </w:rPr>
            </w:pPr>
          </w:p>
        </w:tc>
        <w:tc>
          <w:tcPr>
            <w:tcW w:w="739" w:type="dxa"/>
            <w:tcBorders>
              <w:top w:val="single" w:color="auto" w:sz="4" w:space="0"/>
              <w:left w:val="single" w:color="auto" w:sz="4" w:space="0"/>
              <w:bottom w:val="single" w:color="auto" w:sz="4" w:space="0"/>
              <w:right w:val="single" w:color="auto" w:sz="4" w:space="0"/>
            </w:tcBorders>
            <w:vAlign w:val="center"/>
          </w:tcPr>
          <w:p w14:paraId="72C39400">
            <w:pPr>
              <w:spacing w:line="440" w:lineRule="exact"/>
              <w:jc w:val="center"/>
              <w:rPr>
                <w:rFonts w:hint="eastAsia" w:ascii="宋体" w:hAnsi="宋体" w:eastAsia="宋体" w:cs="宋体"/>
                <w:color w:val="auto"/>
                <w:szCs w:val="21"/>
                <w:highlight w:val="none"/>
              </w:rPr>
            </w:pPr>
          </w:p>
        </w:tc>
      </w:tr>
      <w:tr w14:paraId="6D1E2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right"/>
        </w:trPr>
        <w:tc>
          <w:tcPr>
            <w:tcW w:w="572" w:type="dxa"/>
            <w:tcBorders>
              <w:top w:val="single" w:color="auto" w:sz="4" w:space="0"/>
              <w:left w:val="single" w:color="auto" w:sz="4" w:space="0"/>
              <w:bottom w:val="single" w:color="auto" w:sz="4" w:space="0"/>
              <w:right w:val="single" w:color="auto" w:sz="4" w:space="0"/>
            </w:tcBorders>
            <w:vAlign w:val="center"/>
          </w:tcPr>
          <w:p w14:paraId="40CCF59D">
            <w:pPr>
              <w:spacing w:line="440" w:lineRule="exact"/>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w:t>
            </w:r>
          </w:p>
        </w:tc>
        <w:tc>
          <w:tcPr>
            <w:tcW w:w="3775" w:type="dxa"/>
            <w:tcBorders>
              <w:top w:val="single" w:color="auto" w:sz="4" w:space="0"/>
              <w:left w:val="single" w:color="auto" w:sz="4" w:space="0"/>
              <w:bottom w:val="single" w:color="auto" w:sz="4" w:space="0"/>
              <w:right w:val="single" w:color="auto" w:sz="4" w:space="0"/>
            </w:tcBorders>
            <w:vAlign w:val="center"/>
          </w:tcPr>
          <w:p w14:paraId="5DB13695">
            <w:pPr>
              <w:spacing w:line="440" w:lineRule="exact"/>
              <w:jc w:val="center"/>
              <w:rPr>
                <w:rFonts w:hint="eastAsia" w:ascii="宋体" w:hAnsi="宋体" w:cs="宋体"/>
                <w:color w:val="auto"/>
                <w:kern w:val="0"/>
                <w:szCs w:val="21"/>
                <w:highlight w:val="none"/>
                <w:lang w:val="en-US" w:eastAsia="zh-CN" w:bidi="ar"/>
              </w:rPr>
            </w:pPr>
          </w:p>
        </w:tc>
        <w:tc>
          <w:tcPr>
            <w:tcW w:w="2875" w:type="dxa"/>
            <w:tcBorders>
              <w:top w:val="single" w:color="auto" w:sz="4" w:space="0"/>
              <w:left w:val="single" w:color="auto" w:sz="4" w:space="0"/>
              <w:bottom w:val="single" w:color="auto" w:sz="4" w:space="0"/>
              <w:right w:val="single" w:color="auto" w:sz="4" w:space="0"/>
            </w:tcBorders>
            <w:vAlign w:val="center"/>
          </w:tcPr>
          <w:p w14:paraId="2BDFDADD">
            <w:pPr>
              <w:jc w:val="center"/>
              <w:rPr>
                <w:rFonts w:hint="eastAsia" w:ascii="宋体" w:hAnsi="宋体" w:eastAsia="宋体" w:cs="宋体"/>
                <w:color w:val="auto"/>
                <w:sz w:val="21"/>
                <w:szCs w:val="21"/>
                <w:highlight w:val="none"/>
              </w:rPr>
            </w:pPr>
          </w:p>
        </w:tc>
        <w:tc>
          <w:tcPr>
            <w:tcW w:w="1955" w:type="dxa"/>
            <w:tcBorders>
              <w:top w:val="single" w:color="auto" w:sz="4" w:space="0"/>
              <w:left w:val="single" w:color="auto" w:sz="4" w:space="0"/>
              <w:bottom w:val="single" w:color="auto" w:sz="4" w:space="0"/>
              <w:right w:val="single" w:color="auto" w:sz="4" w:space="0"/>
            </w:tcBorders>
            <w:vAlign w:val="center"/>
          </w:tcPr>
          <w:p w14:paraId="37391AA0">
            <w:pPr>
              <w:spacing w:line="300" w:lineRule="auto"/>
              <w:jc w:val="center"/>
              <w:rPr>
                <w:rFonts w:hint="eastAsia" w:ascii="宋体" w:hAnsi="宋体" w:eastAsia="宋体" w:cs="宋体"/>
                <w:color w:val="auto"/>
                <w:sz w:val="21"/>
                <w:szCs w:val="21"/>
                <w:highlight w:val="none"/>
              </w:rPr>
            </w:pPr>
          </w:p>
        </w:tc>
        <w:tc>
          <w:tcPr>
            <w:tcW w:w="739" w:type="dxa"/>
            <w:tcBorders>
              <w:top w:val="single" w:color="auto" w:sz="4" w:space="0"/>
              <w:left w:val="single" w:color="auto" w:sz="4" w:space="0"/>
              <w:bottom w:val="single" w:color="auto" w:sz="4" w:space="0"/>
              <w:right w:val="single" w:color="auto" w:sz="4" w:space="0"/>
            </w:tcBorders>
            <w:vAlign w:val="center"/>
          </w:tcPr>
          <w:p w14:paraId="793B2ED5">
            <w:pPr>
              <w:spacing w:line="440" w:lineRule="exact"/>
              <w:jc w:val="center"/>
              <w:rPr>
                <w:rFonts w:hint="eastAsia" w:ascii="宋体" w:hAnsi="宋体" w:eastAsia="宋体" w:cs="宋体"/>
                <w:color w:val="auto"/>
                <w:szCs w:val="21"/>
                <w:highlight w:val="none"/>
              </w:rPr>
            </w:pPr>
          </w:p>
        </w:tc>
      </w:tr>
      <w:tr w14:paraId="2CD5A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2" w:hRule="atLeast"/>
          <w:jc w:val="right"/>
        </w:trPr>
        <w:tc>
          <w:tcPr>
            <w:tcW w:w="9916" w:type="dxa"/>
            <w:gridSpan w:val="5"/>
            <w:tcBorders>
              <w:top w:val="single" w:color="auto" w:sz="4" w:space="0"/>
              <w:left w:val="single" w:color="auto" w:sz="4" w:space="0"/>
              <w:bottom w:val="single" w:color="auto" w:sz="4" w:space="0"/>
              <w:right w:val="single" w:color="auto" w:sz="4" w:space="0"/>
            </w:tcBorders>
            <w:vAlign w:val="center"/>
          </w:tcPr>
          <w:p w14:paraId="605E0437">
            <w:pPr>
              <w:jc w:val="left"/>
              <w:rPr>
                <w:rFonts w:hint="eastAsia" w:eastAsia="宋体"/>
                <w:color w:val="auto"/>
                <w:highlight w:val="none"/>
                <w:lang w:eastAsia="zh-CN"/>
              </w:rPr>
            </w:pPr>
            <w:r>
              <w:rPr>
                <w:rFonts w:hint="eastAsia" w:ascii="宋体" w:hAnsi="宋体" w:eastAsia="宋体" w:cs="宋体"/>
                <w:b/>
                <w:bCs/>
                <w:color w:val="auto"/>
                <w:szCs w:val="21"/>
                <w:highlight w:val="none"/>
                <w:lang w:val="en-US" w:eastAsia="zh-CN"/>
              </w:rPr>
              <w:t>单价报</w:t>
            </w:r>
            <w:r>
              <w:rPr>
                <w:rFonts w:hint="eastAsia" w:ascii="宋体" w:hAnsi="宋体" w:eastAsia="宋体" w:cs="宋体"/>
                <w:b/>
                <w:bCs/>
                <w:color w:val="auto"/>
                <w:sz w:val="21"/>
                <w:szCs w:val="21"/>
                <w:highlight w:val="none"/>
                <w:lang w:val="en-US" w:eastAsia="zh-CN"/>
              </w:rPr>
              <w:t>价合计</w:t>
            </w:r>
            <w:r>
              <w:rPr>
                <w:rFonts w:hint="eastAsia" w:ascii="宋体" w:hAnsi="宋体" w:eastAsia="宋体" w:cs="宋体"/>
                <w:b/>
                <w:bCs/>
                <w:color w:val="auto"/>
                <w:sz w:val="21"/>
                <w:szCs w:val="21"/>
                <w:highlight w:val="none"/>
              </w:rPr>
              <w:t>（大写）</w:t>
            </w:r>
            <w:r>
              <w:rPr>
                <w:rFonts w:hint="eastAsia" w:ascii="宋体" w:hAnsi="宋体" w:eastAsia="宋体" w:cs="宋体"/>
                <w:color w:val="auto"/>
                <w:sz w:val="21"/>
                <w:szCs w:val="21"/>
                <w:highlight w:val="none"/>
              </w:rPr>
              <w:t>：人民币</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元）</w:t>
            </w:r>
          </w:p>
        </w:tc>
      </w:tr>
      <w:tr w14:paraId="47DF4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2" w:hRule="atLeast"/>
          <w:jc w:val="right"/>
        </w:trPr>
        <w:tc>
          <w:tcPr>
            <w:tcW w:w="9916" w:type="dxa"/>
            <w:gridSpan w:val="5"/>
            <w:tcBorders>
              <w:top w:val="single" w:color="auto" w:sz="4" w:space="0"/>
              <w:left w:val="single" w:color="auto" w:sz="4" w:space="0"/>
              <w:bottom w:val="single" w:color="auto" w:sz="4" w:space="0"/>
              <w:right w:val="single" w:color="auto" w:sz="4" w:space="0"/>
            </w:tcBorders>
            <w:vAlign w:val="center"/>
          </w:tcPr>
          <w:p w14:paraId="29CF23A5">
            <w:pPr>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lang w:val="en-US" w:eastAsia="zh-CN"/>
              </w:rPr>
              <w:t>服务期限</w:t>
            </w:r>
            <w:r>
              <w:rPr>
                <w:rFonts w:hint="eastAsia" w:ascii="宋体" w:hAnsi="宋体" w:eastAsia="宋体" w:cs="宋体"/>
                <w:color w:val="auto"/>
                <w:sz w:val="21"/>
                <w:szCs w:val="21"/>
                <w:highlight w:val="none"/>
              </w:rPr>
              <w:t>：</w:t>
            </w:r>
          </w:p>
        </w:tc>
      </w:tr>
      <w:tr w14:paraId="5B684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2" w:hRule="atLeast"/>
          <w:jc w:val="right"/>
        </w:trPr>
        <w:tc>
          <w:tcPr>
            <w:tcW w:w="9916" w:type="dxa"/>
            <w:gridSpan w:val="5"/>
            <w:tcBorders>
              <w:top w:val="single" w:color="auto" w:sz="4" w:space="0"/>
              <w:left w:val="single" w:color="auto" w:sz="4" w:space="0"/>
              <w:bottom w:val="single" w:color="auto" w:sz="4" w:space="0"/>
              <w:right w:val="single" w:color="auto" w:sz="4" w:space="0"/>
            </w:tcBorders>
            <w:vAlign w:val="center"/>
          </w:tcPr>
          <w:p w14:paraId="2A232443">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验收标准：依据招标文件上的技术规格要求和国家有关质量标准进行。</w:t>
            </w:r>
          </w:p>
        </w:tc>
      </w:tr>
      <w:tr w14:paraId="5E1B7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jc w:val="right"/>
        </w:trPr>
        <w:tc>
          <w:tcPr>
            <w:tcW w:w="9916" w:type="dxa"/>
            <w:gridSpan w:val="5"/>
            <w:tcBorders>
              <w:top w:val="single" w:color="auto" w:sz="4" w:space="0"/>
              <w:left w:val="single" w:color="auto" w:sz="4" w:space="0"/>
              <w:bottom w:val="single" w:color="auto" w:sz="4" w:space="0"/>
              <w:right w:val="single" w:color="auto" w:sz="4" w:space="0"/>
            </w:tcBorders>
            <w:vAlign w:val="center"/>
          </w:tcPr>
          <w:p w14:paraId="2C2AB427">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优惠及其他：</w:t>
            </w:r>
          </w:p>
        </w:tc>
      </w:tr>
    </w:tbl>
    <w:p w14:paraId="7BB12BDA">
      <w:pPr>
        <w:snapToGrid w:val="0"/>
        <w:spacing w:before="50" w:after="50" w:line="360" w:lineRule="auto"/>
        <w:rPr>
          <w:rFonts w:hint="eastAsia" w:ascii="宋体" w:hAnsi="宋体" w:eastAsia="宋体" w:cs="宋体"/>
          <w:color w:val="auto"/>
          <w:sz w:val="24"/>
          <w:highlight w:val="none"/>
        </w:rPr>
      </w:pPr>
    </w:p>
    <w:p w14:paraId="5ABEB73D">
      <w:pPr>
        <w:snapToGrid w:val="0"/>
        <w:spacing w:before="50" w:after="5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注: </w:t>
      </w:r>
    </w:p>
    <w:p w14:paraId="513D34E2">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.投标人的开标一览表必须加盖投标人电子签章并由法定代表人或者委托代理人签字或者电子签名，</w:t>
      </w:r>
      <w:r>
        <w:rPr>
          <w:rFonts w:hint="eastAsia" w:ascii="宋体" w:hAnsi="宋体" w:eastAsia="宋体" w:cs="宋体"/>
          <w:b/>
          <w:color w:val="auto"/>
          <w:sz w:val="21"/>
          <w:szCs w:val="21"/>
          <w:highlight w:val="none"/>
        </w:rPr>
        <w:t>否则其投标作无效标处理</w:t>
      </w:r>
      <w:r>
        <w:rPr>
          <w:rFonts w:hint="eastAsia" w:ascii="宋体" w:hAnsi="宋体" w:eastAsia="宋体" w:cs="宋体"/>
          <w:color w:val="auto"/>
          <w:sz w:val="21"/>
          <w:szCs w:val="21"/>
          <w:highlight w:val="none"/>
        </w:rPr>
        <w:t>。</w:t>
      </w:r>
    </w:p>
    <w:p w14:paraId="183D31BA">
      <w:pPr>
        <w:snapToGrid w:val="0"/>
        <w:spacing w:line="360" w:lineRule="auto"/>
        <w:ind w:firstLine="420" w:firstLineChars="200"/>
        <w:jc w:val="left"/>
        <w:rPr>
          <w:rFonts w:hint="eastAsia" w:ascii="宋体" w:hAnsi="宋体" w:eastAsia="宋体" w:cs="宋体"/>
          <w:b/>
          <w:color w:val="auto"/>
          <w:sz w:val="21"/>
          <w:szCs w:val="21"/>
          <w:highlight w:val="none"/>
        </w:rPr>
      </w:pPr>
      <w:r>
        <w:rPr>
          <w:rFonts w:hint="eastAsia" w:ascii="宋体" w:hAnsi="宋体" w:eastAsia="宋体" w:cs="宋体"/>
          <w:bCs/>
          <w:color w:val="auto"/>
          <w:sz w:val="21"/>
          <w:szCs w:val="21"/>
          <w:highlight w:val="none"/>
          <w:lang w:val="en-US" w:eastAsia="zh-CN"/>
        </w:rPr>
        <w:t>2</w:t>
      </w:r>
      <w:r>
        <w:rPr>
          <w:rFonts w:hint="eastAsia" w:ascii="宋体" w:hAnsi="宋体" w:eastAsia="宋体" w:cs="宋体"/>
          <w:bCs/>
          <w:color w:val="auto"/>
          <w:sz w:val="21"/>
          <w:szCs w:val="21"/>
          <w:highlight w:val="none"/>
        </w:rPr>
        <w:t>.</w:t>
      </w:r>
      <w:r>
        <w:rPr>
          <w:rFonts w:hint="eastAsia" w:ascii="宋体" w:hAnsi="宋体" w:eastAsia="宋体" w:cs="宋体"/>
          <w:color w:val="auto"/>
          <w:sz w:val="21"/>
          <w:szCs w:val="21"/>
          <w:highlight w:val="none"/>
        </w:rPr>
        <w:t>报价一经涂改，应在涂改处加盖投标人公章或者加盖电子签章或者由法定代表人或者委托代理人签字（或者电子签名）</w:t>
      </w:r>
      <w:r>
        <w:rPr>
          <w:rFonts w:hint="eastAsia" w:ascii="宋体" w:hAnsi="宋体" w:eastAsia="宋体" w:cs="宋体"/>
          <w:b/>
          <w:color w:val="auto"/>
          <w:sz w:val="21"/>
          <w:szCs w:val="21"/>
          <w:highlight w:val="none"/>
        </w:rPr>
        <w:t>，否则其投标作无效标处理。</w:t>
      </w:r>
    </w:p>
    <w:p w14:paraId="2AA8D2F0">
      <w:pPr>
        <w:snapToGrid w:val="0"/>
        <w:spacing w:line="360" w:lineRule="auto"/>
        <w:ind w:firstLine="420" w:firstLineChars="200"/>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.如有多分标，按分标分别提供开标一览表，</w:t>
      </w:r>
      <w:r>
        <w:rPr>
          <w:rFonts w:hint="eastAsia" w:ascii="宋体" w:hAnsi="宋体" w:eastAsia="宋体" w:cs="宋体"/>
          <w:b/>
          <w:color w:val="auto"/>
          <w:sz w:val="21"/>
          <w:szCs w:val="21"/>
          <w:highlight w:val="none"/>
        </w:rPr>
        <w:t>否则投标无效。</w:t>
      </w:r>
    </w:p>
    <w:p w14:paraId="24C35861">
      <w:pPr>
        <w:snapToGrid w:val="0"/>
        <w:spacing w:line="360" w:lineRule="auto"/>
        <w:ind w:firstLine="422" w:firstLineChars="200"/>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4.本标项采用单价进行报价，单价超过各单价最高限价的投标无效；</w:t>
      </w:r>
      <w:r>
        <w:rPr>
          <w:rFonts w:hint="eastAsia" w:ascii="宋体" w:hAnsi="宋体" w:eastAsia="宋体" w:cs="宋体"/>
          <w:b/>
          <w:bCs/>
          <w:color w:val="auto"/>
          <w:szCs w:val="21"/>
          <w:highlight w:val="none"/>
        </w:rPr>
        <w:t>本标项按人员工日单价报价作为价格分计算依据</w:t>
      </w:r>
      <w:r>
        <w:rPr>
          <w:rFonts w:hint="eastAsia" w:ascii="宋体" w:hAnsi="宋体" w:cs="宋体"/>
          <w:b/>
          <w:bCs/>
          <w:color w:val="auto"/>
          <w:szCs w:val="21"/>
          <w:highlight w:val="none"/>
          <w:lang w:val="en-US" w:eastAsia="zh-CN"/>
        </w:rPr>
        <w:t>。</w:t>
      </w:r>
    </w:p>
    <w:p w14:paraId="72F60B6E">
      <w:pPr>
        <w:pStyle w:val="38"/>
        <w:rPr>
          <w:rFonts w:hint="eastAsia" w:ascii="宋体" w:hAnsi="宋体" w:eastAsia="宋体" w:cs="宋体"/>
          <w:color w:val="auto"/>
          <w:sz w:val="21"/>
          <w:szCs w:val="21"/>
          <w:highlight w:val="none"/>
        </w:rPr>
      </w:pPr>
    </w:p>
    <w:p w14:paraId="0225984E">
      <w:pPr>
        <w:snapToGrid w:val="0"/>
        <w:spacing w:line="360" w:lineRule="auto"/>
        <w:ind w:left="-2" w:leftChars="-1" w:right="-817" w:rightChars="-38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法定代表人或者委托代理人（签字或者电子签名）： </w:t>
      </w:r>
    </w:p>
    <w:p w14:paraId="7100E151">
      <w:pPr>
        <w:snapToGrid w:val="0"/>
        <w:spacing w:line="360" w:lineRule="auto"/>
        <w:ind w:left="-6" w:leftChars="-15" w:right="-817" w:rightChars="-389" w:hanging="25" w:hangingChars="1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投标人名称（电子签章）：</w:t>
      </w:r>
    </w:p>
    <w:p w14:paraId="2A697C27">
      <w:pPr>
        <w:snapToGrid w:val="0"/>
        <w:spacing w:line="360" w:lineRule="auto"/>
        <w:ind w:left="-6" w:leftChars="-15" w:right="-817" w:rightChars="-389" w:hanging="25" w:hangingChars="1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日期：    年   月   日</w:t>
      </w:r>
    </w:p>
    <w:p w14:paraId="5C23D16E">
      <w:pPr>
        <w:pStyle w:val="2"/>
        <w:rPr>
          <w:rFonts w:hint="eastAsia"/>
          <w:color w:val="auto"/>
          <w:highlight w:val="none"/>
        </w:rPr>
      </w:pPr>
    </w:p>
    <w:p w14:paraId="2429BB87">
      <w:pPr>
        <w:widowControl/>
        <w:jc w:val="left"/>
        <w:rPr>
          <w:rFonts w:hint="eastAsia" w:ascii="宋体" w:hAnsi="宋体" w:eastAsia="宋体" w:cs="宋体"/>
          <w:b/>
          <w:color w:val="auto"/>
          <w:highlight w:val="none"/>
        </w:rPr>
      </w:pPr>
      <w:r>
        <w:rPr>
          <w:rFonts w:hint="eastAsia" w:ascii="宋体" w:hAnsi="宋体" w:eastAsia="宋体" w:cs="宋体"/>
          <w:color w:val="auto"/>
          <w:highlight w:val="none"/>
        </w:rPr>
        <w:br w:type="page"/>
      </w:r>
    </w:p>
    <w:p w14:paraId="1AE115E3">
      <w:pPr>
        <w:rPr>
          <w:rFonts w:hint="eastAsia" w:ascii="宋体" w:hAnsi="宋体" w:eastAsia="宋体" w:cs="宋体"/>
          <w:b/>
          <w:color w:val="auto"/>
          <w:sz w:val="28"/>
          <w:szCs w:val="28"/>
          <w:highlight w:val="none"/>
        </w:rPr>
      </w:pPr>
      <w:bookmarkStart w:id="163" w:name="_Toc19686837"/>
      <w:r>
        <w:rPr>
          <w:rFonts w:hint="eastAsia" w:ascii="宋体" w:hAnsi="宋体" w:eastAsia="宋体" w:cs="宋体"/>
          <w:b/>
          <w:color w:val="auto"/>
          <w:sz w:val="28"/>
          <w:szCs w:val="28"/>
          <w:highlight w:val="none"/>
        </w:rPr>
        <w:t>二、资格证明文件格式</w:t>
      </w:r>
      <w:bookmarkEnd w:id="161"/>
      <w:bookmarkEnd w:id="162"/>
      <w:bookmarkEnd w:id="163"/>
    </w:p>
    <w:p w14:paraId="46D705D7">
      <w:pPr>
        <w:numPr>
          <w:ilvl w:val="2"/>
          <w:numId w:val="33"/>
        </w:numPr>
        <w:snapToGrid w:val="0"/>
        <w:spacing w:before="120" w:beforeLines="50" w:after="50" w:line="360" w:lineRule="auto"/>
        <w:ind w:left="0" w:firstLine="0"/>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 xml:space="preserve">资格证明文件封面格式： </w:t>
      </w:r>
    </w:p>
    <w:p w14:paraId="7A7248F2">
      <w:pPr>
        <w:snapToGrid w:val="0"/>
        <w:spacing w:before="120" w:beforeLines="50" w:after="50"/>
        <w:jc w:val="center"/>
        <w:rPr>
          <w:rFonts w:hint="eastAsia" w:ascii="宋体" w:hAnsi="宋体" w:eastAsia="宋体" w:cs="宋体"/>
          <w:bCs/>
          <w:color w:val="auto"/>
          <w:sz w:val="48"/>
          <w:szCs w:val="48"/>
          <w:highlight w:val="none"/>
        </w:rPr>
      </w:pPr>
      <w:r>
        <w:rPr>
          <w:rFonts w:hint="eastAsia" w:ascii="宋体" w:hAnsi="宋体" w:eastAsia="宋体" w:cs="宋体"/>
          <w:bCs/>
          <w:color w:val="auto"/>
          <w:sz w:val="48"/>
          <w:szCs w:val="48"/>
          <w:highlight w:val="none"/>
        </w:rPr>
        <w:t>电子投标文件</w:t>
      </w:r>
    </w:p>
    <w:p w14:paraId="43CBA4E1">
      <w:pPr>
        <w:snapToGrid w:val="0"/>
        <w:spacing w:before="120" w:beforeLines="50" w:after="50"/>
        <w:rPr>
          <w:rFonts w:hint="eastAsia" w:ascii="宋体" w:hAnsi="宋体" w:eastAsia="宋体" w:cs="宋体"/>
          <w:color w:val="auto"/>
          <w:sz w:val="24"/>
          <w:szCs w:val="20"/>
          <w:highlight w:val="none"/>
        </w:rPr>
      </w:pPr>
    </w:p>
    <w:p w14:paraId="3FEE4A6A">
      <w:pPr>
        <w:snapToGrid w:val="0"/>
        <w:spacing w:before="120" w:beforeLines="50" w:after="50"/>
        <w:jc w:val="center"/>
        <w:rPr>
          <w:rFonts w:hint="eastAsia" w:ascii="宋体" w:hAnsi="宋体" w:eastAsia="宋体" w:cs="宋体"/>
          <w:b/>
          <w:color w:val="auto"/>
          <w:sz w:val="24"/>
          <w:szCs w:val="20"/>
          <w:highlight w:val="none"/>
        </w:rPr>
      </w:pPr>
      <w:r>
        <w:rPr>
          <w:rFonts w:hint="eastAsia" w:ascii="宋体" w:hAnsi="宋体" w:eastAsia="宋体" w:cs="宋体"/>
          <w:b/>
          <w:color w:val="auto"/>
          <w:sz w:val="32"/>
          <w:szCs w:val="32"/>
          <w:highlight w:val="none"/>
        </w:rPr>
        <w:t>资格证明文件</w:t>
      </w:r>
    </w:p>
    <w:p w14:paraId="6A5C13B2">
      <w:pPr>
        <w:snapToGrid w:val="0"/>
        <w:spacing w:before="120" w:beforeLines="50" w:after="50"/>
        <w:rPr>
          <w:rFonts w:hint="eastAsia" w:ascii="宋体" w:hAnsi="宋体" w:eastAsia="宋体" w:cs="宋体"/>
          <w:bCs/>
          <w:color w:val="auto"/>
          <w:sz w:val="24"/>
          <w:szCs w:val="20"/>
          <w:highlight w:val="none"/>
        </w:rPr>
      </w:pPr>
    </w:p>
    <w:p w14:paraId="2EE3FE4D">
      <w:pPr>
        <w:snapToGrid w:val="0"/>
        <w:spacing w:before="120" w:beforeLines="50" w:after="50"/>
        <w:rPr>
          <w:rFonts w:hint="eastAsia" w:ascii="宋体" w:hAnsi="宋体" w:eastAsia="宋体" w:cs="宋体"/>
          <w:bCs/>
          <w:color w:val="auto"/>
          <w:sz w:val="24"/>
          <w:szCs w:val="20"/>
          <w:highlight w:val="none"/>
        </w:rPr>
      </w:pPr>
    </w:p>
    <w:p w14:paraId="5423DA6D">
      <w:pPr>
        <w:snapToGrid w:val="0"/>
        <w:spacing w:before="120" w:beforeLines="50" w:after="50"/>
        <w:rPr>
          <w:rFonts w:hint="eastAsia" w:ascii="宋体" w:hAnsi="宋体" w:eastAsia="宋体" w:cs="宋体"/>
          <w:bCs/>
          <w:color w:val="auto"/>
          <w:sz w:val="24"/>
          <w:szCs w:val="20"/>
          <w:highlight w:val="none"/>
        </w:rPr>
      </w:pPr>
    </w:p>
    <w:p w14:paraId="1733288B">
      <w:pPr>
        <w:snapToGrid w:val="0"/>
        <w:spacing w:before="120" w:beforeLines="50" w:after="50"/>
        <w:rPr>
          <w:rFonts w:hint="eastAsia" w:ascii="宋体" w:hAnsi="宋体" w:eastAsia="宋体" w:cs="宋体"/>
          <w:bCs/>
          <w:color w:val="auto"/>
          <w:sz w:val="24"/>
          <w:szCs w:val="20"/>
          <w:highlight w:val="none"/>
        </w:rPr>
      </w:pPr>
    </w:p>
    <w:p w14:paraId="4A3BAA76">
      <w:pPr>
        <w:snapToGrid w:val="0"/>
        <w:spacing w:before="120" w:beforeLines="50" w:after="50"/>
        <w:rPr>
          <w:rFonts w:hint="eastAsia" w:ascii="宋体" w:hAnsi="宋体" w:eastAsia="宋体" w:cs="宋体"/>
          <w:bCs/>
          <w:color w:val="auto"/>
          <w:sz w:val="24"/>
          <w:szCs w:val="20"/>
          <w:highlight w:val="none"/>
        </w:rPr>
      </w:pPr>
    </w:p>
    <w:p w14:paraId="07B5892A">
      <w:pPr>
        <w:snapToGrid w:val="0"/>
        <w:spacing w:before="120" w:beforeLines="50" w:after="50"/>
        <w:rPr>
          <w:rFonts w:hint="eastAsia" w:ascii="宋体" w:hAnsi="宋体" w:eastAsia="宋体" w:cs="宋体"/>
          <w:bCs/>
          <w:color w:val="auto"/>
          <w:sz w:val="24"/>
          <w:szCs w:val="20"/>
          <w:highlight w:val="none"/>
        </w:rPr>
      </w:pPr>
    </w:p>
    <w:p w14:paraId="46CF1C1E">
      <w:pPr>
        <w:snapToGrid w:val="0"/>
        <w:spacing w:before="120" w:beforeLines="50" w:after="50"/>
        <w:rPr>
          <w:rFonts w:hint="eastAsia" w:ascii="宋体" w:hAnsi="宋体" w:eastAsia="宋体" w:cs="宋体"/>
          <w:bCs/>
          <w:color w:val="auto"/>
          <w:sz w:val="24"/>
          <w:szCs w:val="20"/>
          <w:highlight w:val="none"/>
        </w:rPr>
      </w:pPr>
    </w:p>
    <w:p w14:paraId="027D64FF">
      <w:pPr>
        <w:snapToGrid w:val="0"/>
        <w:spacing w:before="120" w:beforeLines="50" w:after="50"/>
        <w:ind w:firstLine="540" w:firstLineChars="225"/>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项目名称：</w:t>
      </w:r>
    </w:p>
    <w:p w14:paraId="733334FA">
      <w:pPr>
        <w:snapToGrid w:val="0"/>
        <w:spacing w:before="120" w:beforeLines="50" w:after="50"/>
        <w:ind w:firstLine="540" w:firstLineChars="225"/>
        <w:rPr>
          <w:rFonts w:hint="eastAsia" w:ascii="宋体" w:hAnsi="宋体" w:eastAsia="宋体" w:cs="宋体"/>
          <w:bCs/>
          <w:color w:val="auto"/>
          <w:sz w:val="24"/>
          <w:szCs w:val="20"/>
          <w:highlight w:val="none"/>
        </w:rPr>
      </w:pPr>
    </w:p>
    <w:p w14:paraId="2DB544A2">
      <w:pPr>
        <w:snapToGrid w:val="0"/>
        <w:spacing w:before="120" w:beforeLines="50" w:after="50"/>
        <w:ind w:firstLine="540" w:firstLineChars="225"/>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项目编号：</w:t>
      </w:r>
    </w:p>
    <w:p w14:paraId="6A202089">
      <w:pPr>
        <w:snapToGrid w:val="0"/>
        <w:spacing w:before="120" w:beforeLines="50" w:after="50"/>
        <w:ind w:firstLine="540" w:firstLineChars="225"/>
        <w:rPr>
          <w:rFonts w:hint="eastAsia" w:ascii="宋体" w:hAnsi="宋体" w:eastAsia="宋体" w:cs="宋体"/>
          <w:bCs/>
          <w:color w:val="auto"/>
          <w:sz w:val="24"/>
          <w:szCs w:val="20"/>
          <w:highlight w:val="none"/>
        </w:rPr>
      </w:pPr>
    </w:p>
    <w:p w14:paraId="028A2A3C">
      <w:pPr>
        <w:snapToGrid w:val="0"/>
        <w:spacing w:before="120" w:beforeLines="50" w:after="50"/>
        <w:ind w:firstLine="540" w:firstLineChars="225"/>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所投分标：</w:t>
      </w:r>
    </w:p>
    <w:p w14:paraId="637091A1">
      <w:pPr>
        <w:pStyle w:val="9"/>
        <w:snapToGrid w:val="0"/>
        <w:spacing w:before="50" w:after="50"/>
        <w:ind w:firstLine="540" w:firstLineChars="225"/>
        <w:rPr>
          <w:rFonts w:hint="eastAsia" w:ascii="宋体" w:hAnsi="宋体" w:eastAsia="宋体" w:cs="宋体"/>
          <w:bCs/>
          <w:color w:val="auto"/>
          <w:sz w:val="24"/>
          <w:szCs w:val="24"/>
          <w:highlight w:val="none"/>
        </w:rPr>
      </w:pPr>
    </w:p>
    <w:p w14:paraId="3B70119D">
      <w:pPr>
        <w:pStyle w:val="9"/>
        <w:snapToGrid w:val="0"/>
        <w:spacing w:before="50" w:after="50"/>
        <w:ind w:firstLine="540" w:firstLineChars="225"/>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投标人名称：</w:t>
      </w:r>
    </w:p>
    <w:p w14:paraId="0EC2188F">
      <w:pPr>
        <w:pStyle w:val="9"/>
        <w:snapToGrid w:val="0"/>
        <w:spacing w:before="50" w:after="50"/>
        <w:ind w:firstLine="540" w:firstLineChars="225"/>
        <w:rPr>
          <w:rFonts w:hint="eastAsia" w:ascii="宋体" w:hAnsi="宋体" w:eastAsia="宋体" w:cs="宋体"/>
          <w:bCs/>
          <w:color w:val="auto"/>
          <w:sz w:val="24"/>
          <w:szCs w:val="24"/>
          <w:highlight w:val="none"/>
        </w:rPr>
      </w:pPr>
    </w:p>
    <w:p w14:paraId="78A691B6">
      <w:pPr>
        <w:pStyle w:val="9"/>
        <w:snapToGrid w:val="0"/>
        <w:spacing w:before="50" w:after="50"/>
        <w:ind w:firstLine="960" w:firstLineChars="400"/>
        <w:rPr>
          <w:rFonts w:hint="eastAsia" w:ascii="宋体" w:hAnsi="宋体" w:eastAsia="宋体" w:cs="宋体"/>
          <w:bCs/>
          <w:color w:val="auto"/>
          <w:sz w:val="24"/>
          <w:szCs w:val="24"/>
          <w:highlight w:val="none"/>
        </w:rPr>
      </w:pPr>
    </w:p>
    <w:p w14:paraId="1BD6BE3D">
      <w:pPr>
        <w:snapToGrid w:val="0"/>
        <w:spacing w:before="120" w:beforeLines="50" w:after="50"/>
        <w:ind w:firstLine="645"/>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年  月  日</w:t>
      </w:r>
    </w:p>
    <w:p w14:paraId="4257E2B0">
      <w:pPr>
        <w:snapToGrid w:val="0"/>
        <w:spacing w:before="120" w:beforeLines="50" w:after="50"/>
        <w:rPr>
          <w:rFonts w:hint="eastAsia" w:ascii="宋体" w:hAnsi="宋体" w:eastAsia="宋体" w:cs="宋体"/>
          <w:color w:val="auto"/>
          <w:sz w:val="24"/>
          <w:szCs w:val="20"/>
          <w:highlight w:val="none"/>
        </w:rPr>
      </w:pPr>
    </w:p>
    <w:p w14:paraId="1D1EE2BF">
      <w:pPr>
        <w:snapToGrid w:val="0"/>
        <w:spacing w:before="120" w:beforeLines="50" w:after="50"/>
        <w:rPr>
          <w:rFonts w:hint="eastAsia" w:ascii="宋体" w:hAnsi="宋体" w:eastAsia="宋体" w:cs="宋体"/>
          <w:color w:val="auto"/>
          <w:sz w:val="24"/>
          <w:szCs w:val="20"/>
          <w:highlight w:val="none"/>
        </w:rPr>
      </w:pPr>
    </w:p>
    <w:p w14:paraId="362EE01C">
      <w:pPr>
        <w:numPr>
          <w:ilvl w:val="2"/>
          <w:numId w:val="33"/>
        </w:numPr>
        <w:snapToGrid w:val="0"/>
        <w:spacing w:before="120" w:beforeLines="50" w:after="50" w:line="360" w:lineRule="auto"/>
        <w:ind w:left="0" w:firstLine="0"/>
        <w:jc w:val="left"/>
        <w:rPr>
          <w:rFonts w:hint="eastAsia" w:ascii="宋体" w:hAnsi="宋体" w:eastAsia="宋体" w:cs="宋体"/>
          <w:color w:val="auto"/>
          <w:sz w:val="24"/>
          <w:szCs w:val="20"/>
          <w:highlight w:val="none"/>
        </w:rPr>
      </w:pPr>
      <w:r>
        <w:rPr>
          <w:rFonts w:hint="eastAsia" w:ascii="宋体" w:hAnsi="宋体" w:eastAsia="宋体" w:cs="宋体"/>
          <w:b/>
          <w:bCs/>
          <w:color w:val="auto"/>
          <w:sz w:val="24"/>
          <w:highlight w:val="none"/>
        </w:rPr>
        <w:br w:type="page"/>
      </w:r>
      <w:r>
        <w:rPr>
          <w:rFonts w:hint="eastAsia" w:ascii="宋体" w:hAnsi="宋体" w:eastAsia="宋体" w:cs="宋体"/>
          <w:b/>
          <w:bCs/>
          <w:color w:val="auto"/>
          <w:sz w:val="24"/>
          <w:highlight w:val="none"/>
        </w:rPr>
        <w:t>资格证明文件目录</w:t>
      </w:r>
    </w:p>
    <w:p w14:paraId="1168E99B">
      <w:pPr>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根据招标文件规定及投标人提供的材料自行编写目录。</w:t>
      </w:r>
    </w:p>
    <w:p w14:paraId="60536A5C">
      <w:pPr>
        <w:snapToGrid w:val="0"/>
        <w:spacing w:before="50" w:after="120" w:afterLines="50"/>
        <w:jc w:val="left"/>
        <w:rPr>
          <w:rFonts w:hint="eastAsia" w:ascii="宋体" w:hAnsi="宋体" w:eastAsia="宋体" w:cs="宋体"/>
          <w:color w:val="auto"/>
          <w:sz w:val="24"/>
          <w:highlight w:val="none"/>
        </w:rPr>
      </w:pPr>
    </w:p>
    <w:p w14:paraId="14150C76">
      <w:pPr>
        <w:snapToGrid w:val="0"/>
        <w:spacing w:before="50" w:after="120" w:afterLines="50"/>
        <w:jc w:val="left"/>
        <w:rPr>
          <w:rFonts w:hint="eastAsia" w:ascii="宋体" w:hAnsi="宋体" w:eastAsia="宋体" w:cs="宋体"/>
          <w:color w:val="auto"/>
          <w:sz w:val="24"/>
          <w:highlight w:val="none"/>
        </w:rPr>
      </w:pPr>
    </w:p>
    <w:p w14:paraId="36E159C7">
      <w:pPr>
        <w:snapToGrid w:val="0"/>
        <w:spacing w:before="120" w:beforeLines="50" w:after="50"/>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br w:type="page"/>
      </w:r>
      <w:r>
        <w:rPr>
          <w:rFonts w:hint="eastAsia" w:ascii="宋体" w:hAnsi="宋体" w:eastAsia="宋体" w:cs="宋体"/>
          <w:b/>
          <w:bCs w:val="0"/>
          <w:color w:val="auto"/>
          <w:sz w:val="28"/>
          <w:szCs w:val="28"/>
          <w:highlight w:val="none"/>
        </w:rPr>
        <w:t>3.投标人直接控股</w:t>
      </w:r>
      <w:r>
        <w:rPr>
          <w:rFonts w:hint="eastAsia" w:ascii="宋体" w:hAnsi="宋体" w:eastAsia="宋体" w:cs="宋体"/>
          <w:b/>
          <w:bCs w:val="0"/>
          <w:color w:val="auto"/>
          <w:sz w:val="28"/>
          <w:szCs w:val="28"/>
          <w:highlight w:val="none"/>
          <w:lang w:eastAsia="zh-CN"/>
        </w:rPr>
        <w:t>、</w:t>
      </w:r>
      <w:r>
        <w:rPr>
          <w:rFonts w:hint="eastAsia" w:ascii="宋体" w:hAnsi="宋体" w:eastAsia="宋体" w:cs="宋体"/>
          <w:b/>
          <w:bCs w:val="0"/>
          <w:color w:val="auto"/>
          <w:sz w:val="28"/>
          <w:szCs w:val="28"/>
          <w:highlight w:val="none"/>
        </w:rPr>
        <w:t>管理关系信息表</w:t>
      </w:r>
    </w:p>
    <w:p w14:paraId="2F1F0AEA">
      <w:pPr>
        <w:snapToGrid w:val="0"/>
        <w:spacing w:before="50" w:after="120" w:afterLines="50"/>
        <w:jc w:val="center"/>
        <w:rPr>
          <w:rFonts w:hint="eastAsia" w:ascii="宋体" w:hAnsi="宋体" w:eastAsia="宋体" w:cs="宋体"/>
          <w:b/>
          <w:color w:val="auto"/>
          <w:sz w:val="28"/>
          <w:szCs w:val="28"/>
          <w:highlight w:val="none"/>
        </w:rPr>
      </w:pPr>
    </w:p>
    <w:p w14:paraId="30FDEA9B">
      <w:pPr>
        <w:snapToGrid w:val="0"/>
        <w:spacing w:before="50" w:after="120" w:afterLines="50"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投标人直接控股股东信息表</w:t>
      </w:r>
    </w:p>
    <w:tbl>
      <w:tblPr>
        <w:tblStyle w:val="61"/>
        <w:tblW w:w="9476" w:type="dxa"/>
        <w:tblInd w:w="0" w:type="dxa"/>
        <w:shd w:val="clear" w:color="auto" w:fill="FBFBFB"/>
        <w:tblLayout w:type="fixed"/>
        <w:tblCellMar>
          <w:top w:w="0" w:type="dxa"/>
          <w:left w:w="0" w:type="dxa"/>
          <w:bottom w:w="0" w:type="dxa"/>
          <w:right w:w="0" w:type="dxa"/>
        </w:tblCellMar>
      </w:tblPr>
      <w:tblGrid>
        <w:gridCol w:w="828"/>
        <w:gridCol w:w="2269"/>
        <w:gridCol w:w="1239"/>
        <w:gridCol w:w="3722"/>
        <w:gridCol w:w="1418"/>
      </w:tblGrid>
      <w:tr w14:paraId="1364E8A6">
        <w:trPr>
          <w:tblHeader/>
        </w:trPr>
        <w:tc>
          <w:tcPr>
            <w:tcW w:w="82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A963FD0">
            <w:pPr>
              <w:spacing w:line="360" w:lineRule="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序号</w:t>
            </w:r>
          </w:p>
        </w:tc>
        <w:tc>
          <w:tcPr>
            <w:tcW w:w="226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B22D3DE">
            <w:pPr>
              <w:spacing w:line="360" w:lineRule="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961C0AB">
            <w:pPr>
              <w:spacing w:line="360" w:lineRule="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6C34100">
            <w:pPr>
              <w:spacing w:line="360" w:lineRule="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6192D2B">
            <w:pPr>
              <w:spacing w:line="360" w:lineRule="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备注</w:t>
            </w:r>
          </w:p>
        </w:tc>
      </w:tr>
      <w:tr w14:paraId="1B4EF0E0">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9C44D0D">
            <w:pPr>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p>
        </w:tc>
        <w:tc>
          <w:tcPr>
            <w:tcW w:w="226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5BEC2F2">
            <w:pPr>
              <w:spacing w:line="360" w:lineRule="auto"/>
              <w:jc w:val="center"/>
              <w:rPr>
                <w:rFonts w:hint="eastAsia" w:ascii="宋体" w:hAnsi="宋体" w:eastAsia="宋体" w:cs="宋体"/>
                <w:color w:val="auto"/>
                <w:kern w:val="0"/>
                <w:sz w:val="21"/>
                <w:szCs w:val="21"/>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F772553">
            <w:pPr>
              <w:spacing w:line="360" w:lineRule="auto"/>
              <w:jc w:val="center"/>
              <w:rPr>
                <w:rFonts w:hint="eastAsia" w:ascii="宋体" w:hAnsi="宋体" w:eastAsia="宋体" w:cs="宋体"/>
                <w:color w:val="auto"/>
                <w:kern w:val="0"/>
                <w:sz w:val="21"/>
                <w:szCs w:val="21"/>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88E4449">
            <w:pPr>
              <w:spacing w:line="360" w:lineRule="auto"/>
              <w:jc w:val="center"/>
              <w:rPr>
                <w:rFonts w:hint="eastAsia" w:ascii="宋体" w:hAnsi="宋体" w:eastAsia="宋体" w:cs="宋体"/>
                <w:color w:val="auto"/>
                <w:kern w:val="0"/>
                <w:sz w:val="21"/>
                <w:szCs w:val="21"/>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18FDFDC">
            <w:pPr>
              <w:spacing w:line="360" w:lineRule="auto"/>
              <w:jc w:val="center"/>
              <w:rPr>
                <w:rFonts w:hint="eastAsia" w:ascii="宋体" w:hAnsi="宋体" w:eastAsia="宋体" w:cs="宋体"/>
                <w:color w:val="auto"/>
                <w:kern w:val="0"/>
                <w:sz w:val="21"/>
                <w:szCs w:val="21"/>
                <w:highlight w:val="none"/>
              </w:rPr>
            </w:pPr>
          </w:p>
        </w:tc>
      </w:tr>
      <w:tr w14:paraId="310FB11B">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87A076C">
            <w:pPr>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w:t>
            </w:r>
          </w:p>
        </w:tc>
        <w:tc>
          <w:tcPr>
            <w:tcW w:w="226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36D4E83">
            <w:pPr>
              <w:spacing w:line="360" w:lineRule="auto"/>
              <w:jc w:val="center"/>
              <w:rPr>
                <w:rFonts w:hint="eastAsia" w:ascii="宋体" w:hAnsi="宋体" w:eastAsia="宋体" w:cs="宋体"/>
                <w:color w:val="auto"/>
                <w:kern w:val="0"/>
                <w:sz w:val="21"/>
                <w:szCs w:val="21"/>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160276D">
            <w:pPr>
              <w:spacing w:line="360" w:lineRule="auto"/>
              <w:jc w:val="center"/>
              <w:rPr>
                <w:rFonts w:hint="eastAsia" w:ascii="宋体" w:hAnsi="宋体" w:eastAsia="宋体" w:cs="宋体"/>
                <w:color w:val="auto"/>
                <w:kern w:val="0"/>
                <w:sz w:val="21"/>
                <w:szCs w:val="21"/>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4C636D3">
            <w:pPr>
              <w:spacing w:line="360" w:lineRule="auto"/>
              <w:jc w:val="center"/>
              <w:rPr>
                <w:rFonts w:hint="eastAsia" w:ascii="宋体" w:hAnsi="宋体" w:eastAsia="宋体" w:cs="宋体"/>
                <w:color w:val="auto"/>
                <w:kern w:val="0"/>
                <w:sz w:val="21"/>
                <w:szCs w:val="21"/>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F32ACE3">
            <w:pPr>
              <w:spacing w:line="360" w:lineRule="auto"/>
              <w:jc w:val="center"/>
              <w:rPr>
                <w:rFonts w:hint="eastAsia" w:ascii="宋体" w:hAnsi="宋体" w:eastAsia="宋体" w:cs="宋体"/>
                <w:color w:val="auto"/>
                <w:kern w:val="0"/>
                <w:sz w:val="21"/>
                <w:szCs w:val="21"/>
                <w:highlight w:val="none"/>
              </w:rPr>
            </w:pPr>
          </w:p>
        </w:tc>
      </w:tr>
      <w:tr w14:paraId="2765D7B5">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F2153EE">
            <w:pPr>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w:t>
            </w:r>
          </w:p>
        </w:tc>
        <w:tc>
          <w:tcPr>
            <w:tcW w:w="226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8335516">
            <w:pPr>
              <w:spacing w:line="360" w:lineRule="auto"/>
              <w:jc w:val="center"/>
              <w:rPr>
                <w:rFonts w:hint="eastAsia" w:ascii="宋体" w:hAnsi="宋体" w:eastAsia="宋体" w:cs="宋体"/>
                <w:color w:val="auto"/>
                <w:kern w:val="0"/>
                <w:sz w:val="21"/>
                <w:szCs w:val="21"/>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BEEBDAB">
            <w:pPr>
              <w:spacing w:line="360" w:lineRule="auto"/>
              <w:jc w:val="center"/>
              <w:rPr>
                <w:rFonts w:hint="eastAsia" w:ascii="宋体" w:hAnsi="宋体" w:eastAsia="宋体" w:cs="宋体"/>
                <w:color w:val="auto"/>
                <w:kern w:val="0"/>
                <w:sz w:val="21"/>
                <w:szCs w:val="21"/>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AB35EBA">
            <w:pPr>
              <w:spacing w:line="360" w:lineRule="auto"/>
              <w:jc w:val="center"/>
              <w:rPr>
                <w:rFonts w:hint="eastAsia" w:ascii="宋体" w:hAnsi="宋体" w:eastAsia="宋体" w:cs="宋体"/>
                <w:color w:val="auto"/>
                <w:kern w:val="0"/>
                <w:sz w:val="21"/>
                <w:szCs w:val="21"/>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B958106">
            <w:pPr>
              <w:spacing w:line="360" w:lineRule="auto"/>
              <w:jc w:val="center"/>
              <w:rPr>
                <w:rFonts w:hint="eastAsia" w:ascii="宋体" w:hAnsi="宋体" w:eastAsia="宋体" w:cs="宋体"/>
                <w:color w:val="auto"/>
                <w:kern w:val="0"/>
                <w:sz w:val="21"/>
                <w:szCs w:val="21"/>
                <w:highlight w:val="none"/>
              </w:rPr>
            </w:pPr>
          </w:p>
        </w:tc>
      </w:tr>
      <w:tr w14:paraId="4BB7FDF9">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7B4EDEA">
            <w:pPr>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w:t>
            </w:r>
          </w:p>
        </w:tc>
        <w:tc>
          <w:tcPr>
            <w:tcW w:w="226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7465FA9">
            <w:pPr>
              <w:spacing w:line="360" w:lineRule="auto"/>
              <w:jc w:val="center"/>
              <w:rPr>
                <w:rFonts w:hint="eastAsia" w:ascii="宋体" w:hAnsi="宋体" w:eastAsia="宋体" w:cs="宋体"/>
                <w:color w:val="auto"/>
                <w:kern w:val="0"/>
                <w:sz w:val="21"/>
                <w:szCs w:val="21"/>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718AB7B">
            <w:pPr>
              <w:spacing w:line="360" w:lineRule="auto"/>
              <w:jc w:val="center"/>
              <w:rPr>
                <w:rFonts w:hint="eastAsia" w:ascii="宋体" w:hAnsi="宋体" w:eastAsia="宋体" w:cs="宋体"/>
                <w:color w:val="auto"/>
                <w:kern w:val="0"/>
                <w:sz w:val="21"/>
                <w:szCs w:val="21"/>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A1CC75D">
            <w:pPr>
              <w:spacing w:line="360" w:lineRule="auto"/>
              <w:jc w:val="center"/>
              <w:rPr>
                <w:rFonts w:hint="eastAsia" w:ascii="宋体" w:hAnsi="宋体" w:eastAsia="宋体" w:cs="宋体"/>
                <w:color w:val="auto"/>
                <w:kern w:val="0"/>
                <w:sz w:val="21"/>
                <w:szCs w:val="21"/>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8481E93">
            <w:pPr>
              <w:spacing w:line="360" w:lineRule="auto"/>
              <w:jc w:val="center"/>
              <w:rPr>
                <w:rFonts w:hint="eastAsia" w:ascii="宋体" w:hAnsi="宋体" w:eastAsia="宋体" w:cs="宋体"/>
                <w:color w:val="auto"/>
                <w:kern w:val="0"/>
                <w:sz w:val="21"/>
                <w:szCs w:val="21"/>
                <w:highlight w:val="none"/>
              </w:rPr>
            </w:pPr>
          </w:p>
        </w:tc>
      </w:tr>
    </w:tbl>
    <w:p w14:paraId="1AE88367">
      <w:pPr>
        <w:snapToGrid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w:t>
      </w:r>
    </w:p>
    <w:p w14:paraId="32B2EE72">
      <w:pPr>
        <w:snapToGrid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572EC2E9">
      <w:pPr>
        <w:snapToGrid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2.本表所指的控股关系仅限于直接控股关系，不包括间接的控股关系。公司实际控制人与公司之间的关系不属于本表所指的直接控股关系。</w:t>
      </w:r>
    </w:p>
    <w:p w14:paraId="7B9D585D">
      <w:pPr>
        <w:snapToGrid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3.供应商不存在直接控股股东的，则在“</w:t>
      </w:r>
      <w:r>
        <w:rPr>
          <w:rFonts w:hint="eastAsia" w:ascii="宋体" w:hAnsi="宋体" w:eastAsia="宋体" w:cs="宋体"/>
          <w:b/>
          <w:bCs/>
          <w:color w:val="auto"/>
          <w:kern w:val="0"/>
          <w:sz w:val="21"/>
          <w:szCs w:val="21"/>
          <w:highlight w:val="none"/>
        </w:rPr>
        <w:t>直接控股股东名称</w:t>
      </w:r>
      <w:r>
        <w:rPr>
          <w:rFonts w:hint="eastAsia" w:ascii="宋体" w:hAnsi="宋体" w:eastAsia="宋体" w:cs="宋体"/>
          <w:color w:val="auto"/>
          <w:sz w:val="21"/>
          <w:szCs w:val="21"/>
          <w:highlight w:val="none"/>
        </w:rPr>
        <w:t>”中填“无”。</w:t>
      </w:r>
    </w:p>
    <w:p w14:paraId="4B3B1D84">
      <w:pPr>
        <w:snapToGrid w:val="0"/>
        <w:spacing w:line="360" w:lineRule="auto"/>
        <w:jc w:val="left"/>
        <w:rPr>
          <w:rFonts w:hint="eastAsia" w:ascii="宋体" w:hAnsi="宋体" w:eastAsia="宋体" w:cs="宋体"/>
          <w:color w:val="auto"/>
          <w:sz w:val="21"/>
          <w:szCs w:val="21"/>
          <w:highlight w:val="none"/>
        </w:rPr>
      </w:pPr>
    </w:p>
    <w:p w14:paraId="13CB2D2E">
      <w:pPr>
        <w:snapToGrid w:val="0"/>
        <w:spacing w:line="360" w:lineRule="auto"/>
        <w:jc w:val="left"/>
        <w:rPr>
          <w:rFonts w:hint="eastAsia" w:ascii="宋体" w:hAnsi="宋体" w:eastAsia="宋体" w:cs="宋体"/>
          <w:color w:val="auto"/>
          <w:sz w:val="21"/>
          <w:szCs w:val="21"/>
          <w:highlight w:val="none"/>
        </w:rPr>
      </w:pPr>
    </w:p>
    <w:p w14:paraId="7E45DBDB">
      <w:pPr>
        <w:snapToGrid w:val="0"/>
        <w:spacing w:line="360" w:lineRule="auto"/>
        <w:ind w:left="-6" w:leftChars="-15" w:right="-817" w:rightChars="-389" w:hanging="25" w:hangingChars="1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投标人名称（电子签章）：</w:t>
      </w:r>
    </w:p>
    <w:p w14:paraId="18A779BE">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rPr>
        <w:t xml:space="preserve">                                    日期：    年   月   日</w:t>
      </w:r>
    </w:p>
    <w:p w14:paraId="4DCFD2FE">
      <w:pPr>
        <w:snapToGrid w:val="0"/>
        <w:jc w:val="center"/>
        <w:rPr>
          <w:rFonts w:hint="eastAsia" w:ascii="宋体" w:hAnsi="宋体" w:eastAsia="宋体" w:cs="宋体"/>
          <w:b/>
          <w:color w:val="auto"/>
          <w:sz w:val="28"/>
          <w:szCs w:val="28"/>
          <w:highlight w:val="none"/>
        </w:rPr>
      </w:pPr>
    </w:p>
    <w:p w14:paraId="69A0368B">
      <w:pPr>
        <w:snapToGrid w:val="0"/>
        <w:spacing w:line="360" w:lineRule="auto"/>
        <w:jc w:val="left"/>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br w:type="page"/>
      </w:r>
      <w:r>
        <w:rPr>
          <w:rFonts w:hint="eastAsia" w:ascii="宋体" w:hAnsi="宋体" w:eastAsia="宋体" w:cs="宋体"/>
          <w:b/>
          <w:color w:val="auto"/>
          <w:sz w:val="28"/>
          <w:szCs w:val="28"/>
          <w:highlight w:val="none"/>
        </w:rPr>
        <w:t>投标人直接管理关系信息表</w:t>
      </w:r>
    </w:p>
    <w:p w14:paraId="0CE536D7">
      <w:pPr>
        <w:snapToGrid w:val="0"/>
        <w:spacing w:line="360" w:lineRule="auto"/>
        <w:jc w:val="center"/>
        <w:rPr>
          <w:rFonts w:hint="eastAsia" w:ascii="宋体" w:hAnsi="宋体" w:eastAsia="宋体" w:cs="宋体"/>
          <w:color w:val="auto"/>
          <w:sz w:val="32"/>
          <w:szCs w:val="32"/>
          <w:highlight w:val="none"/>
        </w:rPr>
      </w:pPr>
      <w:r>
        <w:rPr>
          <w:rFonts w:hint="eastAsia" w:ascii="宋体" w:hAnsi="宋体" w:eastAsia="宋体" w:cs="宋体"/>
          <w:b/>
          <w:color w:val="auto"/>
          <w:sz w:val="32"/>
          <w:szCs w:val="32"/>
          <w:highlight w:val="none"/>
        </w:rPr>
        <w:t>投标人直接管理关系信息表</w:t>
      </w:r>
    </w:p>
    <w:tbl>
      <w:tblPr>
        <w:tblStyle w:val="61"/>
        <w:tblW w:w="8570" w:type="dxa"/>
        <w:tblInd w:w="0" w:type="dxa"/>
        <w:tblLayout w:type="fixed"/>
        <w:tblCellMar>
          <w:top w:w="0" w:type="dxa"/>
          <w:left w:w="0" w:type="dxa"/>
          <w:bottom w:w="0" w:type="dxa"/>
          <w:right w:w="0" w:type="dxa"/>
        </w:tblCellMar>
      </w:tblPr>
      <w:tblGrid>
        <w:gridCol w:w="1005"/>
        <w:gridCol w:w="2659"/>
        <w:gridCol w:w="3306"/>
        <w:gridCol w:w="1600"/>
      </w:tblGrid>
      <w:tr w14:paraId="66F3109D">
        <w:trPr>
          <w:tblHeader/>
        </w:trPr>
        <w:tc>
          <w:tcPr>
            <w:tcW w:w="1005"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42A289F3">
            <w:pPr>
              <w:spacing w:line="360" w:lineRule="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序号</w:t>
            </w:r>
          </w:p>
        </w:tc>
        <w:tc>
          <w:tcPr>
            <w:tcW w:w="265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3A2192EA">
            <w:pPr>
              <w:spacing w:line="360" w:lineRule="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直接管理关系单位名称</w:t>
            </w:r>
          </w:p>
        </w:tc>
        <w:tc>
          <w:tcPr>
            <w:tcW w:w="3306"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31BB6D5F">
            <w:pPr>
              <w:spacing w:line="360" w:lineRule="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统一社会信用代码</w:t>
            </w:r>
          </w:p>
        </w:tc>
        <w:tc>
          <w:tcPr>
            <w:tcW w:w="1600"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244D4C01">
            <w:pPr>
              <w:spacing w:line="360" w:lineRule="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备注</w:t>
            </w:r>
          </w:p>
        </w:tc>
      </w:tr>
      <w:tr w14:paraId="6B38D785">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21CADC47">
            <w:pPr>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p>
        </w:tc>
        <w:tc>
          <w:tcPr>
            <w:tcW w:w="265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4688445E">
            <w:pPr>
              <w:spacing w:line="360" w:lineRule="auto"/>
              <w:jc w:val="center"/>
              <w:rPr>
                <w:rFonts w:hint="eastAsia" w:ascii="宋体" w:hAnsi="宋体" w:eastAsia="宋体" w:cs="宋体"/>
                <w:color w:val="auto"/>
                <w:kern w:val="0"/>
                <w:sz w:val="21"/>
                <w:szCs w:val="21"/>
                <w:highlight w:val="none"/>
              </w:rPr>
            </w:pPr>
          </w:p>
        </w:tc>
        <w:tc>
          <w:tcPr>
            <w:tcW w:w="3306"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3BBE2303">
            <w:pPr>
              <w:spacing w:line="360" w:lineRule="auto"/>
              <w:jc w:val="center"/>
              <w:rPr>
                <w:rFonts w:hint="eastAsia" w:ascii="宋体" w:hAnsi="宋体" w:eastAsia="宋体" w:cs="宋体"/>
                <w:color w:val="auto"/>
                <w:kern w:val="0"/>
                <w:sz w:val="21"/>
                <w:szCs w:val="21"/>
                <w:highlight w:val="none"/>
              </w:rPr>
            </w:pPr>
          </w:p>
        </w:tc>
        <w:tc>
          <w:tcPr>
            <w:tcW w:w="1600"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48BEFE0F">
            <w:pPr>
              <w:spacing w:line="360" w:lineRule="auto"/>
              <w:jc w:val="center"/>
              <w:rPr>
                <w:rFonts w:hint="eastAsia" w:ascii="宋体" w:hAnsi="宋体" w:eastAsia="宋体" w:cs="宋体"/>
                <w:color w:val="auto"/>
                <w:kern w:val="0"/>
                <w:sz w:val="21"/>
                <w:szCs w:val="21"/>
                <w:highlight w:val="none"/>
              </w:rPr>
            </w:pPr>
          </w:p>
        </w:tc>
      </w:tr>
      <w:tr w14:paraId="12421FFD">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53C54D27">
            <w:pPr>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w:t>
            </w:r>
          </w:p>
        </w:tc>
        <w:tc>
          <w:tcPr>
            <w:tcW w:w="265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44B50712">
            <w:pPr>
              <w:spacing w:line="360" w:lineRule="auto"/>
              <w:jc w:val="center"/>
              <w:rPr>
                <w:rFonts w:hint="eastAsia" w:ascii="宋体" w:hAnsi="宋体" w:eastAsia="宋体" w:cs="宋体"/>
                <w:color w:val="auto"/>
                <w:kern w:val="0"/>
                <w:sz w:val="21"/>
                <w:szCs w:val="21"/>
                <w:highlight w:val="none"/>
              </w:rPr>
            </w:pPr>
          </w:p>
        </w:tc>
        <w:tc>
          <w:tcPr>
            <w:tcW w:w="3306"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4761F1B4">
            <w:pPr>
              <w:spacing w:line="360" w:lineRule="auto"/>
              <w:jc w:val="center"/>
              <w:rPr>
                <w:rFonts w:hint="eastAsia" w:ascii="宋体" w:hAnsi="宋体" w:eastAsia="宋体" w:cs="宋体"/>
                <w:color w:val="auto"/>
                <w:kern w:val="0"/>
                <w:sz w:val="21"/>
                <w:szCs w:val="21"/>
                <w:highlight w:val="none"/>
              </w:rPr>
            </w:pPr>
          </w:p>
        </w:tc>
        <w:tc>
          <w:tcPr>
            <w:tcW w:w="1600"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4B41BFDA">
            <w:pPr>
              <w:spacing w:line="360" w:lineRule="auto"/>
              <w:jc w:val="center"/>
              <w:rPr>
                <w:rFonts w:hint="eastAsia" w:ascii="宋体" w:hAnsi="宋体" w:eastAsia="宋体" w:cs="宋体"/>
                <w:color w:val="auto"/>
                <w:kern w:val="0"/>
                <w:sz w:val="21"/>
                <w:szCs w:val="21"/>
                <w:highlight w:val="none"/>
              </w:rPr>
            </w:pPr>
          </w:p>
        </w:tc>
      </w:tr>
      <w:tr w14:paraId="4B5984E1">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53E84671">
            <w:pPr>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w:t>
            </w:r>
          </w:p>
        </w:tc>
        <w:tc>
          <w:tcPr>
            <w:tcW w:w="265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0102766F">
            <w:pPr>
              <w:spacing w:line="360" w:lineRule="auto"/>
              <w:jc w:val="center"/>
              <w:rPr>
                <w:rFonts w:hint="eastAsia" w:ascii="宋体" w:hAnsi="宋体" w:eastAsia="宋体" w:cs="宋体"/>
                <w:color w:val="auto"/>
                <w:kern w:val="0"/>
                <w:sz w:val="21"/>
                <w:szCs w:val="21"/>
                <w:highlight w:val="none"/>
              </w:rPr>
            </w:pPr>
          </w:p>
        </w:tc>
        <w:tc>
          <w:tcPr>
            <w:tcW w:w="3306"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5D5234AD">
            <w:pPr>
              <w:spacing w:line="360" w:lineRule="auto"/>
              <w:jc w:val="center"/>
              <w:rPr>
                <w:rFonts w:hint="eastAsia" w:ascii="宋体" w:hAnsi="宋体" w:eastAsia="宋体" w:cs="宋体"/>
                <w:color w:val="auto"/>
                <w:kern w:val="0"/>
                <w:sz w:val="21"/>
                <w:szCs w:val="21"/>
                <w:highlight w:val="none"/>
              </w:rPr>
            </w:pPr>
          </w:p>
        </w:tc>
        <w:tc>
          <w:tcPr>
            <w:tcW w:w="1600"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1BA7E2A2">
            <w:pPr>
              <w:spacing w:line="360" w:lineRule="auto"/>
              <w:jc w:val="center"/>
              <w:rPr>
                <w:rFonts w:hint="eastAsia" w:ascii="宋体" w:hAnsi="宋体" w:eastAsia="宋体" w:cs="宋体"/>
                <w:color w:val="auto"/>
                <w:kern w:val="0"/>
                <w:sz w:val="21"/>
                <w:szCs w:val="21"/>
                <w:highlight w:val="none"/>
              </w:rPr>
            </w:pPr>
          </w:p>
        </w:tc>
      </w:tr>
      <w:tr w14:paraId="1E1F26C9">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2C7DF543">
            <w:pPr>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w:t>
            </w:r>
          </w:p>
        </w:tc>
        <w:tc>
          <w:tcPr>
            <w:tcW w:w="265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5F4A1B76">
            <w:pPr>
              <w:spacing w:line="360" w:lineRule="auto"/>
              <w:jc w:val="center"/>
              <w:rPr>
                <w:rFonts w:hint="eastAsia" w:ascii="宋体" w:hAnsi="宋体" w:eastAsia="宋体" w:cs="宋体"/>
                <w:color w:val="auto"/>
                <w:kern w:val="0"/>
                <w:sz w:val="21"/>
                <w:szCs w:val="21"/>
                <w:highlight w:val="none"/>
              </w:rPr>
            </w:pPr>
          </w:p>
        </w:tc>
        <w:tc>
          <w:tcPr>
            <w:tcW w:w="3306"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1C74B4FD">
            <w:pPr>
              <w:spacing w:line="360" w:lineRule="auto"/>
              <w:jc w:val="center"/>
              <w:rPr>
                <w:rFonts w:hint="eastAsia" w:ascii="宋体" w:hAnsi="宋体" w:eastAsia="宋体" w:cs="宋体"/>
                <w:color w:val="auto"/>
                <w:kern w:val="0"/>
                <w:sz w:val="21"/>
                <w:szCs w:val="21"/>
                <w:highlight w:val="none"/>
              </w:rPr>
            </w:pPr>
          </w:p>
        </w:tc>
        <w:tc>
          <w:tcPr>
            <w:tcW w:w="1600"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00EC43BF">
            <w:pPr>
              <w:spacing w:line="360" w:lineRule="auto"/>
              <w:jc w:val="center"/>
              <w:rPr>
                <w:rFonts w:hint="eastAsia" w:ascii="宋体" w:hAnsi="宋体" w:eastAsia="宋体" w:cs="宋体"/>
                <w:color w:val="auto"/>
                <w:kern w:val="0"/>
                <w:sz w:val="21"/>
                <w:szCs w:val="21"/>
                <w:highlight w:val="none"/>
              </w:rPr>
            </w:pPr>
          </w:p>
        </w:tc>
      </w:tr>
    </w:tbl>
    <w:p w14:paraId="5456912A">
      <w:pPr>
        <w:snapToGrid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w:t>
      </w:r>
    </w:p>
    <w:p w14:paraId="170F2315">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1.管理关系：是指不具有出资持股关系的其他单位之间存在的管理与被管理关系，如一些上下级关系的事业单位和团体组织。</w:t>
      </w:r>
    </w:p>
    <w:p w14:paraId="6159D0D8">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pacing w:val="-6"/>
          <w:sz w:val="21"/>
          <w:szCs w:val="21"/>
          <w:highlight w:val="none"/>
        </w:rPr>
        <w:t>本表所指的管理关系仅限于直接管理关系，不包括间接的管理关系。</w:t>
      </w:r>
    </w:p>
    <w:p w14:paraId="6A8B69AB">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3.供应商不存在直接管理关系的，则在“</w:t>
      </w:r>
      <w:r>
        <w:rPr>
          <w:rFonts w:hint="eastAsia" w:ascii="宋体" w:hAnsi="宋体" w:eastAsia="宋体" w:cs="宋体"/>
          <w:b/>
          <w:bCs/>
          <w:color w:val="auto"/>
          <w:kern w:val="0"/>
          <w:sz w:val="21"/>
          <w:szCs w:val="21"/>
          <w:highlight w:val="none"/>
        </w:rPr>
        <w:t>直接管理关系单位名称</w:t>
      </w:r>
      <w:r>
        <w:rPr>
          <w:rFonts w:hint="eastAsia" w:ascii="宋体" w:hAnsi="宋体" w:eastAsia="宋体" w:cs="宋体"/>
          <w:color w:val="auto"/>
          <w:sz w:val="21"/>
          <w:szCs w:val="21"/>
          <w:highlight w:val="none"/>
        </w:rPr>
        <w:t>”中填“无”。</w:t>
      </w:r>
    </w:p>
    <w:p w14:paraId="3B7FFBC0">
      <w:pPr>
        <w:snapToGrid w:val="0"/>
        <w:spacing w:line="360" w:lineRule="auto"/>
        <w:jc w:val="left"/>
        <w:rPr>
          <w:rFonts w:hint="eastAsia" w:ascii="宋体" w:hAnsi="宋体" w:eastAsia="宋体" w:cs="宋体"/>
          <w:color w:val="auto"/>
          <w:sz w:val="21"/>
          <w:szCs w:val="21"/>
          <w:highlight w:val="none"/>
        </w:rPr>
      </w:pPr>
    </w:p>
    <w:p w14:paraId="38388F99">
      <w:pPr>
        <w:snapToGrid w:val="0"/>
        <w:spacing w:line="360" w:lineRule="auto"/>
        <w:jc w:val="left"/>
        <w:rPr>
          <w:rFonts w:hint="eastAsia" w:ascii="宋体" w:hAnsi="宋体" w:eastAsia="宋体" w:cs="宋体"/>
          <w:color w:val="auto"/>
          <w:sz w:val="21"/>
          <w:szCs w:val="21"/>
          <w:highlight w:val="none"/>
        </w:rPr>
      </w:pPr>
    </w:p>
    <w:p w14:paraId="46C0C7FF">
      <w:pPr>
        <w:snapToGrid w:val="0"/>
        <w:spacing w:line="360" w:lineRule="auto"/>
        <w:jc w:val="left"/>
        <w:rPr>
          <w:rFonts w:hint="eastAsia" w:ascii="宋体" w:hAnsi="宋体" w:eastAsia="宋体" w:cs="宋体"/>
          <w:color w:val="auto"/>
          <w:sz w:val="21"/>
          <w:szCs w:val="21"/>
          <w:highlight w:val="none"/>
        </w:rPr>
      </w:pPr>
    </w:p>
    <w:p w14:paraId="0DA7D9D7">
      <w:pPr>
        <w:snapToGrid w:val="0"/>
        <w:spacing w:line="360" w:lineRule="auto"/>
        <w:jc w:val="left"/>
        <w:rPr>
          <w:rFonts w:hint="eastAsia" w:ascii="宋体" w:hAnsi="宋体" w:eastAsia="宋体" w:cs="宋体"/>
          <w:color w:val="auto"/>
          <w:sz w:val="21"/>
          <w:szCs w:val="21"/>
          <w:highlight w:val="none"/>
        </w:rPr>
      </w:pPr>
    </w:p>
    <w:p w14:paraId="0046DB73">
      <w:pPr>
        <w:snapToGrid w:val="0"/>
        <w:spacing w:line="360" w:lineRule="auto"/>
        <w:ind w:left="-2" w:leftChars="-1" w:right="-817" w:rightChars="-38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p>
    <w:p w14:paraId="5A34C073">
      <w:pPr>
        <w:snapToGrid w:val="0"/>
        <w:spacing w:line="360" w:lineRule="auto"/>
        <w:ind w:left="-6" w:leftChars="-15" w:right="-817" w:rightChars="-389" w:hanging="25" w:hangingChars="1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投标人名称（电子签章）：</w:t>
      </w:r>
    </w:p>
    <w:p w14:paraId="4C7CB6E9">
      <w:pPr>
        <w:snapToGrid w:val="0"/>
        <w:spacing w:line="360" w:lineRule="auto"/>
        <w:ind w:right="480" w:firstLine="210" w:firstLineChars="100"/>
        <w:jc w:val="left"/>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rPr>
        <w:t xml:space="preserve">                                日期：    年   月   日</w:t>
      </w:r>
    </w:p>
    <w:p w14:paraId="301D3085">
      <w:pPr>
        <w:snapToGrid w:val="0"/>
        <w:spacing w:before="120" w:beforeLines="50" w:after="50"/>
        <w:jc w:val="left"/>
        <w:rPr>
          <w:rFonts w:hint="eastAsia" w:ascii="宋体" w:hAnsi="宋体" w:eastAsia="宋体" w:cs="宋体"/>
          <w:color w:val="auto"/>
          <w:sz w:val="24"/>
          <w:highlight w:val="none"/>
        </w:rPr>
      </w:pPr>
    </w:p>
    <w:p w14:paraId="65D60A1E">
      <w:pPr>
        <w:snapToGrid w:val="0"/>
        <w:spacing w:before="50" w:after="120" w:afterLines="50"/>
        <w:jc w:val="left"/>
        <w:rPr>
          <w:rFonts w:hint="eastAsia" w:ascii="宋体" w:hAnsi="宋体" w:eastAsia="宋体" w:cs="宋体"/>
          <w:color w:val="auto"/>
          <w:szCs w:val="21"/>
          <w:highlight w:val="none"/>
        </w:rPr>
      </w:pPr>
    </w:p>
    <w:p w14:paraId="4485C518">
      <w:pPr>
        <w:snapToGrid w:val="0"/>
        <w:spacing w:before="120" w:beforeLines="50" w:after="50"/>
        <w:jc w:val="left"/>
        <w:rPr>
          <w:rFonts w:hint="eastAsia" w:ascii="宋体" w:hAnsi="宋体" w:eastAsia="宋体" w:cs="宋体"/>
          <w:b/>
          <w:color w:val="auto"/>
          <w:sz w:val="24"/>
          <w:szCs w:val="20"/>
          <w:highlight w:val="none"/>
        </w:rPr>
      </w:pPr>
    </w:p>
    <w:p w14:paraId="30938A21">
      <w:pPr>
        <w:snapToGrid w:val="0"/>
        <w:spacing w:before="120" w:beforeLines="50" w:after="50"/>
        <w:ind w:left="142"/>
        <w:jc w:val="left"/>
        <w:rPr>
          <w:rFonts w:hint="eastAsia" w:ascii="宋体" w:hAnsi="宋体" w:eastAsia="宋体" w:cs="宋体"/>
          <w:b/>
          <w:color w:val="auto"/>
          <w:sz w:val="24"/>
          <w:highlight w:val="none"/>
        </w:rPr>
      </w:pPr>
    </w:p>
    <w:p w14:paraId="7764E769">
      <w:pPr>
        <w:snapToGrid w:val="0"/>
        <w:spacing w:before="120" w:beforeLines="50" w:after="50"/>
        <w:ind w:left="142"/>
        <w:jc w:val="left"/>
        <w:rPr>
          <w:rFonts w:hint="eastAsia" w:ascii="宋体" w:hAnsi="宋体" w:eastAsia="宋体" w:cs="宋体"/>
          <w:b/>
          <w:color w:val="auto"/>
          <w:sz w:val="24"/>
          <w:highlight w:val="none"/>
        </w:rPr>
      </w:pPr>
    </w:p>
    <w:p w14:paraId="5D9B042A">
      <w:pPr>
        <w:snapToGrid w:val="0"/>
        <w:spacing w:before="120" w:beforeLines="50" w:after="50"/>
        <w:ind w:left="142"/>
        <w:jc w:val="left"/>
        <w:rPr>
          <w:rFonts w:hint="eastAsia" w:ascii="宋体" w:hAnsi="宋体" w:eastAsia="宋体" w:cs="宋体"/>
          <w:b/>
          <w:color w:val="auto"/>
          <w:sz w:val="24"/>
          <w:highlight w:val="none"/>
        </w:rPr>
      </w:pPr>
    </w:p>
    <w:p w14:paraId="572C6556">
      <w:pPr>
        <w:snapToGrid w:val="0"/>
        <w:spacing w:before="120" w:beforeLines="50" w:after="50"/>
        <w:ind w:left="142"/>
        <w:jc w:val="left"/>
        <w:rPr>
          <w:rFonts w:hint="eastAsia" w:ascii="宋体" w:hAnsi="宋体" w:eastAsia="宋体" w:cs="宋体"/>
          <w:b/>
          <w:color w:val="auto"/>
          <w:sz w:val="24"/>
          <w:highlight w:val="none"/>
        </w:rPr>
      </w:pPr>
    </w:p>
    <w:p w14:paraId="0E68F6BD">
      <w:pPr>
        <w:pStyle w:val="43"/>
        <w:ind w:firstLine="422"/>
        <w:rPr>
          <w:rFonts w:hint="eastAsia" w:ascii="宋体" w:hAnsi="宋体" w:eastAsia="宋体" w:cs="宋体"/>
          <w:color w:val="auto"/>
          <w:highlight w:val="none"/>
        </w:rPr>
      </w:pPr>
    </w:p>
    <w:p w14:paraId="7BB27423">
      <w:pPr>
        <w:rPr>
          <w:rFonts w:hint="eastAsia" w:ascii="宋体" w:hAnsi="宋体" w:eastAsia="宋体" w:cs="宋体"/>
          <w:b/>
          <w:color w:val="auto"/>
          <w:sz w:val="24"/>
          <w:highlight w:val="none"/>
        </w:rPr>
      </w:pPr>
      <w:r>
        <w:rPr>
          <w:rFonts w:hint="eastAsia" w:ascii="宋体" w:hAnsi="宋体" w:eastAsia="宋体" w:cs="宋体"/>
          <w:b/>
          <w:color w:val="auto"/>
          <w:sz w:val="24"/>
          <w:highlight w:val="none"/>
        </w:rPr>
        <w:br w:type="page"/>
      </w:r>
    </w:p>
    <w:p w14:paraId="53920897">
      <w:pPr>
        <w:snapToGrid w:val="0"/>
        <w:spacing w:before="120" w:beforeLines="50" w:after="50"/>
        <w:ind w:left="142"/>
        <w:jc w:val="left"/>
        <w:rPr>
          <w:rFonts w:hint="eastAsia" w:ascii="宋体" w:hAnsi="宋体" w:eastAsia="宋体" w:cs="宋体"/>
          <w:b/>
          <w:color w:val="auto"/>
          <w:sz w:val="24"/>
          <w:szCs w:val="20"/>
          <w:highlight w:val="none"/>
          <w:lang w:val="en-US" w:eastAsia="zh-CN"/>
        </w:rPr>
      </w:pPr>
      <w:r>
        <w:rPr>
          <w:rFonts w:hint="eastAsia" w:ascii="宋体" w:hAnsi="宋体" w:eastAsia="宋体" w:cs="宋体"/>
          <w:b/>
          <w:color w:val="auto"/>
          <w:sz w:val="24"/>
          <w:highlight w:val="none"/>
          <w:lang w:val="en-US" w:eastAsia="zh-CN"/>
        </w:rPr>
        <w:t>4</w:t>
      </w:r>
      <w:r>
        <w:rPr>
          <w:rFonts w:hint="eastAsia" w:ascii="宋体" w:hAnsi="宋体" w:eastAsia="宋体" w:cs="宋体"/>
          <w:b/>
          <w:color w:val="auto"/>
          <w:sz w:val="24"/>
          <w:highlight w:val="none"/>
        </w:rPr>
        <w:t>.投标声明</w:t>
      </w:r>
      <w:r>
        <w:rPr>
          <w:rFonts w:hint="eastAsia" w:ascii="宋体" w:hAnsi="宋体" w:eastAsia="宋体" w:cs="宋体"/>
          <w:b/>
          <w:color w:val="auto"/>
          <w:sz w:val="24"/>
          <w:highlight w:val="none"/>
          <w:lang w:val="en-US" w:eastAsia="zh-CN"/>
        </w:rPr>
        <w:t>函</w:t>
      </w:r>
    </w:p>
    <w:p w14:paraId="068C7999">
      <w:pPr>
        <w:snapToGrid w:val="0"/>
        <w:spacing w:before="50" w:after="120" w:afterLines="50"/>
        <w:jc w:val="left"/>
        <w:rPr>
          <w:rFonts w:hint="eastAsia" w:ascii="宋体" w:hAnsi="宋体" w:eastAsia="宋体" w:cs="宋体"/>
          <w:color w:val="auto"/>
          <w:highlight w:val="none"/>
        </w:rPr>
      </w:pPr>
    </w:p>
    <w:p w14:paraId="63880620">
      <w:pPr>
        <w:snapToGrid w:val="0"/>
        <w:spacing w:before="50" w:after="120" w:afterLines="50"/>
        <w:jc w:val="center"/>
        <w:rPr>
          <w:rFonts w:hint="eastAsia" w:ascii="宋体" w:hAnsi="宋体" w:eastAsia="宋体" w:cs="宋体"/>
          <w:b/>
          <w:color w:val="auto"/>
          <w:sz w:val="32"/>
          <w:szCs w:val="32"/>
          <w:highlight w:val="none"/>
          <w:lang w:val="en-US" w:eastAsia="zh-CN"/>
        </w:rPr>
      </w:pPr>
      <w:r>
        <w:rPr>
          <w:rFonts w:hint="eastAsia" w:ascii="宋体" w:hAnsi="宋体" w:eastAsia="宋体" w:cs="宋体"/>
          <w:b/>
          <w:color w:val="auto"/>
          <w:sz w:val="32"/>
          <w:szCs w:val="32"/>
          <w:highlight w:val="none"/>
        </w:rPr>
        <w:t>投标声明</w:t>
      </w:r>
      <w:r>
        <w:rPr>
          <w:rFonts w:hint="eastAsia" w:ascii="宋体" w:hAnsi="宋体" w:eastAsia="宋体" w:cs="宋体"/>
          <w:b/>
          <w:color w:val="auto"/>
          <w:sz w:val="32"/>
          <w:szCs w:val="32"/>
          <w:highlight w:val="none"/>
          <w:lang w:val="en-US" w:eastAsia="zh-CN"/>
        </w:rPr>
        <w:t>函</w:t>
      </w:r>
    </w:p>
    <w:p w14:paraId="36015078">
      <w:pPr>
        <w:spacing w:line="400" w:lineRule="exact"/>
        <w:ind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致：</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（采购人名称）</w:t>
      </w:r>
      <w:r>
        <w:rPr>
          <w:rFonts w:hint="eastAsia" w:ascii="宋体" w:hAnsi="宋体" w:eastAsia="宋体" w:cs="宋体"/>
          <w:color w:val="auto"/>
          <w:sz w:val="21"/>
          <w:szCs w:val="21"/>
          <w:highlight w:val="none"/>
        </w:rPr>
        <w:t>：</w:t>
      </w:r>
    </w:p>
    <w:p w14:paraId="4A47E6A2">
      <w:pPr>
        <w:spacing w:line="400" w:lineRule="exact"/>
        <w:ind w:firstLine="457" w:firstLineChars="218"/>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我方参加贵单位组织</w:t>
      </w:r>
      <w:r>
        <w:rPr>
          <w:rFonts w:hint="eastAsia" w:ascii="宋体" w:hAnsi="宋体" w:eastAsia="宋体" w:cs="宋体"/>
          <w:color w:val="auto"/>
          <w:sz w:val="21"/>
          <w:szCs w:val="21"/>
          <w:highlight w:val="none"/>
          <w:lang w:val="en-US" w:eastAsia="zh-CN"/>
        </w:rPr>
        <w:t>的</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项目（项目编号：</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）的政府采购活动。我方在此郑重声明：</w:t>
      </w:r>
    </w:p>
    <w:p w14:paraId="2D4E27A6">
      <w:pPr>
        <w:spacing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我方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w:t>
      </w:r>
      <w:r>
        <w:rPr>
          <w:rFonts w:hint="eastAsia" w:ascii="宋体" w:hAnsi="宋体" w:eastAsia="宋体" w:cs="宋体"/>
          <w:color w:val="auto"/>
          <w:sz w:val="21"/>
          <w:szCs w:val="21"/>
          <w:highlight w:val="none"/>
          <w:lang w:val="en-US" w:eastAsia="zh-CN"/>
        </w:rPr>
        <w:t>名单</w:t>
      </w:r>
      <w:r>
        <w:rPr>
          <w:rFonts w:hint="eastAsia" w:ascii="宋体" w:hAnsi="宋体" w:eastAsia="宋体" w:cs="宋体"/>
          <w:color w:val="auto"/>
          <w:sz w:val="21"/>
          <w:szCs w:val="21"/>
          <w:highlight w:val="none"/>
        </w:rPr>
        <w:t>、政府采购严重违法失信行为记录名单，完全符合《中华人民共和国政府采购法》第二十二条规定的供应商资格条件，我方对此声明负全部法律责任。</w:t>
      </w:r>
    </w:p>
    <w:p w14:paraId="1999EC7C">
      <w:pPr>
        <w:spacing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2.我方不是为本次采购项目提供整体设计、规范编制或者项目管理、监理、检测等服务的供应商。</w:t>
      </w:r>
    </w:p>
    <w:p w14:paraId="780BAAD5">
      <w:pPr>
        <w:spacing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 我方承诺符合《中华人民共和国政府采购法》第二十二条规定：</w:t>
      </w:r>
    </w:p>
    <w:p w14:paraId="48F89D02">
      <w:pPr>
        <w:spacing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（一）具有独立承担民事责任的能力；</w:t>
      </w:r>
    </w:p>
    <w:p w14:paraId="3B9EC3FD">
      <w:pPr>
        <w:spacing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（二）具有良好的商业信誉和健全的财务会计制度；</w:t>
      </w:r>
    </w:p>
    <w:p w14:paraId="3897C99A">
      <w:pPr>
        <w:spacing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（三）具有履行合同所必需的设备和专业技术能力；</w:t>
      </w:r>
    </w:p>
    <w:p w14:paraId="102FD971">
      <w:pPr>
        <w:spacing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（四）有依法缴纳税收和社会保障资金的良好记录；</w:t>
      </w:r>
    </w:p>
    <w:p w14:paraId="317ACA01">
      <w:pPr>
        <w:spacing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（五）参加政府采购活动前三年内，在经营活动中没有重大违法记录；</w:t>
      </w:r>
    </w:p>
    <w:p w14:paraId="7CBA1F46">
      <w:pPr>
        <w:spacing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（六）法律、行政法规规定的其他条件。</w:t>
      </w:r>
    </w:p>
    <w:p w14:paraId="6AF3E75C">
      <w:pPr>
        <w:spacing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4.以上事项如有虚假或者隐瞒，我方愿意承担一切后果，并不再寻求任何旨在减轻或者免除法律责任的辩解。</w:t>
      </w:r>
    </w:p>
    <w:p w14:paraId="2F18264C">
      <w:pPr>
        <w:spacing w:line="400" w:lineRule="exact"/>
        <w:ind w:firstLine="468"/>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特此承诺。</w:t>
      </w:r>
    </w:p>
    <w:p w14:paraId="2E677F25">
      <w:pPr>
        <w:spacing w:line="400" w:lineRule="exact"/>
        <w:ind w:firstLine="468"/>
        <w:jc w:val="left"/>
        <w:rPr>
          <w:rFonts w:hint="eastAsia" w:ascii="宋体" w:hAnsi="宋体" w:eastAsia="宋体" w:cs="宋体"/>
          <w:color w:val="auto"/>
          <w:sz w:val="21"/>
          <w:szCs w:val="21"/>
          <w:highlight w:val="none"/>
        </w:rPr>
      </w:pPr>
    </w:p>
    <w:p w14:paraId="5DDAF7FD">
      <w:pPr>
        <w:snapToGrid w:val="0"/>
        <w:spacing w:before="50" w:after="50" w:line="240" w:lineRule="auto"/>
        <w:ind w:firstLine="3231" w:firstLineChars="1539"/>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法定代表人或者委托代理人</w:t>
      </w:r>
      <w:r>
        <w:rPr>
          <w:rFonts w:hint="eastAsia" w:ascii="宋体" w:hAnsi="宋体" w:eastAsia="宋体" w:cs="宋体"/>
          <w:color w:val="auto"/>
          <w:spacing w:val="20"/>
          <w:sz w:val="21"/>
          <w:szCs w:val="21"/>
          <w:highlight w:val="none"/>
        </w:rPr>
        <w:t>（签字或者电子签名）：</w:t>
      </w:r>
    </w:p>
    <w:p w14:paraId="44183ABF">
      <w:pPr>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 投标人名称（电子签章）：</w:t>
      </w:r>
    </w:p>
    <w:p w14:paraId="5C5AB18B">
      <w:pPr>
        <w:spacing w:line="400" w:lineRule="exact"/>
        <w:jc w:val="left"/>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  年    月    日</w:t>
      </w:r>
    </w:p>
    <w:p w14:paraId="3BC42549">
      <w:pPr>
        <w:snapToGrid w:val="0"/>
        <w:spacing w:before="120" w:beforeLines="50" w:after="50"/>
        <w:jc w:val="left"/>
        <w:rPr>
          <w:rFonts w:hint="eastAsia" w:ascii="宋体" w:hAnsi="宋体" w:eastAsia="宋体" w:cs="宋体"/>
          <w:color w:val="auto"/>
          <w:sz w:val="21"/>
          <w:szCs w:val="21"/>
          <w:highlight w:val="none"/>
        </w:rPr>
      </w:pPr>
    </w:p>
    <w:p w14:paraId="68A80A9C">
      <w:pPr>
        <w:spacing w:line="400" w:lineRule="exact"/>
        <w:contextualSpacing/>
        <w:jc w:val="left"/>
        <w:rPr>
          <w:rFonts w:hint="eastAsia" w:ascii="宋体" w:hAnsi="宋体" w:eastAsia="宋体" w:cs="宋体"/>
          <w:color w:val="auto"/>
          <w:sz w:val="24"/>
          <w:highlight w:val="none"/>
        </w:rPr>
      </w:pPr>
    </w:p>
    <w:p w14:paraId="3FAB9ABC">
      <w:pPr>
        <w:pStyle w:val="43"/>
        <w:ind w:firstLine="422"/>
        <w:rPr>
          <w:rFonts w:hint="eastAsia" w:ascii="宋体" w:hAnsi="宋体" w:eastAsia="宋体" w:cs="宋体"/>
          <w:color w:val="auto"/>
          <w:highlight w:val="none"/>
        </w:rPr>
      </w:pPr>
    </w:p>
    <w:p w14:paraId="2A401685">
      <w:pPr>
        <w:rPr>
          <w:rFonts w:hint="eastAsia" w:ascii="宋体" w:hAnsi="宋体" w:eastAsia="宋体" w:cs="宋体"/>
          <w:color w:val="auto"/>
          <w:highlight w:val="none"/>
        </w:rPr>
      </w:pPr>
    </w:p>
    <w:p w14:paraId="2696816D">
      <w:pPr>
        <w:spacing w:line="400" w:lineRule="exact"/>
        <w:contextualSpacing/>
        <w:jc w:val="left"/>
        <w:rPr>
          <w:rFonts w:hint="eastAsia" w:ascii="宋体" w:hAnsi="宋体" w:eastAsia="宋体" w:cs="宋体"/>
          <w:color w:val="auto"/>
          <w:sz w:val="24"/>
          <w:highlight w:val="none"/>
        </w:rPr>
      </w:pPr>
    </w:p>
    <w:p w14:paraId="5E295687">
      <w:pPr>
        <w:spacing w:line="400" w:lineRule="exact"/>
        <w:contextualSpacing/>
        <w:jc w:val="left"/>
        <w:rPr>
          <w:rFonts w:hint="eastAsia" w:ascii="宋体" w:hAnsi="宋体" w:eastAsia="宋体" w:cs="宋体"/>
          <w:color w:val="auto"/>
          <w:sz w:val="24"/>
          <w:highlight w:val="none"/>
        </w:rPr>
      </w:pPr>
    </w:p>
    <w:p w14:paraId="0717D20A">
      <w:pPr>
        <w:spacing w:line="400" w:lineRule="exact"/>
        <w:contextualSpacing/>
        <w:jc w:val="left"/>
        <w:rPr>
          <w:rFonts w:hint="eastAsia" w:ascii="宋体" w:hAnsi="宋体" w:eastAsia="宋体" w:cs="宋体"/>
          <w:color w:val="auto"/>
          <w:sz w:val="24"/>
          <w:highlight w:val="none"/>
        </w:rPr>
      </w:pPr>
    </w:p>
    <w:p w14:paraId="5AF09784">
      <w:pPr>
        <w:spacing w:line="400" w:lineRule="exact"/>
        <w:contextualSpacing/>
        <w:jc w:val="left"/>
        <w:rPr>
          <w:rFonts w:hint="eastAsia" w:ascii="宋体" w:hAnsi="宋体" w:eastAsia="宋体" w:cs="宋体"/>
          <w:color w:val="auto"/>
          <w:sz w:val="24"/>
          <w:highlight w:val="none"/>
        </w:rPr>
      </w:pPr>
    </w:p>
    <w:p w14:paraId="761E8988">
      <w:pPr>
        <w:snapToGrid w:val="0"/>
        <w:spacing w:before="120" w:beforeLines="50" w:after="50"/>
        <w:jc w:val="left"/>
        <w:rPr>
          <w:rFonts w:hint="eastAsia" w:ascii="宋体" w:hAnsi="宋体" w:eastAsia="宋体" w:cs="宋体"/>
          <w:color w:val="auto"/>
          <w:highlight w:val="none"/>
        </w:rPr>
      </w:pPr>
      <w:r>
        <w:rPr>
          <w:rFonts w:hint="eastAsia" w:ascii="宋体" w:hAnsi="宋体" w:eastAsia="宋体" w:cs="宋体"/>
          <w:b/>
          <w:color w:val="auto"/>
          <w:sz w:val="24"/>
          <w:highlight w:val="none"/>
        </w:rPr>
        <w:t>5.中小企业声明函格式</w:t>
      </w:r>
    </w:p>
    <w:p w14:paraId="69C5147A">
      <w:pPr>
        <w:rPr>
          <w:rFonts w:hint="eastAsia" w:ascii="宋体" w:hAnsi="宋体" w:eastAsia="宋体" w:cs="宋体"/>
          <w:color w:val="auto"/>
          <w:highlight w:val="none"/>
        </w:rPr>
      </w:pPr>
    </w:p>
    <w:p w14:paraId="639DBC29">
      <w:pPr>
        <w:jc w:val="center"/>
        <w:rPr>
          <w:rFonts w:hint="eastAsia" w:ascii="宋体" w:hAnsi="宋体" w:eastAsia="宋体" w:cs="宋体"/>
          <w:color w:val="auto"/>
          <w:sz w:val="44"/>
          <w:szCs w:val="44"/>
          <w:highlight w:val="none"/>
        </w:rPr>
      </w:pPr>
      <w:r>
        <w:rPr>
          <w:rFonts w:hint="eastAsia" w:ascii="宋体" w:hAnsi="宋体" w:eastAsia="宋体" w:cs="宋体"/>
          <w:color w:val="auto"/>
          <w:sz w:val="44"/>
          <w:szCs w:val="44"/>
          <w:highlight w:val="none"/>
        </w:rPr>
        <w:t>中小企业声明函（服务）</w:t>
      </w:r>
    </w:p>
    <w:p w14:paraId="7F446BFB">
      <w:pPr>
        <w:spacing w:before="2" w:line="500" w:lineRule="exact"/>
        <w:rPr>
          <w:rFonts w:hint="eastAsia" w:ascii="宋体" w:hAnsi="宋体" w:eastAsia="宋体" w:cs="宋体"/>
          <w:b/>
          <w:bCs/>
          <w:color w:val="auto"/>
          <w:sz w:val="24"/>
          <w:highlight w:val="none"/>
        </w:rPr>
      </w:pPr>
    </w:p>
    <w:p w14:paraId="6EDABD4A">
      <w:pPr>
        <w:pStyle w:val="2"/>
        <w:spacing w:line="500" w:lineRule="exact"/>
        <w:ind w:right="142"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本公司郑重声明，根据《政府采购促进中小企业发展管理办法》（财库﹝2020﹞46号）的规定，本公司参加</w:t>
      </w:r>
      <w:r>
        <w:rPr>
          <w:rFonts w:hint="eastAsia" w:ascii="宋体" w:hAnsi="宋体" w:eastAsia="宋体" w:cs="宋体"/>
          <w:color w:val="auto"/>
          <w:sz w:val="21"/>
          <w:szCs w:val="21"/>
          <w:highlight w:val="none"/>
          <w:u w:val="single"/>
        </w:rPr>
        <w:t>（单位名称）</w:t>
      </w:r>
      <w:r>
        <w:rPr>
          <w:rFonts w:hint="eastAsia" w:ascii="宋体" w:hAnsi="宋体" w:eastAsia="宋体" w:cs="宋体"/>
          <w:color w:val="auto"/>
          <w:sz w:val="21"/>
          <w:szCs w:val="21"/>
          <w:highlight w:val="none"/>
        </w:rPr>
        <w:t>的</w:t>
      </w:r>
      <w:r>
        <w:rPr>
          <w:rFonts w:hint="eastAsia" w:ascii="宋体" w:hAnsi="宋体" w:eastAsia="宋体" w:cs="宋体"/>
          <w:color w:val="auto"/>
          <w:sz w:val="21"/>
          <w:szCs w:val="21"/>
          <w:highlight w:val="none"/>
          <w:u w:val="single"/>
        </w:rPr>
        <w:t>（项目名称）</w:t>
      </w:r>
      <w:r>
        <w:rPr>
          <w:rFonts w:hint="eastAsia" w:ascii="宋体" w:hAnsi="宋体" w:eastAsia="宋体" w:cs="宋体"/>
          <w:color w:val="auto"/>
          <w:sz w:val="21"/>
          <w:szCs w:val="21"/>
          <w:highlight w:val="none"/>
        </w:rPr>
        <w:t>采购活动，服务全部由符合政策要求的中小企业承接。相关企业（含签订分包意向协议的中小企业）的具体情况如下：</w:t>
      </w:r>
    </w:p>
    <w:p w14:paraId="70BE3181">
      <w:pPr>
        <w:tabs>
          <w:tab w:val="left" w:pos="1384"/>
          <w:tab w:val="left" w:pos="4562"/>
          <w:tab w:val="left" w:pos="6803"/>
        </w:tabs>
        <w:spacing w:before="13" w:line="500" w:lineRule="exact"/>
        <w:ind w:right="142" w:firstLine="600" w:firstLineChars="286"/>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u w:val="single"/>
        </w:rPr>
        <w:t>（标的名称）</w:t>
      </w:r>
      <w:r>
        <w:rPr>
          <w:rFonts w:hint="eastAsia" w:ascii="宋体" w:hAnsi="宋体" w:eastAsia="宋体" w:cs="宋体"/>
          <w:color w:val="auto"/>
          <w:sz w:val="21"/>
          <w:szCs w:val="21"/>
          <w:highlight w:val="none"/>
        </w:rPr>
        <w:t>，属于</w:t>
      </w:r>
      <w:r>
        <w:rPr>
          <w:rFonts w:hint="eastAsia" w:ascii="宋体" w:hAnsi="宋体" w:eastAsia="宋体" w:cs="宋体"/>
          <w:color w:val="auto"/>
          <w:sz w:val="21"/>
          <w:szCs w:val="21"/>
          <w:highlight w:val="none"/>
          <w:u w:val="single"/>
        </w:rPr>
        <w:t>（采购文件中明确的所属行业）</w:t>
      </w:r>
      <w:r>
        <w:rPr>
          <w:rFonts w:hint="eastAsia" w:ascii="宋体" w:hAnsi="宋体" w:eastAsia="宋体" w:cs="宋体"/>
          <w:color w:val="auto"/>
          <w:sz w:val="21"/>
          <w:szCs w:val="21"/>
          <w:highlight w:val="none"/>
        </w:rPr>
        <w:t>；承接企业为</w:t>
      </w:r>
      <w:r>
        <w:rPr>
          <w:rFonts w:hint="eastAsia" w:ascii="宋体" w:hAnsi="宋体" w:eastAsia="宋体" w:cs="宋体"/>
          <w:color w:val="auto"/>
          <w:sz w:val="21"/>
          <w:szCs w:val="21"/>
          <w:highlight w:val="none"/>
          <w:u w:val="single"/>
        </w:rPr>
        <w:t>（企业名称）</w:t>
      </w:r>
      <w:r>
        <w:rPr>
          <w:rFonts w:hint="eastAsia" w:ascii="宋体" w:hAnsi="宋体" w:eastAsia="宋体" w:cs="宋体"/>
          <w:color w:val="auto"/>
          <w:sz w:val="21"/>
          <w:szCs w:val="21"/>
          <w:highlight w:val="none"/>
        </w:rPr>
        <w:t>，从业人员人，营业收入为万元，资产总额为万元，属于</w:t>
      </w:r>
      <w:r>
        <w:rPr>
          <w:rFonts w:hint="eastAsia" w:ascii="宋体" w:hAnsi="宋体" w:eastAsia="宋体" w:cs="宋体"/>
          <w:color w:val="auto"/>
          <w:sz w:val="21"/>
          <w:szCs w:val="21"/>
          <w:highlight w:val="none"/>
          <w:u w:val="single"/>
        </w:rPr>
        <w:t>（中型企业、小型企业、微型企业）</w:t>
      </w:r>
      <w:r>
        <w:rPr>
          <w:rFonts w:hint="eastAsia" w:ascii="宋体" w:hAnsi="宋体" w:eastAsia="宋体" w:cs="宋体"/>
          <w:color w:val="auto"/>
          <w:sz w:val="21"/>
          <w:szCs w:val="21"/>
          <w:highlight w:val="none"/>
        </w:rPr>
        <w:t>；</w:t>
      </w:r>
    </w:p>
    <w:p w14:paraId="7441A976">
      <w:pPr>
        <w:tabs>
          <w:tab w:val="left" w:pos="1065"/>
          <w:tab w:val="left" w:pos="4262"/>
          <w:tab w:val="left" w:pos="6477"/>
        </w:tabs>
        <w:spacing w:before="20" w:line="500" w:lineRule="exact"/>
        <w:ind w:right="84" w:firstLine="600" w:firstLineChars="286"/>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u w:val="single"/>
        </w:rPr>
        <w:t>（标的名称）</w:t>
      </w:r>
      <w:r>
        <w:rPr>
          <w:rFonts w:hint="eastAsia" w:ascii="宋体" w:hAnsi="宋体" w:eastAsia="宋体" w:cs="宋体"/>
          <w:color w:val="auto"/>
          <w:sz w:val="21"/>
          <w:szCs w:val="21"/>
          <w:highlight w:val="none"/>
        </w:rPr>
        <w:t>，属于</w:t>
      </w:r>
      <w:r>
        <w:rPr>
          <w:rFonts w:hint="eastAsia" w:ascii="宋体" w:hAnsi="宋体" w:eastAsia="宋体" w:cs="宋体"/>
          <w:color w:val="auto"/>
          <w:sz w:val="21"/>
          <w:szCs w:val="21"/>
          <w:highlight w:val="none"/>
          <w:u w:val="single"/>
        </w:rPr>
        <w:t>（采购文件中明确的所属行业）</w:t>
      </w:r>
      <w:r>
        <w:rPr>
          <w:rFonts w:hint="eastAsia" w:ascii="宋体" w:hAnsi="宋体" w:eastAsia="宋体" w:cs="宋体"/>
          <w:color w:val="auto"/>
          <w:sz w:val="21"/>
          <w:szCs w:val="21"/>
          <w:highlight w:val="none"/>
        </w:rPr>
        <w:t>；承接企业为</w:t>
      </w:r>
      <w:r>
        <w:rPr>
          <w:rFonts w:hint="eastAsia" w:ascii="宋体" w:hAnsi="宋体" w:eastAsia="宋体" w:cs="宋体"/>
          <w:color w:val="auto"/>
          <w:sz w:val="21"/>
          <w:szCs w:val="21"/>
          <w:highlight w:val="none"/>
          <w:u w:val="single"/>
        </w:rPr>
        <w:t>（企业名称）</w:t>
      </w:r>
      <w:r>
        <w:rPr>
          <w:rFonts w:hint="eastAsia" w:ascii="宋体" w:hAnsi="宋体" w:eastAsia="宋体" w:cs="宋体"/>
          <w:color w:val="auto"/>
          <w:sz w:val="21"/>
          <w:szCs w:val="21"/>
          <w:highlight w:val="none"/>
        </w:rPr>
        <w:t>，从业人员人，营业收入为万元，资产总额为万元，属于</w:t>
      </w:r>
      <w:r>
        <w:rPr>
          <w:rFonts w:hint="eastAsia" w:ascii="宋体" w:hAnsi="宋体" w:eastAsia="宋体" w:cs="宋体"/>
          <w:color w:val="auto"/>
          <w:sz w:val="21"/>
          <w:szCs w:val="21"/>
          <w:highlight w:val="none"/>
          <w:u w:val="single"/>
        </w:rPr>
        <w:t>（中型企业、小型企业、微型企业）</w:t>
      </w:r>
      <w:r>
        <w:rPr>
          <w:rFonts w:hint="eastAsia" w:ascii="宋体" w:hAnsi="宋体" w:eastAsia="宋体" w:cs="宋体"/>
          <w:color w:val="auto"/>
          <w:sz w:val="21"/>
          <w:szCs w:val="21"/>
          <w:highlight w:val="none"/>
        </w:rPr>
        <w:t>；</w:t>
      </w:r>
    </w:p>
    <w:p w14:paraId="7F5FBC2D">
      <w:pPr>
        <w:pStyle w:val="2"/>
        <w:spacing w:before="34" w:line="500" w:lineRule="exact"/>
        <w:ind w:left="765" w:right="142" w:hanging="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p>
    <w:p w14:paraId="6AC81110">
      <w:pPr>
        <w:pStyle w:val="2"/>
        <w:spacing w:before="34" w:line="500" w:lineRule="exact"/>
        <w:ind w:right="142"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以上企业，不属于大企业的分支机构，不存在控股股东为大企业的情形，也不存在与大企业的负责人为同一人的情形。</w:t>
      </w:r>
    </w:p>
    <w:p w14:paraId="5EA4ABE8">
      <w:pPr>
        <w:pStyle w:val="2"/>
        <w:spacing w:before="34" w:line="500" w:lineRule="exact"/>
        <w:ind w:right="142"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本企业对上述声明内容的真实性负责。如有虚假，将依法承担相应责任。</w:t>
      </w:r>
    </w:p>
    <w:p w14:paraId="6885659B">
      <w:pPr>
        <w:pStyle w:val="2"/>
        <w:spacing w:before="56" w:line="500" w:lineRule="exact"/>
        <w:ind w:left="3960" w:right="1808"/>
        <w:rPr>
          <w:rFonts w:hint="eastAsia" w:ascii="宋体" w:hAnsi="宋体" w:eastAsia="宋体" w:cs="宋体"/>
          <w:color w:val="auto"/>
          <w:sz w:val="21"/>
          <w:szCs w:val="21"/>
          <w:highlight w:val="none"/>
        </w:rPr>
      </w:pPr>
      <w:r>
        <w:rPr>
          <w:rFonts w:hint="eastAsia" w:ascii="宋体" w:hAnsi="宋体" w:eastAsia="宋体" w:cs="宋体"/>
          <w:color w:val="auto"/>
          <w:kern w:val="24"/>
          <w:sz w:val="21"/>
          <w:szCs w:val="21"/>
          <w:highlight w:val="none"/>
        </w:rPr>
        <w:t>企业名称（电子签章）：</w:t>
      </w:r>
    </w:p>
    <w:p w14:paraId="2069202E">
      <w:pPr>
        <w:pStyle w:val="2"/>
        <w:spacing w:before="56" w:line="500" w:lineRule="exact"/>
        <w:ind w:left="3960" w:right="1808"/>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日 期：</w:t>
      </w:r>
    </w:p>
    <w:p w14:paraId="26EBA35A">
      <w:pPr>
        <w:rPr>
          <w:rFonts w:hint="eastAsia" w:ascii="宋体" w:hAnsi="宋体" w:eastAsia="宋体" w:cs="宋体"/>
          <w:color w:val="auto"/>
          <w:sz w:val="21"/>
          <w:szCs w:val="21"/>
          <w:highlight w:val="none"/>
        </w:rPr>
      </w:pPr>
    </w:p>
    <w:p w14:paraId="301D57C4">
      <w:pPr>
        <w:rPr>
          <w:rFonts w:hint="eastAsia" w:ascii="宋体" w:hAnsi="宋体" w:eastAsia="宋体" w:cs="宋体"/>
          <w:b/>
          <w:color w:val="auto"/>
          <w:sz w:val="24"/>
          <w:highlight w:val="none"/>
        </w:rPr>
      </w:pPr>
      <w:r>
        <w:rPr>
          <w:rFonts w:hint="eastAsia" w:ascii="宋体" w:hAnsi="宋体" w:eastAsia="宋体" w:cs="宋体"/>
          <w:color w:val="auto"/>
          <w:sz w:val="21"/>
          <w:szCs w:val="21"/>
          <w:highlight w:val="none"/>
        </w:rPr>
        <w:t>注：享受《政府采购促进中小企业发展管理办法》（财库〔2020〕46号）规定的中小企业扶持政策的，采购人、采购代理机构应当随中标结果公开中标供应商的《中小企业声明函》。从业人员、营业收入、资产总额填报上一年度数据，无上一年度数据的新成立企业可不填报。</w:t>
      </w:r>
      <w:r>
        <w:rPr>
          <w:rFonts w:hint="eastAsia" w:ascii="宋体" w:hAnsi="宋体" w:eastAsia="宋体" w:cs="宋体"/>
          <w:color w:val="auto"/>
          <w:szCs w:val="21"/>
          <w:highlight w:val="none"/>
        </w:rPr>
        <w:br w:type="page"/>
      </w:r>
      <w:r>
        <w:rPr>
          <w:rFonts w:hint="eastAsia" w:ascii="宋体" w:hAnsi="宋体" w:eastAsia="宋体" w:cs="宋体"/>
          <w:b/>
          <w:color w:val="auto"/>
          <w:sz w:val="24"/>
          <w:highlight w:val="none"/>
        </w:rPr>
        <w:t>6.残疾人福利性单位声明函格式</w:t>
      </w:r>
    </w:p>
    <w:p w14:paraId="20FC4F43">
      <w:pPr>
        <w:spacing w:line="588" w:lineRule="exact"/>
        <w:jc w:val="center"/>
        <w:rPr>
          <w:rFonts w:hint="eastAsia" w:ascii="宋体" w:hAnsi="宋体" w:eastAsia="宋体" w:cs="宋体"/>
          <w:b/>
          <w:color w:val="auto"/>
          <w:spacing w:val="6"/>
          <w:sz w:val="32"/>
          <w:szCs w:val="32"/>
          <w:highlight w:val="none"/>
        </w:rPr>
      </w:pPr>
      <w:bookmarkStart w:id="164" w:name="OLE_LINK13"/>
      <w:bookmarkStart w:id="165" w:name="OLE_LINK14"/>
    </w:p>
    <w:p w14:paraId="441725BF">
      <w:pPr>
        <w:spacing w:line="588" w:lineRule="exact"/>
        <w:jc w:val="center"/>
        <w:rPr>
          <w:rFonts w:hint="eastAsia" w:ascii="宋体" w:hAnsi="宋体" w:eastAsia="宋体" w:cs="宋体"/>
          <w:bCs/>
          <w:color w:val="auto"/>
          <w:spacing w:val="6"/>
          <w:sz w:val="44"/>
          <w:szCs w:val="44"/>
          <w:highlight w:val="none"/>
        </w:rPr>
      </w:pPr>
      <w:r>
        <w:rPr>
          <w:rFonts w:hint="eastAsia" w:ascii="宋体" w:hAnsi="宋体" w:eastAsia="宋体" w:cs="宋体"/>
          <w:bCs/>
          <w:color w:val="auto"/>
          <w:spacing w:val="6"/>
          <w:sz w:val="44"/>
          <w:szCs w:val="44"/>
          <w:highlight w:val="none"/>
        </w:rPr>
        <w:t>残疾人福利性单位声明函</w:t>
      </w:r>
    </w:p>
    <w:bookmarkEnd w:id="164"/>
    <w:bookmarkEnd w:id="165"/>
    <w:p w14:paraId="20EC6129">
      <w:pPr>
        <w:spacing w:line="588" w:lineRule="exact"/>
        <w:rPr>
          <w:rFonts w:hint="eastAsia" w:ascii="宋体" w:hAnsi="宋体" w:eastAsia="宋体" w:cs="宋体"/>
          <w:b/>
          <w:color w:val="auto"/>
          <w:spacing w:val="6"/>
          <w:sz w:val="30"/>
          <w:szCs w:val="30"/>
          <w:highlight w:val="none"/>
        </w:rPr>
      </w:pPr>
    </w:p>
    <w:p w14:paraId="5E5909B4">
      <w:pPr>
        <w:spacing w:line="360" w:lineRule="auto"/>
        <w:ind w:firstLine="444" w:firstLineChars="200"/>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本单位郑重声明，根据《财政部 民政部 中国残疾人联合会关于促进残疾人就业政府采购政策的通知》（财库</w:t>
      </w:r>
      <w:r>
        <w:rPr>
          <w:rFonts w:hint="eastAsia" w:ascii="宋体" w:hAnsi="宋体" w:eastAsia="宋体" w:cs="宋体"/>
          <w:color w:val="auto"/>
          <w:sz w:val="21"/>
          <w:szCs w:val="21"/>
          <w:highlight w:val="none"/>
        </w:rPr>
        <w:t>〔2017〕 141</w:t>
      </w:r>
      <w:r>
        <w:rPr>
          <w:rFonts w:hint="eastAsia" w:ascii="宋体" w:hAnsi="宋体" w:eastAsia="宋体" w:cs="宋体"/>
          <w:color w:val="auto"/>
          <w:spacing w:val="6"/>
          <w:sz w:val="21"/>
          <w:szCs w:val="21"/>
          <w:highlight w:val="none"/>
        </w:rPr>
        <w:t>号）的规定，本单位为符合条件的残疾人福利性单位，且本单位参加______单位的______项目采购活动提供本单位制造的货物（由本单位承担工程/提供服务），或者提供其他残</w:t>
      </w:r>
      <w:r>
        <w:rPr>
          <w:rFonts w:hint="eastAsia" w:ascii="宋体" w:hAnsi="宋体" w:eastAsia="宋体" w:cs="宋体"/>
          <w:color w:val="auto"/>
          <w:spacing w:val="-6"/>
          <w:sz w:val="21"/>
          <w:szCs w:val="21"/>
          <w:highlight w:val="none"/>
        </w:rPr>
        <w:t>疾人福利性单位制造的货物（不包括使用非残疾人福利性单位注册商标的货物）。</w:t>
      </w:r>
    </w:p>
    <w:p w14:paraId="65C72AD1">
      <w:pPr>
        <w:spacing w:line="360" w:lineRule="auto"/>
        <w:ind w:firstLine="444" w:firstLineChars="200"/>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本单位对上述声明的真实性负责。如有虚假，将依法承担相应责任。</w:t>
      </w:r>
    </w:p>
    <w:p w14:paraId="328EFF4D">
      <w:pPr>
        <w:spacing w:line="360" w:lineRule="auto"/>
        <w:ind w:firstLine="444" w:firstLineChars="200"/>
        <w:rPr>
          <w:rFonts w:hint="eastAsia" w:ascii="宋体" w:hAnsi="宋体" w:eastAsia="宋体" w:cs="宋体"/>
          <w:color w:val="auto"/>
          <w:spacing w:val="6"/>
          <w:sz w:val="21"/>
          <w:szCs w:val="21"/>
          <w:highlight w:val="none"/>
        </w:rPr>
      </w:pPr>
    </w:p>
    <w:p w14:paraId="20830ADD">
      <w:pPr>
        <w:spacing w:line="360" w:lineRule="auto"/>
        <w:ind w:firstLine="444" w:firstLineChars="200"/>
        <w:rPr>
          <w:rFonts w:hint="eastAsia" w:ascii="宋体" w:hAnsi="宋体" w:eastAsia="宋体" w:cs="宋体"/>
          <w:color w:val="auto"/>
          <w:spacing w:val="6"/>
          <w:sz w:val="21"/>
          <w:szCs w:val="21"/>
          <w:highlight w:val="none"/>
        </w:rPr>
      </w:pPr>
    </w:p>
    <w:p w14:paraId="570C2D19">
      <w:pPr>
        <w:tabs>
          <w:tab w:val="left" w:pos="4860"/>
        </w:tabs>
        <w:spacing w:line="360" w:lineRule="auto"/>
        <w:ind w:right="1560" w:firstLine="444" w:firstLineChars="200"/>
        <w:contextualSpacing/>
        <w:jc w:val="center"/>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单位名称（电子签章）：</w:t>
      </w:r>
    </w:p>
    <w:p w14:paraId="2ED10869">
      <w:pPr>
        <w:tabs>
          <w:tab w:val="left" w:pos="4860"/>
        </w:tabs>
        <w:spacing w:line="360" w:lineRule="auto"/>
        <w:ind w:right="1560" w:firstLine="444" w:firstLineChars="200"/>
        <w:contextualSpacing/>
        <w:jc w:val="center"/>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日  期：</w:t>
      </w:r>
    </w:p>
    <w:p w14:paraId="5BA3FE62">
      <w:pPr>
        <w:spacing w:line="360" w:lineRule="auto"/>
        <w:rPr>
          <w:rFonts w:hint="eastAsia" w:ascii="宋体" w:hAnsi="宋体" w:eastAsia="宋体" w:cs="宋体"/>
          <w:color w:val="auto"/>
          <w:sz w:val="21"/>
          <w:szCs w:val="21"/>
          <w:highlight w:val="none"/>
        </w:rPr>
      </w:pPr>
    </w:p>
    <w:p w14:paraId="2C9FE7C5">
      <w:pPr>
        <w:spacing w:line="360" w:lineRule="auto"/>
        <w:rPr>
          <w:rFonts w:hint="eastAsia" w:ascii="宋体" w:hAnsi="宋体" w:eastAsia="宋体" w:cs="宋体"/>
          <w:color w:val="auto"/>
          <w:sz w:val="21"/>
          <w:szCs w:val="21"/>
          <w:highlight w:val="none"/>
        </w:rPr>
      </w:pPr>
    </w:p>
    <w:p w14:paraId="40AA9493">
      <w:pPr>
        <w:spacing w:line="360" w:lineRule="auto"/>
        <w:rPr>
          <w:rFonts w:hint="eastAsia" w:ascii="宋体" w:hAnsi="宋体" w:eastAsia="宋体" w:cs="宋体"/>
          <w:color w:val="auto"/>
          <w:sz w:val="21"/>
          <w:szCs w:val="21"/>
          <w:highlight w:val="none"/>
        </w:rPr>
      </w:pPr>
    </w:p>
    <w:p w14:paraId="72D3CD86">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注：请根据自己的真实情况出具《残疾人福利性单位声明函》。依法享受中小企业优惠政策的，采购人或者采购代理机构在公告中标结果时，同时公告其《残疾人福利性单位声明函》，接受社会监督。</w:t>
      </w:r>
    </w:p>
    <w:p w14:paraId="6030F667">
      <w:pPr>
        <w:pStyle w:val="43"/>
        <w:ind w:firstLine="422"/>
        <w:rPr>
          <w:rFonts w:hint="eastAsia" w:ascii="宋体" w:hAnsi="宋体" w:eastAsia="宋体" w:cs="宋体"/>
          <w:color w:val="auto"/>
          <w:highlight w:val="none"/>
        </w:rPr>
      </w:pPr>
    </w:p>
    <w:p w14:paraId="626D92E5">
      <w:pPr>
        <w:spacing w:line="400" w:lineRule="exact"/>
        <w:contextualSpacing/>
        <w:jc w:val="left"/>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br w:type="page"/>
      </w:r>
    </w:p>
    <w:p w14:paraId="49341BDF">
      <w:pPr>
        <w:rPr>
          <w:rFonts w:hint="eastAsia" w:ascii="宋体" w:hAnsi="宋体" w:eastAsia="宋体" w:cs="宋体"/>
          <w:b/>
          <w:color w:val="auto"/>
          <w:sz w:val="28"/>
          <w:szCs w:val="28"/>
          <w:highlight w:val="none"/>
        </w:rPr>
      </w:pPr>
      <w:bookmarkStart w:id="166" w:name="_Toc19686838"/>
    </w:p>
    <w:p w14:paraId="0FF8C25D">
      <w:pP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三、商务技术文件格式</w:t>
      </w:r>
      <w:bookmarkEnd w:id="166"/>
    </w:p>
    <w:p w14:paraId="5928AE23">
      <w:pPr>
        <w:snapToGrid w:val="0"/>
        <w:spacing w:before="120" w:beforeLines="50" w:after="50" w:line="360" w:lineRule="auto"/>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 xml:space="preserve">1.商务技术文件封面格式： </w:t>
      </w:r>
    </w:p>
    <w:p w14:paraId="7452ECF6">
      <w:pPr>
        <w:snapToGrid w:val="0"/>
        <w:spacing w:before="120" w:beforeLines="50" w:after="50"/>
        <w:jc w:val="center"/>
        <w:rPr>
          <w:rFonts w:hint="eastAsia" w:ascii="宋体" w:hAnsi="宋体" w:eastAsia="宋体" w:cs="宋体"/>
          <w:color w:val="auto"/>
          <w:sz w:val="24"/>
          <w:highlight w:val="none"/>
        </w:rPr>
      </w:pPr>
      <w:r>
        <w:rPr>
          <w:rFonts w:hint="eastAsia" w:ascii="宋体" w:hAnsi="宋体" w:eastAsia="宋体" w:cs="宋体"/>
          <w:bCs/>
          <w:color w:val="auto"/>
          <w:sz w:val="48"/>
          <w:szCs w:val="48"/>
          <w:highlight w:val="none"/>
        </w:rPr>
        <w:t>电子投标文件</w:t>
      </w:r>
    </w:p>
    <w:p w14:paraId="63644C79">
      <w:pPr>
        <w:snapToGrid w:val="0"/>
        <w:spacing w:before="120" w:beforeLines="50" w:after="50"/>
        <w:rPr>
          <w:rFonts w:hint="eastAsia" w:ascii="宋体" w:hAnsi="宋体" w:eastAsia="宋体" w:cs="宋体"/>
          <w:color w:val="auto"/>
          <w:sz w:val="24"/>
          <w:szCs w:val="20"/>
          <w:highlight w:val="none"/>
        </w:rPr>
      </w:pPr>
    </w:p>
    <w:p w14:paraId="023537AD">
      <w:pPr>
        <w:snapToGrid w:val="0"/>
        <w:spacing w:before="120" w:beforeLines="50" w:after="50"/>
        <w:jc w:val="center"/>
        <w:rPr>
          <w:rFonts w:hint="eastAsia" w:ascii="宋体" w:hAnsi="宋体" w:eastAsia="宋体" w:cs="宋体"/>
          <w:b/>
          <w:color w:val="auto"/>
          <w:sz w:val="24"/>
          <w:szCs w:val="20"/>
          <w:highlight w:val="none"/>
        </w:rPr>
      </w:pPr>
      <w:r>
        <w:rPr>
          <w:rFonts w:hint="eastAsia" w:ascii="宋体" w:hAnsi="宋体" w:eastAsia="宋体" w:cs="宋体"/>
          <w:b/>
          <w:color w:val="auto"/>
          <w:sz w:val="32"/>
          <w:szCs w:val="32"/>
          <w:highlight w:val="none"/>
        </w:rPr>
        <w:t>商务技术文件</w:t>
      </w:r>
    </w:p>
    <w:p w14:paraId="2F8F6283">
      <w:pPr>
        <w:snapToGrid w:val="0"/>
        <w:spacing w:before="120" w:beforeLines="50" w:after="50"/>
        <w:rPr>
          <w:rFonts w:hint="eastAsia" w:ascii="宋体" w:hAnsi="宋体" w:eastAsia="宋体" w:cs="宋体"/>
          <w:bCs/>
          <w:color w:val="auto"/>
          <w:sz w:val="24"/>
          <w:szCs w:val="20"/>
          <w:highlight w:val="none"/>
        </w:rPr>
      </w:pPr>
    </w:p>
    <w:p w14:paraId="6EE02639">
      <w:pPr>
        <w:snapToGrid w:val="0"/>
        <w:spacing w:before="120" w:beforeLines="50" w:after="50"/>
        <w:ind w:firstLine="540" w:firstLineChars="225"/>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项目名称：</w:t>
      </w:r>
    </w:p>
    <w:p w14:paraId="2F705F47">
      <w:pPr>
        <w:snapToGrid w:val="0"/>
        <w:spacing w:before="120" w:beforeLines="50" w:after="50"/>
        <w:ind w:firstLine="540" w:firstLineChars="225"/>
        <w:rPr>
          <w:rFonts w:hint="eastAsia" w:ascii="宋体" w:hAnsi="宋体" w:eastAsia="宋体" w:cs="宋体"/>
          <w:bCs/>
          <w:color w:val="auto"/>
          <w:sz w:val="24"/>
          <w:szCs w:val="20"/>
          <w:highlight w:val="none"/>
        </w:rPr>
      </w:pPr>
    </w:p>
    <w:p w14:paraId="7866A241">
      <w:pPr>
        <w:snapToGrid w:val="0"/>
        <w:spacing w:before="120" w:beforeLines="50" w:after="50"/>
        <w:ind w:firstLine="540" w:firstLineChars="225"/>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项目编号：</w:t>
      </w:r>
    </w:p>
    <w:p w14:paraId="687D1AC6">
      <w:pPr>
        <w:snapToGrid w:val="0"/>
        <w:spacing w:before="120" w:beforeLines="50" w:after="50"/>
        <w:ind w:firstLine="540" w:firstLineChars="225"/>
        <w:rPr>
          <w:rFonts w:hint="eastAsia" w:ascii="宋体" w:hAnsi="宋体" w:eastAsia="宋体" w:cs="宋体"/>
          <w:bCs/>
          <w:color w:val="auto"/>
          <w:sz w:val="24"/>
          <w:szCs w:val="20"/>
          <w:highlight w:val="none"/>
        </w:rPr>
      </w:pPr>
    </w:p>
    <w:p w14:paraId="4C04FAB2">
      <w:pPr>
        <w:snapToGrid w:val="0"/>
        <w:spacing w:before="120" w:beforeLines="50" w:after="50"/>
        <w:ind w:firstLine="540" w:firstLineChars="225"/>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所投分标：</w:t>
      </w:r>
    </w:p>
    <w:p w14:paraId="48B27DE8">
      <w:pPr>
        <w:snapToGrid w:val="0"/>
        <w:spacing w:before="120" w:beforeLines="50" w:after="50"/>
        <w:ind w:firstLine="540" w:firstLineChars="225"/>
        <w:rPr>
          <w:rFonts w:hint="eastAsia" w:ascii="宋体" w:hAnsi="宋体" w:eastAsia="宋体" w:cs="宋体"/>
          <w:bCs/>
          <w:color w:val="auto"/>
          <w:sz w:val="24"/>
          <w:szCs w:val="20"/>
          <w:highlight w:val="none"/>
        </w:rPr>
      </w:pPr>
    </w:p>
    <w:p w14:paraId="4AAE6E5D">
      <w:pPr>
        <w:pStyle w:val="9"/>
        <w:snapToGrid w:val="0"/>
        <w:spacing w:before="50" w:after="50"/>
        <w:ind w:firstLine="540" w:firstLineChars="225"/>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投标人名称：</w:t>
      </w:r>
    </w:p>
    <w:p w14:paraId="351D0B9E">
      <w:pPr>
        <w:pStyle w:val="9"/>
        <w:snapToGrid w:val="0"/>
        <w:spacing w:before="50" w:after="50"/>
        <w:ind w:firstLine="540" w:firstLineChars="225"/>
        <w:rPr>
          <w:rFonts w:hint="eastAsia" w:ascii="宋体" w:hAnsi="宋体" w:eastAsia="宋体" w:cs="宋体"/>
          <w:bCs/>
          <w:color w:val="auto"/>
          <w:sz w:val="24"/>
          <w:szCs w:val="24"/>
          <w:highlight w:val="none"/>
        </w:rPr>
      </w:pPr>
    </w:p>
    <w:p w14:paraId="3B9FED09">
      <w:pPr>
        <w:pStyle w:val="9"/>
        <w:snapToGrid w:val="0"/>
        <w:spacing w:before="50" w:after="50"/>
        <w:ind w:firstLine="540" w:firstLineChars="225"/>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投标人地址：</w:t>
      </w:r>
    </w:p>
    <w:p w14:paraId="690CB263">
      <w:pPr>
        <w:pStyle w:val="9"/>
        <w:snapToGrid w:val="0"/>
        <w:spacing w:before="50" w:after="50"/>
        <w:ind w:firstLine="960" w:firstLineChars="400"/>
        <w:rPr>
          <w:rFonts w:hint="eastAsia" w:ascii="宋体" w:hAnsi="宋体" w:eastAsia="宋体" w:cs="宋体"/>
          <w:bCs/>
          <w:color w:val="auto"/>
          <w:sz w:val="24"/>
          <w:szCs w:val="24"/>
          <w:highlight w:val="none"/>
        </w:rPr>
      </w:pPr>
    </w:p>
    <w:p w14:paraId="52246B6F">
      <w:pPr>
        <w:snapToGrid w:val="0"/>
        <w:spacing w:before="120" w:beforeLines="50" w:after="50"/>
        <w:ind w:firstLine="645"/>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年  月  日</w:t>
      </w:r>
    </w:p>
    <w:p w14:paraId="5926FDD8">
      <w:pPr>
        <w:snapToGrid w:val="0"/>
        <w:spacing w:before="120" w:beforeLines="50" w:after="50"/>
        <w:rPr>
          <w:rFonts w:hint="eastAsia" w:ascii="宋体" w:hAnsi="宋体" w:eastAsia="宋体" w:cs="宋体"/>
          <w:color w:val="auto"/>
          <w:sz w:val="24"/>
          <w:szCs w:val="20"/>
          <w:highlight w:val="none"/>
        </w:rPr>
      </w:pPr>
    </w:p>
    <w:p w14:paraId="0161F5B6">
      <w:pPr>
        <w:snapToGrid w:val="0"/>
        <w:spacing w:line="360" w:lineRule="auto"/>
        <w:jc w:val="left"/>
        <w:rPr>
          <w:rFonts w:hint="eastAsia" w:ascii="宋体" w:hAnsi="宋体" w:eastAsia="宋体" w:cs="宋体"/>
          <w:b/>
          <w:bCs/>
          <w:color w:val="auto"/>
          <w:sz w:val="28"/>
          <w:szCs w:val="28"/>
          <w:highlight w:val="none"/>
        </w:rPr>
      </w:pPr>
      <w:r>
        <w:rPr>
          <w:rFonts w:hint="eastAsia" w:ascii="宋体" w:hAnsi="宋体" w:eastAsia="宋体" w:cs="宋体"/>
          <w:color w:val="auto"/>
          <w:sz w:val="24"/>
          <w:szCs w:val="20"/>
          <w:highlight w:val="none"/>
        </w:rPr>
        <w:br w:type="page"/>
      </w:r>
      <w:r>
        <w:rPr>
          <w:rFonts w:hint="eastAsia" w:ascii="宋体" w:hAnsi="宋体" w:eastAsia="宋体" w:cs="宋体"/>
          <w:b/>
          <w:bCs/>
          <w:color w:val="auto"/>
          <w:sz w:val="28"/>
          <w:szCs w:val="28"/>
          <w:highlight w:val="none"/>
        </w:rPr>
        <w:t>2.商务技术文件目录</w:t>
      </w:r>
    </w:p>
    <w:p w14:paraId="30C40337">
      <w:pPr>
        <w:snapToGrid w:val="0"/>
        <w:spacing w:before="50" w:after="120" w:afterLines="50" w:line="360" w:lineRule="auto"/>
        <w:jc w:val="left"/>
        <w:rPr>
          <w:rFonts w:hint="eastAsia" w:ascii="宋体" w:hAnsi="宋体" w:eastAsia="宋体" w:cs="宋体"/>
          <w:b/>
          <w:bCs/>
          <w:color w:val="auto"/>
          <w:sz w:val="24"/>
          <w:highlight w:val="none"/>
        </w:rPr>
      </w:pPr>
      <w:r>
        <w:rPr>
          <w:rFonts w:hint="eastAsia" w:ascii="宋体" w:hAnsi="宋体" w:eastAsia="宋体" w:cs="宋体"/>
          <w:color w:val="auto"/>
          <w:szCs w:val="21"/>
          <w:highlight w:val="none"/>
        </w:rPr>
        <w:t>根据招标文件规定及投标人提供的材料自行编写目录。</w:t>
      </w:r>
    </w:p>
    <w:p w14:paraId="12E5F898">
      <w:pPr>
        <w:snapToGrid w:val="0"/>
        <w:spacing w:before="50" w:after="120" w:afterLines="50"/>
        <w:jc w:val="left"/>
        <w:rPr>
          <w:rFonts w:hint="eastAsia" w:ascii="宋体" w:hAnsi="宋体" w:eastAsia="宋体" w:cs="宋体"/>
          <w:color w:val="auto"/>
          <w:highlight w:val="none"/>
        </w:rPr>
      </w:pPr>
    </w:p>
    <w:p w14:paraId="5DFE0A7C">
      <w:pPr>
        <w:snapToGrid w:val="0"/>
        <w:spacing w:before="120" w:beforeLines="50" w:after="50"/>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br w:type="page"/>
      </w:r>
      <w:r>
        <w:rPr>
          <w:rFonts w:hint="eastAsia" w:ascii="宋体" w:hAnsi="宋体" w:eastAsia="宋体" w:cs="宋体"/>
          <w:b/>
          <w:color w:val="auto"/>
          <w:sz w:val="24"/>
          <w:highlight w:val="none"/>
        </w:rPr>
        <w:t>3.投标人参加本项目无围标串标行为的承诺</w:t>
      </w:r>
    </w:p>
    <w:p w14:paraId="06DFE17D">
      <w:pPr>
        <w:snapToGrid w:val="0"/>
        <w:spacing w:before="120" w:beforeLines="50" w:after="50"/>
        <w:jc w:val="left"/>
        <w:rPr>
          <w:rFonts w:hint="eastAsia" w:ascii="宋体" w:hAnsi="宋体" w:eastAsia="宋体" w:cs="宋体"/>
          <w:b/>
          <w:color w:val="auto"/>
          <w:sz w:val="24"/>
          <w:highlight w:val="none"/>
        </w:rPr>
      </w:pPr>
    </w:p>
    <w:p w14:paraId="29C6E252">
      <w:pPr>
        <w:snapToGrid w:val="0"/>
        <w:spacing w:before="120" w:beforeLines="50" w:after="50"/>
        <w:ind w:left="420"/>
        <w:jc w:val="center"/>
        <w:rPr>
          <w:rFonts w:hint="eastAsia" w:ascii="宋体" w:hAnsi="宋体" w:eastAsia="宋体" w:cs="宋体"/>
          <w:b/>
          <w:color w:val="auto"/>
          <w:spacing w:val="-17"/>
          <w:sz w:val="32"/>
          <w:szCs w:val="32"/>
          <w:highlight w:val="none"/>
        </w:rPr>
      </w:pPr>
      <w:r>
        <w:rPr>
          <w:rFonts w:hint="eastAsia" w:ascii="宋体" w:hAnsi="宋体" w:eastAsia="宋体" w:cs="宋体"/>
          <w:bCs/>
          <w:color w:val="auto"/>
          <w:spacing w:val="-17"/>
          <w:sz w:val="44"/>
          <w:szCs w:val="44"/>
          <w:highlight w:val="none"/>
        </w:rPr>
        <w:t>投标人参加本项目无围标串标行为的承诺函</w:t>
      </w:r>
    </w:p>
    <w:p w14:paraId="3E1ABA48">
      <w:pPr>
        <w:snapToGrid w:val="0"/>
        <w:spacing w:before="120" w:beforeLines="50" w:after="50"/>
        <w:rPr>
          <w:rFonts w:hint="eastAsia" w:ascii="宋体" w:hAnsi="宋体" w:eastAsia="宋体" w:cs="宋体"/>
          <w:b/>
          <w:color w:val="auto"/>
          <w:sz w:val="24"/>
          <w:highlight w:val="none"/>
        </w:rPr>
      </w:pPr>
    </w:p>
    <w:p w14:paraId="088A1BB5">
      <w:pPr>
        <w:spacing w:line="400" w:lineRule="exact"/>
        <w:contextualSpacing/>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一、我方承诺无下列相互串通投标的情形：</w:t>
      </w:r>
    </w:p>
    <w:p w14:paraId="56C156EF">
      <w:pPr>
        <w:spacing w:line="400" w:lineRule="exact"/>
        <w:ind w:firstLine="411" w:firstLineChars="196"/>
        <w:contextualSpacing/>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1.不同投标人的投标文件由同一单位或者个人编制； </w:t>
      </w:r>
    </w:p>
    <w:p w14:paraId="05D2E173">
      <w:pPr>
        <w:spacing w:line="400" w:lineRule="exact"/>
        <w:ind w:firstLine="411" w:firstLineChars="196"/>
        <w:contextualSpacing/>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2.不同投标人委托同一单位或者个人办理投标事宜；</w:t>
      </w:r>
    </w:p>
    <w:p w14:paraId="57CC53C1">
      <w:pPr>
        <w:spacing w:line="400" w:lineRule="exact"/>
        <w:ind w:firstLine="411" w:firstLineChars="196"/>
        <w:contextualSpacing/>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3.不同的投标人的投标文件载明的项目管理员为同一个人；</w:t>
      </w:r>
    </w:p>
    <w:p w14:paraId="582C20C6">
      <w:pPr>
        <w:spacing w:line="400" w:lineRule="exact"/>
        <w:ind w:firstLine="411" w:firstLineChars="196"/>
        <w:contextualSpacing/>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4.不同投标人的投标文件异常一致或者投标报价呈规律性差异；</w:t>
      </w:r>
    </w:p>
    <w:p w14:paraId="4BCE7FDA">
      <w:pPr>
        <w:spacing w:line="400" w:lineRule="exact"/>
        <w:ind w:firstLine="411" w:firstLineChars="196"/>
        <w:contextualSpacing/>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5.不同投标人的投标文件相互混装；</w:t>
      </w:r>
    </w:p>
    <w:p w14:paraId="42935B98">
      <w:pPr>
        <w:spacing w:line="400" w:lineRule="exact"/>
        <w:ind w:firstLine="411" w:firstLineChars="196"/>
        <w:contextualSpacing/>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6.不同投标人的投标保证金从同一单位或者个人账户转出。</w:t>
      </w:r>
    </w:p>
    <w:p w14:paraId="66EAB4C0">
      <w:pPr>
        <w:spacing w:line="400" w:lineRule="exact"/>
        <w:contextualSpacing/>
        <w:jc w:val="left"/>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二、我方承诺无下列恶意串通的情形：</w:t>
      </w:r>
    </w:p>
    <w:p w14:paraId="767690A1">
      <w:pPr>
        <w:spacing w:line="400" w:lineRule="exact"/>
        <w:ind w:firstLine="411" w:firstLineChars="196"/>
        <w:contextualSpacing/>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1.投标人直接或者间接从采购人或者采购代理机构处获得其他投标人的相关信息并修改其投标文件或者响应文件；</w:t>
      </w:r>
    </w:p>
    <w:p w14:paraId="131B899F">
      <w:pPr>
        <w:spacing w:line="400" w:lineRule="exact"/>
        <w:ind w:firstLine="411" w:firstLineChars="196"/>
        <w:contextualSpacing/>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2.投标人按照采购人或者采购代理机构的授意撤换、修改投标文件或者响应文件；</w:t>
      </w:r>
    </w:p>
    <w:p w14:paraId="19E1C7C4">
      <w:pPr>
        <w:spacing w:line="400" w:lineRule="exact"/>
        <w:ind w:firstLine="411" w:firstLineChars="196"/>
        <w:contextualSpacing/>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3.投标人之间协商报价、技术方案等投标文件或者响应文件的实质性内容；</w:t>
      </w:r>
    </w:p>
    <w:p w14:paraId="4643D6E9">
      <w:pPr>
        <w:spacing w:line="400" w:lineRule="exact"/>
        <w:ind w:firstLine="411" w:firstLineChars="196"/>
        <w:contextualSpacing/>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4.属于同一集团、协会、商会等组织成员的投标人按照该组织要求协同参加政府采购活动；</w:t>
      </w:r>
    </w:p>
    <w:p w14:paraId="662B8442">
      <w:pPr>
        <w:spacing w:line="400" w:lineRule="exact"/>
        <w:ind w:firstLine="411" w:firstLineChars="196"/>
        <w:contextualSpacing/>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5.投标人之间事先约定一致抬高或者压低投标报价，或者在招标项目中事先约定轮流以高价位或者低价位中标，或者事先约定由某一特定投标人中标，然后再参加投标；</w:t>
      </w:r>
    </w:p>
    <w:p w14:paraId="65F79C79">
      <w:pPr>
        <w:spacing w:line="400" w:lineRule="exact"/>
        <w:ind w:firstLine="411" w:firstLineChars="196"/>
        <w:contextualSpacing/>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6.投标人之间商定部分投标人放弃参加政府采购活动或者放弃中标；</w:t>
      </w:r>
    </w:p>
    <w:p w14:paraId="22945385">
      <w:pPr>
        <w:spacing w:line="400" w:lineRule="exact"/>
        <w:ind w:firstLine="411" w:firstLineChars="196"/>
        <w:contextualSpacing/>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7.投标人与采购人或者采购代理机构之间、投标人相互之间，为谋求特定投标人中标或者排斥其他投标人的其他串通行为。</w:t>
      </w:r>
    </w:p>
    <w:p w14:paraId="1D692129">
      <w:pPr>
        <w:spacing w:line="400" w:lineRule="exact"/>
        <w:ind w:firstLine="413" w:firstLineChars="196"/>
        <w:contextualSpacing/>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以上情形一经核查属实，我方愿意承担一切后果，并不再寻求任何旨在减轻或者免除法律责任的辩解。</w:t>
      </w:r>
    </w:p>
    <w:p w14:paraId="0556D3CD">
      <w:pPr>
        <w:pStyle w:val="31"/>
        <w:rPr>
          <w:rFonts w:hint="eastAsia" w:ascii="宋体" w:hAnsi="宋体" w:eastAsia="宋体" w:cs="宋体"/>
          <w:color w:val="auto"/>
          <w:highlight w:val="none"/>
        </w:rPr>
      </w:pPr>
    </w:p>
    <w:p w14:paraId="276AC7F5">
      <w:pPr>
        <w:pStyle w:val="31"/>
        <w:ind w:firstLine="4975" w:firstLineChars="2500"/>
        <w:rPr>
          <w:rFonts w:hint="eastAsia" w:ascii="宋体" w:hAnsi="宋体" w:eastAsia="宋体" w:cs="宋体"/>
          <w:color w:val="auto"/>
          <w:highlight w:val="none"/>
        </w:rPr>
      </w:pPr>
      <w:r>
        <w:rPr>
          <w:rFonts w:hint="eastAsia" w:ascii="宋体" w:hAnsi="宋体" w:eastAsia="宋体" w:cs="宋体"/>
          <w:color w:val="auto"/>
          <w:highlight w:val="none"/>
        </w:rPr>
        <w:t>投标人名称（电子签章）</w:t>
      </w:r>
      <w:r>
        <w:rPr>
          <w:rFonts w:hint="eastAsia" w:ascii="宋体" w:hAnsi="宋体" w:eastAsia="宋体" w:cs="宋体"/>
          <w:color w:val="auto"/>
          <w:highlight w:val="none"/>
          <w:lang w:eastAsia="zh-CN"/>
        </w:rPr>
        <w:t>：</w:t>
      </w:r>
    </w:p>
    <w:p w14:paraId="13C74555">
      <w:pPr>
        <w:pStyle w:val="31"/>
        <w:ind w:firstLine="6567" w:firstLineChars="3300"/>
        <w:rPr>
          <w:rFonts w:hint="eastAsia" w:ascii="宋体" w:hAnsi="宋体" w:eastAsia="宋体" w:cs="宋体"/>
          <w:color w:val="auto"/>
          <w:highlight w:val="none"/>
        </w:rPr>
      </w:pPr>
      <w:r>
        <w:rPr>
          <w:rFonts w:hint="eastAsia" w:ascii="宋体" w:hAnsi="宋体" w:eastAsia="宋体" w:cs="宋体"/>
          <w:color w:val="auto"/>
          <w:highlight w:val="none"/>
        </w:rPr>
        <w:t>年</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月</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日</w:t>
      </w:r>
    </w:p>
    <w:p w14:paraId="094E2830">
      <w:pPr>
        <w:snapToGrid w:val="0"/>
        <w:spacing w:before="120" w:beforeLines="50" w:after="50"/>
        <w:ind w:firstLine="413" w:firstLineChars="196"/>
        <w:jc w:val="left"/>
        <w:rPr>
          <w:rFonts w:hint="eastAsia" w:ascii="宋体" w:hAnsi="宋体" w:eastAsia="宋体" w:cs="宋体"/>
          <w:b/>
          <w:color w:val="auto"/>
          <w:sz w:val="24"/>
          <w:szCs w:val="20"/>
          <w:highlight w:val="none"/>
        </w:rPr>
      </w:pPr>
      <w:r>
        <w:rPr>
          <w:rFonts w:hint="eastAsia" w:ascii="宋体" w:hAnsi="宋体" w:eastAsia="宋体" w:cs="宋体"/>
          <w:b/>
          <w:color w:val="auto"/>
          <w:sz w:val="21"/>
          <w:szCs w:val="21"/>
          <w:highlight w:val="none"/>
        </w:rPr>
        <w:br w:type="page"/>
      </w:r>
      <w:r>
        <w:rPr>
          <w:rFonts w:hint="eastAsia" w:ascii="宋体" w:hAnsi="宋体" w:eastAsia="宋体" w:cs="宋体"/>
          <w:b/>
          <w:color w:val="auto"/>
          <w:sz w:val="24"/>
          <w:highlight w:val="none"/>
        </w:rPr>
        <w:t>4.法定代表人身份证明</w:t>
      </w:r>
    </w:p>
    <w:p w14:paraId="498E2EC9">
      <w:pPr>
        <w:spacing w:before="240" w:beforeLines="100" w:after="120" w:afterLines="50"/>
        <w:ind w:left="540"/>
        <w:jc w:val="center"/>
        <w:rPr>
          <w:rFonts w:hint="eastAsia" w:ascii="宋体" w:hAnsi="宋体" w:eastAsia="宋体" w:cs="宋体"/>
          <w:b/>
          <w:color w:val="auto"/>
          <w:sz w:val="32"/>
          <w:szCs w:val="32"/>
          <w:highlight w:val="none"/>
        </w:rPr>
      </w:pPr>
    </w:p>
    <w:p w14:paraId="25A09132">
      <w:pPr>
        <w:spacing w:before="240" w:beforeLines="100" w:after="120" w:afterLines="50"/>
        <w:ind w:left="540"/>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法定代表人身份证明</w:t>
      </w:r>
    </w:p>
    <w:p w14:paraId="2D8D766B">
      <w:pPr>
        <w:spacing w:line="500" w:lineRule="exact"/>
        <w:ind w:left="54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投 标 人：</w:t>
      </w:r>
      <w:r>
        <w:rPr>
          <w:rFonts w:hint="eastAsia" w:ascii="宋体" w:hAnsi="宋体" w:eastAsia="宋体" w:cs="宋体"/>
          <w:color w:val="auto"/>
          <w:sz w:val="21"/>
          <w:szCs w:val="21"/>
          <w:highlight w:val="none"/>
          <w:u w:val="single"/>
          <w:lang w:val="en-US" w:eastAsia="zh-CN"/>
        </w:rPr>
        <w:t xml:space="preserve">          </w:t>
      </w:r>
    </w:p>
    <w:p w14:paraId="07E213E5">
      <w:pPr>
        <w:spacing w:line="500" w:lineRule="exact"/>
        <w:ind w:left="54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地    址：</w:t>
      </w:r>
      <w:r>
        <w:rPr>
          <w:rFonts w:hint="eastAsia" w:ascii="宋体" w:hAnsi="宋体" w:eastAsia="宋体" w:cs="宋体"/>
          <w:color w:val="auto"/>
          <w:sz w:val="21"/>
          <w:szCs w:val="21"/>
          <w:highlight w:val="none"/>
          <w:u w:val="single"/>
          <w:lang w:val="en-US" w:eastAsia="zh-CN"/>
        </w:rPr>
        <w:t xml:space="preserve">           </w:t>
      </w:r>
    </w:p>
    <w:p w14:paraId="1727502F">
      <w:pPr>
        <w:spacing w:line="500" w:lineRule="exact"/>
        <w:ind w:left="54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姓    名：</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性      别：</w:t>
      </w:r>
      <w:r>
        <w:rPr>
          <w:rFonts w:hint="eastAsia" w:ascii="宋体" w:hAnsi="宋体" w:eastAsia="宋体" w:cs="宋体"/>
          <w:color w:val="auto"/>
          <w:sz w:val="21"/>
          <w:szCs w:val="21"/>
          <w:highlight w:val="none"/>
          <w:u w:val="single"/>
          <w:lang w:val="en-US" w:eastAsia="zh-CN"/>
        </w:rPr>
        <w:t xml:space="preserve">           </w:t>
      </w:r>
    </w:p>
    <w:p w14:paraId="7DD0454D">
      <w:pPr>
        <w:spacing w:line="500" w:lineRule="exact"/>
        <w:ind w:left="54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年    龄：</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none"/>
          <w:lang w:val="en-US" w:eastAsia="zh-CN"/>
        </w:rPr>
        <w:t xml:space="preserve">               </w:t>
      </w:r>
      <w:r>
        <w:rPr>
          <w:rFonts w:hint="eastAsia" w:ascii="宋体" w:hAnsi="宋体" w:eastAsia="宋体" w:cs="宋体"/>
          <w:color w:val="auto"/>
          <w:sz w:val="21"/>
          <w:szCs w:val="21"/>
          <w:highlight w:val="none"/>
        </w:rPr>
        <w:t>职      务：</w:t>
      </w:r>
      <w:r>
        <w:rPr>
          <w:rFonts w:hint="eastAsia" w:ascii="宋体" w:hAnsi="宋体" w:eastAsia="宋体" w:cs="宋体"/>
          <w:color w:val="auto"/>
          <w:sz w:val="21"/>
          <w:szCs w:val="21"/>
          <w:highlight w:val="none"/>
          <w:u w:val="single"/>
          <w:lang w:val="en-US" w:eastAsia="zh-CN"/>
        </w:rPr>
        <w:t xml:space="preserve">           </w:t>
      </w:r>
    </w:p>
    <w:p w14:paraId="248C42F6">
      <w:pPr>
        <w:spacing w:line="500" w:lineRule="exact"/>
        <w:ind w:left="54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身份证号码：</w:t>
      </w:r>
      <w:r>
        <w:rPr>
          <w:rFonts w:hint="eastAsia" w:ascii="宋体" w:hAnsi="宋体" w:eastAsia="宋体" w:cs="宋体"/>
          <w:color w:val="auto"/>
          <w:sz w:val="21"/>
          <w:szCs w:val="21"/>
          <w:highlight w:val="none"/>
          <w:u w:val="single"/>
          <w:lang w:val="en-US" w:eastAsia="zh-CN"/>
        </w:rPr>
        <w:t xml:space="preserve">               </w:t>
      </w:r>
    </w:p>
    <w:p w14:paraId="1684AD95">
      <w:pPr>
        <w:spacing w:line="500" w:lineRule="exact"/>
        <w:ind w:left="54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系</w:t>
      </w:r>
      <w:r>
        <w:rPr>
          <w:rFonts w:hint="eastAsia" w:ascii="宋体" w:hAnsi="宋体" w:eastAsia="宋体" w:cs="宋体"/>
          <w:color w:val="auto"/>
          <w:sz w:val="21"/>
          <w:szCs w:val="21"/>
          <w:highlight w:val="none"/>
          <w:u w:val="single"/>
        </w:rPr>
        <w:t xml:space="preserve">            （投标人名称）              </w:t>
      </w:r>
      <w:r>
        <w:rPr>
          <w:rFonts w:hint="eastAsia" w:ascii="宋体" w:hAnsi="宋体" w:eastAsia="宋体" w:cs="宋体"/>
          <w:color w:val="auto"/>
          <w:sz w:val="21"/>
          <w:szCs w:val="21"/>
          <w:highlight w:val="none"/>
        </w:rPr>
        <w:t>的法定代表人。</w:t>
      </w:r>
    </w:p>
    <w:p w14:paraId="323EBC4A">
      <w:pPr>
        <w:spacing w:line="500" w:lineRule="exact"/>
        <w:ind w:left="54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特此证明。</w:t>
      </w:r>
    </w:p>
    <w:p w14:paraId="51FE4FBF">
      <w:pPr>
        <w:spacing w:line="500" w:lineRule="exact"/>
        <w:ind w:left="540"/>
        <w:rPr>
          <w:rFonts w:hint="eastAsia" w:ascii="宋体" w:hAnsi="宋体" w:eastAsia="宋体" w:cs="宋体"/>
          <w:color w:val="auto"/>
          <w:sz w:val="21"/>
          <w:szCs w:val="21"/>
          <w:highlight w:val="none"/>
        </w:rPr>
      </w:pPr>
    </w:p>
    <w:p w14:paraId="62576AB8">
      <w:pPr>
        <w:spacing w:line="500" w:lineRule="exact"/>
        <w:ind w:left="540"/>
        <w:rPr>
          <w:rFonts w:hint="eastAsia" w:ascii="宋体" w:hAnsi="宋体" w:eastAsia="宋体" w:cs="宋体"/>
          <w:color w:val="auto"/>
          <w:sz w:val="21"/>
          <w:szCs w:val="21"/>
          <w:highlight w:val="none"/>
        </w:rPr>
      </w:pPr>
    </w:p>
    <w:p w14:paraId="33FD72B9">
      <w:pPr>
        <w:spacing w:line="500" w:lineRule="exact"/>
        <w:ind w:left="54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附件：法定代表人有效身份证正反面复印件</w:t>
      </w:r>
    </w:p>
    <w:p w14:paraId="2D8C2CF3">
      <w:pPr>
        <w:spacing w:line="500" w:lineRule="exact"/>
        <w:ind w:left="540"/>
        <w:rPr>
          <w:rFonts w:hint="eastAsia" w:ascii="宋体" w:hAnsi="宋体" w:eastAsia="宋体" w:cs="宋体"/>
          <w:color w:val="auto"/>
          <w:sz w:val="21"/>
          <w:szCs w:val="21"/>
          <w:highlight w:val="none"/>
        </w:rPr>
      </w:pPr>
    </w:p>
    <w:p w14:paraId="37A6FC33">
      <w:pPr>
        <w:snapToGrid/>
        <w:spacing w:before="0" w:beforeLines="-2147483648" w:after="0" w:line="500" w:lineRule="exact"/>
        <w:ind w:left="540" w:firstLine="3150" w:firstLineChars="150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投标人名称（电子签章）</w:t>
      </w:r>
      <w:r>
        <w:rPr>
          <w:rFonts w:hint="eastAsia" w:ascii="宋体" w:hAnsi="宋体" w:eastAsia="宋体" w:cs="宋体"/>
          <w:color w:val="auto"/>
          <w:sz w:val="21"/>
          <w:szCs w:val="21"/>
          <w:highlight w:val="none"/>
          <w:lang w:eastAsia="zh-CN"/>
        </w:rPr>
        <w:t>：</w:t>
      </w:r>
    </w:p>
    <w:p w14:paraId="7B77C88E">
      <w:pPr>
        <w:snapToGrid w:val="0"/>
        <w:spacing w:before="120" w:beforeLines="50" w:after="50"/>
        <w:ind w:left="54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年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月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日</w:t>
      </w:r>
    </w:p>
    <w:p w14:paraId="27885D04">
      <w:pPr>
        <w:snapToGrid w:val="0"/>
        <w:spacing w:before="120" w:beforeLines="50" w:after="50"/>
        <w:jc w:val="center"/>
        <w:rPr>
          <w:rFonts w:hint="eastAsia" w:ascii="宋体" w:hAnsi="宋体" w:eastAsia="宋体" w:cs="宋体"/>
          <w:b/>
          <w:color w:val="auto"/>
          <w:sz w:val="24"/>
          <w:highlight w:val="none"/>
        </w:rPr>
      </w:pPr>
    </w:p>
    <w:p w14:paraId="3B2E0145">
      <w:pPr>
        <w:snapToGrid w:val="0"/>
        <w:spacing w:before="120" w:beforeLines="50" w:after="50"/>
        <w:jc w:val="left"/>
        <w:rPr>
          <w:rFonts w:hint="eastAsia" w:ascii="宋体" w:hAnsi="宋体" w:eastAsia="宋体" w:cs="宋体"/>
          <w:b/>
          <w:color w:val="auto"/>
          <w:sz w:val="24"/>
          <w:szCs w:val="20"/>
          <w:highlight w:val="none"/>
        </w:rPr>
      </w:pPr>
    </w:p>
    <w:p w14:paraId="639BFE7D">
      <w:pPr>
        <w:snapToGrid w:val="0"/>
        <w:spacing w:before="120" w:beforeLines="50" w:after="50"/>
        <w:jc w:val="left"/>
        <w:rPr>
          <w:rFonts w:hint="eastAsia" w:ascii="宋体" w:hAnsi="宋体" w:eastAsia="宋体" w:cs="宋体"/>
          <w:b/>
          <w:color w:val="auto"/>
          <w:sz w:val="24"/>
          <w:szCs w:val="20"/>
          <w:highlight w:val="none"/>
        </w:rPr>
      </w:pPr>
      <w:r>
        <w:rPr>
          <w:rFonts w:hint="eastAsia" w:ascii="宋体" w:hAnsi="宋体" w:eastAsia="宋体" w:cs="宋体"/>
          <w:b/>
          <w:color w:val="auto"/>
          <w:sz w:val="24"/>
          <w:highlight w:val="none"/>
        </w:rPr>
        <w:br w:type="page"/>
      </w:r>
      <w:r>
        <w:rPr>
          <w:rFonts w:hint="eastAsia" w:ascii="宋体" w:hAnsi="宋体" w:eastAsia="宋体" w:cs="宋体"/>
          <w:b/>
          <w:color w:val="auto"/>
          <w:sz w:val="24"/>
          <w:highlight w:val="none"/>
        </w:rPr>
        <w:t>5.授权委托书格式</w:t>
      </w:r>
    </w:p>
    <w:p w14:paraId="1F10726D">
      <w:pPr>
        <w:snapToGrid w:val="0"/>
        <w:spacing w:before="120" w:beforeLines="50" w:after="50"/>
        <w:jc w:val="center"/>
        <w:rPr>
          <w:rFonts w:hint="eastAsia" w:ascii="宋体" w:hAnsi="宋体" w:eastAsia="宋体" w:cs="宋体"/>
          <w:b/>
          <w:color w:val="auto"/>
          <w:sz w:val="44"/>
          <w:szCs w:val="44"/>
          <w:highlight w:val="none"/>
        </w:rPr>
      </w:pPr>
    </w:p>
    <w:p w14:paraId="776BC795">
      <w:pPr>
        <w:snapToGrid w:val="0"/>
        <w:spacing w:before="120" w:beforeLines="50" w:after="50"/>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授权委托书</w:t>
      </w:r>
    </w:p>
    <w:p w14:paraId="27D094BD">
      <w:pPr>
        <w:snapToGrid w:val="0"/>
        <w:spacing w:before="120" w:beforeLines="50" w:after="50"/>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（非联合体投标格式）</w:t>
      </w:r>
    </w:p>
    <w:p w14:paraId="59577F5D">
      <w:pPr>
        <w:snapToGrid w:val="0"/>
        <w:spacing w:before="120" w:beforeLines="50" w:after="50"/>
        <w:jc w:val="center"/>
        <w:rPr>
          <w:rFonts w:hint="eastAsia" w:ascii="宋体" w:hAnsi="宋体" w:eastAsia="宋体" w:cs="宋体"/>
          <w:b/>
          <w:color w:val="auto"/>
          <w:sz w:val="24"/>
          <w:highlight w:val="none"/>
        </w:rPr>
      </w:pPr>
      <w:r>
        <w:rPr>
          <w:rFonts w:hint="eastAsia" w:ascii="宋体" w:hAnsi="宋体" w:eastAsia="宋体" w:cs="宋体"/>
          <w:b/>
          <w:color w:val="auto"/>
          <w:sz w:val="32"/>
          <w:szCs w:val="32"/>
          <w:highlight w:val="none"/>
        </w:rPr>
        <w:t>（如有委托时）</w:t>
      </w:r>
    </w:p>
    <w:p w14:paraId="7309E63B">
      <w:pPr>
        <w:snapToGrid w:val="0"/>
        <w:spacing w:before="120" w:beforeLines="50" w:after="50"/>
        <w:jc w:val="center"/>
        <w:rPr>
          <w:rFonts w:hint="eastAsia" w:ascii="宋体" w:hAnsi="宋体" w:eastAsia="宋体" w:cs="宋体"/>
          <w:b/>
          <w:color w:val="auto"/>
          <w:sz w:val="24"/>
          <w:highlight w:val="none"/>
        </w:rPr>
      </w:pPr>
    </w:p>
    <w:p w14:paraId="215E3EBD">
      <w:pPr>
        <w:spacing w:line="360" w:lineRule="auto"/>
        <w:rPr>
          <w:rFonts w:hint="eastAsia" w:ascii="宋体" w:hAnsi="宋体" w:eastAsia="宋体" w:cs="宋体"/>
          <w:b/>
          <w:bCs/>
          <w:color w:val="auto"/>
          <w:sz w:val="21"/>
          <w:szCs w:val="21"/>
          <w:highlight w:val="none"/>
        </w:rPr>
      </w:pPr>
      <w:r>
        <w:rPr>
          <w:rFonts w:hint="eastAsia" w:ascii="宋体" w:hAnsi="宋体" w:eastAsia="宋体" w:cs="宋体"/>
          <w:bCs/>
          <w:color w:val="auto"/>
          <w:sz w:val="21"/>
          <w:szCs w:val="21"/>
          <w:highlight w:val="none"/>
        </w:rPr>
        <w:t>致：</w:t>
      </w:r>
      <w:r>
        <w:rPr>
          <w:rFonts w:hint="eastAsia" w:ascii="宋体" w:hAnsi="宋体" w:eastAsia="宋体" w:cs="宋体"/>
          <w:color w:val="auto"/>
          <w:sz w:val="21"/>
          <w:szCs w:val="21"/>
          <w:highlight w:val="none"/>
          <w:u w:val="single"/>
        </w:rPr>
        <w:t>采购人名称</w:t>
      </w:r>
      <w:r>
        <w:rPr>
          <w:rFonts w:hint="eastAsia" w:ascii="宋体" w:hAnsi="宋体" w:eastAsia="宋体" w:cs="宋体"/>
          <w:color w:val="auto"/>
          <w:sz w:val="21"/>
          <w:szCs w:val="21"/>
          <w:highlight w:val="none"/>
        </w:rPr>
        <w:t>：</w:t>
      </w:r>
    </w:p>
    <w:p w14:paraId="6B27740E">
      <w:pPr>
        <w:spacing w:line="360" w:lineRule="auto"/>
        <w:ind w:firstLine="495" w:firstLineChars="236"/>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（姓名）系</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（投标人名称）的法定代表人，现授权委托</w:t>
      </w:r>
      <w:r>
        <w:rPr>
          <w:rFonts w:hint="eastAsia" w:ascii="宋体" w:hAnsi="宋体" w:eastAsia="宋体" w:cs="宋体"/>
          <w:color w:val="auto"/>
          <w:sz w:val="21"/>
          <w:szCs w:val="21"/>
          <w:highlight w:val="none"/>
          <w:u w:val="single"/>
        </w:rPr>
        <w:t xml:space="preserve">        （姓名）</w:t>
      </w:r>
      <w:r>
        <w:rPr>
          <w:rFonts w:hint="eastAsia" w:ascii="宋体" w:hAnsi="宋体" w:eastAsia="宋体" w:cs="宋体"/>
          <w:color w:val="auto"/>
          <w:sz w:val="21"/>
          <w:szCs w:val="21"/>
          <w:highlight w:val="none"/>
        </w:rPr>
        <w:t>以我方的名义参加</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项目的投标活动，并代表我方全权办理针对上述项目的所有采购程序和环节的具体事务和签署相关文件。</w:t>
      </w:r>
    </w:p>
    <w:p w14:paraId="14AD4189">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我方对委托代理人的签字或者电子签名事项负全部责任。</w:t>
      </w:r>
    </w:p>
    <w:p w14:paraId="19DFFB43">
      <w:pPr>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本授权书自签署之日起生效，在撤销授权的书面通知以前，本授权书一直有效。委托代理人在授权书有效期内签署的所有文件不因授权的撤销而失效。</w:t>
      </w:r>
    </w:p>
    <w:p w14:paraId="78A5677E">
      <w:pPr>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委托代理人无转委托权，特此委托。</w:t>
      </w:r>
    </w:p>
    <w:p w14:paraId="3CC4041C">
      <w:pPr>
        <w:spacing w:line="360" w:lineRule="auto"/>
        <w:ind w:firstLine="48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附：委托代理人有效身份证正反面复印件</w:t>
      </w:r>
    </w:p>
    <w:p w14:paraId="11277A2D">
      <w:pPr>
        <w:spacing w:line="360" w:lineRule="auto"/>
        <w:rPr>
          <w:rFonts w:hint="eastAsia" w:ascii="宋体" w:hAnsi="宋体" w:eastAsia="宋体" w:cs="宋体"/>
          <w:color w:val="auto"/>
          <w:sz w:val="21"/>
          <w:szCs w:val="21"/>
          <w:highlight w:val="none"/>
        </w:rPr>
      </w:pPr>
    </w:p>
    <w:p w14:paraId="3CDA6293">
      <w:pPr>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委托代理人（签字或者电子签名）：</w:t>
      </w:r>
    </w:p>
    <w:p w14:paraId="31FFF543">
      <w:pPr>
        <w:spacing w:line="440" w:lineRule="exac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委托代理人身份证号码：</w:t>
      </w:r>
    </w:p>
    <w:p w14:paraId="162CF373">
      <w:pPr>
        <w:spacing w:line="440" w:lineRule="exac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法定代表人（签字或者盖章或者电子签名）：</w:t>
      </w:r>
    </w:p>
    <w:p w14:paraId="7EE84649">
      <w:pPr>
        <w:spacing w:line="440" w:lineRule="exact"/>
        <w:rPr>
          <w:rFonts w:hint="eastAsia" w:ascii="宋体" w:hAnsi="宋体" w:eastAsia="宋体" w:cs="宋体"/>
          <w:color w:val="auto"/>
          <w:sz w:val="21"/>
          <w:szCs w:val="21"/>
          <w:highlight w:val="none"/>
        </w:rPr>
      </w:pPr>
    </w:p>
    <w:p w14:paraId="58EC75EC">
      <w:pPr>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投标人名称（电子签章）：</w:t>
      </w:r>
    </w:p>
    <w:p w14:paraId="3121D5CC">
      <w:pPr>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年    月    日</w:t>
      </w:r>
    </w:p>
    <w:p w14:paraId="2DE69AEE">
      <w:pPr>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注：1.</w:t>
      </w:r>
      <w:bookmarkStart w:id="167" w:name="_Hlk65851555"/>
      <w:bookmarkStart w:id="168" w:name="_Hlk65851620"/>
      <w:r>
        <w:rPr>
          <w:rFonts w:hint="eastAsia" w:ascii="宋体" w:hAnsi="宋体" w:eastAsia="宋体" w:cs="宋体"/>
          <w:color w:val="auto"/>
          <w:sz w:val="21"/>
          <w:szCs w:val="21"/>
          <w:highlight w:val="none"/>
        </w:rPr>
        <w:t>法定代表人必须在授权委托书上签字或者盖章或者电子签名，</w:t>
      </w:r>
      <w:bookmarkEnd w:id="167"/>
      <w:r>
        <w:rPr>
          <w:rFonts w:hint="eastAsia" w:ascii="宋体" w:hAnsi="宋体" w:eastAsia="宋体" w:cs="宋体"/>
          <w:color w:val="auto"/>
          <w:sz w:val="21"/>
          <w:szCs w:val="21"/>
          <w:highlight w:val="none"/>
        </w:rPr>
        <w:t>委托代理人必须在授权委托书上签字或者电子签名，</w:t>
      </w:r>
      <w:r>
        <w:rPr>
          <w:rFonts w:hint="eastAsia" w:ascii="宋体" w:hAnsi="宋体" w:eastAsia="宋体" w:cs="宋体"/>
          <w:b/>
          <w:bCs/>
          <w:color w:val="auto"/>
          <w:sz w:val="21"/>
          <w:szCs w:val="21"/>
          <w:highlight w:val="none"/>
        </w:rPr>
        <w:t>否则按无效投标处理</w:t>
      </w:r>
      <w:r>
        <w:rPr>
          <w:rFonts w:hint="eastAsia" w:ascii="宋体" w:hAnsi="宋体" w:eastAsia="宋体" w:cs="宋体"/>
          <w:color w:val="auto"/>
          <w:sz w:val="21"/>
          <w:szCs w:val="21"/>
          <w:highlight w:val="none"/>
        </w:rPr>
        <w:t>；</w:t>
      </w:r>
      <w:bookmarkEnd w:id="168"/>
    </w:p>
    <w:p w14:paraId="3F7AB4F7">
      <w:pPr>
        <w:spacing w:line="44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2.法人、其他组织投标时“我方”是指“我单位”，自然人投标时“我方”是指“本人”。</w:t>
      </w:r>
    </w:p>
    <w:p w14:paraId="27A5D3DF">
      <w:pPr>
        <w:snapToGrid w:val="0"/>
        <w:spacing w:before="120" w:beforeLines="50" w:after="50"/>
        <w:ind w:firstLine="495" w:firstLineChars="236"/>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p>
    <w:p w14:paraId="5F0C7F9C">
      <w:pPr>
        <w:snapToGrid w:val="0"/>
        <w:spacing w:before="120" w:beforeLines="50" w:after="50"/>
        <w:jc w:val="left"/>
        <w:rPr>
          <w:rFonts w:hint="eastAsia" w:ascii="宋体" w:hAnsi="宋体" w:eastAsia="宋体" w:cs="宋体"/>
          <w:color w:val="auto"/>
          <w:sz w:val="24"/>
          <w:highlight w:val="none"/>
        </w:rPr>
      </w:pPr>
    </w:p>
    <w:p w14:paraId="0EFD0D3C">
      <w:pPr>
        <w:rPr>
          <w:rFonts w:hint="eastAsia" w:ascii="宋体" w:hAnsi="宋体" w:eastAsia="宋体" w:cs="宋体"/>
          <w:b/>
          <w:color w:val="auto"/>
          <w:sz w:val="24"/>
          <w:szCs w:val="20"/>
          <w:highlight w:val="none"/>
        </w:rPr>
      </w:pPr>
      <w:r>
        <w:rPr>
          <w:rFonts w:hint="eastAsia" w:ascii="宋体" w:hAnsi="宋体" w:eastAsia="宋体" w:cs="宋体"/>
          <w:b/>
          <w:color w:val="auto"/>
          <w:sz w:val="24"/>
          <w:highlight w:val="none"/>
        </w:rPr>
        <w:t>6.商务</w:t>
      </w:r>
      <w:r>
        <w:rPr>
          <w:rFonts w:hint="eastAsia" w:ascii="宋体" w:hAnsi="宋体" w:eastAsia="宋体" w:cs="宋体"/>
          <w:b/>
          <w:color w:val="auto"/>
          <w:sz w:val="24"/>
          <w:highlight w:val="none"/>
          <w:lang w:val="en-US" w:eastAsia="zh-CN"/>
        </w:rPr>
        <w:t>条款</w:t>
      </w:r>
      <w:r>
        <w:rPr>
          <w:rFonts w:hint="eastAsia" w:ascii="宋体" w:hAnsi="宋体" w:eastAsia="宋体" w:cs="宋体"/>
          <w:b/>
          <w:color w:val="auto"/>
          <w:sz w:val="24"/>
          <w:highlight w:val="none"/>
        </w:rPr>
        <w:t>偏离表格式</w:t>
      </w:r>
    </w:p>
    <w:p w14:paraId="6D987DD7">
      <w:pPr>
        <w:snapToGrid w:val="0"/>
        <w:spacing w:before="50"/>
        <w:jc w:val="left"/>
        <w:rPr>
          <w:rFonts w:hint="eastAsia" w:ascii="宋体" w:hAnsi="宋体" w:eastAsia="宋体" w:cs="宋体"/>
          <w:b/>
          <w:color w:val="auto"/>
          <w:sz w:val="24"/>
          <w:highlight w:val="none"/>
        </w:rPr>
      </w:pPr>
    </w:p>
    <w:p w14:paraId="49C72387">
      <w:pPr>
        <w:snapToGrid w:val="0"/>
        <w:spacing w:before="50"/>
        <w:ind w:firstLine="3855" w:firstLineChars="1200"/>
        <w:jc w:val="left"/>
        <w:rPr>
          <w:rFonts w:hint="eastAsia" w:ascii="宋体" w:hAnsi="宋体" w:eastAsia="宋体" w:cs="宋体"/>
          <w:color w:val="auto"/>
          <w:sz w:val="32"/>
          <w:szCs w:val="32"/>
          <w:highlight w:val="none"/>
        </w:rPr>
      </w:pPr>
      <w:r>
        <w:rPr>
          <w:rFonts w:hint="eastAsia" w:ascii="宋体" w:hAnsi="宋体" w:eastAsia="宋体" w:cs="宋体"/>
          <w:b/>
          <w:color w:val="auto"/>
          <w:sz w:val="32"/>
          <w:szCs w:val="32"/>
          <w:highlight w:val="none"/>
        </w:rPr>
        <w:t>商务</w:t>
      </w:r>
      <w:r>
        <w:rPr>
          <w:rFonts w:hint="eastAsia" w:ascii="宋体" w:hAnsi="宋体" w:eastAsia="宋体" w:cs="宋体"/>
          <w:b/>
          <w:color w:val="auto"/>
          <w:sz w:val="32"/>
          <w:szCs w:val="32"/>
          <w:highlight w:val="none"/>
          <w:lang w:val="en-US" w:eastAsia="zh-CN"/>
        </w:rPr>
        <w:t>条款</w:t>
      </w:r>
      <w:r>
        <w:rPr>
          <w:rFonts w:hint="eastAsia" w:ascii="宋体" w:hAnsi="宋体" w:eastAsia="宋体" w:cs="宋体"/>
          <w:b/>
          <w:color w:val="auto"/>
          <w:sz w:val="32"/>
          <w:szCs w:val="32"/>
          <w:highlight w:val="none"/>
        </w:rPr>
        <w:t>偏离表</w:t>
      </w:r>
    </w:p>
    <w:p w14:paraId="24CDCC36">
      <w:pPr>
        <w:pStyle w:val="31"/>
        <w:rPr>
          <w:rFonts w:hint="eastAsia" w:ascii="宋体" w:hAnsi="宋体" w:eastAsia="宋体" w:cs="宋体"/>
          <w:color w:val="auto"/>
          <w:highlight w:val="none"/>
          <w:lang w:val="en-US" w:eastAsia="zh-CN"/>
        </w:rPr>
      </w:pPr>
    </w:p>
    <w:p w14:paraId="5ED80AED">
      <w:pPr>
        <w:pStyle w:val="31"/>
        <w:rPr>
          <w:rFonts w:hint="eastAsia" w:ascii="宋体" w:hAnsi="宋体" w:eastAsia="宋体" w:cs="宋体"/>
          <w:color w:val="auto"/>
          <w:highlight w:val="none"/>
          <w:u w:val="single"/>
          <w:lang w:val="en-US" w:eastAsia="zh-CN"/>
        </w:rPr>
      </w:pPr>
      <w:r>
        <w:rPr>
          <w:rFonts w:hint="eastAsia" w:ascii="宋体" w:hAnsi="宋体" w:eastAsia="宋体" w:cs="宋体"/>
          <w:color w:val="auto"/>
          <w:highlight w:val="none"/>
          <w:lang w:val="en-US" w:eastAsia="zh-CN"/>
        </w:rPr>
        <w:t>项目名称：</w:t>
      </w:r>
      <w:r>
        <w:rPr>
          <w:rFonts w:hint="eastAsia" w:ascii="宋体" w:hAnsi="宋体" w:eastAsia="宋体" w:cs="宋体"/>
          <w:color w:val="auto"/>
          <w:highlight w:val="none"/>
          <w:u w:val="single"/>
          <w:lang w:val="en-US" w:eastAsia="zh-CN"/>
        </w:rPr>
        <w:t xml:space="preserve">            </w:t>
      </w:r>
    </w:p>
    <w:p w14:paraId="2776FE19">
      <w:pPr>
        <w:pStyle w:val="31"/>
        <w:rPr>
          <w:rFonts w:hint="eastAsia" w:ascii="宋体" w:hAnsi="宋体" w:eastAsia="宋体" w:cs="宋体"/>
          <w:color w:val="auto"/>
          <w:highlight w:val="none"/>
          <w:u w:val="single"/>
        </w:rPr>
      </w:pPr>
      <w:r>
        <w:rPr>
          <w:rFonts w:hint="eastAsia" w:ascii="宋体" w:hAnsi="宋体" w:eastAsia="宋体" w:cs="宋体"/>
          <w:color w:val="auto"/>
          <w:highlight w:val="none"/>
          <w:lang w:val="en-US" w:eastAsia="zh-CN"/>
        </w:rPr>
        <w:t>项目编号：</w:t>
      </w:r>
      <w:r>
        <w:rPr>
          <w:rFonts w:hint="eastAsia" w:ascii="宋体" w:hAnsi="宋体" w:eastAsia="宋体" w:cs="宋体"/>
          <w:color w:val="auto"/>
          <w:highlight w:val="none"/>
          <w:u w:val="single"/>
          <w:lang w:val="en-US" w:eastAsia="zh-CN"/>
        </w:rPr>
        <w:t xml:space="preserve">           </w:t>
      </w:r>
    </w:p>
    <w:p w14:paraId="6C550DC5">
      <w:pPr>
        <w:pStyle w:val="31"/>
        <w:rPr>
          <w:rFonts w:hint="eastAsia" w:ascii="宋体" w:hAnsi="宋体" w:eastAsia="宋体" w:cs="宋体"/>
          <w:color w:val="auto"/>
          <w:highlight w:val="none"/>
          <w:u w:val="single"/>
        </w:rPr>
      </w:pPr>
      <w:r>
        <w:rPr>
          <w:rFonts w:hint="eastAsia" w:ascii="宋体" w:hAnsi="宋体" w:eastAsia="宋体" w:cs="宋体"/>
          <w:color w:val="auto"/>
          <w:highlight w:val="none"/>
        </w:rPr>
        <w:t>分标</w:t>
      </w:r>
      <w:r>
        <w:rPr>
          <w:rFonts w:hint="eastAsia" w:ascii="宋体" w:hAnsi="宋体" w:eastAsia="宋体" w:cs="宋体"/>
          <w:color w:val="auto"/>
          <w:highlight w:val="none"/>
          <w:lang w:eastAsia="zh-CN"/>
        </w:rPr>
        <w:t>：</w:t>
      </w:r>
      <w:r>
        <w:rPr>
          <w:rFonts w:hint="eastAsia" w:ascii="宋体" w:hAnsi="宋体" w:eastAsia="宋体" w:cs="宋体"/>
          <w:color w:val="auto"/>
          <w:highlight w:val="none"/>
          <w:u w:val="single"/>
          <w:lang w:val="en-US" w:eastAsia="zh-CN"/>
        </w:rPr>
        <w:t xml:space="preserve">             </w:t>
      </w:r>
    </w:p>
    <w:p w14:paraId="1602D8C5">
      <w:pPr>
        <w:snapToGrid w:val="0"/>
        <w:spacing w:before="50"/>
        <w:jc w:val="left"/>
        <w:rPr>
          <w:rFonts w:hint="eastAsia" w:ascii="宋体" w:hAnsi="宋体" w:eastAsia="宋体" w:cs="宋体"/>
          <w:color w:val="auto"/>
          <w:sz w:val="21"/>
          <w:szCs w:val="21"/>
          <w:highlight w:val="none"/>
          <w:u w:val="single"/>
        </w:rPr>
      </w:pPr>
    </w:p>
    <w:tbl>
      <w:tblPr>
        <w:tblStyle w:val="61"/>
        <w:tblW w:w="8641" w:type="dxa"/>
        <w:tblInd w:w="-119"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10"/>
        <w:gridCol w:w="2828"/>
        <w:gridCol w:w="2268"/>
        <w:gridCol w:w="2035"/>
      </w:tblGrid>
      <w:tr w14:paraId="65463F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642" w:hRule="atLeast"/>
        </w:trPr>
        <w:tc>
          <w:tcPr>
            <w:tcW w:w="1510" w:type="dxa"/>
            <w:tcBorders>
              <w:top w:val="single" w:color="auto" w:sz="4" w:space="0"/>
              <w:left w:val="single" w:color="auto" w:sz="4" w:space="0"/>
              <w:bottom w:val="single" w:color="auto" w:sz="4" w:space="0"/>
              <w:right w:val="single" w:color="auto" w:sz="4" w:space="0"/>
            </w:tcBorders>
          </w:tcPr>
          <w:p w14:paraId="337BD382">
            <w:pPr>
              <w:snapToGrid w:val="0"/>
              <w:spacing w:before="120" w:beforeLines="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w:t>
            </w:r>
          </w:p>
        </w:tc>
        <w:tc>
          <w:tcPr>
            <w:tcW w:w="2828" w:type="dxa"/>
            <w:tcBorders>
              <w:top w:val="single" w:color="auto" w:sz="4" w:space="0"/>
              <w:left w:val="single" w:color="auto" w:sz="4" w:space="0"/>
              <w:bottom w:val="single" w:color="auto" w:sz="4" w:space="0"/>
              <w:right w:val="single" w:color="auto" w:sz="4" w:space="0"/>
            </w:tcBorders>
          </w:tcPr>
          <w:p w14:paraId="3EEFF16E">
            <w:pPr>
              <w:snapToGrid w:val="0"/>
              <w:spacing w:before="120" w:beforeLines="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招标文件商务要求</w:t>
            </w:r>
          </w:p>
        </w:tc>
        <w:tc>
          <w:tcPr>
            <w:tcW w:w="2268" w:type="dxa"/>
            <w:tcBorders>
              <w:top w:val="single" w:color="auto" w:sz="4" w:space="0"/>
              <w:left w:val="single" w:color="auto" w:sz="4" w:space="0"/>
              <w:bottom w:val="single" w:color="auto" w:sz="4" w:space="0"/>
              <w:right w:val="single" w:color="auto" w:sz="4" w:space="0"/>
            </w:tcBorders>
          </w:tcPr>
          <w:p w14:paraId="2F7084A9">
            <w:pPr>
              <w:snapToGrid w:val="0"/>
              <w:spacing w:before="120" w:beforeLines="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投标人的承诺</w:t>
            </w:r>
          </w:p>
        </w:tc>
        <w:tc>
          <w:tcPr>
            <w:tcW w:w="2035" w:type="dxa"/>
            <w:tcBorders>
              <w:top w:val="single" w:color="auto" w:sz="4" w:space="0"/>
              <w:left w:val="single" w:color="auto" w:sz="4" w:space="0"/>
              <w:bottom w:val="single" w:color="auto" w:sz="4" w:space="0"/>
              <w:right w:val="single" w:color="auto" w:sz="4" w:space="0"/>
            </w:tcBorders>
          </w:tcPr>
          <w:p w14:paraId="7F853D27">
            <w:pPr>
              <w:snapToGrid w:val="0"/>
              <w:spacing w:before="120" w:beforeLines="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偏离说明</w:t>
            </w:r>
          </w:p>
        </w:tc>
      </w:tr>
      <w:tr w14:paraId="785DCE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1510" w:type="dxa"/>
            <w:tcBorders>
              <w:top w:val="single" w:color="auto" w:sz="4" w:space="0"/>
              <w:left w:val="single" w:color="auto" w:sz="4" w:space="0"/>
              <w:bottom w:val="single" w:color="auto" w:sz="4" w:space="0"/>
              <w:right w:val="single" w:color="auto" w:sz="4" w:space="0"/>
            </w:tcBorders>
            <w:vAlign w:val="center"/>
          </w:tcPr>
          <w:p w14:paraId="7FD7B0AB">
            <w:pPr>
              <w:jc w:val="center"/>
              <w:rPr>
                <w:rFonts w:hint="eastAsia" w:ascii="宋体" w:hAnsi="宋体" w:eastAsia="宋体" w:cs="宋体"/>
                <w:color w:val="auto"/>
                <w:sz w:val="21"/>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 w:val="21"/>
                <w:szCs w:val="21"/>
                <w:highlight w:val="none"/>
                <w:lang w:val="en-US" w:eastAsia="zh-CN"/>
              </w:rPr>
              <w:t>合同签订期</w:t>
            </w:r>
          </w:p>
        </w:tc>
        <w:tc>
          <w:tcPr>
            <w:tcW w:w="2828" w:type="dxa"/>
            <w:tcBorders>
              <w:top w:val="single" w:color="auto" w:sz="4" w:space="0"/>
              <w:left w:val="single" w:color="auto" w:sz="4" w:space="0"/>
              <w:bottom w:val="single" w:color="auto" w:sz="4" w:space="0"/>
              <w:right w:val="single" w:color="auto" w:sz="4" w:space="0"/>
            </w:tcBorders>
            <w:vAlign w:val="center"/>
          </w:tcPr>
          <w:p w14:paraId="6FDF04BD">
            <w:pPr>
              <w:jc w:val="left"/>
              <w:rPr>
                <w:rFonts w:hint="eastAsia" w:ascii="宋体" w:hAnsi="宋体" w:eastAsia="宋体" w:cs="宋体"/>
                <w:color w:val="auto"/>
                <w:sz w:val="21"/>
                <w:szCs w:val="21"/>
                <w:highlight w:val="none"/>
              </w:rPr>
            </w:pPr>
          </w:p>
        </w:tc>
        <w:tc>
          <w:tcPr>
            <w:tcW w:w="2268" w:type="dxa"/>
            <w:tcBorders>
              <w:top w:val="single" w:color="auto" w:sz="4" w:space="0"/>
              <w:left w:val="single" w:color="auto" w:sz="4" w:space="0"/>
              <w:bottom w:val="single" w:color="auto" w:sz="4" w:space="0"/>
              <w:right w:val="single" w:color="auto" w:sz="4" w:space="0"/>
            </w:tcBorders>
          </w:tcPr>
          <w:p w14:paraId="596ADB98">
            <w:pPr>
              <w:snapToGrid w:val="0"/>
              <w:spacing w:before="120" w:beforeLines="50"/>
              <w:jc w:val="center"/>
              <w:rPr>
                <w:rFonts w:hint="eastAsia" w:ascii="宋体" w:hAnsi="宋体" w:eastAsia="宋体" w:cs="宋体"/>
                <w:color w:val="auto"/>
                <w:sz w:val="21"/>
                <w:szCs w:val="21"/>
                <w:highlight w:val="none"/>
              </w:rPr>
            </w:pPr>
          </w:p>
        </w:tc>
        <w:tc>
          <w:tcPr>
            <w:tcW w:w="2035" w:type="dxa"/>
            <w:tcBorders>
              <w:top w:val="single" w:color="auto" w:sz="4" w:space="0"/>
              <w:left w:val="single" w:color="auto" w:sz="4" w:space="0"/>
              <w:bottom w:val="single" w:color="auto" w:sz="4" w:space="0"/>
              <w:right w:val="single" w:color="auto" w:sz="4" w:space="0"/>
            </w:tcBorders>
          </w:tcPr>
          <w:p w14:paraId="01E653B9">
            <w:pPr>
              <w:snapToGrid w:val="0"/>
              <w:spacing w:before="120" w:beforeLines="50"/>
              <w:jc w:val="center"/>
              <w:rPr>
                <w:rFonts w:hint="eastAsia" w:ascii="宋体" w:hAnsi="宋体" w:eastAsia="宋体" w:cs="宋体"/>
                <w:color w:val="auto"/>
                <w:sz w:val="21"/>
                <w:szCs w:val="21"/>
                <w:highlight w:val="none"/>
              </w:rPr>
            </w:pPr>
          </w:p>
        </w:tc>
      </w:tr>
      <w:tr w14:paraId="1354DE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1510" w:type="dxa"/>
            <w:tcBorders>
              <w:top w:val="single" w:color="auto" w:sz="4" w:space="0"/>
              <w:left w:val="single" w:color="auto" w:sz="4" w:space="0"/>
              <w:bottom w:val="single" w:color="auto" w:sz="4" w:space="0"/>
              <w:right w:val="single" w:color="auto" w:sz="4" w:space="0"/>
            </w:tcBorders>
            <w:vAlign w:val="center"/>
          </w:tcPr>
          <w:p w14:paraId="08A756D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2828" w:type="dxa"/>
            <w:tcBorders>
              <w:top w:val="single" w:color="auto" w:sz="4" w:space="0"/>
              <w:left w:val="single" w:color="auto" w:sz="4" w:space="0"/>
              <w:bottom w:val="single" w:color="auto" w:sz="4" w:space="0"/>
              <w:right w:val="single" w:color="auto" w:sz="4" w:space="0"/>
            </w:tcBorders>
            <w:vAlign w:val="center"/>
          </w:tcPr>
          <w:p w14:paraId="0C99A8F1">
            <w:pPr>
              <w:jc w:val="left"/>
              <w:rPr>
                <w:rFonts w:hint="eastAsia" w:ascii="宋体" w:hAnsi="宋体" w:eastAsia="宋体" w:cs="宋体"/>
                <w:color w:val="auto"/>
                <w:sz w:val="21"/>
                <w:szCs w:val="21"/>
                <w:highlight w:val="none"/>
              </w:rPr>
            </w:pPr>
          </w:p>
        </w:tc>
        <w:tc>
          <w:tcPr>
            <w:tcW w:w="2268" w:type="dxa"/>
            <w:tcBorders>
              <w:top w:val="single" w:color="auto" w:sz="4" w:space="0"/>
              <w:left w:val="single" w:color="auto" w:sz="4" w:space="0"/>
              <w:bottom w:val="single" w:color="auto" w:sz="4" w:space="0"/>
              <w:right w:val="single" w:color="auto" w:sz="4" w:space="0"/>
            </w:tcBorders>
          </w:tcPr>
          <w:p w14:paraId="60932294">
            <w:pPr>
              <w:snapToGrid w:val="0"/>
              <w:spacing w:before="120" w:beforeLines="50"/>
              <w:ind w:left="43"/>
              <w:jc w:val="center"/>
              <w:rPr>
                <w:rFonts w:hint="eastAsia" w:ascii="宋体" w:hAnsi="宋体" w:eastAsia="宋体" w:cs="宋体"/>
                <w:color w:val="auto"/>
                <w:sz w:val="21"/>
                <w:szCs w:val="21"/>
                <w:highlight w:val="none"/>
              </w:rPr>
            </w:pPr>
          </w:p>
        </w:tc>
        <w:tc>
          <w:tcPr>
            <w:tcW w:w="2035" w:type="dxa"/>
            <w:tcBorders>
              <w:top w:val="single" w:color="auto" w:sz="4" w:space="0"/>
              <w:left w:val="single" w:color="auto" w:sz="4" w:space="0"/>
              <w:bottom w:val="single" w:color="auto" w:sz="4" w:space="0"/>
              <w:right w:val="single" w:color="auto" w:sz="4" w:space="0"/>
            </w:tcBorders>
          </w:tcPr>
          <w:p w14:paraId="04A6FE7B">
            <w:pPr>
              <w:snapToGrid w:val="0"/>
              <w:spacing w:before="120" w:beforeLines="50"/>
              <w:ind w:left="43"/>
              <w:jc w:val="center"/>
              <w:rPr>
                <w:rFonts w:hint="eastAsia" w:ascii="宋体" w:hAnsi="宋体" w:eastAsia="宋体" w:cs="宋体"/>
                <w:color w:val="auto"/>
                <w:sz w:val="21"/>
                <w:szCs w:val="21"/>
                <w:highlight w:val="none"/>
              </w:rPr>
            </w:pPr>
          </w:p>
        </w:tc>
      </w:tr>
      <w:tr w14:paraId="5B752D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10" w:type="dxa"/>
            <w:tcBorders>
              <w:top w:val="single" w:color="auto" w:sz="4" w:space="0"/>
              <w:left w:val="single" w:color="auto" w:sz="4" w:space="0"/>
              <w:bottom w:val="single" w:color="auto" w:sz="4" w:space="0"/>
              <w:right w:val="single" w:color="auto" w:sz="4" w:space="0"/>
            </w:tcBorders>
          </w:tcPr>
          <w:p w14:paraId="64A0439D">
            <w:pPr>
              <w:snapToGrid w:val="0"/>
              <w:spacing w:before="120" w:beforeLines="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2828" w:type="dxa"/>
            <w:tcBorders>
              <w:top w:val="single" w:color="auto" w:sz="4" w:space="0"/>
              <w:left w:val="single" w:color="auto" w:sz="4" w:space="0"/>
              <w:bottom w:val="single" w:color="auto" w:sz="4" w:space="0"/>
              <w:right w:val="single" w:color="auto" w:sz="4" w:space="0"/>
            </w:tcBorders>
          </w:tcPr>
          <w:p w14:paraId="23CD5AC6">
            <w:pPr>
              <w:snapToGrid w:val="0"/>
              <w:spacing w:before="120" w:beforeLines="50"/>
              <w:jc w:val="center"/>
              <w:rPr>
                <w:rFonts w:hint="eastAsia" w:ascii="宋体" w:hAnsi="宋体" w:eastAsia="宋体" w:cs="宋体"/>
                <w:color w:val="auto"/>
                <w:sz w:val="21"/>
                <w:szCs w:val="21"/>
                <w:highlight w:val="none"/>
              </w:rPr>
            </w:pPr>
          </w:p>
        </w:tc>
        <w:tc>
          <w:tcPr>
            <w:tcW w:w="2268" w:type="dxa"/>
            <w:tcBorders>
              <w:top w:val="single" w:color="auto" w:sz="4" w:space="0"/>
              <w:left w:val="single" w:color="auto" w:sz="4" w:space="0"/>
              <w:bottom w:val="single" w:color="auto" w:sz="4" w:space="0"/>
              <w:right w:val="single" w:color="auto" w:sz="4" w:space="0"/>
            </w:tcBorders>
          </w:tcPr>
          <w:p w14:paraId="6021F3B4">
            <w:pPr>
              <w:snapToGrid w:val="0"/>
              <w:spacing w:before="120" w:beforeLines="50"/>
              <w:jc w:val="center"/>
              <w:rPr>
                <w:rFonts w:hint="eastAsia" w:ascii="宋体" w:hAnsi="宋体" w:eastAsia="宋体" w:cs="宋体"/>
                <w:color w:val="auto"/>
                <w:sz w:val="21"/>
                <w:szCs w:val="21"/>
                <w:highlight w:val="none"/>
              </w:rPr>
            </w:pPr>
          </w:p>
        </w:tc>
        <w:tc>
          <w:tcPr>
            <w:tcW w:w="2035" w:type="dxa"/>
            <w:tcBorders>
              <w:top w:val="single" w:color="auto" w:sz="4" w:space="0"/>
              <w:left w:val="single" w:color="auto" w:sz="4" w:space="0"/>
              <w:bottom w:val="single" w:color="auto" w:sz="4" w:space="0"/>
              <w:right w:val="single" w:color="auto" w:sz="4" w:space="0"/>
            </w:tcBorders>
          </w:tcPr>
          <w:p w14:paraId="2184790A">
            <w:pPr>
              <w:snapToGrid w:val="0"/>
              <w:spacing w:before="120" w:beforeLines="50"/>
              <w:jc w:val="center"/>
              <w:rPr>
                <w:rFonts w:hint="eastAsia" w:ascii="宋体" w:hAnsi="宋体" w:eastAsia="宋体" w:cs="宋体"/>
                <w:color w:val="auto"/>
                <w:sz w:val="21"/>
                <w:szCs w:val="21"/>
                <w:highlight w:val="none"/>
              </w:rPr>
            </w:pPr>
          </w:p>
        </w:tc>
      </w:tr>
    </w:tbl>
    <w:p w14:paraId="683B275D">
      <w:pPr>
        <w:pStyle w:val="2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w:t>
      </w:r>
    </w:p>
    <w:p w14:paraId="47161548">
      <w:pPr>
        <w:pStyle w:val="23"/>
        <w:spacing w:line="52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说明：应对照招标文件“第二章 采购需求”中的商务要求逐条作明确的投标响应，并作出偏离说明。</w:t>
      </w:r>
    </w:p>
    <w:p w14:paraId="2E188CA4">
      <w:pPr>
        <w:pStyle w:val="22"/>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2.投标人应根据自身的承诺，对照招标文件要求在“偏离说明”中注明“</w:t>
      </w:r>
      <w:r>
        <w:rPr>
          <w:rFonts w:hint="eastAsia" w:ascii="宋体" w:hAnsi="宋体" w:eastAsia="宋体" w:cs="宋体"/>
          <w:color w:val="auto"/>
          <w:sz w:val="21"/>
          <w:szCs w:val="21"/>
          <w:highlight w:val="none"/>
        </w:rPr>
        <w:t>正偏离</w:t>
      </w:r>
      <w:r>
        <w:rPr>
          <w:rFonts w:hint="eastAsia" w:ascii="宋体" w:hAnsi="宋体" w:eastAsia="宋体" w:cs="宋体"/>
          <w:b w:val="0"/>
          <w:bCs w:val="0"/>
          <w:color w:val="auto"/>
          <w:sz w:val="21"/>
          <w:szCs w:val="21"/>
          <w:highlight w:val="none"/>
        </w:rPr>
        <w:t>”、“</w:t>
      </w:r>
      <w:r>
        <w:rPr>
          <w:rFonts w:hint="eastAsia" w:ascii="宋体" w:hAnsi="宋体" w:eastAsia="宋体" w:cs="宋体"/>
          <w:color w:val="auto"/>
          <w:sz w:val="21"/>
          <w:szCs w:val="21"/>
          <w:highlight w:val="none"/>
        </w:rPr>
        <w:t>负偏离</w:t>
      </w:r>
      <w:r>
        <w:rPr>
          <w:rFonts w:hint="eastAsia" w:ascii="宋体" w:hAnsi="宋体" w:eastAsia="宋体" w:cs="宋体"/>
          <w:b w:val="0"/>
          <w:bCs w:val="0"/>
          <w:color w:val="auto"/>
          <w:sz w:val="21"/>
          <w:szCs w:val="21"/>
          <w:highlight w:val="none"/>
        </w:rPr>
        <w:t>”或者“</w:t>
      </w:r>
      <w:r>
        <w:rPr>
          <w:rFonts w:hint="eastAsia" w:ascii="宋体" w:hAnsi="宋体" w:eastAsia="宋体" w:cs="宋体"/>
          <w:color w:val="auto"/>
          <w:sz w:val="21"/>
          <w:szCs w:val="21"/>
          <w:highlight w:val="none"/>
        </w:rPr>
        <w:t>无偏离</w:t>
      </w:r>
      <w:r>
        <w:rPr>
          <w:rFonts w:hint="eastAsia" w:ascii="宋体" w:hAnsi="宋体" w:eastAsia="宋体" w:cs="宋体"/>
          <w:b w:val="0"/>
          <w:bCs w:val="0"/>
          <w:color w:val="auto"/>
          <w:sz w:val="21"/>
          <w:szCs w:val="21"/>
          <w:highlight w:val="none"/>
        </w:rPr>
        <w:t>”。既不属于“</w:t>
      </w:r>
      <w:r>
        <w:rPr>
          <w:rFonts w:hint="eastAsia" w:ascii="宋体" w:hAnsi="宋体" w:eastAsia="宋体" w:cs="宋体"/>
          <w:color w:val="auto"/>
          <w:sz w:val="21"/>
          <w:szCs w:val="21"/>
          <w:highlight w:val="none"/>
        </w:rPr>
        <w:t>正偏离</w:t>
      </w:r>
      <w:r>
        <w:rPr>
          <w:rFonts w:hint="eastAsia" w:ascii="宋体" w:hAnsi="宋体" w:eastAsia="宋体" w:cs="宋体"/>
          <w:b w:val="0"/>
          <w:bCs w:val="0"/>
          <w:color w:val="auto"/>
          <w:sz w:val="21"/>
          <w:szCs w:val="21"/>
          <w:highlight w:val="none"/>
        </w:rPr>
        <w:t>”也不属于“</w:t>
      </w:r>
      <w:r>
        <w:rPr>
          <w:rFonts w:hint="eastAsia" w:ascii="宋体" w:hAnsi="宋体" w:eastAsia="宋体" w:cs="宋体"/>
          <w:color w:val="auto"/>
          <w:sz w:val="21"/>
          <w:szCs w:val="21"/>
          <w:highlight w:val="none"/>
        </w:rPr>
        <w:t>负偏离</w:t>
      </w:r>
      <w:r>
        <w:rPr>
          <w:rFonts w:hint="eastAsia" w:ascii="宋体" w:hAnsi="宋体" w:eastAsia="宋体" w:cs="宋体"/>
          <w:b w:val="0"/>
          <w:bCs w:val="0"/>
          <w:color w:val="auto"/>
          <w:sz w:val="21"/>
          <w:szCs w:val="21"/>
          <w:highlight w:val="none"/>
        </w:rPr>
        <w:t>”即为“</w:t>
      </w:r>
      <w:r>
        <w:rPr>
          <w:rFonts w:hint="eastAsia" w:ascii="宋体" w:hAnsi="宋体" w:eastAsia="宋体" w:cs="宋体"/>
          <w:color w:val="auto"/>
          <w:sz w:val="21"/>
          <w:szCs w:val="21"/>
          <w:highlight w:val="none"/>
        </w:rPr>
        <w:t>无偏离</w:t>
      </w:r>
      <w:r>
        <w:rPr>
          <w:rFonts w:hint="eastAsia" w:ascii="宋体" w:hAnsi="宋体" w:eastAsia="宋体" w:cs="宋体"/>
          <w:b w:val="0"/>
          <w:bCs w:val="0"/>
          <w:color w:val="auto"/>
          <w:sz w:val="21"/>
          <w:szCs w:val="21"/>
          <w:highlight w:val="none"/>
        </w:rPr>
        <w:t>”。</w:t>
      </w:r>
    </w:p>
    <w:p w14:paraId="1CF74815">
      <w:pPr>
        <w:snapToGrid w:val="0"/>
        <w:spacing w:before="50" w:after="50"/>
        <w:rPr>
          <w:rFonts w:hint="eastAsia" w:ascii="宋体" w:hAnsi="宋体" w:eastAsia="宋体" w:cs="宋体"/>
          <w:color w:val="auto"/>
          <w:sz w:val="21"/>
          <w:szCs w:val="21"/>
          <w:highlight w:val="none"/>
        </w:rPr>
      </w:pPr>
    </w:p>
    <w:p w14:paraId="02438D2F">
      <w:pPr>
        <w:snapToGrid w:val="0"/>
        <w:spacing w:before="50" w:after="50"/>
        <w:rPr>
          <w:rFonts w:hint="eastAsia" w:ascii="宋体" w:hAnsi="宋体" w:eastAsia="宋体" w:cs="宋体"/>
          <w:color w:val="auto"/>
          <w:sz w:val="21"/>
          <w:szCs w:val="21"/>
          <w:highlight w:val="none"/>
        </w:rPr>
      </w:pPr>
    </w:p>
    <w:p w14:paraId="0D7980EC">
      <w:pPr>
        <w:snapToGrid w:val="0"/>
        <w:spacing w:before="50" w:after="50"/>
        <w:ind w:firstLine="3150" w:firstLineChars="1500"/>
        <w:rPr>
          <w:rFonts w:hint="eastAsia" w:ascii="宋体" w:hAnsi="宋体" w:eastAsia="宋体" w:cs="宋体"/>
          <w:color w:val="auto"/>
          <w:spacing w:val="20"/>
          <w:sz w:val="21"/>
          <w:szCs w:val="21"/>
          <w:highlight w:val="none"/>
          <w:u w:val="single"/>
        </w:rPr>
      </w:pPr>
      <w:r>
        <w:rPr>
          <w:rFonts w:hint="eastAsia" w:ascii="宋体" w:hAnsi="宋体" w:eastAsia="宋体" w:cs="宋体"/>
          <w:color w:val="auto"/>
          <w:sz w:val="21"/>
          <w:szCs w:val="21"/>
          <w:highlight w:val="none"/>
        </w:rPr>
        <w:t>法定代表人或者委托代理人</w:t>
      </w:r>
      <w:r>
        <w:rPr>
          <w:rFonts w:hint="eastAsia" w:ascii="宋体" w:hAnsi="宋体" w:eastAsia="宋体" w:cs="宋体"/>
          <w:color w:val="auto"/>
          <w:spacing w:val="20"/>
          <w:sz w:val="21"/>
          <w:szCs w:val="21"/>
          <w:highlight w:val="none"/>
        </w:rPr>
        <w:t>（签字或者电子签名）：</w:t>
      </w:r>
    </w:p>
    <w:p w14:paraId="64A0D175">
      <w:pPr>
        <w:snapToGrid w:val="0"/>
        <w:spacing w:before="120" w:beforeLines="50"/>
        <w:ind w:firstLine="5500" w:firstLineChars="2200"/>
        <w:rPr>
          <w:rFonts w:hint="eastAsia" w:ascii="宋体" w:hAnsi="宋体" w:eastAsia="宋体" w:cs="宋体"/>
          <w:color w:val="auto"/>
          <w:spacing w:val="20"/>
          <w:sz w:val="21"/>
          <w:szCs w:val="21"/>
          <w:highlight w:val="none"/>
        </w:rPr>
      </w:pPr>
      <w:r>
        <w:rPr>
          <w:rFonts w:hint="eastAsia" w:ascii="宋体" w:hAnsi="宋体" w:eastAsia="宋体" w:cs="宋体"/>
          <w:color w:val="auto"/>
          <w:spacing w:val="20"/>
          <w:sz w:val="21"/>
          <w:szCs w:val="21"/>
          <w:highlight w:val="none"/>
        </w:rPr>
        <w:t>投标人名称（电子签章）：</w:t>
      </w:r>
    </w:p>
    <w:p w14:paraId="2BE01DB3">
      <w:pPr>
        <w:snapToGrid w:val="0"/>
        <w:spacing w:before="120" w:beforeLines="50"/>
        <w:ind w:firstLine="6250" w:firstLineChars="2500"/>
        <w:rPr>
          <w:rFonts w:hint="eastAsia" w:ascii="宋体" w:hAnsi="宋体" w:eastAsia="宋体" w:cs="宋体"/>
          <w:color w:val="auto"/>
          <w:sz w:val="21"/>
          <w:szCs w:val="21"/>
          <w:highlight w:val="none"/>
        </w:rPr>
      </w:pPr>
      <w:r>
        <w:rPr>
          <w:rFonts w:hint="eastAsia" w:ascii="宋体" w:hAnsi="宋体" w:eastAsia="宋体" w:cs="宋体"/>
          <w:color w:val="auto"/>
          <w:spacing w:val="20"/>
          <w:sz w:val="21"/>
          <w:szCs w:val="21"/>
          <w:highlight w:val="none"/>
        </w:rPr>
        <w:t xml:space="preserve">    </w:t>
      </w:r>
      <w:r>
        <w:rPr>
          <w:rFonts w:hint="eastAsia" w:ascii="宋体" w:hAnsi="宋体" w:eastAsia="宋体" w:cs="宋体"/>
          <w:color w:val="auto"/>
          <w:sz w:val="21"/>
          <w:szCs w:val="21"/>
          <w:highlight w:val="none"/>
        </w:rPr>
        <w:t>年    月    日</w:t>
      </w:r>
    </w:p>
    <w:p w14:paraId="24C8FDFA">
      <w:pPr>
        <w:snapToGrid w:val="0"/>
        <w:spacing w:before="120" w:beforeLines="50"/>
        <w:rPr>
          <w:rFonts w:hint="eastAsia" w:ascii="宋体" w:hAnsi="宋体" w:eastAsia="宋体" w:cs="宋体"/>
          <w:color w:val="auto"/>
          <w:sz w:val="21"/>
          <w:szCs w:val="21"/>
          <w:highlight w:val="none"/>
        </w:rPr>
      </w:pPr>
    </w:p>
    <w:p w14:paraId="567C24D5">
      <w:pPr>
        <w:snapToGrid w:val="0"/>
        <w:spacing w:before="120" w:beforeLines="50" w:after="50"/>
        <w:jc w:val="left"/>
        <w:rPr>
          <w:rFonts w:hint="eastAsia" w:ascii="宋体" w:hAnsi="宋体" w:eastAsia="宋体" w:cs="宋体"/>
          <w:color w:val="auto"/>
          <w:sz w:val="21"/>
          <w:szCs w:val="21"/>
          <w:highlight w:val="none"/>
        </w:rPr>
        <w:sectPr>
          <w:footerReference r:id="rId12" w:type="first"/>
          <w:headerReference r:id="rId9" w:type="default"/>
          <w:footerReference r:id="rId10" w:type="default"/>
          <w:footerReference r:id="rId11" w:type="even"/>
          <w:pgSz w:w="11906" w:h="16838"/>
          <w:pgMar w:top="1134" w:right="1417" w:bottom="1134" w:left="1417" w:header="851" w:footer="992" w:gutter="0"/>
          <w:cols w:space="0" w:num="1"/>
          <w:docGrid w:linePitch="312" w:charSpace="0"/>
        </w:sectPr>
      </w:pPr>
    </w:p>
    <w:p w14:paraId="4D3E8D48">
      <w:pPr>
        <w:snapToGrid w:val="0"/>
        <w:spacing w:before="120" w:beforeLines="50" w:after="50"/>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7.投标人业绩证明材料</w:t>
      </w:r>
    </w:p>
    <w:p w14:paraId="56131128">
      <w:pPr>
        <w:pStyle w:val="45"/>
        <w:snapToGrid w:val="0"/>
        <w:ind w:left="480" w:hanging="480"/>
        <w:rPr>
          <w:rFonts w:hint="eastAsia" w:ascii="宋体" w:hAnsi="宋体" w:eastAsia="宋体" w:cs="宋体"/>
          <w:color w:val="auto"/>
          <w:sz w:val="24"/>
          <w:highlight w:val="none"/>
        </w:rPr>
      </w:pPr>
    </w:p>
    <w:p w14:paraId="22B1B659">
      <w:pPr>
        <w:pStyle w:val="45"/>
        <w:snapToGrid w:val="0"/>
        <w:ind w:left="480" w:hanging="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投标人业绩情况一览表格式： </w:t>
      </w:r>
    </w:p>
    <w:tbl>
      <w:tblPr>
        <w:tblStyle w:val="61"/>
        <w:tblW w:w="9279"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321"/>
        <w:gridCol w:w="1926"/>
        <w:gridCol w:w="1926"/>
        <w:gridCol w:w="3106"/>
      </w:tblGrid>
      <w:tr w14:paraId="10EE3C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2321" w:type="dxa"/>
            <w:vMerge w:val="restart"/>
            <w:tcBorders>
              <w:top w:val="single" w:color="auto" w:sz="4" w:space="0"/>
              <w:left w:val="single" w:color="auto" w:sz="4" w:space="0"/>
              <w:bottom w:val="single" w:color="auto" w:sz="4" w:space="0"/>
              <w:right w:val="single" w:color="auto" w:sz="4" w:space="0"/>
            </w:tcBorders>
            <w:vAlign w:val="center"/>
          </w:tcPr>
          <w:p w14:paraId="0D68FA0E">
            <w:pPr>
              <w:snapToGrid w:val="0"/>
              <w:spacing w:line="2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采购人名称</w:t>
            </w:r>
          </w:p>
        </w:tc>
        <w:tc>
          <w:tcPr>
            <w:tcW w:w="1926" w:type="dxa"/>
            <w:vMerge w:val="restart"/>
            <w:tcBorders>
              <w:top w:val="single" w:color="auto" w:sz="4" w:space="0"/>
              <w:left w:val="single" w:color="auto" w:sz="4" w:space="0"/>
              <w:bottom w:val="single" w:color="auto" w:sz="4" w:space="0"/>
              <w:right w:val="single" w:color="auto" w:sz="4" w:space="0"/>
            </w:tcBorders>
            <w:vAlign w:val="center"/>
          </w:tcPr>
          <w:p w14:paraId="3C706961">
            <w:pPr>
              <w:snapToGrid w:val="0"/>
              <w:spacing w:line="2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项目名称</w:t>
            </w:r>
          </w:p>
        </w:tc>
        <w:tc>
          <w:tcPr>
            <w:tcW w:w="1926" w:type="dxa"/>
            <w:vMerge w:val="restart"/>
            <w:tcBorders>
              <w:top w:val="single" w:color="auto" w:sz="4" w:space="0"/>
              <w:left w:val="single" w:color="auto" w:sz="4" w:space="0"/>
              <w:bottom w:val="single" w:color="auto" w:sz="4" w:space="0"/>
              <w:right w:val="single" w:color="auto" w:sz="4" w:space="0"/>
            </w:tcBorders>
            <w:vAlign w:val="center"/>
          </w:tcPr>
          <w:p w14:paraId="0775F4E3">
            <w:pPr>
              <w:snapToGrid w:val="0"/>
              <w:spacing w:line="2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合同金额</w:t>
            </w:r>
          </w:p>
          <w:p w14:paraId="4ED72981">
            <w:pPr>
              <w:snapToGrid w:val="0"/>
              <w:spacing w:line="2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（万元）</w:t>
            </w:r>
          </w:p>
        </w:tc>
        <w:tc>
          <w:tcPr>
            <w:tcW w:w="3106" w:type="dxa"/>
            <w:vMerge w:val="restart"/>
            <w:tcBorders>
              <w:top w:val="single" w:color="auto" w:sz="4" w:space="0"/>
              <w:left w:val="single" w:color="auto" w:sz="4" w:space="0"/>
              <w:bottom w:val="single" w:color="auto" w:sz="4" w:space="0"/>
              <w:right w:val="single" w:color="auto" w:sz="4" w:space="0"/>
            </w:tcBorders>
            <w:vAlign w:val="center"/>
          </w:tcPr>
          <w:p w14:paraId="78676F39">
            <w:pPr>
              <w:snapToGrid w:val="0"/>
              <w:spacing w:line="2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采购人联系人及</w:t>
            </w:r>
          </w:p>
          <w:p w14:paraId="7A5F97CE">
            <w:pPr>
              <w:snapToGrid w:val="0"/>
              <w:spacing w:line="2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联系电话</w:t>
            </w:r>
          </w:p>
        </w:tc>
      </w:tr>
      <w:tr w14:paraId="0AED9F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63" w:hRule="atLeast"/>
        </w:trPr>
        <w:tc>
          <w:tcPr>
            <w:tcW w:w="2321" w:type="dxa"/>
            <w:vMerge w:val="continue"/>
            <w:tcBorders>
              <w:top w:val="single" w:color="auto" w:sz="4" w:space="0"/>
              <w:left w:val="single" w:color="auto" w:sz="4" w:space="0"/>
              <w:bottom w:val="single" w:color="auto" w:sz="4" w:space="0"/>
              <w:right w:val="single" w:color="auto" w:sz="4" w:space="0"/>
            </w:tcBorders>
            <w:vAlign w:val="center"/>
          </w:tcPr>
          <w:p w14:paraId="45C0AB4E">
            <w:pPr>
              <w:jc w:val="left"/>
              <w:rPr>
                <w:rFonts w:hint="eastAsia" w:ascii="宋体" w:hAnsi="宋体" w:eastAsia="宋体" w:cs="宋体"/>
                <w:color w:val="auto"/>
                <w:sz w:val="21"/>
                <w:szCs w:val="21"/>
                <w:highlight w:val="none"/>
              </w:rPr>
            </w:pPr>
          </w:p>
        </w:tc>
        <w:tc>
          <w:tcPr>
            <w:tcW w:w="1926" w:type="dxa"/>
            <w:vMerge w:val="continue"/>
            <w:tcBorders>
              <w:top w:val="single" w:color="auto" w:sz="4" w:space="0"/>
              <w:left w:val="single" w:color="auto" w:sz="4" w:space="0"/>
              <w:bottom w:val="single" w:color="auto" w:sz="4" w:space="0"/>
              <w:right w:val="single" w:color="auto" w:sz="4" w:space="0"/>
            </w:tcBorders>
            <w:vAlign w:val="center"/>
          </w:tcPr>
          <w:p w14:paraId="634CD099">
            <w:pPr>
              <w:jc w:val="left"/>
              <w:rPr>
                <w:rFonts w:hint="eastAsia" w:ascii="宋体" w:hAnsi="宋体" w:eastAsia="宋体" w:cs="宋体"/>
                <w:color w:val="auto"/>
                <w:sz w:val="21"/>
                <w:szCs w:val="21"/>
                <w:highlight w:val="none"/>
              </w:rPr>
            </w:pPr>
          </w:p>
        </w:tc>
        <w:tc>
          <w:tcPr>
            <w:tcW w:w="1926" w:type="dxa"/>
            <w:vMerge w:val="continue"/>
            <w:tcBorders>
              <w:top w:val="single" w:color="auto" w:sz="4" w:space="0"/>
              <w:left w:val="single" w:color="auto" w:sz="4" w:space="0"/>
              <w:bottom w:val="single" w:color="auto" w:sz="4" w:space="0"/>
              <w:right w:val="single" w:color="auto" w:sz="4" w:space="0"/>
            </w:tcBorders>
            <w:vAlign w:val="center"/>
          </w:tcPr>
          <w:p w14:paraId="30B8D607">
            <w:pPr>
              <w:jc w:val="left"/>
              <w:rPr>
                <w:rFonts w:hint="eastAsia" w:ascii="宋体" w:hAnsi="宋体" w:eastAsia="宋体" w:cs="宋体"/>
                <w:color w:val="auto"/>
                <w:sz w:val="21"/>
                <w:szCs w:val="21"/>
                <w:highlight w:val="none"/>
              </w:rPr>
            </w:pPr>
          </w:p>
        </w:tc>
        <w:tc>
          <w:tcPr>
            <w:tcW w:w="3106" w:type="dxa"/>
            <w:vMerge w:val="continue"/>
            <w:tcBorders>
              <w:top w:val="single" w:color="auto" w:sz="4" w:space="0"/>
              <w:left w:val="single" w:color="auto" w:sz="4" w:space="0"/>
              <w:bottom w:val="single" w:color="auto" w:sz="4" w:space="0"/>
              <w:right w:val="single" w:color="auto" w:sz="4" w:space="0"/>
            </w:tcBorders>
            <w:vAlign w:val="center"/>
          </w:tcPr>
          <w:p w14:paraId="6EC5FAF9">
            <w:pPr>
              <w:jc w:val="left"/>
              <w:rPr>
                <w:rFonts w:hint="eastAsia" w:ascii="宋体" w:hAnsi="宋体" w:eastAsia="宋体" w:cs="宋体"/>
                <w:color w:val="auto"/>
                <w:sz w:val="21"/>
                <w:szCs w:val="21"/>
                <w:highlight w:val="none"/>
              </w:rPr>
            </w:pPr>
          </w:p>
        </w:tc>
      </w:tr>
      <w:tr w14:paraId="4100D9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2321" w:type="dxa"/>
            <w:tcBorders>
              <w:top w:val="single" w:color="auto" w:sz="4" w:space="0"/>
              <w:left w:val="single" w:color="auto" w:sz="4" w:space="0"/>
              <w:bottom w:val="single" w:color="auto" w:sz="4" w:space="0"/>
              <w:right w:val="single" w:color="auto" w:sz="4" w:space="0"/>
            </w:tcBorders>
          </w:tcPr>
          <w:p w14:paraId="3E4C5D70">
            <w:pPr>
              <w:snapToGrid w:val="0"/>
              <w:spacing w:line="240" w:lineRule="exact"/>
              <w:jc w:val="left"/>
              <w:rPr>
                <w:rFonts w:hint="eastAsia" w:ascii="宋体" w:hAnsi="宋体" w:eastAsia="宋体" w:cs="宋体"/>
                <w:color w:val="auto"/>
                <w:sz w:val="21"/>
                <w:szCs w:val="21"/>
                <w:highlight w:val="none"/>
              </w:rPr>
            </w:pPr>
          </w:p>
        </w:tc>
        <w:tc>
          <w:tcPr>
            <w:tcW w:w="1926" w:type="dxa"/>
            <w:tcBorders>
              <w:top w:val="single" w:color="auto" w:sz="4" w:space="0"/>
              <w:left w:val="single" w:color="auto" w:sz="4" w:space="0"/>
              <w:bottom w:val="single" w:color="auto" w:sz="4" w:space="0"/>
              <w:right w:val="single" w:color="auto" w:sz="4" w:space="0"/>
            </w:tcBorders>
          </w:tcPr>
          <w:p w14:paraId="6F611133">
            <w:pPr>
              <w:snapToGrid w:val="0"/>
              <w:spacing w:line="240" w:lineRule="exact"/>
              <w:jc w:val="left"/>
              <w:rPr>
                <w:rFonts w:hint="eastAsia" w:ascii="宋体" w:hAnsi="宋体" w:eastAsia="宋体" w:cs="宋体"/>
                <w:color w:val="auto"/>
                <w:sz w:val="21"/>
                <w:szCs w:val="21"/>
                <w:highlight w:val="none"/>
              </w:rPr>
            </w:pPr>
          </w:p>
        </w:tc>
        <w:tc>
          <w:tcPr>
            <w:tcW w:w="1926" w:type="dxa"/>
            <w:tcBorders>
              <w:top w:val="single" w:color="auto" w:sz="4" w:space="0"/>
              <w:left w:val="single" w:color="auto" w:sz="4" w:space="0"/>
              <w:bottom w:val="single" w:color="auto" w:sz="4" w:space="0"/>
              <w:right w:val="single" w:color="auto" w:sz="4" w:space="0"/>
            </w:tcBorders>
          </w:tcPr>
          <w:p w14:paraId="464EF1F9">
            <w:pPr>
              <w:snapToGrid w:val="0"/>
              <w:spacing w:line="240" w:lineRule="exact"/>
              <w:jc w:val="left"/>
              <w:rPr>
                <w:rFonts w:hint="eastAsia" w:ascii="宋体" w:hAnsi="宋体" w:eastAsia="宋体" w:cs="宋体"/>
                <w:color w:val="auto"/>
                <w:sz w:val="21"/>
                <w:szCs w:val="21"/>
                <w:highlight w:val="none"/>
              </w:rPr>
            </w:pPr>
          </w:p>
        </w:tc>
        <w:tc>
          <w:tcPr>
            <w:tcW w:w="3106" w:type="dxa"/>
            <w:tcBorders>
              <w:top w:val="single" w:color="auto" w:sz="4" w:space="0"/>
              <w:left w:val="single" w:color="auto" w:sz="4" w:space="0"/>
              <w:bottom w:val="single" w:color="auto" w:sz="4" w:space="0"/>
              <w:right w:val="single" w:color="auto" w:sz="4" w:space="0"/>
            </w:tcBorders>
          </w:tcPr>
          <w:p w14:paraId="02B867D9">
            <w:pPr>
              <w:snapToGrid w:val="0"/>
              <w:spacing w:line="240" w:lineRule="exact"/>
              <w:jc w:val="left"/>
              <w:rPr>
                <w:rFonts w:hint="eastAsia" w:ascii="宋体" w:hAnsi="宋体" w:eastAsia="宋体" w:cs="宋体"/>
                <w:color w:val="auto"/>
                <w:sz w:val="21"/>
                <w:szCs w:val="21"/>
                <w:highlight w:val="none"/>
              </w:rPr>
            </w:pPr>
          </w:p>
        </w:tc>
      </w:tr>
      <w:tr w14:paraId="54E85F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8" w:hRule="atLeast"/>
        </w:trPr>
        <w:tc>
          <w:tcPr>
            <w:tcW w:w="2321" w:type="dxa"/>
            <w:tcBorders>
              <w:top w:val="single" w:color="auto" w:sz="4" w:space="0"/>
              <w:left w:val="single" w:color="auto" w:sz="4" w:space="0"/>
              <w:bottom w:val="single" w:color="auto" w:sz="4" w:space="0"/>
              <w:right w:val="single" w:color="auto" w:sz="4" w:space="0"/>
            </w:tcBorders>
          </w:tcPr>
          <w:p w14:paraId="5C4555C5">
            <w:pPr>
              <w:snapToGrid w:val="0"/>
              <w:spacing w:before="50" w:after="120" w:afterLines="50" w:line="400" w:lineRule="exact"/>
              <w:jc w:val="left"/>
              <w:rPr>
                <w:rFonts w:hint="eastAsia" w:ascii="宋体" w:hAnsi="宋体" w:eastAsia="宋体" w:cs="宋体"/>
                <w:color w:val="auto"/>
                <w:sz w:val="21"/>
                <w:szCs w:val="21"/>
                <w:highlight w:val="none"/>
              </w:rPr>
            </w:pPr>
          </w:p>
        </w:tc>
        <w:tc>
          <w:tcPr>
            <w:tcW w:w="1926" w:type="dxa"/>
            <w:tcBorders>
              <w:top w:val="single" w:color="auto" w:sz="4" w:space="0"/>
              <w:left w:val="single" w:color="auto" w:sz="4" w:space="0"/>
              <w:bottom w:val="single" w:color="auto" w:sz="4" w:space="0"/>
              <w:right w:val="single" w:color="auto" w:sz="4" w:space="0"/>
            </w:tcBorders>
          </w:tcPr>
          <w:p w14:paraId="3A9D1143">
            <w:pPr>
              <w:snapToGrid w:val="0"/>
              <w:spacing w:before="50" w:after="120" w:afterLines="50" w:line="400" w:lineRule="exact"/>
              <w:jc w:val="left"/>
              <w:rPr>
                <w:rFonts w:hint="eastAsia" w:ascii="宋体" w:hAnsi="宋体" w:eastAsia="宋体" w:cs="宋体"/>
                <w:color w:val="auto"/>
                <w:sz w:val="21"/>
                <w:szCs w:val="21"/>
                <w:highlight w:val="none"/>
              </w:rPr>
            </w:pPr>
          </w:p>
        </w:tc>
        <w:tc>
          <w:tcPr>
            <w:tcW w:w="1926" w:type="dxa"/>
            <w:tcBorders>
              <w:top w:val="single" w:color="auto" w:sz="4" w:space="0"/>
              <w:left w:val="single" w:color="auto" w:sz="4" w:space="0"/>
              <w:bottom w:val="single" w:color="auto" w:sz="4" w:space="0"/>
              <w:right w:val="single" w:color="auto" w:sz="4" w:space="0"/>
            </w:tcBorders>
          </w:tcPr>
          <w:p w14:paraId="755B6CB7">
            <w:pPr>
              <w:snapToGrid w:val="0"/>
              <w:spacing w:before="50" w:after="120" w:afterLines="50" w:line="400" w:lineRule="exact"/>
              <w:jc w:val="left"/>
              <w:rPr>
                <w:rFonts w:hint="eastAsia" w:ascii="宋体" w:hAnsi="宋体" w:eastAsia="宋体" w:cs="宋体"/>
                <w:color w:val="auto"/>
                <w:sz w:val="21"/>
                <w:szCs w:val="21"/>
                <w:highlight w:val="none"/>
              </w:rPr>
            </w:pPr>
          </w:p>
        </w:tc>
        <w:tc>
          <w:tcPr>
            <w:tcW w:w="3106" w:type="dxa"/>
            <w:tcBorders>
              <w:top w:val="single" w:color="auto" w:sz="4" w:space="0"/>
              <w:left w:val="single" w:color="auto" w:sz="4" w:space="0"/>
              <w:bottom w:val="single" w:color="auto" w:sz="4" w:space="0"/>
              <w:right w:val="single" w:color="auto" w:sz="4" w:space="0"/>
            </w:tcBorders>
          </w:tcPr>
          <w:p w14:paraId="62DACD05">
            <w:pPr>
              <w:snapToGrid w:val="0"/>
              <w:spacing w:before="50" w:after="120" w:afterLines="50" w:line="400" w:lineRule="exact"/>
              <w:jc w:val="left"/>
              <w:rPr>
                <w:rFonts w:hint="eastAsia" w:ascii="宋体" w:hAnsi="宋体" w:eastAsia="宋体" w:cs="宋体"/>
                <w:color w:val="auto"/>
                <w:sz w:val="21"/>
                <w:szCs w:val="21"/>
                <w:highlight w:val="none"/>
              </w:rPr>
            </w:pPr>
          </w:p>
        </w:tc>
      </w:tr>
      <w:tr w14:paraId="568BD2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5" w:hRule="atLeast"/>
        </w:trPr>
        <w:tc>
          <w:tcPr>
            <w:tcW w:w="2321" w:type="dxa"/>
            <w:tcBorders>
              <w:top w:val="single" w:color="auto" w:sz="4" w:space="0"/>
              <w:left w:val="single" w:color="auto" w:sz="4" w:space="0"/>
              <w:bottom w:val="single" w:color="auto" w:sz="4" w:space="0"/>
              <w:right w:val="single" w:color="auto" w:sz="4" w:space="0"/>
            </w:tcBorders>
          </w:tcPr>
          <w:p w14:paraId="1F7CB3BD">
            <w:pPr>
              <w:snapToGrid w:val="0"/>
              <w:spacing w:before="50" w:after="120" w:afterLines="50" w:line="400" w:lineRule="exact"/>
              <w:jc w:val="left"/>
              <w:rPr>
                <w:rFonts w:hint="eastAsia" w:ascii="宋体" w:hAnsi="宋体" w:eastAsia="宋体" w:cs="宋体"/>
                <w:color w:val="auto"/>
                <w:sz w:val="21"/>
                <w:szCs w:val="21"/>
                <w:highlight w:val="none"/>
              </w:rPr>
            </w:pPr>
          </w:p>
        </w:tc>
        <w:tc>
          <w:tcPr>
            <w:tcW w:w="1926" w:type="dxa"/>
            <w:tcBorders>
              <w:top w:val="single" w:color="auto" w:sz="4" w:space="0"/>
              <w:left w:val="single" w:color="auto" w:sz="4" w:space="0"/>
              <w:bottom w:val="single" w:color="auto" w:sz="4" w:space="0"/>
              <w:right w:val="single" w:color="auto" w:sz="4" w:space="0"/>
            </w:tcBorders>
          </w:tcPr>
          <w:p w14:paraId="12759396">
            <w:pPr>
              <w:snapToGrid w:val="0"/>
              <w:spacing w:before="50" w:after="120" w:afterLines="50" w:line="400" w:lineRule="exact"/>
              <w:jc w:val="left"/>
              <w:rPr>
                <w:rFonts w:hint="eastAsia" w:ascii="宋体" w:hAnsi="宋体" w:eastAsia="宋体" w:cs="宋体"/>
                <w:color w:val="auto"/>
                <w:sz w:val="21"/>
                <w:szCs w:val="21"/>
                <w:highlight w:val="none"/>
              </w:rPr>
            </w:pPr>
          </w:p>
        </w:tc>
        <w:tc>
          <w:tcPr>
            <w:tcW w:w="1926" w:type="dxa"/>
            <w:tcBorders>
              <w:top w:val="single" w:color="auto" w:sz="4" w:space="0"/>
              <w:left w:val="single" w:color="auto" w:sz="4" w:space="0"/>
              <w:bottom w:val="single" w:color="auto" w:sz="4" w:space="0"/>
              <w:right w:val="single" w:color="auto" w:sz="4" w:space="0"/>
            </w:tcBorders>
          </w:tcPr>
          <w:p w14:paraId="6B6DBD5C">
            <w:pPr>
              <w:snapToGrid w:val="0"/>
              <w:spacing w:before="50" w:after="120" w:afterLines="50" w:line="400" w:lineRule="exact"/>
              <w:jc w:val="left"/>
              <w:rPr>
                <w:rFonts w:hint="eastAsia" w:ascii="宋体" w:hAnsi="宋体" w:eastAsia="宋体" w:cs="宋体"/>
                <w:color w:val="auto"/>
                <w:sz w:val="21"/>
                <w:szCs w:val="21"/>
                <w:highlight w:val="none"/>
              </w:rPr>
            </w:pPr>
          </w:p>
        </w:tc>
        <w:tc>
          <w:tcPr>
            <w:tcW w:w="3106" w:type="dxa"/>
            <w:tcBorders>
              <w:top w:val="single" w:color="auto" w:sz="4" w:space="0"/>
              <w:left w:val="single" w:color="auto" w:sz="4" w:space="0"/>
              <w:bottom w:val="single" w:color="auto" w:sz="4" w:space="0"/>
              <w:right w:val="single" w:color="auto" w:sz="4" w:space="0"/>
            </w:tcBorders>
          </w:tcPr>
          <w:p w14:paraId="2F6BCBAE">
            <w:pPr>
              <w:snapToGrid w:val="0"/>
              <w:spacing w:before="50" w:after="120" w:afterLines="50" w:line="400" w:lineRule="exact"/>
              <w:jc w:val="left"/>
              <w:rPr>
                <w:rFonts w:hint="eastAsia" w:ascii="宋体" w:hAnsi="宋体" w:eastAsia="宋体" w:cs="宋体"/>
                <w:color w:val="auto"/>
                <w:sz w:val="21"/>
                <w:szCs w:val="21"/>
                <w:highlight w:val="none"/>
              </w:rPr>
            </w:pPr>
          </w:p>
        </w:tc>
      </w:tr>
      <w:tr w14:paraId="30120B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8" w:hRule="atLeast"/>
        </w:trPr>
        <w:tc>
          <w:tcPr>
            <w:tcW w:w="2321" w:type="dxa"/>
            <w:tcBorders>
              <w:top w:val="single" w:color="auto" w:sz="4" w:space="0"/>
              <w:left w:val="single" w:color="auto" w:sz="4" w:space="0"/>
              <w:bottom w:val="single" w:color="auto" w:sz="4" w:space="0"/>
              <w:right w:val="single" w:color="auto" w:sz="4" w:space="0"/>
            </w:tcBorders>
          </w:tcPr>
          <w:p w14:paraId="2AE62A9C">
            <w:pPr>
              <w:snapToGrid w:val="0"/>
              <w:spacing w:before="50" w:after="120" w:afterLines="50" w:line="400" w:lineRule="exact"/>
              <w:jc w:val="left"/>
              <w:rPr>
                <w:rFonts w:hint="eastAsia" w:ascii="宋体" w:hAnsi="宋体" w:eastAsia="宋体" w:cs="宋体"/>
                <w:color w:val="auto"/>
                <w:sz w:val="21"/>
                <w:szCs w:val="21"/>
                <w:highlight w:val="none"/>
              </w:rPr>
            </w:pPr>
          </w:p>
        </w:tc>
        <w:tc>
          <w:tcPr>
            <w:tcW w:w="1926" w:type="dxa"/>
            <w:tcBorders>
              <w:top w:val="single" w:color="auto" w:sz="4" w:space="0"/>
              <w:left w:val="single" w:color="auto" w:sz="4" w:space="0"/>
              <w:bottom w:val="single" w:color="auto" w:sz="4" w:space="0"/>
              <w:right w:val="single" w:color="auto" w:sz="4" w:space="0"/>
            </w:tcBorders>
          </w:tcPr>
          <w:p w14:paraId="24F41E71">
            <w:pPr>
              <w:snapToGrid w:val="0"/>
              <w:spacing w:before="50" w:after="120" w:afterLines="50" w:line="400" w:lineRule="exact"/>
              <w:jc w:val="left"/>
              <w:rPr>
                <w:rFonts w:hint="eastAsia" w:ascii="宋体" w:hAnsi="宋体" w:eastAsia="宋体" w:cs="宋体"/>
                <w:color w:val="auto"/>
                <w:sz w:val="21"/>
                <w:szCs w:val="21"/>
                <w:highlight w:val="none"/>
              </w:rPr>
            </w:pPr>
          </w:p>
        </w:tc>
        <w:tc>
          <w:tcPr>
            <w:tcW w:w="1926" w:type="dxa"/>
            <w:tcBorders>
              <w:top w:val="single" w:color="auto" w:sz="4" w:space="0"/>
              <w:left w:val="single" w:color="auto" w:sz="4" w:space="0"/>
              <w:bottom w:val="single" w:color="auto" w:sz="4" w:space="0"/>
              <w:right w:val="single" w:color="auto" w:sz="4" w:space="0"/>
            </w:tcBorders>
          </w:tcPr>
          <w:p w14:paraId="7986B7B7">
            <w:pPr>
              <w:snapToGrid w:val="0"/>
              <w:spacing w:before="50" w:after="120" w:afterLines="50" w:line="400" w:lineRule="exact"/>
              <w:jc w:val="left"/>
              <w:rPr>
                <w:rFonts w:hint="eastAsia" w:ascii="宋体" w:hAnsi="宋体" w:eastAsia="宋体" w:cs="宋体"/>
                <w:color w:val="auto"/>
                <w:sz w:val="21"/>
                <w:szCs w:val="21"/>
                <w:highlight w:val="none"/>
              </w:rPr>
            </w:pPr>
          </w:p>
        </w:tc>
        <w:tc>
          <w:tcPr>
            <w:tcW w:w="3106" w:type="dxa"/>
            <w:tcBorders>
              <w:top w:val="single" w:color="auto" w:sz="4" w:space="0"/>
              <w:left w:val="single" w:color="auto" w:sz="4" w:space="0"/>
              <w:bottom w:val="single" w:color="auto" w:sz="4" w:space="0"/>
              <w:right w:val="single" w:color="auto" w:sz="4" w:space="0"/>
            </w:tcBorders>
          </w:tcPr>
          <w:p w14:paraId="2F9A0BA3">
            <w:pPr>
              <w:snapToGrid w:val="0"/>
              <w:spacing w:before="50" w:after="120" w:afterLines="50" w:line="400" w:lineRule="exact"/>
              <w:jc w:val="left"/>
              <w:rPr>
                <w:rFonts w:hint="eastAsia" w:ascii="宋体" w:hAnsi="宋体" w:eastAsia="宋体" w:cs="宋体"/>
                <w:color w:val="auto"/>
                <w:sz w:val="21"/>
                <w:szCs w:val="21"/>
                <w:highlight w:val="none"/>
              </w:rPr>
            </w:pPr>
          </w:p>
        </w:tc>
      </w:tr>
      <w:tr w14:paraId="2602B4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321" w:type="dxa"/>
            <w:tcBorders>
              <w:top w:val="single" w:color="auto" w:sz="4" w:space="0"/>
              <w:left w:val="single" w:color="auto" w:sz="4" w:space="0"/>
              <w:bottom w:val="single" w:color="auto" w:sz="4" w:space="0"/>
              <w:right w:val="single" w:color="auto" w:sz="4" w:space="0"/>
            </w:tcBorders>
          </w:tcPr>
          <w:p w14:paraId="22C059B9">
            <w:pPr>
              <w:snapToGrid w:val="0"/>
              <w:spacing w:before="50" w:after="120" w:afterLines="50" w:line="400" w:lineRule="exact"/>
              <w:jc w:val="left"/>
              <w:rPr>
                <w:rFonts w:hint="eastAsia" w:ascii="宋体" w:hAnsi="宋体" w:eastAsia="宋体" w:cs="宋体"/>
                <w:color w:val="auto"/>
                <w:sz w:val="21"/>
                <w:szCs w:val="21"/>
                <w:highlight w:val="none"/>
              </w:rPr>
            </w:pPr>
          </w:p>
        </w:tc>
        <w:tc>
          <w:tcPr>
            <w:tcW w:w="1926" w:type="dxa"/>
            <w:tcBorders>
              <w:top w:val="single" w:color="auto" w:sz="4" w:space="0"/>
              <w:left w:val="single" w:color="auto" w:sz="4" w:space="0"/>
              <w:bottom w:val="single" w:color="auto" w:sz="4" w:space="0"/>
              <w:right w:val="single" w:color="auto" w:sz="4" w:space="0"/>
            </w:tcBorders>
          </w:tcPr>
          <w:p w14:paraId="44D74940">
            <w:pPr>
              <w:snapToGrid w:val="0"/>
              <w:spacing w:before="50" w:after="120" w:afterLines="50" w:line="400" w:lineRule="exact"/>
              <w:jc w:val="left"/>
              <w:rPr>
                <w:rFonts w:hint="eastAsia" w:ascii="宋体" w:hAnsi="宋体" w:eastAsia="宋体" w:cs="宋体"/>
                <w:color w:val="auto"/>
                <w:sz w:val="21"/>
                <w:szCs w:val="21"/>
                <w:highlight w:val="none"/>
              </w:rPr>
            </w:pPr>
          </w:p>
        </w:tc>
        <w:tc>
          <w:tcPr>
            <w:tcW w:w="1926" w:type="dxa"/>
            <w:tcBorders>
              <w:top w:val="single" w:color="auto" w:sz="4" w:space="0"/>
              <w:left w:val="single" w:color="auto" w:sz="4" w:space="0"/>
              <w:bottom w:val="single" w:color="auto" w:sz="4" w:space="0"/>
              <w:right w:val="single" w:color="auto" w:sz="4" w:space="0"/>
            </w:tcBorders>
          </w:tcPr>
          <w:p w14:paraId="3D4FD8F7">
            <w:pPr>
              <w:snapToGrid w:val="0"/>
              <w:spacing w:before="50" w:after="120" w:afterLines="50" w:line="400" w:lineRule="exact"/>
              <w:jc w:val="left"/>
              <w:rPr>
                <w:rFonts w:hint="eastAsia" w:ascii="宋体" w:hAnsi="宋体" w:eastAsia="宋体" w:cs="宋体"/>
                <w:color w:val="auto"/>
                <w:sz w:val="21"/>
                <w:szCs w:val="21"/>
                <w:highlight w:val="none"/>
              </w:rPr>
            </w:pPr>
          </w:p>
        </w:tc>
        <w:tc>
          <w:tcPr>
            <w:tcW w:w="3106" w:type="dxa"/>
            <w:tcBorders>
              <w:top w:val="single" w:color="auto" w:sz="4" w:space="0"/>
              <w:left w:val="single" w:color="auto" w:sz="4" w:space="0"/>
              <w:bottom w:val="single" w:color="auto" w:sz="4" w:space="0"/>
              <w:right w:val="single" w:color="auto" w:sz="4" w:space="0"/>
            </w:tcBorders>
          </w:tcPr>
          <w:p w14:paraId="67BAA521">
            <w:pPr>
              <w:snapToGrid w:val="0"/>
              <w:spacing w:before="50" w:after="120" w:afterLines="50" w:line="400" w:lineRule="exact"/>
              <w:jc w:val="left"/>
              <w:rPr>
                <w:rFonts w:hint="eastAsia" w:ascii="宋体" w:hAnsi="宋体" w:eastAsia="宋体" w:cs="宋体"/>
                <w:color w:val="auto"/>
                <w:sz w:val="21"/>
                <w:szCs w:val="21"/>
                <w:highlight w:val="none"/>
              </w:rPr>
            </w:pPr>
          </w:p>
        </w:tc>
      </w:tr>
    </w:tbl>
    <w:p w14:paraId="0D4E9B48">
      <w:pPr>
        <w:pStyle w:val="17"/>
        <w:spacing w:before="0" w:after="0" w:line="360" w:lineRule="auto"/>
        <w:contextualSpacing/>
        <w:rPr>
          <w:rFonts w:hint="eastAsia" w:ascii="宋体" w:hAnsi="宋体" w:eastAsia="宋体" w:cs="宋体"/>
          <w:color w:val="auto"/>
          <w:sz w:val="21"/>
          <w:szCs w:val="21"/>
          <w:highlight w:val="none"/>
        </w:rPr>
      </w:pPr>
    </w:p>
    <w:p w14:paraId="1E1C48F2">
      <w:pPr>
        <w:pStyle w:val="17"/>
        <w:spacing w:before="0" w:after="0" w:line="360" w:lineRule="auto"/>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注：投标人根据评标标准具体要求附业绩证明材料。</w:t>
      </w:r>
    </w:p>
    <w:p w14:paraId="4BEA799C">
      <w:pPr>
        <w:pStyle w:val="17"/>
        <w:spacing w:before="0" w:after="0" w:line="360" w:lineRule="auto"/>
        <w:ind w:firstLine="3360" w:firstLineChars="1600"/>
        <w:contextualSpacing/>
        <w:jc w:val="left"/>
        <w:rPr>
          <w:rFonts w:hint="eastAsia" w:ascii="宋体" w:hAnsi="宋体" w:eastAsia="宋体" w:cs="宋体"/>
          <w:color w:val="auto"/>
          <w:sz w:val="21"/>
          <w:szCs w:val="21"/>
          <w:highlight w:val="none"/>
        </w:rPr>
      </w:pPr>
    </w:p>
    <w:p w14:paraId="381793AF">
      <w:pPr>
        <w:pStyle w:val="17"/>
        <w:spacing w:before="0" w:after="0" w:line="360" w:lineRule="auto"/>
        <w:ind w:firstLine="3360" w:firstLineChars="1600"/>
        <w:contextualSpacing/>
        <w:jc w:val="left"/>
        <w:rPr>
          <w:rFonts w:hint="eastAsia" w:ascii="宋体" w:hAnsi="宋体" w:eastAsia="宋体" w:cs="宋体"/>
          <w:color w:val="auto"/>
          <w:sz w:val="21"/>
          <w:szCs w:val="21"/>
          <w:highlight w:val="none"/>
        </w:rPr>
      </w:pPr>
    </w:p>
    <w:p w14:paraId="15EC1FF0">
      <w:pPr>
        <w:spacing w:line="360" w:lineRule="auto"/>
        <w:ind w:left="5040" w:leftChars="2400" w:right="480" w:firstLine="630" w:firstLineChars="300"/>
        <w:contextualSpacing/>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投标人名称（电子签章）：</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0"/>
          <w:sz w:val="21"/>
          <w:szCs w:val="21"/>
          <w:highlight w:val="none"/>
        </w:rPr>
        <w:t xml:space="preserve">日  期：   </w:t>
      </w:r>
      <w:r>
        <w:rPr>
          <w:rFonts w:hint="eastAsia" w:ascii="宋体" w:hAnsi="宋体" w:eastAsia="宋体" w:cs="宋体"/>
          <w:color w:val="auto"/>
          <w:sz w:val="21"/>
          <w:szCs w:val="21"/>
          <w:highlight w:val="none"/>
        </w:rPr>
        <w:t>年    月    日</w:t>
      </w:r>
    </w:p>
    <w:p w14:paraId="398A615F">
      <w:pPr>
        <w:snapToGrid w:val="0"/>
        <w:spacing w:before="50"/>
        <w:ind w:firstLine="480" w:firstLineChars="200"/>
        <w:jc w:val="left"/>
        <w:rPr>
          <w:rFonts w:hint="eastAsia" w:ascii="宋体" w:hAnsi="宋体" w:eastAsia="宋体" w:cs="宋体"/>
          <w:color w:val="auto"/>
          <w:sz w:val="24"/>
          <w:szCs w:val="20"/>
          <w:highlight w:val="none"/>
        </w:rPr>
      </w:pPr>
    </w:p>
    <w:p w14:paraId="70470D7B">
      <w:pPr>
        <w:snapToGrid w:val="0"/>
        <w:spacing w:before="50"/>
        <w:jc w:val="left"/>
        <w:rPr>
          <w:rFonts w:hint="eastAsia" w:ascii="宋体" w:hAnsi="宋体" w:eastAsia="宋体" w:cs="宋体"/>
          <w:color w:val="auto"/>
          <w:sz w:val="24"/>
          <w:highlight w:val="none"/>
        </w:rPr>
      </w:pPr>
    </w:p>
    <w:p w14:paraId="5EB4DCC3">
      <w:pPr>
        <w:snapToGrid w:val="0"/>
        <w:spacing w:before="120" w:beforeLines="50"/>
        <w:rPr>
          <w:rFonts w:hint="eastAsia" w:ascii="宋体" w:hAnsi="宋体" w:eastAsia="宋体" w:cs="宋体"/>
          <w:color w:val="auto"/>
          <w:sz w:val="24"/>
          <w:szCs w:val="20"/>
          <w:highlight w:val="none"/>
        </w:rPr>
        <w:sectPr>
          <w:pgSz w:w="11906" w:h="16838"/>
          <w:pgMar w:top="1134" w:right="1134" w:bottom="1134" w:left="1134" w:header="851" w:footer="992" w:gutter="0"/>
          <w:cols w:space="720" w:num="1"/>
          <w:docGrid w:linePitch="312" w:charSpace="0"/>
        </w:sectPr>
      </w:pPr>
    </w:p>
    <w:p w14:paraId="734C74BB">
      <w:pPr>
        <w:snapToGrid w:val="0"/>
        <w:spacing w:before="120" w:beforeLines="50" w:after="50"/>
        <w:jc w:val="left"/>
        <w:rPr>
          <w:rFonts w:hint="eastAsia" w:ascii="宋体" w:hAnsi="宋体" w:eastAsia="宋体" w:cs="宋体"/>
          <w:b/>
          <w:color w:val="auto"/>
          <w:sz w:val="24"/>
          <w:highlight w:val="none"/>
        </w:rPr>
      </w:pPr>
      <w:bookmarkStart w:id="169" w:name="_Toc19686839"/>
      <w:r>
        <w:rPr>
          <w:rFonts w:hint="eastAsia" w:ascii="宋体" w:hAnsi="宋体" w:eastAsia="宋体" w:cs="宋体"/>
          <w:b/>
          <w:color w:val="auto"/>
          <w:sz w:val="24"/>
          <w:highlight w:val="none"/>
        </w:rPr>
        <w:t>8.技术要求偏离表格式</w:t>
      </w:r>
    </w:p>
    <w:p w14:paraId="0179B8E4">
      <w:pPr>
        <w:snapToGrid w:val="0"/>
        <w:spacing w:before="120" w:beforeLines="50" w:after="50"/>
        <w:ind w:left="142"/>
        <w:jc w:val="left"/>
        <w:rPr>
          <w:rFonts w:hint="eastAsia" w:ascii="宋体" w:hAnsi="宋体" w:eastAsia="宋体" w:cs="宋体"/>
          <w:b/>
          <w:color w:val="auto"/>
          <w:sz w:val="24"/>
          <w:highlight w:val="none"/>
        </w:rPr>
      </w:pPr>
    </w:p>
    <w:p w14:paraId="44EF6D17">
      <w:pPr>
        <w:snapToGrid w:val="0"/>
        <w:spacing w:before="120" w:beforeLines="50" w:after="50"/>
        <w:ind w:left="142"/>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技术要求偏离表</w:t>
      </w:r>
    </w:p>
    <w:p w14:paraId="4C19FEEF">
      <w:pPr>
        <w:pStyle w:val="31"/>
        <w:snapToGrid w:val="0"/>
        <w:spacing w:before="120" w:beforeLines="50" w:after="50"/>
        <w:ind w:left="142" w:firstLine="398" w:firstLineChars="200"/>
        <w:jc w:val="both"/>
        <w:rPr>
          <w:rFonts w:hint="eastAsia" w:ascii="宋体" w:hAnsi="宋体" w:eastAsia="宋体" w:cs="宋体"/>
          <w:b w:val="0"/>
          <w:color w:val="auto"/>
          <w:sz w:val="21"/>
          <w:szCs w:val="21"/>
          <w:highlight w:val="none"/>
          <w:u w:val="single"/>
          <w:lang w:val="en-US" w:eastAsia="zh-CN"/>
        </w:rPr>
      </w:pPr>
      <w:r>
        <w:rPr>
          <w:rFonts w:hint="eastAsia" w:ascii="宋体" w:hAnsi="宋体" w:eastAsia="宋体" w:cs="宋体"/>
          <w:b w:val="0"/>
          <w:color w:val="auto"/>
          <w:sz w:val="21"/>
          <w:szCs w:val="21"/>
          <w:highlight w:val="none"/>
          <w:lang w:val="en-US" w:eastAsia="zh-CN"/>
        </w:rPr>
        <w:t>项目名称：</w:t>
      </w:r>
      <w:r>
        <w:rPr>
          <w:rFonts w:hint="eastAsia" w:ascii="宋体" w:hAnsi="宋体" w:eastAsia="宋体" w:cs="宋体"/>
          <w:b w:val="0"/>
          <w:color w:val="auto"/>
          <w:sz w:val="21"/>
          <w:szCs w:val="21"/>
          <w:highlight w:val="none"/>
          <w:u w:val="single"/>
          <w:lang w:val="en-US" w:eastAsia="zh-CN"/>
        </w:rPr>
        <w:t xml:space="preserve">              </w:t>
      </w:r>
    </w:p>
    <w:p w14:paraId="22FA8869">
      <w:pPr>
        <w:pStyle w:val="31"/>
        <w:snapToGrid w:val="0"/>
        <w:spacing w:before="120" w:beforeLines="50" w:after="50"/>
        <w:ind w:left="142" w:firstLine="398" w:firstLineChars="200"/>
        <w:jc w:val="both"/>
        <w:rPr>
          <w:rFonts w:hint="eastAsia" w:ascii="宋体" w:hAnsi="宋体" w:eastAsia="宋体" w:cs="宋体"/>
          <w:b w:val="0"/>
          <w:color w:val="auto"/>
          <w:sz w:val="21"/>
          <w:szCs w:val="21"/>
          <w:highlight w:val="none"/>
          <w:u w:val="single"/>
          <w:lang w:val="en-US" w:eastAsia="zh-CN"/>
        </w:rPr>
      </w:pPr>
      <w:r>
        <w:rPr>
          <w:rFonts w:hint="eastAsia" w:ascii="宋体" w:hAnsi="宋体" w:eastAsia="宋体" w:cs="宋体"/>
          <w:b w:val="0"/>
          <w:color w:val="auto"/>
          <w:sz w:val="21"/>
          <w:szCs w:val="21"/>
          <w:highlight w:val="none"/>
          <w:lang w:val="en-US" w:eastAsia="zh-CN"/>
        </w:rPr>
        <w:t>项目编号：</w:t>
      </w:r>
      <w:r>
        <w:rPr>
          <w:rFonts w:hint="eastAsia" w:ascii="宋体" w:hAnsi="宋体" w:eastAsia="宋体" w:cs="宋体"/>
          <w:b w:val="0"/>
          <w:color w:val="auto"/>
          <w:sz w:val="21"/>
          <w:szCs w:val="21"/>
          <w:highlight w:val="none"/>
          <w:u w:val="single"/>
          <w:lang w:val="en-US" w:eastAsia="zh-CN"/>
        </w:rPr>
        <w:t xml:space="preserve">             </w:t>
      </w:r>
    </w:p>
    <w:p w14:paraId="184AE9DA">
      <w:pPr>
        <w:pStyle w:val="31"/>
        <w:ind w:firstLine="597" w:firstLineChars="300"/>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分标</w:t>
      </w:r>
      <w:r>
        <w:rPr>
          <w:rFonts w:hint="eastAsia" w:ascii="宋体" w:hAnsi="宋体" w:eastAsia="宋体" w:cs="宋体"/>
          <w:color w:val="auto"/>
          <w:highlight w:val="none"/>
          <w:lang w:eastAsia="zh-CN"/>
        </w:rPr>
        <w:t>：</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lang w:val="en-US" w:eastAsia="zh-CN"/>
        </w:rPr>
        <w:t xml:space="preserve">   </w:t>
      </w:r>
    </w:p>
    <w:tbl>
      <w:tblPr>
        <w:tblStyle w:val="61"/>
        <w:tblW w:w="89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2142"/>
        <w:gridCol w:w="1833"/>
        <w:gridCol w:w="2180"/>
        <w:gridCol w:w="1933"/>
      </w:tblGrid>
      <w:tr w14:paraId="2825E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453D6E9B">
            <w:pPr>
              <w:pStyle w:val="31"/>
              <w:rPr>
                <w:rFonts w:hint="eastAsia" w:ascii="宋体" w:hAnsi="宋体" w:eastAsia="宋体" w:cs="宋体"/>
                <w:color w:val="auto"/>
                <w:kern w:val="2"/>
                <w:highlight w:val="none"/>
              </w:rPr>
            </w:pPr>
            <w:r>
              <w:rPr>
                <w:rFonts w:hint="eastAsia" w:ascii="宋体" w:hAnsi="宋体" w:eastAsia="宋体" w:cs="宋体"/>
                <w:color w:val="auto"/>
                <w:kern w:val="2"/>
                <w:highlight w:val="none"/>
              </w:rPr>
              <w:t>项号</w:t>
            </w:r>
          </w:p>
        </w:tc>
        <w:tc>
          <w:tcPr>
            <w:tcW w:w="2142" w:type="dxa"/>
            <w:tcBorders>
              <w:top w:val="single" w:color="auto" w:sz="4" w:space="0"/>
              <w:left w:val="single" w:color="auto" w:sz="4" w:space="0"/>
              <w:bottom w:val="single" w:color="auto" w:sz="4" w:space="0"/>
              <w:right w:val="single" w:color="auto" w:sz="4" w:space="0"/>
            </w:tcBorders>
            <w:vAlign w:val="center"/>
          </w:tcPr>
          <w:p w14:paraId="657CADC7">
            <w:pPr>
              <w:pStyle w:val="31"/>
              <w:rPr>
                <w:rFonts w:hint="eastAsia" w:ascii="宋体" w:hAnsi="宋体" w:eastAsia="宋体" w:cs="宋体"/>
                <w:color w:val="auto"/>
                <w:kern w:val="2"/>
                <w:highlight w:val="none"/>
              </w:rPr>
            </w:pPr>
            <w:r>
              <w:rPr>
                <w:rFonts w:hint="eastAsia" w:ascii="宋体" w:hAnsi="宋体" w:eastAsia="宋体" w:cs="宋体"/>
                <w:color w:val="auto"/>
                <w:kern w:val="2"/>
                <w:highlight w:val="none"/>
              </w:rPr>
              <w:t>标的名称</w:t>
            </w:r>
          </w:p>
        </w:tc>
        <w:tc>
          <w:tcPr>
            <w:tcW w:w="1833" w:type="dxa"/>
            <w:tcBorders>
              <w:top w:val="single" w:color="auto" w:sz="4" w:space="0"/>
              <w:left w:val="single" w:color="auto" w:sz="4" w:space="0"/>
              <w:bottom w:val="single" w:color="auto" w:sz="4" w:space="0"/>
              <w:right w:val="single" w:color="auto" w:sz="4" w:space="0"/>
            </w:tcBorders>
            <w:vAlign w:val="center"/>
          </w:tcPr>
          <w:p w14:paraId="62FEE664">
            <w:pPr>
              <w:pStyle w:val="31"/>
              <w:rPr>
                <w:rFonts w:hint="eastAsia" w:ascii="宋体" w:hAnsi="宋体" w:eastAsia="宋体" w:cs="宋体"/>
                <w:color w:val="auto"/>
                <w:kern w:val="2"/>
                <w:highlight w:val="none"/>
              </w:rPr>
            </w:pPr>
            <w:r>
              <w:rPr>
                <w:rFonts w:hint="eastAsia" w:ascii="宋体" w:hAnsi="宋体" w:eastAsia="宋体" w:cs="宋体"/>
                <w:color w:val="auto"/>
                <w:kern w:val="2"/>
                <w:highlight w:val="none"/>
              </w:rPr>
              <w:t>技术要求</w:t>
            </w:r>
          </w:p>
        </w:tc>
        <w:tc>
          <w:tcPr>
            <w:tcW w:w="2180" w:type="dxa"/>
            <w:tcBorders>
              <w:top w:val="single" w:color="auto" w:sz="4" w:space="0"/>
              <w:left w:val="single" w:color="auto" w:sz="4" w:space="0"/>
              <w:bottom w:val="single" w:color="auto" w:sz="4" w:space="0"/>
              <w:right w:val="single" w:color="auto" w:sz="4" w:space="0"/>
            </w:tcBorders>
            <w:vAlign w:val="center"/>
          </w:tcPr>
          <w:p w14:paraId="68A28BED">
            <w:pPr>
              <w:pStyle w:val="31"/>
              <w:rPr>
                <w:rFonts w:hint="eastAsia" w:ascii="宋体" w:hAnsi="宋体" w:eastAsia="宋体" w:cs="宋体"/>
                <w:color w:val="auto"/>
                <w:kern w:val="2"/>
                <w:highlight w:val="none"/>
              </w:rPr>
            </w:pPr>
            <w:r>
              <w:rPr>
                <w:rFonts w:hint="eastAsia" w:ascii="宋体" w:hAnsi="宋体" w:eastAsia="宋体" w:cs="宋体"/>
                <w:color w:val="auto"/>
                <w:kern w:val="2"/>
                <w:highlight w:val="none"/>
              </w:rPr>
              <w:t>投标响应</w:t>
            </w:r>
          </w:p>
        </w:tc>
        <w:tc>
          <w:tcPr>
            <w:tcW w:w="1933" w:type="dxa"/>
            <w:tcBorders>
              <w:top w:val="single" w:color="auto" w:sz="4" w:space="0"/>
              <w:left w:val="single" w:color="auto" w:sz="4" w:space="0"/>
              <w:bottom w:val="single" w:color="auto" w:sz="4" w:space="0"/>
              <w:right w:val="single" w:color="auto" w:sz="4" w:space="0"/>
            </w:tcBorders>
            <w:vAlign w:val="center"/>
          </w:tcPr>
          <w:p w14:paraId="17FA2266">
            <w:pPr>
              <w:pStyle w:val="31"/>
              <w:rPr>
                <w:rFonts w:hint="eastAsia" w:ascii="宋体" w:hAnsi="宋体" w:eastAsia="宋体" w:cs="宋体"/>
                <w:color w:val="auto"/>
                <w:kern w:val="2"/>
                <w:highlight w:val="none"/>
              </w:rPr>
            </w:pPr>
            <w:r>
              <w:rPr>
                <w:rFonts w:hint="eastAsia" w:ascii="宋体" w:hAnsi="宋体" w:eastAsia="宋体" w:cs="宋体"/>
                <w:color w:val="auto"/>
                <w:kern w:val="2"/>
                <w:highlight w:val="none"/>
              </w:rPr>
              <w:t>偏离说明</w:t>
            </w:r>
          </w:p>
        </w:tc>
      </w:tr>
      <w:tr w14:paraId="02E7A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Borders>
              <w:top w:val="single" w:color="auto" w:sz="4" w:space="0"/>
              <w:left w:val="single" w:color="auto" w:sz="4" w:space="0"/>
              <w:bottom w:val="single" w:color="auto" w:sz="4" w:space="0"/>
              <w:right w:val="single" w:color="auto" w:sz="4" w:space="0"/>
            </w:tcBorders>
          </w:tcPr>
          <w:p w14:paraId="766DEBE4">
            <w:pPr>
              <w:pStyle w:val="31"/>
              <w:rPr>
                <w:rFonts w:hint="eastAsia" w:ascii="宋体" w:hAnsi="宋体" w:eastAsia="宋体" w:cs="宋体"/>
                <w:color w:val="auto"/>
                <w:kern w:val="2"/>
                <w:highlight w:val="none"/>
              </w:rPr>
            </w:pPr>
          </w:p>
        </w:tc>
        <w:tc>
          <w:tcPr>
            <w:tcW w:w="2142" w:type="dxa"/>
            <w:tcBorders>
              <w:top w:val="single" w:color="auto" w:sz="4" w:space="0"/>
              <w:left w:val="single" w:color="auto" w:sz="4" w:space="0"/>
              <w:bottom w:val="single" w:color="auto" w:sz="4" w:space="0"/>
              <w:right w:val="single" w:color="auto" w:sz="4" w:space="0"/>
            </w:tcBorders>
            <w:vAlign w:val="center"/>
          </w:tcPr>
          <w:p w14:paraId="5E36A50F">
            <w:pPr>
              <w:pStyle w:val="31"/>
              <w:rPr>
                <w:rFonts w:hint="eastAsia" w:ascii="宋体" w:hAnsi="宋体" w:eastAsia="宋体" w:cs="宋体"/>
                <w:color w:val="auto"/>
                <w:kern w:val="2"/>
                <w:highlight w:val="none"/>
              </w:rPr>
            </w:pPr>
          </w:p>
        </w:tc>
        <w:tc>
          <w:tcPr>
            <w:tcW w:w="1833" w:type="dxa"/>
            <w:tcBorders>
              <w:top w:val="single" w:color="auto" w:sz="4" w:space="0"/>
              <w:left w:val="single" w:color="auto" w:sz="4" w:space="0"/>
              <w:bottom w:val="single" w:color="auto" w:sz="4" w:space="0"/>
              <w:right w:val="single" w:color="auto" w:sz="4" w:space="0"/>
            </w:tcBorders>
            <w:vAlign w:val="center"/>
          </w:tcPr>
          <w:p w14:paraId="417C4771">
            <w:pPr>
              <w:pStyle w:val="31"/>
              <w:rPr>
                <w:rFonts w:hint="eastAsia" w:ascii="宋体" w:hAnsi="宋体" w:eastAsia="宋体" w:cs="宋体"/>
                <w:color w:val="auto"/>
                <w:kern w:val="2"/>
                <w:highlight w:val="none"/>
              </w:rPr>
            </w:pPr>
          </w:p>
        </w:tc>
        <w:tc>
          <w:tcPr>
            <w:tcW w:w="2180" w:type="dxa"/>
            <w:tcBorders>
              <w:top w:val="single" w:color="auto" w:sz="4" w:space="0"/>
              <w:left w:val="single" w:color="auto" w:sz="4" w:space="0"/>
              <w:bottom w:val="single" w:color="auto" w:sz="4" w:space="0"/>
              <w:right w:val="single" w:color="auto" w:sz="4" w:space="0"/>
            </w:tcBorders>
            <w:vAlign w:val="center"/>
          </w:tcPr>
          <w:p w14:paraId="6251F911">
            <w:pPr>
              <w:pStyle w:val="31"/>
              <w:rPr>
                <w:rFonts w:hint="eastAsia" w:ascii="宋体" w:hAnsi="宋体" w:eastAsia="宋体" w:cs="宋体"/>
                <w:color w:val="auto"/>
                <w:kern w:val="2"/>
                <w:highlight w:val="none"/>
              </w:rPr>
            </w:pPr>
          </w:p>
        </w:tc>
        <w:tc>
          <w:tcPr>
            <w:tcW w:w="1933" w:type="dxa"/>
            <w:tcBorders>
              <w:top w:val="single" w:color="auto" w:sz="4" w:space="0"/>
              <w:left w:val="single" w:color="auto" w:sz="4" w:space="0"/>
              <w:bottom w:val="single" w:color="auto" w:sz="4" w:space="0"/>
              <w:right w:val="single" w:color="auto" w:sz="4" w:space="0"/>
            </w:tcBorders>
            <w:vAlign w:val="center"/>
          </w:tcPr>
          <w:p w14:paraId="70347A48">
            <w:pPr>
              <w:pStyle w:val="31"/>
              <w:rPr>
                <w:rFonts w:hint="eastAsia" w:ascii="宋体" w:hAnsi="宋体" w:eastAsia="宋体" w:cs="宋体"/>
                <w:color w:val="auto"/>
                <w:kern w:val="2"/>
                <w:highlight w:val="none"/>
              </w:rPr>
            </w:pPr>
          </w:p>
        </w:tc>
      </w:tr>
      <w:tr w14:paraId="72212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Borders>
              <w:top w:val="single" w:color="auto" w:sz="4" w:space="0"/>
              <w:left w:val="single" w:color="auto" w:sz="4" w:space="0"/>
              <w:bottom w:val="single" w:color="auto" w:sz="4" w:space="0"/>
              <w:right w:val="single" w:color="auto" w:sz="4" w:space="0"/>
            </w:tcBorders>
          </w:tcPr>
          <w:p w14:paraId="0D46F021">
            <w:pPr>
              <w:pStyle w:val="31"/>
              <w:rPr>
                <w:rFonts w:hint="eastAsia" w:ascii="宋体" w:hAnsi="宋体" w:eastAsia="宋体" w:cs="宋体"/>
                <w:color w:val="auto"/>
                <w:kern w:val="2"/>
                <w:highlight w:val="none"/>
              </w:rPr>
            </w:pPr>
          </w:p>
        </w:tc>
        <w:tc>
          <w:tcPr>
            <w:tcW w:w="2142" w:type="dxa"/>
            <w:tcBorders>
              <w:top w:val="single" w:color="auto" w:sz="4" w:space="0"/>
              <w:left w:val="single" w:color="auto" w:sz="4" w:space="0"/>
              <w:bottom w:val="single" w:color="auto" w:sz="4" w:space="0"/>
              <w:right w:val="single" w:color="auto" w:sz="4" w:space="0"/>
            </w:tcBorders>
          </w:tcPr>
          <w:p w14:paraId="7EE3826D">
            <w:pPr>
              <w:pStyle w:val="31"/>
              <w:rPr>
                <w:rFonts w:hint="eastAsia" w:ascii="宋体" w:hAnsi="宋体" w:eastAsia="宋体" w:cs="宋体"/>
                <w:color w:val="auto"/>
                <w:kern w:val="2"/>
                <w:highlight w:val="none"/>
              </w:rPr>
            </w:pPr>
          </w:p>
        </w:tc>
        <w:tc>
          <w:tcPr>
            <w:tcW w:w="1833" w:type="dxa"/>
            <w:tcBorders>
              <w:top w:val="single" w:color="auto" w:sz="4" w:space="0"/>
              <w:left w:val="single" w:color="auto" w:sz="4" w:space="0"/>
              <w:bottom w:val="single" w:color="auto" w:sz="4" w:space="0"/>
              <w:right w:val="single" w:color="auto" w:sz="4" w:space="0"/>
            </w:tcBorders>
          </w:tcPr>
          <w:p w14:paraId="640EE14E">
            <w:pPr>
              <w:pStyle w:val="31"/>
              <w:rPr>
                <w:rFonts w:hint="eastAsia" w:ascii="宋体" w:hAnsi="宋体" w:eastAsia="宋体" w:cs="宋体"/>
                <w:color w:val="auto"/>
                <w:kern w:val="2"/>
                <w:highlight w:val="none"/>
              </w:rPr>
            </w:pPr>
          </w:p>
        </w:tc>
        <w:tc>
          <w:tcPr>
            <w:tcW w:w="2180" w:type="dxa"/>
            <w:tcBorders>
              <w:top w:val="single" w:color="auto" w:sz="4" w:space="0"/>
              <w:left w:val="single" w:color="auto" w:sz="4" w:space="0"/>
              <w:bottom w:val="single" w:color="auto" w:sz="4" w:space="0"/>
              <w:right w:val="single" w:color="auto" w:sz="4" w:space="0"/>
            </w:tcBorders>
          </w:tcPr>
          <w:p w14:paraId="2E3B7B80">
            <w:pPr>
              <w:pStyle w:val="31"/>
              <w:rPr>
                <w:rFonts w:hint="eastAsia" w:ascii="宋体" w:hAnsi="宋体" w:eastAsia="宋体" w:cs="宋体"/>
                <w:color w:val="auto"/>
                <w:kern w:val="2"/>
                <w:highlight w:val="none"/>
              </w:rPr>
            </w:pPr>
          </w:p>
        </w:tc>
        <w:tc>
          <w:tcPr>
            <w:tcW w:w="1933" w:type="dxa"/>
            <w:tcBorders>
              <w:top w:val="single" w:color="auto" w:sz="4" w:space="0"/>
              <w:left w:val="single" w:color="auto" w:sz="4" w:space="0"/>
              <w:bottom w:val="single" w:color="auto" w:sz="4" w:space="0"/>
              <w:right w:val="single" w:color="auto" w:sz="4" w:space="0"/>
            </w:tcBorders>
          </w:tcPr>
          <w:p w14:paraId="6C5C8E8C">
            <w:pPr>
              <w:pStyle w:val="31"/>
              <w:rPr>
                <w:rFonts w:hint="eastAsia" w:ascii="宋体" w:hAnsi="宋体" w:eastAsia="宋体" w:cs="宋体"/>
                <w:color w:val="auto"/>
                <w:kern w:val="2"/>
                <w:highlight w:val="none"/>
              </w:rPr>
            </w:pPr>
          </w:p>
        </w:tc>
      </w:tr>
      <w:tr w14:paraId="30D58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Borders>
              <w:top w:val="single" w:color="auto" w:sz="4" w:space="0"/>
              <w:left w:val="single" w:color="auto" w:sz="4" w:space="0"/>
              <w:bottom w:val="single" w:color="auto" w:sz="4" w:space="0"/>
              <w:right w:val="single" w:color="auto" w:sz="4" w:space="0"/>
            </w:tcBorders>
          </w:tcPr>
          <w:p w14:paraId="20D48692">
            <w:pPr>
              <w:pStyle w:val="31"/>
              <w:rPr>
                <w:rFonts w:hint="eastAsia" w:ascii="宋体" w:hAnsi="宋体" w:eastAsia="宋体" w:cs="宋体"/>
                <w:color w:val="auto"/>
                <w:kern w:val="2"/>
                <w:highlight w:val="none"/>
              </w:rPr>
            </w:pPr>
          </w:p>
        </w:tc>
        <w:tc>
          <w:tcPr>
            <w:tcW w:w="2142" w:type="dxa"/>
            <w:tcBorders>
              <w:top w:val="single" w:color="auto" w:sz="4" w:space="0"/>
              <w:left w:val="single" w:color="auto" w:sz="4" w:space="0"/>
              <w:bottom w:val="single" w:color="auto" w:sz="4" w:space="0"/>
              <w:right w:val="single" w:color="auto" w:sz="4" w:space="0"/>
            </w:tcBorders>
          </w:tcPr>
          <w:p w14:paraId="6F760E86">
            <w:pPr>
              <w:pStyle w:val="31"/>
              <w:rPr>
                <w:rFonts w:hint="eastAsia" w:ascii="宋体" w:hAnsi="宋体" w:eastAsia="宋体" w:cs="宋体"/>
                <w:color w:val="auto"/>
                <w:kern w:val="2"/>
                <w:highlight w:val="none"/>
              </w:rPr>
            </w:pPr>
          </w:p>
        </w:tc>
        <w:tc>
          <w:tcPr>
            <w:tcW w:w="1833" w:type="dxa"/>
            <w:tcBorders>
              <w:top w:val="single" w:color="auto" w:sz="4" w:space="0"/>
              <w:left w:val="single" w:color="auto" w:sz="4" w:space="0"/>
              <w:bottom w:val="single" w:color="auto" w:sz="4" w:space="0"/>
              <w:right w:val="single" w:color="auto" w:sz="4" w:space="0"/>
            </w:tcBorders>
          </w:tcPr>
          <w:p w14:paraId="5A0433A0">
            <w:pPr>
              <w:pStyle w:val="31"/>
              <w:rPr>
                <w:rFonts w:hint="eastAsia" w:ascii="宋体" w:hAnsi="宋体" w:eastAsia="宋体" w:cs="宋体"/>
                <w:color w:val="auto"/>
                <w:kern w:val="2"/>
                <w:highlight w:val="none"/>
              </w:rPr>
            </w:pPr>
          </w:p>
        </w:tc>
        <w:tc>
          <w:tcPr>
            <w:tcW w:w="2180" w:type="dxa"/>
            <w:tcBorders>
              <w:top w:val="single" w:color="auto" w:sz="4" w:space="0"/>
              <w:left w:val="single" w:color="auto" w:sz="4" w:space="0"/>
              <w:bottom w:val="single" w:color="auto" w:sz="4" w:space="0"/>
              <w:right w:val="single" w:color="auto" w:sz="4" w:space="0"/>
            </w:tcBorders>
          </w:tcPr>
          <w:p w14:paraId="7B606868">
            <w:pPr>
              <w:pStyle w:val="31"/>
              <w:rPr>
                <w:rFonts w:hint="eastAsia" w:ascii="宋体" w:hAnsi="宋体" w:eastAsia="宋体" w:cs="宋体"/>
                <w:color w:val="auto"/>
                <w:kern w:val="2"/>
                <w:highlight w:val="none"/>
              </w:rPr>
            </w:pPr>
          </w:p>
        </w:tc>
        <w:tc>
          <w:tcPr>
            <w:tcW w:w="1933" w:type="dxa"/>
            <w:tcBorders>
              <w:top w:val="single" w:color="auto" w:sz="4" w:space="0"/>
              <w:left w:val="single" w:color="auto" w:sz="4" w:space="0"/>
              <w:bottom w:val="single" w:color="auto" w:sz="4" w:space="0"/>
              <w:right w:val="single" w:color="auto" w:sz="4" w:space="0"/>
            </w:tcBorders>
          </w:tcPr>
          <w:p w14:paraId="44FDBF9B">
            <w:pPr>
              <w:pStyle w:val="31"/>
              <w:rPr>
                <w:rFonts w:hint="eastAsia" w:ascii="宋体" w:hAnsi="宋体" w:eastAsia="宋体" w:cs="宋体"/>
                <w:color w:val="auto"/>
                <w:kern w:val="2"/>
                <w:highlight w:val="none"/>
              </w:rPr>
            </w:pPr>
          </w:p>
        </w:tc>
      </w:tr>
      <w:tr w14:paraId="29106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Borders>
              <w:top w:val="single" w:color="auto" w:sz="4" w:space="0"/>
              <w:left w:val="single" w:color="auto" w:sz="4" w:space="0"/>
              <w:bottom w:val="single" w:color="auto" w:sz="4" w:space="0"/>
              <w:right w:val="single" w:color="auto" w:sz="4" w:space="0"/>
            </w:tcBorders>
          </w:tcPr>
          <w:p w14:paraId="4069677E">
            <w:pPr>
              <w:pStyle w:val="31"/>
              <w:rPr>
                <w:rFonts w:hint="eastAsia" w:ascii="宋体" w:hAnsi="宋体" w:eastAsia="宋体" w:cs="宋体"/>
                <w:color w:val="auto"/>
                <w:kern w:val="2"/>
                <w:highlight w:val="none"/>
              </w:rPr>
            </w:pPr>
          </w:p>
        </w:tc>
        <w:tc>
          <w:tcPr>
            <w:tcW w:w="2142" w:type="dxa"/>
            <w:tcBorders>
              <w:top w:val="single" w:color="auto" w:sz="4" w:space="0"/>
              <w:left w:val="single" w:color="auto" w:sz="4" w:space="0"/>
              <w:bottom w:val="single" w:color="auto" w:sz="4" w:space="0"/>
              <w:right w:val="single" w:color="auto" w:sz="4" w:space="0"/>
            </w:tcBorders>
          </w:tcPr>
          <w:p w14:paraId="21B28B7F">
            <w:pPr>
              <w:pStyle w:val="31"/>
              <w:rPr>
                <w:rFonts w:hint="eastAsia" w:ascii="宋体" w:hAnsi="宋体" w:eastAsia="宋体" w:cs="宋体"/>
                <w:color w:val="auto"/>
                <w:kern w:val="2"/>
                <w:highlight w:val="none"/>
              </w:rPr>
            </w:pPr>
          </w:p>
        </w:tc>
        <w:tc>
          <w:tcPr>
            <w:tcW w:w="1833" w:type="dxa"/>
            <w:tcBorders>
              <w:top w:val="single" w:color="auto" w:sz="4" w:space="0"/>
              <w:left w:val="single" w:color="auto" w:sz="4" w:space="0"/>
              <w:bottom w:val="single" w:color="auto" w:sz="4" w:space="0"/>
              <w:right w:val="single" w:color="auto" w:sz="4" w:space="0"/>
            </w:tcBorders>
          </w:tcPr>
          <w:p w14:paraId="7548DF79">
            <w:pPr>
              <w:pStyle w:val="31"/>
              <w:rPr>
                <w:rFonts w:hint="eastAsia" w:ascii="宋体" w:hAnsi="宋体" w:eastAsia="宋体" w:cs="宋体"/>
                <w:color w:val="auto"/>
                <w:kern w:val="2"/>
                <w:highlight w:val="none"/>
              </w:rPr>
            </w:pPr>
          </w:p>
        </w:tc>
        <w:tc>
          <w:tcPr>
            <w:tcW w:w="2180" w:type="dxa"/>
            <w:tcBorders>
              <w:top w:val="single" w:color="auto" w:sz="4" w:space="0"/>
              <w:left w:val="single" w:color="auto" w:sz="4" w:space="0"/>
              <w:bottom w:val="single" w:color="auto" w:sz="4" w:space="0"/>
              <w:right w:val="single" w:color="auto" w:sz="4" w:space="0"/>
            </w:tcBorders>
          </w:tcPr>
          <w:p w14:paraId="33A01FB4">
            <w:pPr>
              <w:pStyle w:val="31"/>
              <w:rPr>
                <w:rFonts w:hint="eastAsia" w:ascii="宋体" w:hAnsi="宋体" w:eastAsia="宋体" w:cs="宋体"/>
                <w:color w:val="auto"/>
                <w:kern w:val="2"/>
                <w:highlight w:val="none"/>
              </w:rPr>
            </w:pPr>
          </w:p>
        </w:tc>
        <w:tc>
          <w:tcPr>
            <w:tcW w:w="1933" w:type="dxa"/>
            <w:tcBorders>
              <w:top w:val="single" w:color="auto" w:sz="4" w:space="0"/>
              <w:left w:val="single" w:color="auto" w:sz="4" w:space="0"/>
              <w:bottom w:val="single" w:color="auto" w:sz="4" w:space="0"/>
              <w:right w:val="single" w:color="auto" w:sz="4" w:space="0"/>
            </w:tcBorders>
          </w:tcPr>
          <w:p w14:paraId="1E56F710">
            <w:pPr>
              <w:pStyle w:val="31"/>
              <w:rPr>
                <w:rFonts w:hint="eastAsia" w:ascii="宋体" w:hAnsi="宋体" w:eastAsia="宋体" w:cs="宋体"/>
                <w:color w:val="auto"/>
                <w:kern w:val="2"/>
                <w:highlight w:val="none"/>
              </w:rPr>
            </w:pPr>
          </w:p>
        </w:tc>
      </w:tr>
      <w:tr w14:paraId="40342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Borders>
              <w:top w:val="single" w:color="auto" w:sz="4" w:space="0"/>
              <w:left w:val="single" w:color="auto" w:sz="4" w:space="0"/>
              <w:bottom w:val="single" w:color="auto" w:sz="4" w:space="0"/>
              <w:right w:val="single" w:color="auto" w:sz="4" w:space="0"/>
            </w:tcBorders>
          </w:tcPr>
          <w:p w14:paraId="232D5EC0">
            <w:pPr>
              <w:pStyle w:val="31"/>
              <w:rPr>
                <w:rFonts w:hint="eastAsia" w:ascii="宋体" w:hAnsi="宋体" w:eastAsia="宋体" w:cs="宋体"/>
                <w:color w:val="auto"/>
                <w:kern w:val="2"/>
                <w:highlight w:val="none"/>
              </w:rPr>
            </w:pPr>
          </w:p>
        </w:tc>
        <w:tc>
          <w:tcPr>
            <w:tcW w:w="2142" w:type="dxa"/>
            <w:tcBorders>
              <w:top w:val="single" w:color="auto" w:sz="4" w:space="0"/>
              <w:left w:val="single" w:color="auto" w:sz="4" w:space="0"/>
              <w:bottom w:val="single" w:color="auto" w:sz="4" w:space="0"/>
              <w:right w:val="single" w:color="auto" w:sz="4" w:space="0"/>
            </w:tcBorders>
          </w:tcPr>
          <w:p w14:paraId="79670670">
            <w:pPr>
              <w:pStyle w:val="31"/>
              <w:rPr>
                <w:rFonts w:hint="eastAsia" w:ascii="宋体" w:hAnsi="宋体" w:eastAsia="宋体" w:cs="宋体"/>
                <w:color w:val="auto"/>
                <w:kern w:val="2"/>
                <w:highlight w:val="none"/>
              </w:rPr>
            </w:pPr>
          </w:p>
        </w:tc>
        <w:tc>
          <w:tcPr>
            <w:tcW w:w="1833" w:type="dxa"/>
            <w:tcBorders>
              <w:top w:val="single" w:color="auto" w:sz="4" w:space="0"/>
              <w:left w:val="single" w:color="auto" w:sz="4" w:space="0"/>
              <w:bottom w:val="single" w:color="auto" w:sz="4" w:space="0"/>
              <w:right w:val="single" w:color="auto" w:sz="4" w:space="0"/>
            </w:tcBorders>
          </w:tcPr>
          <w:p w14:paraId="1122FB37">
            <w:pPr>
              <w:pStyle w:val="31"/>
              <w:rPr>
                <w:rFonts w:hint="eastAsia" w:ascii="宋体" w:hAnsi="宋体" w:eastAsia="宋体" w:cs="宋体"/>
                <w:color w:val="auto"/>
                <w:kern w:val="2"/>
                <w:highlight w:val="none"/>
              </w:rPr>
            </w:pPr>
          </w:p>
        </w:tc>
        <w:tc>
          <w:tcPr>
            <w:tcW w:w="2180" w:type="dxa"/>
            <w:tcBorders>
              <w:top w:val="single" w:color="auto" w:sz="4" w:space="0"/>
              <w:left w:val="single" w:color="auto" w:sz="4" w:space="0"/>
              <w:bottom w:val="single" w:color="auto" w:sz="4" w:space="0"/>
              <w:right w:val="single" w:color="auto" w:sz="4" w:space="0"/>
            </w:tcBorders>
          </w:tcPr>
          <w:p w14:paraId="4445F44B">
            <w:pPr>
              <w:pStyle w:val="31"/>
              <w:rPr>
                <w:rFonts w:hint="eastAsia" w:ascii="宋体" w:hAnsi="宋体" w:eastAsia="宋体" w:cs="宋体"/>
                <w:color w:val="auto"/>
                <w:kern w:val="2"/>
                <w:highlight w:val="none"/>
              </w:rPr>
            </w:pPr>
          </w:p>
        </w:tc>
        <w:tc>
          <w:tcPr>
            <w:tcW w:w="1933" w:type="dxa"/>
            <w:tcBorders>
              <w:top w:val="single" w:color="auto" w:sz="4" w:space="0"/>
              <w:left w:val="single" w:color="auto" w:sz="4" w:space="0"/>
              <w:bottom w:val="single" w:color="auto" w:sz="4" w:space="0"/>
              <w:right w:val="single" w:color="auto" w:sz="4" w:space="0"/>
            </w:tcBorders>
          </w:tcPr>
          <w:p w14:paraId="1C597450">
            <w:pPr>
              <w:pStyle w:val="31"/>
              <w:rPr>
                <w:rFonts w:hint="eastAsia" w:ascii="宋体" w:hAnsi="宋体" w:eastAsia="宋体" w:cs="宋体"/>
                <w:color w:val="auto"/>
                <w:kern w:val="2"/>
                <w:highlight w:val="none"/>
              </w:rPr>
            </w:pPr>
          </w:p>
        </w:tc>
      </w:tr>
      <w:tr w14:paraId="2E827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Borders>
              <w:top w:val="single" w:color="auto" w:sz="4" w:space="0"/>
              <w:left w:val="single" w:color="auto" w:sz="4" w:space="0"/>
              <w:bottom w:val="single" w:color="auto" w:sz="4" w:space="0"/>
              <w:right w:val="single" w:color="auto" w:sz="4" w:space="0"/>
            </w:tcBorders>
          </w:tcPr>
          <w:p w14:paraId="75D1F148">
            <w:pPr>
              <w:pStyle w:val="31"/>
              <w:rPr>
                <w:rFonts w:hint="eastAsia" w:ascii="宋体" w:hAnsi="宋体" w:eastAsia="宋体" w:cs="宋体"/>
                <w:color w:val="auto"/>
                <w:kern w:val="2"/>
                <w:highlight w:val="none"/>
              </w:rPr>
            </w:pPr>
          </w:p>
        </w:tc>
        <w:tc>
          <w:tcPr>
            <w:tcW w:w="2142" w:type="dxa"/>
            <w:tcBorders>
              <w:top w:val="single" w:color="auto" w:sz="4" w:space="0"/>
              <w:left w:val="single" w:color="auto" w:sz="4" w:space="0"/>
              <w:bottom w:val="single" w:color="auto" w:sz="4" w:space="0"/>
              <w:right w:val="single" w:color="auto" w:sz="4" w:space="0"/>
            </w:tcBorders>
          </w:tcPr>
          <w:p w14:paraId="6BB6D84E">
            <w:pPr>
              <w:pStyle w:val="31"/>
              <w:rPr>
                <w:rFonts w:hint="eastAsia" w:ascii="宋体" w:hAnsi="宋体" w:eastAsia="宋体" w:cs="宋体"/>
                <w:color w:val="auto"/>
                <w:kern w:val="2"/>
                <w:highlight w:val="none"/>
              </w:rPr>
            </w:pPr>
          </w:p>
        </w:tc>
        <w:tc>
          <w:tcPr>
            <w:tcW w:w="1833" w:type="dxa"/>
            <w:tcBorders>
              <w:top w:val="single" w:color="auto" w:sz="4" w:space="0"/>
              <w:left w:val="single" w:color="auto" w:sz="4" w:space="0"/>
              <w:bottom w:val="single" w:color="auto" w:sz="4" w:space="0"/>
              <w:right w:val="single" w:color="auto" w:sz="4" w:space="0"/>
            </w:tcBorders>
          </w:tcPr>
          <w:p w14:paraId="1F722E46">
            <w:pPr>
              <w:pStyle w:val="31"/>
              <w:rPr>
                <w:rFonts w:hint="eastAsia" w:ascii="宋体" w:hAnsi="宋体" w:eastAsia="宋体" w:cs="宋体"/>
                <w:color w:val="auto"/>
                <w:kern w:val="2"/>
                <w:highlight w:val="none"/>
              </w:rPr>
            </w:pPr>
          </w:p>
        </w:tc>
        <w:tc>
          <w:tcPr>
            <w:tcW w:w="2180" w:type="dxa"/>
            <w:tcBorders>
              <w:top w:val="single" w:color="auto" w:sz="4" w:space="0"/>
              <w:left w:val="single" w:color="auto" w:sz="4" w:space="0"/>
              <w:bottom w:val="single" w:color="auto" w:sz="4" w:space="0"/>
              <w:right w:val="single" w:color="auto" w:sz="4" w:space="0"/>
            </w:tcBorders>
          </w:tcPr>
          <w:p w14:paraId="77F15998">
            <w:pPr>
              <w:pStyle w:val="31"/>
              <w:rPr>
                <w:rFonts w:hint="eastAsia" w:ascii="宋体" w:hAnsi="宋体" w:eastAsia="宋体" w:cs="宋体"/>
                <w:color w:val="auto"/>
                <w:kern w:val="2"/>
                <w:highlight w:val="none"/>
              </w:rPr>
            </w:pPr>
          </w:p>
        </w:tc>
        <w:tc>
          <w:tcPr>
            <w:tcW w:w="1933" w:type="dxa"/>
            <w:tcBorders>
              <w:top w:val="single" w:color="auto" w:sz="4" w:space="0"/>
              <w:left w:val="single" w:color="auto" w:sz="4" w:space="0"/>
              <w:bottom w:val="single" w:color="auto" w:sz="4" w:space="0"/>
              <w:right w:val="single" w:color="auto" w:sz="4" w:space="0"/>
            </w:tcBorders>
          </w:tcPr>
          <w:p w14:paraId="4B8E1C8E">
            <w:pPr>
              <w:pStyle w:val="31"/>
              <w:rPr>
                <w:rFonts w:hint="eastAsia" w:ascii="宋体" w:hAnsi="宋体" w:eastAsia="宋体" w:cs="宋体"/>
                <w:color w:val="auto"/>
                <w:kern w:val="2"/>
                <w:highlight w:val="none"/>
              </w:rPr>
            </w:pPr>
          </w:p>
        </w:tc>
      </w:tr>
      <w:tr w14:paraId="0F65C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Borders>
              <w:top w:val="single" w:color="auto" w:sz="4" w:space="0"/>
              <w:left w:val="single" w:color="auto" w:sz="4" w:space="0"/>
              <w:bottom w:val="single" w:color="auto" w:sz="4" w:space="0"/>
              <w:right w:val="single" w:color="auto" w:sz="4" w:space="0"/>
            </w:tcBorders>
          </w:tcPr>
          <w:p w14:paraId="7662B54D">
            <w:pPr>
              <w:pStyle w:val="31"/>
              <w:rPr>
                <w:rFonts w:hint="eastAsia" w:ascii="宋体" w:hAnsi="宋体" w:eastAsia="宋体" w:cs="宋体"/>
                <w:color w:val="auto"/>
                <w:kern w:val="2"/>
                <w:highlight w:val="none"/>
              </w:rPr>
            </w:pPr>
          </w:p>
        </w:tc>
        <w:tc>
          <w:tcPr>
            <w:tcW w:w="2142" w:type="dxa"/>
            <w:tcBorders>
              <w:top w:val="single" w:color="auto" w:sz="4" w:space="0"/>
              <w:left w:val="single" w:color="auto" w:sz="4" w:space="0"/>
              <w:bottom w:val="single" w:color="auto" w:sz="4" w:space="0"/>
              <w:right w:val="single" w:color="auto" w:sz="4" w:space="0"/>
            </w:tcBorders>
          </w:tcPr>
          <w:p w14:paraId="4C79A236">
            <w:pPr>
              <w:pStyle w:val="31"/>
              <w:rPr>
                <w:rFonts w:hint="eastAsia" w:ascii="宋体" w:hAnsi="宋体" w:eastAsia="宋体" w:cs="宋体"/>
                <w:color w:val="auto"/>
                <w:kern w:val="2"/>
                <w:highlight w:val="none"/>
              </w:rPr>
            </w:pPr>
          </w:p>
        </w:tc>
        <w:tc>
          <w:tcPr>
            <w:tcW w:w="1833" w:type="dxa"/>
            <w:tcBorders>
              <w:top w:val="single" w:color="auto" w:sz="4" w:space="0"/>
              <w:left w:val="single" w:color="auto" w:sz="4" w:space="0"/>
              <w:bottom w:val="single" w:color="auto" w:sz="4" w:space="0"/>
              <w:right w:val="single" w:color="auto" w:sz="4" w:space="0"/>
            </w:tcBorders>
          </w:tcPr>
          <w:p w14:paraId="31E1C7BA">
            <w:pPr>
              <w:pStyle w:val="31"/>
              <w:rPr>
                <w:rFonts w:hint="eastAsia" w:ascii="宋体" w:hAnsi="宋体" w:eastAsia="宋体" w:cs="宋体"/>
                <w:color w:val="auto"/>
                <w:kern w:val="2"/>
                <w:highlight w:val="none"/>
              </w:rPr>
            </w:pPr>
          </w:p>
        </w:tc>
        <w:tc>
          <w:tcPr>
            <w:tcW w:w="2180" w:type="dxa"/>
            <w:tcBorders>
              <w:top w:val="single" w:color="auto" w:sz="4" w:space="0"/>
              <w:left w:val="single" w:color="auto" w:sz="4" w:space="0"/>
              <w:bottom w:val="single" w:color="auto" w:sz="4" w:space="0"/>
              <w:right w:val="single" w:color="auto" w:sz="4" w:space="0"/>
            </w:tcBorders>
          </w:tcPr>
          <w:p w14:paraId="13DE2C5C">
            <w:pPr>
              <w:pStyle w:val="31"/>
              <w:rPr>
                <w:rFonts w:hint="eastAsia" w:ascii="宋体" w:hAnsi="宋体" w:eastAsia="宋体" w:cs="宋体"/>
                <w:color w:val="auto"/>
                <w:kern w:val="2"/>
                <w:highlight w:val="none"/>
              </w:rPr>
            </w:pPr>
          </w:p>
        </w:tc>
        <w:tc>
          <w:tcPr>
            <w:tcW w:w="1933" w:type="dxa"/>
            <w:tcBorders>
              <w:top w:val="single" w:color="auto" w:sz="4" w:space="0"/>
              <w:left w:val="single" w:color="auto" w:sz="4" w:space="0"/>
              <w:bottom w:val="single" w:color="auto" w:sz="4" w:space="0"/>
              <w:right w:val="single" w:color="auto" w:sz="4" w:space="0"/>
            </w:tcBorders>
          </w:tcPr>
          <w:p w14:paraId="1F5059C7">
            <w:pPr>
              <w:pStyle w:val="31"/>
              <w:rPr>
                <w:rFonts w:hint="eastAsia" w:ascii="宋体" w:hAnsi="宋体" w:eastAsia="宋体" w:cs="宋体"/>
                <w:color w:val="auto"/>
                <w:kern w:val="2"/>
                <w:highlight w:val="none"/>
              </w:rPr>
            </w:pPr>
          </w:p>
        </w:tc>
      </w:tr>
    </w:tbl>
    <w:p w14:paraId="4D41CD80">
      <w:pPr>
        <w:pStyle w:val="22"/>
        <w:spacing w:line="360" w:lineRule="auto"/>
        <w:ind w:firstLine="211"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w:t>
      </w:r>
    </w:p>
    <w:p w14:paraId="5E75898A">
      <w:pPr>
        <w:pStyle w:val="23"/>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说明：应对照招标文件“第二章 采购需求”中的采购需求、技术要求作明确的投标响应，并作出偏离说明。</w:t>
      </w:r>
    </w:p>
    <w:p w14:paraId="59079967">
      <w:pPr>
        <w:pStyle w:val="22"/>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2.投标人应根据自身的承诺，对照招标文件要求，在“偏离说明”中注明“</w:t>
      </w:r>
      <w:r>
        <w:rPr>
          <w:rFonts w:hint="eastAsia" w:ascii="宋体" w:hAnsi="宋体" w:eastAsia="宋体" w:cs="宋体"/>
          <w:color w:val="auto"/>
          <w:sz w:val="21"/>
          <w:szCs w:val="21"/>
          <w:highlight w:val="none"/>
        </w:rPr>
        <w:t>正偏离</w:t>
      </w:r>
      <w:r>
        <w:rPr>
          <w:rFonts w:hint="eastAsia" w:ascii="宋体" w:hAnsi="宋体" w:eastAsia="宋体" w:cs="宋体"/>
          <w:b w:val="0"/>
          <w:bCs w:val="0"/>
          <w:color w:val="auto"/>
          <w:sz w:val="21"/>
          <w:szCs w:val="21"/>
          <w:highlight w:val="none"/>
        </w:rPr>
        <w:t>”、“</w:t>
      </w:r>
      <w:r>
        <w:rPr>
          <w:rFonts w:hint="eastAsia" w:ascii="宋体" w:hAnsi="宋体" w:eastAsia="宋体" w:cs="宋体"/>
          <w:color w:val="auto"/>
          <w:sz w:val="21"/>
          <w:szCs w:val="21"/>
          <w:highlight w:val="none"/>
        </w:rPr>
        <w:t>负偏离</w:t>
      </w:r>
      <w:r>
        <w:rPr>
          <w:rFonts w:hint="eastAsia" w:ascii="宋体" w:hAnsi="宋体" w:eastAsia="宋体" w:cs="宋体"/>
          <w:b w:val="0"/>
          <w:bCs w:val="0"/>
          <w:color w:val="auto"/>
          <w:sz w:val="21"/>
          <w:szCs w:val="21"/>
          <w:highlight w:val="none"/>
        </w:rPr>
        <w:t>”或者“</w:t>
      </w:r>
      <w:r>
        <w:rPr>
          <w:rFonts w:hint="eastAsia" w:ascii="宋体" w:hAnsi="宋体" w:eastAsia="宋体" w:cs="宋体"/>
          <w:color w:val="auto"/>
          <w:sz w:val="21"/>
          <w:szCs w:val="21"/>
          <w:highlight w:val="none"/>
        </w:rPr>
        <w:t>无偏离</w:t>
      </w:r>
      <w:r>
        <w:rPr>
          <w:rFonts w:hint="eastAsia" w:ascii="宋体" w:hAnsi="宋体" w:eastAsia="宋体" w:cs="宋体"/>
          <w:b w:val="0"/>
          <w:bCs w:val="0"/>
          <w:color w:val="auto"/>
          <w:sz w:val="21"/>
          <w:szCs w:val="21"/>
          <w:highlight w:val="none"/>
        </w:rPr>
        <w:t>”。既不属于“</w:t>
      </w:r>
      <w:r>
        <w:rPr>
          <w:rFonts w:hint="eastAsia" w:ascii="宋体" w:hAnsi="宋体" w:eastAsia="宋体" w:cs="宋体"/>
          <w:color w:val="auto"/>
          <w:sz w:val="21"/>
          <w:szCs w:val="21"/>
          <w:highlight w:val="none"/>
        </w:rPr>
        <w:t>正偏离</w:t>
      </w:r>
      <w:r>
        <w:rPr>
          <w:rFonts w:hint="eastAsia" w:ascii="宋体" w:hAnsi="宋体" w:eastAsia="宋体" w:cs="宋体"/>
          <w:b w:val="0"/>
          <w:bCs w:val="0"/>
          <w:color w:val="auto"/>
          <w:sz w:val="21"/>
          <w:szCs w:val="21"/>
          <w:highlight w:val="none"/>
        </w:rPr>
        <w:t>”也不属于“</w:t>
      </w:r>
      <w:r>
        <w:rPr>
          <w:rFonts w:hint="eastAsia" w:ascii="宋体" w:hAnsi="宋体" w:eastAsia="宋体" w:cs="宋体"/>
          <w:color w:val="auto"/>
          <w:sz w:val="21"/>
          <w:szCs w:val="21"/>
          <w:highlight w:val="none"/>
        </w:rPr>
        <w:t>负偏离</w:t>
      </w:r>
      <w:r>
        <w:rPr>
          <w:rFonts w:hint="eastAsia" w:ascii="宋体" w:hAnsi="宋体" w:eastAsia="宋体" w:cs="宋体"/>
          <w:b w:val="0"/>
          <w:bCs w:val="0"/>
          <w:color w:val="auto"/>
          <w:sz w:val="21"/>
          <w:szCs w:val="21"/>
          <w:highlight w:val="none"/>
        </w:rPr>
        <w:t>”即为“</w:t>
      </w:r>
      <w:r>
        <w:rPr>
          <w:rFonts w:hint="eastAsia" w:ascii="宋体" w:hAnsi="宋体" w:eastAsia="宋体" w:cs="宋体"/>
          <w:color w:val="auto"/>
          <w:sz w:val="21"/>
          <w:szCs w:val="21"/>
          <w:highlight w:val="none"/>
        </w:rPr>
        <w:t>无偏离</w:t>
      </w:r>
      <w:r>
        <w:rPr>
          <w:rFonts w:hint="eastAsia" w:ascii="宋体" w:hAnsi="宋体" w:eastAsia="宋体" w:cs="宋体"/>
          <w:b w:val="0"/>
          <w:bCs w:val="0"/>
          <w:color w:val="auto"/>
          <w:sz w:val="21"/>
          <w:szCs w:val="21"/>
          <w:highlight w:val="none"/>
        </w:rPr>
        <w:t>”。</w:t>
      </w:r>
    </w:p>
    <w:p w14:paraId="5AFB6780">
      <w:pPr>
        <w:pStyle w:val="22"/>
        <w:spacing w:line="360" w:lineRule="auto"/>
        <w:rPr>
          <w:rFonts w:hint="eastAsia" w:ascii="宋体" w:hAnsi="宋体" w:eastAsia="宋体" w:cs="宋体"/>
          <w:color w:val="auto"/>
          <w:spacing w:val="20"/>
          <w:sz w:val="21"/>
          <w:szCs w:val="21"/>
          <w:highlight w:val="none"/>
        </w:rPr>
      </w:pPr>
    </w:p>
    <w:p w14:paraId="4A4DC144">
      <w:pPr>
        <w:spacing w:line="360" w:lineRule="auto"/>
        <w:ind w:firstLine="5500" w:firstLineChars="2200"/>
        <w:rPr>
          <w:rFonts w:hint="eastAsia" w:ascii="宋体" w:hAnsi="宋体" w:eastAsia="宋体" w:cs="宋体"/>
          <w:color w:val="auto"/>
          <w:spacing w:val="20"/>
          <w:sz w:val="21"/>
          <w:szCs w:val="21"/>
          <w:highlight w:val="none"/>
        </w:rPr>
      </w:pPr>
      <w:r>
        <w:rPr>
          <w:rFonts w:hint="eastAsia" w:ascii="宋体" w:hAnsi="宋体" w:eastAsia="宋体" w:cs="宋体"/>
          <w:color w:val="auto"/>
          <w:spacing w:val="20"/>
          <w:sz w:val="21"/>
          <w:szCs w:val="21"/>
          <w:highlight w:val="none"/>
        </w:rPr>
        <w:t>投标人名称（电子签章）：</w:t>
      </w:r>
    </w:p>
    <w:p w14:paraId="727BEFCD">
      <w:pPr>
        <w:spacing w:line="360" w:lineRule="auto"/>
        <w:ind w:firstLine="5000" w:firstLineChars="2000"/>
        <w:rPr>
          <w:rFonts w:hint="eastAsia" w:ascii="宋体" w:hAnsi="宋体" w:eastAsia="宋体" w:cs="宋体"/>
          <w:color w:val="auto"/>
          <w:sz w:val="21"/>
          <w:szCs w:val="21"/>
          <w:highlight w:val="none"/>
        </w:rPr>
      </w:pPr>
      <w:r>
        <w:rPr>
          <w:rFonts w:hint="eastAsia" w:ascii="宋体" w:hAnsi="宋体" w:eastAsia="宋体" w:cs="宋体"/>
          <w:color w:val="auto"/>
          <w:spacing w:val="20"/>
          <w:sz w:val="21"/>
          <w:szCs w:val="21"/>
          <w:highlight w:val="none"/>
        </w:rPr>
        <w:t xml:space="preserve">日  期：    </w:t>
      </w:r>
      <w:r>
        <w:rPr>
          <w:rFonts w:hint="eastAsia" w:ascii="宋体" w:hAnsi="宋体" w:eastAsia="宋体" w:cs="宋体"/>
          <w:color w:val="auto"/>
          <w:sz w:val="21"/>
          <w:szCs w:val="21"/>
          <w:highlight w:val="none"/>
        </w:rPr>
        <w:t>年    月    日</w:t>
      </w:r>
    </w:p>
    <w:p w14:paraId="1BFB6416">
      <w:pPr>
        <w:spacing w:line="360" w:lineRule="auto"/>
        <w:rPr>
          <w:rFonts w:hint="eastAsia" w:ascii="宋体" w:hAnsi="宋体" w:eastAsia="宋体" w:cs="宋体"/>
          <w:color w:val="auto"/>
          <w:spacing w:val="20"/>
          <w:sz w:val="24"/>
          <w:highlight w:val="none"/>
          <w:u w:val="single"/>
        </w:rPr>
      </w:pPr>
    </w:p>
    <w:p w14:paraId="15626111">
      <w:pPr>
        <w:spacing w:line="360" w:lineRule="auto"/>
        <w:rPr>
          <w:rFonts w:hint="eastAsia" w:ascii="宋体" w:hAnsi="宋体" w:eastAsia="宋体" w:cs="宋体"/>
          <w:color w:val="auto"/>
          <w:sz w:val="24"/>
          <w:szCs w:val="20"/>
          <w:highlight w:val="none"/>
        </w:rPr>
      </w:pPr>
    </w:p>
    <w:p w14:paraId="471EC439">
      <w:pPr>
        <w:snapToGrid w:val="0"/>
        <w:spacing w:before="120" w:beforeLines="50" w:after="50"/>
        <w:ind w:left="142"/>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br w:type="page"/>
      </w:r>
      <w:r>
        <w:rPr>
          <w:rFonts w:hint="eastAsia" w:ascii="宋体" w:hAnsi="宋体" w:eastAsia="宋体" w:cs="宋体"/>
          <w:b/>
          <w:color w:val="auto"/>
          <w:sz w:val="24"/>
          <w:highlight w:val="none"/>
        </w:rPr>
        <w:t>9.项目实施人员一览表格式</w:t>
      </w:r>
    </w:p>
    <w:p w14:paraId="302621C3">
      <w:pPr>
        <w:snapToGrid w:val="0"/>
        <w:spacing w:before="120" w:beforeLines="50" w:after="50"/>
        <w:ind w:left="142"/>
        <w:jc w:val="left"/>
        <w:rPr>
          <w:rFonts w:hint="eastAsia" w:ascii="宋体" w:hAnsi="宋体" w:eastAsia="宋体" w:cs="宋体"/>
          <w:b/>
          <w:color w:val="auto"/>
          <w:sz w:val="24"/>
          <w:highlight w:val="none"/>
        </w:rPr>
      </w:pPr>
    </w:p>
    <w:p w14:paraId="3713E53C">
      <w:pPr>
        <w:snapToGrid w:val="0"/>
        <w:spacing w:before="120" w:beforeLines="50" w:after="50"/>
        <w:ind w:left="142"/>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项目实施人员一览表</w:t>
      </w:r>
    </w:p>
    <w:p w14:paraId="6D596D31">
      <w:pPr>
        <w:pStyle w:val="31"/>
        <w:rPr>
          <w:rFonts w:hint="eastAsia" w:ascii="宋体" w:hAnsi="宋体" w:eastAsia="宋体" w:cs="宋体"/>
          <w:color w:val="auto"/>
          <w:highlight w:val="none"/>
        </w:rPr>
      </w:pPr>
      <w:r>
        <w:rPr>
          <w:rFonts w:hint="eastAsia" w:ascii="宋体" w:hAnsi="宋体" w:eastAsia="宋体" w:cs="宋体"/>
          <w:color w:val="auto"/>
          <w:highlight w:val="none"/>
        </w:rPr>
        <w:t>分标</w:t>
      </w:r>
      <w:r>
        <w:rPr>
          <w:rFonts w:hint="eastAsia" w:ascii="宋体" w:hAnsi="宋体" w:eastAsia="宋体" w:cs="宋体"/>
          <w:color w:val="auto"/>
          <w:highlight w:val="none"/>
          <w:lang w:eastAsia="zh-CN"/>
        </w:rPr>
        <w:t>：</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lang w:val="en-US" w:eastAsia="zh-CN"/>
        </w:rPr>
        <w:t xml:space="preserve"> </w:t>
      </w:r>
    </w:p>
    <w:tbl>
      <w:tblPr>
        <w:tblStyle w:val="61"/>
        <w:tblW w:w="91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7"/>
        <w:gridCol w:w="796"/>
        <w:gridCol w:w="1911"/>
        <w:gridCol w:w="1595"/>
        <w:gridCol w:w="1907"/>
        <w:gridCol w:w="2070"/>
      </w:tblGrid>
      <w:tr w14:paraId="6B917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8" w:hRule="atLeast"/>
        </w:trPr>
        <w:tc>
          <w:tcPr>
            <w:tcW w:w="917" w:type="dxa"/>
            <w:tcBorders>
              <w:top w:val="single" w:color="auto" w:sz="4" w:space="0"/>
              <w:left w:val="single" w:color="auto" w:sz="4" w:space="0"/>
              <w:bottom w:val="single" w:color="auto" w:sz="4" w:space="0"/>
              <w:right w:val="single" w:color="auto" w:sz="4" w:space="0"/>
            </w:tcBorders>
            <w:vAlign w:val="center"/>
          </w:tcPr>
          <w:p w14:paraId="3ACBB34C">
            <w:pPr>
              <w:snapToGrid w:val="0"/>
              <w:spacing w:before="50" w:after="120" w:afterLines="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姓名</w:t>
            </w:r>
          </w:p>
        </w:tc>
        <w:tc>
          <w:tcPr>
            <w:tcW w:w="796" w:type="dxa"/>
            <w:tcBorders>
              <w:top w:val="single" w:color="auto" w:sz="4" w:space="0"/>
              <w:left w:val="single" w:color="auto" w:sz="4" w:space="0"/>
              <w:bottom w:val="single" w:color="auto" w:sz="4" w:space="0"/>
              <w:right w:val="single" w:color="auto" w:sz="4" w:space="0"/>
            </w:tcBorders>
            <w:vAlign w:val="center"/>
          </w:tcPr>
          <w:p w14:paraId="4263A236">
            <w:pPr>
              <w:snapToGrid w:val="0"/>
              <w:spacing w:before="50" w:after="120" w:afterLines="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职务</w:t>
            </w:r>
          </w:p>
        </w:tc>
        <w:tc>
          <w:tcPr>
            <w:tcW w:w="1911" w:type="dxa"/>
            <w:tcBorders>
              <w:top w:val="single" w:color="auto" w:sz="4" w:space="0"/>
              <w:left w:val="single" w:color="auto" w:sz="4" w:space="0"/>
              <w:bottom w:val="single" w:color="auto" w:sz="4" w:space="0"/>
              <w:right w:val="single" w:color="auto" w:sz="4" w:space="0"/>
            </w:tcBorders>
            <w:vAlign w:val="center"/>
          </w:tcPr>
          <w:p w14:paraId="53BA4FC7">
            <w:pPr>
              <w:snapToGrid w:val="0"/>
              <w:spacing w:before="50" w:after="120" w:afterLines="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专业技术资格（职称）或者职业资格或者执业资格证或者其他证书</w:t>
            </w:r>
          </w:p>
        </w:tc>
        <w:tc>
          <w:tcPr>
            <w:tcW w:w="1595" w:type="dxa"/>
            <w:tcBorders>
              <w:top w:val="single" w:color="auto" w:sz="4" w:space="0"/>
              <w:left w:val="single" w:color="auto" w:sz="4" w:space="0"/>
              <w:bottom w:val="single" w:color="auto" w:sz="4" w:space="0"/>
              <w:right w:val="single" w:color="auto" w:sz="4" w:space="0"/>
            </w:tcBorders>
            <w:vAlign w:val="center"/>
          </w:tcPr>
          <w:p w14:paraId="72A47D89">
            <w:pPr>
              <w:snapToGrid w:val="0"/>
              <w:spacing w:before="50" w:after="120" w:afterLines="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证书编号</w:t>
            </w:r>
          </w:p>
        </w:tc>
        <w:tc>
          <w:tcPr>
            <w:tcW w:w="1907" w:type="dxa"/>
            <w:tcBorders>
              <w:top w:val="single" w:color="auto" w:sz="4" w:space="0"/>
              <w:left w:val="single" w:color="auto" w:sz="4" w:space="0"/>
              <w:bottom w:val="single" w:color="auto" w:sz="4" w:space="0"/>
              <w:right w:val="single" w:color="auto" w:sz="4" w:space="0"/>
            </w:tcBorders>
            <w:vAlign w:val="center"/>
          </w:tcPr>
          <w:p w14:paraId="61BBADED">
            <w:pPr>
              <w:snapToGrid w:val="0"/>
              <w:spacing w:before="50" w:after="120" w:afterLines="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参加本单位</w:t>
            </w:r>
          </w:p>
          <w:p w14:paraId="0379BA58">
            <w:pPr>
              <w:snapToGrid w:val="0"/>
              <w:spacing w:before="50" w:after="120" w:afterLines="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工作时间</w:t>
            </w:r>
          </w:p>
        </w:tc>
        <w:tc>
          <w:tcPr>
            <w:tcW w:w="2070" w:type="dxa"/>
            <w:tcBorders>
              <w:top w:val="single" w:color="auto" w:sz="4" w:space="0"/>
              <w:left w:val="single" w:color="auto" w:sz="4" w:space="0"/>
              <w:bottom w:val="single" w:color="auto" w:sz="4" w:space="0"/>
              <w:right w:val="single" w:color="auto" w:sz="4" w:space="0"/>
            </w:tcBorders>
            <w:vAlign w:val="center"/>
          </w:tcPr>
          <w:p w14:paraId="6E3197BC">
            <w:pPr>
              <w:snapToGrid w:val="0"/>
              <w:spacing w:before="50" w:after="120" w:afterLines="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劳动合同编号</w:t>
            </w:r>
          </w:p>
        </w:tc>
      </w:tr>
      <w:tr w14:paraId="224B3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6" w:hRule="atLeast"/>
        </w:trPr>
        <w:tc>
          <w:tcPr>
            <w:tcW w:w="917" w:type="dxa"/>
            <w:tcBorders>
              <w:top w:val="single" w:color="auto" w:sz="4" w:space="0"/>
              <w:left w:val="single" w:color="auto" w:sz="4" w:space="0"/>
              <w:bottom w:val="single" w:color="auto" w:sz="4" w:space="0"/>
              <w:right w:val="single" w:color="auto" w:sz="4" w:space="0"/>
            </w:tcBorders>
            <w:vAlign w:val="center"/>
          </w:tcPr>
          <w:p w14:paraId="2965E517">
            <w:pPr>
              <w:snapToGrid w:val="0"/>
              <w:spacing w:before="50" w:after="120" w:afterLines="50"/>
              <w:jc w:val="center"/>
              <w:rPr>
                <w:rFonts w:hint="eastAsia" w:ascii="宋体" w:hAnsi="宋体" w:eastAsia="宋体" w:cs="宋体"/>
                <w:color w:val="auto"/>
                <w:sz w:val="21"/>
                <w:szCs w:val="21"/>
                <w:highlight w:val="none"/>
              </w:rPr>
            </w:pPr>
          </w:p>
        </w:tc>
        <w:tc>
          <w:tcPr>
            <w:tcW w:w="796" w:type="dxa"/>
            <w:tcBorders>
              <w:top w:val="single" w:color="auto" w:sz="4" w:space="0"/>
              <w:left w:val="single" w:color="auto" w:sz="4" w:space="0"/>
              <w:bottom w:val="single" w:color="auto" w:sz="4" w:space="0"/>
              <w:right w:val="single" w:color="auto" w:sz="4" w:space="0"/>
            </w:tcBorders>
            <w:vAlign w:val="center"/>
          </w:tcPr>
          <w:p w14:paraId="731D20D4">
            <w:pPr>
              <w:snapToGrid w:val="0"/>
              <w:spacing w:before="50" w:after="120" w:afterLines="50"/>
              <w:jc w:val="center"/>
              <w:rPr>
                <w:rFonts w:hint="eastAsia" w:ascii="宋体" w:hAnsi="宋体" w:eastAsia="宋体" w:cs="宋体"/>
                <w:color w:val="auto"/>
                <w:sz w:val="21"/>
                <w:szCs w:val="21"/>
                <w:highlight w:val="none"/>
              </w:rPr>
            </w:pPr>
          </w:p>
        </w:tc>
        <w:tc>
          <w:tcPr>
            <w:tcW w:w="1911" w:type="dxa"/>
            <w:tcBorders>
              <w:top w:val="single" w:color="auto" w:sz="4" w:space="0"/>
              <w:left w:val="single" w:color="auto" w:sz="4" w:space="0"/>
              <w:bottom w:val="single" w:color="auto" w:sz="4" w:space="0"/>
              <w:right w:val="single" w:color="auto" w:sz="4" w:space="0"/>
            </w:tcBorders>
            <w:vAlign w:val="center"/>
          </w:tcPr>
          <w:p w14:paraId="22637C39">
            <w:pPr>
              <w:snapToGrid w:val="0"/>
              <w:spacing w:before="50" w:after="120" w:afterLines="50"/>
              <w:jc w:val="center"/>
              <w:rPr>
                <w:rFonts w:hint="eastAsia" w:ascii="宋体" w:hAnsi="宋体" w:eastAsia="宋体" w:cs="宋体"/>
                <w:color w:val="auto"/>
                <w:sz w:val="21"/>
                <w:szCs w:val="21"/>
                <w:highlight w:val="none"/>
              </w:rPr>
            </w:pPr>
          </w:p>
        </w:tc>
        <w:tc>
          <w:tcPr>
            <w:tcW w:w="1595" w:type="dxa"/>
            <w:tcBorders>
              <w:top w:val="single" w:color="auto" w:sz="4" w:space="0"/>
              <w:left w:val="single" w:color="auto" w:sz="4" w:space="0"/>
              <w:bottom w:val="single" w:color="auto" w:sz="4" w:space="0"/>
              <w:right w:val="single" w:color="auto" w:sz="4" w:space="0"/>
            </w:tcBorders>
            <w:vAlign w:val="center"/>
          </w:tcPr>
          <w:p w14:paraId="3B117771">
            <w:pPr>
              <w:snapToGrid w:val="0"/>
              <w:spacing w:before="50" w:after="120" w:afterLines="50"/>
              <w:jc w:val="center"/>
              <w:rPr>
                <w:rFonts w:hint="eastAsia" w:ascii="宋体" w:hAnsi="宋体" w:eastAsia="宋体" w:cs="宋体"/>
                <w:color w:val="auto"/>
                <w:sz w:val="21"/>
                <w:szCs w:val="21"/>
                <w:highlight w:val="none"/>
              </w:rPr>
            </w:pPr>
          </w:p>
        </w:tc>
        <w:tc>
          <w:tcPr>
            <w:tcW w:w="1907" w:type="dxa"/>
            <w:tcBorders>
              <w:top w:val="single" w:color="auto" w:sz="4" w:space="0"/>
              <w:left w:val="single" w:color="auto" w:sz="4" w:space="0"/>
              <w:bottom w:val="single" w:color="auto" w:sz="4" w:space="0"/>
              <w:right w:val="single" w:color="auto" w:sz="4" w:space="0"/>
            </w:tcBorders>
            <w:vAlign w:val="center"/>
          </w:tcPr>
          <w:p w14:paraId="3766F286">
            <w:pPr>
              <w:snapToGrid w:val="0"/>
              <w:spacing w:before="50" w:after="120" w:afterLines="50"/>
              <w:jc w:val="center"/>
              <w:rPr>
                <w:rFonts w:hint="eastAsia" w:ascii="宋体" w:hAnsi="宋体" w:eastAsia="宋体" w:cs="宋体"/>
                <w:color w:val="auto"/>
                <w:sz w:val="21"/>
                <w:szCs w:val="21"/>
                <w:highlight w:val="none"/>
              </w:rPr>
            </w:pPr>
          </w:p>
        </w:tc>
        <w:tc>
          <w:tcPr>
            <w:tcW w:w="2070" w:type="dxa"/>
            <w:tcBorders>
              <w:top w:val="single" w:color="auto" w:sz="4" w:space="0"/>
              <w:left w:val="single" w:color="auto" w:sz="4" w:space="0"/>
              <w:bottom w:val="single" w:color="auto" w:sz="4" w:space="0"/>
              <w:right w:val="single" w:color="auto" w:sz="4" w:space="0"/>
            </w:tcBorders>
            <w:vAlign w:val="center"/>
          </w:tcPr>
          <w:p w14:paraId="56A8F4DA">
            <w:pPr>
              <w:snapToGrid w:val="0"/>
              <w:spacing w:before="50" w:after="120" w:afterLines="50"/>
              <w:jc w:val="center"/>
              <w:rPr>
                <w:rFonts w:hint="eastAsia" w:ascii="宋体" w:hAnsi="宋体" w:eastAsia="宋体" w:cs="宋体"/>
                <w:color w:val="auto"/>
                <w:sz w:val="21"/>
                <w:szCs w:val="21"/>
                <w:highlight w:val="none"/>
              </w:rPr>
            </w:pPr>
          </w:p>
        </w:tc>
      </w:tr>
      <w:tr w14:paraId="53ABF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6" w:hRule="atLeast"/>
        </w:trPr>
        <w:tc>
          <w:tcPr>
            <w:tcW w:w="917" w:type="dxa"/>
            <w:tcBorders>
              <w:top w:val="single" w:color="auto" w:sz="4" w:space="0"/>
              <w:left w:val="single" w:color="auto" w:sz="4" w:space="0"/>
              <w:bottom w:val="single" w:color="auto" w:sz="4" w:space="0"/>
              <w:right w:val="single" w:color="auto" w:sz="4" w:space="0"/>
            </w:tcBorders>
            <w:vAlign w:val="center"/>
          </w:tcPr>
          <w:p w14:paraId="653AEFC4">
            <w:pPr>
              <w:snapToGrid w:val="0"/>
              <w:spacing w:before="50" w:after="120" w:afterLines="50"/>
              <w:jc w:val="center"/>
              <w:rPr>
                <w:rFonts w:hint="eastAsia" w:ascii="宋体" w:hAnsi="宋体" w:eastAsia="宋体" w:cs="宋体"/>
                <w:color w:val="auto"/>
                <w:sz w:val="21"/>
                <w:szCs w:val="21"/>
                <w:highlight w:val="none"/>
              </w:rPr>
            </w:pPr>
          </w:p>
        </w:tc>
        <w:tc>
          <w:tcPr>
            <w:tcW w:w="796" w:type="dxa"/>
            <w:tcBorders>
              <w:top w:val="single" w:color="auto" w:sz="4" w:space="0"/>
              <w:left w:val="single" w:color="auto" w:sz="4" w:space="0"/>
              <w:bottom w:val="single" w:color="auto" w:sz="4" w:space="0"/>
              <w:right w:val="single" w:color="auto" w:sz="4" w:space="0"/>
            </w:tcBorders>
            <w:vAlign w:val="center"/>
          </w:tcPr>
          <w:p w14:paraId="0DA88F53">
            <w:pPr>
              <w:snapToGrid w:val="0"/>
              <w:spacing w:before="50" w:after="120" w:afterLines="50"/>
              <w:jc w:val="center"/>
              <w:rPr>
                <w:rFonts w:hint="eastAsia" w:ascii="宋体" w:hAnsi="宋体" w:eastAsia="宋体" w:cs="宋体"/>
                <w:color w:val="auto"/>
                <w:sz w:val="21"/>
                <w:szCs w:val="21"/>
                <w:highlight w:val="none"/>
              </w:rPr>
            </w:pPr>
          </w:p>
        </w:tc>
        <w:tc>
          <w:tcPr>
            <w:tcW w:w="1911" w:type="dxa"/>
            <w:tcBorders>
              <w:top w:val="single" w:color="auto" w:sz="4" w:space="0"/>
              <w:left w:val="single" w:color="auto" w:sz="4" w:space="0"/>
              <w:bottom w:val="single" w:color="auto" w:sz="4" w:space="0"/>
              <w:right w:val="single" w:color="auto" w:sz="4" w:space="0"/>
            </w:tcBorders>
            <w:vAlign w:val="center"/>
          </w:tcPr>
          <w:p w14:paraId="3646C1B8">
            <w:pPr>
              <w:snapToGrid w:val="0"/>
              <w:spacing w:before="50" w:after="120" w:afterLines="50"/>
              <w:jc w:val="center"/>
              <w:rPr>
                <w:rFonts w:hint="eastAsia" w:ascii="宋体" w:hAnsi="宋体" w:eastAsia="宋体" w:cs="宋体"/>
                <w:color w:val="auto"/>
                <w:sz w:val="21"/>
                <w:szCs w:val="21"/>
                <w:highlight w:val="none"/>
              </w:rPr>
            </w:pPr>
          </w:p>
        </w:tc>
        <w:tc>
          <w:tcPr>
            <w:tcW w:w="1595" w:type="dxa"/>
            <w:tcBorders>
              <w:top w:val="single" w:color="auto" w:sz="4" w:space="0"/>
              <w:left w:val="single" w:color="auto" w:sz="4" w:space="0"/>
              <w:bottom w:val="single" w:color="auto" w:sz="4" w:space="0"/>
              <w:right w:val="single" w:color="auto" w:sz="4" w:space="0"/>
            </w:tcBorders>
            <w:vAlign w:val="center"/>
          </w:tcPr>
          <w:p w14:paraId="4A682085">
            <w:pPr>
              <w:snapToGrid w:val="0"/>
              <w:spacing w:before="50" w:after="120" w:afterLines="50"/>
              <w:jc w:val="center"/>
              <w:rPr>
                <w:rFonts w:hint="eastAsia" w:ascii="宋体" w:hAnsi="宋体" w:eastAsia="宋体" w:cs="宋体"/>
                <w:color w:val="auto"/>
                <w:sz w:val="21"/>
                <w:szCs w:val="21"/>
                <w:highlight w:val="none"/>
              </w:rPr>
            </w:pPr>
          </w:p>
        </w:tc>
        <w:tc>
          <w:tcPr>
            <w:tcW w:w="1907" w:type="dxa"/>
            <w:tcBorders>
              <w:top w:val="single" w:color="auto" w:sz="4" w:space="0"/>
              <w:left w:val="single" w:color="auto" w:sz="4" w:space="0"/>
              <w:bottom w:val="single" w:color="auto" w:sz="4" w:space="0"/>
              <w:right w:val="single" w:color="auto" w:sz="4" w:space="0"/>
            </w:tcBorders>
            <w:vAlign w:val="center"/>
          </w:tcPr>
          <w:p w14:paraId="603303C2">
            <w:pPr>
              <w:snapToGrid w:val="0"/>
              <w:spacing w:before="50" w:after="120" w:afterLines="50"/>
              <w:jc w:val="center"/>
              <w:rPr>
                <w:rFonts w:hint="eastAsia" w:ascii="宋体" w:hAnsi="宋体" w:eastAsia="宋体" w:cs="宋体"/>
                <w:color w:val="auto"/>
                <w:sz w:val="21"/>
                <w:szCs w:val="21"/>
                <w:highlight w:val="none"/>
              </w:rPr>
            </w:pPr>
          </w:p>
        </w:tc>
        <w:tc>
          <w:tcPr>
            <w:tcW w:w="2070" w:type="dxa"/>
            <w:tcBorders>
              <w:top w:val="single" w:color="auto" w:sz="4" w:space="0"/>
              <w:left w:val="single" w:color="auto" w:sz="4" w:space="0"/>
              <w:bottom w:val="single" w:color="auto" w:sz="4" w:space="0"/>
              <w:right w:val="single" w:color="auto" w:sz="4" w:space="0"/>
            </w:tcBorders>
            <w:vAlign w:val="center"/>
          </w:tcPr>
          <w:p w14:paraId="1ADFE7B1">
            <w:pPr>
              <w:snapToGrid w:val="0"/>
              <w:spacing w:before="50" w:after="120" w:afterLines="50"/>
              <w:jc w:val="center"/>
              <w:rPr>
                <w:rFonts w:hint="eastAsia" w:ascii="宋体" w:hAnsi="宋体" w:eastAsia="宋体" w:cs="宋体"/>
                <w:color w:val="auto"/>
                <w:sz w:val="21"/>
                <w:szCs w:val="21"/>
                <w:highlight w:val="none"/>
              </w:rPr>
            </w:pPr>
          </w:p>
        </w:tc>
      </w:tr>
      <w:tr w14:paraId="6E6EB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6" w:hRule="atLeast"/>
        </w:trPr>
        <w:tc>
          <w:tcPr>
            <w:tcW w:w="917" w:type="dxa"/>
            <w:tcBorders>
              <w:top w:val="single" w:color="auto" w:sz="4" w:space="0"/>
              <w:left w:val="single" w:color="auto" w:sz="4" w:space="0"/>
              <w:bottom w:val="single" w:color="auto" w:sz="4" w:space="0"/>
              <w:right w:val="single" w:color="auto" w:sz="4" w:space="0"/>
            </w:tcBorders>
            <w:vAlign w:val="center"/>
          </w:tcPr>
          <w:p w14:paraId="5BE98BBE">
            <w:pPr>
              <w:snapToGrid w:val="0"/>
              <w:spacing w:before="50" w:after="120" w:afterLines="50"/>
              <w:jc w:val="center"/>
              <w:rPr>
                <w:rFonts w:hint="eastAsia" w:ascii="宋体" w:hAnsi="宋体" w:eastAsia="宋体" w:cs="宋体"/>
                <w:color w:val="auto"/>
                <w:sz w:val="21"/>
                <w:szCs w:val="21"/>
                <w:highlight w:val="none"/>
              </w:rPr>
            </w:pPr>
          </w:p>
        </w:tc>
        <w:tc>
          <w:tcPr>
            <w:tcW w:w="796" w:type="dxa"/>
            <w:tcBorders>
              <w:top w:val="single" w:color="auto" w:sz="4" w:space="0"/>
              <w:left w:val="single" w:color="auto" w:sz="4" w:space="0"/>
              <w:bottom w:val="single" w:color="auto" w:sz="4" w:space="0"/>
              <w:right w:val="single" w:color="auto" w:sz="4" w:space="0"/>
            </w:tcBorders>
            <w:vAlign w:val="center"/>
          </w:tcPr>
          <w:p w14:paraId="3D386227">
            <w:pPr>
              <w:snapToGrid w:val="0"/>
              <w:spacing w:before="50" w:after="120" w:afterLines="50"/>
              <w:jc w:val="center"/>
              <w:rPr>
                <w:rFonts w:hint="eastAsia" w:ascii="宋体" w:hAnsi="宋体" w:eastAsia="宋体" w:cs="宋体"/>
                <w:color w:val="auto"/>
                <w:sz w:val="21"/>
                <w:szCs w:val="21"/>
                <w:highlight w:val="none"/>
              </w:rPr>
            </w:pPr>
          </w:p>
        </w:tc>
        <w:tc>
          <w:tcPr>
            <w:tcW w:w="1911" w:type="dxa"/>
            <w:tcBorders>
              <w:top w:val="single" w:color="auto" w:sz="4" w:space="0"/>
              <w:left w:val="single" w:color="auto" w:sz="4" w:space="0"/>
              <w:bottom w:val="single" w:color="auto" w:sz="4" w:space="0"/>
              <w:right w:val="single" w:color="auto" w:sz="4" w:space="0"/>
            </w:tcBorders>
            <w:vAlign w:val="center"/>
          </w:tcPr>
          <w:p w14:paraId="14544A5F">
            <w:pPr>
              <w:snapToGrid w:val="0"/>
              <w:spacing w:before="50" w:after="120" w:afterLines="50"/>
              <w:jc w:val="center"/>
              <w:rPr>
                <w:rFonts w:hint="eastAsia" w:ascii="宋体" w:hAnsi="宋体" w:eastAsia="宋体" w:cs="宋体"/>
                <w:color w:val="auto"/>
                <w:sz w:val="21"/>
                <w:szCs w:val="21"/>
                <w:highlight w:val="none"/>
              </w:rPr>
            </w:pPr>
          </w:p>
        </w:tc>
        <w:tc>
          <w:tcPr>
            <w:tcW w:w="1595" w:type="dxa"/>
            <w:tcBorders>
              <w:top w:val="single" w:color="auto" w:sz="4" w:space="0"/>
              <w:left w:val="single" w:color="auto" w:sz="4" w:space="0"/>
              <w:bottom w:val="single" w:color="auto" w:sz="4" w:space="0"/>
              <w:right w:val="single" w:color="auto" w:sz="4" w:space="0"/>
            </w:tcBorders>
            <w:vAlign w:val="center"/>
          </w:tcPr>
          <w:p w14:paraId="690D4521">
            <w:pPr>
              <w:snapToGrid w:val="0"/>
              <w:spacing w:before="50" w:after="120" w:afterLines="50"/>
              <w:jc w:val="center"/>
              <w:rPr>
                <w:rFonts w:hint="eastAsia" w:ascii="宋体" w:hAnsi="宋体" w:eastAsia="宋体" w:cs="宋体"/>
                <w:color w:val="auto"/>
                <w:sz w:val="21"/>
                <w:szCs w:val="21"/>
                <w:highlight w:val="none"/>
              </w:rPr>
            </w:pPr>
          </w:p>
        </w:tc>
        <w:tc>
          <w:tcPr>
            <w:tcW w:w="1907" w:type="dxa"/>
            <w:tcBorders>
              <w:top w:val="single" w:color="auto" w:sz="4" w:space="0"/>
              <w:left w:val="single" w:color="auto" w:sz="4" w:space="0"/>
              <w:bottom w:val="single" w:color="auto" w:sz="4" w:space="0"/>
              <w:right w:val="single" w:color="auto" w:sz="4" w:space="0"/>
            </w:tcBorders>
            <w:vAlign w:val="center"/>
          </w:tcPr>
          <w:p w14:paraId="5EDF7E50">
            <w:pPr>
              <w:snapToGrid w:val="0"/>
              <w:spacing w:before="50" w:after="120" w:afterLines="50"/>
              <w:jc w:val="center"/>
              <w:rPr>
                <w:rFonts w:hint="eastAsia" w:ascii="宋体" w:hAnsi="宋体" w:eastAsia="宋体" w:cs="宋体"/>
                <w:color w:val="auto"/>
                <w:sz w:val="21"/>
                <w:szCs w:val="21"/>
                <w:highlight w:val="none"/>
              </w:rPr>
            </w:pPr>
          </w:p>
        </w:tc>
        <w:tc>
          <w:tcPr>
            <w:tcW w:w="2070" w:type="dxa"/>
            <w:tcBorders>
              <w:top w:val="single" w:color="auto" w:sz="4" w:space="0"/>
              <w:left w:val="single" w:color="auto" w:sz="4" w:space="0"/>
              <w:bottom w:val="single" w:color="auto" w:sz="4" w:space="0"/>
              <w:right w:val="single" w:color="auto" w:sz="4" w:space="0"/>
            </w:tcBorders>
            <w:vAlign w:val="center"/>
          </w:tcPr>
          <w:p w14:paraId="5B633E71">
            <w:pPr>
              <w:snapToGrid w:val="0"/>
              <w:spacing w:before="50" w:after="120" w:afterLines="50"/>
              <w:jc w:val="center"/>
              <w:rPr>
                <w:rFonts w:hint="eastAsia" w:ascii="宋体" w:hAnsi="宋体" w:eastAsia="宋体" w:cs="宋体"/>
                <w:color w:val="auto"/>
                <w:sz w:val="21"/>
                <w:szCs w:val="21"/>
                <w:highlight w:val="none"/>
              </w:rPr>
            </w:pPr>
          </w:p>
        </w:tc>
      </w:tr>
    </w:tbl>
    <w:p w14:paraId="352E07E0">
      <w:pPr>
        <w:snapToGrid w:val="0"/>
        <w:spacing w:before="50" w:after="120" w:afterLines="50"/>
        <w:jc w:val="left"/>
        <w:rPr>
          <w:rFonts w:hint="eastAsia" w:ascii="宋体" w:hAnsi="宋体" w:eastAsia="宋体" w:cs="宋体"/>
          <w:color w:val="auto"/>
          <w:sz w:val="21"/>
          <w:szCs w:val="21"/>
          <w:highlight w:val="none"/>
        </w:rPr>
      </w:pPr>
    </w:p>
    <w:p w14:paraId="0AEA3848">
      <w:pPr>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w:t>
      </w:r>
    </w:p>
    <w:p w14:paraId="60C74D4C">
      <w:pPr>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1.在填写时，如本表格不适合投标单位的实际情况，可根据本表格式自行制表填写。</w:t>
      </w:r>
    </w:p>
    <w:p w14:paraId="3B51D432">
      <w:pPr>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2.投标人应当附本表所列证书的复印件并加盖投标人电子签章。</w:t>
      </w:r>
    </w:p>
    <w:p w14:paraId="7D661333">
      <w:pPr>
        <w:spacing w:line="360" w:lineRule="auto"/>
        <w:jc w:val="left"/>
        <w:rPr>
          <w:rFonts w:hint="eastAsia" w:ascii="宋体" w:hAnsi="宋体" w:eastAsia="宋体" w:cs="宋体"/>
          <w:color w:val="auto"/>
          <w:sz w:val="21"/>
          <w:szCs w:val="21"/>
          <w:highlight w:val="none"/>
        </w:rPr>
      </w:pPr>
    </w:p>
    <w:p w14:paraId="6BEF9174">
      <w:pPr>
        <w:spacing w:line="360" w:lineRule="auto"/>
        <w:ind w:firstLine="5000" w:firstLineChars="2000"/>
        <w:jc w:val="left"/>
        <w:rPr>
          <w:rFonts w:hint="eastAsia" w:ascii="宋体" w:hAnsi="宋体" w:eastAsia="宋体" w:cs="宋体"/>
          <w:color w:val="auto"/>
          <w:spacing w:val="20"/>
          <w:sz w:val="21"/>
          <w:szCs w:val="21"/>
          <w:highlight w:val="none"/>
        </w:rPr>
      </w:pPr>
      <w:r>
        <w:rPr>
          <w:rFonts w:hint="eastAsia" w:ascii="宋体" w:hAnsi="宋体" w:eastAsia="宋体" w:cs="宋体"/>
          <w:color w:val="auto"/>
          <w:spacing w:val="20"/>
          <w:sz w:val="21"/>
          <w:szCs w:val="21"/>
          <w:highlight w:val="none"/>
        </w:rPr>
        <w:t>投标人名称（电子签章）：</w:t>
      </w:r>
    </w:p>
    <w:p w14:paraId="4656F1B6">
      <w:pPr>
        <w:spacing w:line="360" w:lineRule="auto"/>
        <w:ind w:firstLine="5000" w:firstLineChars="2000"/>
        <w:jc w:val="left"/>
        <w:rPr>
          <w:rFonts w:hint="eastAsia" w:ascii="宋体" w:hAnsi="宋体" w:eastAsia="宋体" w:cs="宋体"/>
          <w:color w:val="auto"/>
          <w:sz w:val="21"/>
          <w:szCs w:val="21"/>
          <w:highlight w:val="none"/>
        </w:rPr>
      </w:pPr>
      <w:r>
        <w:rPr>
          <w:rFonts w:hint="eastAsia" w:ascii="宋体" w:hAnsi="宋体" w:eastAsia="宋体" w:cs="宋体"/>
          <w:color w:val="auto"/>
          <w:spacing w:val="20"/>
          <w:sz w:val="21"/>
          <w:szCs w:val="21"/>
          <w:highlight w:val="none"/>
        </w:rPr>
        <w:t xml:space="preserve">日 期：     </w:t>
      </w:r>
      <w:r>
        <w:rPr>
          <w:rFonts w:hint="eastAsia" w:ascii="宋体" w:hAnsi="宋体" w:eastAsia="宋体" w:cs="宋体"/>
          <w:color w:val="auto"/>
          <w:sz w:val="21"/>
          <w:szCs w:val="21"/>
          <w:highlight w:val="none"/>
        </w:rPr>
        <w:t>年    月    日</w:t>
      </w:r>
    </w:p>
    <w:p w14:paraId="1EBEA9F3">
      <w:pPr>
        <w:rPr>
          <w:rFonts w:hint="eastAsia" w:ascii="宋体" w:hAnsi="宋体" w:eastAsia="宋体" w:cs="宋体"/>
          <w:b/>
          <w:color w:val="auto"/>
          <w:sz w:val="28"/>
          <w:szCs w:val="28"/>
          <w:highlight w:val="none"/>
        </w:rPr>
      </w:pPr>
    </w:p>
    <w:p w14:paraId="5AD6CD2F">
      <w:pPr>
        <w:pStyle w:val="43"/>
        <w:ind w:firstLine="422"/>
        <w:rPr>
          <w:rFonts w:hint="eastAsia" w:ascii="宋体" w:hAnsi="宋体" w:eastAsia="宋体" w:cs="宋体"/>
          <w:color w:val="auto"/>
          <w:highlight w:val="none"/>
        </w:rPr>
      </w:pPr>
    </w:p>
    <w:p w14:paraId="191C59F6">
      <w:pPr>
        <w:rPr>
          <w:rFonts w:hint="eastAsia" w:ascii="宋体" w:hAnsi="宋体" w:eastAsia="宋体" w:cs="宋体"/>
          <w:color w:val="auto"/>
          <w:highlight w:val="none"/>
        </w:rPr>
      </w:pPr>
    </w:p>
    <w:p w14:paraId="0192EFA2">
      <w:pPr>
        <w:pStyle w:val="43"/>
        <w:ind w:firstLine="422"/>
        <w:rPr>
          <w:rFonts w:hint="eastAsia" w:ascii="宋体" w:hAnsi="宋体" w:eastAsia="宋体" w:cs="宋体"/>
          <w:color w:val="auto"/>
          <w:highlight w:val="none"/>
        </w:rPr>
      </w:pPr>
    </w:p>
    <w:p w14:paraId="08DF8E89">
      <w:pPr>
        <w:rPr>
          <w:rFonts w:hint="eastAsia" w:ascii="宋体" w:hAnsi="宋体" w:eastAsia="宋体" w:cs="宋体"/>
          <w:color w:val="auto"/>
          <w:highlight w:val="none"/>
        </w:rPr>
      </w:pPr>
    </w:p>
    <w:p w14:paraId="4B611B6B">
      <w:pPr>
        <w:pStyle w:val="43"/>
        <w:ind w:firstLine="422"/>
        <w:rPr>
          <w:rFonts w:hint="eastAsia" w:ascii="宋体" w:hAnsi="宋体" w:eastAsia="宋体" w:cs="宋体"/>
          <w:color w:val="auto"/>
          <w:highlight w:val="none"/>
        </w:rPr>
      </w:pPr>
    </w:p>
    <w:p w14:paraId="00DCCB5D">
      <w:pPr>
        <w:rPr>
          <w:rFonts w:hint="eastAsia" w:ascii="宋体" w:hAnsi="宋体" w:eastAsia="宋体" w:cs="宋体"/>
          <w:b/>
          <w:color w:val="auto"/>
          <w:sz w:val="28"/>
          <w:szCs w:val="28"/>
          <w:highlight w:val="none"/>
        </w:rPr>
      </w:pPr>
    </w:p>
    <w:p w14:paraId="72119E97">
      <w:pPr>
        <w:rPr>
          <w:rFonts w:hint="eastAsia" w:ascii="宋体" w:hAnsi="宋体" w:eastAsia="宋体" w:cs="宋体"/>
          <w:b/>
          <w:color w:val="auto"/>
          <w:sz w:val="28"/>
          <w:szCs w:val="28"/>
          <w:highlight w:val="none"/>
        </w:rPr>
      </w:pPr>
    </w:p>
    <w:bookmarkEnd w:id="169"/>
    <w:p w14:paraId="07413B54">
      <w:pPr>
        <w:snapToGrid w:val="0"/>
        <w:spacing w:before="50" w:after="120" w:afterLines="50"/>
        <w:jc w:val="left"/>
        <w:rPr>
          <w:rFonts w:hint="eastAsia" w:ascii="宋体" w:hAnsi="宋体" w:eastAsia="宋体" w:cs="宋体"/>
          <w:color w:val="auto"/>
          <w:sz w:val="24"/>
          <w:szCs w:val="20"/>
          <w:highlight w:val="none"/>
        </w:rPr>
      </w:pPr>
    </w:p>
    <w:p w14:paraId="2834B267">
      <w:pPr>
        <w:widowControl/>
        <w:jc w:val="left"/>
        <w:rPr>
          <w:rFonts w:hint="eastAsia" w:ascii="宋体" w:hAnsi="宋体" w:eastAsia="宋体" w:cs="宋体"/>
          <w:b/>
          <w:color w:val="auto"/>
          <w:sz w:val="24"/>
          <w:highlight w:val="none"/>
        </w:rPr>
      </w:pPr>
      <w:r>
        <w:rPr>
          <w:rFonts w:hint="eastAsia" w:ascii="宋体" w:hAnsi="宋体" w:eastAsia="宋体" w:cs="宋体"/>
          <w:b/>
          <w:bCs/>
          <w:color w:val="auto"/>
          <w:sz w:val="24"/>
          <w:highlight w:val="none"/>
        </w:rPr>
        <w:br w:type="page"/>
      </w:r>
    </w:p>
    <w:p w14:paraId="1C4105F6">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质疑函（格式）</w:t>
      </w:r>
    </w:p>
    <w:p w14:paraId="46B08D50">
      <w:pPr>
        <w:pStyle w:val="31"/>
        <w:spacing w:line="300" w:lineRule="exact"/>
        <w:ind w:firstLine="400"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一、质疑供应商基本信息：</w:t>
      </w:r>
    </w:p>
    <w:p w14:paraId="0C2E6180">
      <w:pPr>
        <w:pStyle w:val="31"/>
        <w:spacing w:line="300" w:lineRule="exact"/>
        <w:ind w:firstLine="398" w:firstLineChars="200"/>
        <w:rPr>
          <w:rFonts w:hint="eastAsia" w:ascii="宋体" w:hAnsi="宋体" w:eastAsia="宋体" w:cs="宋体"/>
          <w:bCs/>
          <w:color w:val="auto"/>
          <w:sz w:val="21"/>
          <w:szCs w:val="21"/>
          <w:highlight w:val="none"/>
          <w:u w:val="single"/>
        </w:rPr>
      </w:pPr>
      <w:r>
        <w:rPr>
          <w:rFonts w:hint="eastAsia" w:ascii="宋体" w:hAnsi="宋体" w:eastAsia="宋体" w:cs="宋体"/>
          <w:bCs/>
          <w:color w:val="auto"/>
          <w:sz w:val="21"/>
          <w:szCs w:val="21"/>
          <w:highlight w:val="none"/>
        </w:rPr>
        <w:t>质疑供应商：</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 xml:space="preserve">                 </w:t>
      </w:r>
    </w:p>
    <w:p w14:paraId="32C9BD89">
      <w:pPr>
        <w:pStyle w:val="31"/>
        <w:spacing w:line="300" w:lineRule="exact"/>
        <w:ind w:firstLine="398"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地址：</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邮编：</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 xml:space="preserve">                 </w:t>
      </w:r>
    </w:p>
    <w:p w14:paraId="4FC212FB">
      <w:pPr>
        <w:pStyle w:val="31"/>
        <w:spacing w:line="300" w:lineRule="exact"/>
        <w:ind w:firstLine="398"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联系人：</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联系电话：</w:t>
      </w:r>
      <w:r>
        <w:rPr>
          <w:rFonts w:hint="eastAsia" w:ascii="宋体" w:hAnsi="宋体" w:eastAsia="宋体" w:cs="宋体"/>
          <w:bCs/>
          <w:color w:val="auto"/>
          <w:sz w:val="21"/>
          <w:szCs w:val="21"/>
          <w:highlight w:val="none"/>
          <w:u w:val="single"/>
        </w:rPr>
        <w:t xml:space="preserve">                 </w:t>
      </w:r>
    </w:p>
    <w:p w14:paraId="6ED8506A">
      <w:pPr>
        <w:pStyle w:val="31"/>
        <w:spacing w:line="300" w:lineRule="exact"/>
        <w:ind w:firstLine="398"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授权代表：</w:t>
      </w:r>
      <w:r>
        <w:rPr>
          <w:rFonts w:hint="eastAsia" w:ascii="宋体" w:hAnsi="宋体" w:eastAsia="宋体" w:cs="宋体"/>
          <w:bCs/>
          <w:color w:val="auto"/>
          <w:sz w:val="21"/>
          <w:szCs w:val="21"/>
          <w:highlight w:val="none"/>
          <w:u w:val="single"/>
        </w:rPr>
        <w:t xml:space="preserve">                      </w:t>
      </w:r>
    </w:p>
    <w:p w14:paraId="31B46B2C">
      <w:pPr>
        <w:pStyle w:val="31"/>
        <w:spacing w:line="300" w:lineRule="exact"/>
        <w:ind w:firstLine="398" w:firstLineChars="200"/>
        <w:rPr>
          <w:rFonts w:hint="eastAsia" w:ascii="宋体" w:hAnsi="宋体" w:eastAsia="宋体" w:cs="宋体"/>
          <w:bCs/>
          <w:color w:val="auto"/>
          <w:sz w:val="21"/>
          <w:szCs w:val="21"/>
          <w:highlight w:val="none"/>
          <w:u w:val="single"/>
        </w:rPr>
      </w:pPr>
      <w:r>
        <w:rPr>
          <w:rFonts w:hint="eastAsia" w:ascii="宋体" w:hAnsi="宋体" w:eastAsia="宋体" w:cs="宋体"/>
          <w:bCs/>
          <w:color w:val="auto"/>
          <w:sz w:val="21"/>
          <w:szCs w:val="21"/>
          <w:highlight w:val="none"/>
        </w:rPr>
        <w:t>联系电话：</w:t>
      </w:r>
      <w:r>
        <w:rPr>
          <w:rFonts w:hint="eastAsia" w:ascii="宋体" w:hAnsi="宋体" w:eastAsia="宋体" w:cs="宋体"/>
          <w:bCs/>
          <w:color w:val="auto"/>
          <w:sz w:val="21"/>
          <w:szCs w:val="21"/>
          <w:highlight w:val="none"/>
          <w:u w:val="single"/>
        </w:rPr>
        <w:t xml:space="preserve">                      </w:t>
      </w:r>
    </w:p>
    <w:p w14:paraId="4C8B9E86">
      <w:pPr>
        <w:pStyle w:val="31"/>
        <w:spacing w:line="300" w:lineRule="exact"/>
        <w:ind w:firstLine="398"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地址：</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邮编：</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 xml:space="preserve">     </w:t>
      </w:r>
    </w:p>
    <w:p w14:paraId="5A61B216">
      <w:pPr>
        <w:pStyle w:val="31"/>
        <w:spacing w:line="300" w:lineRule="exact"/>
        <w:ind w:firstLine="400"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二、质疑项目基本情况：</w:t>
      </w:r>
    </w:p>
    <w:p w14:paraId="4D2FA058">
      <w:pPr>
        <w:pStyle w:val="31"/>
        <w:spacing w:line="300" w:lineRule="exact"/>
        <w:ind w:left="25" w:leftChars="12" w:firstLine="392" w:firstLineChars="197"/>
        <w:contextualSpacing/>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质疑</w:t>
      </w:r>
      <w:r>
        <w:rPr>
          <w:rFonts w:hint="eastAsia" w:ascii="宋体" w:hAnsi="宋体" w:eastAsia="宋体" w:cs="宋体"/>
          <w:color w:val="auto"/>
          <w:sz w:val="21"/>
          <w:szCs w:val="21"/>
          <w:highlight w:val="none"/>
        </w:rPr>
        <w:t>项目的名称：</w:t>
      </w:r>
      <w:r>
        <w:rPr>
          <w:rFonts w:hint="eastAsia" w:ascii="宋体" w:hAnsi="宋体" w:eastAsia="宋体" w:cs="宋体"/>
          <w:bCs/>
          <w:color w:val="auto"/>
          <w:sz w:val="21"/>
          <w:szCs w:val="21"/>
          <w:highlight w:val="none"/>
          <w:u w:val="single"/>
          <w:lang w:val="en-US" w:eastAsia="zh-CN"/>
        </w:rPr>
        <w:t xml:space="preserve">                        </w:t>
      </w:r>
      <w:r>
        <w:rPr>
          <w:rFonts w:hint="eastAsia" w:ascii="宋体" w:hAnsi="宋体" w:eastAsia="宋体" w:cs="宋体"/>
          <w:bCs/>
          <w:color w:val="auto"/>
          <w:sz w:val="21"/>
          <w:szCs w:val="21"/>
          <w:highlight w:val="none"/>
          <w:u w:val="single"/>
        </w:rPr>
        <w:t xml:space="preserve"> </w:t>
      </w:r>
    </w:p>
    <w:p w14:paraId="45BC5ABB">
      <w:pPr>
        <w:pStyle w:val="31"/>
        <w:spacing w:line="300" w:lineRule="exact"/>
        <w:ind w:left="25" w:leftChars="12" w:firstLine="392" w:firstLineChars="197"/>
        <w:contextualSpacing/>
        <w:rPr>
          <w:rFonts w:hint="eastAsia" w:ascii="宋体" w:hAnsi="宋体" w:eastAsia="宋体" w:cs="宋体"/>
          <w:color w:val="auto"/>
          <w:sz w:val="21"/>
          <w:szCs w:val="21"/>
          <w:highlight w:val="none"/>
          <w:lang w:val="en-US"/>
        </w:rPr>
      </w:pPr>
      <w:r>
        <w:rPr>
          <w:rFonts w:hint="eastAsia" w:ascii="宋体" w:hAnsi="宋体" w:eastAsia="宋体" w:cs="宋体"/>
          <w:bCs/>
          <w:color w:val="auto"/>
          <w:sz w:val="21"/>
          <w:szCs w:val="21"/>
          <w:highlight w:val="none"/>
        </w:rPr>
        <w:t>质疑</w:t>
      </w:r>
      <w:r>
        <w:rPr>
          <w:rFonts w:hint="eastAsia" w:ascii="宋体" w:hAnsi="宋体" w:eastAsia="宋体" w:cs="宋体"/>
          <w:color w:val="auto"/>
          <w:sz w:val="21"/>
          <w:szCs w:val="21"/>
          <w:highlight w:val="none"/>
        </w:rPr>
        <w:t>项目的编号：</w:t>
      </w:r>
      <w:r>
        <w:rPr>
          <w:rFonts w:hint="eastAsia" w:ascii="宋体" w:hAnsi="宋体" w:eastAsia="宋体" w:cs="宋体"/>
          <w:bCs/>
          <w:color w:val="auto"/>
          <w:sz w:val="21"/>
          <w:szCs w:val="21"/>
          <w:highlight w:val="none"/>
          <w:u w:val="single"/>
          <w:lang w:val="en-US" w:eastAsia="zh-CN"/>
        </w:rPr>
        <w:t xml:space="preserve">                         </w:t>
      </w:r>
    </w:p>
    <w:p w14:paraId="62A34E83">
      <w:pPr>
        <w:pStyle w:val="31"/>
        <w:spacing w:line="300" w:lineRule="exact"/>
        <w:ind w:left="25" w:leftChars="12" w:firstLine="392" w:firstLineChars="197"/>
        <w:contextualSpacing/>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采购人名称：</w:t>
      </w:r>
      <w:r>
        <w:rPr>
          <w:rFonts w:hint="eastAsia" w:ascii="宋体" w:hAnsi="宋体" w:eastAsia="宋体" w:cs="宋体"/>
          <w:bCs/>
          <w:color w:val="auto"/>
          <w:sz w:val="21"/>
          <w:szCs w:val="21"/>
          <w:highlight w:val="none"/>
          <w:u w:val="single"/>
          <w:lang w:val="en-US" w:eastAsia="zh-CN"/>
        </w:rPr>
        <w:t xml:space="preserve">                             </w:t>
      </w:r>
    </w:p>
    <w:p w14:paraId="0A8D4001">
      <w:pPr>
        <w:pStyle w:val="31"/>
        <w:spacing w:line="300" w:lineRule="exact"/>
        <w:ind w:left="25" w:leftChars="12" w:firstLine="392" w:firstLineChars="197"/>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质疑事项：</w:t>
      </w:r>
    </w:p>
    <w:p w14:paraId="7E8B0E67">
      <w:pPr>
        <w:pStyle w:val="31"/>
        <w:spacing w:line="300" w:lineRule="exact"/>
        <w:ind w:left="25" w:leftChars="12" w:firstLine="292" w:firstLineChars="147"/>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□采购文件   采购文件获取日期：</w:t>
      </w:r>
      <w:r>
        <w:rPr>
          <w:rFonts w:hint="eastAsia" w:ascii="宋体" w:hAnsi="宋体" w:eastAsia="宋体" w:cs="宋体"/>
          <w:bCs/>
          <w:color w:val="auto"/>
          <w:sz w:val="21"/>
          <w:szCs w:val="21"/>
          <w:highlight w:val="none"/>
          <w:u w:val="single"/>
        </w:rPr>
        <w:t xml:space="preserve">                                   </w:t>
      </w:r>
    </w:p>
    <w:p w14:paraId="01E6F8D7">
      <w:pPr>
        <w:pStyle w:val="31"/>
        <w:spacing w:line="300" w:lineRule="exact"/>
        <w:ind w:left="25" w:leftChars="12" w:firstLine="292" w:firstLineChars="147"/>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□采购过程   </w:t>
      </w:r>
    </w:p>
    <w:p w14:paraId="7576FF16">
      <w:pPr>
        <w:pStyle w:val="31"/>
        <w:spacing w:line="300" w:lineRule="exact"/>
        <w:ind w:left="25" w:leftChars="12" w:firstLine="292" w:firstLineChars="147"/>
        <w:contextualSpacing/>
        <w:rPr>
          <w:rFonts w:hint="eastAsia" w:ascii="宋体" w:hAnsi="宋体" w:eastAsia="宋体" w:cs="宋体"/>
          <w:bCs/>
          <w:color w:val="auto"/>
          <w:sz w:val="21"/>
          <w:szCs w:val="21"/>
          <w:highlight w:val="none"/>
          <w:u w:val="single"/>
        </w:rPr>
      </w:pPr>
      <w:r>
        <w:rPr>
          <w:rFonts w:hint="eastAsia" w:ascii="宋体" w:hAnsi="宋体" w:eastAsia="宋体" w:cs="宋体"/>
          <w:color w:val="auto"/>
          <w:sz w:val="21"/>
          <w:szCs w:val="21"/>
          <w:highlight w:val="none"/>
        </w:rPr>
        <w:t xml:space="preserve">□成交结果   </w:t>
      </w:r>
    </w:p>
    <w:p w14:paraId="3BA12ADC">
      <w:pPr>
        <w:pStyle w:val="31"/>
        <w:spacing w:line="300" w:lineRule="exact"/>
        <w:ind w:left="25" w:leftChars="12" w:firstLine="392" w:firstLineChars="196"/>
        <w:contextualSpacing/>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三、质疑事项具体内容</w:t>
      </w:r>
    </w:p>
    <w:p w14:paraId="36AC5D7D">
      <w:pPr>
        <w:pStyle w:val="31"/>
        <w:spacing w:line="300" w:lineRule="exact"/>
        <w:ind w:left="25" w:leftChars="12" w:firstLine="392" w:firstLineChars="197"/>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质疑事项1：</w:t>
      </w:r>
      <w:r>
        <w:rPr>
          <w:rFonts w:hint="eastAsia" w:ascii="宋体" w:hAnsi="宋体" w:eastAsia="宋体" w:cs="宋体"/>
          <w:bCs/>
          <w:color w:val="auto"/>
          <w:sz w:val="21"/>
          <w:szCs w:val="21"/>
          <w:highlight w:val="none"/>
          <w:u w:val="single"/>
        </w:rPr>
        <w:t xml:space="preserve">                                                                    </w:t>
      </w:r>
    </w:p>
    <w:p w14:paraId="03CE3B97">
      <w:pPr>
        <w:pStyle w:val="31"/>
        <w:spacing w:line="300" w:lineRule="exact"/>
        <w:ind w:left="25" w:leftChars="12" w:firstLine="392" w:firstLineChars="197"/>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事实依据：</w:t>
      </w:r>
      <w:r>
        <w:rPr>
          <w:rFonts w:hint="eastAsia" w:ascii="宋体" w:hAnsi="宋体" w:eastAsia="宋体" w:cs="宋体"/>
          <w:bCs/>
          <w:color w:val="auto"/>
          <w:sz w:val="21"/>
          <w:szCs w:val="21"/>
          <w:highlight w:val="none"/>
          <w:u w:val="single"/>
        </w:rPr>
        <w:t xml:space="preserve">                                                                      </w:t>
      </w:r>
    </w:p>
    <w:p w14:paraId="1A9D8B47">
      <w:pPr>
        <w:pStyle w:val="31"/>
        <w:spacing w:line="300" w:lineRule="exact"/>
        <w:ind w:left="25" w:leftChars="12" w:firstLine="392" w:firstLineChars="197"/>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法律依据：</w:t>
      </w:r>
      <w:r>
        <w:rPr>
          <w:rFonts w:hint="eastAsia" w:ascii="宋体" w:hAnsi="宋体" w:eastAsia="宋体" w:cs="宋体"/>
          <w:color w:val="auto"/>
          <w:sz w:val="21"/>
          <w:szCs w:val="21"/>
          <w:highlight w:val="none"/>
          <w:u w:val="single"/>
        </w:rPr>
        <w:t xml:space="preserve">                                                        </w:t>
      </w:r>
      <w:r>
        <w:rPr>
          <w:rFonts w:hint="eastAsia" w:ascii="宋体" w:hAnsi="宋体" w:eastAsia="宋体" w:cs="宋体"/>
          <w:bCs/>
          <w:color w:val="auto"/>
          <w:sz w:val="21"/>
          <w:szCs w:val="21"/>
          <w:highlight w:val="none"/>
          <w:u w:val="single"/>
        </w:rPr>
        <w:t xml:space="preserve">               </w:t>
      </w:r>
    </w:p>
    <w:p w14:paraId="498894A2">
      <w:pPr>
        <w:pStyle w:val="31"/>
        <w:spacing w:line="300" w:lineRule="exact"/>
        <w:ind w:left="25" w:leftChars="12" w:firstLine="392" w:firstLineChars="197"/>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质疑事项2</w:t>
      </w:r>
    </w:p>
    <w:p w14:paraId="21CF4349">
      <w:pPr>
        <w:pStyle w:val="31"/>
        <w:spacing w:line="300" w:lineRule="exact"/>
        <w:ind w:left="25" w:leftChars="12" w:firstLine="392" w:firstLineChars="197"/>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p w14:paraId="6DA2C36B">
      <w:pPr>
        <w:pStyle w:val="31"/>
        <w:spacing w:line="300" w:lineRule="exact"/>
        <w:ind w:left="25" w:leftChars="12" w:firstLine="392" w:firstLineChars="197"/>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四、与质疑事项相关的质疑请求：</w:t>
      </w:r>
    </w:p>
    <w:p w14:paraId="076D0577">
      <w:pPr>
        <w:pStyle w:val="31"/>
        <w:spacing w:line="300" w:lineRule="exact"/>
        <w:ind w:left="25" w:leftChars="12" w:firstLine="392" w:firstLineChars="197"/>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请求：</w:t>
      </w:r>
      <w:r>
        <w:rPr>
          <w:rFonts w:hint="eastAsia" w:ascii="宋体" w:hAnsi="宋体" w:eastAsia="宋体" w:cs="宋体"/>
          <w:bCs/>
          <w:color w:val="auto"/>
          <w:sz w:val="21"/>
          <w:szCs w:val="21"/>
          <w:highlight w:val="none"/>
          <w:u w:val="single"/>
        </w:rPr>
        <w:t xml:space="preserve">                                                                </w:t>
      </w:r>
    </w:p>
    <w:p w14:paraId="700215B8">
      <w:pPr>
        <w:pStyle w:val="31"/>
        <w:spacing w:line="300" w:lineRule="exact"/>
        <w:ind w:left="25" w:leftChars="12" w:firstLine="292" w:firstLineChars="147"/>
        <w:contextualSpacing/>
        <w:rPr>
          <w:rFonts w:hint="eastAsia" w:ascii="宋体" w:hAnsi="宋体" w:eastAsia="宋体" w:cs="宋体"/>
          <w:color w:val="auto"/>
          <w:sz w:val="21"/>
          <w:szCs w:val="21"/>
          <w:highlight w:val="none"/>
        </w:rPr>
      </w:pPr>
    </w:p>
    <w:p w14:paraId="14778FBE">
      <w:pPr>
        <w:pStyle w:val="31"/>
        <w:spacing w:line="300" w:lineRule="exact"/>
        <w:ind w:left="25" w:leftChars="12" w:firstLine="392" w:firstLineChars="197"/>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签字（签章）：                                       公章：</w:t>
      </w:r>
    </w:p>
    <w:p w14:paraId="0EAE12C2">
      <w:pPr>
        <w:pStyle w:val="31"/>
        <w:spacing w:line="300" w:lineRule="exact"/>
        <w:ind w:left="25" w:leftChars="12" w:firstLine="292" w:firstLineChars="147"/>
        <w:contextualSpacing/>
        <w:rPr>
          <w:rFonts w:hint="eastAsia" w:ascii="宋体" w:hAnsi="宋体" w:eastAsia="宋体" w:cs="宋体"/>
          <w:color w:val="auto"/>
          <w:sz w:val="21"/>
          <w:szCs w:val="21"/>
          <w:highlight w:val="none"/>
        </w:rPr>
      </w:pPr>
    </w:p>
    <w:p w14:paraId="0D983482">
      <w:pPr>
        <w:pStyle w:val="31"/>
        <w:spacing w:line="300" w:lineRule="exact"/>
        <w:ind w:left="25" w:leftChars="12" w:firstLine="392" w:firstLineChars="197"/>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日期：</w:t>
      </w:r>
    </w:p>
    <w:p w14:paraId="7B4DB2B3">
      <w:pPr>
        <w:pStyle w:val="31"/>
        <w:spacing w:line="300" w:lineRule="exact"/>
        <w:rPr>
          <w:rFonts w:hint="eastAsia" w:ascii="宋体" w:hAnsi="宋体" w:eastAsia="宋体" w:cs="宋体"/>
          <w:b/>
          <w:color w:val="auto"/>
          <w:sz w:val="21"/>
          <w:szCs w:val="21"/>
          <w:highlight w:val="none"/>
        </w:rPr>
      </w:pPr>
    </w:p>
    <w:p w14:paraId="03BA750F">
      <w:pPr>
        <w:pStyle w:val="31"/>
        <w:spacing w:line="300" w:lineRule="exac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说明：</w:t>
      </w:r>
    </w:p>
    <w:p w14:paraId="12F59A71">
      <w:pPr>
        <w:pStyle w:val="31"/>
        <w:spacing w:line="300" w:lineRule="exact"/>
        <w:ind w:left="25" w:leftChars="12" w:firstLine="294" w:firstLineChars="147"/>
        <w:contextualSpacing/>
        <w:rPr>
          <w:rFonts w:hint="eastAsia" w:ascii="宋体" w:hAnsi="宋体" w:eastAsia="宋体" w:cs="宋体"/>
          <w:b/>
          <w:bCs/>
          <w:color w:val="auto"/>
          <w:sz w:val="21"/>
          <w:szCs w:val="21"/>
          <w:highlight w:val="none"/>
        </w:rPr>
      </w:pPr>
      <w:r>
        <w:rPr>
          <w:rFonts w:hint="eastAsia" w:ascii="宋体" w:hAnsi="宋体" w:eastAsia="宋体" w:cs="宋体"/>
          <w:b/>
          <w:color w:val="auto"/>
          <w:sz w:val="21"/>
          <w:szCs w:val="21"/>
          <w:highlight w:val="none"/>
        </w:rPr>
        <w:t>1.供应商提出质疑时，应提交质疑函和必要的证明材料</w:t>
      </w:r>
      <w:r>
        <w:rPr>
          <w:rFonts w:hint="eastAsia" w:ascii="宋体" w:hAnsi="宋体" w:eastAsia="宋体" w:cs="宋体"/>
          <w:b/>
          <w:bCs/>
          <w:color w:val="auto"/>
          <w:sz w:val="21"/>
          <w:szCs w:val="21"/>
          <w:highlight w:val="none"/>
        </w:rPr>
        <w:t>。</w:t>
      </w:r>
    </w:p>
    <w:p w14:paraId="07DE1EF8">
      <w:pPr>
        <w:pStyle w:val="31"/>
        <w:spacing w:line="300" w:lineRule="exact"/>
        <w:ind w:left="25" w:leftChars="12" w:firstLine="294" w:firstLineChars="147"/>
        <w:contextualSpacing/>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377CF47F">
      <w:pPr>
        <w:pStyle w:val="31"/>
        <w:spacing w:line="300" w:lineRule="exact"/>
        <w:ind w:left="25" w:leftChars="12" w:firstLine="294" w:firstLineChars="147"/>
        <w:contextualSpacing/>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3.质疑函的质疑事项应具体、明确，并有必要的事实依据和法律依据。</w:t>
      </w:r>
    </w:p>
    <w:p w14:paraId="1FD0709D">
      <w:pPr>
        <w:pStyle w:val="31"/>
        <w:spacing w:line="300" w:lineRule="exact"/>
        <w:ind w:left="25" w:leftChars="12" w:firstLine="294" w:firstLineChars="147"/>
        <w:contextualSpacing/>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4.质疑函的质疑请求应与质疑事项相关。</w:t>
      </w:r>
    </w:p>
    <w:p w14:paraId="408EF46B">
      <w:pPr>
        <w:pStyle w:val="31"/>
        <w:spacing w:line="300" w:lineRule="exact"/>
        <w:ind w:left="25" w:leftChars="12" w:firstLine="294" w:firstLineChars="147"/>
        <w:contextualSpacing/>
        <w:rPr>
          <w:rFonts w:hint="eastAsia" w:ascii="宋体" w:hAnsi="宋体" w:eastAsia="宋体" w:cs="宋体"/>
          <w:b/>
          <w:color w:val="auto"/>
          <w:highlight w:val="none"/>
        </w:rPr>
      </w:pPr>
      <w:r>
        <w:rPr>
          <w:rFonts w:hint="eastAsia" w:ascii="宋体" w:hAnsi="宋体" w:eastAsia="宋体" w:cs="宋体"/>
          <w:b/>
          <w:color w:val="auto"/>
          <w:sz w:val="21"/>
          <w:szCs w:val="21"/>
          <w:highlight w:val="none"/>
        </w:rPr>
        <w:t>5.质疑供应商为法人或者其他组织的，质疑函应由法定代表人、主要负责人，或者其授权代表签字或者盖章，并加盖公章。</w:t>
      </w:r>
    </w:p>
    <w:p w14:paraId="02D93E88">
      <w:pPr>
        <w:pStyle w:val="31"/>
        <w:snapToGrid w:val="0"/>
        <w:rPr>
          <w:rFonts w:hint="eastAsia" w:ascii="宋体" w:hAnsi="宋体" w:eastAsia="宋体" w:cs="宋体"/>
          <w:b/>
          <w:color w:val="auto"/>
          <w:sz w:val="24"/>
          <w:szCs w:val="24"/>
          <w:highlight w:val="none"/>
        </w:rPr>
      </w:pPr>
    </w:p>
    <w:p w14:paraId="61159AA2">
      <w:pPr>
        <w:spacing w:line="460" w:lineRule="exact"/>
        <w:jc w:val="center"/>
        <w:rPr>
          <w:rFonts w:hint="eastAsia" w:ascii="宋体" w:hAnsi="宋体" w:eastAsia="宋体" w:cs="宋体"/>
          <w:color w:val="auto"/>
          <w:sz w:val="44"/>
          <w:highlight w:val="none"/>
        </w:rPr>
      </w:pPr>
      <w:r>
        <w:rPr>
          <w:rFonts w:hint="eastAsia" w:ascii="宋体" w:hAnsi="宋体" w:eastAsia="宋体" w:cs="宋体"/>
          <w:color w:val="auto"/>
          <w:sz w:val="44"/>
          <w:highlight w:val="none"/>
        </w:rPr>
        <w:br w:type="page"/>
      </w:r>
    </w:p>
    <w:p w14:paraId="05279B87">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投诉书（格式）</w:t>
      </w:r>
    </w:p>
    <w:p w14:paraId="19AB224A">
      <w:pPr>
        <w:pStyle w:val="31"/>
        <w:snapToGrid w:val="0"/>
        <w:spacing w:line="300" w:lineRule="exact"/>
        <w:ind w:firstLine="400"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一、投诉相关主体基本情况：</w:t>
      </w:r>
    </w:p>
    <w:p w14:paraId="7DF4B65A">
      <w:pPr>
        <w:pStyle w:val="31"/>
        <w:snapToGrid w:val="0"/>
        <w:spacing w:line="300" w:lineRule="exact"/>
        <w:ind w:firstLine="398" w:firstLineChars="200"/>
        <w:rPr>
          <w:rFonts w:hint="eastAsia" w:ascii="宋体" w:hAnsi="宋体" w:eastAsia="宋体" w:cs="宋体"/>
          <w:bCs/>
          <w:color w:val="auto"/>
          <w:sz w:val="21"/>
          <w:szCs w:val="21"/>
          <w:highlight w:val="none"/>
          <w:u w:val="single"/>
        </w:rPr>
      </w:pPr>
      <w:r>
        <w:rPr>
          <w:rFonts w:hint="eastAsia" w:ascii="宋体" w:hAnsi="宋体" w:eastAsia="宋体" w:cs="宋体"/>
          <w:bCs/>
          <w:color w:val="auto"/>
          <w:sz w:val="21"/>
          <w:szCs w:val="21"/>
          <w:highlight w:val="none"/>
        </w:rPr>
        <w:t>供应商：</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 xml:space="preserve">                 </w:t>
      </w:r>
    </w:p>
    <w:p w14:paraId="5CB3EE55">
      <w:pPr>
        <w:pStyle w:val="31"/>
        <w:snapToGrid w:val="0"/>
        <w:spacing w:line="300" w:lineRule="exact"/>
        <w:ind w:firstLine="398"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地址：</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邮编：</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 xml:space="preserve">                 </w:t>
      </w:r>
    </w:p>
    <w:p w14:paraId="5204BD4A">
      <w:pPr>
        <w:pStyle w:val="31"/>
        <w:snapToGrid w:val="0"/>
        <w:spacing w:line="300" w:lineRule="exact"/>
        <w:ind w:firstLine="398" w:firstLineChars="200"/>
        <w:rPr>
          <w:rFonts w:hint="eastAsia" w:ascii="宋体" w:hAnsi="宋体" w:eastAsia="宋体" w:cs="宋体"/>
          <w:bCs/>
          <w:color w:val="auto"/>
          <w:sz w:val="21"/>
          <w:szCs w:val="21"/>
          <w:highlight w:val="none"/>
          <w:u w:val="single"/>
        </w:rPr>
      </w:pPr>
      <w:r>
        <w:rPr>
          <w:rFonts w:hint="eastAsia" w:ascii="宋体" w:hAnsi="宋体" w:eastAsia="宋体" w:cs="宋体"/>
          <w:bCs/>
          <w:color w:val="auto"/>
          <w:sz w:val="21"/>
          <w:szCs w:val="21"/>
          <w:highlight w:val="none"/>
        </w:rPr>
        <w:t>法定代表人/主要负责人：</w:t>
      </w:r>
      <w:r>
        <w:rPr>
          <w:rFonts w:hint="eastAsia" w:ascii="宋体" w:hAnsi="宋体" w:eastAsia="宋体" w:cs="宋体"/>
          <w:bCs/>
          <w:color w:val="auto"/>
          <w:sz w:val="21"/>
          <w:szCs w:val="21"/>
          <w:highlight w:val="none"/>
          <w:u w:val="single"/>
        </w:rPr>
        <w:t xml:space="preserve">                                                         </w:t>
      </w:r>
    </w:p>
    <w:p w14:paraId="3C08611D">
      <w:pPr>
        <w:pStyle w:val="31"/>
        <w:snapToGrid w:val="0"/>
        <w:spacing w:line="300" w:lineRule="exact"/>
        <w:ind w:firstLine="398"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联系电话：</w:t>
      </w:r>
      <w:r>
        <w:rPr>
          <w:rFonts w:hint="eastAsia" w:ascii="宋体" w:hAnsi="宋体" w:eastAsia="宋体" w:cs="宋体"/>
          <w:bCs/>
          <w:color w:val="auto"/>
          <w:sz w:val="21"/>
          <w:szCs w:val="21"/>
          <w:highlight w:val="none"/>
          <w:u w:val="single"/>
        </w:rPr>
        <w:t xml:space="preserve">                                         </w:t>
      </w:r>
    </w:p>
    <w:p w14:paraId="60829C45">
      <w:pPr>
        <w:pStyle w:val="31"/>
        <w:snapToGrid w:val="0"/>
        <w:spacing w:line="300" w:lineRule="exact"/>
        <w:ind w:firstLine="398" w:firstLineChars="200"/>
        <w:rPr>
          <w:rFonts w:hint="eastAsia" w:ascii="宋体" w:hAnsi="宋体" w:eastAsia="宋体" w:cs="宋体"/>
          <w:bCs/>
          <w:color w:val="auto"/>
          <w:sz w:val="21"/>
          <w:szCs w:val="21"/>
          <w:highlight w:val="none"/>
          <w:u w:val="single"/>
        </w:rPr>
      </w:pPr>
      <w:r>
        <w:rPr>
          <w:rFonts w:hint="eastAsia" w:ascii="宋体" w:hAnsi="宋体" w:eastAsia="宋体" w:cs="宋体"/>
          <w:bCs/>
          <w:color w:val="auto"/>
          <w:sz w:val="21"/>
          <w:szCs w:val="21"/>
          <w:highlight w:val="none"/>
        </w:rPr>
        <w:t>授权代表：</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联系电话：</w:t>
      </w:r>
      <w:r>
        <w:rPr>
          <w:rFonts w:hint="eastAsia" w:ascii="宋体" w:hAnsi="宋体" w:eastAsia="宋体" w:cs="宋体"/>
          <w:bCs/>
          <w:color w:val="auto"/>
          <w:sz w:val="21"/>
          <w:szCs w:val="21"/>
          <w:highlight w:val="none"/>
          <w:u w:val="single"/>
        </w:rPr>
        <w:t xml:space="preserve">                   </w:t>
      </w:r>
    </w:p>
    <w:p w14:paraId="76A2E713">
      <w:pPr>
        <w:pStyle w:val="31"/>
        <w:snapToGrid w:val="0"/>
        <w:spacing w:line="300" w:lineRule="exact"/>
        <w:ind w:firstLine="398" w:firstLineChars="200"/>
        <w:rPr>
          <w:rFonts w:hint="eastAsia" w:ascii="宋体" w:hAnsi="宋体" w:eastAsia="宋体" w:cs="宋体"/>
          <w:bCs/>
          <w:color w:val="auto"/>
          <w:sz w:val="21"/>
          <w:szCs w:val="21"/>
          <w:highlight w:val="none"/>
          <w:u w:val="single"/>
        </w:rPr>
      </w:pPr>
      <w:r>
        <w:rPr>
          <w:rFonts w:hint="eastAsia" w:ascii="宋体" w:hAnsi="宋体" w:eastAsia="宋体" w:cs="宋体"/>
          <w:bCs/>
          <w:color w:val="auto"/>
          <w:sz w:val="21"/>
          <w:szCs w:val="21"/>
          <w:highlight w:val="none"/>
        </w:rPr>
        <w:t>地址：</w:t>
      </w:r>
      <w:r>
        <w:rPr>
          <w:rFonts w:hint="eastAsia" w:ascii="宋体" w:hAnsi="宋体" w:eastAsia="宋体" w:cs="宋体"/>
          <w:bCs/>
          <w:color w:val="auto"/>
          <w:sz w:val="21"/>
          <w:szCs w:val="21"/>
          <w:highlight w:val="none"/>
          <w:u w:val="single"/>
        </w:rPr>
        <w:t xml:space="preserve">                                                            </w:t>
      </w:r>
    </w:p>
    <w:p w14:paraId="0BE60D2D">
      <w:pPr>
        <w:pStyle w:val="31"/>
        <w:snapToGrid w:val="0"/>
        <w:spacing w:line="300" w:lineRule="exact"/>
        <w:ind w:firstLine="398"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邮编：</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 xml:space="preserve">   </w:t>
      </w:r>
    </w:p>
    <w:p w14:paraId="456E1F47">
      <w:pPr>
        <w:pStyle w:val="31"/>
        <w:snapToGrid w:val="0"/>
        <w:spacing w:line="300" w:lineRule="exact"/>
        <w:ind w:firstLine="398"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被投诉人1：</w:t>
      </w:r>
    </w:p>
    <w:p w14:paraId="1885C340">
      <w:pPr>
        <w:pStyle w:val="31"/>
        <w:snapToGrid w:val="0"/>
        <w:spacing w:line="300" w:lineRule="exact"/>
        <w:ind w:firstLine="398" w:firstLineChars="200"/>
        <w:rPr>
          <w:rFonts w:hint="eastAsia" w:ascii="宋体" w:hAnsi="宋体" w:eastAsia="宋体" w:cs="宋体"/>
          <w:bCs/>
          <w:color w:val="auto"/>
          <w:sz w:val="21"/>
          <w:szCs w:val="21"/>
          <w:highlight w:val="none"/>
          <w:u w:val="single"/>
        </w:rPr>
      </w:pPr>
      <w:r>
        <w:rPr>
          <w:rFonts w:hint="eastAsia" w:ascii="宋体" w:hAnsi="宋体" w:eastAsia="宋体" w:cs="宋体"/>
          <w:bCs/>
          <w:color w:val="auto"/>
          <w:sz w:val="21"/>
          <w:szCs w:val="21"/>
          <w:highlight w:val="none"/>
        </w:rPr>
        <w:t>地址：</w:t>
      </w:r>
      <w:r>
        <w:rPr>
          <w:rFonts w:hint="eastAsia" w:ascii="宋体" w:hAnsi="宋体" w:eastAsia="宋体" w:cs="宋体"/>
          <w:bCs/>
          <w:color w:val="auto"/>
          <w:sz w:val="21"/>
          <w:szCs w:val="21"/>
          <w:highlight w:val="none"/>
          <w:u w:val="single"/>
        </w:rPr>
        <w:t xml:space="preserve">                                                            </w:t>
      </w:r>
    </w:p>
    <w:p w14:paraId="7A456778">
      <w:pPr>
        <w:pStyle w:val="31"/>
        <w:snapToGrid w:val="0"/>
        <w:spacing w:line="300" w:lineRule="exact"/>
        <w:ind w:firstLine="398"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邮编：</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 xml:space="preserve">  </w:t>
      </w:r>
    </w:p>
    <w:p w14:paraId="4A6C11F4">
      <w:pPr>
        <w:pStyle w:val="31"/>
        <w:snapToGrid w:val="0"/>
        <w:spacing w:line="300" w:lineRule="exact"/>
        <w:ind w:firstLine="398" w:firstLineChars="200"/>
        <w:rPr>
          <w:rFonts w:hint="eastAsia" w:ascii="宋体" w:hAnsi="宋体" w:eastAsia="宋体" w:cs="宋体"/>
          <w:bCs/>
          <w:color w:val="auto"/>
          <w:sz w:val="21"/>
          <w:szCs w:val="21"/>
          <w:highlight w:val="none"/>
          <w:u w:val="single"/>
        </w:rPr>
      </w:pPr>
      <w:r>
        <w:rPr>
          <w:rFonts w:hint="eastAsia" w:ascii="宋体" w:hAnsi="宋体" w:eastAsia="宋体" w:cs="宋体"/>
          <w:bCs/>
          <w:color w:val="auto"/>
          <w:sz w:val="21"/>
          <w:szCs w:val="21"/>
          <w:highlight w:val="none"/>
        </w:rPr>
        <w:t>联系人：</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联系电话：</w:t>
      </w:r>
      <w:r>
        <w:rPr>
          <w:rFonts w:hint="eastAsia" w:ascii="宋体" w:hAnsi="宋体" w:eastAsia="宋体" w:cs="宋体"/>
          <w:bCs/>
          <w:color w:val="auto"/>
          <w:sz w:val="21"/>
          <w:szCs w:val="21"/>
          <w:highlight w:val="none"/>
          <w:u w:val="single"/>
        </w:rPr>
        <w:t xml:space="preserve">                </w:t>
      </w:r>
    </w:p>
    <w:p w14:paraId="639C43D9">
      <w:pPr>
        <w:pStyle w:val="31"/>
        <w:snapToGrid w:val="0"/>
        <w:spacing w:line="300" w:lineRule="exact"/>
        <w:ind w:firstLine="398"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被投诉人2：</w:t>
      </w:r>
    </w:p>
    <w:p w14:paraId="30646008">
      <w:pPr>
        <w:pStyle w:val="31"/>
        <w:snapToGrid w:val="0"/>
        <w:spacing w:line="300" w:lineRule="exact"/>
        <w:ind w:firstLine="398"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w:t>
      </w:r>
    </w:p>
    <w:p w14:paraId="1D3D5AA9">
      <w:pPr>
        <w:pStyle w:val="31"/>
        <w:snapToGrid w:val="0"/>
        <w:spacing w:line="300" w:lineRule="exact"/>
        <w:ind w:firstLine="398" w:firstLineChars="200"/>
        <w:rPr>
          <w:rFonts w:hint="eastAsia" w:ascii="宋体" w:hAnsi="宋体" w:eastAsia="宋体" w:cs="宋体"/>
          <w:bCs/>
          <w:color w:val="auto"/>
          <w:sz w:val="21"/>
          <w:szCs w:val="21"/>
          <w:highlight w:val="none"/>
          <w:u w:val="single"/>
        </w:rPr>
      </w:pPr>
      <w:r>
        <w:rPr>
          <w:rFonts w:hint="eastAsia" w:ascii="宋体" w:hAnsi="宋体" w:eastAsia="宋体" w:cs="宋体"/>
          <w:bCs/>
          <w:color w:val="auto"/>
          <w:sz w:val="21"/>
          <w:szCs w:val="21"/>
          <w:highlight w:val="none"/>
        </w:rPr>
        <w:t>相关供应商：</w:t>
      </w:r>
      <w:r>
        <w:rPr>
          <w:rFonts w:hint="eastAsia" w:ascii="宋体" w:hAnsi="宋体" w:eastAsia="宋体" w:cs="宋体"/>
          <w:bCs/>
          <w:color w:val="auto"/>
          <w:sz w:val="21"/>
          <w:szCs w:val="21"/>
          <w:highlight w:val="none"/>
          <w:u w:val="single"/>
        </w:rPr>
        <w:t xml:space="preserve">                                                                       </w:t>
      </w:r>
    </w:p>
    <w:p w14:paraId="309ABE69">
      <w:pPr>
        <w:pStyle w:val="31"/>
        <w:snapToGrid w:val="0"/>
        <w:spacing w:line="300" w:lineRule="exact"/>
        <w:ind w:firstLine="398" w:firstLineChars="200"/>
        <w:rPr>
          <w:rFonts w:hint="eastAsia" w:ascii="宋体" w:hAnsi="宋体" w:eastAsia="宋体" w:cs="宋体"/>
          <w:bCs/>
          <w:color w:val="auto"/>
          <w:sz w:val="21"/>
          <w:szCs w:val="21"/>
          <w:highlight w:val="none"/>
          <w:u w:val="single"/>
        </w:rPr>
      </w:pPr>
      <w:r>
        <w:rPr>
          <w:rFonts w:hint="eastAsia" w:ascii="宋体" w:hAnsi="宋体" w:eastAsia="宋体" w:cs="宋体"/>
          <w:bCs/>
          <w:color w:val="auto"/>
          <w:sz w:val="21"/>
          <w:szCs w:val="21"/>
          <w:highlight w:val="none"/>
        </w:rPr>
        <w:t>地址：</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邮编：</w:t>
      </w:r>
      <w:r>
        <w:rPr>
          <w:rFonts w:hint="eastAsia" w:ascii="宋体" w:hAnsi="宋体" w:eastAsia="宋体" w:cs="宋体"/>
          <w:bCs/>
          <w:color w:val="auto"/>
          <w:sz w:val="21"/>
          <w:szCs w:val="21"/>
          <w:highlight w:val="none"/>
          <w:u w:val="single"/>
        </w:rPr>
        <w:t xml:space="preserve">                         </w:t>
      </w:r>
    </w:p>
    <w:p w14:paraId="5D503F8E">
      <w:pPr>
        <w:pStyle w:val="31"/>
        <w:snapToGrid w:val="0"/>
        <w:spacing w:line="300" w:lineRule="exact"/>
        <w:ind w:firstLine="398"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联系人：</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联系电话：</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 xml:space="preserve">                </w:t>
      </w:r>
    </w:p>
    <w:p w14:paraId="39C5D3F6">
      <w:pPr>
        <w:pStyle w:val="31"/>
        <w:snapToGrid w:val="0"/>
        <w:spacing w:line="300" w:lineRule="exact"/>
        <w:ind w:firstLine="400"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二、投诉项目基本情况：</w:t>
      </w:r>
    </w:p>
    <w:p w14:paraId="4D8CC08E">
      <w:pPr>
        <w:pStyle w:val="31"/>
        <w:spacing w:line="300" w:lineRule="exact"/>
        <w:ind w:left="25" w:leftChars="12" w:firstLine="392" w:firstLineChars="197"/>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采购</w:t>
      </w:r>
      <w:r>
        <w:rPr>
          <w:rFonts w:hint="eastAsia" w:ascii="宋体" w:hAnsi="宋体" w:eastAsia="宋体" w:cs="宋体"/>
          <w:color w:val="auto"/>
          <w:sz w:val="21"/>
          <w:szCs w:val="21"/>
          <w:highlight w:val="none"/>
        </w:rPr>
        <w:t>项目的名称：</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u w:val="single"/>
          <w:lang w:val="en-US" w:eastAsia="zh-CN"/>
        </w:rPr>
        <w:t xml:space="preserve">                       </w:t>
      </w:r>
      <w:r>
        <w:rPr>
          <w:rFonts w:hint="eastAsia" w:ascii="宋体" w:hAnsi="宋体" w:eastAsia="宋体" w:cs="宋体"/>
          <w:bCs/>
          <w:color w:val="auto"/>
          <w:sz w:val="21"/>
          <w:szCs w:val="21"/>
          <w:highlight w:val="none"/>
          <w:u w:val="single"/>
        </w:rPr>
        <w:t xml:space="preserve">    </w:t>
      </w:r>
    </w:p>
    <w:p w14:paraId="315D5E09">
      <w:pPr>
        <w:pStyle w:val="31"/>
        <w:spacing w:line="300" w:lineRule="exact"/>
        <w:ind w:left="25" w:leftChars="12" w:firstLine="392" w:firstLineChars="197"/>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采购</w:t>
      </w:r>
      <w:r>
        <w:rPr>
          <w:rFonts w:hint="eastAsia" w:ascii="宋体" w:hAnsi="宋体" w:eastAsia="宋体" w:cs="宋体"/>
          <w:color w:val="auto"/>
          <w:sz w:val="21"/>
          <w:szCs w:val="21"/>
          <w:highlight w:val="none"/>
        </w:rPr>
        <w:t>项目的编号：</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u w:val="single"/>
          <w:lang w:val="en-US" w:eastAsia="zh-CN"/>
        </w:rPr>
        <w:t xml:space="preserve">                       </w:t>
      </w:r>
      <w:r>
        <w:rPr>
          <w:rFonts w:hint="eastAsia" w:ascii="宋体" w:hAnsi="宋体" w:eastAsia="宋体" w:cs="宋体"/>
          <w:bCs/>
          <w:color w:val="auto"/>
          <w:sz w:val="21"/>
          <w:szCs w:val="21"/>
          <w:highlight w:val="none"/>
          <w:u w:val="single"/>
        </w:rPr>
        <w:t xml:space="preserve">    </w:t>
      </w:r>
    </w:p>
    <w:p w14:paraId="547B61EB">
      <w:pPr>
        <w:pStyle w:val="31"/>
        <w:spacing w:line="300" w:lineRule="exact"/>
        <w:ind w:left="25" w:leftChars="12" w:firstLine="392" w:firstLineChars="197"/>
        <w:rPr>
          <w:rFonts w:hint="eastAsia" w:ascii="宋体" w:hAnsi="宋体" w:eastAsia="宋体" w:cs="宋体"/>
          <w:bCs/>
          <w:color w:val="auto"/>
          <w:sz w:val="21"/>
          <w:szCs w:val="21"/>
          <w:highlight w:val="none"/>
          <w:u w:val="single"/>
        </w:rPr>
      </w:pPr>
      <w:r>
        <w:rPr>
          <w:rFonts w:hint="eastAsia" w:ascii="宋体" w:hAnsi="宋体" w:eastAsia="宋体" w:cs="宋体"/>
          <w:color w:val="auto"/>
          <w:sz w:val="21"/>
          <w:szCs w:val="21"/>
          <w:highlight w:val="none"/>
        </w:rPr>
        <w:t>采购人名称：</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u w:val="single"/>
          <w:lang w:val="en-US" w:eastAsia="zh-CN"/>
        </w:rPr>
        <w:t xml:space="preserve">                </w:t>
      </w:r>
      <w:r>
        <w:rPr>
          <w:rFonts w:hint="eastAsia" w:ascii="宋体" w:hAnsi="宋体" w:eastAsia="宋体" w:cs="宋体"/>
          <w:bCs/>
          <w:color w:val="auto"/>
          <w:sz w:val="21"/>
          <w:szCs w:val="21"/>
          <w:highlight w:val="none"/>
          <w:u w:val="single"/>
        </w:rPr>
        <w:t xml:space="preserve">                </w:t>
      </w:r>
    </w:p>
    <w:p w14:paraId="149E3622">
      <w:pPr>
        <w:pStyle w:val="31"/>
        <w:spacing w:line="300" w:lineRule="exact"/>
        <w:ind w:left="25" w:leftChars="12" w:firstLine="392" w:firstLineChars="197"/>
        <w:rPr>
          <w:rFonts w:hint="eastAsia" w:ascii="宋体" w:hAnsi="宋体" w:eastAsia="宋体" w:cs="宋体"/>
          <w:bCs/>
          <w:color w:val="auto"/>
          <w:sz w:val="21"/>
          <w:szCs w:val="21"/>
          <w:highlight w:val="none"/>
          <w:u w:val="single"/>
        </w:rPr>
      </w:pPr>
      <w:r>
        <w:rPr>
          <w:rFonts w:hint="eastAsia" w:ascii="宋体" w:hAnsi="宋体" w:eastAsia="宋体" w:cs="宋体"/>
          <w:color w:val="auto"/>
          <w:sz w:val="21"/>
          <w:szCs w:val="21"/>
          <w:highlight w:val="none"/>
        </w:rPr>
        <w:t>代理机构名称：</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u w:val="single"/>
          <w:lang w:val="en-US" w:eastAsia="zh-CN"/>
        </w:rPr>
        <w:t xml:space="preserve">               </w:t>
      </w:r>
      <w:r>
        <w:rPr>
          <w:rFonts w:hint="eastAsia" w:ascii="宋体" w:hAnsi="宋体" w:eastAsia="宋体" w:cs="宋体"/>
          <w:bCs/>
          <w:color w:val="auto"/>
          <w:sz w:val="21"/>
          <w:szCs w:val="21"/>
          <w:highlight w:val="none"/>
          <w:u w:val="single"/>
        </w:rPr>
        <w:t xml:space="preserve">               </w:t>
      </w:r>
    </w:p>
    <w:p w14:paraId="1B034D7F">
      <w:pPr>
        <w:pStyle w:val="31"/>
        <w:spacing w:line="300" w:lineRule="exact"/>
        <w:ind w:left="25" w:leftChars="12" w:firstLine="392" w:firstLineChars="197"/>
        <w:rPr>
          <w:rFonts w:hint="eastAsia" w:ascii="宋体" w:hAnsi="宋体" w:eastAsia="宋体" w:cs="宋体"/>
          <w:bCs/>
          <w:color w:val="auto"/>
          <w:sz w:val="21"/>
          <w:szCs w:val="21"/>
          <w:highlight w:val="none"/>
          <w:u w:val="single"/>
        </w:rPr>
      </w:pPr>
      <w:r>
        <w:rPr>
          <w:rFonts w:hint="eastAsia" w:ascii="宋体" w:hAnsi="宋体" w:eastAsia="宋体" w:cs="宋体"/>
          <w:bCs/>
          <w:color w:val="auto"/>
          <w:sz w:val="21"/>
          <w:szCs w:val="21"/>
          <w:highlight w:val="none"/>
        </w:rPr>
        <w:t>招标文件公告：</w:t>
      </w:r>
      <w:r>
        <w:rPr>
          <w:rFonts w:hint="eastAsia" w:ascii="宋体" w:hAnsi="宋体" w:eastAsia="宋体" w:cs="宋体"/>
          <w:bCs/>
          <w:color w:val="auto"/>
          <w:sz w:val="21"/>
          <w:szCs w:val="21"/>
          <w:highlight w:val="none"/>
          <w:u w:val="single"/>
        </w:rPr>
        <w:t>是/否</w:t>
      </w:r>
      <w:r>
        <w:rPr>
          <w:rFonts w:hint="eastAsia" w:ascii="宋体" w:hAnsi="宋体" w:eastAsia="宋体" w:cs="宋体"/>
          <w:bCs/>
          <w:color w:val="auto"/>
          <w:sz w:val="21"/>
          <w:szCs w:val="21"/>
          <w:highlight w:val="none"/>
        </w:rPr>
        <w:t>公告期限：</w:t>
      </w:r>
      <w:r>
        <w:rPr>
          <w:rFonts w:hint="eastAsia" w:ascii="宋体" w:hAnsi="宋体" w:eastAsia="宋体" w:cs="宋体"/>
          <w:bCs/>
          <w:color w:val="auto"/>
          <w:sz w:val="21"/>
          <w:szCs w:val="21"/>
          <w:highlight w:val="none"/>
          <w:u w:val="single"/>
        </w:rPr>
        <w:t xml:space="preserve">                                                       </w:t>
      </w:r>
    </w:p>
    <w:p w14:paraId="5709B888">
      <w:pPr>
        <w:pStyle w:val="31"/>
        <w:spacing w:line="300" w:lineRule="exact"/>
        <w:ind w:left="25" w:leftChars="12" w:firstLine="392" w:firstLineChars="197"/>
        <w:rPr>
          <w:rFonts w:hint="eastAsia" w:ascii="宋体" w:hAnsi="宋体" w:eastAsia="宋体" w:cs="宋体"/>
          <w:b/>
          <w:color w:val="auto"/>
          <w:sz w:val="21"/>
          <w:szCs w:val="21"/>
          <w:highlight w:val="none"/>
        </w:rPr>
      </w:pPr>
      <w:r>
        <w:rPr>
          <w:rFonts w:hint="eastAsia" w:ascii="宋体" w:hAnsi="宋体" w:eastAsia="宋体" w:cs="宋体"/>
          <w:bCs/>
          <w:color w:val="auto"/>
          <w:sz w:val="21"/>
          <w:szCs w:val="21"/>
          <w:highlight w:val="none"/>
        </w:rPr>
        <w:t>采购结果公告：</w:t>
      </w:r>
      <w:r>
        <w:rPr>
          <w:rFonts w:hint="eastAsia" w:ascii="宋体" w:hAnsi="宋体" w:eastAsia="宋体" w:cs="宋体"/>
          <w:bCs/>
          <w:color w:val="auto"/>
          <w:sz w:val="21"/>
          <w:szCs w:val="21"/>
          <w:highlight w:val="none"/>
          <w:u w:val="single"/>
        </w:rPr>
        <w:t>是/否</w:t>
      </w:r>
      <w:r>
        <w:rPr>
          <w:rFonts w:hint="eastAsia" w:ascii="宋体" w:hAnsi="宋体" w:eastAsia="宋体" w:cs="宋体"/>
          <w:bCs/>
          <w:color w:val="auto"/>
          <w:sz w:val="21"/>
          <w:szCs w:val="21"/>
          <w:highlight w:val="none"/>
        </w:rPr>
        <w:t>公告期限：</w:t>
      </w:r>
      <w:r>
        <w:rPr>
          <w:rFonts w:hint="eastAsia" w:ascii="宋体" w:hAnsi="宋体" w:eastAsia="宋体" w:cs="宋体"/>
          <w:bCs/>
          <w:color w:val="auto"/>
          <w:sz w:val="21"/>
          <w:szCs w:val="21"/>
          <w:highlight w:val="none"/>
          <w:u w:val="single"/>
        </w:rPr>
        <w:t xml:space="preserve">                                                       </w:t>
      </w:r>
    </w:p>
    <w:p w14:paraId="5EF93A9C">
      <w:pPr>
        <w:pStyle w:val="31"/>
        <w:spacing w:line="300" w:lineRule="exact"/>
        <w:ind w:left="25" w:leftChars="12" w:firstLine="392" w:firstLineChars="196"/>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三、质疑基本情况</w:t>
      </w:r>
    </w:p>
    <w:p w14:paraId="39D118E4">
      <w:pPr>
        <w:pStyle w:val="31"/>
        <w:spacing w:line="300" w:lineRule="exact"/>
        <w:ind w:firstLine="398"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投诉人于</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日，向</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提出质疑，质疑事项为：</w:t>
      </w:r>
    </w:p>
    <w:p w14:paraId="1C485E32">
      <w:pPr>
        <w:pStyle w:val="31"/>
        <w:spacing w:line="300" w:lineRule="exact"/>
        <w:ind w:firstLine="241"/>
        <w:rPr>
          <w:rFonts w:hint="eastAsia" w:ascii="宋体" w:hAnsi="宋体" w:eastAsia="宋体" w:cs="宋体"/>
          <w:bCs/>
          <w:color w:val="auto"/>
          <w:sz w:val="21"/>
          <w:szCs w:val="21"/>
          <w:highlight w:val="none"/>
          <w:u w:val="single"/>
        </w:rPr>
      </w:pPr>
      <w:r>
        <w:rPr>
          <w:rFonts w:hint="eastAsia" w:ascii="宋体" w:hAnsi="宋体" w:eastAsia="宋体" w:cs="宋体"/>
          <w:color w:val="auto"/>
          <w:sz w:val="21"/>
          <w:szCs w:val="21"/>
          <w:highlight w:val="none"/>
        </w:rPr>
        <w:t xml:space="preserve">    </w:t>
      </w:r>
      <w:r>
        <w:rPr>
          <w:rFonts w:hint="eastAsia" w:ascii="宋体" w:hAnsi="宋体" w:eastAsia="宋体" w:cs="宋体"/>
          <w:bCs/>
          <w:color w:val="auto"/>
          <w:sz w:val="21"/>
          <w:szCs w:val="21"/>
          <w:highlight w:val="none"/>
          <w:u w:val="single"/>
        </w:rPr>
        <w:t xml:space="preserve">                                                                                      </w:t>
      </w:r>
    </w:p>
    <w:p w14:paraId="69DC3E2D">
      <w:pPr>
        <w:pStyle w:val="31"/>
        <w:spacing w:line="300" w:lineRule="exact"/>
        <w:ind w:firstLine="241"/>
        <w:rPr>
          <w:rFonts w:hint="eastAsia" w:ascii="宋体" w:hAnsi="宋体" w:eastAsia="宋体" w:cs="宋体"/>
          <w:bCs/>
          <w:color w:val="auto"/>
          <w:sz w:val="21"/>
          <w:szCs w:val="21"/>
          <w:highlight w:val="none"/>
          <w:u w:val="single"/>
        </w:rPr>
      </w:pPr>
      <w:r>
        <w:rPr>
          <w:rFonts w:hint="eastAsia" w:ascii="宋体" w:hAnsi="宋体" w:eastAsia="宋体" w:cs="宋体"/>
          <w:bCs/>
          <w:color w:val="auto"/>
          <w:sz w:val="21"/>
          <w:szCs w:val="21"/>
          <w:highlight w:val="none"/>
        </w:rPr>
        <w:t xml:space="preserve">    </w:t>
      </w:r>
      <w:r>
        <w:rPr>
          <w:rFonts w:hint="eastAsia" w:ascii="宋体" w:hAnsi="宋体" w:eastAsia="宋体" w:cs="宋体"/>
          <w:bCs/>
          <w:color w:val="auto"/>
          <w:sz w:val="21"/>
          <w:szCs w:val="21"/>
          <w:highlight w:val="none"/>
          <w:u w:val="single"/>
        </w:rPr>
        <w:t xml:space="preserve">                                                                                      </w:t>
      </w:r>
    </w:p>
    <w:p w14:paraId="2A57F98E">
      <w:pPr>
        <w:pStyle w:val="31"/>
        <w:spacing w:line="300" w:lineRule="exact"/>
        <w:ind w:firstLine="398" w:firstLineChars="200"/>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u w:val="single"/>
        </w:rPr>
        <w:t>采购人/代理机构</w:t>
      </w:r>
      <w:r>
        <w:rPr>
          <w:rFonts w:hint="eastAsia" w:ascii="宋体" w:hAnsi="宋体" w:eastAsia="宋体" w:cs="宋体"/>
          <w:bCs/>
          <w:color w:val="auto"/>
          <w:sz w:val="21"/>
          <w:szCs w:val="21"/>
          <w:highlight w:val="none"/>
        </w:rPr>
        <w:t>于</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w:t>
      </w:r>
      <w:r>
        <w:rPr>
          <w:rFonts w:hint="eastAsia" w:ascii="宋体" w:hAnsi="宋体" w:eastAsia="宋体" w:cs="宋体"/>
          <w:bCs/>
          <w:color w:val="auto"/>
          <w:sz w:val="21"/>
          <w:szCs w:val="21"/>
          <w:highlight w:val="none"/>
        </w:rPr>
        <w:t xml:space="preserve">就质疑事项作出了答复/没有在法定期限内作出答复。                                                                                             </w:t>
      </w:r>
    </w:p>
    <w:p w14:paraId="134DA6C2">
      <w:pPr>
        <w:pStyle w:val="31"/>
        <w:spacing w:line="300" w:lineRule="exact"/>
        <w:ind w:left="25" w:leftChars="12" w:firstLine="392" w:firstLineChars="196"/>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四、投诉事项具体内容</w:t>
      </w:r>
    </w:p>
    <w:p w14:paraId="3FFF8C1E">
      <w:pPr>
        <w:pStyle w:val="31"/>
        <w:spacing w:line="300" w:lineRule="exact"/>
        <w:ind w:left="25" w:leftChars="12" w:firstLine="392" w:firstLineChars="197"/>
        <w:rPr>
          <w:rFonts w:hint="eastAsia" w:ascii="宋体" w:hAnsi="宋体" w:eastAsia="宋体" w:cs="宋体"/>
          <w:bCs/>
          <w:color w:val="auto"/>
          <w:sz w:val="21"/>
          <w:szCs w:val="21"/>
          <w:highlight w:val="none"/>
          <w:u w:val="single"/>
        </w:rPr>
      </w:pPr>
      <w:r>
        <w:rPr>
          <w:rFonts w:hint="eastAsia" w:ascii="宋体" w:hAnsi="宋体" w:eastAsia="宋体" w:cs="宋体"/>
          <w:color w:val="auto"/>
          <w:sz w:val="21"/>
          <w:szCs w:val="21"/>
          <w:highlight w:val="none"/>
        </w:rPr>
        <w:t>投诉事项1：</w:t>
      </w:r>
      <w:r>
        <w:rPr>
          <w:rFonts w:hint="eastAsia" w:ascii="宋体" w:hAnsi="宋体" w:eastAsia="宋体" w:cs="宋体"/>
          <w:bCs/>
          <w:color w:val="auto"/>
          <w:sz w:val="21"/>
          <w:szCs w:val="21"/>
          <w:highlight w:val="none"/>
          <w:u w:val="single"/>
        </w:rPr>
        <w:t xml:space="preserve">                                                                           </w:t>
      </w:r>
    </w:p>
    <w:p w14:paraId="7E0A42FA">
      <w:pPr>
        <w:pStyle w:val="31"/>
        <w:spacing w:line="300" w:lineRule="exact"/>
        <w:ind w:firstLine="398" w:firstLineChars="200"/>
        <w:rPr>
          <w:rFonts w:hint="eastAsia" w:ascii="宋体" w:hAnsi="宋体" w:eastAsia="宋体" w:cs="宋体"/>
          <w:bCs/>
          <w:color w:val="auto"/>
          <w:sz w:val="21"/>
          <w:szCs w:val="21"/>
          <w:highlight w:val="none"/>
          <w:u w:val="single"/>
        </w:rPr>
      </w:pPr>
      <w:r>
        <w:rPr>
          <w:rFonts w:hint="eastAsia" w:ascii="宋体" w:hAnsi="宋体" w:eastAsia="宋体" w:cs="宋体"/>
          <w:bCs/>
          <w:color w:val="auto"/>
          <w:sz w:val="21"/>
          <w:szCs w:val="21"/>
          <w:highlight w:val="none"/>
        </w:rPr>
        <w:t>事实依据：</w:t>
      </w:r>
      <w:r>
        <w:rPr>
          <w:rFonts w:hint="eastAsia" w:ascii="宋体" w:hAnsi="宋体" w:eastAsia="宋体" w:cs="宋体"/>
          <w:color w:val="auto"/>
          <w:sz w:val="21"/>
          <w:szCs w:val="21"/>
          <w:highlight w:val="none"/>
        </w:rPr>
        <w:t xml:space="preserve"> </w:t>
      </w:r>
      <w:r>
        <w:rPr>
          <w:rFonts w:hint="eastAsia" w:ascii="宋体" w:hAnsi="宋体" w:eastAsia="宋体" w:cs="宋体"/>
          <w:bCs/>
          <w:color w:val="auto"/>
          <w:sz w:val="21"/>
          <w:szCs w:val="21"/>
          <w:highlight w:val="none"/>
          <w:u w:val="single"/>
        </w:rPr>
        <w:t xml:space="preserve">                                                                                      </w:t>
      </w:r>
    </w:p>
    <w:p w14:paraId="205497CA">
      <w:pPr>
        <w:pStyle w:val="31"/>
        <w:spacing w:line="300" w:lineRule="exact"/>
        <w:ind w:left="25" w:leftChars="12" w:firstLine="392" w:firstLineChars="197"/>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u w:val="single"/>
        </w:rPr>
        <w:t xml:space="preserve">                                                                                        </w:t>
      </w:r>
    </w:p>
    <w:p w14:paraId="28E045A6">
      <w:pPr>
        <w:pStyle w:val="31"/>
        <w:spacing w:line="300" w:lineRule="exact"/>
        <w:ind w:firstLine="398" w:firstLineChars="200"/>
        <w:rPr>
          <w:rFonts w:hint="eastAsia" w:ascii="宋体" w:hAnsi="宋体" w:eastAsia="宋体" w:cs="宋体"/>
          <w:bCs/>
          <w:color w:val="auto"/>
          <w:sz w:val="21"/>
          <w:szCs w:val="21"/>
          <w:highlight w:val="none"/>
          <w:u w:val="single"/>
        </w:rPr>
      </w:pPr>
      <w:r>
        <w:rPr>
          <w:rFonts w:hint="eastAsia" w:ascii="宋体" w:hAnsi="宋体" w:eastAsia="宋体" w:cs="宋体"/>
          <w:bCs/>
          <w:color w:val="auto"/>
          <w:sz w:val="21"/>
          <w:szCs w:val="21"/>
          <w:highlight w:val="none"/>
        </w:rPr>
        <w:t>法律依据：</w:t>
      </w:r>
      <w:r>
        <w:rPr>
          <w:rFonts w:hint="eastAsia" w:ascii="宋体" w:hAnsi="宋体" w:eastAsia="宋体" w:cs="宋体"/>
          <w:color w:val="auto"/>
          <w:sz w:val="21"/>
          <w:szCs w:val="21"/>
          <w:highlight w:val="none"/>
        </w:rPr>
        <w:t xml:space="preserve"> </w:t>
      </w:r>
      <w:r>
        <w:rPr>
          <w:rFonts w:hint="eastAsia" w:ascii="宋体" w:hAnsi="宋体" w:eastAsia="宋体" w:cs="宋体"/>
          <w:bCs/>
          <w:color w:val="auto"/>
          <w:sz w:val="21"/>
          <w:szCs w:val="21"/>
          <w:highlight w:val="none"/>
          <w:u w:val="single"/>
        </w:rPr>
        <w:t xml:space="preserve">                                                                                      </w:t>
      </w:r>
    </w:p>
    <w:p w14:paraId="7E9D46B0">
      <w:pPr>
        <w:pStyle w:val="31"/>
        <w:spacing w:line="300" w:lineRule="exact"/>
        <w:ind w:left="25" w:leftChars="12" w:firstLine="292" w:firstLineChars="147"/>
        <w:rPr>
          <w:rFonts w:hint="eastAsia" w:ascii="宋体" w:hAnsi="宋体" w:eastAsia="宋体" w:cs="宋体"/>
          <w:bCs/>
          <w:color w:val="auto"/>
          <w:sz w:val="21"/>
          <w:szCs w:val="21"/>
          <w:highlight w:val="none"/>
          <w:u w:val="single"/>
        </w:rPr>
      </w:pPr>
      <w:r>
        <w:rPr>
          <w:rFonts w:hint="eastAsia" w:ascii="宋体" w:hAnsi="宋体" w:eastAsia="宋体" w:cs="宋体"/>
          <w:bCs/>
          <w:color w:val="auto"/>
          <w:sz w:val="21"/>
          <w:szCs w:val="21"/>
          <w:highlight w:val="none"/>
        </w:rPr>
        <w:t xml:space="preserve"> </w:t>
      </w:r>
      <w:r>
        <w:rPr>
          <w:rFonts w:hint="eastAsia" w:ascii="宋体" w:hAnsi="宋体" w:eastAsia="宋体" w:cs="宋体"/>
          <w:bCs/>
          <w:color w:val="auto"/>
          <w:sz w:val="21"/>
          <w:szCs w:val="21"/>
          <w:highlight w:val="none"/>
          <w:u w:val="single"/>
        </w:rPr>
        <w:t xml:space="preserve">                                                                                        </w:t>
      </w:r>
    </w:p>
    <w:p w14:paraId="2ECBA15A">
      <w:pPr>
        <w:pStyle w:val="31"/>
        <w:spacing w:line="300" w:lineRule="exact"/>
        <w:ind w:left="25" w:leftChars="12" w:firstLine="392" w:firstLineChars="197"/>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 xml:space="preserve">投诉事项2  </w:t>
      </w:r>
      <w:r>
        <w:rPr>
          <w:rFonts w:hint="eastAsia" w:ascii="宋体" w:hAnsi="宋体" w:eastAsia="宋体" w:cs="宋体"/>
          <w:bCs/>
          <w:color w:val="auto"/>
          <w:sz w:val="21"/>
          <w:szCs w:val="21"/>
          <w:highlight w:val="none"/>
        </w:rPr>
        <w:t xml:space="preserve">   </w:t>
      </w:r>
    </w:p>
    <w:p w14:paraId="12CFD618">
      <w:pPr>
        <w:pStyle w:val="31"/>
        <w:spacing w:line="300" w:lineRule="exact"/>
        <w:ind w:left="25" w:leftChars="12" w:firstLine="392" w:firstLineChars="197"/>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w:t>
      </w:r>
    </w:p>
    <w:p w14:paraId="2ABD50BE">
      <w:pPr>
        <w:pStyle w:val="31"/>
        <w:spacing w:line="300" w:lineRule="exact"/>
        <w:ind w:left="25" w:leftChars="12" w:firstLine="392" w:firstLineChars="196"/>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五、与投诉事项相关的投诉请求：</w:t>
      </w:r>
    </w:p>
    <w:p w14:paraId="4763EE4C">
      <w:pPr>
        <w:pStyle w:val="31"/>
        <w:spacing w:line="300" w:lineRule="exact"/>
        <w:ind w:left="25" w:leftChars="12" w:firstLine="392" w:firstLineChars="19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请求：</w:t>
      </w:r>
      <w:r>
        <w:rPr>
          <w:rFonts w:hint="eastAsia" w:ascii="宋体" w:hAnsi="宋体" w:eastAsia="宋体" w:cs="宋体"/>
          <w:bCs/>
          <w:color w:val="auto"/>
          <w:sz w:val="21"/>
          <w:szCs w:val="21"/>
          <w:highlight w:val="none"/>
          <w:u w:val="single"/>
        </w:rPr>
        <w:t xml:space="preserve">                                                                                 </w:t>
      </w:r>
    </w:p>
    <w:p w14:paraId="21918E50">
      <w:pPr>
        <w:pStyle w:val="31"/>
        <w:spacing w:line="300" w:lineRule="exact"/>
        <w:ind w:left="25" w:leftChars="12" w:firstLine="292" w:firstLineChars="147"/>
        <w:rPr>
          <w:rFonts w:hint="eastAsia" w:ascii="宋体" w:hAnsi="宋体" w:eastAsia="宋体" w:cs="宋体"/>
          <w:color w:val="auto"/>
          <w:sz w:val="21"/>
          <w:szCs w:val="21"/>
          <w:highlight w:val="none"/>
        </w:rPr>
      </w:pPr>
    </w:p>
    <w:p w14:paraId="14F2E639">
      <w:pPr>
        <w:pStyle w:val="31"/>
        <w:spacing w:line="300" w:lineRule="exact"/>
        <w:ind w:left="25" w:leftChars="12" w:firstLine="392" w:firstLineChars="19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签字（签章）：                                       公章：</w:t>
      </w:r>
    </w:p>
    <w:p w14:paraId="65D3F196">
      <w:pPr>
        <w:pStyle w:val="31"/>
        <w:snapToGrid/>
        <w:spacing w:line="300" w:lineRule="exact"/>
        <w:ind w:left="25" w:leftChars="12" w:firstLine="392" w:firstLineChars="197"/>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日</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期：</w:t>
      </w:r>
      <w:r>
        <w:rPr>
          <w:rFonts w:hint="eastAsia" w:ascii="宋体" w:hAnsi="宋体" w:eastAsia="宋体" w:cs="宋体"/>
          <w:bCs/>
          <w:color w:val="auto"/>
          <w:sz w:val="21"/>
          <w:szCs w:val="21"/>
          <w:highlight w:val="none"/>
        </w:rPr>
        <w:t xml:space="preserve">                                                                                </w:t>
      </w:r>
    </w:p>
    <w:p w14:paraId="6174412F">
      <w:pPr>
        <w:pStyle w:val="31"/>
        <w:snapToGrid w:val="0"/>
        <w:spacing w:line="300" w:lineRule="exac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说明：</w:t>
      </w:r>
    </w:p>
    <w:p w14:paraId="04246E28">
      <w:pPr>
        <w:pStyle w:val="31"/>
        <w:spacing w:line="300" w:lineRule="exact"/>
        <w:ind w:left="25" w:leftChars="12" w:firstLine="294" w:firstLineChars="147"/>
        <w:rPr>
          <w:rFonts w:hint="eastAsia" w:ascii="宋体" w:hAnsi="宋体" w:eastAsia="宋体" w:cs="宋体"/>
          <w:b/>
          <w:bCs/>
          <w:color w:val="auto"/>
          <w:sz w:val="21"/>
          <w:szCs w:val="21"/>
          <w:highlight w:val="none"/>
        </w:rPr>
      </w:pPr>
      <w:r>
        <w:rPr>
          <w:rFonts w:hint="eastAsia" w:ascii="宋体" w:hAnsi="宋体" w:eastAsia="宋体" w:cs="宋体"/>
          <w:b/>
          <w:color w:val="auto"/>
          <w:sz w:val="21"/>
          <w:szCs w:val="21"/>
          <w:highlight w:val="none"/>
        </w:rPr>
        <w:t>1.投诉人提起投诉时，应当提交投诉书和必要的证明材料，并按照被投诉人和与投诉事项有关的供应商数量提供投诉书副本</w:t>
      </w:r>
      <w:r>
        <w:rPr>
          <w:rFonts w:hint="eastAsia" w:ascii="宋体" w:hAnsi="宋体" w:eastAsia="宋体" w:cs="宋体"/>
          <w:b/>
          <w:bCs/>
          <w:color w:val="auto"/>
          <w:sz w:val="21"/>
          <w:szCs w:val="21"/>
          <w:highlight w:val="none"/>
        </w:rPr>
        <w:t>。</w:t>
      </w:r>
    </w:p>
    <w:p w14:paraId="62420339">
      <w:pPr>
        <w:pStyle w:val="31"/>
        <w:spacing w:line="300" w:lineRule="exact"/>
        <w:ind w:left="25" w:leftChars="12" w:firstLine="294" w:firstLineChars="147"/>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76C2FEB5">
      <w:pPr>
        <w:pStyle w:val="31"/>
        <w:spacing w:line="300" w:lineRule="exact"/>
        <w:ind w:left="25" w:leftChars="12" w:firstLine="294" w:firstLineChars="147"/>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3.投诉书应简要列明质疑事项，质疑函、质疑答复等作为附件材料提供。</w:t>
      </w:r>
    </w:p>
    <w:p w14:paraId="617CD07C">
      <w:pPr>
        <w:pStyle w:val="31"/>
        <w:spacing w:line="300" w:lineRule="exact"/>
        <w:ind w:left="25" w:leftChars="12" w:firstLine="294" w:firstLineChars="147"/>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4.投诉书的投诉事项应具体、明确，并有必要的事实依据和法律依据。</w:t>
      </w:r>
    </w:p>
    <w:p w14:paraId="24A41FB6">
      <w:pPr>
        <w:pStyle w:val="31"/>
        <w:spacing w:line="300" w:lineRule="exact"/>
        <w:ind w:left="25" w:leftChars="12" w:firstLine="294" w:firstLineChars="147"/>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5.投诉书的投诉请求应与投诉事项相关。</w:t>
      </w:r>
    </w:p>
    <w:p w14:paraId="672ADCAE">
      <w:pPr>
        <w:pStyle w:val="31"/>
        <w:spacing w:line="300" w:lineRule="exact"/>
        <w:ind w:left="25" w:leftChars="12" w:firstLine="294" w:firstLineChars="147"/>
        <w:jc w:val="left"/>
        <w:rPr>
          <w:rFonts w:hint="eastAsia" w:ascii="宋体" w:hAnsi="宋体" w:eastAsia="宋体" w:cs="宋体"/>
          <w:b/>
          <w:color w:val="auto"/>
          <w:szCs w:val="21"/>
          <w:highlight w:val="none"/>
        </w:rPr>
      </w:pPr>
      <w:r>
        <w:rPr>
          <w:rFonts w:hint="eastAsia" w:ascii="宋体" w:hAnsi="宋体" w:eastAsia="宋体" w:cs="宋体"/>
          <w:b/>
          <w:color w:val="auto"/>
          <w:sz w:val="21"/>
          <w:szCs w:val="21"/>
          <w:highlight w:val="none"/>
        </w:rPr>
        <w:t>6.投诉人为法人或者其他组织的，投诉书应由法定代表人、主要负责人，或者其授权代表签字或者盖章，并加盖公章。</w:t>
      </w:r>
    </w:p>
    <w:sectPr>
      <w:footerReference r:id="rId16" w:type="first"/>
      <w:headerReference r:id="rId13" w:type="default"/>
      <w:footerReference r:id="rId14" w:type="default"/>
      <w:footerReference r:id="rId15" w:type="even"/>
      <w:pgSz w:w="11906" w:h="16838"/>
      <w:pgMar w:top="1134" w:right="1417" w:bottom="1134" w:left="1417" w:header="851" w:footer="992"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Arial Unicode MS">
    <w:panose1 w:val="020B0604020202020204"/>
    <w:charset w:val="86"/>
    <w:family w:val="swiss"/>
    <w:pitch w:val="default"/>
    <w:sig w:usb0="FFFFFFFF" w:usb1="E9FFFFFF" w:usb2="0000003F" w:usb3="00000000" w:csb0="603F01FF" w:csb1="FFFF0000"/>
  </w:font>
  <w:font w:name="Book Antiqua">
    <w:panose1 w:val="02040602050305030304"/>
    <w:charset w:val="00"/>
    <w:family w:val="roman"/>
    <w:pitch w:val="default"/>
    <w:sig w:usb0="00000287" w:usb1="00000000" w:usb2="00000000" w:usb3="00000000" w:csb0="2000009F" w:csb1="DFD70000"/>
  </w:font>
  <w:font w:name="Century">
    <w:panose1 w:val="02040604050505020304"/>
    <w:charset w:val="00"/>
    <w:family w:val="roman"/>
    <w:pitch w:val="default"/>
    <w:sig w:usb0="00000287"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_x000B__x000C_">
    <w:altName w:val="宋体"/>
    <w:panose1 w:val="00000000000000000000"/>
    <w:charset w:val="00"/>
    <w:family w:val="roman"/>
    <w:pitch w:val="default"/>
    <w:sig w:usb0="00000000" w:usb1="00000000" w:usb2="00000000" w:usb3="00000000" w:csb0="00040001" w:csb1="00000000"/>
  </w:font>
  <w:font w:name="Microsoft YaHei UI">
    <w:panose1 w:val="020B0503020204020204"/>
    <w:charset w:val="86"/>
    <w:family w:val="swiss"/>
    <w:pitch w:val="default"/>
    <w:sig w:usb0="80000287" w:usb1="2ACF3C50" w:usb2="00000016" w:usb3="00000000" w:csb0="0004001F" w:csb1="00000000"/>
  </w:font>
  <w:font w:name="Wingdings 2">
    <w:panose1 w:val="05020102010507070707"/>
    <w:charset w:val="02"/>
    <w:family w:val="roman"/>
    <w:pitch w:val="default"/>
    <w:sig w:usb0="00000000" w:usb1="00000000" w:usb2="00000000" w:usb3="00000000" w:csb0="80000000" w:csb1="00000000"/>
    <w:embedRegular r:id="rId1" w:fontKey="{2F69E68C-6A90-42A3-95E2-E163D051069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85F893">
    <w:pPr>
      <w:pStyle w:val="38"/>
      <w:jc w:val="cen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9244B0">
    <w:pPr>
      <w:pStyle w:val="38"/>
      <w:ind w:right="360"/>
      <w:jc w:val="both"/>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57785" cy="131445"/>
              <wp:effectExtent l="0" t="0" r="0" b="0"/>
              <wp:wrapNone/>
              <wp:docPr id="4100" name="文本框 1030"/>
              <wp:cNvGraphicFramePr/>
              <a:graphic xmlns:a="http://schemas.openxmlformats.org/drawingml/2006/main">
                <a:graphicData uri="http://schemas.microsoft.com/office/word/2010/wordprocessingShape">
                  <wps:wsp>
                    <wps:cNvSpPr/>
                    <wps:spPr>
                      <a:xfrm>
                        <a:off x="0" y="0"/>
                        <a:ext cx="57785" cy="131445"/>
                      </a:xfrm>
                      <a:prstGeom prst="rect">
                        <a:avLst/>
                      </a:prstGeom>
                      <a:noFill/>
                      <a:ln>
                        <a:noFill/>
                      </a:ln>
                      <a:effectLst/>
                    </wps:spPr>
                    <wps:txbx>
                      <w:txbxContent>
                        <w:p w14:paraId="7A93A725">
                          <w:pPr>
                            <w:pStyle w:val="38"/>
                          </w:pPr>
                          <w:r>
                            <w:fldChar w:fldCharType="begin"/>
                          </w:r>
                          <w:r>
                            <w:instrText xml:space="preserve"> PAGE  \* MERGEFORMAT </w:instrText>
                          </w:r>
                          <w:r>
                            <w:fldChar w:fldCharType="separate"/>
                          </w:r>
                          <w:r>
                            <w:t>77</w:t>
                          </w:r>
                          <w:r>
                            <w:fldChar w:fldCharType="end"/>
                          </w:r>
                        </w:p>
                      </w:txbxContent>
                    </wps:txbx>
                    <wps:bodyPr wrap="none" lIns="0" tIns="0" rIns="0" bIns="0">
                      <a:spAutoFit/>
                    </wps:bodyPr>
                  </wps:wsp>
                </a:graphicData>
              </a:graphic>
            </wp:anchor>
          </w:drawing>
        </mc:Choice>
        <mc:Fallback>
          <w:pict>
            <v:rect id="文本框 1030" o:spid="_x0000_s1026" o:spt="1" style="position:absolute;left:0pt;margin-top:0pt;height:10.35pt;width:4.55pt;mso-position-horizontal:center;mso-position-horizontal-relative:margin;mso-wrap-style:none;z-index:251661312;mso-width-relative:page;mso-height-relative:page;" filled="f" stroked="f" coordsize="21600,21600" o:gfxdata="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lRY/VtEAAAACAQAADwAAAAAAAAABACAAAAAiAAAAZHJzL2Rvd25yZXYu&#10;eG1sUEsBAhQAFAAAAAgAh07iQA67z/fJAQAAlAMAAA4AAAAAAAAAAQAgAAAAIAEAAGRycy9lMm9E&#10;b2MueG1sUEsFBgAAAAAGAAYAWQEAAFsFAAAAAA==&#10;">
              <v:fill on="f" focussize="0,0"/>
              <v:stroke on="f"/>
              <v:imagedata o:title=""/>
              <o:lock v:ext="edit" aspectratio="f"/>
              <v:textbox inset="0mm,0mm,0mm,0mm" style="mso-fit-shape-to-text:t;">
                <w:txbxContent>
                  <w:p w14:paraId="7A93A725">
                    <w:pPr>
                      <w:pStyle w:val="38"/>
                    </w:pPr>
                    <w:r>
                      <w:fldChar w:fldCharType="begin"/>
                    </w:r>
                    <w:r>
                      <w:instrText xml:space="preserve"> PAGE  \* MERGEFORMAT </w:instrText>
                    </w:r>
                    <w:r>
                      <w:fldChar w:fldCharType="separate"/>
                    </w:r>
                    <w:r>
                      <w:t>77</w:t>
                    </w:r>
                    <w: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C7C4AF">
    <w:pPr>
      <w:pStyle w:val="38"/>
      <w:framePr w:wrap="around" w:vAnchor="text" w:hAnchor="margin" w:xAlign="center" w:y="1"/>
      <w:rPr>
        <w:rStyle w:val="66"/>
        <w:sz w:val="21"/>
      </w:rPr>
    </w:pPr>
    <w:r>
      <w:rPr>
        <w:sz w:val="21"/>
      </w:rPr>
      <w:fldChar w:fldCharType="begin"/>
    </w:r>
    <w:r>
      <w:rPr>
        <w:rStyle w:val="66"/>
        <w:sz w:val="21"/>
      </w:rPr>
      <w:instrText xml:space="preserve">PAGE  </w:instrText>
    </w:r>
    <w:r>
      <w:rPr>
        <w:sz w:val="21"/>
      </w:rPr>
      <w:fldChar w:fldCharType="separate"/>
    </w:r>
    <w:r>
      <w:rPr>
        <w:rStyle w:val="66"/>
        <w:sz w:val="21"/>
      </w:rPr>
      <w:t>0</w:t>
    </w:r>
    <w:r>
      <w:rPr>
        <w:sz w:val="21"/>
      </w:rPr>
      <w:fldChar w:fldCharType="end"/>
    </w:r>
  </w:p>
  <w:p w14:paraId="2797ED3C">
    <w:pPr>
      <w:pStyle w:val="38"/>
      <w:rPr>
        <w:sz w:val="21"/>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2EFF15">
    <w:pPr>
      <w:pStyle w:val="38"/>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4097" name="文本框 1025"/>
              <wp:cNvGraphicFramePr/>
              <a:graphic xmlns:a="http://schemas.openxmlformats.org/drawingml/2006/main">
                <a:graphicData uri="http://schemas.microsoft.com/office/word/2010/wordprocessingShape">
                  <wps:wsp>
                    <wps:cNvSpPr/>
                    <wps:spPr>
                      <a:xfrm>
                        <a:off x="0" y="0"/>
                        <a:ext cx="57785" cy="131445"/>
                      </a:xfrm>
                      <a:prstGeom prst="rect">
                        <a:avLst/>
                      </a:prstGeom>
                      <a:noFill/>
                      <a:ln>
                        <a:noFill/>
                      </a:ln>
                      <a:effectLst/>
                    </wps:spPr>
                    <wps:txbx>
                      <w:txbxContent>
                        <w:p w14:paraId="15A5ED85">
                          <w:pPr>
                            <w:pStyle w:val="38"/>
                          </w:pPr>
                          <w:r>
                            <w:fldChar w:fldCharType="begin"/>
                          </w:r>
                          <w:r>
                            <w:instrText xml:space="preserve"> PAGE  \* MERGEFORMAT </w:instrText>
                          </w:r>
                          <w:r>
                            <w:fldChar w:fldCharType="separate"/>
                          </w:r>
                          <w:r>
                            <w:t>21</w:t>
                          </w:r>
                          <w:r>
                            <w:fldChar w:fldCharType="end"/>
                          </w:r>
                        </w:p>
                      </w:txbxContent>
                    </wps:txbx>
                    <wps:bodyPr wrap="none" lIns="0" tIns="0" rIns="0" bIns="0">
                      <a:spAutoFit/>
                    </wps:bodyPr>
                  </wps:wsp>
                </a:graphicData>
              </a:graphic>
            </wp:anchor>
          </w:drawing>
        </mc:Choice>
        <mc:Fallback>
          <w:pict>
            <v:rect id="文本框 1025" o:spid="_x0000_s1026" o:spt="1"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VFj9W0QAAAAIBAAAPAAAAAAAAAAEAIAAAACIAAABkcnMvZG93bnJl&#10;di54bWxQSwECFAAUAAAACACHTuJAITcx08sBAACUAwAADgAAAAAAAAABACAAAAAgAQAAZHJzL2Uy&#10;b0RvYy54bWxQSwUGAAAAAAYABgBZAQAAXQUAAAAA&#10;">
              <v:fill on="f" focussize="0,0"/>
              <v:stroke on="f"/>
              <v:imagedata o:title=""/>
              <o:lock v:ext="edit" aspectratio="f"/>
              <v:textbox inset="0mm,0mm,0mm,0mm" style="mso-fit-shape-to-text:t;">
                <w:txbxContent>
                  <w:p w14:paraId="15A5ED85">
                    <w:pPr>
                      <w:pStyle w:val="38"/>
                    </w:pPr>
                    <w:r>
                      <w:fldChar w:fldCharType="begin"/>
                    </w:r>
                    <w:r>
                      <w:instrText xml:space="preserve"> PAGE  \* MERGEFORMAT </w:instrText>
                    </w:r>
                    <w:r>
                      <w:fldChar w:fldCharType="separate"/>
                    </w:r>
                    <w:r>
                      <w:t>21</w:t>
                    </w:r>
                    <w:r>
                      <w:fldChar w:fldCharType="end"/>
                    </w:r>
                  </w:p>
                </w:txbxContent>
              </v:textbox>
            </v:rect>
          </w:pict>
        </mc:Fallback>
      </mc:AlternateContent>
    </w:r>
  </w:p>
  <w:p w14:paraId="1F46A450">
    <w:pPr>
      <w:pStyle w:val="3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894F14">
    <w:pPr>
      <w:pStyle w:val="38"/>
      <w:jc w:val="center"/>
    </w:pPr>
  </w:p>
  <w:p w14:paraId="63FBB60C">
    <w:pPr>
      <w:pStyle w:val="3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5C0C68">
    <w:pPr>
      <w:pStyle w:val="38"/>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57785" cy="131445"/>
              <wp:effectExtent l="0" t="0" r="0" b="0"/>
              <wp:wrapNone/>
              <wp:docPr id="4098" name="文本框 1028"/>
              <wp:cNvGraphicFramePr/>
              <a:graphic xmlns:a="http://schemas.openxmlformats.org/drawingml/2006/main">
                <a:graphicData uri="http://schemas.microsoft.com/office/word/2010/wordprocessingShape">
                  <wps:wsp>
                    <wps:cNvSpPr/>
                    <wps:spPr>
                      <a:xfrm>
                        <a:off x="0" y="0"/>
                        <a:ext cx="57785" cy="131445"/>
                      </a:xfrm>
                      <a:prstGeom prst="rect">
                        <a:avLst/>
                      </a:prstGeom>
                      <a:noFill/>
                      <a:ln>
                        <a:noFill/>
                      </a:ln>
                      <a:effectLst/>
                    </wps:spPr>
                    <wps:txbx>
                      <w:txbxContent>
                        <w:p w14:paraId="56A9319C">
                          <w:pPr>
                            <w:pStyle w:val="38"/>
                          </w:pPr>
                          <w:r>
                            <w:fldChar w:fldCharType="begin"/>
                          </w:r>
                          <w:r>
                            <w:instrText xml:space="preserve"> PAGE  \* MERGEFORMAT </w:instrText>
                          </w:r>
                          <w:r>
                            <w:fldChar w:fldCharType="separate"/>
                          </w:r>
                          <w:r>
                            <w:t>76</w:t>
                          </w:r>
                          <w:r>
                            <w:fldChar w:fldCharType="end"/>
                          </w:r>
                        </w:p>
                      </w:txbxContent>
                    </wps:txbx>
                    <wps:bodyPr wrap="none" lIns="0" tIns="0" rIns="0" bIns="0">
                      <a:spAutoFit/>
                    </wps:bodyPr>
                  </wps:wsp>
                </a:graphicData>
              </a:graphic>
            </wp:anchor>
          </w:drawing>
        </mc:Choice>
        <mc:Fallback>
          <w:pict>
            <v:rect id="文本框 1028" o:spid="_x0000_s1026" o:spt="1" style="position:absolute;left:0pt;margin-top:0pt;height:10.35pt;width:4.55pt;mso-position-horizontal:center;mso-position-horizontal-relative:margin;mso-wrap-style:none;z-index:251660288;mso-width-relative:page;mso-height-relative:page;" filled="f" stroked="f" coordsize="21600,21600" o:gfxdata="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VFj9W0QAAAAIBAAAPAAAAAAAAAAEAIAAAACIAAABkcnMvZG93bnJl&#10;di54bWxQSwECFAAUAAAACACHTuJA0/BbJssBAACUAwAADgAAAAAAAAABACAAAAAgAQAAZHJzL2Uy&#10;b0RvYy54bWxQSwUGAAAAAAYABgBZAQAAXQUAAAAA&#10;">
              <v:fill on="f" focussize="0,0"/>
              <v:stroke on="f"/>
              <v:imagedata o:title=""/>
              <o:lock v:ext="edit" aspectratio="f"/>
              <v:textbox inset="0mm,0mm,0mm,0mm" style="mso-fit-shape-to-text:t;">
                <w:txbxContent>
                  <w:p w14:paraId="56A9319C">
                    <w:pPr>
                      <w:pStyle w:val="38"/>
                    </w:pPr>
                    <w:r>
                      <w:fldChar w:fldCharType="begin"/>
                    </w:r>
                    <w:r>
                      <w:instrText xml:space="preserve"> PAGE  \* MERGEFORMAT </w:instrText>
                    </w:r>
                    <w:r>
                      <w:fldChar w:fldCharType="separate"/>
                    </w:r>
                    <w:r>
                      <w:t>76</w:t>
                    </w:r>
                    <w:r>
                      <w:fldChar w:fldCharType="end"/>
                    </w:r>
                  </w:p>
                </w:txbxContent>
              </v:textbox>
            </v:rect>
          </w:pict>
        </mc:Fallback>
      </mc:AlternateContent>
    </w:r>
  </w:p>
  <w:p w14:paraId="54645F3B">
    <w:pPr>
      <w:pStyle w:val="38"/>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E26D79">
    <w:pPr>
      <w:pStyle w:val="38"/>
      <w:framePr w:wrap="around" w:vAnchor="text" w:hAnchor="margin" w:xAlign="center" w:y="1"/>
      <w:rPr>
        <w:rStyle w:val="66"/>
      </w:rPr>
    </w:pPr>
    <w:r>
      <w:fldChar w:fldCharType="begin"/>
    </w:r>
    <w:r>
      <w:rPr>
        <w:rStyle w:val="66"/>
      </w:rPr>
      <w:instrText xml:space="preserve">PAGE  </w:instrText>
    </w:r>
    <w:r>
      <w:fldChar w:fldCharType="end"/>
    </w:r>
  </w:p>
  <w:p w14:paraId="4278C458">
    <w:pPr>
      <w:pStyle w:val="38"/>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1829AB">
    <w:pPr>
      <w:pStyle w:val="38"/>
      <w:framePr w:wrap="around" w:vAnchor="text" w:hAnchor="margin" w:xAlign="right" w:y="1"/>
      <w:rPr>
        <w:rStyle w:val="66"/>
      </w:rPr>
    </w:pPr>
    <w:r>
      <w:fldChar w:fldCharType="begin"/>
    </w:r>
    <w:r>
      <w:rPr>
        <w:rStyle w:val="66"/>
      </w:rPr>
      <w:instrText xml:space="preserve">PAGE  </w:instrText>
    </w:r>
    <w:r>
      <w:fldChar w:fldCharType="separate"/>
    </w:r>
    <w:r>
      <w:rPr>
        <w:rStyle w:val="66"/>
      </w:rPr>
      <w:t>122</w:t>
    </w:r>
    <w:r>
      <w:fldChar w:fldCharType="end"/>
    </w:r>
  </w:p>
  <w:p w14:paraId="15C4E100">
    <w:pPr>
      <w:pStyle w:val="38"/>
      <w:ind w:right="360"/>
      <w:jc w:val="both"/>
    </w:pPr>
    <w:r>
      <w:rPr>
        <w:rFonts w:hint="eastAsia"/>
      </w:rPr>
      <w:t>121</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8C38A3">
    <w:pPr>
      <w:pStyle w:val="38"/>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57785" cy="131445"/>
              <wp:effectExtent l="0" t="0" r="0" b="0"/>
              <wp:wrapNone/>
              <wp:docPr id="4099" name="文本框 1029"/>
              <wp:cNvGraphicFramePr/>
              <a:graphic xmlns:a="http://schemas.openxmlformats.org/drawingml/2006/main">
                <a:graphicData uri="http://schemas.microsoft.com/office/word/2010/wordprocessingShape">
                  <wps:wsp>
                    <wps:cNvSpPr/>
                    <wps:spPr>
                      <a:xfrm>
                        <a:off x="0" y="0"/>
                        <a:ext cx="57785" cy="131445"/>
                      </a:xfrm>
                      <a:prstGeom prst="rect">
                        <a:avLst/>
                      </a:prstGeom>
                      <a:noFill/>
                      <a:ln>
                        <a:noFill/>
                      </a:ln>
                      <a:effectLst/>
                    </wps:spPr>
                    <wps:txbx>
                      <w:txbxContent>
                        <w:p w14:paraId="7823E80B">
                          <w:pPr>
                            <w:pStyle w:val="38"/>
                          </w:pPr>
                          <w:r>
                            <w:fldChar w:fldCharType="begin"/>
                          </w:r>
                          <w:r>
                            <w:instrText xml:space="preserve"> PAGE  \* MERGEFORMAT </w:instrText>
                          </w:r>
                          <w:r>
                            <w:fldChar w:fldCharType="separate"/>
                          </w:r>
                          <w:r>
                            <w:t>80</w:t>
                          </w:r>
                          <w:r>
                            <w:fldChar w:fldCharType="end"/>
                          </w:r>
                        </w:p>
                      </w:txbxContent>
                    </wps:txbx>
                    <wps:bodyPr wrap="none" lIns="0" tIns="0" rIns="0" bIns="0">
                      <a:spAutoFit/>
                    </wps:bodyPr>
                  </wps:wsp>
                </a:graphicData>
              </a:graphic>
            </wp:anchor>
          </w:drawing>
        </mc:Choice>
        <mc:Fallback>
          <w:pict>
            <v:rect id="文本框 1029" o:spid="_x0000_s1026" o:spt="1" style="position:absolute;left:0pt;margin-top:0pt;height:10.35pt;width:4.55pt;mso-position-horizontal:center;mso-position-horizontal-relative:margin;mso-wrap-style:none;z-index:251662336;mso-width-relative:page;mso-height-relative:page;" filled="f" stroked="f" coordsize="21600,21600" o:gfxdata="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lRY/VtEAAAACAQAADwAAAAAAAAABACAAAAAiAAAAZHJzL2Rvd25y&#10;ZXYueG1sUEsBAhQAFAAAAAgAh07iQPMUHenMAQAAlAMAAA4AAAAAAAAAAQAgAAAAIAEAAGRycy9l&#10;Mm9Eb2MueG1sUEsFBgAAAAAGAAYAWQEAAF4FAAAAAA==&#10;">
              <v:fill on="f" focussize="0,0"/>
              <v:stroke on="f"/>
              <v:imagedata o:title=""/>
              <o:lock v:ext="edit" aspectratio="f"/>
              <v:textbox inset="0mm,0mm,0mm,0mm" style="mso-fit-shape-to-text:t;">
                <w:txbxContent>
                  <w:p w14:paraId="7823E80B">
                    <w:pPr>
                      <w:pStyle w:val="38"/>
                    </w:pPr>
                    <w:r>
                      <w:fldChar w:fldCharType="begin"/>
                    </w:r>
                    <w:r>
                      <w:instrText xml:space="preserve"> PAGE  \* MERGEFORMAT </w:instrText>
                    </w:r>
                    <w:r>
                      <w:fldChar w:fldCharType="separate"/>
                    </w:r>
                    <w:r>
                      <w:t>80</w:t>
                    </w:r>
                    <w:r>
                      <w:fldChar w:fldCharType="end"/>
                    </w:r>
                  </w:p>
                </w:txbxContent>
              </v:textbox>
            </v:rect>
          </w:pict>
        </mc:Fallback>
      </mc:AlternateContent>
    </w:r>
  </w:p>
  <w:p w14:paraId="39A4CF39">
    <w:pPr>
      <w:pStyle w:val="38"/>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963F47">
    <w:pPr>
      <w:pStyle w:val="38"/>
      <w:framePr w:wrap="around" w:vAnchor="text" w:hAnchor="margin" w:xAlign="center" w:y="1"/>
      <w:rPr>
        <w:rStyle w:val="66"/>
      </w:rPr>
    </w:pPr>
    <w:r>
      <w:fldChar w:fldCharType="begin"/>
    </w:r>
    <w:r>
      <w:rPr>
        <w:rStyle w:val="66"/>
      </w:rPr>
      <w:instrText xml:space="preserve">PAGE  </w:instrText>
    </w:r>
    <w:r>
      <w:fldChar w:fldCharType="end"/>
    </w:r>
  </w:p>
  <w:p w14:paraId="165176E8">
    <w:pPr>
      <w:pStyle w:val="3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760E56">
    <w:pPr>
      <w:pStyle w:val="39"/>
      <w:pBdr>
        <w:bottom w:val="none" w:color="auto" w:sz="0" w:space="1"/>
      </w:pBdr>
      <w:tabs>
        <w:tab w:val="center" w:pos="4153"/>
        <w:tab w:val="right" w:pos="8306"/>
        <w:tab w:val="clear" w:pos="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4B33E4">
    <w:pPr>
      <w:pStyle w:val="39"/>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0BCE77">
    <w:pPr>
      <w:pStyle w:val="39"/>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54552A">
    <w:pPr>
      <w:pStyle w:val="3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0E1F63"/>
    <w:multiLevelType w:val="singleLevel"/>
    <w:tmpl w:val="850E1F63"/>
    <w:lvl w:ilvl="0" w:tentative="0">
      <w:start w:val="2"/>
      <w:numFmt w:val="decimal"/>
      <w:suff w:val="nothing"/>
      <w:lvlText w:val="（%1）"/>
      <w:lvlJc w:val="left"/>
    </w:lvl>
  </w:abstractNum>
  <w:abstractNum w:abstractNumId="1">
    <w:nsid w:val="B567EE5B"/>
    <w:multiLevelType w:val="singleLevel"/>
    <w:tmpl w:val="B567EE5B"/>
    <w:lvl w:ilvl="0" w:tentative="0">
      <w:start w:val="1"/>
      <w:numFmt w:val="decimal"/>
      <w:lvlText w:val="%1."/>
      <w:lvlJc w:val="left"/>
      <w:pPr>
        <w:tabs>
          <w:tab w:val="left" w:pos="312"/>
        </w:tabs>
      </w:pPr>
    </w:lvl>
  </w:abstractNum>
  <w:abstractNum w:abstractNumId="2">
    <w:nsid w:val="BC4C669D"/>
    <w:multiLevelType w:val="singleLevel"/>
    <w:tmpl w:val="BC4C669D"/>
    <w:lvl w:ilvl="0" w:tentative="0">
      <w:start w:val="1"/>
      <w:numFmt w:val="decimal"/>
      <w:suff w:val="nothing"/>
      <w:lvlText w:val="（%1）"/>
      <w:lvlJc w:val="left"/>
    </w:lvl>
  </w:abstractNum>
  <w:abstractNum w:abstractNumId="3">
    <w:nsid w:val="D804E059"/>
    <w:multiLevelType w:val="singleLevel"/>
    <w:tmpl w:val="D804E059"/>
    <w:lvl w:ilvl="0" w:tentative="0">
      <w:start w:val="1"/>
      <w:numFmt w:val="decimal"/>
      <w:suff w:val="nothing"/>
      <w:lvlText w:val="（%1）"/>
      <w:lvlJc w:val="left"/>
      <w:pPr>
        <w:ind w:left="0" w:firstLine="0"/>
      </w:pPr>
    </w:lvl>
  </w:abstractNum>
  <w:abstractNum w:abstractNumId="4">
    <w:nsid w:val="F5099A7F"/>
    <w:multiLevelType w:val="singleLevel"/>
    <w:tmpl w:val="F5099A7F"/>
    <w:lvl w:ilvl="0" w:tentative="0">
      <w:start w:val="3"/>
      <w:numFmt w:val="chineseCounting"/>
      <w:suff w:val="nothing"/>
      <w:lvlText w:val="%1、"/>
      <w:lvlJc w:val="left"/>
      <w:rPr>
        <w:rFonts w:hint="eastAsia"/>
      </w:rPr>
    </w:lvl>
  </w:abstractNum>
  <w:abstractNum w:abstractNumId="5">
    <w:nsid w:val="00000001"/>
    <w:multiLevelType w:val="multilevel"/>
    <w:tmpl w:val="00000001"/>
    <w:lvl w:ilvl="0" w:tentative="0">
      <w:start w:val="1"/>
      <w:numFmt w:val="decimal"/>
      <w:pStyle w:val="87"/>
      <w:lvlText w:val="%1、"/>
      <w:lvlJc w:val="left"/>
      <w:pPr>
        <w:tabs>
          <w:tab w:val="left" w:pos="675"/>
        </w:tabs>
        <w:ind w:left="675" w:hanging="675"/>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0000002"/>
    <w:multiLevelType w:val="multilevel"/>
    <w:tmpl w:val="00000002"/>
    <w:lvl w:ilvl="0" w:tentative="0">
      <w:start w:val="1"/>
      <w:numFmt w:val="decimal"/>
      <w:pStyle w:val="169"/>
      <w:lvlText w:val="%1."/>
      <w:lvlJc w:val="left"/>
      <w:pPr>
        <w:tabs>
          <w:tab w:val="left" w:pos="425"/>
        </w:tabs>
        <w:ind w:left="425" w:hanging="425"/>
      </w:pPr>
    </w:lvl>
    <w:lvl w:ilvl="1" w:tentative="0">
      <w:start w:val="1"/>
      <w:numFmt w:val="decimal"/>
      <w:pStyle w:val="102"/>
      <w:lvlText w:val="%1.%2."/>
      <w:lvlJc w:val="left"/>
      <w:pPr>
        <w:tabs>
          <w:tab w:val="left" w:pos="567"/>
        </w:tabs>
        <w:ind w:left="567" w:hanging="567"/>
      </w:pPr>
    </w:lvl>
    <w:lvl w:ilvl="2" w:tentative="0">
      <w:start w:val="1"/>
      <w:numFmt w:val="decimal"/>
      <w:lvlText w:val="%1.%2.%3."/>
      <w:lvlJc w:val="left"/>
      <w:pPr>
        <w:tabs>
          <w:tab w:val="left" w:pos="709"/>
        </w:tabs>
        <w:ind w:left="709" w:hanging="709"/>
      </w:pPr>
    </w:lvl>
    <w:lvl w:ilvl="3" w:tentative="0">
      <w:start w:val="1"/>
      <w:numFmt w:val="decimal"/>
      <w:lvlText w:val="%1.%2.%3.%4."/>
      <w:lvlJc w:val="left"/>
      <w:pPr>
        <w:tabs>
          <w:tab w:val="left" w:pos="851"/>
        </w:tabs>
        <w:ind w:left="851" w:hanging="851"/>
      </w:p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abstractNum w:abstractNumId="7">
    <w:nsid w:val="00000003"/>
    <w:multiLevelType w:val="multilevel"/>
    <w:tmpl w:val="00000003"/>
    <w:lvl w:ilvl="0" w:tentative="0">
      <w:start w:val="1"/>
      <w:numFmt w:val="lowerLetter"/>
      <w:pStyle w:val="204"/>
      <w:lvlText w:val="%1)"/>
      <w:lvlJc w:val="left"/>
      <w:pPr>
        <w:tabs>
          <w:tab w:val="left" w:pos="840"/>
        </w:tabs>
        <w:ind w:left="839" w:hanging="419"/>
      </w:pPr>
      <w:rPr>
        <w:rFonts w:hint="eastAsia" w:ascii="宋体" w:hAnsi="Times New Roman" w:eastAsia="宋体"/>
        <w:b w:val="0"/>
        <w:i w:val="0"/>
        <w:sz w:val="21"/>
        <w:szCs w:val="21"/>
      </w:rPr>
    </w:lvl>
    <w:lvl w:ilvl="1" w:tentative="0">
      <w:start w:val="1"/>
      <w:numFmt w:val="decimal"/>
      <w:lvlText w:val="%2)"/>
      <w:lvlJc w:val="left"/>
      <w:pPr>
        <w:tabs>
          <w:tab w:val="left" w:pos="1260"/>
        </w:tabs>
        <w:ind w:left="1259" w:hanging="419"/>
      </w:pPr>
    </w:lvl>
    <w:lvl w:ilvl="2" w:tentative="0">
      <w:start w:val="1"/>
      <w:numFmt w:val="decimal"/>
      <w:lvlText w:val="(%3)"/>
      <w:lvlJc w:val="left"/>
      <w:pPr>
        <w:tabs>
          <w:tab w:val="left" w:pos="0"/>
        </w:tabs>
        <w:ind w:left="1679" w:hanging="420"/>
      </w:pPr>
      <w:rPr>
        <w:rFonts w:hint="eastAsia" w:ascii="宋体" w:hAnsi="Times New Roman" w:eastAsia="宋体"/>
        <w:b w:val="0"/>
        <w:i w:val="0"/>
        <w:sz w:val="21"/>
        <w:szCs w:val="21"/>
      </w:rPr>
    </w:lvl>
    <w:lvl w:ilvl="3" w:tentative="0">
      <w:start w:val="1"/>
      <w:numFmt w:val="decimal"/>
      <w:lvlText w:val="%4."/>
      <w:lvlJc w:val="left"/>
      <w:pPr>
        <w:tabs>
          <w:tab w:val="left" w:pos="2100"/>
        </w:tabs>
        <w:ind w:left="2099" w:hanging="419"/>
      </w:pPr>
    </w:lvl>
    <w:lvl w:ilvl="4" w:tentative="0">
      <w:start w:val="1"/>
      <w:numFmt w:val="lowerLetter"/>
      <w:lvlText w:val="%5)"/>
      <w:lvlJc w:val="left"/>
      <w:pPr>
        <w:tabs>
          <w:tab w:val="left" w:pos="2520"/>
        </w:tabs>
        <w:ind w:left="2519" w:hanging="419"/>
      </w:pPr>
    </w:lvl>
    <w:lvl w:ilvl="5" w:tentative="0">
      <w:start w:val="1"/>
      <w:numFmt w:val="lowerRoman"/>
      <w:lvlText w:val="%6."/>
      <w:lvlJc w:val="right"/>
      <w:pPr>
        <w:tabs>
          <w:tab w:val="left" w:pos="2940"/>
        </w:tabs>
        <w:ind w:left="2939" w:hanging="419"/>
      </w:pPr>
    </w:lvl>
    <w:lvl w:ilvl="6" w:tentative="0">
      <w:start w:val="1"/>
      <w:numFmt w:val="decimal"/>
      <w:lvlText w:val="%7."/>
      <w:lvlJc w:val="left"/>
      <w:pPr>
        <w:tabs>
          <w:tab w:val="left" w:pos="3360"/>
        </w:tabs>
        <w:ind w:left="3359" w:hanging="419"/>
      </w:pPr>
    </w:lvl>
    <w:lvl w:ilvl="7" w:tentative="0">
      <w:start w:val="1"/>
      <w:numFmt w:val="lowerLetter"/>
      <w:lvlText w:val="%8)"/>
      <w:lvlJc w:val="left"/>
      <w:pPr>
        <w:tabs>
          <w:tab w:val="left" w:pos="3780"/>
        </w:tabs>
        <w:ind w:left="3779" w:hanging="419"/>
      </w:pPr>
    </w:lvl>
    <w:lvl w:ilvl="8" w:tentative="0">
      <w:start w:val="1"/>
      <w:numFmt w:val="lowerRoman"/>
      <w:lvlText w:val="%9."/>
      <w:lvlJc w:val="right"/>
      <w:pPr>
        <w:tabs>
          <w:tab w:val="left" w:pos="4200"/>
        </w:tabs>
        <w:ind w:left="4199" w:hanging="419"/>
      </w:pPr>
    </w:lvl>
  </w:abstractNum>
  <w:abstractNum w:abstractNumId="8">
    <w:nsid w:val="00000004"/>
    <w:multiLevelType w:val="multilevel"/>
    <w:tmpl w:val="00000004"/>
    <w:lvl w:ilvl="0" w:tentative="0">
      <w:start w:val="1"/>
      <w:numFmt w:val="decimal"/>
      <w:pStyle w:val="219"/>
      <w:lvlText w:val="%1."/>
      <w:lvlJc w:val="left"/>
      <w:pPr>
        <w:tabs>
          <w:tab w:val="left" w:pos="840"/>
        </w:tabs>
        <w:ind w:left="840" w:hanging="420"/>
      </w:pPr>
    </w:lvl>
    <w:lvl w:ilvl="1" w:tentative="0">
      <w:start w:val="1"/>
      <w:numFmt w:val="lowerLetter"/>
      <w:pStyle w:val="112"/>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9">
    <w:nsid w:val="00000005"/>
    <w:multiLevelType w:val="multilevel"/>
    <w:tmpl w:val="00000005"/>
    <w:lvl w:ilvl="0" w:tentative="0">
      <w:start w:val="1"/>
      <w:numFmt w:val="decimal"/>
      <w:pStyle w:val="164"/>
      <w:suff w:val="nothing"/>
      <w:lvlText w:val="图%1　"/>
      <w:lvlJc w:val="left"/>
      <w:pPr>
        <w:ind w:left="0" w:firstLine="0"/>
      </w:pPr>
      <w:rPr>
        <w:rFonts w:hint="eastAsia" w:ascii="黑体" w:hAnsi="Times New Roman" w:eastAsia="黑体"/>
        <w:b w:val="0"/>
        <w:i w:val="0"/>
        <w:sz w:val="21"/>
      </w:rPr>
    </w:lvl>
    <w:lvl w:ilvl="1" w:tentative="0">
      <w:start w:val="1"/>
      <w:numFmt w:val="decimal"/>
      <w:suff w:val="nothing"/>
      <w:lvlText w:val="%1%2　"/>
      <w:lvlJc w:val="left"/>
      <w:pPr>
        <w:ind w:left="0" w:firstLine="0"/>
      </w:pPr>
      <w:rPr>
        <w:rFonts w:hint="default" w:ascii="Times New Roman" w:hAnsi="Times New Roman" w:eastAsia="黑体" w:cs="Times New Roman"/>
        <w:b w:val="0"/>
        <w:i w:val="0"/>
        <w:sz w:val="21"/>
      </w:rPr>
    </w:lvl>
    <w:lvl w:ilvl="2" w:tentative="0">
      <w:start w:val="1"/>
      <w:numFmt w:val="decimal"/>
      <w:suff w:val="nothing"/>
      <w:lvlText w:val="%1%2.%3　"/>
      <w:lvlJc w:val="left"/>
      <w:pPr>
        <w:ind w:left="0" w:firstLine="0"/>
      </w:pPr>
      <w:rPr>
        <w:rFonts w:hint="default" w:ascii="Times New Roman" w:hAnsi="Times New Roman" w:eastAsia="黑体" w:cs="Times New Roman"/>
        <w:b w:val="0"/>
        <w:i w:val="0"/>
        <w:sz w:val="21"/>
      </w:rPr>
    </w:lvl>
    <w:lvl w:ilvl="3" w:tentative="0">
      <w:start w:val="1"/>
      <w:numFmt w:val="decimal"/>
      <w:suff w:val="nothing"/>
      <w:lvlText w:val="%1%2.%3.%4　"/>
      <w:lvlJc w:val="left"/>
      <w:pPr>
        <w:ind w:left="0" w:firstLine="0"/>
      </w:pPr>
      <w:rPr>
        <w:rFonts w:hint="default" w:ascii="Times New Roman" w:hAnsi="Times New Roman" w:eastAsia="黑体" w:cs="Times New Roman"/>
        <w:b w:val="0"/>
        <w:i w:val="0"/>
        <w:sz w:val="21"/>
      </w:rPr>
    </w:lvl>
    <w:lvl w:ilvl="4" w:tentative="0">
      <w:start w:val="1"/>
      <w:numFmt w:val="decimal"/>
      <w:suff w:val="nothing"/>
      <w:lvlText w:val="%1%2.%3.%4.%5　"/>
      <w:lvlJc w:val="left"/>
      <w:pPr>
        <w:ind w:left="0" w:firstLine="0"/>
      </w:pPr>
      <w:rPr>
        <w:rFonts w:hint="default" w:ascii="Times New Roman" w:hAnsi="Times New Roman" w:eastAsia="黑体" w:cs="Times New Roman"/>
        <w:b w:val="0"/>
        <w:i w:val="0"/>
        <w:sz w:val="21"/>
      </w:rPr>
    </w:lvl>
    <w:lvl w:ilvl="5" w:tentative="0">
      <w:start w:val="1"/>
      <w:numFmt w:val="decimal"/>
      <w:suff w:val="nothing"/>
      <w:lvlText w:val="%1%2.%3.%4.%5.%6　"/>
      <w:lvlJc w:val="left"/>
      <w:pPr>
        <w:ind w:left="0" w:firstLine="0"/>
      </w:pPr>
      <w:rPr>
        <w:rFonts w:hint="default" w:ascii="Times New Roman" w:hAnsi="Times New Roman" w:eastAsia="黑体" w:cs="Times New Roman"/>
        <w:b w:val="0"/>
        <w:i w:val="0"/>
        <w:sz w:val="21"/>
      </w:rPr>
    </w:lvl>
    <w:lvl w:ilvl="6" w:tentative="0">
      <w:start w:val="1"/>
      <w:numFmt w:val="decimal"/>
      <w:suff w:val="nothing"/>
      <w:lvlText w:val="%1%2.%3.%4.%5.%6.%7　"/>
      <w:lvlJc w:val="left"/>
      <w:pPr>
        <w:ind w:left="0" w:firstLine="0"/>
      </w:pPr>
      <w:rPr>
        <w:rFonts w:hint="default" w:ascii="Times New Roman" w:hAnsi="Times New Roman" w:eastAsia="黑体" w:cs="Times New Roman"/>
        <w:b w:val="0"/>
        <w:i w:val="0"/>
        <w:sz w:val="21"/>
      </w:rPr>
    </w:lvl>
    <w:lvl w:ilvl="7" w:tentative="0">
      <w:start w:val="1"/>
      <w:numFmt w:val="decimal"/>
      <w:lvlText w:val="%1.%2.%3.%4.%5.%6.%7.%8"/>
      <w:lvlJc w:val="left"/>
      <w:pPr>
        <w:tabs>
          <w:tab w:val="left" w:pos="4351"/>
        </w:tabs>
        <w:ind w:left="3969" w:hanging="1418"/>
      </w:pPr>
    </w:lvl>
    <w:lvl w:ilvl="8" w:tentative="0">
      <w:start w:val="1"/>
      <w:numFmt w:val="decimal"/>
      <w:lvlText w:val="%1.%2.%3.%4.%5.%6.%7.%8.%9"/>
      <w:lvlJc w:val="left"/>
      <w:pPr>
        <w:tabs>
          <w:tab w:val="left" w:pos="4777"/>
        </w:tabs>
        <w:ind w:left="4677" w:hanging="1700"/>
      </w:pPr>
    </w:lvl>
  </w:abstractNum>
  <w:abstractNum w:abstractNumId="10">
    <w:nsid w:val="00000006"/>
    <w:multiLevelType w:val="multilevel"/>
    <w:tmpl w:val="00000006"/>
    <w:lvl w:ilvl="0" w:tentative="0">
      <w:start w:val="1"/>
      <w:numFmt w:val="decimal"/>
      <w:pStyle w:val="143"/>
      <w:lvlText w:val="%1."/>
      <w:lvlJc w:val="left"/>
      <w:pPr>
        <w:tabs>
          <w:tab w:val="left" w:pos="840"/>
        </w:tabs>
        <w:ind w:left="840" w:hanging="420"/>
      </w:pPr>
    </w:lvl>
    <w:lvl w:ilvl="1" w:tentative="0">
      <w:start w:val="1"/>
      <w:numFmt w:val="lowerLetter"/>
      <w:lvlText w:val="%2)"/>
      <w:lvlJc w:val="left"/>
      <w:pPr>
        <w:tabs>
          <w:tab w:val="left" w:pos="1260"/>
        </w:tabs>
        <w:ind w:left="1260" w:hanging="420"/>
      </w:pPr>
    </w:lvl>
    <w:lvl w:ilvl="2" w:tentative="0">
      <w:start w:val="1"/>
      <w:numFmt w:val="lowerRoman"/>
      <w:pStyle w:val="129"/>
      <w:lvlText w:val="%3."/>
      <w:lvlJc w:val="right"/>
      <w:pPr>
        <w:tabs>
          <w:tab w:val="left" w:pos="1680"/>
        </w:tabs>
        <w:ind w:left="1680" w:hanging="420"/>
      </w:pPr>
    </w:lvl>
    <w:lvl w:ilvl="3" w:tentative="0">
      <w:start w:val="1"/>
      <w:numFmt w:val="decimal"/>
      <w:pStyle w:val="161"/>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11">
    <w:nsid w:val="00000007"/>
    <w:multiLevelType w:val="multilevel"/>
    <w:tmpl w:val="00000007"/>
    <w:lvl w:ilvl="0" w:tentative="0">
      <w:start w:val="1"/>
      <w:numFmt w:val="decimal"/>
      <w:pStyle w:val="117"/>
      <w:suff w:val="nothing"/>
      <w:lvlText w:val="注%1："/>
      <w:lvlJc w:val="left"/>
      <w:pPr>
        <w:ind w:left="811" w:hanging="448"/>
      </w:pPr>
      <w:rPr>
        <w:rFonts w:hint="eastAsia" w:ascii="黑体" w:hAnsi="Times New Roman" w:eastAsia="黑体"/>
        <w:b w:val="0"/>
        <w:i w:val="0"/>
        <w:sz w:val="18"/>
        <w:szCs w:val="18"/>
        <w:vertAlign w:val="baseline"/>
      </w:rPr>
    </w:lvl>
    <w:lvl w:ilvl="1" w:tentative="0">
      <w:start w:val="1"/>
      <w:numFmt w:val="lowerLetter"/>
      <w:lvlText w:val="%2)"/>
      <w:lvlJc w:val="left"/>
      <w:pPr>
        <w:tabs>
          <w:tab w:val="left" w:pos="180"/>
        </w:tabs>
        <w:ind w:left="1172" w:hanging="629"/>
      </w:pPr>
      <w:rPr>
        <w:vertAlign w:val="baseline"/>
      </w:rPr>
    </w:lvl>
    <w:lvl w:ilvl="2" w:tentative="0">
      <w:start w:val="1"/>
      <w:numFmt w:val="lowerRoman"/>
      <w:lvlText w:val="%3."/>
      <w:lvlJc w:val="right"/>
      <w:pPr>
        <w:tabs>
          <w:tab w:val="left" w:pos="180"/>
        </w:tabs>
        <w:ind w:left="1172" w:hanging="629"/>
      </w:pPr>
      <w:rPr>
        <w:vertAlign w:val="baseline"/>
      </w:rPr>
    </w:lvl>
    <w:lvl w:ilvl="3" w:tentative="0">
      <w:start w:val="1"/>
      <w:numFmt w:val="decimal"/>
      <w:lvlText w:val="%4."/>
      <w:lvlJc w:val="left"/>
      <w:pPr>
        <w:tabs>
          <w:tab w:val="left" w:pos="180"/>
        </w:tabs>
        <w:ind w:left="1172" w:hanging="629"/>
      </w:pPr>
      <w:rPr>
        <w:vertAlign w:val="baseline"/>
      </w:rPr>
    </w:lvl>
    <w:lvl w:ilvl="4" w:tentative="0">
      <w:start w:val="1"/>
      <w:numFmt w:val="lowerLetter"/>
      <w:lvlText w:val="%5)"/>
      <w:lvlJc w:val="left"/>
      <w:pPr>
        <w:tabs>
          <w:tab w:val="left" w:pos="180"/>
        </w:tabs>
        <w:ind w:left="1172" w:hanging="629"/>
      </w:pPr>
      <w:rPr>
        <w:vertAlign w:val="baseline"/>
      </w:rPr>
    </w:lvl>
    <w:lvl w:ilvl="5" w:tentative="0">
      <w:start w:val="1"/>
      <w:numFmt w:val="lowerRoman"/>
      <w:lvlText w:val="%6."/>
      <w:lvlJc w:val="right"/>
      <w:pPr>
        <w:tabs>
          <w:tab w:val="left" w:pos="180"/>
        </w:tabs>
        <w:ind w:left="1172" w:hanging="629"/>
      </w:pPr>
      <w:rPr>
        <w:vertAlign w:val="baseline"/>
      </w:rPr>
    </w:lvl>
    <w:lvl w:ilvl="6" w:tentative="0">
      <w:start w:val="1"/>
      <w:numFmt w:val="decimal"/>
      <w:lvlText w:val="%7."/>
      <w:lvlJc w:val="left"/>
      <w:pPr>
        <w:tabs>
          <w:tab w:val="left" w:pos="180"/>
        </w:tabs>
        <w:ind w:left="1172" w:hanging="629"/>
      </w:pPr>
      <w:rPr>
        <w:vertAlign w:val="baseline"/>
      </w:rPr>
    </w:lvl>
    <w:lvl w:ilvl="7" w:tentative="0">
      <w:start w:val="1"/>
      <w:numFmt w:val="lowerLetter"/>
      <w:lvlText w:val="%8)"/>
      <w:lvlJc w:val="left"/>
      <w:pPr>
        <w:tabs>
          <w:tab w:val="left" w:pos="180"/>
        </w:tabs>
        <w:ind w:left="1172" w:hanging="629"/>
      </w:pPr>
      <w:rPr>
        <w:vertAlign w:val="baseline"/>
      </w:rPr>
    </w:lvl>
    <w:lvl w:ilvl="8" w:tentative="0">
      <w:start w:val="1"/>
      <w:numFmt w:val="lowerRoman"/>
      <w:lvlText w:val="%9."/>
      <w:lvlJc w:val="right"/>
      <w:pPr>
        <w:tabs>
          <w:tab w:val="left" w:pos="180"/>
        </w:tabs>
        <w:ind w:left="1172" w:hanging="629"/>
      </w:pPr>
      <w:rPr>
        <w:vertAlign w:val="baseline"/>
      </w:rPr>
    </w:lvl>
  </w:abstractNum>
  <w:abstractNum w:abstractNumId="12">
    <w:nsid w:val="00000008"/>
    <w:multiLevelType w:val="multilevel"/>
    <w:tmpl w:val="00000008"/>
    <w:lvl w:ilvl="0" w:tentative="0">
      <w:start w:val="1"/>
      <w:numFmt w:val="decimal"/>
      <w:pStyle w:val="88"/>
      <w:suff w:val="nothing"/>
      <w:lvlText w:val="%1　"/>
      <w:lvlJc w:val="left"/>
      <w:pPr>
        <w:ind w:left="426" w:firstLine="0"/>
      </w:pPr>
      <w:rPr>
        <w:rFonts w:hint="eastAsia" w:ascii="黑体" w:hAnsi="Times New Roman" w:eastAsia="黑体"/>
        <w:b w:val="0"/>
        <w:i w:val="0"/>
        <w:sz w:val="21"/>
        <w:szCs w:val="21"/>
      </w:rPr>
    </w:lvl>
    <w:lvl w:ilvl="1" w:tentative="0">
      <w:start w:val="1"/>
      <w:numFmt w:val="decimal"/>
      <w:pStyle w:val="90"/>
      <w:suff w:val="nothing"/>
      <w:lvlText w:val="%1.%2　"/>
      <w:lvlJc w:val="left"/>
      <w:pPr>
        <w:ind w:left="0" w:firstLine="0"/>
      </w:pPr>
      <w:rPr>
        <w:rFonts w:hint="eastAsia" w:ascii="黑体" w:hAnsi="Times New Roman" w:eastAsia="黑体" w:cs="Times New Roman"/>
        <w:b w:val="0"/>
        <w:bCs w:val="0"/>
        <w:i w:val="0"/>
        <w:iCs w:val="0"/>
        <w:caps w:val="0"/>
        <w:vanish w:val="0"/>
        <w:spacing w:val="0"/>
        <w:kern w:val="0"/>
        <w:position w:val="0"/>
        <w:sz w:val="21"/>
        <w:szCs w:val="21"/>
        <w:u w:val="none"/>
        <w:vertAlign w:val="baseline"/>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pStyle w:val="234"/>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lvl>
    <w:lvl w:ilvl="8" w:tentative="0">
      <w:start w:val="1"/>
      <w:numFmt w:val="decimal"/>
      <w:lvlText w:val="%1.%2.%3.%4.%5.%6.%7.%8.%9"/>
      <w:lvlJc w:val="left"/>
      <w:pPr>
        <w:tabs>
          <w:tab w:val="left" w:pos="4777"/>
        </w:tabs>
        <w:ind w:left="4677" w:hanging="1700"/>
      </w:pPr>
    </w:lvl>
  </w:abstractNum>
  <w:abstractNum w:abstractNumId="13">
    <w:nsid w:val="00000009"/>
    <w:multiLevelType w:val="multilevel"/>
    <w:tmpl w:val="00000009"/>
    <w:lvl w:ilvl="0" w:tentative="0">
      <w:start w:val="1"/>
      <w:numFmt w:val="decimal"/>
      <w:pStyle w:val="107"/>
      <w:lvlText w:val="%1."/>
      <w:lvlJc w:val="left"/>
      <w:pPr>
        <w:tabs>
          <w:tab w:val="left" w:pos="425"/>
        </w:tabs>
        <w:ind w:left="425" w:hanging="425"/>
      </w:pPr>
    </w:lvl>
    <w:lvl w:ilvl="1" w:tentative="0">
      <w:start w:val="1"/>
      <w:numFmt w:val="decimal"/>
      <w:lvlText w:val="%1.%2."/>
      <w:lvlJc w:val="left"/>
      <w:pPr>
        <w:tabs>
          <w:tab w:val="left" w:pos="567"/>
        </w:tabs>
        <w:ind w:left="567" w:hanging="567"/>
      </w:pPr>
    </w:lvl>
    <w:lvl w:ilvl="2" w:tentative="0">
      <w:start w:val="1"/>
      <w:numFmt w:val="decimal"/>
      <w:lvlText w:val="%1.%2.%3."/>
      <w:lvlJc w:val="left"/>
      <w:pPr>
        <w:tabs>
          <w:tab w:val="left" w:pos="709"/>
        </w:tabs>
        <w:ind w:left="709" w:hanging="709"/>
      </w:pPr>
    </w:lvl>
    <w:lvl w:ilvl="3" w:tentative="0">
      <w:start w:val="1"/>
      <w:numFmt w:val="decimal"/>
      <w:lvlText w:val="%1.%2.%3.%4."/>
      <w:lvlJc w:val="left"/>
      <w:pPr>
        <w:tabs>
          <w:tab w:val="left" w:pos="851"/>
        </w:tabs>
        <w:ind w:left="851" w:hanging="851"/>
      </w:p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abstractNum w:abstractNumId="14">
    <w:nsid w:val="0000000A"/>
    <w:multiLevelType w:val="multilevel"/>
    <w:tmpl w:val="0000000A"/>
    <w:lvl w:ilvl="0" w:tentative="0">
      <w:start w:val="1"/>
      <w:numFmt w:val="bullet"/>
      <w:pStyle w:val="97"/>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5">
    <w:nsid w:val="0000000B"/>
    <w:multiLevelType w:val="multilevel"/>
    <w:tmpl w:val="0000000B"/>
    <w:lvl w:ilvl="0" w:tentative="0">
      <w:start w:val="1"/>
      <w:numFmt w:val="decimal"/>
      <w:pStyle w:val="95"/>
      <w:suff w:val="nothing"/>
      <w:lvlText w:val="注%1："/>
      <w:lvlJc w:val="left"/>
      <w:pPr>
        <w:ind w:left="579" w:hanging="448"/>
      </w:pPr>
      <w:rPr>
        <w:rFonts w:hint="eastAsia" w:ascii="黑体" w:hAnsi="Times New Roman" w:eastAsia="黑体"/>
        <w:b w:val="0"/>
        <w:i w:val="0"/>
        <w:sz w:val="18"/>
        <w:lang w:val="en-US"/>
      </w:rPr>
    </w:lvl>
    <w:lvl w:ilvl="1" w:tentative="0">
      <w:start w:val="1"/>
      <w:numFmt w:val="lowerLetter"/>
      <w:lvlText w:val="%2)"/>
      <w:lvlJc w:val="left"/>
      <w:pPr>
        <w:tabs>
          <w:tab w:val="left" w:pos="-79"/>
        </w:tabs>
        <w:ind w:left="913" w:hanging="629"/>
      </w:pPr>
    </w:lvl>
    <w:lvl w:ilvl="2" w:tentative="0">
      <w:start w:val="1"/>
      <w:numFmt w:val="lowerRoman"/>
      <w:lvlText w:val="%3."/>
      <w:lvlJc w:val="right"/>
      <w:pPr>
        <w:tabs>
          <w:tab w:val="left" w:pos="-79"/>
        </w:tabs>
        <w:ind w:left="913" w:hanging="629"/>
      </w:pPr>
    </w:lvl>
    <w:lvl w:ilvl="3" w:tentative="0">
      <w:start w:val="1"/>
      <w:numFmt w:val="decimal"/>
      <w:lvlText w:val="%4."/>
      <w:lvlJc w:val="left"/>
      <w:pPr>
        <w:tabs>
          <w:tab w:val="left" w:pos="-79"/>
        </w:tabs>
        <w:ind w:left="913" w:hanging="629"/>
      </w:pPr>
    </w:lvl>
    <w:lvl w:ilvl="4" w:tentative="0">
      <w:start w:val="1"/>
      <w:numFmt w:val="lowerLetter"/>
      <w:lvlText w:val="%5)"/>
      <w:lvlJc w:val="left"/>
      <w:pPr>
        <w:tabs>
          <w:tab w:val="left" w:pos="-79"/>
        </w:tabs>
        <w:ind w:left="913" w:hanging="629"/>
      </w:pPr>
    </w:lvl>
    <w:lvl w:ilvl="5" w:tentative="0">
      <w:start w:val="1"/>
      <w:numFmt w:val="lowerRoman"/>
      <w:lvlText w:val="%6."/>
      <w:lvlJc w:val="right"/>
      <w:pPr>
        <w:tabs>
          <w:tab w:val="left" w:pos="-79"/>
        </w:tabs>
        <w:ind w:left="913" w:hanging="629"/>
      </w:pPr>
    </w:lvl>
    <w:lvl w:ilvl="6" w:tentative="0">
      <w:start w:val="1"/>
      <w:numFmt w:val="decimal"/>
      <w:lvlText w:val="%7."/>
      <w:lvlJc w:val="left"/>
      <w:pPr>
        <w:tabs>
          <w:tab w:val="left" w:pos="-79"/>
        </w:tabs>
        <w:ind w:left="913" w:hanging="629"/>
      </w:pPr>
    </w:lvl>
    <w:lvl w:ilvl="7" w:tentative="0">
      <w:start w:val="1"/>
      <w:numFmt w:val="lowerLetter"/>
      <w:lvlText w:val="%8)"/>
      <w:lvlJc w:val="left"/>
      <w:pPr>
        <w:tabs>
          <w:tab w:val="left" w:pos="-79"/>
        </w:tabs>
        <w:ind w:left="913" w:hanging="629"/>
      </w:pPr>
    </w:lvl>
    <w:lvl w:ilvl="8" w:tentative="0">
      <w:start w:val="1"/>
      <w:numFmt w:val="lowerRoman"/>
      <w:lvlText w:val="%9."/>
      <w:lvlJc w:val="right"/>
      <w:pPr>
        <w:tabs>
          <w:tab w:val="left" w:pos="-79"/>
        </w:tabs>
        <w:ind w:left="913" w:hanging="629"/>
      </w:pPr>
    </w:lvl>
  </w:abstractNum>
  <w:abstractNum w:abstractNumId="16">
    <w:nsid w:val="0000000C"/>
    <w:multiLevelType w:val="multilevel"/>
    <w:tmpl w:val="0000000C"/>
    <w:lvl w:ilvl="0" w:tentative="0">
      <w:start w:val="1"/>
      <w:numFmt w:val="chineseCountingThousand"/>
      <w:suff w:val="nothing"/>
      <w:lvlText w:val="第%1章"/>
      <w:lvlJc w:val="left"/>
      <w:pPr>
        <w:ind w:left="0" w:firstLine="0"/>
      </w:pPr>
      <w:rPr>
        <w:rFonts w:hint="eastAsia" w:ascii="仿宋_GB2312" w:eastAsia="仿宋_GB2312"/>
        <w:sz w:val="44"/>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pStyle w:val="7"/>
      <w:suff w:val="nothing"/>
      <w:lvlText w:val=""/>
      <w:lvlJc w:val="left"/>
      <w:pPr>
        <w:ind w:left="0" w:firstLine="0"/>
      </w:pPr>
      <w:rPr>
        <w:rFonts w:hint="eastAsia"/>
      </w:rPr>
    </w:lvl>
    <w:lvl w:ilvl="5" w:tentative="0">
      <w:start w:val="1"/>
      <w:numFmt w:val="none"/>
      <w:pStyle w:val="8"/>
      <w:suff w:val="nothing"/>
      <w:lvlText w:val=""/>
      <w:lvlJc w:val="left"/>
      <w:pPr>
        <w:ind w:left="0" w:firstLine="0"/>
      </w:pPr>
      <w:rPr>
        <w:rFonts w:hint="eastAsia"/>
      </w:rPr>
    </w:lvl>
    <w:lvl w:ilvl="6" w:tentative="0">
      <w:start w:val="1"/>
      <w:numFmt w:val="none"/>
      <w:pStyle w:val="10"/>
      <w:suff w:val="nothing"/>
      <w:lvlText w:val=""/>
      <w:lvlJc w:val="left"/>
      <w:pPr>
        <w:ind w:left="0" w:firstLine="0"/>
      </w:pPr>
      <w:rPr>
        <w:rFonts w:hint="eastAsia"/>
      </w:rPr>
    </w:lvl>
    <w:lvl w:ilvl="7" w:tentative="0">
      <w:start w:val="1"/>
      <w:numFmt w:val="none"/>
      <w:pStyle w:val="11"/>
      <w:suff w:val="nothing"/>
      <w:lvlText w:val=""/>
      <w:lvlJc w:val="left"/>
      <w:pPr>
        <w:ind w:left="0" w:firstLine="0"/>
      </w:pPr>
      <w:rPr>
        <w:rFonts w:hint="eastAsia"/>
      </w:rPr>
    </w:lvl>
    <w:lvl w:ilvl="8" w:tentative="0">
      <w:start w:val="1"/>
      <w:numFmt w:val="none"/>
      <w:pStyle w:val="12"/>
      <w:suff w:val="nothing"/>
      <w:lvlText w:val=""/>
      <w:lvlJc w:val="left"/>
      <w:pPr>
        <w:ind w:left="0" w:firstLine="0"/>
      </w:pPr>
      <w:rPr>
        <w:rFonts w:hint="eastAsia"/>
      </w:rPr>
    </w:lvl>
  </w:abstractNum>
  <w:abstractNum w:abstractNumId="17">
    <w:nsid w:val="0000000D"/>
    <w:multiLevelType w:val="multilevel"/>
    <w:tmpl w:val="0000000D"/>
    <w:lvl w:ilvl="0" w:tentative="0">
      <w:start w:val="1"/>
      <w:numFmt w:val="decimal"/>
      <w:pStyle w:val="205"/>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8">
    <w:nsid w:val="0000000E"/>
    <w:multiLevelType w:val="singleLevel"/>
    <w:tmpl w:val="0000000E"/>
    <w:lvl w:ilvl="0" w:tentative="0">
      <w:start w:val="1"/>
      <w:numFmt w:val="decimal"/>
      <w:suff w:val="nothing"/>
      <w:lvlText w:val="（%1）"/>
      <w:lvlJc w:val="left"/>
    </w:lvl>
  </w:abstractNum>
  <w:abstractNum w:abstractNumId="19">
    <w:nsid w:val="0000000F"/>
    <w:multiLevelType w:val="multilevel"/>
    <w:tmpl w:val="0000000F"/>
    <w:lvl w:ilvl="0" w:tentative="0">
      <w:start w:val="1"/>
      <w:numFmt w:val="decimal"/>
      <w:pStyle w:val="193"/>
      <w:lvlText w:val="%1、"/>
      <w:lvlJc w:val="left"/>
      <w:pPr>
        <w:tabs>
          <w:tab w:val="left" w:pos="675"/>
        </w:tabs>
        <w:ind w:left="675" w:hanging="675"/>
      </w:pPr>
    </w:lvl>
    <w:lvl w:ilvl="1" w:tentative="0">
      <w:start w:val="1"/>
      <w:numFmt w:val="lowerLetter"/>
      <w:pStyle w:val="191"/>
      <w:lvlText w:val="%2)"/>
      <w:lvlJc w:val="left"/>
      <w:pPr>
        <w:tabs>
          <w:tab w:val="left" w:pos="840"/>
        </w:tabs>
        <w:ind w:left="840" w:hanging="420"/>
      </w:pPr>
    </w:lvl>
    <w:lvl w:ilvl="2" w:tentative="0">
      <w:start w:val="1"/>
      <w:numFmt w:val="lowerRoman"/>
      <w:pStyle w:val="203"/>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00000010"/>
    <w:multiLevelType w:val="multilevel"/>
    <w:tmpl w:val="00000010"/>
    <w:lvl w:ilvl="0" w:tentative="0">
      <w:start w:val="1"/>
      <w:numFmt w:val="decimal"/>
      <w:pStyle w:val="195"/>
      <w:lvlText w:val="%1."/>
      <w:lvlJc w:val="left"/>
      <w:pPr>
        <w:tabs>
          <w:tab w:val="left" w:pos="425"/>
        </w:tabs>
        <w:ind w:left="425" w:hanging="425"/>
      </w:pPr>
    </w:lvl>
    <w:lvl w:ilvl="1" w:tentative="0">
      <w:start w:val="1"/>
      <w:numFmt w:val="decimal"/>
      <w:lvlText w:val="%1.%2."/>
      <w:lvlJc w:val="left"/>
      <w:pPr>
        <w:tabs>
          <w:tab w:val="left" w:pos="567"/>
        </w:tabs>
        <w:ind w:left="567" w:hanging="567"/>
      </w:pPr>
    </w:lvl>
    <w:lvl w:ilvl="2" w:tentative="0">
      <w:start w:val="1"/>
      <w:numFmt w:val="decimal"/>
      <w:lvlText w:val="%1.%2.%3."/>
      <w:lvlJc w:val="left"/>
      <w:pPr>
        <w:tabs>
          <w:tab w:val="left" w:pos="709"/>
        </w:tabs>
        <w:ind w:left="709" w:hanging="709"/>
      </w:pPr>
    </w:lvl>
    <w:lvl w:ilvl="3" w:tentative="0">
      <w:start w:val="1"/>
      <w:numFmt w:val="decimal"/>
      <w:lvlText w:val="%1.%2.%3.%4."/>
      <w:lvlJc w:val="left"/>
      <w:pPr>
        <w:tabs>
          <w:tab w:val="left" w:pos="851"/>
        </w:tabs>
        <w:ind w:left="851" w:hanging="851"/>
      </w:p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abstractNum w:abstractNumId="21">
    <w:nsid w:val="00000011"/>
    <w:multiLevelType w:val="multilevel"/>
    <w:tmpl w:val="00000011"/>
    <w:lvl w:ilvl="0" w:tentative="0">
      <w:start w:val="1"/>
      <w:numFmt w:val="decimal"/>
      <w:pStyle w:val="225"/>
      <w:lvlText w:val="%1."/>
      <w:lvlJc w:val="left"/>
      <w:pPr>
        <w:tabs>
          <w:tab w:val="left" w:pos="425"/>
        </w:tabs>
        <w:ind w:left="425" w:hanging="425"/>
      </w:pPr>
    </w:lvl>
    <w:lvl w:ilvl="1" w:tentative="0">
      <w:start w:val="1"/>
      <w:numFmt w:val="decimal"/>
      <w:lvlText w:val="%1.%2."/>
      <w:lvlJc w:val="left"/>
      <w:pPr>
        <w:tabs>
          <w:tab w:val="left" w:pos="567"/>
        </w:tabs>
        <w:ind w:left="567" w:hanging="567"/>
      </w:pPr>
    </w:lvl>
    <w:lvl w:ilvl="2" w:tentative="0">
      <w:start w:val="1"/>
      <w:numFmt w:val="decimal"/>
      <w:lvlText w:val="%1.%2.%3."/>
      <w:lvlJc w:val="left"/>
      <w:pPr>
        <w:tabs>
          <w:tab w:val="left" w:pos="709"/>
        </w:tabs>
        <w:ind w:left="709" w:hanging="709"/>
      </w:pPr>
    </w:lvl>
    <w:lvl w:ilvl="3" w:tentative="0">
      <w:start w:val="1"/>
      <w:numFmt w:val="decimal"/>
      <w:lvlText w:val="%1.%2.%3.%4."/>
      <w:lvlJc w:val="left"/>
      <w:pPr>
        <w:tabs>
          <w:tab w:val="left" w:pos="851"/>
        </w:tabs>
        <w:ind w:left="851" w:hanging="851"/>
      </w:p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abstractNum w:abstractNumId="22">
    <w:nsid w:val="00000012"/>
    <w:multiLevelType w:val="multilevel"/>
    <w:tmpl w:val="00000012"/>
    <w:lvl w:ilvl="0" w:tentative="0">
      <w:start w:val="3"/>
      <w:numFmt w:val="decimal"/>
      <w:pStyle w:val="82"/>
      <w:lvlText w:val="%1、"/>
      <w:lvlJc w:val="left"/>
      <w:pPr>
        <w:tabs>
          <w:tab w:val="left" w:pos="720"/>
        </w:tabs>
        <w:ind w:left="720" w:hanging="720"/>
      </w:pPr>
    </w:lvl>
    <w:lvl w:ilvl="1" w:tentative="0">
      <w:start w:val="1"/>
      <w:numFmt w:val="lowerLetter"/>
      <w:pStyle w:val="86"/>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pStyle w:val="147"/>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3">
    <w:nsid w:val="00000014"/>
    <w:multiLevelType w:val="multilevel"/>
    <w:tmpl w:val="00000014"/>
    <w:lvl w:ilvl="0" w:tentative="0">
      <w:start w:val="1"/>
      <w:numFmt w:val="decimal"/>
      <w:pStyle w:val="224"/>
      <w:lvlText w:val="%1."/>
      <w:lvlJc w:val="left"/>
      <w:pPr>
        <w:tabs>
          <w:tab w:val="left" w:pos="425"/>
        </w:tabs>
        <w:ind w:left="425" w:hanging="425"/>
      </w:pPr>
    </w:lvl>
    <w:lvl w:ilvl="1" w:tentative="0">
      <w:start w:val="1"/>
      <w:numFmt w:val="decimal"/>
      <w:pStyle w:val="207"/>
      <w:lvlText w:val="%1.%2."/>
      <w:lvlJc w:val="left"/>
      <w:pPr>
        <w:tabs>
          <w:tab w:val="left" w:pos="567"/>
        </w:tabs>
        <w:ind w:left="567" w:hanging="567"/>
      </w:pPr>
    </w:lvl>
    <w:lvl w:ilvl="2" w:tentative="0">
      <w:start w:val="1"/>
      <w:numFmt w:val="decimal"/>
      <w:lvlText w:val="%1.%2.%3."/>
      <w:lvlJc w:val="left"/>
      <w:pPr>
        <w:tabs>
          <w:tab w:val="left" w:pos="709"/>
        </w:tabs>
        <w:ind w:left="709" w:hanging="709"/>
      </w:pPr>
    </w:lvl>
    <w:lvl w:ilvl="3" w:tentative="0">
      <w:start w:val="1"/>
      <w:numFmt w:val="decimal"/>
      <w:lvlText w:val="%1.%2.%3.%4."/>
      <w:lvlJc w:val="left"/>
      <w:pPr>
        <w:tabs>
          <w:tab w:val="left" w:pos="851"/>
        </w:tabs>
        <w:ind w:left="851" w:hanging="851"/>
      </w:p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abstractNum w:abstractNumId="24">
    <w:nsid w:val="00000015"/>
    <w:multiLevelType w:val="multilevel"/>
    <w:tmpl w:val="00000015"/>
    <w:lvl w:ilvl="0" w:tentative="0">
      <w:start w:val="1"/>
      <w:numFmt w:val="none"/>
      <w:pStyle w:val="98"/>
      <w:suff w:val="nothing"/>
      <w:lvlText w:val="%1注："/>
      <w:lvlJc w:val="left"/>
      <w:pPr>
        <w:ind w:left="726" w:hanging="363"/>
      </w:pPr>
      <w:rPr>
        <w:rFonts w:hint="eastAsia" w:ascii="黑体" w:hAnsi="Times New Roman" w:eastAsia="黑体"/>
        <w:b w:val="0"/>
        <w:i w:val="0"/>
        <w:sz w:val="18"/>
      </w:rPr>
    </w:lvl>
    <w:lvl w:ilvl="1" w:tentative="0">
      <w:start w:val="1"/>
      <w:numFmt w:val="lowerLetter"/>
      <w:lvlText w:val="%2)"/>
      <w:lvlJc w:val="left"/>
      <w:pPr>
        <w:tabs>
          <w:tab w:val="left" w:pos="1140"/>
        </w:tabs>
        <w:ind w:left="726" w:hanging="363"/>
      </w:pPr>
    </w:lvl>
    <w:lvl w:ilvl="2" w:tentative="0">
      <w:start w:val="1"/>
      <w:numFmt w:val="lowerRoman"/>
      <w:lvlText w:val="%3."/>
      <w:lvlJc w:val="right"/>
      <w:pPr>
        <w:tabs>
          <w:tab w:val="left" w:pos="1140"/>
        </w:tabs>
        <w:ind w:left="726" w:hanging="363"/>
      </w:pPr>
    </w:lvl>
    <w:lvl w:ilvl="3" w:tentative="0">
      <w:start w:val="1"/>
      <w:numFmt w:val="decimal"/>
      <w:lvlText w:val="%4."/>
      <w:lvlJc w:val="left"/>
      <w:pPr>
        <w:tabs>
          <w:tab w:val="left" w:pos="1140"/>
        </w:tabs>
        <w:ind w:left="726" w:hanging="363"/>
      </w:pPr>
    </w:lvl>
    <w:lvl w:ilvl="4" w:tentative="0">
      <w:start w:val="1"/>
      <w:numFmt w:val="lowerLetter"/>
      <w:lvlText w:val="%5)"/>
      <w:lvlJc w:val="left"/>
      <w:pPr>
        <w:tabs>
          <w:tab w:val="left" w:pos="1140"/>
        </w:tabs>
        <w:ind w:left="726" w:hanging="363"/>
      </w:pPr>
    </w:lvl>
    <w:lvl w:ilvl="5" w:tentative="0">
      <w:start w:val="1"/>
      <w:numFmt w:val="lowerRoman"/>
      <w:lvlText w:val="%6."/>
      <w:lvlJc w:val="right"/>
      <w:pPr>
        <w:tabs>
          <w:tab w:val="left" w:pos="1140"/>
        </w:tabs>
        <w:ind w:left="726" w:hanging="363"/>
      </w:pPr>
    </w:lvl>
    <w:lvl w:ilvl="6" w:tentative="0">
      <w:start w:val="1"/>
      <w:numFmt w:val="decimal"/>
      <w:lvlText w:val="%7."/>
      <w:lvlJc w:val="left"/>
      <w:pPr>
        <w:tabs>
          <w:tab w:val="left" w:pos="1140"/>
        </w:tabs>
        <w:ind w:left="726" w:hanging="363"/>
      </w:pPr>
    </w:lvl>
    <w:lvl w:ilvl="7" w:tentative="0">
      <w:start w:val="1"/>
      <w:numFmt w:val="lowerLetter"/>
      <w:lvlText w:val="%8)"/>
      <w:lvlJc w:val="left"/>
      <w:pPr>
        <w:tabs>
          <w:tab w:val="left" w:pos="1140"/>
        </w:tabs>
        <w:ind w:left="726" w:hanging="363"/>
      </w:pPr>
    </w:lvl>
    <w:lvl w:ilvl="8" w:tentative="0">
      <w:start w:val="1"/>
      <w:numFmt w:val="lowerRoman"/>
      <w:lvlText w:val="%9."/>
      <w:lvlJc w:val="right"/>
      <w:pPr>
        <w:tabs>
          <w:tab w:val="left" w:pos="1140"/>
        </w:tabs>
        <w:ind w:left="726" w:hanging="363"/>
      </w:pPr>
    </w:lvl>
  </w:abstractNum>
  <w:abstractNum w:abstractNumId="25">
    <w:nsid w:val="00000016"/>
    <w:multiLevelType w:val="multilevel"/>
    <w:tmpl w:val="00000016"/>
    <w:lvl w:ilvl="0" w:tentative="0">
      <w:start w:val="1"/>
      <w:numFmt w:val="japaneseCounting"/>
      <w:lvlText w:val="第%1章"/>
      <w:lvlJc w:val="left"/>
      <w:pPr>
        <w:tabs>
          <w:tab w:val="left" w:pos="1815"/>
        </w:tabs>
        <w:ind w:left="1815" w:hanging="1275"/>
      </w:pPr>
      <w:rPr>
        <w:rFonts w:hint="eastAsia"/>
        <w:lang w:val="en-US"/>
      </w:rPr>
    </w:lvl>
    <w:lvl w:ilvl="1" w:tentative="0">
      <w:start w:val="1"/>
      <w:numFmt w:val="japaneseCounting"/>
      <w:lvlText w:val="%2、"/>
      <w:lvlJc w:val="left"/>
      <w:pPr>
        <w:tabs>
          <w:tab w:val="left" w:pos="1680"/>
        </w:tabs>
        <w:ind w:left="1680" w:hanging="720"/>
      </w:pPr>
      <w:rPr>
        <w:rFonts w:hint="eastAsia"/>
      </w:rPr>
    </w:lvl>
    <w:lvl w:ilvl="2" w:tentative="0">
      <w:start w:val="1"/>
      <w:numFmt w:val="decimal"/>
      <w:lvlText w:val="%3."/>
      <w:lvlJc w:val="left"/>
      <w:pPr>
        <w:ind w:left="502" w:hanging="360"/>
      </w:pPr>
      <w:rPr>
        <w:rFonts w:hint="default"/>
        <w:sz w:val="24"/>
        <w:szCs w:val="24"/>
      </w:rPr>
    </w:lvl>
    <w:lvl w:ilvl="3" w:tentative="0">
      <w:start w:val="1"/>
      <w:numFmt w:val="decimal"/>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26">
    <w:nsid w:val="00000017"/>
    <w:multiLevelType w:val="multilevel"/>
    <w:tmpl w:val="00000017"/>
    <w:lvl w:ilvl="0" w:tentative="0">
      <w:start w:val="1"/>
      <w:numFmt w:val="decimal"/>
      <w:pStyle w:val="152"/>
      <w:lvlText w:val="%1、"/>
      <w:lvlJc w:val="left"/>
      <w:pPr>
        <w:tabs>
          <w:tab w:val="left" w:pos="675"/>
        </w:tabs>
        <w:ind w:left="675" w:hanging="675"/>
      </w:pPr>
    </w:lvl>
    <w:lvl w:ilvl="1" w:tentative="0">
      <w:start w:val="1"/>
      <w:numFmt w:val="decimal"/>
      <w:pStyle w:val="92"/>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7">
    <w:nsid w:val="1A593D40"/>
    <w:multiLevelType w:val="singleLevel"/>
    <w:tmpl w:val="1A593D40"/>
    <w:lvl w:ilvl="0" w:tentative="0">
      <w:start w:val="3"/>
      <w:numFmt w:val="decimal"/>
      <w:lvlText w:val="%1."/>
      <w:lvlJc w:val="left"/>
      <w:pPr>
        <w:tabs>
          <w:tab w:val="left" w:pos="312"/>
        </w:tabs>
      </w:pPr>
    </w:lvl>
  </w:abstractNum>
  <w:abstractNum w:abstractNumId="28">
    <w:nsid w:val="253036F6"/>
    <w:multiLevelType w:val="singleLevel"/>
    <w:tmpl w:val="253036F6"/>
    <w:lvl w:ilvl="0" w:tentative="0">
      <w:start w:val="2"/>
      <w:numFmt w:val="decimal"/>
      <w:suff w:val="nothing"/>
      <w:lvlText w:val="（%1）"/>
      <w:lvlJc w:val="left"/>
    </w:lvl>
  </w:abstractNum>
  <w:abstractNum w:abstractNumId="29">
    <w:nsid w:val="32714F5E"/>
    <w:multiLevelType w:val="multilevel"/>
    <w:tmpl w:val="32714F5E"/>
    <w:lvl w:ilvl="0" w:tentative="0">
      <w:start w:val="1"/>
      <w:numFmt w:val="chineseCountingThousand"/>
      <w:suff w:val="nothing"/>
      <w:lvlText w:val="第%1章"/>
      <w:lvlJc w:val="left"/>
      <w:pPr>
        <w:ind w:left="0" w:firstLine="0"/>
      </w:pPr>
      <w:rPr>
        <w:rFonts w:hint="eastAsia" w:ascii="仿宋_GB2312" w:eastAsia="仿宋_GB2312"/>
        <w:sz w:val="44"/>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30">
    <w:nsid w:val="5FABD14B"/>
    <w:multiLevelType w:val="singleLevel"/>
    <w:tmpl w:val="5FABD14B"/>
    <w:lvl w:ilvl="0" w:tentative="0">
      <w:start w:val="1"/>
      <w:numFmt w:val="decimal"/>
      <w:suff w:val="nothing"/>
      <w:lvlText w:val="（%1）"/>
      <w:lvlJc w:val="left"/>
      <w:pPr>
        <w:ind w:left="0" w:firstLine="0"/>
      </w:pPr>
    </w:lvl>
  </w:abstractNum>
  <w:abstractNum w:abstractNumId="31">
    <w:nsid w:val="65FD57BA"/>
    <w:multiLevelType w:val="singleLevel"/>
    <w:tmpl w:val="65FD57BA"/>
    <w:lvl w:ilvl="0" w:tentative="0">
      <w:start w:val="1"/>
      <w:numFmt w:val="decimal"/>
      <w:pStyle w:val="24"/>
      <w:lvlText w:val="%1."/>
      <w:lvlJc w:val="left"/>
      <w:pPr>
        <w:tabs>
          <w:tab w:val="left" w:pos="1200"/>
        </w:tabs>
        <w:ind w:left="1200" w:hanging="360"/>
      </w:pPr>
    </w:lvl>
  </w:abstractNum>
  <w:num w:numId="1">
    <w:abstractNumId w:val="16"/>
  </w:num>
  <w:num w:numId="2">
    <w:abstractNumId w:val="31"/>
  </w:num>
  <w:num w:numId="3">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num>
  <w:num w:numId="23">
    <w:abstractNumId w:val="0"/>
  </w:num>
  <w:num w:numId="24">
    <w:abstractNumId w:val="27"/>
  </w:num>
  <w:num w:numId="25">
    <w:abstractNumId w:val="29"/>
  </w:num>
  <w:num w:numId="26">
    <w:abstractNumId w:val="18"/>
  </w:num>
  <w:num w:numId="2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0"/>
    <w:lvlOverride w:ilvl="0">
      <w:startOverride w:val="1"/>
    </w:lvlOverride>
  </w:num>
  <w:num w:numId="29">
    <w:abstractNumId w:val="3"/>
    <w:lvlOverride w:ilvl="0">
      <w:startOverride w:val="1"/>
    </w:lvlOverride>
  </w:num>
  <w:num w:numId="30">
    <w:abstractNumId w:val="4"/>
  </w:num>
  <w:num w:numId="31">
    <w:abstractNumId w:val="1"/>
  </w:num>
  <w:num w:numId="32">
    <w:abstractNumId w:val="2"/>
  </w:num>
  <w:num w:numId="3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QzNmVhNGE2YzEyNzE4YzY0Y2I1OGQ4NTBmYzE4MzUifQ=="/>
    <w:docVar w:name="KSO_WPS_MARK_KEY" w:val="17cc6d77-7662-45d4-9ef1-34681603a6b2"/>
  </w:docVars>
  <w:rsids>
    <w:rsidRoot w:val="008E5728"/>
    <w:rsid w:val="000047F7"/>
    <w:rsid w:val="00005402"/>
    <w:rsid w:val="00007325"/>
    <w:rsid w:val="00007D79"/>
    <w:rsid w:val="00016C65"/>
    <w:rsid w:val="0001794D"/>
    <w:rsid w:val="00021747"/>
    <w:rsid w:val="00022374"/>
    <w:rsid w:val="0004355A"/>
    <w:rsid w:val="00050EF4"/>
    <w:rsid w:val="00056F81"/>
    <w:rsid w:val="000619AD"/>
    <w:rsid w:val="0006643C"/>
    <w:rsid w:val="0008237F"/>
    <w:rsid w:val="0008264E"/>
    <w:rsid w:val="00084CDF"/>
    <w:rsid w:val="000878A2"/>
    <w:rsid w:val="000935F1"/>
    <w:rsid w:val="00094D56"/>
    <w:rsid w:val="000954CD"/>
    <w:rsid w:val="00096662"/>
    <w:rsid w:val="000A291A"/>
    <w:rsid w:val="000A2A47"/>
    <w:rsid w:val="000A2B03"/>
    <w:rsid w:val="000B06AB"/>
    <w:rsid w:val="000B6611"/>
    <w:rsid w:val="000B7733"/>
    <w:rsid w:val="000C5389"/>
    <w:rsid w:val="000D2D15"/>
    <w:rsid w:val="000E2B0A"/>
    <w:rsid w:val="000E60E7"/>
    <w:rsid w:val="000E685C"/>
    <w:rsid w:val="000F0512"/>
    <w:rsid w:val="000F60C3"/>
    <w:rsid w:val="000F6D8C"/>
    <w:rsid w:val="000F6F49"/>
    <w:rsid w:val="0011060E"/>
    <w:rsid w:val="0011520C"/>
    <w:rsid w:val="00115EF9"/>
    <w:rsid w:val="00120B0C"/>
    <w:rsid w:val="001217FE"/>
    <w:rsid w:val="00136633"/>
    <w:rsid w:val="00155701"/>
    <w:rsid w:val="001570FF"/>
    <w:rsid w:val="00167695"/>
    <w:rsid w:val="001772D1"/>
    <w:rsid w:val="0018061B"/>
    <w:rsid w:val="001904C5"/>
    <w:rsid w:val="0019288F"/>
    <w:rsid w:val="001A3BDA"/>
    <w:rsid w:val="001B2C5E"/>
    <w:rsid w:val="001B569A"/>
    <w:rsid w:val="001B7DB8"/>
    <w:rsid w:val="001F0FB3"/>
    <w:rsid w:val="001F6779"/>
    <w:rsid w:val="00205433"/>
    <w:rsid w:val="00206EC6"/>
    <w:rsid w:val="0021081B"/>
    <w:rsid w:val="0021449E"/>
    <w:rsid w:val="0021560A"/>
    <w:rsid w:val="00216394"/>
    <w:rsid w:val="00216E3E"/>
    <w:rsid w:val="00224CD8"/>
    <w:rsid w:val="00235974"/>
    <w:rsid w:val="0024071C"/>
    <w:rsid w:val="00262CD0"/>
    <w:rsid w:val="00276A95"/>
    <w:rsid w:val="00283ADC"/>
    <w:rsid w:val="002967A0"/>
    <w:rsid w:val="002A484B"/>
    <w:rsid w:val="002A529C"/>
    <w:rsid w:val="002C0EB2"/>
    <w:rsid w:val="002D112F"/>
    <w:rsid w:val="002D27DA"/>
    <w:rsid w:val="002E6730"/>
    <w:rsid w:val="002F5E5F"/>
    <w:rsid w:val="002F6DE7"/>
    <w:rsid w:val="00302A7D"/>
    <w:rsid w:val="00304EE3"/>
    <w:rsid w:val="00310300"/>
    <w:rsid w:val="003212B0"/>
    <w:rsid w:val="00321F0D"/>
    <w:rsid w:val="00330103"/>
    <w:rsid w:val="00336912"/>
    <w:rsid w:val="0034217B"/>
    <w:rsid w:val="00345312"/>
    <w:rsid w:val="00347F20"/>
    <w:rsid w:val="00354217"/>
    <w:rsid w:val="00357511"/>
    <w:rsid w:val="00361065"/>
    <w:rsid w:val="003839A6"/>
    <w:rsid w:val="00390B3E"/>
    <w:rsid w:val="00397838"/>
    <w:rsid w:val="003A5B77"/>
    <w:rsid w:val="003C518B"/>
    <w:rsid w:val="003D155F"/>
    <w:rsid w:val="003E52EC"/>
    <w:rsid w:val="003E738A"/>
    <w:rsid w:val="003F737A"/>
    <w:rsid w:val="00401EB6"/>
    <w:rsid w:val="00403650"/>
    <w:rsid w:val="0040453C"/>
    <w:rsid w:val="00423C22"/>
    <w:rsid w:val="00425E5E"/>
    <w:rsid w:val="00430F06"/>
    <w:rsid w:val="00450803"/>
    <w:rsid w:val="0045312E"/>
    <w:rsid w:val="00455993"/>
    <w:rsid w:val="00457CDB"/>
    <w:rsid w:val="00462352"/>
    <w:rsid w:val="00464B9A"/>
    <w:rsid w:val="004714C6"/>
    <w:rsid w:val="00482A9F"/>
    <w:rsid w:val="004875F4"/>
    <w:rsid w:val="00495440"/>
    <w:rsid w:val="00497D2C"/>
    <w:rsid w:val="004A26E5"/>
    <w:rsid w:val="004A6773"/>
    <w:rsid w:val="004B087F"/>
    <w:rsid w:val="004B4E1D"/>
    <w:rsid w:val="004C3266"/>
    <w:rsid w:val="004D2D6F"/>
    <w:rsid w:val="004D4AEB"/>
    <w:rsid w:val="004E3DB7"/>
    <w:rsid w:val="00501557"/>
    <w:rsid w:val="00502370"/>
    <w:rsid w:val="00502ECF"/>
    <w:rsid w:val="00504E60"/>
    <w:rsid w:val="00512A08"/>
    <w:rsid w:val="00525C91"/>
    <w:rsid w:val="00531B6A"/>
    <w:rsid w:val="00534854"/>
    <w:rsid w:val="00537B71"/>
    <w:rsid w:val="00540153"/>
    <w:rsid w:val="00546BBF"/>
    <w:rsid w:val="00547A74"/>
    <w:rsid w:val="0055011F"/>
    <w:rsid w:val="00560A40"/>
    <w:rsid w:val="00582A22"/>
    <w:rsid w:val="00595BF2"/>
    <w:rsid w:val="005A7403"/>
    <w:rsid w:val="005C1C64"/>
    <w:rsid w:val="005D6689"/>
    <w:rsid w:val="00602C24"/>
    <w:rsid w:val="00612189"/>
    <w:rsid w:val="006206F5"/>
    <w:rsid w:val="00622E80"/>
    <w:rsid w:val="006243B6"/>
    <w:rsid w:val="00624F18"/>
    <w:rsid w:val="00631D06"/>
    <w:rsid w:val="006358D6"/>
    <w:rsid w:val="0064287E"/>
    <w:rsid w:val="00643463"/>
    <w:rsid w:val="00644B5D"/>
    <w:rsid w:val="00651866"/>
    <w:rsid w:val="00654ADE"/>
    <w:rsid w:val="0065735C"/>
    <w:rsid w:val="006853F2"/>
    <w:rsid w:val="00690020"/>
    <w:rsid w:val="00692FA7"/>
    <w:rsid w:val="0069526A"/>
    <w:rsid w:val="006A3FD1"/>
    <w:rsid w:val="006A4196"/>
    <w:rsid w:val="006A6BAB"/>
    <w:rsid w:val="006A78C5"/>
    <w:rsid w:val="006B0685"/>
    <w:rsid w:val="006C0151"/>
    <w:rsid w:val="006C1539"/>
    <w:rsid w:val="006E3A32"/>
    <w:rsid w:val="006F07F6"/>
    <w:rsid w:val="006F5118"/>
    <w:rsid w:val="00711E69"/>
    <w:rsid w:val="00716D3C"/>
    <w:rsid w:val="00720C1B"/>
    <w:rsid w:val="0072256B"/>
    <w:rsid w:val="0072399D"/>
    <w:rsid w:val="00732EA5"/>
    <w:rsid w:val="007443B7"/>
    <w:rsid w:val="00761C6B"/>
    <w:rsid w:val="00765518"/>
    <w:rsid w:val="00773724"/>
    <w:rsid w:val="00774434"/>
    <w:rsid w:val="0078094E"/>
    <w:rsid w:val="0078439E"/>
    <w:rsid w:val="0078746E"/>
    <w:rsid w:val="007877EE"/>
    <w:rsid w:val="00794069"/>
    <w:rsid w:val="00795A54"/>
    <w:rsid w:val="007B16E9"/>
    <w:rsid w:val="007B57B5"/>
    <w:rsid w:val="007C224D"/>
    <w:rsid w:val="007C2B3F"/>
    <w:rsid w:val="007C635A"/>
    <w:rsid w:val="007D138E"/>
    <w:rsid w:val="007D2217"/>
    <w:rsid w:val="007D4425"/>
    <w:rsid w:val="007D4A21"/>
    <w:rsid w:val="007E2341"/>
    <w:rsid w:val="007E397A"/>
    <w:rsid w:val="007F6708"/>
    <w:rsid w:val="0080002E"/>
    <w:rsid w:val="008157AF"/>
    <w:rsid w:val="00815C0F"/>
    <w:rsid w:val="008202F1"/>
    <w:rsid w:val="00820DA5"/>
    <w:rsid w:val="0083606F"/>
    <w:rsid w:val="00845247"/>
    <w:rsid w:val="00852652"/>
    <w:rsid w:val="00852FE1"/>
    <w:rsid w:val="0085662E"/>
    <w:rsid w:val="008609F8"/>
    <w:rsid w:val="008726BE"/>
    <w:rsid w:val="008862F8"/>
    <w:rsid w:val="00890525"/>
    <w:rsid w:val="00892A57"/>
    <w:rsid w:val="00894D99"/>
    <w:rsid w:val="00895336"/>
    <w:rsid w:val="008A2DDA"/>
    <w:rsid w:val="008A380A"/>
    <w:rsid w:val="008A5472"/>
    <w:rsid w:val="008B6CAF"/>
    <w:rsid w:val="008C2CAF"/>
    <w:rsid w:val="008D7F57"/>
    <w:rsid w:val="008E280C"/>
    <w:rsid w:val="008E5728"/>
    <w:rsid w:val="008F477E"/>
    <w:rsid w:val="00904FA4"/>
    <w:rsid w:val="0090540D"/>
    <w:rsid w:val="009134C3"/>
    <w:rsid w:val="00926593"/>
    <w:rsid w:val="00931D58"/>
    <w:rsid w:val="0094083D"/>
    <w:rsid w:val="00942FB6"/>
    <w:rsid w:val="00953BD8"/>
    <w:rsid w:val="00961486"/>
    <w:rsid w:val="00962350"/>
    <w:rsid w:val="00963BF2"/>
    <w:rsid w:val="00964D00"/>
    <w:rsid w:val="00971BBE"/>
    <w:rsid w:val="00972979"/>
    <w:rsid w:val="009729A2"/>
    <w:rsid w:val="009748F0"/>
    <w:rsid w:val="00984579"/>
    <w:rsid w:val="00985F40"/>
    <w:rsid w:val="00986B4C"/>
    <w:rsid w:val="00991314"/>
    <w:rsid w:val="00991B3F"/>
    <w:rsid w:val="009963CF"/>
    <w:rsid w:val="009A0E26"/>
    <w:rsid w:val="009A13B3"/>
    <w:rsid w:val="009B3113"/>
    <w:rsid w:val="009C2CC9"/>
    <w:rsid w:val="009D0562"/>
    <w:rsid w:val="009E2159"/>
    <w:rsid w:val="009F0CE3"/>
    <w:rsid w:val="00A001D6"/>
    <w:rsid w:val="00A010BF"/>
    <w:rsid w:val="00A03D50"/>
    <w:rsid w:val="00A043CC"/>
    <w:rsid w:val="00A07F05"/>
    <w:rsid w:val="00A1342A"/>
    <w:rsid w:val="00A15B13"/>
    <w:rsid w:val="00A24792"/>
    <w:rsid w:val="00A3295D"/>
    <w:rsid w:val="00A4300F"/>
    <w:rsid w:val="00A43C1B"/>
    <w:rsid w:val="00A51694"/>
    <w:rsid w:val="00A566D5"/>
    <w:rsid w:val="00A6275C"/>
    <w:rsid w:val="00A70DB3"/>
    <w:rsid w:val="00A73BE4"/>
    <w:rsid w:val="00A754F3"/>
    <w:rsid w:val="00A83EEB"/>
    <w:rsid w:val="00AA0A3D"/>
    <w:rsid w:val="00AA1A91"/>
    <w:rsid w:val="00AA2EF4"/>
    <w:rsid w:val="00AB4799"/>
    <w:rsid w:val="00AB6A6C"/>
    <w:rsid w:val="00AC0C87"/>
    <w:rsid w:val="00AD698E"/>
    <w:rsid w:val="00AF107F"/>
    <w:rsid w:val="00AF3844"/>
    <w:rsid w:val="00B00061"/>
    <w:rsid w:val="00B27E22"/>
    <w:rsid w:val="00B3353F"/>
    <w:rsid w:val="00B35FA3"/>
    <w:rsid w:val="00B3650A"/>
    <w:rsid w:val="00B4498A"/>
    <w:rsid w:val="00B54599"/>
    <w:rsid w:val="00B606AD"/>
    <w:rsid w:val="00B7574C"/>
    <w:rsid w:val="00B80EFF"/>
    <w:rsid w:val="00B81ACE"/>
    <w:rsid w:val="00B97BD3"/>
    <w:rsid w:val="00BB7A10"/>
    <w:rsid w:val="00BD7994"/>
    <w:rsid w:val="00BD7C7C"/>
    <w:rsid w:val="00BE1272"/>
    <w:rsid w:val="00BE6D4D"/>
    <w:rsid w:val="00BF4D9D"/>
    <w:rsid w:val="00BF7CF2"/>
    <w:rsid w:val="00C10181"/>
    <w:rsid w:val="00C21469"/>
    <w:rsid w:val="00C21811"/>
    <w:rsid w:val="00C23A37"/>
    <w:rsid w:val="00C37055"/>
    <w:rsid w:val="00C41108"/>
    <w:rsid w:val="00C5201A"/>
    <w:rsid w:val="00C64DC7"/>
    <w:rsid w:val="00C668A1"/>
    <w:rsid w:val="00C700C5"/>
    <w:rsid w:val="00C80DBB"/>
    <w:rsid w:val="00C96ED8"/>
    <w:rsid w:val="00CA0DD3"/>
    <w:rsid w:val="00CA25C6"/>
    <w:rsid w:val="00CB2476"/>
    <w:rsid w:val="00CC15A3"/>
    <w:rsid w:val="00CC76C5"/>
    <w:rsid w:val="00CD54FB"/>
    <w:rsid w:val="00CF56FF"/>
    <w:rsid w:val="00CF5790"/>
    <w:rsid w:val="00CF6539"/>
    <w:rsid w:val="00CF7257"/>
    <w:rsid w:val="00D019BC"/>
    <w:rsid w:val="00D02B2D"/>
    <w:rsid w:val="00D05528"/>
    <w:rsid w:val="00D12088"/>
    <w:rsid w:val="00D162A9"/>
    <w:rsid w:val="00D21A32"/>
    <w:rsid w:val="00D33E75"/>
    <w:rsid w:val="00D562C3"/>
    <w:rsid w:val="00D604F4"/>
    <w:rsid w:val="00D612B1"/>
    <w:rsid w:val="00D70028"/>
    <w:rsid w:val="00D824F9"/>
    <w:rsid w:val="00D90885"/>
    <w:rsid w:val="00D97311"/>
    <w:rsid w:val="00DA56FB"/>
    <w:rsid w:val="00DB2B17"/>
    <w:rsid w:val="00DB3265"/>
    <w:rsid w:val="00DD411C"/>
    <w:rsid w:val="00DD489E"/>
    <w:rsid w:val="00DE6ECF"/>
    <w:rsid w:val="00DF6009"/>
    <w:rsid w:val="00DF637D"/>
    <w:rsid w:val="00DF6F14"/>
    <w:rsid w:val="00E075D6"/>
    <w:rsid w:val="00E10420"/>
    <w:rsid w:val="00E14869"/>
    <w:rsid w:val="00E2459D"/>
    <w:rsid w:val="00E26925"/>
    <w:rsid w:val="00E3179D"/>
    <w:rsid w:val="00E353EC"/>
    <w:rsid w:val="00E62997"/>
    <w:rsid w:val="00E65C21"/>
    <w:rsid w:val="00E67DA9"/>
    <w:rsid w:val="00E70152"/>
    <w:rsid w:val="00E74044"/>
    <w:rsid w:val="00E96F80"/>
    <w:rsid w:val="00EA1776"/>
    <w:rsid w:val="00EB1E7D"/>
    <w:rsid w:val="00EB59EE"/>
    <w:rsid w:val="00EC3842"/>
    <w:rsid w:val="00EE13D2"/>
    <w:rsid w:val="00EE4B90"/>
    <w:rsid w:val="00EE6581"/>
    <w:rsid w:val="00F0145D"/>
    <w:rsid w:val="00F0605F"/>
    <w:rsid w:val="00F0793B"/>
    <w:rsid w:val="00F07958"/>
    <w:rsid w:val="00F11571"/>
    <w:rsid w:val="00F13023"/>
    <w:rsid w:val="00F14F45"/>
    <w:rsid w:val="00F35545"/>
    <w:rsid w:val="00F3708C"/>
    <w:rsid w:val="00F404E9"/>
    <w:rsid w:val="00F41215"/>
    <w:rsid w:val="00F41BB0"/>
    <w:rsid w:val="00F4386B"/>
    <w:rsid w:val="00F45612"/>
    <w:rsid w:val="00F61A75"/>
    <w:rsid w:val="00F90D8C"/>
    <w:rsid w:val="00F96DC1"/>
    <w:rsid w:val="00FA4D0F"/>
    <w:rsid w:val="00FA76B1"/>
    <w:rsid w:val="00FB2E18"/>
    <w:rsid w:val="00FB62F5"/>
    <w:rsid w:val="00FD0F31"/>
    <w:rsid w:val="00FE3E3B"/>
    <w:rsid w:val="00FE4776"/>
    <w:rsid w:val="00FF45D1"/>
    <w:rsid w:val="01064E01"/>
    <w:rsid w:val="010F3B4F"/>
    <w:rsid w:val="01101675"/>
    <w:rsid w:val="01145609"/>
    <w:rsid w:val="01172A03"/>
    <w:rsid w:val="01201F55"/>
    <w:rsid w:val="01334143"/>
    <w:rsid w:val="013620DB"/>
    <w:rsid w:val="01385EEF"/>
    <w:rsid w:val="014337F8"/>
    <w:rsid w:val="0145478B"/>
    <w:rsid w:val="014632E9"/>
    <w:rsid w:val="0149039A"/>
    <w:rsid w:val="014A102B"/>
    <w:rsid w:val="015C2B0C"/>
    <w:rsid w:val="0168700A"/>
    <w:rsid w:val="017240DE"/>
    <w:rsid w:val="0185745B"/>
    <w:rsid w:val="01964270"/>
    <w:rsid w:val="01BE7A77"/>
    <w:rsid w:val="01C20BC1"/>
    <w:rsid w:val="01CC5EE4"/>
    <w:rsid w:val="01CF7782"/>
    <w:rsid w:val="01E37A17"/>
    <w:rsid w:val="01FF3A29"/>
    <w:rsid w:val="02070CCA"/>
    <w:rsid w:val="020967F0"/>
    <w:rsid w:val="02380E83"/>
    <w:rsid w:val="02447828"/>
    <w:rsid w:val="02551A35"/>
    <w:rsid w:val="02753E85"/>
    <w:rsid w:val="027C0B23"/>
    <w:rsid w:val="027C74A2"/>
    <w:rsid w:val="02AC2EF3"/>
    <w:rsid w:val="02BF7500"/>
    <w:rsid w:val="02E62FD5"/>
    <w:rsid w:val="02F87F57"/>
    <w:rsid w:val="02FF7BF3"/>
    <w:rsid w:val="03074C27"/>
    <w:rsid w:val="03091E03"/>
    <w:rsid w:val="033A0C2B"/>
    <w:rsid w:val="033B50CF"/>
    <w:rsid w:val="035C5045"/>
    <w:rsid w:val="036C573B"/>
    <w:rsid w:val="038B7265"/>
    <w:rsid w:val="03993BA4"/>
    <w:rsid w:val="03CC21CB"/>
    <w:rsid w:val="03E70DB3"/>
    <w:rsid w:val="03EA3FD0"/>
    <w:rsid w:val="03EE0393"/>
    <w:rsid w:val="03F86B1C"/>
    <w:rsid w:val="04155920"/>
    <w:rsid w:val="04333875"/>
    <w:rsid w:val="04425BD4"/>
    <w:rsid w:val="044F0706"/>
    <w:rsid w:val="046C2E4B"/>
    <w:rsid w:val="047D34C5"/>
    <w:rsid w:val="04B50C64"/>
    <w:rsid w:val="04E70184"/>
    <w:rsid w:val="04E76BC6"/>
    <w:rsid w:val="04EB042F"/>
    <w:rsid w:val="04EB0B30"/>
    <w:rsid w:val="051F457C"/>
    <w:rsid w:val="052509EB"/>
    <w:rsid w:val="05340F12"/>
    <w:rsid w:val="053E2C54"/>
    <w:rsid w:val="053F6DDB"/>
    <w:rsid w:val="054933A7"/>
    <w:rsid w:val="0563090D"/>
    <w:rsid w:val="05744738"/>
    <w:rsid w:val="05924D4E"/>
    <w:rsid w:val="05A675C7"/>
    <w:rsid w:val="05C95241"/>
    <w:rsid w:val="05CC0260"/>
    <w:rsid w:val="05CF1E17"/>
    <w:rsid w:val="05E355AA"/>
    <w:rsid w:val="06161D2A"/>
    <w:rsid w:val="062742CF"/>
    <w:rsid w:val="0644429B"/>
    <w:rsid w:val="0664493D"/>
    <w:rsid w:val="066E30C6"/>
    <w:rsid w:val="067508F8"/>
    <w:rsid w:val="067A4160"/>
    <w:rsid w:val="067D59FE"/>
    <w:rsid w:val="069D39AB"/>
    <w:rsid w:val="06B50CF4"/>
    <w:rsid w:val="06DF3FC3"/>
    <w:rsid w:val="06E17D3B"/>
    <w:rsid w:val="070F27A4"/>
    <w:rsid w:val="0712113E"/>
    <w:rsid w:val="07302A71"/>
    <w:rsid w:val="073F2CB4"/>
    <w:rsid w:val="07454FD4"/>
    <w:rsid w:val="0753050D"/>
    <w:rsid w:val="07612C2A"/>
    <w:rsid w:val="0768022C"/>
    <w:rsid w:val="0769037B"/>
    <w:rsid w:val="07964184"/>
    <w:rsid w:val="07A11279"/>
    <w:rsid w:val="07AD3BB2"/>
    <w:rsid w:val="07B453F6"/>
    <w:rsid w:val="07B96963"/>
    <w:rsid w:val="07F10452"/>
    <w:rsid w:val="07FE45C8"/>
    <w:rsid w:val="08065580"/>
    <w:rsid w:val="08202AE5"/>
    <w:rsid w:val="08251EAA"/>
    <w:rsid w:val="08536A17"/>
    <w:rsid w:val="085F6B82"/>
    <w:rsid w:val="088E7A4F"/>
    <w:rsid w:val="08915791"/>
    <w:rsid w:val="08B7505D"/>
    <w:rsid w:val="08BF4690"/>
    <w:rsid w:val="08C47915"/>
    <w:rsid w:val="08DB6A0C"/>
    <w:rsid w:val="092E1232"/>
    <w:rsid w:val="09306D58"/>
    <w:rsid w:val="09464C44"/>
    <w:rsid w:val="09581E0B"/>
    <w:rsid w:val="095F13EB"/>
    <w:rsid w:val="0970184A"/>
    <w:rsid w:val="098B21E0"/>
    <w:rsid w:val="098D4073"/>
    <w:rsid w:val="09AF4121"/>
    <w:rsid w:val="09B23C11"/>
    <w:rsid w:val="09C15C02"/>
    <w:rsid w:val="09C5548B"/>
    <w:rsid w:val="09C94AB7"/>
    <w:rsid w:val="09CC0016"/>
    <w:rsid w:val="09E86505"/>
    <w:rsid w:val="09EA703C"/>
    <w:rsid w:val="09FC6C3A"/>
    <w:rsid w:val="0A0333B9"/>
    <w:rsid w:val="0A0505FE"/>
    <w:rsid w:val="0A051F93"/>
    <w:rsid w:val="0A1A1980"/>
    <w:rsid w:val="0A4E393A"/>
    <w:rsid w:val="0A4F76B2"/>
    <w:rsid w:val="0A663F6C"/>
    <w:rsid w:val="0A6E5D8A"/>
    <w:rsid w:val="0A7669ED"/>
    <w:rsid w:val="0A8F7AAE"/>
    <w:rsid w:val="0A93759F"/>
    <w:rsid w:val="0A9D041D"/>
    <w:rsid w:val="0AA95014"/>
    <w:rsid w:val="0AB15C77"/>
    <w:rsid w:val="0ACC0CAD"/>
    <w:rsid w:val="0AD61857"/>
    <w:rsid w:val="0B077F8D"/>
    <w:rsid w:val="0B09160F"/>
    <w:rsid w:val="0B225FBF"/>
    <w:rsid w:val="0B39042F"/>
    <w:rsid w:val="0B422D73"/>
    <w:rsid w:val="0B470389"/>
    <w:rsid w:val="0B49101A"/>
    <w:rsid w:val="0B570B84"/>
    <w:rsid w:val="0B695C55"/>
    <w:rsid w:val="0B6B22C9"/>
    <w:rsid w:val="0B6D4294"/>
    <w:rsid w:val="0B717029"/>
    <w:rsid w:val="0B754EF6"/>
    <w:rsid w:val="0B9A7F91"/>
    <w:rsid w:val="0B9C6927"/>
    <w:rsid w:val="0BA63367"/>
    <w:rsid w:val="0BA86202"/>
    <w:rsid w:val="0BCE4D3A"/>
    <w:rsid w:val="0BD25035"/>
    <w:rsid w:val="0BDE2A9B"/>
    <w:rsid w:val="0BE04A65"/>
    <w:rsid w:val="0BE36304"/>
    <w:rsid w:val="0BE8391A"/>
    <w:rsid w:val="0BE915F8"/>
    <w:rsid w:val="0BE96777"/>
    <w:rsid w:val="0BEB44DC"/>
    <w:rsid w:val="0BED7182"/>
    <w:rsid w:val="0BF006AA"/>
    <w:rsid w:val="0C112E71"/>
    <w:rsid w:val="0C2150AB"/>
    <w:rsid w:val="0C2F32F7"/>
    <w:rsid w:val="0C2F779B"/>
    <w:rsid w:val="0C394176"/>
    <w:rsid w:val="0C3E178C"/>
    <w:rsid w:val="0C460455"/>
    <w:rsid w:val="0C4D013D"/>
    <w:rsid w:val="0C574256"/>
    <w:rsid w:val="0C5B40EC"/>
    <w:rsid w:val="0CCB5BAD"/>
    <w:rsid w:val="0CDF2F6F"/>
    <w:rsid w:val="0CE171E1"/>
    <w:rsid w:val="0CEF17A5"/>
    <w:rsid w:val="0CFD2EDC"/>
    <w:rsid w:val="0D186481"/>
    <w:rsid w:val="0D194A15"/>
    <w:rsid w:val="0D1F336B"/>
    <w:rsid w:val="0D2A1D10"/>
    <w:rsid w:val="0D3B3F1D"/>
    <w:rsid w:val="0D4C1C87"/>
    <w:rsid w:val="0D5079C9"/>
    <w:rsid w:val="0D553231"/>
    <w:rsid w:val="0D564F20"/>
    <w:rsid w:val="0D5A43A4"/>
    <w:rsid w:val="0D63718F"/>
    <w:rsid w:val="0D6B6FFD"/>
    <w:rsid w:val="0D774F56"/>
    <w:rsid w:val="0D7C3B01"/>
    <w:rsid w:val="0D7D62E4"/>
    <w:rsid w:val="0D907DC5"/>
    <w:rsid w:val="0D9248EB"/>
    <w:rsid w:val="0DAF6CC4"/>
    <w:rsid w:val="0DB87C5F"/>
    <w:rsid w:val="0DC87621"/>
    <w:rsid w:val="0DCE5703"/>
    <w:rsid w:val="0DF76096"/>
    <w:rsid w:val="0E0B1B42"/>
    <w:rsid w:val="0E15651D"/>
    <w:rsid w:val="0E19600D"/>
    <w:rsid w:val="0E2D00EE"/>
    <w:rsid w:val="0E2E16B2"/>
    <w:rsid w:val="0E3C72EA"/>
    <w:rsid w:val="0E3F222E"/>
    <w:rsid w:val="0E707BF7"/>
    <w:rsid w:val="0E755585"/>
    <w:rsid w:val="0E884F40"/>
    <w:rsid w:val="0E8F4521"/>
    <w:rsid w:val="0EB67D00"/>
    <w:rsid w:val="0ECE1FF2"/>
    <w:rsid w:val="0EE4486D"/>
    <w:rsid w:val="0EE81B98"/>
    <w:rsid w:val="0EF3685E"/>
    <w:rsid w:val="0EFB0258"/>
    <w:rsid w:val="0EFB3EAD"/>
    <w:rsid w:val="0F114F36"/>
    <w:rsid w:val="0F2700A3"/>
    <w:rsid w:val="0F474DFC"/>
    <w:rsid w:val="0F7155F1"/>
    <w:rsid w:val="0F7F4595"/>
    <w:rsid w:val="0F8971C2"/>
    <w:rsid w:val="0FFA00C0"/>
    <w:rsid w:val="100146D5"/>
    <w:rsid w:val="101A0CAD"/>
    <w:rsid w:val="10354801"/>
    <w:rsid w:val="10401F77"/>
    <w:rsid w:val="10466E02"/>
    <w:rsid w:val="104C7B02"/>
    <w:rsid w:val="10523A58"/>
    <w:rsid w:val="10525806"/>
    <w:rsid w:val="10645539"/>
    <w:rsid w:val="10741C20"/>
    <w:rsid w:val="10817E99"/>
    <w:rsid w:val="108F73C6"/>
    <w:rsid w:val="1096728F"/>
    <w:rsid w:val="10991687"/>
    <w:rsid w:val="10A6347B"/>
    <w:rsid w:val="10AC2829"/>
    <w:rsid w:val="10CD30DE"/>
    <w:rsid w:val="10CF3F1B"/>
    <w:rsid w:val="10D75BFD"/>
    <w:rsid w:val="111B209C"/>
    <w:rsid w:val="112F78F5"/>
    <w:rsid w:val="11360C84"/>
    <w:rsid w:val="113B0990"/>
    <w:rsid w:val="114333A1"/>
    <w:rsid w:val="114415F3"/>
    <w:rsid w:val="11457119"/>
    <w:rsid w:val="11511F61"/>
    <w:rsid w:val="11717F0E"/>
    <w:rsid w:val="117A3266"/>
    <w:rsid w:val="11894147"/>
    <w:rsid w:val="11A014DC"/>
    <w:rsid w:val="11B00A36"/>
    <w:rsid w:val="11B16D54"/>
    <w:rsid w:val="11E25A4F"/>
    <w:rsid w:val="11F50B3F"/>
    <w:rsid w:val="12186419"/>
    <w:rsid w:val="123A0C48"/>
    <w:rsid w:val="123B762F"/>
    <w:rsid w:val="125067AE"/>
    <w:rsid w:val="126E269F"/>
    <w:rsid w:val="12723F3D"/>
    <w:rsid w:val="127E28E2"/>
    <w:rsid w:val="128D0E5D"/>
    <w:rsid w:val="12905EB9"/>
    <w:rsid w:val="129739A4"/>
    <w:rsid w:val="12A165D1"/>
    <w:rsid w:val="12AB56A1"/>
    <w:rsid w:val="12AC38F3"/>
    <w:rsid w:val="12B63F3E"/>
    <w:rsid w:val="12BD0513"/>
    <w:rsid w:val="12D22C2E"/>
    <w:rsid w:val="12D2305F"/>
    <w:rsid w:val="13077FB9"/>
    <w:rsid w:val="133E2592"/>
    <w:rsid w:val="134D0507"/>
    <w:rsid w:val="1376180B"/>
    <w:rsid w:val="138E124B"/>
    <w:rsid w:val="139D21CB"/>
    <w:rsid w:val="13A062E5"/>
    <w:rsid w:val="13A4281C"/>
    <w:rsid w:val="13CB7DA9"/>
    <w:rsid w:val="13DF6D57"/>
    <w:rsid w:val="13E75A22"/>
    <w:rsid w:val="13E9022F"/>
    <w:rsid w:val="13EB21F9"/>
    <w:rsid w:val="13F6294C"/>
    <w:rsid w:val="140212F1"/>
    <w:rsid w:val="141A488D"/>
    <w:rsid w:val="14217AD4"/>
    <w:rsid w:val="142E3FAB"/>
    <w:rsid w:val="14465682"/>
    <w:rsid w:val="14483D9C"/>
    <w:rsid w:val="14537D9F"/>
    <w:rsid w:val="145C6C53"/>
    <w:rsid w:val="146B333A"/>
    <w:rsid w:val="14737126"/>
    <w:rsid w:val="14776635"/>
    <w:rsid w:val="1481188B"/>
    <w:rsid w:val="148937C0"/>
    <w:rsid w:val="1492384F"/>
    <w:rsid w:val="14942891"/>
    <w:rsid w:val="149C7998"/>
    <w:rsid w:val="14A354D4"/>
    <w:rsid w:val="14A66120"/>
    <w:rsid w:val="14B309D0"/>
    <w:rsid w:val="14CB3DD9"/>
    <w:rsid w:val="14DD1517"/>
    <w:rsid w:val="14E37374"/>
    <w:rsid w:val="14E530ED"/>
    <w:rsid w:val="15052FEC"/>
    <w:rsid w:val="15170DCC"/>
    <w:rsid w:val="151B08BC"/>
    <w:rsid w:val="151B60A4"/>
    <w:rsid w:val="151D2886"/>
    <w:rsid w:val="15273D43"/>
    <w:rsid w:val="155528CB"/>
    <w:rsid w:val="157B75AD"/>
    <w:rsid w:val="159468C1"/>
    <w:rsid w:val="15995C85"/>
    <w:rsid w:val="159A6FF2"/>
    <w:rsid w:val="15BE4B4E"/>
    <w:rsid w:val="15D54F0F"/>
    <w:rsid w:val="15F61D5B"/>
    <w:rsid w:val="16007AB2"/>
    <w:rsid w:val="16021A7C"/>
    <w:rsid w:val="16065ED4"/>
    <w:rsid w:val="161552E4"/>
    <w:rsid w:val="161D68B6"/>
    <w:rsid w:val="162E0AC3"/>
    <w:rsid w:val="163F4A7E"/>
    <w:rsid w:val="164A21BA"/>
    <w:rsid w:val="165050EB"/>
    <w:rsid w:val="165754AD"/>
    <w:rsid w:val="16751CB2"/>
    <w:rsid w:val="16837029"/>
    <w:rsid w:val="16852F85"/>
    <w:rsid w:val="16924BAE"/>
    <w:rsid w:val="16AC5E91"/>
    <w:rsid w:val="16B07F1A"/>
    <w:rsid w:val="16B434AB"/>
    <w:rsid w:val="16C15493"/>
    <w:rsid w:val="16D90B34"/>
    <w:rsid w:val="16D94D1B"/>
    <w:rsid w:val="16E6314C"/>
    <w:rsid w:val="16FA3299"/>
    <w:rsid w:val="170951B5"/>
    <w:rsid w:val="171F29AD"/>
    <w:rsid w:val="17454196"/>
    <w:rsid w:val="17471E3D"/>
    <w:rsid w:val="174D6D27"/>
    <w:rsid w:val="174F6F43"/>
    <w:rsid w:val="176127D3"/>
    <w:rsid w:val="1767428D"/>
    <w:rsid w:val="17863BCC"/>
    <w:rsid w:val="17BE0A75"/>
    <w:rsid w:val="17CF3BE0"/>
    <w:rsid w:val="17E92EF4"/>
    <w:rsid w:val="17FC336F"/>
    <w:rsid w:val="180715CC"/>
    <w:rsid w:val="180B10BC"/>
    <w:rsid w:val="182268FA"/>
    <w:rsid w:val="182E4DAB"/>
    <w:rsid w:val="1840063A"/>
    <w:rsid w:val="184B71F8"/>
    <w:rsid w:val="1876405C"/>
    <w:rsid w:val="187C5B16"/>
    <w:rsid w:val="189E2F59"/>
    <w:rsid w:val="18A40BC9"/>
    <w:rsid w:val="18A94DC9"/>
    <w:rsid w:val="18B76B4E"/>
    <w:rsid w:val="18BA663E"/>
    <w:rsid w:val="18CB36B1"/>
    <w:rsid w:val="18D72D4C"/>
    <w:rsid w:val="18D80511"/>
    <w:rsid w:val="18DA283C"/>
    <w:rsid w:val="18E37943"/>
    <w:rsid w:val="18F733EE"/>
    <w:rsid w:val="18FA64DB"/>
    <w:rsid w:val="19033B41"/>
    <w:rsid w:val="190B7602"/>
    <w:rsid w:val="191222D0"/>
    <w:rsid w:val="1912647A"/>
    <w:rsid w:val="19235F91"/>
    <w:rsid w:val="193F0AB6"/>
    <w:rsid w:val="1947061F"/>
    <w:rsid w:val="19650358"/>
    <w:rsid w:val="197902A7"/>
    <w:rsid w:val="198033E4"/>
    <w:rsid w:val="19805192"/>
    <w:rsid w:val="19947E51"/>
    <w:rsid w:val="19AC242B"/>
    <w:rsid w:val="19B14838"/>
    <w:rsid w:val="19B27315"/>
    <w:rsid w:val="19BE7134"/>
    <w:rsid w:val="19C159DC"/>
    <w:rsid w:val="19C749D9"/>
    <w:rsid w:val="19D441E2"/>
    <w:rsid w:val="19E141C7"/>
    <w:rsid w:val="19EE2A43"/>
    <w:rsid w:val="19F45B80"/>
    <w:rsid w:val="19F94C96"/>
    <w:rsid w:val="19FD4A34"/>
    <w:rsid w:val="19FF69FF"/>
    <w:rsid w:val="1A0F4768"/>
    <w:rsid w:val="1A1B135F"/>
    <w:rsid w:val="1A1B310D"/>
    <w:rsid w:val="1A3E13E6"/>
    <w:rsid w:val="1A5B175B"/>
    <w:rsid w:val="1A7D7923"/>
    <w:rsid w:val="1A8171DE"/>
    <w:rsid w:val="1A846A64"/>
    <w:rsid w:val="1A962711"/>
    <w:rsid w:val="1AA43102"/>
    <w:rsid w:val="1AAC6E2E"/>
    <w:rsid w:val="1AAE5D2F"/>
    <w:rsid w:val="1AC5282E"/>
    <w:rsid w:val="1AD63F77"/>
    <w:rsid w:val="1B0A4FC1"/>
    <w:rsid w:val="1B0A5E35"/>
    <w:rsid w:val="1B0C00F7"/>
    <w:rsid w:val="1B1F1D1C"/>
    <w:rsid w:val="1B2D711B"/>
    <w:rsid w:val="1B606958"/>
    <w:rsid w:val="1B743824"/>
    <w:rsid w:val="1B80591D"/>
    <w:rsid w:val="1B957775"/>
    <w:rsid w:val="1BAB226E"/>
    <w:rsid w:val="1BAC6E38"/>
    <w:rsid w:val="1BB00977"/>
    <w:rsid w:val="1BBC447B"/>
    <w:rsid w:val="1BD47A17"/>
    <w:rsid w:val="1BD60638"/>
    <w:rsid w:val="1BD9502D"/>
    <w:rsid w:val="1BE51C24"/>
    <w:rsid w:val="1BF81957"/>
    <w:rsid w:val="1C2C7853"/>
    <w:rsid w:val="1C420E24"/>
    <w:rsid w:val="1C796B0B"/>
    <w:rsid w:val="1C965A39"/>
    <w:rsid w:val="1CC33726"/>
    <w:rsid w:val="1CCC60BD"/>
    <w:rsid w:val="1CDB6B83"/>
    <w:rsid w:val="1CE357BA"/>
    <w:rsid w:val="1CE41A63"/>
    <w:rsid w:val="1CF33333"/>
    <w:rsid w:val="1D104A7F"/>
    <w:rsid w:val="1D214EDE"/>
    <w:rsid w:val="1D282582"/>
    <w:rsid w:val="1D2E3157"/>
    <w:rsid w:val="1D3A5FA0"/>
    <w:rsid w:val="1D3C526B"/>
    <w:rsid w:val="1D427CEC"/>
    <w:rsid w:val="1D44178B"/>
    <w:rsid w:val="1D58430D"/>
    <w:rsid w:val="1D5F5C29"/>
    <w:rsid w:val="1D64263F"/>
    <w:rsid w:val="1D943902"/>
    <w:rsid w:val="1D9A259A"/>
    <w:rsid w:val="1DA82F09"/>
    <w:rsid w:val="1DBD65A4"/>
    <w:rsid w:val="1DC13FCB"/>
    <w:rsid w:val="1DD23634"/>
    <w:rsid w:val="1DD435CF"/>
    <w:rsid w:val="1DDB508D"/>
    <w:rsid w:val="1DDE2DCF"/>
    <w:rsid w:val="1DE71C83"/>
    <w:rsid w:val="1E270F6A"/>
    <w:rsid w:val="1E31557C"/>
    <w:rsid w:val="1E424C60"/>
    <w:rsid w:val="1E4C7D38"/>
    <w:rsid w:val="1E562965"/>
    <w:rsid w:val="1E682698"/>
    <w:rsid w:val="1E846734"/>
    <w:rsid w:val="1E861030"/>
    <w:rsid w:val="1E8F5E77"/>
    <w:rsid w:val="1E91399D"/>
    <w:rsid w:val="1EAC6A29"/>
    <w:rsid w:val="1EB3600A"/>
    <w:rsid w:val="1ECB3353"/>
    <w:rsid w:val="1EE1053D"/>
    <w:rsid w:val="1EEF687A"/>
    <w:rsid w:val="1F175906"/>
    <w:rsid w:val="1F1B36DD"/>
    <w:rsid w:val="1F1D16D5"/>
    <w:rsid w:val="1F38206B"/>
    <w:rsid w:val="1F3F789D"/>
    <w:rsid w:val="1F7074E6"/>
    <w:rsid w:val="1F7D3F22"/>
    <w:rsid w:val="1F9E26E9"/>
    <w:rsid w:val="1FAC1B7F"/>
    <w:rsid w:val="1FAD0CAB"/>
    <w:rsid w:val="1FB56C2E"/>
    <w:rsid w:val="1FB843E7"/>
    <w:rsid w:val="1FBC2C9C"/>
    <w:rsid w:val="1FCF66C4"/>
    <w:rsid w:val="1FF322BA"/>
    <w:rsid w:val="1FF3258F"/>
    <w:rsid w:val="1FFE32B4"/>
    <w:rsid w:val="2000702C"/>
    <w:rsid w:val="200B13BD"/>
    <w:rsid w:val="200D724C"/>
    <w:rsid w:val="202A5E57"/>
    <w:rsid w:val="203B5D95"/>
    <w:rsid w:val="20515ADA"/>
    <w:rsid w:val="20623843"/>
    <w:rsid w:val="206724B7"/>
    <w:rsid w:val="20674ED5"/>
    <w:rsid w:val="20686980"/>
    <w:rsid w:val="206F5F60"/>
    <w:rsid w:val="207A6B40"/>
    <w:rsid w:val="207C4233"/>
    <w:rsid w:val="20855784"/>
    <w:rsid w:val="20A025BE"/>
    <w:rsid w:val="20AD0837"/>
    <w:rsid w:val="20D364EF"/>
    <w:rsid w:val="20E361CF"/>
    <w:rsid w:val="21022930"/>
    <w:rsid w:val="21110DC5"/>
    <w:rsid w:val="211A2370"/>
    <w:rsid w:val="214A2FEC"/>
    <w:rsid w:val="214B077B"/>
    <w:rsid w:val="216C24A0"/>
    <w:rsid w:val="21723F5A"/>
    <w:rsid w:val="217C0935"/>
    <w:rsid w:val="21916844"/>
    <w:rsid w:val="21B42B82"/>
    <w:rsid w:val="21BA76AF"/>
    <w:rsid w:val="21BE2CFB"/>
    <w:rsid w:val="21C61BB0"/>
    <w:rsid w:val="21C83B7A"/>
    <w:rsid w:val="21CB5418"/>
    <w:rsid w:val="21D249F9"/>
    <w:rsid w:val="21EA1C0A"/>
    <w:rsid w:val="21F8263A"/>
    <w:rsid w:val="22004956"/>
    <w:rsid w:val="22097CEF"/>
    <w:rsid w:val="2223701A"/>
    <w:rsid w:val="222528F3"/>
    <w:rsid w:val="223E5BEA"/>
    <w:rsid w:val="22403F6C"/>
    <w:rsid w:val="22462F38"/>
    <w:rsid w:val="22573150"/>
    <w:rsid w:val="225B679C"/>
    <w:rsid w:val="22603DB2"/>
    <w:rsid w:val="22702742"/>
    <w:rsid w:val="22762AC7"/>
    <w:rsid w:val="227B6E3E"/>
    <w:rsid w:val="228A52D3"/>
    <w:rsid w:val="229B0F0C"/>
    <w:rsid w:val="229D5007"/>
    <w:rsid w:val="22C32593"/>
    <w:rsid w:val="22CF0F38"/>
    <w:rsid w:val="22D62EEB"/>
    <w:rsid w:val="22DF561F"/>
    <w:rsid w:val="22F34C27"/>
    <w:rsid w:val="22F95FB5"/>
    <w:rsid w:val="230230BC"/>
    <w:rsid w:val="231B23CF"/>
    <w:rsid w:val="233759AD"/>
    <w:rsid w:val="233D2346"/>
    <w:rsid w:val="234C6186"/>
    <w:rsid w:val="235C6C70"/>
    <w:rsid w:val="238D463C"/>
    <w:rsid w:val="239D5E64"/>
    <w:rsid w:val="23C16AD3"/>
    <w:rsid w:val="23C95987"/>
    <w:rsid w:val="23CD2672"/>
    <w:rsid w:val="23D507D0"/>
    <w:rsid w:val="23D868AB"/>
    <w:rsid w:val="23DE6319"/>
    <w:rsid w:val="23F23130"/>
    <w:rsid w:val="23FF584D"/>
    <w:rsid w:val="2413474C"/>
    <w:rsid w:val="24186FDB"/>
    <w:rsid w:val="241E1C51"/>
    <w:rsid w:val="241F1421"/>
    <w:rsid w:val="24360360"/>
    <w:rsid w:val="244A4D1A"/>
    <w:rsid w:val="245060A9"/>
    <w:rsid w:val="245B2DEE"/>
    <w:rsid w:val="24612064"/>
    <w:rsid w:val="24705167"/>
    <w:rsid w:val="247D0E32"/>
    <w:rsid w:val="247D50F0"/>
    <w:rsid w:val="24AB0174"/>
    <w:rsid w:val="24AE4667"/>
    <w:rsid w:val="24B84374"/>
    <w:rsid w:val="24CD1374"/>
    <w:rsid w:val="24F66D79"/>
    <w:rsid w:val="24FE77A1"/>
    <w:rsid w:val="2503777C"/>
    <w:rsid w:val="2518296A"/>
    <w:rsid w:val="251946ED"/>
    <w:rsid w:val="251F7F55"/>
    <w:rsid w:val="25243F0A"/>
    <w:rsid w:val="252F3079"/>
    <w:rsid w:val="25311A36"/>
    <w:rsid w:val="25523147"/>
    <w:rsid w:val="2557368E"/>
    <w:rsid w:val="25E1345C"/>
    <w:rsid w:val="25E22D30"/>
    <w:rsid w:val="25E43CC2"/>
    <w:rsid w:val="25EC3BAF"/>
    <w:rsid w:val="25F31F04"/>
    <w:rsid w:val="26103D41"/>
    <w:rsid w:val="261D23F6"/>
    <w:rsid w:val="26357304"/>
    <w:rsid w:val="263C0693"/>
    <w:rsid w:val="263E08AF"/>
    <w:rsid w:val="26517E5A"/>
    <w:rsid w:val="26555BF8"/>
    <w:rsid w:val="265C6F87"/>
    <w:rsid w:val="26616852"/>
    <w:rsid w:val="266876DA"/>
    <w:rsid w:val="26742C26"/>
    <w:rsid w:val="267E14C1"/>
    <w:rsid w:val="267F67D1"/>
    <w:rsid w:val="26D0042D"/>
    <w:rsid w:val="27156A53"/>
    <w:rsid w:val="27160F81"/>
    <w:rsid w:val="2717299E"/>
    <w:rsid w:val="271A01E4"/>
    <w:rsid w:val="273870AC"/>
    <w:rsid w:val="273C319F"/>
    <w:rsid w:val="27424700"/>
    <w:rsid w:val="27635FF9"/>
    <w:rsid w:val="276C31F9"/>
    <w:rsid w:val="278B3992"/>
    <w:rsid w:val="27A174C3"/>
    <w:rsid w:val="27A72484"/>
    <w:rsid w:val="27BA3129"/>
    <w:rsid w:val="27C22E19"/>
    <w:rsid w:val="27ED6457"/>
    <w:rsid w:val="27FA6A57"/>
    <w:rsid w:val="27FD48FE"/>
    <w:rsid w:val="280D4603"/>
    <w:rsid w:val="28237D5C"/>
    <w:rsid w:val="2847589E"/>
    <w:rsid w:val="284B72B3"/>
    <w:rsid w:val="284E0B51"/>
    <w:rsid w:val="28657FF2"/>
    <w:rsid w:val="2866479A"/>
    <w:rsid w:val="28A177D4"/>
    <w:rsid w:val="28A846DD"/>
    <w:rsid w:val="28AF339E"/>
    <w:rsid w:val="28CA465C"/>
    <w:rsid w:val="28CF62FC"/>
    <w:rsid w:val="28D15A0A"/>
    <w:rsid w:val="28EF5E90"/>
    <w:rsid w:val="29086F52"/>
    <w:rsid w:val="290A2CCA"/>
    <w:rsid w:val="29194CBB"/>
    <w:rsid w:val="29210904"/>
    <w:rsid w:val="29323FCF"/>
    <w:rsid w:val="293715E5"/>
    <w:rsid w:val="293D4E4D"/>
    <w:rsid w:val="296A19BB"/>
    <w:rsid w:val="29BD1AEA"/>
    <w:rsid w:val="29FF65A7"/>
    <w:rsid w:val="2A005E7B"/>
    <w:rsid w:val="2A104310"/>
    <w:rsid w:val="2A1060BE"/>
    <w:rsid w:val="2A1A518F"/>
    <w:rsid w:val="2A2658E2"/>
    <w:rsid w:val="2A273408"/>
    <w:rsid w:val="2A2B114A"/>
    <w:rsid w:val="2A2B739C"/>
    <w:rsid w:val="2A3F4BF5"/>
    <w:rsid w:val="2A42536F"/>
    <w:rsid w:val="2A506E2C"/>
    <w:rsid w:val="2A5074BE"/>
    <w:rsid w:val="2A7D74CC"/>
    <w:rsid w:val="2A866380"/>
    <w:rsid w:val="2A944F41"/>
    <w:rsid w:val="2A947DE8"/>
    <w:rsid w:val="2A97233B"/>
    <w:rsid w:val="2AAF1D7B"/>
    <w:rsid w:val="2AB32EED"/>
    <w:rsid w:val="2AD638F7"/>
    <w:rsid w:val="2ADD3F35"/>
    <w:rsid w:val="2AE23476"/>
    <w:rsid w:val="2AE80DE9"/>
    <w:rsid w:val="2B0B507E"/>
    <w:rsid w:val="2B0D6AA1"/>
    <w:rsid w:val="2B25203D"/>
    <w:rsid w:val="2B2B0238"/>
    <w:rsid w:val="2B361E90"/>
    <w:rsid w:val="2B4104F9"/>
    <w:rsid w:val="2B4A5600"/>
    <w:rsid w:val="2B5446D0"/>
    <w:rsid w:val="2B5E10AB"/>
    <w:rsid w:val="2B65068C"/>
    <w:rsid w:val="2B7C2DF9"/>
    <w:rsid w:val="2B846604"/>
    <w:rsid w:val="2BAF7B59"/>
    <w:rsid w:val="2BC76478"/>
    <w:rsid w:val="2BCE7FDF"/>
    <w:rsid w:val="2BDC5007"/>
    <w:rsid w:val="2BE0256A"/>
    <w:rsid w:val="2BEC4909"/>
    <w:rsid w:val="2BF02146"/>
    <w:rsid w:val="2BF0264B"/>
    <w:rsid w:val="2BFA54DA"/>
    <w:rsid w:val="2C016606"/>
    <w:rsid w:val="2C041C52"/>
    <w:rsid w:val="2C061E34"/>
    <w:rsid w:val="2C074A29"/>
    <w:rsid w:val="2C091017"/>
    <w:rsid w:val="2C0A4844"/>
    <w:rsid w:val="2C1A7F27"/>
    <w:rsid w:val="2C3313E7"/>
    <w:rsid w:val="2C344EBA"/>
    <w:rsid w:val="2C3541EC"/>
    <w:rsid w:val="2C504E98"/>
    <w:rsid w:val="2C6B3A80"/>
    <w:rsid w:val="2C821F3A"/>
    <w:rsid w:val="2C970D19"/>
    <w:rsid w:val="2CA13D39"/>
    <w:rsid w:val="2CAB494C"/>
    <w:rsid w:val="2CC37991"/>
    <w:rsid w:val="2CCB53C6"/>
    <w:rsid w:val="2CD07D87"/>
    <w:rsid w:val="2CDD7968"/>
    <w:rsid w:val="2CEB40BD"/>
    <w:rsid w:val="2CED26E7"/>
    <w:rsid w:val="2D085772"/>
    <w:rsid w:val="2D104D7E"/>
    <w:rsid w:val="2D17253C"/>
    <w:rsid w:val="2D546C0A"/>
    <w:rsid w:val="2D574DFE"/>
    <w:rsid w:val="2D656721"/>
    <w:rsid w:val="2D686211"/>
    <w:rsid w:val="2D76092E"/>
    <w:rsid w:val="2D7921CC"/>
    <w:rsid w:val="2D965504"/>
    <w:rsid w:val="2DB713F7"/>
    <w:rsid w:val="2DCC054E"/>
    <w:rsid w:val="2DD357DE"/>
    <w:rsid w:val="2DED381A"/>
    <w:rsid w:val="2DF301D1"/>
    <w:rsid w:val="2E05693E"/>
    <w:rsid w:val="2E1076CE"/>
    <w:rsid w:val="2E1D6FFC"/>
    <w:rsid w:val="2E3511E0"/>
    <w:rsid w:val="2E406C74"/>
    <w:rsid w:val="2E8452CD"/>
    <w:rsid w:val="2EA944D2"/>
    <w:rsid w:val="2EAE23EB"/>
    <w:rsid w:val="2EB45BB2"/>
    <w:rsid w:val="2EB72C1B"/>
    <w:rsid w:val="2EB76944"/>
    <w:rsid w:val="2ED27DE6"/>
    <w:rsid w:val="2EF070DF"/>
    <w:rsid w:val="2F210D6D"/>
    <w:rsid w:val="2F244EA2"/>
    <w:rsid w:val="2F4B1946"/>
    <w:rsid w:val="2F762C98"/>
    <w:rsid w:val="2F836C9F"/>
    <w:rsid w:val="2F8A246F"/>
    <w:rsid w:val="2F9257C7"/>
    <w:rsid w:val="2FA33530"/>
    <w:rsid w:val="2FD66FEA"/>
    <w:rsid w:val="2FF034A9"/>
    <w:rsid w:val="2FFC5CE0"/>
    <w:rsid w:val="300C37CC"/>
    <w:rsid w:val="30146116"/>
    <w:rsid w:val="30240B15"/>
    <w:rsid w:val="303845C1"/>
    <w:rsid w:val="306E7FE2"/>
    <w:rsid w:val="30896BCA"/>
    <w:rsid w:val="309250C3"/>
    <w:rsid w:val="3099481D"/>
    <w:rsid w:val="30D07DE1"/>
    <w:rsid w:val="30D75B88"/>
    <w:rsid w:val="30DA11D4"/>
    <w:rsid w:val="30F91ED8"/>
    <w:rsid w:val="310B19E4"/>
    <w:rsid w:val="31245BB5"/>
    <w:rsid w:val="31256885"/>
    <w:rsid w:val="313905F0"/>
    <w:rsid w:val="316F0A25"/>
    <w:rsid w:val="3175714F"/>
    <w:rsid w:val="317B29B7"/>
    <w:rsid w:val="31865853"/>
    <w:rsid w:val="31886E82"/>
    <w:rsid w:val="318E2C8A"/>
    <w:rsid w:val="318F411A"/>
    <w:rsid w:val="31922B32"/>
    <w:rsid w:val="31A23F91"/>
    <w:rsid w:val="31A812D2"/>
    <w:rsid w:val="31AC1C27"/>
    <w:rsid w:val="31AD4B3A"/>
    <w:rsid w:val="31BD2FCF"/>
    <w:rsid w:val="31CA1248"/>
    <w:rsid w:val="31CF4C94"/>
    <w:rsid w:val="31D51822"/>
    <w:rsid w:val="3200779C"/>
    <w:rsid w:val="3207424B"/>
    <w:rsid w:val="32164F3B"/>
    <w:rsid w:val="32230959"/>
    <w:rsid w:val="32266448"/>
    <w:rsid w:val="32382656"/>
    <w:rsid w:val="323D4DDE"/>
    <w:rsid w:val="324F08BC"/>
    <w:rsid w:val="32544FB6"/>
    <w:rsid w:val="325D3E6B"/>
    <w:rsid w:val="326571C3"/>
    <w:rsid w:val="327B69E7"/>
    <w:rsid w:val="32894C60"/>
    <w:rsid w:val="32A96B65"/>
    <w:rsid w:val="32AE755D"/>
    <w:rsid w:val="32EE540A"/>
    <w:rsid w:val="3314723B"/>
    <w:rsid w:val="33240E2C"/>
    <w:rsid w:val="3334156E"/>
    <w:rsid w:val="3355548A"/>
    <w:rsid w:val="336B6A5B"/>
    <w:rsid w:val="33844BAD"/>
    <w:rsid w:val="338E3DD6"/>
    <w:rsid w:val="33945FB2"/>
    <w:rsid w:val="339715FE"/>
    <w:rsid w:val="33B04D60"/>
    <w:rsid w:val="33B10912"/>
    <w:rsid w:val="33B26D7A"/>
    <w:rsid w:val="33D17B6B"/>
    <w:rsid w:val="33DB598F"/>
    <w:rsid w:val="341B3FDD"/>
    <w:rsid w:val="343D4AC2"/>
    <w:rsid w:val="34473024"/>
    <w:rsid w:val="34476B80"/>
    <w:rsid w:val="34781430"/>
    <w:rsid w:val="347947C7"/>
    <w:rsid w:val="347A1EC1"/>
    <w:rsid w:val="34876319"/>
    <w:rsid w:val="34921E01"/>
    <w:rsid w:val="34A84A69"/>
    <w:rsid w:val="34B306BA"/>
    <w:rsid w:val="34BF705E"/>
    <w:rsid w:val="34C3033B"/>
    <w:rsid w:val="34CB5A03"/>
    <w:rsid w:val="34CE091C"/>
    <w:rsid w:val="34E7529C"/>
    <w:rsid w:val="34E91E10"/>
    <w:rsid w:val="34F678C3"/>
    <w:rsid w:val="350007E2"/>
    <w:rsid w:val="351A24E7"/>
    <w:rsid w:val="35417A73"/>
    <w:rsid w:val="35610116"/>
    <w:rsid w:val="35610228"/>
    <w:rsid w:val="3567728F"/>
    <w:rsid w:val="356E3AF8"/>
    <w:rsid w:val="357339A5"/>
    <w:rsid w:val="357D4824"/>
    <w:rsid w:val="35814314"/>
    <w:rsid w:val="35822132"/>
    <w:rsid w:val="359A5F52"/>
    <w:rsid w:val="35AF114F"/>
    <w:rsid w:val="35B83942"/>
    <w:rsid w:val="35BB5A78"/>
    <w:rsid w:val="35DC59EE"/>
    <w:rsid w:val="35F1677D"/>
    <w:rsid w:val="36064819"/>
    <w:rsid w:val="36080591"/>
    <w:rsid w:val="36280C33"/>
    <w:rsid w:val="363268B0"/>
    <w:rsid w:val="36724FC7"/>
    <w:rsid w:val="36826596"/>
    <w:rsid w:val="36927D93"/>
    <w:rsid w:val="369B1405"/>
    <w:rsid w:val="36A22655"/>
    <w:rsid w:val="36A505C8"/>
    <w:rsid w:val="36CC5A63"/>
    <w:rsid w:val="36D35ED4"/>
    <w:rsid w:val="36D52B69"/>
    <w:rsid w:val="36E903C3"/>
    <w:rsid w:val="36EA7CDE"/>
    <w:rsid w:val="36FB1EA4"/>
    <w:rsid w:val="370927D7"/>
    <w:rsid w:val="370B658B"/>
    <w:rsid w:val="371D006C"/>
    <w:rsid w:val="37227431"/>
    <w:rsid w:val="3724764D"/>
    <w:rsid w:val="37335AE2"/>
    <w:rsid w:val="373B602E"/>
    <w:rsid w:val="374970B3"/>
    <w:rsid w:val="375A3E92"/>
    <w:rsid w:val="37665DA9"/>
    <w:rsid w:val="378B504F"/>
    <w:rsid w:val="37A147F9"/>
    <w:rsid w:val="37A442EA"/>
    <w:rsid w:val="37B00EE0"/>
    <w:rsid w:val="37B54749"/>
    <w:rsid w:val="37BC6E0D"/>
    <w:rsid w:val="37BC7885"/>
    <w:rsid w:val="37C404E8"/>
    <w:rsid w:val="37C711A3"/>
    <w:rsid w:val="37FB65FF"/>
    <w:rsid w:val="37FC04AB"/>
    <w:rsid w:val="38082ACA"/>
    <w:rsid w:val="382D2531"/>
    <w:rsid w:val="383C09C6"/>
    <w:rsid w:val="38485EC8"/>
    <w:rsid w:val="38517049"/>
    <w:rsid w:val="385A639C"/>
    <w:rsid w:val="38637D01"/>
    <w:rsid w:val="38673C95"/>
    <w:rsid w:val="387C7014"/>
    <w:rsid w:val="387E0FDF"/>
    <w:rsid w:val="388F0AF6"/>
    <w:rsid w:val="38993AD8"/>
    <w:rsid w:val="38A24CCD"/>
    <w:rsid w:val="38A26A7B"/>
    <w:rsid w:val="38AF67C3"/>
    <w:rsid w:val="38B60A92"/>
    <w:rsid w:val="38B81807"/>
    <w:rsid w:val="38BB39B0"/>
    <w:rsid w:val="38F842C6"/>
    <w:rsid w:val="38FE7A29"/>
    <w:rsid w:val="39002DFE"/>
    <w:rsid w:val="39112E4E"/>
    <w:rsid w:val="391E459E"/>
    <w:rsid w:val="393D67A4"/>
    <w:rsid w:val="39497CC5"/>
    <w:rsid w:val="3951601F"/>
    <w:rsid w:val="396106E4"/>
    <w:rsid w:val="39934616"/>
    <w:rsid w:val="39974106"/>
    <w:rsid w:val="399A7D9F"/>
    <w:rsid w:val="399D4784"/>
    <w:rsid w:val="399D5494"/>
    <w:rsid w:val="39BD0B31"/>
    <w:rsid w:val="39C742BF"/>
    <w:rsid w:val="39C8281D"/>
    <w:rsid w:val="39D0586A"/>
    <w:rsid w:val="39E03482"/>
    <w:rsid w:val="39E46903"/>
    <w:rsid w:val="3A0B68A2"/>
    <w:rsid w:val="3A0C0CA1"/>
    <w:rsid w:val="3A233C76"/>
    <w:rsid w:val="3A2D6818"/>
    <w:rsid w:val="3A3E6C77"/>
    <w:rsid w:val="3A557B1D"/>
    <w:rsid w:val="3A6F5083"/>
    <w:rsid w:val="3A881CA1"/>
    <w:rsid w:val="3A920D71"/>
    <w:rsid w:val="3A9C574C"/>
    <w:rsid w:val="3AB962FE"/>
    <w:rsid w:val="3AC56A51"/>
    <w:rsid w:val="3ACC0DB7"/>
    <w:rsid w:val="3AD62A0C"/>
    <w:rsid w:val="3ADA4071"/>
    <w:rsid w:val="3ADD527F"/>
    <w:rsid w:val="3AE813A4"/>
    <w:rsid w:val="3AF86E26"/>
    <w:rsid w:val="3B043A1D"/>
    <w:rsid w:val="3B191D2F"/>
    <w:rsid w:val="3B2C6AD0"/>
    <w:rsid w:val="3B354457"/>
    <w:rsid w:val="3B471B5C"/>
    <w:rsid w:val="3B6F4C0F"/>
    <w:rsid w:val="3B90705F"/>
    <w:rsid w:val="3B9A0DCC"/>
    <w:rsid w:val="3B9A612F"/>
    <w:rsid w:val="3BAAF55C"/>
    <w:rsid w:val="3BBA0580"/>
    <w:rsid w:val="3BC225B5"/>
    <w:rsid w:val="3BC64E5E"/>
    <w:rsid w:val="3BC92571"/>
    <w:rsid w:val="3BE0528C"/>
    <w:rsid w:val="3C16141A"/>
    <w:rsid w:val="3C1A101E"/>
    <w:rsid w:val="3C1B6FEC"/>
    <w:rsid w:val="3C4B742A"/>
    <w:rsid w:val="3C4C0B25"/>
    <w:rsid w:val="3C6A3D54"/>
    <w:rsid w:val="3C954F54"/>
    <w:rsid w:val="3C97441D"/>
    <w:rsid w:val="3C9F32D2"/>
    <w:rsid w:val="3CB925E5"/>
    <w:rsid w:val="3CC64D02"/>
    <w:rsid w:val="3CCD6091"/>
    <w:rsid w:val="3CE04D3A"/>
    <w:rsid w:val="3D0A2E41"/>
    <w:rsid w:val="3D0C6BB9"/>
    <w:rsid w:val="3D124D7F"/>
    <w:rsid w:val="3D1605C3"/>
    <w:rsid w:val="3D3108F0"/>
    <w:rsid w:val="3D3D6E92"/>
    <w:rsid w:val="3D430101"/>
    <w:rsid w:val="3D5B544A"/>
    <w:rsid w:val="3D790ED4"/>
    <w:rsid w:val="3D8A2741"/>
    <w:rsid w:val="3D8F3F83"/>
    <w:rsid w:val="3DBF3C2B"/>
    <w:rsid w:val="3DC76F84"/>
    <w:rsid w:val="3DCD32B2"/>
    <w:rsid w:val="3DDF3DD1"/>
    <w:rsid w:val="3DE10046"/>
    <w:rsid w:val="3DE15659"/>
    <w:rsid w:val="3DE713D4"/>
    <w:rsid w:val="3DF07273"/>
    <w:rsid w:val="3E027FBC"/>
    <w:rsid w:val="3E062A88"/>
    <w:rsid w:val="3E0E1C40"/>
    <w:rsid w:val="3E0E6B7D"/>
    <w:rsid w:val="3E1000FA"/>
    <w:rsid w:val="3E133F77"/>
    <w:rsid w:val="3E241CE0"/>
    <w:rsid w:val="3E481854"/>
    <w:rsid w:val="3E4B3711"/>
    <w:rsid w:val="3E5720B6"/>
    <w:rsid w:val="3E756895"/>
    <w:rsid w:val="3E802908"/>
    <w:rsid w:val="3E815CDE"/>
    <w:rsid w:val="3EAE5A4E"/>
    <w:rsid w:val="3EBD6E70"/>
    <w:rsid w:val="3ED33DFA"/>
    <w:rsid w:val="3EE6168C"/>
    <w:rsid w:val="3EE651E8"/>
    <w:rsid w:val="3EEC4EF4"/>
    <w:rsid w:val="3EF67B21"/>
    <w:rsid w:val="3F0C1519"/>
    <w:rsid w:val="3F183A17"/>
    <w:rsid w:val="3F1C4E43"/>
    <w:rsid w:val="3F3E6DD2"/>
    <w:rsid w:val="3F433CAF"/>
    <w:rsid w:val="3F453306"/>
    <w:rsid w:val="3F514D57"/>
    <w:rsid w:val="3F5C54AA"/>
    <w:rsid w:val="3F5E1222"/>
    <w:rsid w:val="3F847A8C"/>
    <w:rsid w:val="3F875A65"/>
    <w:rsid w:val="3FA550A3"/>
    <w:rsid w:val="3FAF7CCF"/>
    <w:rsid w:val="3FB4145C"/>
    <w:rsid w:val="3FD768CC"/>
    <w:rsid w:val="3FE931E1"/>
    <w:rsid w:val="3FEF0D33"/>
    <w:rsid w:val="3FF51B86"/>
    <w:rsid w:val="3FFD4CCE"/>
    <w:rsid w:val="3FFD6C8D"/>
    <w:rsid w:val="4000052B"/>
    <w:rsid w:val="400C6ED0"/>
    <w:rsid w:val="40110EF1"/>
    <w:rsid w:val="40342640"/>
    <w:rsid w:val="40415103"/>
    <w:rsid w:val="40645D6B"/>
    <w:rsid w:val="4070746C"/>
    <w:rsid w:val="40861AED"/>
    <w:rsid w:val="40984BCB"/>
    <w:rsid w:val="40A8309D"/>
    <w:rsid w:val="40AE7C64"/>
    <w:rsid w:val="40B47154"/>
    <w:rsid w:val="40BF3F42"/>
    <w:rsid w:val="40CA3D2C"/>
    <w:rsid w:val="40D33671"/>
    <w:rsid w:val="40E83499"/>
    <w:rsid w:val="40FD0E61"/>
    <w:rsid w:val="40FD6DCE"/>
    <w:rsid w:val="4142704D"/>
    <w:rsid w:val="415D3E87"/>
    <w:rsid w:val="41606908"/>
    <w:rsid w:val="416074D3"/>
    <w:rsid w:val="417C5735"/>
    <w:rsid w:val="41A13D3C"/>
    <w:rsid w:val="41B0748D"/>
    <w:rsid w:val="41B617E9"/>
    <w:rsid w:val="41D61543"/>
    <w:rsid w:val="41E41EB2"/>
    <w:rsid w:val="41F145CF"/>
    <w:rsid w:val="421325E2"/>
    <w:rsid w:val="4230334A"/>
    <w:rsid w:val="423170C2"/>
    <w:rsid w:val="423A301B"/>
    <w:rsid w:val="423D00AA"/>
    <w:rsid w:val="424010B3"/>
    <w:rsid w:val="4247010E"/>
    <w:rsid w:val="4258441E"/>
    <w:rsid w:val="4258464E"/>
    <w:rsid w:val="425C1855"/>
    <w:rsid w:val="42753EA0"/>
    <w:rsid w:val="428216CB"/>
    <w:rsid w:val="428C38C0"/>
    <w:rsid w:val="429513FF"/>
    <w:rsid w:val="42994A08"/>
    <w:rsid w:val="42A653BA"/>
    <w:rsid w:val="42CD3F43"/>
    <w:rsid w:val="42D45294"/>
    <w:rsid w:val="42F26851"/>
    <w:rsid w:val="4303280C"/>
    <w:rsid w:val="430B16C1"/>
    <w:rsid w:val="43212C92"/>
    <w:rsid w:val="43395F5E"/>
    <w:rsid w:val="434626F9"/>
    <w:rsid w:val="438F40A0"/>
    <w:rsid w:val="4390408F"/>
    <w:rsid w:val="439E6277"/>
    <w:rsid w:val="43CB512D"/>
    <w:rsid w:val="43DA7BB1"/>
    <w:rsid w:val="43EB1656"/>
    <w:rsid w:val="43F565F9"/>
    <w:rsid w:val="4403620D"/>
    <w:rsid w:val="440E3217"/>
    <w:rsid w:val="440E76BA"/>
    <w:rsid w:val="44134CD1"/>
    <w:rsid w:val="44241D46"/>
    <w:rsid w:val="443B7D84"/>
    <w:rsid w:val="44472EDA"/>
    <w:rsid w:val="444B446B"/>
    <w:rsid w:val="444E0DFF"/>
    <w:rsid w:val="4467501D"/>
    <w:rsid w:val="447E11A1"/>
    <w:rsid w:val="448E07FB"/>
    <w:rsid w:val="44CE3917"/>
    <w:rsid w:val="44EB3558"/>
    <w:rsid w:val="44F038FE"/>
    <w:rsid w:val="44F05012"/>
    <w:rsid w:val="450C73E7"/>
    <w:rsid w:val="452D3B70"/>
    <w:rsid w:val="45321187"/>
    <w:rsid w:val="45334B27"/>
    <w:rsid w:val="453749EF"/>
    <w:rsid w:val="453D4124"/>
    <w:rsid w:val="453F0F59"/>
    <w:rsid w:val="45460437"/>
    <w:rsid w:val="454669E0"/>
    <w:rsid w:val="4574354D"/>
    <w:rsid w:val="4584768D"/>
    <w:rsid w:val="459B31D0"/>
    <w:rsid w:val="45A55DFD"/>
    <w:rsid w:val="45B8114E"/>
    <w:rsid w:val="45CA7611"/>
    <w:rsid w:val="45D30D83"/>
    <w:rsid w:val="45E701C3"/>
    <w:rsid w:val="45FA13BF"/>
    <w:rsid w:val="461E795D"/>
    <w:rsid w:val="46431686"/>
    <w:rsid w:val="46472A10"/>
    <w:rsid w:val="464F5D68"/>
    <w:rsid w:val="465869CB"/>
    <w:rsid w:val="4659411C"/>
    <w:rsid w:val="465F41FD"/>
    <w:rsid w:val="46675358"/>
    <w:rsid w:val="46827EEC"/>
    <w:rsid w:val="46890F68"/>
    <w:rsid w:val="468E063F"/>
    <w:rsid w:val="46A165C4"/>
    <w:rsid w:val="46A169D1"/>
    <w:rsid w:val="46A51F8B"/>
    <w:rsid w:val="46AB11F1"/>
    <w:rsid w:val="46AC4F69"/>
    <w:rsid w:val="46B362F7"/>
    <w:rsid w:val="46BD7176"/>
    <w:rsid w:val="46CE1383"/>
    <w:rsid w:val="46D05315"/>
    <w:rsid w:val="46DC3AA0"/>
    <w:rsid w:val="46E62229"/>
    <w:rsid w:val="46EF6F8D"/>
    <w:rsid w:val="46F35441"/>
    <w:rsid w:val="46FE1D5A"/>
    <w:rsid w:val="4702556E"/>
    <w:rsid w:val="47152B0E"/>
    <w:rsid w:val="47207E67"/>
    <w:rsid w:val="47411B55"/>
    <w:rsid w:val="47501D98"/>
    <w:rsid w:val="475344E5"/>
    <w:rsid w:val="47541888"/>
    <w:rsid w:val="47633AAA"/>
    <w:rsid w:val="47637D1D"/>
    <w:rsid w:val="476B0980"/>
    <w:rsid w:val="4770221E"/>
    <w:rsid w:val="477E5D36"/>
    <w:rsid w:val="47820B4C"/>
    <w:rsid w:val="47841A42"/>
    <w:rsid w:val="47925F0D"/>
    <w:rsid w:val="47A120FB"/>
    <w:rsid w:val="47A73CBB"/>
    <w:rsid w:val="47AB59CE"/>
    <w:rsid w:val="47B20FA5"/>
    <w:rsid w:val="47B85CED"/>
    <w:rsid w:val="47D604EF"/>
    <w:rsid w:val="47D91D8D"/>
    <w:rsid w:val="47E524E0"/>
    <w:rsid w:val="480D2FE1"/>
    <w:rsid w:val="481132D5"/>
    <w:rsid w:val="4812529F"/>
    <w:rsid w:val="481B05F8"/>
    <w:rsid w:val="481E5DAA"/>
    <w:rsid w:val="48324730"/>
    <w:rsid w:val="483376F0"/>
    <w:rsid w:val="48474F49"/>
    <w:rsid w:val="484752C1"/>
    <w:rsid w:val="485458B8"/>
    <w:rsid w:val="485578E8"/>
    <w:rsid w:val="487A531F"/>
    <w:rsid w:val="48873598"/>
    <w:rsid w:val="48BD27FC"/>
    <w:rsid w:val="48BD345D"/>
    <w:rsid w:val="48C06AA9"/>
    <w:rsid w:val="48CB0D15"/>
    <w:rsid w:val="48D64ED6"/>
    <w:rsid w:val="48E26684"/>
    <w:rsid w:val="491104C5"/>
    <w:rsid w:val="491A4E9A"/>
    <w:rsid w:val="49211C3E"/>
    <w:rsid w:val="49256404"/>
    <w:rsid w:val="49260006"/>
    <w:rsid w:val="493556E9"/>
    <w:rsid w:val="493F20C4"/>
    <w:rsid w:val="49423962"/>
    <w:rsid w:val="494E1E77"/>
    <w:rsid w:val="495627BB"/>
    <w:rsid w:val="495C2C76"/>
    <w:rsid w:val="496D09DF"/>
    <w:rsid w:val="49746212"/>
    <w:rsid w:val="49830203"/>
    <w:rsid w:val="49961747"/>
    <w:rsid w:val="499A5CF7"/>
    <w:rsid w:val="49A30F2F"/>
    <w:rsid w:val="49AE2B5B"/>
    <w:rsid w:val="4A01737A"/>
    <w:rsid w:val="4A184AB5"/>
    <w:rsid w:val="4A301A0D"/>
    <w:rsid w:val="4A8B0324"/>
    <w:rsid w:val="4A8E1021"/>
    <w:rsid w:val="4A9B5A20"/>
    <w:rsid w:val="4AA956FA"/>
    <w:rsid w:val="4AB10DA0"/>
    <w:rsid w:val="4AB1705A"/>
    <w:rsid w:val="4AB23A41"/>
    <w:rsid w:val="4ABB39CC"/>
    <w:rsid w:val="4AE253FD"/>
    <w:rsid w:val="4AF313B8"/>
    <w:rsid w:val="4AF8077D"/>
    <w:rsid w:val="4B011563"/>
    <w:rsid w:val="4B1747FF"/>
    <w:rsid w:val="4B257D58"/>
    <w:rsid w:val="4B4A7ED0"/>
    <w:rsid w:val="4B4B6AFE"/>
    <w:rsid w:val="4B585B35"/>
    <w:rsid w:val="4B5C0884"/>
    <w:rsid w:val="4B663938"/>
    <w:rsid w:val="4B8244EA"/>
    <w:rsid w:val="4B86058C"/>
    <w:rsid w:val="4B8D7117"/>
    <w:rsid w:val="4BA44460"/>
    <w:rsid w:val="4BA6467C"/>
    <w:rsid w:val="4BB548C0"/>
    <w:rsid w:val="4BB5666E"/>
    <w:rsid w:val="4BB81CA7"/>
    <w:rsid w:val="4BB9615E"/>
    <w:rsid w:val="4BDB2578"/>
    <w:rsid w:val="4BDC6FA0"/>
    <w:rsid w:val="4BE13907"/>
    <w:rsid w:val="4BF77019"/>
    <w:rsid w:val="4C121D12"/>
    <w:rsid w:val="4C150FD8"/>
    <w:rsid w:val="4C160AFB"/>
    <w:rsid w:val="4C231829"/>
    <w:rsid w:val="4C2518F0"/>
    <w:rsid w:val="4C251AA6"/>
    <w:rsid w:val="4C3752D5"/>
    <w:rsid w:val="4C4C6FD2"/>
    <w:rsid w:val="4C6267F5"/>
    <w:rsid w:val="4C683269"/>
    <w:rsid w:val="4C6C192F"/>
    <w:rsid w:val="4C934C01"/>
    <w:rsid w:val="4C9646F1"/>
    <w:rsid w:val="4CB9218D"/>
    <w:rsid w:val="4CCF375F"/>
    <w:rsid w:val="4CD15729"/>
    <w:rsid w:val="4CDB6BA9"/>
    <w:rsid w:val="4CDD7C2A"/>
    <w:rsid w:val="4CE23492"/>
    <w:rsid w:val="4CEC648D"/>
    <w:rsid w:val="4CFB27A6"/>
    <w:rsid w:val="4CFB6302"/>
    <w:rsid w:val="4D01600E"/>
    <w:rsid w:val="4D092E5D"/>
    <w:rsid w:val="4D0B1D33"/>
    <w:rsid w:val="4D204251"/>
    <w:rsid w:val="4D2E66D8"/>
    <w:rsid w:val="4D3009AC"/>
    <w:rsid w:val="4D357A66"/>
    <w:rsid w:val="4D470EE5"/>
    <w:rsid w:val="4D645F55"/>
    <w:rsid w:val="4D720B9D"/>
    <w:rsid w:val="4D794C90"/>
    <w:rsid w:val="4D814A59"/>
    <w:rsid w:val="4D87403A"/>
    <w:rsid w:val="4D875DE8"/>
    <w:rsid w:val="4D8B138C"/>
    <w:rsid w:val="4D930C30"/>
    <w:rsid w:val="4D990842"/>
    <w:rsid w:val="4DA04FEC"/>
    <w:rsid w:val="4DB90697"/>
    <w:rsid w:val="4DD90246"/>
    <w:rsid w:val="4DDF3E76"/>
    <w:rsid w:val="4DE724EA"/>
    <w:rsid w:val="4DEC0901"/>
    <w:rsid w:val="4DF247F1"/>
    <w:rsid w:val="4E0B07C7"/>
    <w:rsid w:val="4E28581D"/>
    <w:rsid w:val="4E404208"/>
    <w:rsid w:val="4E444D67"/>
    <w:rsid w:val="4E593C28"/>
    <w:rsid w:val="4E5C54C6"/>
    <w:rsid w:val="4E6B5174"/>
    <w:rsid w:val="4E6D1482"/>
    <w:rsid w:val="4E6D2B88"/>
    <w:rsid w:val="4E7D7917"/>
    <w:rsid w:val="4E854E2E"/>
    <w:rsid w:val="4E9B7D9D"/>
    <w:rsid w:val="4EAA6232"/>
    <w:rsid w:val="4EC015B1"/>
    <w:rsid w:val="4EC41512"/>
    <w:rsid w:val="4EC70B92"/>
    <w:rsid w:val="4EE664FB"/>
    <w:rsid w:val="4EEC23A6"/>
    <w:rsid w:val="4EFE1926"/>
    <w:rsid w:val="4F0040A4"/>
    <w:rsid w:val="4F047238"/>
    <w:rsid w:val="4F1428A1"/>
    <w:rsid w:val="4F1E6113"/>
    <w:rsid w:val="4F2553A8"/>
    <w:rsid w:val="4F644633"/>
    <w:rsid w:val="4F6E52BD"/>
    <w:rsid w:val="4F7C169E"/>
    <w:rsid w:val="4F8159F3"/>
    <w:rsid w:val="4F8E3C9C"/>
    <w:rsid w:val="4F9C201E"/>
    <w:rsid w:val="4FA055EF"/>
    <w:rsid w:val="4FA47173"/>
    <w:rsid w:val="4FA8615B"/>
    <w:rsid w:val="4FAF29C1"/>
    <w:rsid w:val="4FB37368"/>
    <w:rsid w:val="4FBE01E7"/>
    <w:rsid w:val="4FE35B43"/>
    <w:rsid w:val="4FE87012"/>
    <w:rsid w:val="50011E81"/>
    <w:rsid w:val="5005420D"/>
    <w:rsid w:val="500A342C"/>
    <w:rsid w:val="50205979"/>
    <w:rsid w:val="50210776"/>
    <w:rsid w:val="5023004A"/>
    <w:rsid w:val="503E30D6"/>
    <w:rsid w:val="50502E09"/>
    <w:rsid w:val="50544866"/>
    <w:rsid w:val="505843D2"/>
    <w:rsid w:val="5070244A"/>
    <w:rsid w:val="50950CB1"/>
    <w:rsid w:val="509D44EB"/>
    <w:rsid w:val="50A078EC"/>
    <w:rsid w:val="50BE6DE5"/>
    <w:rsid w:val="50C10D15"/>
    <w:rsid w:val="50C17863"/>
    <w:rsid w:val="50C4378A"/>
    <w:rsid w:val="50E720C7"/>
    <w:rsid w:val="50EF2622"/>
    <w:rsid w:val="50F814D6"/>
    <w:rsid w:val="511603BC"/>
    <w:rsid w:val="51263104"/>
    <w:rsid w:val="5139564B"/>
    <w:rsid w:val="513B13C3"/>
    <w:rsid w:val="51413CBC"/>
    <w:rsid w:val="51422751"/>
    <w:rsid w:val="514A5AAA"/>
    <w:rsid w:val="514E559A"/>
    <w:rsid w:val="515B0E48"/>
    <w:rsid w:val="515D57DD"/>
    <w:rsid w:val="515E50B1"/>
    <w:rsid w:val="51654692"/>
    <w:rsid w:val="51656D01"/>
    <w:rsid w:val="519B00B4"/>
    <w:rsid w:val="51AC22C1"/>
    <w:rsid w:val="51B01DB1"/>
    <w:rsid w:val="51B55619"/>
    <w:rsid w:val="51B954BA"/>
    <w:rsid w:val="520F0216"/>
    <w:rsid w:val="522307D5"/>
    <w:rsid w:val="522D5360"/>
    <w:rsid w:val="52326C6A"/>
    <w:rsid w:val="5248023B"/>
    <w:rsid w:val="525E7D2B"/>
    <w:rsid w:val="529A68C0"/>
    <w:rsid w:val="52AD1B20"/>
    <w:rsid w:val="52AD2E9B"/>
    <w:rsid w:val="52C04276"/>
    <w:rsid w:val="52C673B2"/>
    <w:rsid w:val="52CB49C9"/>
    <w:rsid w:val="52CC1B65"/>
    <w:rsid w:val="52DF6735"/>
    <w:rsid w:val="52E71DAC"/>
    <w:rsid w:val="52FC4B82"/>
    <w:rsid w:val="5308102A"/>
    <w:rsid w:val="5311062D"/>
    <w:rsid w:val="532A5B93"/>
    <w:rsid w:val="532B4FCF"/>
    <w:rsid w:val="53511743"/>
    <w:rsid w:val="53530C46"/>
    <w:rsid w:val="5363025D"/>
    <w:rsid w:val="53634C01"/>
    <w:rsid w:val="5388755E"/>
    <w:rsid w:val="538D3430"/>
    <w:rsid w:val="53933738"/>
    <w:rsid w:val="53AA2830"/>
    <w:rsid w:val="53B51901"/>
    <w:rsid w:val="53BD42D4"/>
    <w:rsid w:val="53C8762D"/>
    <w:rsid w:val="53D578AD"/>
    <w:rsid w:val="53E43F94"/>
    <w:rsid w:val="53F3675D"/>
    <w:rsid w:val="54071A30"/>
    <w:rsid w:val="541A68A8"/>
    <w:rsid w:val="54422A68"/>
    <w:rsid w:val="544D23A4"/>
    <w:rsid w:val="546926EB"/>
    <w:rsid w:val="549332C4"/>
    <w:rsid w:val="54B9117B"/>
    <w:rsid w:val="54BF40B9"/>
    <w:rsid w:val="54C75AC3"/>
    <w:rsid w:val="54CC67D1"/>
    <w:rsid w:val="54D47B64"/>
    <w:rsid w:val="54D74270"/>
    <w:rsid w:val="54ED6E78"/>
    <w:rsid w:val="55020B76"/>
    <w:rsid w:val="550A56AF"/>
    <w:rsid w:val="550C1AC2"/>
    <w:rsid w:val="55223452"/>
    <w:rsid w:val="552F56E3"/>
    <w:rsid w:val="554A1B79"/>
    <w:rsid w:val="55664405"/>
    <w:rsid w:val="556A2277"/>
    <w:rsid w:val="556D11D3"/>
    <w:rsid w:val="55717AA9"/>
    <w:rsid w:val="5579695E"/>
    <w:rsid w:val="557B0928"/>
    <w:rsid w:val="55904953"/>
    <w:rsid w:val="55A21A11"/>
    <w:rsid w:val="55A27C63"/>
    <w:rsid w:val="55CA0F67"/>
    <w:rsid w:val="55CC1183"/>
    <w:rsid w:val="55E97640"/>
    <w:rsid w:val="55FB670D"/>
    <w:rsid w:val="55FD30EB"/>
    <w:rsid w:val="5606767B"/>
    <w:rsid w:val="56156687"/>
    <w:rsid w:val="56290384"/>
    <w:rsid w:val="562C39D0"/>
    <w:rsid w:val="56310FE7"/>
    <w:rsid w:val="56365C53"/>
    <w:rsid w:val="56530F5D"/>
    <w:rsid w:val="567D7EB1"/>
    <w:rsid w:val="568129C5"/>
    <w:rsid w:val="568D446F"/>
    <w:rsid w:val="569A6B8C"/>
    <w:rsid w:val="56C360E3"/>
    <w:rsid w:val="56C836F9"/>
    <w:rsid w:val="56F91B04"/>
    <w:rsid w:val="570010E5"/>
    <w:rsid w:val="57016323"/>
    <w:rsid w:val="57033D7A"/>
    <w:rsid w:val="570A5ABF"/>
    <w:rsid w:val="5717642E"/>
    <w:rsid w:val="573E4B9B"/>
    <w:rsid w:val="574014E1"/>
    <w:rsid w:val="574F64D5"/>
    <w:rsid w:val="578B7668"/>
    <w:rsid w:val="578C4726"/>
    <w:rsid w:val="579A3366"/>
    <w:rsid w:val="57A51C8C"/>
    <w:rsid w:val="57AD15B5"/>
    <w:rsid w:val="57BE4AFC"/>
    <w:rsid w:val="57C9597B"/>
    <w:rsid w:val="57D12A81"/>
    <w:rsid w:val="57E62B94"/>
    <w:rsid w:val="57FA3D86"/>
    <w:rsid w:val="57FB0567"/>
    <w:rsid w:val="582207E2"/>
    <w:rsid w:val="583152CE"/>
    <w:rsid w:val="583F5C3D"/>
    <w:rsid w:val="584D6E4D"/>
    <w:rsid w:val="5856711A"/>
    <w:rsid w:val="586B6A32"/>
    <w:rsid w:val="58817B7F"/>
    <w:rsid w:val="58825B29"/>
    <w:rsid w:val="58A27F7A"/>
    <w:rsid w:val="58C148A4"/>
    <w:rsid w:val="58E80082"/>
    <w:rsid w:val="58E8549B"/>
    <w:rsid w:val="58E92FCC"/>
    <w:rsid w:val="58F534B4"/>
    <w:rsid w:val="590B3D71"/>
    <w:rsid w:val="59182D00"/>
    <w:rsid w:val="59276802"/>
    <w:rsid w:val="592A41E1"/>
    <w:rsid w:val="593438E7"/>
    <w:rsid w:val="59350C74"/>
    <w:rsid w:val="5947124D"/>
    <w:rsid w:val="59653481"/>
    <w:rsid w:val="596F287D"/>
    <w:rsid w:val="59831B59"/>
    <w:rsid w:val="598F49A2"/>
    <w:rsid w:val="59A35D36"/>
    <w:rsid w:val="59AF294E"/>
    <w:rsid w:val="59B60181"/>
    <w:rsid w:val="59D46859"/>
    <w:rsid w:val="59D95C1D"/>
    <w:rsid w:val="59F45A45"/>
    <w:rsid w:val="5A02006D"/>
    <w:rsid w:val="5A3F3FCC"/>
    <w:rsid w:val="5A647BDD"/>
    <w:rsid w:val="5A753DA0"/>
    <w:rsid w:val="5AA247F9"/>
    <w:rsid w:val="5AA9356E"/>
    <w:rsid w:val="5ADE798F"/>
    <w:rsid w:val="5AE7099A"/>
    <w:rsid w:val="5AED7BD2"/>
    <w:rsid w:val="5B0942E0"/>
    <w:rsid w:val="5B102138"/>
    <w:rsid w:val="5B10566E"/>
    <w:rsid w:val="5B13130F"/>
    <w:rsid w:val="5B1A029B"/>
    <w:rsid w:val="5B215ACE"/>
    <w:rsid w:val="5B2859AE"/>
    <w:rsid w:val="5B2F01EA"/>
    <w:rsid w:val="5B404EA8"/>
    <w:rsid w:val="5B4850E1"/>
    <w:rsid w:val="5B4D6C51"/>
    <w:rsid w:val="5B55086C"/>
    <w:rsid w:val="5B5E287E"/>
    <w:rsid w:val="5B83409A"/>
    <w:rsid w:val="5B8816A9"/>
    <w:rsid w:val="5B995664"/>
    <w:rsid w:val="5BB701E0"/>
    <w:rsid w:val="5BC87CF7"/>
    <w:rsid w:val="5BE70A6D"/>
    <w:rsid w:val="5BEB8729"/>
    <w:rsid w:val="5BEE3995"/>
    <w:rsid w:val="5C476EBF"/>
    <w:rsid w:val="5C4E4A57"/>
    <w:rsid w:val="5C515F3F"/>
    <w:rsid w:val="5C5872CD"/>
    <w:rsid w:val="5C675762"/>
    <w:rsid w:val="5C966047"/>
    <w:rsid w:val="5CA90A11"/>
    <w:rsid w:val="5CAC60B8"/>
    <w:rsid w:val="5CAE75C8"/>
    <w:rsid w:val="5CAF2C65"/>
    <w:rsid w:val="5CCC1A69"/>
    <w:rsid w:val="5CCE57E1"/>
    <w:rsid w:val="5CD54DC2"/>
    <w:rsid w:val="5CEE19DF"/>
    <w:rsid w:val="5D0B43E0"/>
    <w:rsid w:val="5D1256CE"/>
    <w:rsid w:val="5D2657D9"/>
    <w:rsid w:val="5D284EF1"/>
    <w:rsid w:val="5D2C42B6"/>
    <w:rsid w:val="5D2D68A7"/>
    <w:rsid w:val="5D4133FD"/>
    <w:rsid w:val="5D447851"/>
    <w:rsid w:val="5D5645FC"/>
    <w:rsid w:val="5D796DCF"/>
    <w:rsid w:val="5D8353B4"/>
    <w:rsid w:val="5D9407D9"/>
    <w:rsid w:val="5D9C143B"/>
    <w:rsid w:val="5DBE5856"/>
    <w:rsid w:val="5DC7295C"/>
    <w:rsid w:val="5DCA244C"/>
    <w:rsid w:val="5E0D40E7"/>
    <w:rsid w:val="5E1B6804"/>
    <w:rsid w:val="5E225DE5"/>
    <w:rsid w:val="5E4443F8"/>
    <w:rsid w:val="5E4749DA"/>
    <w:rsid w:val="5E7423B8"/>
    <w:rsid w:val="5E895E64"/>
    <w:rsid w:val="5E9071F2"/>
    <w:rsid w:val="5EB36A3D"/>
    <w:rsid w:val="5EBB7FE7"/>
    <w:rsid w:val="5EC55BA3"/>
    <w:rsid w:val="5EE17A4E"/>
    <w:rsid w:val="5F062D3D"/>
    <w:rsid w:val="5F21609C"/>
    <w:rsid w:val="5F311DE6"/>
    <w:rsid w:val="5F3534DC"/>
    <w:rsid w:val="5F44309B"/>
    <w:rsid w:val="5F445BE9"/>
    <w:rsid w:val="5F4613C6"/>
    <w:rsid w:val="5F720C17"/>
    <w:rsid w:val="5F773F0E"/>
    <w:rsid w:val="5FAD16DE"/>
    <w:rsid w:val="5FAD7930"/>
    <w:rsid w:val="5FB816B4"/>
    <w:rsid w:val="5FCA04E2"/>
    <w:rsid w:val="5FCD6066"/>
    <w:rsid w:val="5FCE450D"/>
    <w:rsid w:val="5FF77A93"/>
    <w:rsid w:val="60011A2A"/>
    <w:rsid w:val="60016769"/>
    <w:rsid w:val="600F4552"/>
    <w:rsid w:val="60213E7A"/>
    <w:rsid w:val="605A034C"/>
    <w:rsid w:val="6062696C"/>
    <w:rsid w:val="606C3347"/>
    <w:rsid w:val="6073066C"/>
    <w:rsid w:val="607C109C"/>
    <w:rsid w:val="607E12CC"/>
    <w:rsid w:val="6098238E"/>
    <w:rsid w:val="60A01243"/>
    <w:rsid w:val="60AF76D8"/>
    <w:rsid w:val="6115578D"/>
    <w:rsid w:val="611759A9"/>
    <w:rsid w:val="611B6B1B"/>
    <w:rsid w:val="611D6D37"/>
    <w:rsid w:val="61330309"/>
    <w:rsid w:val="61380253"/>
    <w:rsid w:val="613C71BD"/>
    <w:rsid w:val="613D4CE3"/>
    <w:rsid w:val="613F280A"/>
    <w:rsid w:val="614B7400"/>
    <w:rsid w:val="614D76C6"/>
    <w:rsid w:val="61534507"/>
    <w:rsid w:val="61616C24"/>
    <w:rsid w:val="61643B1B"/>
    <w:rsid w:val="617C3A5E"/>
    <w:rsid w:val="618648DC"/>
    <w:rsid w:val="6186668A"/>
    <w:rsid w:val="618925DC"/>
    <w:rsid w:val="61894A6C"/>
    <w:rsid w:val="61902534"/>
    <w:rsid w:val="61923281"/>
    <w:rsid w:val="61964177"/>
    <w:rsid w:val="619C1A0A"/>
    <w:rsid w:val="619C4100"/>
    <w:rsid w:val="619E5802"/>
    <w:rsid w:val="61BB4A54"/>
    <w:rsid w:val="61BD42A9"/>
    <w:rsid w:val="61E805AF"/>
    <w:rsid w:val="61F93380"/>
    <w:rsid w:val="61FC621E"/>
    <w:rsid w:val="620C3034"/>
    <w:rsid w:val="620E7D07"/>
    <w:rsid w:val="621023F8"/>
    <w:rsid w:val="62216AA8"/>
    <w:rsid w:val="623D2A44"/>
    <w:rsid w:val="623E36DF"/>
    <w:rsid w:val="6256605D"/>
    <w:rsid w:val="62816E52"/>
    <w:rsid w:val="62870B3D"/>
    <w:rsid w:val="62894684"/>
    <w:rsid w:val="628E2F58"/>
    <w:rsid w:val="629B40F7"/>
    <w:rsid w:val="62A212A2"/>
    <w:rsid w:val="62A73AFF"/>
    <w:rsid w:val="62B650D2"/>
    <w:rsid w:val="62D438AB"/>
    <w:rsid w:val="62F12229"/>
    <w:rsid w:val="630755A9"/>
    <w:rsid w:val="63217C42"/>
    <w:rsid w:val="6324615B"/>
    <w:rsid w:val="6341642D"/>
    <w:rsid w:val="634B661E"/>
    <w:rsid w:val="634C56B2"/>
    <w:rsid w:val="635C1D12"/>
    <w:rsid w:val="636530F4"/>
    <w:rsid w:val="6376734C"/>
    <w:rsid w:val="637A27E6"/>
    <w:rsid w:val="63905702"/>
    <w:rsid w:val="639D7CBB"/>
    <w:rsid w:val="63A96660"/>
    <w:rsid w:val="63B219B9"/>
    <w:rsid w:val="63B76FCF"/>
    <w:rsid w:val="63CD2E22"/>
    <w:rsid w:val="63E458EA"/>
    <w:rsid w:val="640C05C3"/>
    <w:rsid w:val="640F6E0B"/>
    <w:rsid w:val="641A106C"/>
    <w:rsid w:val="641E2BAA"/>
    <w:rsid w:val="64281C7B"/>
    <w:rsid w:val="64395C36"/>
    <w:rsid w:val="643979E4"/>
    <w:rsid w:val="64487A2E"/>
    <w:rsid w:val="6454481E"/>
    <w:rsid w:val="64662CCF"/>
    <w:rsid w:val="64772072"/>
    <w:rsid w:val="647D59F7"/>
    <w:rsid w:val="648F33BC"/>
    <w:rsid w:val="64AF2F77"/>
    <w:rsid w:val="64BB409E"/>
    <w:rsid w:val="64E5191A"/>
    <w:rsid w:val="64E77BDA"/>
    <w:rsid w:val="64EC6D0D"/>
    <w:rsid w:val="64F32289"/>
    <w:rsid w:val="64F5184A"/>
    <w:rsid w:val="651F307E"/>
    <w:rsid w:val="65385EEE"/>
    <w:rsid w:val="65505937"/>
    <w:rsid w:val="655A2308"/>
    <w:rsid w:val="657C6025"/>
    <w:rsid w:val="658B0713"/>
    <w:rsid w:val="659437C5"/>
    <w:rsid w:val="65963478"/>
    <w:rsid w:val="659D3FA3"/>
    <w:rsid w:val="65B06250"/>
    <w:rsid w:val="65B17A4E"/>
    <w:rsid w:val="65B25CA0"/>
    <w:rsid w:val="65CB0B10"/>
    <w:rsid w:val="65D6216D"/>
    <w:rsid w:val="65D969F1"/>
    <w:rsid w:val="65F22540"/>
    <w:rsid w:val="6608394C"/>
    <w:rsid w:val="661834F1"/>
    <w:rsid w:val="661A2741"/>
    <w:rsid w:val="663A3EE7"/>
    <w:rsid w:val="66410DD2"/>
    <w:rsid w:val="664B1C51"/>
    <w:rsid w:val="66862C89"/>
    <w:rsid w:val="669F16A9"/>
    <w:rsid w:val="66B55EF1"/>
    <w:rsid w:val="66CF2882"/>
    <w:rsid w:val="66E642FE"/>
    <w:rsid w:val="67065B78"/>
    <w:rsid w:val="674212A6"/>
    <w:rsid w:val="674F751F"/>
    <w:rsid w:val="67535261"/>
    <w:rsid w:val="67672A43"/>
    <w:rsid w:val="67792932"/>
    <w:rsid w:val="67982C74"/>
    <w:rsid w:val="67AB0BF9"/>
    <w:rsid w:val="67DF6AF4"/>
    <w:rsid w:val="67FB4706"/>
    <w:rsid w:val="68037C35"/>
    <w:rsid w:val="681349F0"/>
    <w:rsid w:val="682866CF"/>
    <w:rsid w:val="683618B2"/>
    <w:rsid w:val="68490412"/>
    <w:rsid w:val="68550B65"/>
    <w:rsid w:val="685F7C35"/>
    <w:rsid w:val="68634C04"/>
    <w:rsid w:val="6883617E"/>
    <w:rsid w:val="6897562C"/>
    <w:rsid w:val="689C69F1"/>
    <w:rsid w:val="68A467A0"/>
    <w:rsid w:val="68AB69D7"/>
    <w:rsid w:val="68BA59E1"/>
    <w:rsid w:val="68C46582"/>
    <w:rsid w:val="68E31F3D"/>
    <w:rsid w:val="68E36170"/>
    <w:rsid w:val="68EA39A3"/>
    <w:rsid w:val="68ED1D1D"/>
    <w:rsid w:val="68ED6FEF"/>
    <w:rsid w:val="68FE2FAA"/>
    <w:rsid w:val="690E2FBD"/>
    <w:rsid w:val="6917406C"/>
    <w:rsid w:val="69181B01"/>
    <w:rsid w:val="69392234"/>
    <w:rsid w:val="693F458D"/>
    <w:rsid w:val="69513A22"/>
    <w:rsid w:val="69573BBA"/>
    <w:rsid w:val="6958090C"/>
    <w:rsid w:val="696978DD"/>
    <w:rsid w:val="69787200"/>
    <w:rsid w:val="697D65C5"/>
    <w:rsid w:val="698E7A0E"/>
    <w:rsid w:val="699B2EEF"/>
    <w:rsid w:val="69AF1350"/>
    <w:rsid w:val="69D106BF"/>
    <w:rsid w:val="69F13CCB"/>
    <w:rsid w:val="6A0171F6"/>
    <w:rsid w:val="6A021646"/>
    <w:rsid w:val="6A026ACA"/>
    <w:rsid w:val="6A0445F0"/>
    <w:rsid w:val="6A0D5B9B"/>
    <w:rsid w:val="6A102F95"/>
    <w:rsid w:val="6A162576"/>
    <w:rsid w:val="6A20425E"/>
    <w:rsid w:val="6A244627"/>
    <w:rsid w:val="6A2E1B69"/>
    <w:rsid w:val="6A345EB9"/>
    <w:rsid w:val="6A374135"/>
    <w:rsid w:val="6A513983"/>
    <w:rsid w:val="6A5D01A4"/>
    <w:rsid w:val="6A6B2E84"/>
    <w:rsid w:val="6A6D03E7"/>
    <w:rsid w:val="6A89565C"/>
    <w:rsid w:val="6A90087F"/>
    <w:rsid w:val="6A95793E"/>
    <w:rsid w:val="6AC6443E"/>
    <w:rsid w:val="6AC67AF8"/>
    <w:rsid w:val="6B296741"/>
    <w:rsid w:val="6B347157"/>
    <w:rsid w:val="6B3E7FD6"/>
    <w:rsid w:val="6B5670CE"/>
    <w:rsid w:val="6B570EC0"/>
    <w:rsid w:val="6B59396D"/>
    <w:rsid w:val="6B5E5F82"/>
    <w:rsid w:val="6B623CC4"/>
    <w:rsid w:val="6B721A2E"/>
    <w:rsid w:val="6B760662"/>
    <w:rsid w:val="6B8A4FC9"/>
    <w:rsid w:val="6B905DD2"/>
    <w:rsid w:val="6B9F6CA0"/>
    <w:rsid w:val="6B9F6CC6"/>
    <w:rsid w:val="6B9F79B8"/>
    <w:rsid w:val="6BBB5F54"/>
    <w:rsid w:val="6BBE4C73"/>
    <w:rsid w:val="6BC82EDF"/>
    <w:rsid w:val="6BE324CC"/>
    <w:rsid w:val="6BF97D99"/>
    <w:rsid w:val="6BFA3EFD"/>
    <w:rsid w:val="6BFD579B"/>
    <w:rsid w:val="6C0905E4"/>
    <w:rsid w:val="6C0A7EB8"/>
    <w:rsid w:val="6C194C37"/>
    <w:rsid w:val="6C270A6A"/>
    <w:rsid w:val="6C4827A5"/>
    <w:rsid w:val="6C57134F"/>
    <w:rsid w:val="6C580C23"/>
    <w:rsid w:val="6C613F7C"/>
    <w:rsid w:val="6C702D7A"/>
    <w:rsid w:val="6C723BC9"/>
    <w:rsid w:val="6C783974"/>
    <w:rsid w:val="6C835AF9"/>
    <w:rsid w:val="6C941525"/>
    <w:rsid w:val="6C97174C"/>
    <w:rsid w:val="6CB5703F"/>
    <w:rsid w:val="6CB612A7"/>
    <w:rsid w:val="6CB95B66"/>
    <w:rsid w:val="6CC0027B"/>
    <w:rsid w:val="6CC60283"/>
    <w:rsid w:val="6CCB7647"/>
    <w:rsid w:val="6CDD51DA"/>
    <w:rsid w:val="6CEA21C3"/>
    <w:rsid w:val="6D1624B9"/>
    <w:rsid w:val="6D350D33"/>
    <w:rsid w:val="6D390A55"/>
    <w:rsid w:val="6D463172"/>
    <w:rsid w:val="6D535D61"/>
    <w:rsid w:val="6DBB1A9B"/>
    <w:rsid w:val="6DC1102D"/>
    <w:rsid w:val="6DC20A4A"/>
    <w:rsid w:val="6DCC3138"/>
    <w:rsid w:val="6DD62748"/>
    <w:rsid w:val="6DDD5884"/>
    <w:rsid w:val="6DDE33AA"/>
    <w:rsid w:val="6DF226DB"/>
    <w:rsid w:val="6DF306BB"/>
    <w:rsid w:val="6DFD7CD4"/>
    <w:rsid w:val="6E001573"/>
    <w:rsid w:val="6E360A4F"/>
    <w:rsid w:val="6E364482"/>
    <w:rsid w:val="6E493DC7"/>
    <w:rsid w:val="6E697118"/>
    <w:rsid w:val="6E704852"/>
    <w:rsid w:val="6E7066F8"/>
    <w:rsid w:val="6E737F96"/>
    <w:rsid w:val="6E82467D"/>
    <w:rsid w:val="6E95544B"/>
    <w:rsid w:val="6EB10C80"/>
    <w:rsid w:val="6EB20ABF"/>
    <w:rsid w:val="6EB4604E"/>
    <w:rsid w:val="6EC94415"/>
    <w:rsid w:val="6ECE1671"/>
    <w:rsid w:val="6EF40615"/>
    <w:rsid w:val="6EF712B7"/>
    <w:rsid w:val="6F120007"/>
    <w:rsid w:val="6F1654F2"/>
    <w:rsid w:val="6F3E05A4"/>
    <w:rsid w:val="6F411E43"/>
    <w:rsid w:val="6F44235F"/>
    <w:rsid w:val="6F5602A9"/>
    <w:rsid w:val="6F5953DE"/>
    <w:rsid w:val="6F7C2E7B"/>
    <w:rsid w:val="6F8A09F4"/>
    <w:rsid w:val="6FB23319"/>
    <w:rsid w:val="6FBC49BA"/>
    <w:rsid w:val="6FC11EA3"/>
    <w:rsid w:val="6FC14BE6"/>
    <w:rsid w:val="70057314"/>
    <w:rsid w:val="701D465E"/>
    <w:rsid w:val="70331B76"/>
    <w:rsid w:val="703F2826"/>
    <w:rsid w:val="70512559"/>
    <w:rsid w:val="705876E0"/>
    <w:rsid w:val="70656F3D"/>
    <w:rsid w:val="70666005"/>
    <w:rsid w:val="706C2EEF"/>
    <w:rsid w:val="70716758"/>
    <w:rsid w:val="70756248"/>
    <w:rsid w:val="70787AE6"/>
    <w:rsid w:val="708244C1"/>
    <w:rsid w:val="708C533F"/>
    <w:rsid w:val="70BB79D3"/>
    <w:rsid w:val="70BD7BEF"/>
    <w:rsid w:val="70C0289D"/>
    <w:rsid w:val="70D97FA7"/>
    <w:rsid w:val="710A68CB"/>
    <w:rsid w:val="710F4C54"/>
    <w:rsid w:val="71211781"/>
    <w:rsid w:val="712E574D"/>
    <w:rsid w:val="714E7A95"/>
    <w:rsid w:val="715A543E"/>
    <w:rsid w:val="716418D2"/>
    <w:rsid w:val="716D5171"/>
    <w:rsid w:val="71716B9F"/>
    <w:rsid w:val="718304F0"/>
    <w:rsid w:val="71883D59"/>
    <w:rsid w:val="718D75C1"/>
    <w:rsid w:val="71A37770"/>
    <w:rsid w:val="71AD2E05"/>
    <w:rsid w:val="71CA611F"/>
    <w:rsid w:val="71FE3596"/>
    <w:rsid w:val="720535FB"/>
    <w:rsid w:val="721645D1"/>
    <w:rsid w:val="72267847"/>
    <w:rsid w:val="72292BC2"/>
    <w:rsid w:val="722A3062"/>
    <w:rsid w:val="722D66AE"/>
    <w:rsid w:val="724A0C4D"/>
    <w:rsid w:val="72534367"/>
    <w:rsid w:val="7258197D"/>
    <w:rsid w:val="72646574"/>
    <w:rsid w:val="72780A82"/>
    <w:rsid w:val="727D0249"/>
    <w:rsid w:val="728C5ACB"/>
    <w:rsid w:val="72AB0930"/>
    <w:rsid w:val="72AE3C93"/>
    <w:rsid w:val="72BB1F0C"/>
    <w:rsid w:val="72C15774"/>
    <w:rsid w:val="73092C1E"/>
    <w:rsid w:val="731A7BDB"/>
    <w:rsid w:val="732469F1"/>
    <w:rsid w:val="732C36C7"/>
    <w:rsid w:val="733028FA"/>
    <w:rsid w:val="733A72D5"/>
    <w:rsid w:val="733C4DFB"/>
    <w:rsid w:val="73702CF6"/>
    <w:rsid w:val="73830C7C"/>
    <w:rsid w:val="73835CCC"/>
    <w:rsid w:val="73947E10"/>
    <w:rsid w:val="739719D5"/>
    <w:rsid w:val="73C3376E"/>
    <w:rsid w:val="73CF2113"/>
    <w:rsid w:val="73EF00BF"/>
    <w:rsid w:val="73F25E01"/>
    <w:rsid w:val="73F92CEC"/>
    <w:rsid w:val="741B5358"/>
    <w:rsid w:val="74373814"/>
    <w:rsid w:val="74387230"/>
    <w:rsid w:val="74416441"/>
    <w:rsid w:val="747800B5"/>
    <w:rsid w:val="74D07EF1"/>
    <w:rsid w:val="74D47A9C"/>
    <w:rsid w:val="74E13026"/>
    <w:rsid w:val="75091655"/>
    <w:rsid w:val="752E77EF"/>
    <w:rsid w:val="753C5E4D"/>
    <w:rsid w:val="75563DE9"/>
    <w:rsid w:val="755A763E"/>
    <w:rsid w:val="755F39BE"/>
    <w:rsid w:val="75610E2D"/>
    <w:rsid w:val="756465D2"/>
    <w:rsid w:val="75715150"/>
    <w:rsid w:val="75790588"/>
    <w:rsid w:val="757F4E35"/>
    <w:rsid w:val="75976C60"/>
    <w:rsid w:val="759E7FEF"/>
    <w:rsid w:val="75B72E5F"/>
    <w:rsid w:val="75E30078"/>
    <w:rsid w:val="75E4177A"/>
    <w:rsid w:val="75F74F42"/>
    <w:rsid w:val="75FC2F67"/>
    <w:rsid w:val="76197675"/>
    <w:rsid w:val="763573B4"/>
    <w:rsid w:val="763B583E"/>
    <w:rsid w:val="764346F2"/>
    <w:rsid w:val="76483EDB"/>
    <w:rsid w:val="76562678"/>
    <w:rsid w:val="765C6FAE"/>
    <w:rsid w:val="76757DE8"/>
    <w:rsid w:val="7679296C"/>
    <w:rsid w:val="76793371"/>
    <w:rsid w:val="768327DD"/>
    <w:rsid w:val="7694643F"/>
    <w:rsid w:val="76A84CD5"/>
    <w:rsid w:val="76AA31C5"/>
    <w:rsid w:val="76AA6412"/>
    <w:rsid w:val="76B23590"/>
    <w:rsid w:val="770F7CB8"/>
    <w:rsid w:val="771D3564"/>
    <w:rsid w:val="77642B72"/>
    <w:rsid w:val="777D3C34"/>
    <w:rsid w:val="779A47E6"/>
    <w:rsid w:val="779A6594"/>
    <w:rsid w:val="779E6EF8"/>
    <w:rsid w:val="77A6360E"/>
    <w:rsid w:val="77AD4519"/>
    <w:rsid w:val="77B8724A"/>
    <w:rsid w:val="77C5141D"/>
    <w:rsid w:val="77DA2E34"/>
    <w:rsid w:val="77E36E82"/>
    <w:rsid w:val="77F959B0"/>
    <w:rsid w:val="78166313"/>
    <w:rsid w:val="781E0F73"/>
    <w:rsid w:val="7826607A"/>
    <w:rsid w:val="78453AA6"/>
    <w:rsid w:val="78467DA2"/>
    <w:rsid w:val="784D2D5B"/>
    <w:rsid w:val="78502742"/>
    <w:rsid w:val="786120E9"/>
    <w:rsid w:val="78765F3C"/>
    <w:rsid w:val="787B0173"/>
    <w:rsid w:val="78870B75"/>
    <w:rsid w:val="78965B2F"/>
    <w:rsid w:val="78A3591C"/>
    <w:rsid w:val="78AA6C17"/>
    <w:rsid w:val="78AE505E"/>
    <w:rsid w:val="78E730C6"/>
    <w:rsid w:val="79020895"/>
    <w:rsid w:val="790939D1"/>
    <w:rsid w:val="79112886"/>
    <w:rsid w:val="7915769B"/>
    <w:rsid w:val="7939729E"/>
    <w:rsid w:val="79524EF1"/>
    <w:rsid w:val="795F5CE7"/>
    <w:rsid w:val="79672514"/>
    <w:rsid w:val="79907C4E"/>
    <w:rsid w:val="79967EBE"/>
    <w:rsid w:val="799C2A97"/>
    <w:rsid w:val="79A951B4"/>
    <w:rsid w:val="79BD47BC"/>
    <w:rsid w:val="79C8388C"/>
    <w:rsid w:val="79D815F5"/>
    <w:rsid w:val="79FF3026"/>
    <w:rsid w:val="7A0C6749"/>
    <w:rsid w:val="7A177C5F"/>
    <w:rsid w:val="7A262361"/>
    <w:rsid w:val="7A291E51"/>
    <w:rsid w:val="7A2E1215"/>
    <w:rsid w:val="7A344A7E"/>
    <w:rsid w:val="7A4128EC"/>
    <w:rsid w:val="7A4D2F57"/>
    <w:rsid w:val="7A4F7B0A"/>
    <w:rsid w:val="7A603AC5"/>
    <w:rsid w:val="7A7E3063"/>
    <w:rsid w:val="7A9311AC"/>
    <w:rsid w:val="7A9569B1"/>
    <w:rsid w:val="7AA1561D"/>
    <w:rsid w:val="7AAC3BAD"/>
    <w:rsid w:val="7AD1051F"/>
    <w:rsid w:val="7AD324E9"/>
    <w:rsid w:val="7AE17C60"/>
    <w:rsid w:val="7AF64768"/>
    <w:rsid w:val="7B0B6947"/>
    <w:rsid w:val="7B136D89"/>
    <w:rsid w:val="7B2F4DDF"/>
    <w:rsid w:val="7B42766E"/>
    <w:rsid w:val="7B647318"/>
    <w:rsid w:val="7B783090"/>
    <w:rsid w:val="7B8B4B71"/>
    <w:rsid w:val="7BA3183D"/>
    <w:rsid w:val="7BBC11CF"/>
    <w:rsid w:val="7BBD4F47"/>
    <w:rsid w:val="7BC72716"/>
    <w:rsid w:val="7BC77B74"/>
    <w:rsid w:val="7BCF19F9"/>
    <w:rsid w:val="7BDC717B"/>
    <w:rsid w:val="7BEEF20D"/>
    <w:rsid w:val="7BFC5C78"/>
    <w:rsid w:val="7C091F3A"/>
    <w:rsid w:val="7C2A2F43"/>
    <w:rsid w:val="7C2C027F"/>
    <w:rsid w:val="7C3D3FF9"/>
    <w:rsid w:val="7C594166"/>
    <w:rsid w:val="7C707B9F"/>
    <w:rsid w:val="7C9570F1"/>
    <w:rsid w:val="7C9C4B5C"/>
    <w:rsid w:val="7CA852AF"/>
    <w:rsid w:val="7CAC4E06"/>
    <w:rsid w:val="7CAD4A24"/>
    <w:rsid w:val="7CB63E70"/>
    <w:rsid w:val="7CC11DDE"/>
    <w:rsid w:val="7CD23A13"/>
    <w:rsid w:val="7CD42548"/>
    <w:rsid w:val="7CE64029"/>
    <w:rsid w:val="7CFB45A5"/>
    <w:rsid w:val="7D0122A1"/>
    <w:rsid w:val="7D0522BD"/>
    <w:rsid w:val="7D0C3A90"/>
    <w:rsid w:val="7D1D58A4"/>
    <w:rsid w:val="7D2232B3"/>
    <w:rsid w:val="7D3B088B"/>
    <w:rsid w:val="7D4F1BCF"/>
    <w:rsid w:val="7D545437"/>
    <w:rsid w:val="7D5458F2"/>
    <w:rsid w:val="7D580E3B"/>
    <w:rsid w:val="7D594A83"/>
    <w:rsid w:val="7D5A0C9F"/>
    <w:rsid w:val="7D5B0573"/>
    <w:rsid w:val="7D5E5148"/>
    <w:rsid w:val="7D910EB4"/>
    <w:rsid w:val="7D937D0D"/>
    <w:rsid w:val="7DC0487A"/>
    <w:rsid w:val="7DC600E3"/>
    <w:rsid w:val="7DEE54A3"/>
    <w:rsid w:val="7DEF4AEA"/>
    <w:rsid w:val="7DF764EE"/>
    <w:rsid w:val="7DF84014"/>
    <w:rsid w:val="7E193FE8"/>
    <w:rsid w:val="7E2E3EDA"/>
    <w:rsid w:val="7E301A00"/>
    <w:rsid w:val="7E523669"/>
    <w:rsid w:val="7E53749D"/>
    <w:rsid w:val="7E6247D4"/>
    <w:rsid w:val="7E8C502E"/>
    <w:rsid w:val="7EA30C55"/>
    <w:rsid w:val="7EB735F7"/>
    <w:rsid w:val="7ECD724F"/>
    <w:rsid w:val="7EE13CF1"/>
    <w:rsid w:val="7EE84089"/>
    <w:rsid w:val="7EED169F"/>
    <w:rsid w:val="7EF02F3D"/>
    <w:rsid w:val="7F007624"/>
    <w:rsid w:val="7F0709B3"/>
    <w:rsid w:val="7F1C1F84"/>
    <w:rsid w:val="7F21143C"/>
    <w:rsid w:val="7F2A475C"/>
    <w:rsid w:val="7F34107C"/>
    <w:rsid w:val="7F7F6FE8"/>
    <w:rsid w:val="7F867122"/>
    <w:rsid w:val="7F89761A"/>
    <w:rsid w:val="7F8C6805"/>
    <w:rsid w:val="7FA73F44"/>
    <w:rsid w:val="7FB671DB"/>
    <w:rsid w:val="7FC5602F"/>
    <w:rsid w:val="7FEA47F6"/>
    <w:rsid w:val="7FFB7DEC"/>
    <w:rsid w:val="7FFF5B2E"/>
    <w:rsid w:val="CEC5A8CA"/>
    <w:rsid w:val="CFEF02AF"/>
    <w:rsid w:val="DA5F6331"/>
    <w:rsid w:val="E7E88DBC"/>
    <w:rsid w:val="EBE71639"/>
    <w:rsid w:val="EBFD096B"/>
    <w:rsid w:val="F7E57C21"/>
    <w:rsid w:val="F7FFA0C5"/>
    <w:rsid w:val="FBB772BB"/>
    <w:rsid w:val="FDEFCAE2"/>
    <w:rsid w:val="FF4A79A4"/>
    <w:rsid w:val="FFB74445"/>
    <w:rsid w:val="FFD83D2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qFormat="1" w:unhideWhenUsed="0" w:uiPriority="99" w:semiHidden="0" w:name="index 1"/>
    <w:lsdException w:qFormat="1" w:unhideWhenUsed="0" w:uiPriority="99" w:semiHidden="0" w:name="index 2"/>
    <w:lsdException w:qFormat="1" w:unhideWhenUsed="0" w:uiPriority="99" w:semiHidden="0" w:name="index 3"/>
    <w:lsdException w:qFormat="1" w:unhideWhenUsed="0" w:uiPriority="99" w:semiHidden="0" w:name="index 4"/>
    <w:lsdException w:qFormat="1" w:unhideWhenUsed="0" w:uiPriority="99" w:semiHidden="0" w:name="index 5"/>
    <w:lsdException w:qFormat="1" w:unhideWhenUsed="0" w:uiPriority="99" w:semiHidden="0" w:name="index 6"/>
    <w:lsdException w:qFormat="1" w:unhideWhenUsed="0" w:uiPriority="99" w:semiHidden="0" w:name="index 7"/>
    <w:lsdException w:qFormat="1" w:unhideWhenUsed="0" w:uiPriority="99" w:semiHidden="0" w:name="index 8"/>
    <w:lsdException w:qFormat="1" w:unhideWhenUsed="0" w:uiPriority="99"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9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99"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99" w:semiHidden="0" w:name="index heading"/>
    <w:lsdException w:qFormat="1" w:unhideWhenUsed="0" w:uiPriority="35" w:semiHidden="0" w:name="caption"/>
    <w:lsdException w:uiPriority="99" w:name="table of figures"/>
    <w:lsdException w:uiPriority="99" w:name="envelope address"/>
    <w:lsdException w:uiPriority="99" w:name="envelope return"/>
    <w:lsdException w:qFormat="1" w:unhideWhenUsed="0" w:uiPriority="99" w:semiHidden="0" w:name="footnote reference"/>
    <w:lsdException w:qFormat="1" w:unhideWhenUsed="0" w:uiPriority="99" w:semiHidden="0" w:name="annotation reference"/>
    <w:lsdException w:uiPriority="99" w:name="line number"/>
    <w:lsdException w:qFormat="1" w:unhideWhenUsed="0" w:uiPriority="0" w:semiHidden="0" w:name="page number"/>
    <w:lsdException w:qFormat="1" w:unhideWhenUsed="0" w:uiPriority="99" w:semiHidden="0" w:name="endnote reference"/>
    <w:lsdException w:qFormat="1" w:unhideWhenUsed="0" w:uiPriority="99" w:semiHidden="0" w:name="endnote text"/>
    <w:lsdException w:qFormat="1" w:unhideWhenUsed="0" w:uiPriority="99" w:semiHidden="0" w:name="table of authorities"/>
    <w:lsdException w:uiPriority="99" w:name="macro"/>
    <w:lsdException w:uiPriority="99" w:name="toa heading"/>
    <w:lsdException w:qFormat="1" w:unhideWhenUsed="0" w:uiPriority="99" w:semiHidden="0" w:name="List"/>
    <w:lsdException w:uiPriority="99" w:name="List Bullet"/>
    <w:lsdException w:qFormat="1" w:unhideWhenUsed="0" w:uiPriority="99" w:semiHidden="0" w:name="List Number"/>
    <w:lsdException w:qFormat="1" w:unhideWhenUsed="0"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qFormat="1" w:unhideWhenUsed="0" w:uiPriority="99" w:semiHidden="0"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qFormat="1" w:unhideWhenUsed="0" w:uiPriority="99" w:semiHidden="0" w:name="Body Text First Indent"/>
    <w:lsdException w:qFormat="1" w:unhideWhenUsed="0" w:uiPriority="99" w:semiHidden="0" w:name="Body Text First Indent 2"/>
    <w:lsdException w:uiPriority="99" w:name="Note Heading"/>
    <w:lsdException w:qFormat="1" w:unhideWhenUsed="0" w:uiPriority="99" w:semiHidden="0" w:name="Body Text 2"/>
    <w:lsdException w:qFormat="1" w:unhideWhenUsed="0" w:uiPriority="0" w:semiHidden="0" w:name="Body Text 3"/>
    <w:lsdException w:qFormat="1" w:unhideWhenUsed="0" w:uiPriority="99" w:semiHidden="0" w:name="Body Text Indent 2"/>
    <w:lsdException w:qFormat="1" w:unhideWhenUsed="0" w:uiPriority="99" w:semiHidden="0" w:name="Body Text Indent 3"/>
    <w:lsdException w:qFormat="1" w:unhideWhenUsed="0" w:uiPriority="99"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99"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qFormat="1" w:unhideWhenUsed="0" w:uiPriority="0" w:semiHidden="0" w:name="HTML Address"/>
    <w:lsdException w:uiPriority="99" w:name="HTML Cite"/>
    <w:lsdException w:qFormat="1" w:unhideWhenUsed="0" w:uiPriority="0" w:semiHidden="0" w:name="HTML Code"/>
    <w:lsdException w:uiPriority="99"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39"/>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79"/>
    <w:qFormat/>
    <w:uiPriority w:val="9"/>
    <w:pPr>
      <w:keepNext/>
      <w:keepLines/>
      <w:spacing w:before="260" w:after="260" w:line="416" w:lineRule="auto"/>
      <w:outlineLvl w:val="1"/>
    </w:pPr>
    <w:rPr>
      <w:rFonts w:ascii="Arial" w:hAnsi="Arial" w:eastAsia="黑体"/>
      <w:b/>
      <w:bCs/>
      <w:kern w:val="0"/>
      <w:sz w:val="32"/>
      <w:szCs w:val="32"/>
    </w:rPr>
  </w:style>
  <w:style w:type="paragraph" w:styleId="5">
    <w:name w:val="heading 3"/>
    <w:basedOn w:val="1"/>
    <w:next w:val="1"/>
    <w:link w:val="240"/>
    <w:qFormat/>
    <w:uiPriority w:val="0"/>
    <w:pPr>
      <w:keepNext/>
      <w:keepLines/>
      <w:spacing w:before="260" w:after="260" w:line="416" w:lineRule="auto"/>
      <w:outlineLvl w:val="2"/>
    </w:pPr>
    <w:rPr>
      <w:b/>
      <w:bCs/>
      <w:kern w:val="0"/>
      <w:sz w:val="32"/>
      <w:szCs w:val="32"/>
    </w:rPr>
  </w:style>
  <w:style w:type="paragraph" w:styleId="6">
    <w:name w:val="heading 4"/>
    <w:basedOn w:val="1"/>
    <w:next w:val="1"/>
    <w:link w:val="241"/>
    <w:qFormat/>
    <w:uiPriority w:val="0"/>
    <w:pPr>
      <w:keepNext/>
      <w:keepLines/>
      <w:spacing w:before="280" w:after="290" w:line="376" w:lineRule="auto"/>
      <w:outlineLvl w:val="3"/>
    </w:pPr>
    <w:rPr>
      <w:rFonts w:ascii="等线 Light" w:hAnsi="等线 Light" w:eastAsia="等线 Light"/>
      <w:b/>
      <w:bCs/>
      <w:sz w:val="28"/>
      <w:szCs w:val="28"/>
    </w:rPr>
  </w:style>
  <w:style w:type="paragraph" w:styleId="7">
    <w:name w:val="heading 5"/>
    <w:basedOn w:val="1"/>
    <w:next w:val="1"/>
    <w:link w:val="375"/>
    <w:qFormat/>
    <w:uiPriority w:val="0"/>
    <w:pPr>
      <w:keepNext/>
      <w:keepLines/>
      <w:numPr>
        <w:ilvl w:val="4"/>
        <w:numId w:val="1"/>
      </w:numPr>
      <w:spacing w:before="280" w:after="290" w:line="376" w:lineRule="auto"/>
      <w:outlineLvl w:val="4"/>
    </w:pPr>
    <w:rPr>
      <w:b/>
      <w:sz w:val="28"/>
    </w:rPr>
  </w:style>
  <w:style w:type="paragraph" w:styleId="8">
    <w:name w:val="heading 6"/>
    <w:basedOn w:val="1"/>
    <w:next w:val="9"/>
    <w:link w:val="243"/>
    <w:qFormat/>
    <w:uiPriority w:val="9"/>
    <w:pPr>
      <w:keepNext/>
      <w:keepLines/>
      <w:numPr>
        <w:ilvl w:val="5"/>
        <w:numId w:val="1"/>
      </w:numPr>
      <w:spacing w:before="240" w:after="64" w:line="320" w:lineRule="auto"/>
      <w:outlineLvl w:val="5"/>
    </w:pPr>
    <w:rPr>
      <w:rFonts w:ascii="Arial" w:hAnsi="Arial" w:eastAsia="黑体"/>
      <w:b/>
      <w:sz w:val="24"/>
    </w:rPr>
  </w:style>
  <w:style w:type="paragraph" w:styleId="10">
    <w:name w:val="heading 7"/>
    <w:basedOn w:val="1"/>
    <w:next w:val="9"/>
    <w:link w:val="244"/>
    <w:qFormat/>
    <w:uiPriority w:val="9"/>
    <w:pPr>
      <w:keepNext/>
      <w:keepLines/>
      <w:numPr>
        <w:ilvl w:val="6"/>
        <w:numId w:val="1"/>
      </w:numPr>
      <w:spacing w:before="240" w:after="64" w:line="320" w:lineRule="auto"/>
      <w:outlineLvl w:val="6"/>
    </w:pPr>
    <w:rPr>
      <w:b/>
      <w:sz w:val="24"/>
    </w:rPr>
  </w:style>
  <w:style w:type="paragraph" w:styleId="11">
    <w:name w:val="heading 8"/>
    <w:basedOn w:val="1"/>
    <w:next w:val="9"/>
    <w:link w:val="245"/>
    <w:qFormat/>
    <w:uiPriority w:val="9"/>
    <w:pPr>
      <w:keepNext/>
      <w:keepLines/>
      <w:numPr>
        <w:ilvl w:val="7"/>
        <w:numId w:val="1"/>
      </w:numPr>
      <w:spacing w:before="240" w:after="64" w:line="320" w:lineRule="auto"/>
      <w:outlineLvl w:val="7"/>
    </w:pPr>
    <w:rPr>
      <w:rFonts w:ascii="Arial" w:hAnsi="Arial" w:eastAsia="黑体"/>
      <w:sz w:val="24"/>
    </w:rPr>
  </w:style>
  <w:style w:type="paragraph" w:styleId="12">
    <w:name w:val="heading 9"/>
    <w:basedOn w:val="1"/>
    <w:next w:val="9"/>
    <w:link w:val="246"/>
    <w:qFormat/>
    <w:uiPriority w:val="9"/>
    <w:pPr>
      <w:keepNext/>
      <w:keepLines/>
      <w:numPr>
        <w:ilvl w:val="8"/>
        <w:numId w:val="1"/>
      </w:numPr>
      <w:spacing w:before="240" w:after="64" w:line="320" w:lineRule="auto"/>
      <w:outlineLvl w:val="8"/>
    </w:pPr>
    <w:rPr>
      <w:rFonts w:ascii="Arial" w:hAnsi="Arial" w:eastAsia="黑体"/>
    </w:rPr>
  </w:style>
  <w:style w:type="character" w:default="1" w:styleId="63">
    <w:name w:val="Default Paragraph Font"/>
    <w:semiHidden/>
    <w:unhideWhenUsed/>
    <w:qFormat/>
    <w:uiPriority w:val="1"/>
  </w:style>
  <w:style w:type="table" w:default="1" w:styleId="61">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250"/>
    <w:qFormat/>
    <w:uiPriority w:val="99"/>
    <w:pPr>
      <w:spacing w:line="380" w:lineRule="exact"/>
    </w:pPr>
    <w:rPr>
      <w:kern w:val="0"/>
      <w:sz w:val="24"/>
    </w:rPr>
  </w:style>
  <w:style w:type="paragraph" w:styleId="9">
    <w:name w:val="Normal Indent"/>
    <w:basedOn w:val="1"/>
    <w:qFormat/>
    <w:uiPriority w:val="0"/>
    <w:pPr>
      <w:ind w:firstLine="420"/>
    </w:pPr>
    <w:rPr>
      <w:szCs w:val="20"/>
    </w:rPr>
  </w:style>
  <w:style w:type="paragraph" w:styleId="13">
    <w:name w:val="toc 7"/>
    <w:basedOn w:val="1"/>
    <w:next w:val="1"/>
    <w:qFormat/>
    <w:uiPriority w:val="39"/>
    <w:pPr>
      <w:ind w:left="2520" w:leftChars="1200"/>
    </w:pPr>
    <w:rPr>
      <w:rFonts w:ascii="Calibri" w:hAnsi="Calibri"/>
      <w:szCs w:val="22"/>
    </w:rPr>
  </w:style>
  <w:style w:type="paragraph" w:styleId="14">
    <w:name w:val="table of authorities"/>
    <w:basedOn w:val="1"/>
    <w:next w:val="1"/>
    <w:qFormat/>
    <w:uiPriority w:val="99"/>
    <w:pPr>
      <w:ind w:left="420" w:leftChars="200"/>
    </w:pPr>
  </w:style>
  <w:style w:type="paragraph" w:styleId="15">
    <w:name w:val="index 8"/>
    <w:basedOn w:val="1"/>
    <w:next w:val="1"/>
    <w:qFormat/>
    <w:uiPriority w:val="99"/>
    <w:pPr>
      <w:widowControl/>
      <w:spacing w:before="100" w:after="200" w:line="276" w:lineRule="auto"/>
      <w:ind w:left="1680" w:hanging="210"/>
      <w:jc w:val="left"/>
    </w:pPr>
    <w:rPr>
      <w:rFonts w:ascii="Calibri" w:hAnsi="Calibri" w:eastAsia="楷体_GB2312"/>
      <w:kern w:val="0"/>
      <w:sz w:val="24"/>
      <w:szCs w:val="20"/>
    </w:rPr>
  </w:style>
  <w:style w:type="paragraph" w:styleId="16">
    <w:name w:val="List Number"/>
    <w:basedOn w:val="1"/>
    <w:qFormat/>
    <w:uiPriority w:val="99"/>
    <w:pPr>
      <w:widowControl/>
      <w:tabs>
        <w:tab w:val="left" w:pos="454"/>
        <w:tab w:val="left" w:pos="720"/>
        <w:tab w:val="left" w:pos="840"/>
      </w:tabs>
      <w:spacing w:afterLines="50"/>
      <w:ind w:left="454" w:hanging="284"/>
      <w:jc w:val="left"/>
    </w:pPr>
    <w:rPr>
      <w:kern w:val="0"/>
      <w:sz w:val="24"/>
      <w:szCs w:val="20"/>
    </w:rPr>
  </w:style>
  <w:style w:type="paragraph" w:styleId="17">
    <w:name w:val="caption"/>
    <w:basedOn w:val="1"/>
    <w:next w:val="1"/>
    <w:qFormat/>
    <w:uiPriority w:val="35"/>
    <w:pPr>
      <w:spacing w:before="152" w:after="160"/>
    </w:pPr>
    <w:rPr>
      <w:rFonts w:ascii="Arial" w:hAnsi="Arial" w:eastAsia="黑体" w:cs="Arial"/>
      <w:sz w:val="20"/>
      <w:szCs w:val="20"/>
    </w:rPr>
  </w:style>
  <w:style w:type="paragraph" w:styleId="18">
    <w:name w:val="index 5"/>
    <w:basedOn w:val="1"/>
    <w:next w:val="1"/>
    <w:qFormat/>
    <w:uiPriority w:val="99"/>
    <w:pPr>
      <w:widowControl/>
      <w:spacing w:before="100" w:after="200" w:line="276" w:lineRule="auto"/>
      <w:ind w:left="1050" w:hanging="210"/>
      <w:jc w:val="left"/>
    </w:pPr>
    <w:rPr>
      <w:rFonts w:ascii="Calibri" w:hAnsi="Calibri" w:eastAsia="楷体_GB2312"/>
      <w:kern w:val="0"/>
      <w:sz w:val="24"/>
      <w:szCs w:val="20"/>
    </w:rPr>
  </w:style>
  <w:style w:type="paragraph" w:styleId="19">
    <w:name w:val="Document Map"/>
    <w:basedOn w:val="1"/>
    <w:link w:val="247"/>
    <w:qFormat/>
    <w:uiPriority w:val="99"/>
    <w:pPr>
      <w:shd w:val="clear" w:color="auto" w:fill="000080"/>
    </w:pPr>
    <w:rPr>
      <w:rFonts w:ascii="宋体" w:hAnsi="宋体"/>
      <w:kern w:val="0"/>
      <w:sz w:val="20"/>
      <w:szCs w:val="20"/>
    </w:rPr>
  </w:style>
  <w:style w:type="paragraph" w:styleId="20">
    <w:name w:val="annotation text"/>
    <w:basedOn w:val="1"/>
    <w:link w:val="248"/>
    <w:qFormat/>
    <w:uiPriority w:val="99"/>
    <w:pPr>
      <w:jc w:val="left"/>
    </w:pPr>
  </w:style>
  <w:style w:type="paragraph" w:styleId="21">
    <w:name w:val="index 6"/>
    <w:basedOn w:val="1"/>
    <w:next w:val="1"/>
    <w:qFormat/>
    <w:uiPriority w:val="99"/>
    <w:pPr>
      <w:widowControl/>
      <w:spacing w:before="100" w:after="200" w:line="276" w:lineRule="auto"/>
      <w:ind w:left="1260" w:hanging="210"/>
      <w:jc w:val="left"/>
    </w:pPr>
    <w:rPr>
      <w:rFonts w:ascii="Calibri" w:hAnsi="Calibri" w:eastAsia="楷体_GB2312"/>
      <w:kern w:val="0"/>
      <w:sz w:val="24"/>
      <w:szCs w:val="20"/>
    </w:rPr>
  </w:style>
  <w:style w:type="paragraph" w:styleId="22">
    <w:name w:val="Body Text 3"/>
    <w:basedOn w:val="1"/>
    <w:link w:val="249"/>
    <w:qFormat/>
    <w:uiPriority w:val="0"/>
    <w:pPr>
      <w:spacing w:line="500" w:lineRule="exact"/>
    </w:pPr>
    <w:rPr>
      <w:b/>
      <w:bCs/>
      <w:kern w:val="0"/>
      <w:sz w:val="24"/>
    </w:rPr>
  </w:style>
  <w:style w:type="paragraph" w:styleId="23">
    <w:name w:val="Body Text Indent"/>
    <w:basedOn w:val="1"/>
    <w:next w:val="1"/>
    <w:link w:val="252"/>
    <w:qFormat/>
    <w:uiPriority w:val="0"/>
    <w:pPr>
      <w:ind w:firstLine="830" w:firstLineChars="352"/>
    </w:pPr>
    <w:rPr>
      <w:rFonts w:ascii="仿宋_GB2312" w:eastAsia="仿宋_GB2312"/>
      <w:kern w:val="0"/>
      <w:sz w:val="32"/>
      <w:szCs w:val="20"/>
    </w:rPr>
  </w:style>
  <w:style w:type="paragraph" w:styleId="24">
    <w:name w:val="List Number 3"/>
    <w:basedOn w:val="1"/>
    <w:qFormat/>
    <w:uiPriority w:val="99"/>
    <w:pPr>
      <w:numPr>
        <w:ilvl w:val="0"/>
        <w:numId w:val="2"/>
      </w:numPr>
    </w:pPr>
  </w:style>
  <w:style w:type="paragraph" w:styleId="25">
    <w:name w:val="List 2"/>
    <w:basedOn w:val="1"/>
    <w:qFormat/>
    <w:uiPriority w:val="99"/>
    <w:pPr>
      <w:ind w:left="100" w:leftChars="200" w:hanging="200" w:hangingChars="200"/>
    </w:pPr>
    <w:rPr>
      <w:sz w:val="28"/>
    </w:rPr>
  </w:style>
  <w:style w:type="paragraph" w:styleId="26">
    <w:name w:val="Block Text"/>
    <w:basedOn w:val="1"/>
    <w:qFormat/>
    <w:uiPriority w:val="99"/>
    <w:pPr>
      <w:adjustRightInd w:val="0"/>
      <w:spacing w:line="240" w:lineRule="auto"/>
      <w:ind w:left="420" w:right="33" w:firstLine="0" w:firstLineChars="0"/>
      <w:jc w:val="left"/>
      <w:textAlignment w:val="baseline"/>
    </w:pPr>
    <w:rPr>
      <w:rFonts w:ascii="Times New Roman" w:hAnsi="Times New Roman"/>
      <w:kern w:val="0"/>
      <w:szCs w:val="20"/>
    </w:rPr>
  </w:style>
  <w:style w:type="paragraph" w:styleId="27">
    <w:name w:val="HTML Address"/>
    <w:basedOn w:val="1"/>
    <w:link w:val="253"/>
    <w:qFormat/>
    <w:uiPriority w:val="0"/>
    <w:pPr>
      <w:widowControl/>
      <w:spacing w:before="100" w:after="200" w:line="276" w:lineRule="auto"/>
      <w:jc w:val="left"/>
    </w:pPr>
    <w:rPr>
      <w:rFonts w:ascii="Calibri" w:hAnsi="Calibri" w:eastAsia="楷体_GB2312"/>
      <w:i/>
      <w:iCs/>
      <w:kern w:val="0"/>
      <w:sz w:val="24"/>
      <w:szCs w:val="20"/>
    </w:rPr>
  </w:style>
  <w:style w:type="paragraph" w:styleId="28">
    <w:name w:val="index 4"/>
    <w:basedOn w:val="1"/>
    <w:next w:val="1"/>
    <w:qFormat/>
    <w:uiPriority w:val="99"/>
    <w:pPr>
      <w:widowControl/>
      <w:spacing w:before="100" w:after="200" w:line="276" w:lineRule="auto"/>
      <w:ind w:left="840" w:hanging="210"/>
      <w:jc w:val="left"/>
    </w:pPr>
    <w:rPr>
      <w:rFonts w:ascii="Calibri" w:hAnsi="Calibri" w:eastAsia="楷体_GB2312"/>
      <w:kern w:val="0"/>
      <w:sz w:val="24"/>
      <w:szCs w:val="20"/>
    </w:rPr>
  </w:style>
  <w:style w:type="paragraph" w:styleId="29">
    <w:name w:val="toc 5"/>
    <w:basedOn w:val="1"/>
    <w:next w:val="1"/>
    <w:qFormat/>
    <w:uiPriority w:val="39"/>
    <w:pPr>
      <w:ind w:left="1680" w:leftChars="800"/>
    </w:pPr>
    <w:rPr>
      <w:rFonts w:ascii="Calibri" w:hAnsi="Calibri"/>
      <w:szCs w:val="22"/>
    </w:rPr>
  </w:style>
  <w:style w:type="paragraph" w:styleId="30">
    <w:name w:val="toc 3"/>
    <w:basedOn w:val="1"/>
    <w:next w:val="1"/>
    <w:qFormat/>
    <w:uiPriority w:val="39"/>
    <w:pPr>
      <w:ind w:left="840" w:leftChars="400"/>
    </w:pPr>
    <w:rPr>
      <w:rFonts w:ascii="Calibri" w:hAnsi="Calibri"/>
      <w:szCs w:val="22"/>
    </w:rPr>
  </w:style>
  <w:style w:type="paragraph" w:styleId="31">
    <w:name w:val="Plain Text"/>
    <w:basedOn w:val="1"/>
    <w:link w:val="254"/>
    <w:qFormat/>
    <w:uiPriority w:val="0"/>
    <w:pPr>
      <w:snapToGrid w:val="0"/>
      <w:spacing w:before="120" w:after="120"/>
      <w:jc w:val="left"/>
    </w:pPr>
    <w:rPr>
      <w:rFonts w:ascii="宋体" w:hAnsi="Courier New"/>
      <w:w w:val="95"/>
      <w:kern w:val="0"/>
      <w:szCs w:val="21"/>
    </w:rPr>
  </w:style>
  <w:style w:type="paragraph" w:styleId="32">
    <w:name w:val="toc 8"/>
    <w:basedOn w:val="1"/>
    <w:next w:val="1"/>
    <w:qFormat/>
    <w:uiPriority w:val="39"/>
    <w:pPr>
      <w:ind w:left="2940" w:leftChars="1400"/>
    </w:pPr>
    <w:rPr>
      <w:rFonts w:ascii="Calibri" w:hAnsi="Calibri"/>
      <w:szCs w:val="22"/>
    </w:rPr>
  </w:style>
  <w:style w:type="paragraph" w:styleId="33">
    <w:name w:val="index 3"/>
    <w:basedOn w:val="1"/>
    <w:next w:val="1"/>
    <w:qFormat/>
    <w:uiPriority w:val="99"/>
    <w:pPr>
      <w:widowControl/>
      <w:spacing w:before="100" w:after="200" w:line="276" w:lineRule="auto"/>
      <w:ind w:left="630" w:hanging="210"/>
      <w:jc w:val="left"/>
    </w:pPr>
    <w:rPr>
      <w:rFonts w:ascii="Calibri" w:hAnsi="Calibri" w:eastAsia="楷体_GB2312"/>
      <w:kern w:val="0"/>
      <w:sz w:val="24"/>
      <w:szCs w:val="20"/>
    </w:rPr>
  </w:style>
  <w:style w:type="paragraph" w:styleId="34">
    <w:name w:val="Date"/>
    <w:basedOn w:val="1"/>
    <w:next w:val="1"/>
    <w:link w:val="255"/>
    <w:qFormat/>
    <w:uiPriority w:val="99"/>
    <w:pPr>
      <w:ind w:left="100" w:leftChars="2500"/>
    </w:pPr>
    <w:rPr>
      <w:rFonts w:ascii="宋体" w:hAnsi="Courier New"/>
      <w:kern w:val="0"/>
      <w:sz w:val="20"/>
      <w:szCs w:val="21"/>
    </w:rPr>
  </w:style>
  <w:style w:type="paragraph" w:styleId="35">
    <w:name w:val="Body Text Indent 2"/>
    <w:basedOn w:val="1"/>
    <w:link w:val="256"/>
    <w:qFormat/>
    <w:uiPriority w:val="99"/>
    <w:pPr>
      <w:ind w:firstLine="630"/>
    </w:pPr>
    <w:rPr>
      <w:kern w:val="0"/>
      <w:sz w:val="32"/>
      <w:szCs w:val="20"/>
    </w:rPr>
  </w:style>
  <w:style w:type="paragraph" w:styleId="36">
    <w:name w:val="endnote text"/>
    <w:basedOn w:val="1"/>
    <w:link w:val="257"/>
    <w:qFormat/>
    <w:uiPriority w:val="99"/>
    <w:pPr>
      <w:snapToGrid w:val="0"/>
      <w:jc w:val="left"/>
    </w:pPr>
  </w:style>
  <w:style w:type="paragraph" w:styleId="37">
    <w:name w:val="Balloon Text"/>
    <w:basedOn w:val="1"/>
    <w:link w:val="258"/>
    <w:qFormat/>
    <w:uiPriority w:val="99"/>
    <w:rPr>
      <w:kern w:val="0"/>
      <w:sz w:val="18"/>
      <w:szCs w:val="18"/>
    </w:rPr>
  </w:style>
  <w:style w:type="paragraph" w:styleId="38">
    <w:name w:val="footer"/>
    <w:basedOn w:val="1"/>
    <w:link w:val="259"/>
    <w:qFormat/>
    <w:uiPriority w:val="99"/>
    <w:pPr>
      <w:tabs>
        <w:tab w:val="center" w:pos="4153"/>
        <w:tab w:val="right" w:pos="8306"/>
      </w:tabs>
      <w:snapToGrid w:val="0"/>
      <w:jc w:val="left"/>
    </w:pPr>
    <w:rPr>
      <w:kern w:val="0"/>
      <w:sz w:val="18"/>
      <w:szCs w:val="18"/>
    </w:rPr>
  </w:style>
  <w:style w:type="paragraph" w:styleId="39">
    <w:name w:val="header"/>
    <w:basedOn w:val="1"/>
    <w:link w:val="251"/>
    <w:qFormat/>
    <w:uiPriority w:val="99"/>
    <w:pPr>
      <w:pBdr>
        <w:bottom w:val="single" w:color="auto" w:sz="6" w:space="1"/>
      </w:pBdr>
      <w:tabs>
        <w:tab w:val="center" w:pos="0"/>
        <w:tab w:val="left" w:pos="8306"/>
      </w:tabs>
      <w:snapToGrid w:val="0"/>
      <w:jc w:val="center"/>
    </w:pPr>
    <w:rPr>
      <w:sz w:val="18"/>
      <w:szCs w:val="18"/>
    </w:rPr>
  </w:style>
  <w:style w:type="paragraph" w:styleId="40">
    <w:name w:val="toc 1"/>
    <w:basedOn w:val="1"/>
    <w:next w:val="1"/>
    <w:qFormat/>
    <w:uiPriority w:val="39"/>
    <w:pPr>
      <w:tabs>
        <w:tab w:val="right" w:leader="dot" w:pos="8398"/>
      </w:tabs>
      <w:spacing w:before="120" w:after="120"/>
      <w:ind w:firstLine="240" w:firstLineChars="100"/>
      <w:jc w:val="left"/>
    </w:pPr>
    <w:rPr>
      <w:rFonts w:ascii="宋体" w:hAnsi="宋体"/>
      <w:b/>
      <w:bCs/>
      <w:caps/>
      <w:sz w:val="24"/>
    </w:rPr>
  </w:style>
  <w:style w:type="paragraph" w:styleId="41">
    <w:name w:val="toc 4"/>
    <w:basedOn w:val="1"/>
    <w:next w:val="1"/>
    <w:qFormat/>
    <w:uiPriority w:val="99"/>
    <w:pPr>
      <w:ind w:left="1260" w:leftChars="600"/>
    </w:pPr>
    <w:rPr>
      <w:rFonts w:ascii="Calibri" w:hAnsi="Calibri"/>
      <w:szCs w:val="22"/>
    </w:rPr>
  </w:style>
  <w:style w:type="paragraph" w:styleId="42">
    <w:name w:val="index heading"/>
    <w:basedOn w:val="1"/>
    <w:next w:val="43"/>
    <w:qFormat/>
    <w:uiPriority w:val="99"/>
    <w:pPr>
      <w:widowControl/>
      <w:spacing w:before="120" w:after="120" w:line="276" w:lineRule="auto"/>
      <w:jc w:val="center"/>
    </w:pPr>
    <w:rPr>
      <w:rFonts w:ascii="Calibri" w:hAnsi="Calibri" w:eastAsia="楷体_GB2312"/>
      <w:b/>
      <w:bCs/>
      <w:iCs/>
      <w:kern w:val="0"/>
      <w:sz w:val="24"/>
      <w:szCs w:val="20"/>
    </w:rPr>
  </w:style>
  <w:style w:type="paragraph" w:styleId="43">
    <w:name w:val="index 1"/>
    <w:basedOn w:val="1"/>
    <w:next w:val="1"/>
    <w:qFormat/>
    <w:uiPriority w:val="99"/>
    <w:pPr>
      <w:spacing w:line="400" w:lineRule="exact"/>
      <w:ind w:firstLine="420" w:firstLineChars="200"/>
    </w:pPr>
    <w:rPr>
      <w:rFonts w:ascii="宋体" w:hAnsi="Courier New"/>
      <w:b/>
      <w:szCs w:val="20"/>
    </w:rPr>
  </w:style>
  <w:style w:type="paragraph" w:styleId="44">
    <w:name w:val="Subtitle"/>
    <w:basedOn w:val="1"/>
    <w:next w:val="1"/>
    <w:link w:val="260"/>
    <w:qFormat/>
    <w:uiPriority w:val="11"/>
    <w:pPr>
      <w:widowControl/>
      <w:spacing w:after="500"/>
      <w:jc w:val="left"/>
    </w:pPr>
    <w:rPr>
      <w:rFonts w:ascii="Calibri" w:hAnsi="Calibri" w:eastAsia="楷体_GB2312"/>
      <w:caps/>
      <w:color w:val="595959"/>
      <w:spacing w:val="10"/>
      <w:kern w:val="0"/>
      <w:szCs w:val="21"/>
    </w:rPr>
  </w:style>
  <w:style w:type="paragraph" w:styleId="45">
    <w:name w:val="List"/>
    <w:basedOn w:val="1"/>
    <w:qFormat/>
    <w:uiPriority w:val="99"/>
    <w:pPr>
      <w:ind w:left="200" w:hanging="200" w:hangingChars="200"/>
    </w:pPr>
    <w:rPr>
      <w:sz w:val="28"/>
    </w:rPr>
  </w:style>
  <w:style w:type="paragraph" w:styleId="46">
    <w:name w:val="footnote text"/>
    <w:basedOn w:val="1"/>
    <w:link w:val="261"/>
    <w:qFormat/>
    <w:uiPriority w:val="99"/>
    <w:pPr>
      <w:snapToGrid w:val="0"/>
      <w:jc w:val="left"/>
    </w:pPr>
    <w:rPr>
      <w:sz w:val="18"/>
      <w:szCs w:val="18"/>
    </w:rPr>
  </w:style>
  <w:style w:type="paragraph" w:styleId="47">
    <w:name w:val="toc 6"/>
    <w:basedOn w:val="1"/>
    <w:next w:val="1"/>
    <w:qFormat/>
    <w:uiPriority w:val="39"/>
    <w:pPr>
      <w:ind w:left="2100" w:leftChars="1000"/>
    </w:pPr>
    <w:rPr>
      <w:rFonts w:ascii="Calibri" w:hAnsi="Calibri"/>
      <w:szCs w:val="22"/>
    </w:rPr>
  </w:style>
  <w:style w:type="paragraph" w:styleId="48">
    <w:name w:val="Body Text Indent 3"/>
    <w:basedOn w:val="1"/>
    <w:link w:val="262"/>
    <w:qFormat/>
    <w:uiPriority w:val="99"/>
    <w:pPr>
      <w:spacing w:after="120"/>
      <w:ind w:left="420" w:leftChars="200"/>
    </w:pPr>
    <w:rPr>
      <w:kern w:val="0"/>
      <w:sz w:val="16"/>
      <w:szCs w:val="16"/>
    </w:rPr>
  </w:style>
  <w:style w:type="paragraph" w:styleId="49">
    <w:name w:val="index 7"/>
    <w:basedOn w:val="1"/>
    <w:next w:val="1"/>
    <w:qFormat/>
    <w:uiPriority w:val="99"/>
    <w:pPr>
      <w:widowControl/>
      <w:spacing w:before="100" w:after="200" w:line="276" w:lineRule="auto"/>
      <w:ind w:left="1470" w:hanging="210"/>
      <w:jc w:val="left"/>
    </w:pPr>
    <w:rPr>
      <w:rFonts w:ascii="Calibri" w:hAnsi="Calibri" w:eastAsia="楷体_GB2312"/>
      <w:kern w:val="0"/>
      <w:sz w:val="24"/>
      <w:szCs w:val="20"/>
    </w:rPr>
  </w:style>
  <w:style w:type="paragraph" w:styleId="50">
    <w:name w:val="index 9"/>
    <w:basedOn w:val="1"/>
    <w:next w:val="1"/>
    <w:qFormat/>
    <w:uiPriority w:val="99"/>
    <w:pPr>
      <w:widowControl/>
      <w:spacing w:before="100" w:after="200" w:line="276" w:lineRule="auto"/>
      <w:ind w:left="1890" w:hanging="210"/>
      <w:jc w:val="left"/>
    </w:pPr>
    <w:rPr>
      <w:rFonts w:ascii="Calibri" w:hAnsi="Calibri" w:eastAsia="楷体_GB2312"/>
      <w:kern w:val="0"/>
      <w:sz w:val="24"/>
      <w:szCs w:val="20"/>
    </w:rPr>
  </w:style>
  <w:style w:type="paragraph" w:styleId="51">
    <w:name w:val="toc 2"/>
    <w:basedOn w:val="1"/>
    <w:next w:val="1"/>
    <w:qFormat/>
    <w:uiPriority w:val="39"/>
    <w:pPr>
      <w:ind w:left="420" w:leftChars="200"/>
    </w:pPr>
  </w:style>
  <w:style w:type="paragraph" w:styleId="52">
    <w:name w:val="toc 9"/>
    <w:basedOn w:val="1"/>
    <w:next w:val="1"/>
    <w:qFormat/>
    <w:uiPriority w:val="39"/>
    <w:pPr>
      <w:ind w:left="3360" w:leftChars="1600"/>
    </w:pPr>
    <w:rPr>
      <w:rFonts w:ascii="Calibri" w:hAnsi="Calibri"/>
      <w:szCs w:val="22"/>
    </w:rPr>
  </w:style>
  <w:style w:type="paragraph" w:styleId="53">
    <w:name w:val="Body Text 2"/>
    <w:basedOn w:val="1"/>
    <w:link w:val="263"/>
    <w:qFormat/>
    <w:uiPriority w:val="99"/>
    <w:pPr>
      <w:spacing w:after="120" w:line="480" w:lineRule="auto"/>
    </w:pPr>
    <w:rPr>
      <w:kern w:val="0"/>
      <w:sz w:val="20"/>
    </w:rPr>
  </w:style>
  <w:style w:type="paragraph" w:styleId="54">
    <w:name w:val="HTML Preformatted"/>
    <w:basedOn w:val="1"/>
    <w:link w:val="26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200" w:line="276" w:lineRule="auto"/>
      <w:jc w:val="left"/>
    </w:pPr>
    <w:rPr>
      <w:rFonts w:ascii="Courier New" w:hAnsi="Courier New" w:eastAsia="楷体_GB2312"/>
      <w:kern w:val="0"/>
      <w:sz w:val="24"/>
      <w:szCs w:val="20"/>
    </w:rPr>
  </w:style>
  <w:style w:type="paragraph" w:styleId="55">
    <w:name w:val="Normal (Web)"/>
    <w:basedOn w:val="1"/>
    <w:qFormat/>
    <w:uiPriority w:val="99"/>
    <w:pPr>
      <w:widowControl/>
      <w:spacing w:before="100" w:beforeAutospacing="1" w:after="100" w:afterAutospacing="1"/>
      <w:jc w:val="left"/>
    </w:pPr>
    <w:rPr>
      <w:rFonts w:ascii="宋体" w:hAnsi="宋体"/>
      <w:kern w:val="0"/>
      <w:sz w:val="24"/>
    </w:rPr>
  </w:style>
  <w:style w:type="paragraph" w:styleId="56">
    <w:name w:val="index 2"/>
    <w:basedOn w:val="1"/>
    <w:next w:val="1"/>
    <w:qFormat/>
    <w:uiPriority w:val="99"/>
    <w:pPr>
      <w:widowControl/>
      <w:spacing w:before="100" w:after="200" w:line="276" w:lineRule="auto"/>
      <w:ind w:left="420" w:hanging="210"/>
      <w:jc w:val="left"/>
    </w:pPr>
    <w:rPr>
      <w:rFonts w:ascii="Calibri" w:hAnsi="Calibri" w:eastAsia="楷体_GB2312"/>
      <w:kern w:val="0"/>
      <w:sz w:val="24"/>
      <w:szCs w:val="20"/>
    </w:rPr>
  </w:style>
  <w:style w:type="paragraph" w:styleId="57">
    <w:name w:val="Title"/>
    <w:basedOn w:val="1"/>
    <w:next w:val="1"/>
    <w:link w:val="265"/>
    <w:qFormat/>
    <w:uiPriority w:val="99"/>
    <w:pPr>
      <w:spacing w:before="240" w:after="60"/>
      <w:jc w:val="center"/>
      <w:outlineLvl w:val="0"/>
    </w:pPr>
    <w:rPr>
      <w:rFonts w:ascii="Cambria" w:hAnsi="Cambria"/>
      <w:b/>
      <w:bCs/>
      <w:sz w:val="32"/>
      <w:szCs w:val="32"/>
    </w:rPr>
  </w:style>
  <w:style w:type="paragraph" w:styleId="58">
    <w:name w:val="annotation subject"/>
    <w:basedOn w:val="20"/>
    <w:next w:val="20"/>
    <w:link w:val="266"/>
    <w:qFormat/>
    <w:uiPriority w:val="99"/>
    <w:rPr>
      <w:b/>
      <w:bCs/>
    </w:rPr>
  </w:style>
  <w:style w:type="paragraph" w:styleId="59">
    <w:name w:val="Body Text First Indent"/>
    <w:basedOn w:val="2"/>
    <w:next w:val="1"/>
    <w:link w:val="267"/>
    <w:qFormat/>
    <w:uiPriority w:val="99"/>
    <w:pPr>
      <w:ind w:firstLine="420" w:firstLineChars="100"/>
    </w:pPr>
    <w:rPr>
      <w:rFonts w:ascii="微软雅黑" w:hAnsi="微软雅黑" w:eastAsia="微软雅黑"/>
      <w:szCs w:val="21"/>
    </w:rPr>
  </w:style>
  <w:style w:type="paragraph" w:styleId="60">
    <w:name w:val="Body Text First Indent 2"/>
    <w:basedOn w:val="23"/>
    <w:next w:val="59"/>
    <w:link w:val="268"/>
    <w:qFormat/>
    <w:uiPriority w:val="99"/>
    <w:pPr>
      <w:shd w:val="clear" w:color="auto" w:fill="FFFFFF"/>
      <w:spacing w:after="120"/>
      <w:ind w:left="420" w:firstLine="420" w:firstLineChars="0"/>
    </w:pPr>
    <w:rPr>
      <w:sz w:val="21"/>
      <w:szCs w:val="24"/>
    </w:rPr>
  </w:style>
  <w:style w:type="table" w:styleId="62">
    <w:name w:val="Table Grid"/>
    <w:basedOn w:val="6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4">
    <w:name w:val="Strong"/>
    <w:qFormat/>
    <w:uiPriority w:val="22"/>
    <w:rPr>
      <w:b/>
      <w:bCs/>
    </w:rPr>
  </w:style>
  <w:style w:type="character" w:styleId="65">
    <w:name w:val="endnote reference"/>
    <w:qFormat/>
    <w:uiPriority w:val="99"/>
    <w:rPr>
      <w:vertAlign w:val="superscript"/>
    </w:rPr>
  </w:style>
  <w:style w:type="character" w:styleId="66">
    <w:name w:val="page number"/>
    <w:qFormat/>
    <w:uiPriority w:val="0"/>
  </w:style>
  <w:style w:type="character" w:styleId="67">
    <w:name w:val="FollowedHyperlink"/>
    <w:qFormat/>
    <w:uiPriority w:val="0"/>
    <w:rPr>
      <w:color w:val="800080"/>
      <w:u w:val="single"/>
    </w:rPr>
  </w:style>
  <w:style w:type="character" w:styleId="68">
    <w:name w:val="Emphasis"/>
    <w:qFormat/>
    <w:uiPriority w:val="20"/>
    <w:rPr>
      <w:caps/>
      <w:color w:val="1F4D78"/>
      <w:spacing w:val="5"/>
    </w:rPr>
  </w:style>
  <w:style w:type="character" w:styleId="69">
    <w:name w:val="HTML Typewriter"/>
    <w:qFormat/>
    <w:uiPriority w:val="0"/>
    <w:rPr>
      <w:rFonts w:hint="default" w:ascii="Courier New" w:hAnsi="Courier New" w:eastAsia="Times New Roman" w:cs="Times New Roman"/>
      <w:sz w:val="24"/>
      <w:szCs w:val="24"/>
    </w:rPr>
  </w:style>
  <w:style w:type="character" w:styleId="70">
    <w:name w:val="Hyperlink"/>
    <w:qFormat/>
    <w:uiPriority w:val="99"/>
    <w:rPr>
      <w:color w:val="0000FF"/>
      <w:u w:val="single"/>
    </w:rPr>
  </w:style>
  <w:style w:type="character" w:styleId="71">
    <w:name w:val="HTML Code"/>
    <w:qFormat/>
    <w:uiPriority w:val="0"/>
    <w:rPr>
      <w:rFonts w:hint="default" w:ascii="Courier New" w:hAnsi="Courier New" w:eastAsia="Times New Roman" w:cs="Times New Roman"/>
      <w:sz w:val="24"/>
      <w:szCs w:val="24"/>
    </w:rPr>
  </w:style>
  <w:style w:type="character" w:styleId="72">
    <w:name w:val="annotation reference"/>
    <w:qFormat/>
    <w:uiPriority w:val="99"/>
    <w:rPr>
      <w:sz w:val="21"/>
      <w:szCs w:val="21"/>
    </w:rPr>
  </w:style>
  <w:style w:type="character" w:styleId="73">
    <w:name w:val="footnote reference"/>
    <w:qFormat/>
    <w:uiPriority w:val="99"/>
    <w:rPr>
      <w:vertAlign w:val="superscript"/>
    </w:rPr>
  </w:style>
  <w:style w:type="character" w:styleId="74">
    <w:name w:val="HTML Keyboard"/>
    <w:qFormat/>
    <w:uiPriority w:val="0"/>
    <w:rPr>
      <w:rFonts w:hint="default" w:ascii="Courier New" w:hAnsi="Courier New" w:eastAsia="Times New Roman" w:cs="Times New Roman"/>
      <w:sz w:val="24"/>
      <w:szCs w:val="24"/>
    </w:rPr>
  </w:style>
  <w:style w:type="character" w:styleId="75">
    <w:name w:val="HTML Sample"/>
    <w:qFormat/>
    <w:uiPriority w:val="0"/>
    <w:rPr>
      <w:rFonts w:hint="default" w:ascii="Courier New" w:hAnsi="Courier New" w:eastAsia="Times New Roman" w:cs="Times New Roman"/>
    </w:rPr>
  </w:style>
  <w:style w:type="paragraph" w:customStyle="1" w:styleId="76">
    <w:name w:val="UserStyle_0"/>
    <w:qFormat/>
    <w:uiPriority w:val="0"/>
    <w:pPr>
      <w:textAlignment w:val="baseline"/>
    </w:pPr>
    <w:rPr>
      <w:rFonts w:ascii="Times New Roman" w:hAnsi="Times New Roman" w:eastAsia="宋体" w:cs="Times New Roman"/>
      <w:color w:val="000000"/>
      <w:sz w:val="24"/>
      <w:szCs w:val="24"/>
      <w:lang w:val="en-US" w:eastAsia="zh-CN" w:bidi="ar-SA"/>
    </w:rPr>
  </w:style>
  <w:style w:type="paragraph" w:customStyle="1" w:styleId="77">
    <w:name w:val="Default"/>
    <w:next w:val="1"/>
    <w:qFormat/>
    <w:uiPriority w:val="99"/>
    <w:pPr>
      <w:widowControl w:val="0"/>
      <w:autoSpaceDE w:val="0"/>
      <w:autoSpaceDN w:val="0"/>
      <w:adjustRightInd w:val="0"/>
      <w:spacing w:before="100" w:after="200" w:line="276" w:lineRule="auto"/>
    </w:pPr>
    <w:rPr>
      <w:rFonts w:ascii="宋体" w:hAnsi="Calibri" w:eastAsia="宋体" w:cs="宋体"/>
      <w:color w:val="000000"/>
      <w:sz w:val="24"/>
      <w:szCs w:val="24"/>
      <w:lang w:val="en-US" w:eastAsia="zh-CN" w:bidi="ar-SA"/>
    </w:rPr>
  </w:style>
  <w:style w:type="paragraph" w:customStyle="1" w:styleId="78">
    <w:name w:val="正文文字 6"/>
    <w:next w:val="1"/>
    <w:qFormat/>
    <w:uiPriority w:val="0"/>
    <w:pPr>
      <w:widowControl w:val="0"/>
      <w:ind w:left="240"/>
      <w:jc w:val="both"/>
    </w:pPr>
    <w:rPr>
      <w:rFonts w:ascii="宋体" w:hAnsi="Calibri" w:eastAsia="宋体" w:cs="Times New Roman"/>
      <w:b/>
      <w:bCs/>
      <w:kern w:val="2"/>
      <w:sz w:val="32"/>
      <w:szCs w:val="32"/>
      <w:lang w:val="en-US" w:eastAsia="zh-CN" w:bidi="ar-SA"/>
    </w:rPr>
  </w:style>
  <w:style w:type="character" w:customStyle="1" w:styleId="79">
    <w:name w:val="标题 2 字符"/>
    <w:link w:val="4"/>
    <w:qFormat/>
    <w:uiPriority w:val="9"/>
    <w:rPr>
      <w:rFonts w:ascii="Arial" w:hAnsi="Arial" w:eastAsia="黑体" w:cs="Times New Roman"/>
      <w:b/>
      <w:bCs/>
      <w:sz w:val="32"/>
      <w:szCs w:val="32"/>
    </w:rPr>
  </w:style>
  <w:style w:type="paragraph" w:customStyle="1" w:styleId="80">
    <w:name w:val="前言、引言标题"/>
    <w:next w:val="81"/>
    <w:link w:val="272"/>
    <w:qFormat/>
    <w:uiPriority w:val="0"/>
    <w:pPr>
      <w:keepNext/>
      <w:pageBreakBefore/>
      <w:shd w:val="clear" w:color="auto" w:fill="FFFFFF"/>
      <w:spacing w:before="640" w:after="560" w:line="276" w:lineRule="auto"/>
      <w:jc w:val="center"/>
      <w:outlineLvl w:val="0"/>
    </w:pPr>
    <w:rPr>
      <w:rFonts w:ascii="黑体" w:hAnsi="黑体" w:eastAsia="黑体" w:cs="Times New Roman"/>
      <w:sz w:val="32"/>
      <w:lang w:val="en-US" w:eastAsia="zh-CN" w:bidi="ar-SA"/>
    </w:rPr>
  </w:style>
  <w:style w:type="paragraph" w:customStyle="1" w:styleId="81">
    <w:name w:val="段"/>
    <w:link w:val="273"/>
    <w:qFormat/>
    <w:uiPriority w:val="0"/>
    <w:pPr>
      <w:autoSpaceDE w:val="0"/>
      <w:autoSpaceDN w:val="0"/>
      <w:ind w:firstLine="200" w:firstLineChars="200"/>
      <w:jc w:val="both"/>
    </w:pPr>
    <w:rPr>
      <w:rFonts w:ascii="宋体" w:hAnsi="Calibri" w:eastAsia="宋体" w:cs="Times New Roman"/>
      <w:sz w:val="21"/>
      <w:lang w:val="en-US" w:eastAsia="zh-CN" w:bidi="ar-SA"/>
    </w:rPr>
  </w:style>
  <w:style w:type="paragraph" w:customStyle="1" w:styleId="82">
    <w:name w:val="附录标识"/>
    <w:basedOn w:val="1"/>
    <w:next w:val="81"/>
    <w:link w:val="289"/>
    <w:qFormat/>
    <w:uiPriority w:val="99"/>
    <w:pPr>
      <w:keepNext/>
      <w:widowControl/>
      <w:numPr>
        <w:ilvl w:val="0"/>
        <w:numId w:val="3"/>
      </w:numPr>
      <w:shd w:val="clear" w:color="auto" w:fill="FFFFFF"/>
      <w:tabs>
        <w:tab w:val="left" w:pos="360"/>
        <w:tab w:val="left" w:pos="6405"/>
      </w:tabs>
      <w:spacing w:before="640" w:after="280" w:line="276" w:lineRule="auto"/>
      <w:jc w:val="center"/>
      <w:outlineLvl w:val="0"/>
    </w:pPr>
    <w:rPr>
      <w:rFonts w:ascii="黑体" w:eastAsia="黑体"/>
      <w:kern w:val="0"/>
      <w:szCs w:val="20"/>
    </w:rPr>
  </w:style>
  <w:style w:type="paragraph" w:customStyle="1" w:styleId="83">
    <w:name w:val="正文2"/>
    <w:basedOn w:val="1"/>
    <w:link w:val="296"/>
    <w:qFormat/>
    <w:uiPriority w:val="0"/>
    <w:pPr>
      <w:adjustRightInd w:val="0"/>
      <w:spacing w:before="156" w:line="360" w:lineRule="auto"/>
      <w:ind w:firstLine="510" w:firstLineChars="200"/>
    </w:pPr>
    <w:rPr>
      <w:sz w:val="24"/>
      <w:szCs w:val="20"/>
    </w:rPr>
  </w:style>
  <w:style w:type="paragraph" w:customStyle="1" w:styleId="84">
    <w:name w:val="明显引用1"/>
    <w:basedOn w:val="1"/>
    <w:next w:val="1"/>
    <w:link w:val="298"/>
    <w:qFormat/>
    <w:uiPriority w:val="30"/>
    <w:pPr>
      <w:widowControl/>
      <w:spacing w:before="240" w:after="240"/>
      <w:ind w:left="1080" w:right="1080"/>
      <w:jc w:val="center"/>
    </w:pPr>
    <w:rPr>
      <w:rFonts w:ascii="Calibri" w:hAnsi="Calibri" w:eastAsia="楷体_GB2312"/>
      <w:color w:val="5B9BD5"/>
      <w:kern w:val="0"/>
      <w:sz w:val="24"/>
    </w:rPr>
  </w:style>
  <w:style w:type="paragraph" w:customStyle="1" w:styleId="85">
    <w:name w:val="附录公式"/>
    <w:basedOn w:val="81"/>
    <w:next w:val="81"/>
    <w:link w:val="299"/>
    <w:qFormat/>
    <w:uiPriority w:val="0"/>
    <w:pPr>
      <w:tabs>
        <w:tab w:val="center" w:pos="4201"/>
        <w:tab w:val="right" w:leader="dot" w:pos="9298"/>
      </w:tabs>
      <w:spacing w:before="100" w:after="200" w:line="276" w:lineRule="auto"/>
      <w:ind w:firstLine="420"/>
    </w:pPr>
    <w:rPr>
      <w:rFonts w:ascii="Times New Roman" w:hAnsi="Times New Roman"/>
      <w:sz w:val="20"/>
    </w:rPr>
  </w:style>
  <w:style w:type="paragraph" w:customStyle="1" w:styleId="86">
    <w:name w:val="附录章标题"/>
    <w:next w:val="81"/>
    <w:link w:val="302"/>
    <w:qFormat/>
    <w:uiPriority w:val="99"/>
    <w:pPr>
      <w:numPr>
        <w:ilvl w:val="1"/>
        <w:numId w:val="3"/>
      </w:numPr>
      <w:tabs>
        <w:tab w:val="left" w:pos="360"/>
      </w:tabs>
      <w:wordWrap w:val="0"/>
      <w:overflowPunct w:val="0"/>
      <w:autoSpaceDE w:val="0"/>
      <w:spacing w:beforeLines="100" w:line="276" w:lineRule="auto"/>
      <w:jc w:val="both"/>
      <w:outlineLvl w:val="1"/>
    </w:pPr>
    <w:rPr>
      <w:rFonts w:ascii="黑体" w:hAnsi="Times New Roman" w:eastAsia="黑体" w:cs="Times New Roman"/>
      <w:kern w:val="21"/>
      <w:sz w:val="21"/>
      <w:lang w:val="en-US" w:eastAsia="zh-CN" w:bidi="ar-SA"/>
    </w:rPr>
  </w:style>
  <w:style w:type="paragraph" w:customStyle="1" w:styleId="87">
    <w:name w:val="首示例"/>
    <w:next w:val="81"/>
    <w:link w:val="309"/>
    <w:qFormat/>
    <w:uiPriority w:val="99"/>
    <w:pPr>
      <w:numPr>
        <w:ilvl w:val="0"/>
        <w:numId w:val="4"/>
      </w:numPr>
      <w:tabs>
        <w:tab w:val="left" w:pos="360"/>
      </w:tabs>
      <w:spacing w:before="100" w:after="200" w:line="276" w:lineRule="auto"/>
      <w:ind w:firstLine="0"/>
    </w:pPr>
    <w:rPr>
      <w:rFonts w:ascii="宋体" w:hAnsi="宋体" w:eastAsia="宋体" w:cs="Times New Roman"/>
      <w:kern w:val="2"/>
      <w:sz w:val="18"/>
      <w:szCs w:val="18"/>
      <w:lang w:val="en-US" w:eastAsia="zh-CN" w:bidi="ar-SA"/>
    </w:rPr>
  </w:style>
  <w:style w:type="paragraph" w:customStyle="1" w:styleId="88">
    <w:name w:val="章标题"/>
    <w:next w:val="81"/>
    <w:link w:val="316"/>
    <w:qFormat/>
    <w:uiPriority w:val="99"/>
    <w:pPr>
      <w:numPr>
        <w:ilvl w:val="0"/>
        <w:numId w:val="5"/>
      </w:numPr>
      <w:spacing w:beforeLines="100"/>
      <w:jc w:val="both"/>
      <w:outlineLvl w:val="1"/>
    </w:pPr>
    <w:rPr>
      <w:rFonts w:ascii="黑体" w:hAnsi="Times New Roman" w:eastAsia="黑体" w:cs="Times New Roman"/>
      <w:sz w:val="21"/>
      <w:lang w:val="en-US" w:eastAsia="zh-CN" w:bidi="ar-SA"/>
    </w:rPr>
  </w:style>
  <w:style w:type="paragraph" w:customStyle="1" w:styleId="89">
    <w:name w:val="二级条标题"/>
    <w:basedOn w:val="90"/>
    <w:next w:val="81"/>
    <w:link w:val="325"/>
    <w:qFormat/>
    <w:uiPriority w:val="0"/>
    <w:pPr>
      <w:numPr>
        <w:ilvl w:val="0"/>
        <w:numId w:val="0"/>
      </w:numPr>
      <w:tabs>
        <w:tab w:val="left" w:pos="1260"/>
      </w:tabs>
      <w:spacing w:line="276" w:lineRule="auto"/>
      <w:ind w:left="1260" w:hanging="420"/>
      <w:outlineLvl w:val="3"/>
    </w:pPr>
    <w:rPr>
      <w:rFonts w:hAnsi="Calibri"/>
    </w:rPr>
  </w:style>
  <w:style w:type="paragraph" w:customStyle="1" w:styleId="90">
    <w:name w:val="一级条标题"/>
    <w:next w:val="81"/>
    <w:link w:val="326"/>
    <w:qFormat/>
    <w:uiPriority w:val="99"/>
    <w:pPr>
      <w:numPr>
        <w:ilvl w:val="1"/>
        <w:numId w:val="5"/>
      </w:numPr>
      <w:spacing w:beforeLines="50"/>
      <w:outlineLvl w:val="2"/>
    </w:pPr>
    <w:rPr>
      <w:rFonts w:ascii="黑体" w:hAnsi="Times New Roman" w:eastAsia="黑体" w:cs="Times New Roman"/>
      <w:sz w:val="21"/>
      <w:szCs w:val="21"/>
      <w:lang w:val="en-US" w:eastAsia="zh-CN" w:bidi="ar-SA"/>
    </w:rPr>
  </w:style>
  <w:style w:type="paragraph" w:customStyle="1" w:styleId="91">
    <w:name w:val="引用1"/>
    <w:basedOn w:val="1"/>
    <w:next w:val="1"/>
    <w:link w:val="335"/>
    <w:qFormat/>
    <w:uiPriority w:val="29"/>
    <w:pPr>
      <w:widowControl/>
      <w:spacing w:before="100" w:after="200" w:line="276" w:lineRule="auto"/>
      <w:jc w:val="left"/>
    </w:pPr>
    <w:rPr>
      <w:rFonts w:ascii="Calibri" w:hAnsi="Calibri" w:eastAsia="楷体_GB2312"/>
      <w:i/>
      <w:iCs/>
      <w:kern w:val="0"/>
      <w:sz w:val="24"/>
    </w:rPr>
  </w:style>
  <w:style w:type="paragraph" w:customStyle="1" w:styleId="92">
    <w:name w:val="附录数字编号列项（二级）"/>
    <w:qFormat/>
    <w:uiPriority w:val="99"/>
    <w:pPr>
      <w:numPr>
        <w:ilvl w:val="1"/>
        <w:numId w:val="6"/>
      </w:numPr>
      <w:spacing w:before="100" w:after="200" w:line="276" w:lineRule="auto"/>
    </w:pPr>
    <w:rPr>
      <w:rFonts w:ascii="宋体" w:hAnsi="Calibri" w:eastAsia="宋体" w:cs="Times New Roman"/>
      <w:sz w:val="21"/>
      <w:lang w:val="en-US" w:eastAsia="zh-CN" w:bidi="ar-SA"/>
    </w:rPr>
  </w:style>
  <w:style w:type="paragraph" w:customStyle="1" w:styleId="93">
    <w:name w:val="一级无"/>
    <w:basedOn w:val="90"/>
    <w:qFormat/>
    <w:uiPriority w:val="99"/>
    <w:pPr>
      <w:numPr>
        <w:ilvl w:val="0"/>
        <w:numId w:val="0"/>
      </w:numPr>
      <w:tabs>
        <w:tab w:val="left" w:pos="1140"/>
      </w:tabs>
      <w:spacing w:line="276" w:lineRule="auto"/>
      <w:ind w:hanging="420"/>
    </w:pPr>
    <w:rPr>
      <w:rFonts w:ascii="宋体" w:hAnsi="Calibri" w:eastAsia="宋体"/>
    </w:rPr>
  </w:style>
  <w:style w:type="paragraph" w:customStyle="1" w:styleId="94">
    <w:name w:val="et4"/>
    <w:basedOn w:val="1"/>
    <w:qFormat/>
    <w:uiPriority w:val="99"/>
    <w:pPr>
      <w:widowControl/>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center"/>
    </w:pPr>
    <w:rPr>
      <w:rFonts w:ascii="宋体" w:hAnsi="宋体" w:cs="宋体"/>
      <w:b/>
      <w:bCs/>
      <w:kern w:val="0"/>
      <w:sz w:val="24"/>
    </w:rPr>
  </w:style>
  <w:style w:type="paragraph" w:customStyle="1" w:styleId="95">
    <w:name w:val="注×："/>
    <w:qFormat/>
    <w:uiPriority w:val="99"/>
    <w:pPr>
      <w:widowControl w:val="0"/>
      <w:numPr>
        <w:ilvl w:val="0"/>
        <w:numId w:val="7"/>
      </w:numPr>
      <w:autoSpaceDE w:val="0"/>
      <w:autoSpaceDN w:val="0"/>
      <w:jc w:val="both"/>
    </w:pPr>
    <w:rPr>
      <w:rFonts w:ascii="宋体" w:hAnsi="Times New Roman" w:eastAsia="宋体" w:cs="Times New Roman"/>
      <w:sz w:val="18"/>
      <w:szCs w:val="18"/>
      <w:lang w:val="en-US" w:eastAsia="zh-CN" w:bidi="ar-SA"/>
    </w:rPr>
  </w:style>
  <w:style w:type="paragraph" w:customStyle="1" w:styleId="96">
    <w:name w:val="标准书脚_偶数页"/>
    <w:qFormat/>
    <w:uiPriority w:val="99"/>
    <w:pPr>
      <w:spacing w:before="120" w:after="200" w:line="276" w:lineRule="auto"/>
      <w:ind w:left="221"/>
    </w:pPr>
    <w:rPr>
      <w:rFonts w:ascii="宋体" w:hAnsi="Calibri" w:eastAsia="宋体" w:cs="Times New Roman"/>
      <w:sz w:val="18"/>
      <w:szCs w:val="18"/>
      <w:lang w:val="en-US" w:eastAsia="zh-CN" w:bidi="ar-SA"/>
    </w:rPr>
  </w:style>
  <w:style w:type="paragraph" w:customStyle="1" w:styleId="97">
    <w:name w:val="注：（正文）"/>
    <w:basedOn w:val="98"/>
    <w:next w:val="81"/>
    <w:qFormat/>
    <w:uiPriority w:val="99"/>
    <w:pPr>
      <w:numPr>
        <w:ilvl w:val="0"/>
        <w:numId w:val="8"/>
      </w:numPr>
      <w:tabs>
        <w:tab w:val="clear" w:pos="420"/>
      </w:tabs>
      <w:spacing w:before="100" w:after="200" w:line="276" w:lineRule="auto"/>
      <w:ind w:left="360" w:hanging="360"/>
    </w:pPr>
    <w:rPr>
      <w:rFonts w:hAnsi="Calibri"/>
    </w:rPr>
  </w:style>
  <w:style w:type="paragraph" w:customStyle="1" w:styleId="98">
    <w:name w:val="注："/>
    <w:next w:val="81"/>
    <w:qFormat/>
    <w:uiPriority w:val="99"/>
    <w:pPr>
      <w:widowControl w:val="0"/>
      <w:numPr>
        <w:ilvl w:val="0"/>
        <w:numId w:val="9"/>
      </w:numPr>
      <w:autoSpaceDE w:val="0"/>
      <w:autoSpaceDN w:val="0"/>
      <w:jc w:val="both"/>
    </w:pPr>
    <w:rPr>
      <w:rFonts w:ascii="宋体" w:hAnsi="Times New Roman" w:eastAsia="宋体" w:cs="Times New Roman"/>
      <w:sz w:val="18"/>
      <w:szCs w:val="18"/>
      <w:lang w:val="en-US" w:eastAsia="zh-CN" w:bidi="ar-SA"/>
    </w:rPr>
  </w:style>
  <w:style w:type="paragraph" w:customStyle="1" w:styleId="99">
    <w:name w:val="xl71"/>
    <w:basedOn w:val="1"/>
    <w:qFormat/>
    <w:uiPriority w:val="99"/>
    <w:pPr>
      <w:widowControl/>
      <w:pBdr>
        <w:top w:val="single" w:color="000000" w:sz="8" w:space="0"/>
        <w:bottom w:val="single" w:color="000000" w:sz="8" w:space="0"/>
        <w:right w:val="single" w:color="000000" w:sz="8" w:space="0"/>
      </w:pBdr>
      <w:spacing w:before="100" w:beforeAutospacing="1" w:after="100" w:afterAutospacing="1"/>
      <w:jc w:val="center"/>
    </w:pPr>
    <w:rPr>
      <w:rFonts w:ascii="宋体" w:hAnsi="宋体" w:cs="宋体"/>
      <w:b/>
      <w:bCs/>
      <w:color w:val="000000"/>
      <w:kern w:val="0"/>
      <w:szCs w:val="21"/>
    </w:rPr>
  </w:style>
  <w:style w:type="paragraph" w:customStyle="1" w:styleId="100">
    <w:name w:val="条文脚注"/>
    <w:basedOn w:val="46"/>
    <w:qFormat/>
    <w:uiPriority w:val="99"/>
    <w:pPr>
      <w:widowControl/>
      <w:tabs>
        <w:tab w:val="left" w:pos="0"/>
        <w:tab w:val="left" w:pos="840"/>
      </w:tabs>
      <w:spacing w:before="100" w:after="200" w:line="276" w:lineRule="auto"/>
      <w:jc w:val="both"/>
    </w:pPr>
    <w:rPr>
      <w:rFonts w:ascii="宋体" w:hAnsi="Calibri" w:eastAsia="楷体_GB2312"/>
      <w:kern w:val="0"/>
    </w:rPr>
  </w:style>
  <w:style w:type="paragraph" w:customStyle="1" w:styleId="101">
    <w:name w:val="列表段落1"/>
    <w:basedOn w:val="1"/>
    <w:qFormat/>
    <w:uiPriority w:val="34"/>
    <w:pPr>
      <w:ind w:firstLine="420" w:firstLineChars="200"/>
    </w:pPr>
    <w:rPr>
      <w:rFonts w:ascii="Calibri" w:hAnsi="Calibri"/>
    </w:rPr>
  </w:style>
  <w:style w:type="paragraph" w:customStyle="1" w:styleId="102">
    <w:name w:val="附录图标题"/>
    <w:basedOn w:val="1"/>
    <w:next w:val="81"/>
    <w:qFormat/>
    <w:uiPriority w:val="99"/>
    <w:pPr>
      <w:widowControl/>
      <w:numPr>
        <w:ilvl w:val="1"/>
        <w:numId w:val="10"/>
      </w:numPr>
      <w:tabs>
        <w:tab w:val="left" w:pos="363"/>
      </w:tabs>
      <w:spacing w:beforeLines="50" w:line="276" w:lineRule="auto"/>
      <w:ind w:left="0" w:firstLine="0"/>
      <w:jc w:val="center"/>
    </w:pPr>
    <w:rPr>
      <w:rFonts w:ascii="黑体" w:hAnsi="Calibri" w:eastAsia="黑体"/>
      <w:kern w:val="0"/>
      <w:sz w:val="24"/>
      <w:szCs w:val="21"/>
    </w:rPr>
  </w:style>
  <w:style w:type="paragraph" w:customStyle="1" w:styleId="103">
    <w:name w:val="表内文字"/>
    <w:basedOn w:val="1"/>
    <w:qFormat/>
    <w:uiPriority w:val="99"/>
    <w:pPr>
      <w:snapToGrid w:val="0"/>
      <w:spacing w:before="50" w:after="50"/>
      <w:jc w:val="center"/>
    </w:pPr>
    <w:rPr>
      <w:rFonts w:ascii="仿宋_GB2312" w:hAnsi="宋体" w:eastAsia="仿宋_GB2312"/>
      <w:b/>
      <w:color w:val="000000"/>
      <w:sz w:val="32"/>
      <w:szCs w:val="32"/>
    </w:rPr>
  </w:style>
  <w:style w:type="paragraph" w:customStyle="1" w:styleId="104">
    <w:name w:val="石墨文档标题 2"/>
    <w:next w:val="105"/>
    <w:qFormat/>
    <w:uiPriority w:val="9"/>
    <w:pPr>
      <w:spacing w:before="260" w:after="260"/>
      <w:outlineLvl w:val="1"/>
    </w:pPr>
    <w:rPr>
      <w:rFonts w:ascii="微软雅黑" w:hAnsi="微软雅黑" w:eastAsia="微软雅黑" w:cs="微软雅黑"/>
      <w:b/>
      <w:bCs/>
      <w:sz w:val="28"/>
      <w:szCs w:val="28"/>
      <w:lang w:val="en-US" w:eastAsia="zh-CN" w:bidi="ar-SA"/>
    </w:rPr>
  </w:style>
  <w:style w:type="paragraph" w:customStyle="1" w:styleId="105">
    <w:name w:val="石墨文档正文"/>
    <w:qFormat/>
    <w:uiPriority w:val="99"/>
    <w:rPr>
      <w:rFonts w:ascii="微软雅黑" w:hAnsi="微软雅黑" w:eastAsia="微软雅黑" w:cs="微软雅黑"/>
      <w:sz w:val="22"/>
      <w:szCs w:val="22"/>
      <w:lang w:val="en-US" w:eastAsia="zh-CN" w:bidi="ar-SA"/>
    </w:rPr>
  </w:style>
  <w:style w:type="paragraph" w:customStyle="1" w:styleId="106">
    <w:name w:val="标准标志"/>
    <w:next w:val="1"/>
    <w:qFormat/>
    <w:uiPriority w:val="99"/>
    <w:pPr>
      <w:framePr w:w="2546" w:h="1389" w:hSpace="181" w:vSpace="181" w:wrap="around" w:vAnchor="margin" w:hAnchor="margin" w:x="6522" w:y="398" w:anchorLock="1"/>
      <w:shd w:val="solid" w:color="FFFFFF" w:fill="FFFFFF"/>
      <w:spacing w:before="100" w:after="200" w:line="0" w:lineRule="atLeast"/>
      <w:jc w:val="right"/>
    </w:pPr>
    <w:rPr>
      <w:rFonts w:ascii="Calibri" w:hAnsi="Calibri" w:eastAsia="宋体" w:cs="Times New Roman"/>
      <w:b/>
      <w:w w:val="170"/>
      <w:sz w:val="96"/>
      <w:szCs w:val="96"/>
      <w:lang w:val="en-US" w:eastAsia="zh-CN" w:bidi="ar-SA"/>
    </w:rPr>
  </w:style>
  <w:style w:type="paragraph" w:customStyle="1" w:styleId="107">
    <w:name w:val="列项·"/>
    <w:qFormat/>
    <w:uiPriority w:val="99"/>
    <w:pPr>
      <w:numPr>
        <w:ilvl w:val="0"/>
        <w:numId w:val="11"/>
      </w:numPr>
      <w:tabs>
        <w:tab w:val="clear" w:pos="425"/>
      </w:tabs>
      <w:spacing w:before="100" w:after="200" w:line="276" w:lineRule="auto"/>
      <w:ind w:left="0" w:firstLine="0"/>
      <w:jc w:val="both"/>
    </w:pPr>
    <w:rPr>
      <w:rFonts w:ascii="宋体" w:hAnsi="Calibri" w:eastAsia="宋体" w:cs="Times New Roman"/>
      <w:sz w:val="21"/>
      <w:lang w:val="en-US" w:eastAsia="zh-CN" w:bidi="ar-SA"/>
    </w:rPr>
  </w:style>
  <w:style w:type="paragraph" w:customStyle="1" w:styleId="108">
    <w:name w:val="标准书眉一"/>
    <w:qFormat/>
    <w:uiPriority w:val="99"/>
    <w:pPr>
      <w:spacing w:before="100" w:after="200" w:line="276" w:lineRule="auto"/>
      <w:jc w:val="both"/>
    </w:pPr>
    <w:rPr>
      <w:rFonts w:ascii="Calibri" w:hAnsi="Calibri" w:eastAsia="宋体" w:cs="Times New Roman"/>
      <w:lang w:val="en-US" w:eastAsia="zh-CN" w:bidi="ar-SA"/>
    </w:rPr>
  </w:style>
  <w:style w:type="paragraph" w:customStyle="1" w:styleId="109">
    <w:name w:val="附录标题"/>
    <w:basedOn w:val="81"/>
    <w:next w:val="81"/>
    <w:qFormat/>
    <w:uiPriority w:val="99"/>
    <w:pPr>
      <w:tabs>
        <w:tab w:val="center" w:pos="4201"/>
        <w:tab w:val="right" w:leader="dot" w:pos="9298"/>
      </w:tabs>
      <w:spacing w:before="100" w:after="200" w:line="276" w:lineRule="auto"/>
      <w:ind w:firstLine="0" w:firstLineChars="0"/>
      <w:jc w:val="center"/>
    </w:pPr>
    <w:rPr>
      <w:rFonts w:ascii="黑体" w:eastAsia="黑体"/>
    </w:rPr>
  </w:style>
  <w:style w:type="paragraph" w:customStyle="1" w:styleId="110">
    <w:name w:val="附录一级无"/>
    <w:basedOn w:val="111"/>
    <w:qFormat/>
    <w:uiPriority w:val="99"/>
    <w:pPr>
      <w:tabs>
        <w:tab w:val="left" w:pos="-79"/>
        <w:tab w:val="left" w:pos="360"/>
        <w:tab w:val="left" w:pos="840"/>
        <w:tab w:val="left" w:pos="1260"/>
      </w:tabs>
    </w:pPr>
    <w:rPr>
      <w:rFonts w:ascii="宋体" w:eastAsia="宋体"/>
      <w:szCs w:val="21"/>
    </w:rPr>
  </w:style>
  <w:style w:type="paragraph" w:customStyle="1" w:styleId="111">
    <w:name w:val="附录一级条标题"/>
    <w:basedOn w:val="86"/>
    <w:next w:val="81"/>
    <w:qFormat/>
    <w:uiPriority w:val="99"/>
    <w:pPr>
      <w:numPr>
        <w:ilvl w:val="0"/>
        <w:numId w:val="0"/>
      </w:numPr>
      <w:tabs>
        <w:tab w:val="left" w:pos="-79"/>
        <w:tab w:val="left" w:pos="1260"/>
      </w:tabs>
      <w:autoSpaceDN w:val="0"/>
      <w:spacing w:beforeLines="50"/>
      <w:ind w:left="913" w:hanging="629"/>
      <w:outlineLvl w:val="2"/>
    </w:pPr>
  </w:style>
  <w:style w:type="paragraph" w:customStyle="1" w:styleId="112">
    <w:name w:val="附录表标题"/>
    <w:basedOn w:val="1"/>
    <w:next w:val="81"/>
    <w:qFormat/>
    <w:uiPriority w:val="99"/>
    <w:pPr>
      <w:widowControl/>
      <w:numPr>
        <w:ilvl w:val="1"/>
        <w:numId w:val="12"/>
      </w:numPr>
      <w:tabs>
        <w:tab w:val="left" w:pos="180"/>
      </w:tabs>
      <w:spacing w:beforeLines="50" w:line="276" w:lineRule="auto"/>
      <w:ind w:left="0" w:firstLine="0"/>
      <w:jc w:val="center"/>
    </w:pPr>
    <w:rPr>
      <w:rFonts w:ascii="黑体" w:hAnsi="Calibri" w:eastAsia="黑体"/>
      <w:kern w:val="0"/>
      <w:sz w:val="24"/>
      <w:szCs w:val="21"/>
    </w:rPr>
  </w:style>
  <w:style w:type="paragraph" w:customStyle="1" w:styleId="113">
    <w:name w:val="封面标准名称2"/>
    <w:basedOn w:val="114"/>
    <w:qFormat/>
    <w:uiPriority w:val="99"/>
    <w:pPr>
      <w:framePr w:wrap="around" w:y="4469"/>
      <w:spacing w:beforeLines="630"/>
    </w:pPr>
  </w:style>
  <w:style w:type="paragraph" w:customStyle="1" w:styleId="114">
    <w:name w:val="封面标准名称"/>
    <w:qFormat/>
    <w:uiPriority w:val="99"/>
    <w:pPr>
      <w:framePr w:w="9639" w:h="6917" w:wrap="around" w:vAnchor="page" w:hAnchor="page" w:xAlign="center" w:y="6408" w:anchorLock="1"/>
      <w:widowControl w:val="0"/>
      <w:spacing w:before="100" w:after="200" w:line="680" w:lineRule="exact"/>
      <w:jc w:val="center"/>
    </w:pPr>
    <w:rPr>
      <w:rFonts w:ascii="黑体" w:hAnsi="Calibri" w:eastAsia="黑体" w:cs="Times New Roman"/>
      <w:sz w:val="52"/>
      <w:lang w:val="en-US" w:eastAsia="zh-CN" w:bidi="ar-SA"/>
    </w:rPr>
  </w:style>
  <w:style w:type="paragraph" w:customStyle="1" w:styleId="115">
    <w:name w:val="font0"/>
    <w:basedOn w:val="1"/>
    <w:qFormat/>
    <w:uiPriority w:val="99"/>
    <w:pPr>
      <w:widowControl/>
      <w:spacing w:before="100" w:beforeAutospacing="1" w:after="100" w:afterAutospacing="1"/>
      <w:jc w:val="left"/>
    </w:pPr>
    <w:rPr>
      <w:rFonts w:ascii="宋体" w:hAnsi="宋体" w:cs="宋体"/>
      <w:color w:val="000000"/>
      <w:kern w:val="0"/>
      <w:sz w:val="22"/>
      <w:szCs w:val="22"/>
    </w:rPr>
  </w:style>
  <w:style w:type="paragraph" w:customStyle="1" w:styleId="116">
    <w:name w:val="xl22"/>
    <w:basedOn w:val="1"/>
    <w:qFormat/>
    <w:uiPriority w:val="99"/>
    <w:pPr>
      <w:widowControl/>
      <w:spacing w:before="100" w:beforeAutospacing="1" w:after="100" w:afterAutospacing="1"/>
      <w:jc w:val="left"/>
    </w:pPr>
    <w:rPr>
      <w:rFonts w:ascii="Arial Unicode MS" w:hAnsi="Arial Unicode MS" w:eastAsia="Arial Unicode MS" w:cs="Arial Unicode MS"/>
      <w:kern w:val="0"/>
      <w:sz w:val="20"/>
      <w:szCs w:val="20"/>
    </w:rPr>
  </w:style>
  <w:style w:type="paragraph" w:customStyle="1" w:styleId="117">
    <w:name w:val="注×：（正文）"/>
    <w:qFormat/>
    <w:uiPriority w:val="99"/>
    <w:pPr>
      <w:numPr>
        <w:ilvl w:val="0"/>
        <w:numId w:val="13"/>
      </w:numPr>
      <w:jc w:val="both"/>
    </w:pPr>
    <w:rPr>
      <w:rFonts w:ascii="宋体" w:hAnsi="Times New Roman" w:eastAsia="宋体" w:cs="Times New Roman"/>
      <w:sz w:val="18"/>
      <w:szCs w:val="18"/>
      <w:lang w:val="en-US" w:eastAsia="zh-CN" w:bidi="ar-SA"/>
    </w:rPr>
  </w:style>
  <w:style w:type="paragraph" w:customStyle="1" w:styleId="118">
    <w:name w:val="附录公式编号制表符"/>
    <w:basedOn w:val="1"/>
    <w:next w:val="81"/>
    <w:qFormat/>
    <w:uiPriority w:val="99"/>
    <w:pPr>
      <w:widowControl/>
      <w:tabs>
        <w:tab w:val="center" w:pos="4201"/>
        <w:tab w:val="right" w:leader="dot" w:pos="9298"/>
      </w:tabs>
      <w:autoSpaceDE w:val="0"/>
      <w:autoSpaceDN w:val="0"/>
      <w:spacing w:before="100" w:after="200" w:line="276" w:lineRule="auto"/>
      <w:jc w:val="left"/>
    </w:pPr>
    <w:rPr>
      <w:rFonts w:ascii="宋体" w:hAnsi="Calibri" w:eastAsia="楷体_GB2312"/>
      <w:kern w:val="0"/>
      <w:sz w:val="24"/>
      <w:szCs w:val="20"/>
    </w:rPr>
  </w:style>
  <w:style w:type="paragraph" w:customStyle="1" w:styleId="119">
    <w:name w:val="xl66"/>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b/>
      <w:bCs/>
      <w:kern w:val="0"/>
      <w:sz w:val="24"/>
    </w:rPr>
  </w:style>
  <w:style w:type="paragraph" w:customStyle="1" w:styleId="120">
    <w:name w:val="五级无"/>
    <w:basedOn w:val="121"/>
    <w:qFormat/>
    <w:uiPriority w:val="99"/>
    <w:pPr>
      <w:tabs>
        <w:tab w:val="left" w:pos="2100"/>
        <w:tab w:val="left" w:pos="2520"/>
      </w:tabs>
      <w:spacing w:before="50" w:after="50"/>
    </w:pPr>
    <w:rPr>
      <w:rFonts w:ascii="宋体" w:eastAsia="宋体"/>
    </w:rPr>
  </w:style>
  <w:style w:type="paragraph" w:customStyle="1" w:styleId="121">
    <w:name w:val="五级条标题"/>
    <w:basedOn w:val="122"/>
    <w:next w:val="81"/>
    <w:qFormat/>
    <w:uiPriority w:val="99"/>
    <w:pPr>
      <w:tabs>
        <w:tab w:val="left" w:pos="2100"/>
        <w:tab w:val="left" w:pos="2520"/>
      </w:tabs>
      <w:ind w:left="2520"/>
      <w:outlineLvl w:val="6"/>
    </w:pPr>
  </w:style>
  <w:style w:type="paragraph" w:customStyle="1" w:styleId="122">
    <w:name w:val="四级条标题"/>
    <w:basedOn w:val="123"/>
    <w:next w:val="81"/>
    <w:qFormat/>
    <w:uiPriority w:val="99"/>
    <w:pPr>
      <w:tabs>
        <w:tab w:val="left" w:pos="2100"/>
      </w:tabs>
      <w:ind w:left="2100" w:hanging="420"/>
      <w:outlineLvl w:val="5"/>
    </w:pPr>
  </w:style>
  <w:style w:type="paragraph" w:customStyle="1" w:styleId="123">
    <w:name w:val="三级条标题"/>
    <w:basedOn w:val="89"/>
    <w:next w:val="81"/>
    <w:qFormat/>
    <w:uiPriority w:val="99"/>
    <w:pPr>
      <w:tabs>
        <w:tab w:val="clear" w:pos="1260"/>
      </w:tabs>
      <w:ind w:left="0" w:firstLine="0"/>
      <w:outlineLvl w:val="4"/>
    </w:pPr>
  </w:style>
  <w:style w:type="paragraph" w:customStyle="1" w:styleId="124">
    <w:name w:val="封面标准英文名称2"/>
    <w:basedOn w:val="125"/>
    <w:qFormat/>
    <w:uiPriority w:val="99"/>
    <w:pPr>
      <w:framePr w:wrap="around" w:y="4469"/>
    </w:pPr>
  </w:style>
  <w:style w:type="paragraph" w:customStyle="1" w:styleId="125">
    <w:name w:val="封面标准英文名称"/>
    <w:basedOn w:val="114"/>
    <w:qFormat/>
    <w:uiPriority w:val="99"/>
    <w:pPr>
      <w:framePr w:wrap="around"/>
      <w:spacing w:before="370" w:line="400" w:lineRule="exact"/>
    </w:pPr>
    <w:rPr>
      <w:rFonts w:ascii="Times New Roman"/>
      <w:sz w:val="28"/>
      <w:szCs w:val="28"/>
    </w:rPr>
  </w:style>
  <w:style w:type="paragraph" w:customStyle="1" w:styleId="126">
    <w:name w:val="font2"/>
    <w:basedOn w:val="1"/>
    <w:qFormat/>
    <w:uiPriority w:val="99"/>
    <w:pPr>
      <w:widowControl/>
      <w:spacing w:before="100" w:beforeAutospacing="1" w:after="100" w:afterAutospacing="1"/>
      <w:jc w:val="left"/>
    </w:pPr>
    <w:rPr>
      <w:rFonts w:ascii="宋体" w:hAnsi="宋体" w:cs="宋体"/>
      <w:color w:val="000000"/>
      <w:kern w:val="0"/>
      <w:sz w:val="22"/>
      <w:szCs w:val="22"/>
    </w:rPr>
  </w:style>
  <w:style w:type="paragraph" w:customStyle="1" w:styleId="127">
    <w:name w:val="图标脚注说明"/>
    <w:basedOn w:val="81"/>
    <w:qFormat/>
    <w:uiPriority w:val="99"/>
    <w:pPr>
      <w:tabs>
        <w:tab w:val="center" w:pos="4201"/>
        <w:tab w:val="right" w:leader="dot" w:pos="9298"/>
      </w:tabs>
      <w:spacing w:before="100" w:after="200" w:line="276" w:lineRule="auto"/>
      <w:ind w:left="840" w:hanging="420" w:firstLineChars="0"/>
    </w:pPr>
    <w:rPr>
      <w:rFonts w:eastAsia="Times New Roman"/>
      <w:sz w:val="18"/>
      <w:szCs w:val="18"/>
    </w:rPr>
  </w:style>
  <w:style w:type="paragraph" w:customStyle="1" w:styleId="128">
    <w:name w:val="修订3"/>
    <w:qFormat/>
    <w:uiPriority w:val="99"/>
    <w:rPr>
      <w:rFonts w:ascii="Times New Roman" w:hAnsi="Times New Roman" w:eastAsia="微软雅黑" w:cs="Times New Roman"/>
      <w:kern w:val="44"/>
      <w:sz w:val="24"/>
      <w:lang w:val="en-US" w:eastAsia="en-US" w:bidi="ar-SA"/>
    </w:rPr>
  </w:style>
  <w:style w:type="paragraph" w:customStyle="1" w:styleId="129">
    <w:name w:val="一级无标题条"/>
    <w:basedOn w:val="1"/>
    <w:qFormat/>
    <w:uiPriority w:val="99"/>
    <w:pPr>
      <w:widowControl/>
      <w:numPr>
        <w:ilvl w:val="2"/>
        <w:numId w:val="14"/>
      </w:numPr>
      <w:tabs>
        <w:tab w:val="left" w:pos="1260"/>
      </w:tabs>
      <w:spacing w:before="100" w:after="200" w:line="276" w:lineRule="auto"/>
      <w:ind w:left="1260"/>
      <w:jc w:val="left"/>
    </w:pPr>
    <w:rPr>
      <w:rFonts w:ascii="Calibri" w:hAnsi="Calibri" w:eastAsia="楷体_GB2312"/>
      <w:kern w:val="0"/>
      <w:sz w:val="24"/>
      <w:szCs w:val="20"/>
    </w:rPr>
  </w:style>
  <w:style w:type="paragraph" w:customStyle="1" w:styleId="130">
    <w:name w:val="font5"/>
    <w:basedOn w:val="1"/>
    <w:qFormat/>
    <w:uiPriority w:val="99"/>
    <w:pPr>
      <w:widowControl/>
      <w:spacing w:before="100" w:beforeAutospacing="1" w:after="100" w:afterAutospacing="1"/>
      <w:jc w:val="left"/>
    </w:pPr>
    <w:rPr>
      <w:rFonts w:ascii="宋体" w:hAnsi="宋体" w:cs="宋体"/>
      <w:kern w:val="0"/>
      <w:sz w:val="18"/>
      <w:szCs w:val="18"/>
    </w:rPr>
  </w:style>
  <w:style w:type="paragraph" w:customStyle="1" w:styleId="131">
    <w:name w:val="正文段"/>
    <w:basedOn w:val="1"/>
    <w:qFormat/>
    <w:uiPriority w:val="99"/>
    <w:pPr>
      <w:widowControl/>
      <w:snapToGrid w:val="0"/>
      <w:spacing w:afterLines="50"/>
      <w:ind w:firstLine="200" w:firstLineChars="200"/>
    </w:pPr>
    <w:rPr>
      <w:kern w:val="0"/>
      <w:sz w:val="24"/>
      <w:szCs w:val="20"/>
    </w:rPr>
  </w:style>
  <w:style w:type="paragraph" w:customStyle="1" w:styleId="132">
    <w:name w:val="封面标准文稿编辑信息"/>
    <w:basedOn w:val="133"/>
    <w:qFormat/>
    <w:uiPriority w:val="99"/>
    <w:pPr>
      <w:framePr w:wrap="around"/>
      <w:spacing w:before="180" w:line="180" w:lineRule="exact"/>
    </w:pPr>
    <w:rPr>
      <w:sz w:val="21"/>
    </w:rPr>
  </w:style>
  <w:style w:type="paragraph" w:customStyle="1" w:styleId="133">
    <w:name w:val="封面标准文稿类别"/>
    <w:basedOn w:val="134"/>
    <w:qFormat/>
    <w:uiPriority w:val="99"/>
    <w:pPr>
      <w:framePr w:wrap="around"/>
      <w:spacing w:after="160" w:line="240" w:lineRule="auto"/>
    </w:pPr>
    <w:rPr>
      <w:sz w:val="24"/>
    </w:rPr>
  </w:style>
  <w:style w:type="paragraph" w:customStyle="1" w:styleId="134">
    <w:name w:val="封面一致性程度标识"/>
    <w:basedOn w:val="125"/>
    <w:qFormat/>
    <w:uiPriority w:val="99"/>
    <w:pPr>
      <w:framePr w:wrap="around"/>
      <w:spacing w:before="440"/>
    </w:pPr>
    <w:rPr>
      <w:rFonts w:ascii="宋体" w:eastAsia="宋体"/>
    </w:rPr>
  </w:style>
  <w:style w:type="paragraph" w:customStyle="1" w:styleId="135">
    <w:name w:val="Table Paragraph"/>
    <w:basedOn w:val="1"/>
    <w:qFormat/>
    <w:uiPriority w:val="1"/>
    <w:pPr>
      <w:jc w:val="left"/>
    </w:pPr>
    <w:rPr>
      <w:rFonts w:ascii="Calibri" w:hAnsi="Calibri"/>
      <w:kern w:val="0"/>
      <w:sz w:val="22"/>
      <w:szCs w:val="22"/>
      <w:lang w:eastAsia="en-US"/>
    </w:rPr>
  </w:style>
  <w:style w:type="paragraph" w:customStyle="1" w:styleId="136">
    <w:name w:val="其他发布日期"/>
    <w:basedOn w:val="137"/>
    <w:qFormat/>
    <w:uiPriority w:val="99"/>
    <w:pPr>
      <w:framePr w:wrap="around" w:vAnchor="page" w:hAnchor="text" w:x="1419"/>
    </w:pPr>
  </w:style>
  <w:style w:type="paragraph" w:customStyle="1" w:styleId="137">
    <w:name w:val="发布日期"/>
    <w:qFormat/>
    <w:uiPriority w:val="99"/>
    <w:pPr>
      <w:framePr w:w="3997" w:h="471" w:vSpace="181" w:wrap="around" w:vAnchor="margin" w:hAnchor="page" w:x="7089" w:y="14097" w:anchorLock="1"/>
      <w:spacing w:before="100" w:after="200" w:line="276" w:lineRule="auto"/>
    </w:pPr>
    <w:rPr>
      <w:rFonts w:ascii="Calibri" w:hAnsi="Calibri" w:eastAsia="黑体" w:cs="Times New Roman"/>
      <w:sz w:val="28"/>
      <w:lang w:val="en-US" w:eastAsia="zh-CN" w:bidi="ar-SA"/>
    </w:rPr>
  </w:style>
  <w:style w:type="paragraph" w:customStyle="1" w:styleId="138">
    <w:name w:val="终结线"/>
    <w:basedOn w:val="1"/>
    <w:qFormat/>
    <w:uiPriority w:val="99"/>
    <w:pPr>
      <w:framePr w:hSpace="181" w:vSpace="181" w:wrap="around" w:vAnchor="text" w:hAnchor="margin" w:xAlign="center" w:y="285"/>
      <w:widowControl/>
      <w:spacing w:before="100" w:after="200" w:line="276" w:lineRule="auto"/>
      <w:jc w:val="left"/>
    </w:pPr>
    <w:rPr>
      <w:rFonts w:ascii="Calibri" w:hAnsi="Calibri" w:eastAsia="楷体_GB2312"/>
      <w:kern w:val="0"/>
      <w:sz w:val="24"/>
      <w:szCs w:val="20"/>
    </w:rPr>
  </w:style>
  <w:style w:type="paragraph" w:customStyle="1" w:styleId="139">
    <w:name w:val="xl70"/>
    <w:basedOn w:val="1"/>
    <w:qFormat/>
    <w:uiPriority w:val="99"/>
    <w:pPr>
      <w:widowControl/>
      <w:pBdr>
        <w:top w:val="single" w:color="000000" w:sz="8" w:space="0"/>
        <w:bottom w:val="single" w:color="000000" w:sz="8" w:space="0"/>
        <w:right w:val="single" w:color="000000" w:sz="8" w:space="0"/>
      </w:pBdr>
      <w:shd w:val="clear" w:color="auto" w:fill="FFFFFF"/>
      <w:spacing w:before="100" w:beforeAutospacing="1" w:after="100" w:afterAutospacing="1"/>
      <w:jc w:val="center"/>
    </w:pPr>
    <w:rPr>
      <w:rFonts w:ascii="宋体" w:hAnsi="宋体" w:cs="宋体"/>
      <w:b/>
      <w:bCs/>
      <w:color w:val="000000"/>
      <w:kern w:val="0"/>
      <w:szCs w:val="21"/>
    </w:rPr>
  </w:style>
  <w:style w:type="paragraph" w:customStyle="1" w:styleId="140">
    <w:name w:val="标准称谓"/>
    <w:next w:val="1"/>
    <w:qFormat/>
    <w:uiPriority w:val="99"/>
    <w:pPr>
      <w:framePr w:w="9639" w:h="624" w:hSpace="181" w:vSpace="181" w:wrap="around" w:vAnchor="page" w:hAnchor="page" w:x="1419" w:y="2286" w:anchorLock="1"/>
      <w:widowControl w:val="0"/>
      <w:kinsoku w:val="0"/>
      <w:overflowPunct w:val="0"/>
      <w:autoSpaceDE w:val="0"/>
      <w:autoSpaceDN w:val="0"/>
      <w:spacing w:before="100" w:after="200" w:line="0" w:lineRule="atLeast"/>
      <w:jc w:val="distribute"/>
    </w:pPr>
    <w:rPr>
      <w:rFonts w:ascii="宋体" w:hAnsi="Calibri" w:eastAsia="宋体" w:cs="Times New Roman"/>
      <w:b/>
      <w:bCs/>
      <w:spacing w:val="20"/>
      <w:w w:val="148"/>
      <w:sz w:val="48"/>
      <w:lang w:val="en-US" w:eastAsia="zh-CN" w:bidi="ar-SA"/>
    </w:rPr>
  </w:style>
  <w:style w:type="paragraph" w:customStyle="1" w:styleId="141">
    <w:name w:val="修订1"/>
    <w:qFormat/>
    <w:uiPriority w:val="99"/>
    <w:rPr>
      <w:rFonts w:ascii="Times New Roman" w:hAnsi="Times New Roman" w:eastAsia="宋体" w:cs="Times New Roman"/>
      <w:kern w:val="2"/>
      <w:sz w:val="21"/>
      <w:szCs w:val="24"/>
      <w:lang w:val="en-US" w:eastAsia="zh-CN" w:bidi="ar-SA"/>
    </w:rPr>
  </w:style>
  <w:style w:type="paragraph" w:customStyle="1" w:styleId="142">
    <w:name w:val="xl65"/>
    <w:basedOn w:val="1"/>
    <w:qFormat/>
    <w:uiPriority w:val="99"/>
    <w:pPr>
      <w:widowControl/>
      <w:shd w:val="clear" w:color="auto" w:fill="FFFFFF"/>
      <w:spacing w:before="100" w:beforeAutospacing="1" w:after="100" w:afterAutospacing="1"/>
      <w:jc w:val="left"/>
    </w:pPr>
    <w:rPr>
      <w:rFonts w:ascii="宋体" w:hAnsi="宋体" w:cs="宋体"/>
      <w:kern w:val="0"/>
      <w:sz w:val="24"/>
    </w:rPr>
  </w:style>
  <w:style w:type="paragraph" w:customStyle="1" w:styleId="143">
    <w:name w:val="列项——"/>
    <w:qFormat/>
    <w:uiPriority w:val="99"/>
    <w:pPr>
      <w:widowControl w:val="0"/>
      <w:numPr>
        <w:ilvl w:val="0"/>
        <w:numId w:val="14"/>
      </w:numPr>
      <w:tabs>
        <w:tab w:val="left" w:pos="360"/>
      </w:tabs>
      <w:spacing w:before="100" w:after="200" w:line="276" w:lineRule="auto"/>
      <w:ind w:left="0" w:firstLine="0"/>
      <w:jc w:val="both"/>
    </w:pPr>
    <w:rPr>
      <w:rFonts w:ascii="宋体" w:hAnsi="Calibri" w:eastAsia="宋体" w:cs="Times New Roman"/>
      <w:sz w:val="21"/>
      <w:lang w:val="en-US" w:eastAsia="zh-CN" w:bidi="ar-SA"/>
    </w:rPr>
  </w:style>
  <w:style w:type="paragraph" w:customStyle="1" w:styleId="144">
    <w:name w:val="附录四级无"/>
    <w:basedOn w:val="145"/>
    <w:qFormat/>
    <w:uiPriority w:val="99"/>
    <w:pPr>
      <w:tabs>
        <w:tab w:val="left" w:pos="360"/>
        <w:tab w:val="left" w:pos="1680"/>
        <w:tab w:val="left" w:pos="2520"/>
      </w:tabs>
    </w:pPr>
    <w:rPr>
      <w:rFonts w:ascii="宋体" w:eastAsia="宋体"/>
      <w:szCs w:val="21"/>
    </w:rPr>
  </w:style>
  <w:style w:type="paragraph" w:customStyle="1" w:styleId="145">
    <w:name w:val="附录四级条标题"/>
    <w:basedOn w:val="146"/>
    <w:next w:val="81"/>
    <w:qFormat/>
    <w:uiPriority w:val="99"/>
    <w:pPr>
      <w:numPr>
        <w:ilvl w:val="0"/>
      </w:numPr>
      <w:tabs>
        <w:tab w:val="left" w:pos="360"/>
        <w:tab w:val="left" w:pos="1680"/>
        <w:tab w:val="left" w:pos="2520"/>
      </w:tabs>
      <w:ind w:left="2520" w:hanging="420"/>
      <w:outlineLvl w:val="5"/>
    </w:pPr>
  </w:style>
  <w:style w:type="paragraph" w:customStyle="1" w:styleId="146">
    <w:name w:val="附录三级条标题"/>
    <w:basedOn w:val="147"/>
    <w:next w:val="81"/>
    <w:qFormat/>
    <w:uiPriority w:val="99"/>
    <w:pPr>
      <w:numPr>
        <w:ilvl w:val="4"/>
        <w:numId w:val="0"/>
      </w:numPr>
      <w:tabs>
        <w:tab w:val="left" w:pos="360"/>
        <w:tab w:val="left" w:pos="1680"/>
      </w:tabs>
      <w:outlineLvl w:val="4"/>
    </w:pPr>
  </w:style>
  <w:style w:type="paragraph" w:customStyle="1" w:styleId="147">
    <w:name w:val="附录二级条标题"/>
    <w:basedOn w:val="1"/>
    <w:next w:val="81"/>
    <w:qFormat/>
    <w:uiPriority w:val="99"/>
    <w:pPr>
      <w:widowControl/>
      <w:numPr>
        <w:ilvl w:val="3"/>
        <w:numId w:val="3"/>
      </w:numPr>
      <w:tabs>
        <w:tab w:val="left" w:pos="360"/>
      </w:tabs>
      <w:wordWrap w:val="0"/>
      <w:overflowPunct w:val="0"/>
      <w:autoSpaceDE w:val="0"/>
      <w:autoSpaceDN w:val="0"/>
      <w:spacing w:beforeLines="50" w:line="276" w:lineRule="auto"/>
      <w:jc w:val="left"/>
      <w:outlineLvl w:val="3"/>
    </w:pPr>
    <w:rPr>
      <w:rFonts w:ascii="黑体" w:hAnsi="Calibri" w:eastAsia="黑体"/>
      <w:kern w:val="21"/>
      <w:sz w:val="24"/>
      <w:szCs w:val="20"/>
    </w:rPr>
  </w:style>
  <w:style w:type="paragraph" w:customStyle="1" w:styleId="148">
    <w:name w:val="四级无标题条"/>
    <w:basedOn w:val="1"/>
    <w:qFormat/>
    <w:uiPriority w:val="99"/>
    <w:pPr>
      <w:widowControl/>
      <w:spacing w:before="100" w:after="200" w:line="276" w:lineRule="auto"/>
      <w:jc w:val="left"/>
    </w:pPr>
    <w:rPr>
      <w:rFonts w:ascii="Calibri" w:hAnsi="Calibri" w:eastAsia="楷体_GB2312"/>
      <w:kern w:val="0"/>
      <w:sz w:val="24"/>
      <w:szCs w:val="20"/>
    </w:rPr>
  </w:style>
  <w:style w:type="paragraph" w:customStyle="1" w:styleId="149">
    <w:name w:val="示例后文字"/>
    <w:basedOn w:val="81"/>
    <w:next w:val="81"/>
    <w:qFormat/>
    <w:uiPriority w:val="99"/>
    <w:pPr>
      <w:tabs>
        <w:tab w:val="center" w:pos="4201"/>
        <w:tab w:val="right" w:leader="dot" w:pos="9298"/>
      </w:tabs>
      <w:spacing w:before="100" w:after="200" w:line="276" w:lineRule="auto"/>
      <w:ind w:firstLine="360"/>
    </w:pPr>
    <w:rPr>
      <w:rFonts w:eastAsia="Times New Roman"/>
      <w:sz w:val="18"/>
    </w:rPr>
  </w:style>
  <w:style w:type="paragraph" w:customStyle="1" w:styleId="150">
    <w:name w:val="示例内容"/>
    <w:qFormat/>
    <w:uiPriority w:val="99"/>
    <w:pPr>
      <w:spacing w:before="100" w:after="200" w:line="276" w:lineRule="auto"/>
      <w:ind w:firstLine="200" w:firstLineChars="200"/>
    </w:pPr>
    <w:rPr>
      <w:rFonts w:ascii="宋体" w:hAnsi="Calibri" w:eastAsia="宋体" w:cs="Times New Roman"/>
      <w:sz w:val="18"/>
      <w:szCs w:val="18"/>
      <w:lang w:val="en-US" w:eastAsia="zh-CN" w:bidi="ar-SA"/>
    </w:rPr>
  </w:style>
  <w:style w:type="paragraph" w:customStyle="1" w:styleId="151">
    <w:name w:val="封面正文"/>
    <w:qFormat/>
    <w:uiPriority w:val="99"/>
    <w:pPr>
      <w:spacing w:before="100" w:after="200" w:line="276" w:lineRule="auto"/>
      <w:jc w:val="both"/>
    </w:pPr>
    <w:rPr>
      <w:rFonts w:ascii="Calibri" w:hAnsi="Calibri" w:eastAsia="宋体" w:cs="Times New Roman"/>
      <w:lang w:val="en-US" w:eastAsia="zh-CN" w:bidi="ar-SA"/>
    </w:rPr>
  </w:style>
  <w:style w:type="paragraph" w:customStyle="1" w:styleId="152">
    <w:name w:val="附录字母编号列项（一级）"/>
    <w:qFormat/>
    <w:uiPriority w:val="99"/>
    <w:pPr>
      <w:numPr>
        <w:ilvl w:val="0"/>
        <w:numId w:val="6"/>
      </w:numPr>
      <w:tabs>
        <w:tab w:val="clear" w:pos="675"/>
      </w:tabs>
      <w:spacing w:before="100" w:after="200" w:line="276" w:lineRule="auto"/>
      <w:ind w:left="360" w:hanging="360"/>
    </w:pPr>
    <w:rPr>
      <w:rFonts w:ascii="宋体" w:hAnsi="Calibri" w:eastAsia="宋体" w:cs="Times New Roman"/>
      <w:sz w:val="21"/>
      <w:lang w:val="en-US" w:eastAsia="zh-CN" w:bidi="ar-SA"/>
    </w:rPr>
  </w:style>
  <w:style w:type="paragraph" w:customStyle="1" w:styleId="153">
    <w:name w:val="其他标准称谓"/>
    <w:next w:val="1"/>
    <w:qFormat/>
    <w:uiPriority w:val="99"/>
    <w:pPr>
      <w:framePr w:hSpace="181" w:vSpace="181" w:wrap="around" w:vAnchor="page" w:hAnchor="page" w:x="1419" w:y="2286" w:anchorLock="1"/>
      <w:spacing w:before="100" w:after="200" w:line="0" w:lineRule="atLeast"/>
      <w:jc w:val="distribute"/>
    </w:pPr>
    <w:rPr>
      <w:rFonts w:ascii="黑体" w:hAnsi="宋体" w:eastAsia="黑体" w:cs="Times New Roman"/>
      <w:spacing w:val="-40"/>
      <w:sz w:val="48"/>
      <w:szCs w:val="52"/>
      <w:lang w:val="en-US" w:eastAsia="zh-CN" w:bidi="ar-SA"/>
    </w:rPr>
  </w:style>
  <w:style w:type="paragraph" w:customStyle="1" w:styleId="154">
    <w:name w:val="发布部门"/>
    <w:next w:val="81"/>
    <w:qFormat/>
    <w:uiPriority w:val="99"/>
    <w:pPr>
      <w:framePr w:w="7938" w:h="1134" w:hSpace="125" w:vSpace="181" w:wrap="around" w:vAnchor="page" w:hAnchor="page" w:x="2150" w:y="14630" w:anchorLock="1"/>
      <w:spacing w:before="100" w:after="200" w:line="276" w:lineRule="auto"/>
      <w:jc w:val="center"/>
    </w:pPr>
    <w:rPr>
      <w:rFonts w:ascii="宋体" w:hAnsi="Calibri" w:eastAsia="宋体" w:cs="Times New Roman"/>
      <w:b/>
      <w:spacing w:val="20"/>
      <w:w w:val="135"/>
      <w:sz w:val="28"/>
      <w:lang w:val="en-US" w:eastAsia="zh-CN" w:bidi="ar-SA"/>
    </w:rPr>
  </w:style>
  <w:style w:type="paragraph" w:customStyle="1" w:styleId="155">
    <w:name w:val="附录五级无"/>
    <w:basedOn w:val="156"/>
    <w:qFormat/>
    <w:uiPriority w:val="99"/>
    <w:pPr>
      <w:tabs>
        <w:tab w:val="left" w:pos="360"/>
        <w:tab w:val="left" w:pos="1680"/>
        <w:tab w:val="left" w:pos="2520"/>
        <w:tab w:val="left" w:pos="2940"/>
      </w:tabs>
    </w:pPr>
    <w:rPr>
      <w:rFonts w:ascii="宋体" w:eastAsia="宋体"/>
      <w:szCs w:val="21"/>
    </w:rPr>
  </w:style>
  <w:style w:type="paragraph" w:customStyle="1" w:styleId="156">
    <w:name w:val="附录五级条标题"/>
    <w:basedOn w:val="145"/>
    <w:next w:val="81"/>
    <w:qFormat/>
    <w:uiPriority w:val="99"/>
    <w:pPr>
      <w:tabs>
        <w:tab w:val="left" w:pos="2940"/>
      </w:tabs>
      <w:ind w:left="2940"/>
      <w:outlineLvl w:val="6"/>
    </w:pPr>
  </w:style>
  <w:style w:type="paragraph" w:customStyle="1" w:styleId="157">
    <w:name w:val="实施日期"/>
    <w:basedOn w:val="137"/>
    <w:qFormat/>
    <w:uiPriority w:val="99"/>
    <w:pPr>
      <w:framePr w:wrap="around" w:vAnchor="page" w:hAnchor="text"/>
      <w:jc w:val="right"/>
    </w:pPr>
  </w:style>
  <w:style w:type="paragraph" w:customStyle="1" w:styleId="158">
    <w:name w:val="五级无标题条"/>
    <w:basedOn w:val="1"/>
    <w:qFormat/>
    <w:uiPriority w:val="99"/>
    <w:pPr>
      <w:widowControl/>
      <w:spacing w:before="100" w:after="200" w:line="276" w:lineRule="auto"/>
      <w:jc w:val="left"/>
    </w:pPr>
    <w:rPr>
      <w:rFonts w:ascii="Calibri" w:hAnsi="Calibri" w:eastAsia="楷体_GB2312"/>
      <w:kern w:val="0"/>
      <w:sz w:val="24"/>
      <w:szCs w:val="20"/>
    </w:rPr>
  </w:style>
  <w:style w:type="paragraph" w:customStyle="1" w:styleId="159">
    <w:name w:val="参考文献"/>
    <w:basedOn w:val="1"/>
    <w:next w:val="81"/>
    <w:qFormat/>
    <w:uiPriority w:val="99"/>
    <w:pPr>
      <w:keepNext/>
      <w:pageBreakBefore/>
      <w:widowControl/>
      <w:shd w:val="clear" w:color="auto" w:fill="FFFFFF"/>
      <w:spacing w:before="640" w:after="200" w:line="276" w:lineRule="auto"/>
      <w:jc w:val="center"/>
      <w:outlineLvl w:val="0"/>
    </w:pPr>
    <w:rPr>
      <w:rFonts w:ascii="黑体" w:hAnsi="Calibri" w:eastAsia="黑体"/>
      <w:kern w:val="0"/>
      <w:sz w:val="24"/>
      <w:szCs w:val="20"/>
    </w:rPr>
  </w:style>
  <w:style w:type="paragraph" w:customStyle="1" w:styleId="160">
    <w:name w:val="参考文献、索引标题"/>
    <w:basedOn w:val="1"/>
    <w:next w:val="81"/>
    <w:qFormat/>
    <w:uiPriority w:val="99"/>
    <w:pPr>
      <w:keepNext/>
      <w:pageBreakBefore/>
      <w:widowControl/>
      <w:shd w:val="clear" w:color="auto" w:fill="FFFFFF"/>
      <w:spacing w:before="640" w:after="200" w:line="276" w:lineRule="auto"/>
      <w:jc w:val="center"/>
      <w:outlineLvl w:val="0"/>
    </w:pPr>
    <w:rPr>
      <w:rFonts w:ascii="黑体" w:hAnsi="Calibri" w:eastAsia="黑体"/>
      <w:kern w:val="0"/>
      <w:sz w:val="24"/>
      <w:szCs w:val="20"/>
    </w:rPr>
  </w:style>
  <w:style w:type="paragraph" w:customStyle="1" w:styleId="161">
    <w:name w:val="二级无标题条"/>
    <w:basedOn w:val="1"/>
    <w:qFormat/>
    <w:uiPriority w:val="99"/>
    <w:pPr>
      <w:widowControl/>
      <w:numPr>
        <w:ilvl w:val="3"/>
        <w:numId w:val="14"/>
      </w:numPr>
      <w:tabs>
        <w:tab w:val="left" w:pos="1680"/>
      </w:tabs>
      <w:spacing w:before="100" w:after="200" w:line="276" w:lineRule="auto"/>
      <w:ind w:left="1680"/>
      <w:jc w:val="left"/>
    </w:pPr>
    <w:rPr>
      <w:rFonts w:ascii="Calibri" w:hAnsi="Calibri" w:eastAsia="楷体_GB2312"/>
      <w:kern w:val="0"/>
      <w:sz w:val="24"/>
      <w:szCs w:val="20"/>
    </w:rPr>
  </w:style>
  <w:style w:type="paragraph" w:customStyle="1" w:styleId="162">
    <w:name w:val="封面标准文稿编辑信息2"/>
    <w:basedOn w:val="132"/>
    <w:qFormat/>
    <w:uiPriority w:val="99"/>
    <w:pPr>
      <w:framePr w:wrap="around" w:y="4469"/>
    </w:pPr>
  </w:style>
  <w:style w:type="paragraph" w:customStyle="1" w:styleId="163">
    <w:name w:val="表格文字"/>
    <w:basedOn w:val="1"/>
    <w:qFormat/>
    <w:uiPriority w:val="0"/>
    <w:pPr>
      <w:spacing w:before="25" w:after="25"/>
      <w:jc w:val="center"/>
    </w:pPr>
    <w:rPr>
      <w:bCs/>
      <w:spacing w:val="10"/>
      <w:kern w:val="0"/>
      <w:sz w:val="24"/>
      <w:szCs w:val="20"/>
    </w:rPr>
  </w:style>
  <w:style w:type="paragraph" w:customStyle="1" w:styleId="164">
    <w:name w:val="正文图标题"/>
    <w:next w:val="81"/>
    <w:qFormat/>
    <w:uiPriority w:val="99"/>
    <w:pPr>
      <w:numPr>
        <w:ilvl w:val="0"/>
        <w:numId w:val="15"/>
      </w:numPr>
      <w:spacing w:beforeLines="50"/>
      <w:jc w:val="center"/>
    </w:pPr>
    <w:rPr>
      <w:rFonts w:ascii="黑体" w:hAnsi="Times New Roman" w:eastAsia="黑体" w:cs="Times New Roman"/>
      <w:sz w:val="21"/>
      <w:lang w:val="en-US" w:eastAsia="zh-CN" w:bidi="ar-SA"/>
    </w:rPr>
  </w:style>
  <w:style w:type="paragraph" w:customStyle="1" w:styleId="165">
    <w:name w:val="font4"/>
    <w:basedOn w:val="1"/>
    <w:qFormat/>
    <w:uiPriority w:val="99"/>
    <w:pPr>
      <w:widowControl/>
      <w:spacing w:before="100" w:beforeAutospacing="1" w:after="100" w:afterAutospacing="1"/>
      <w:jc w:val="left"/>
    </w:pPr>
    <w:rPr>
      <w:rFonts w:ascii="宋体" w:hAnsi="宋体" w:cs="宋体"/>
      <w:b/>
      <w:bCs/>
      <w:color w:val="000000"/>
      <w:kern w:val="0"/>
      <w:sz w:val="18"/>
      <w:szCs w:val="18"/>
    </w:rPr>
  </w:style>
  <w:style w:type="paragraph" w:customStyle="1" w:styleId="166">
    <w:name w:val="正文1"/>
    <w:basedOn w:val="9"/>
    <w:qFormat/>
    <w:uiPriority w:val="99"/>
    <w:rPr>
      <w:szCs w:val="21"/>
    </w:rPr>
  </w:style>
  <w:style w:type="paragraph" w:customStyle="1" w:styleId="167">
    <w:name w:val="附录三级无"/>
    <w:basedOn w:val="146"/>
    <w:qFormat/>
    <w:uiPriority w:val="99"/>
    <w:pPr>
      <w:tabs>
        <w:tab w:val="clear" w:pos="360"/>
      </w:tabs>
    </w:pPr>
    <w:rPr>
      <w:rFonts w:ascii="宋体" w:eastAsia="宋体"/>
      <w:szCs w:val="21"/>
    </w:rPr>
  </w:style>
  <w:style w:type="paragraph" w:customStyle="1" w:styleId="168">
    <w:name w:val="表格"/>
    <w:basedOn w:val="1"/>
    <w:qFormat/>
    <w:uiPriority w:val="99"/>
    <w:pPr>
      <w:spacing w:line="400" w:lineRule="exact"/>
    </w:pPr>
    <w:rPr>
      <w:sz w:val="24"/>
    </w:rPr>
  </w:style>
  <w:style w:type="paragraph" w:customStyle="1" w:styleId="169">
    <w:name w:val="附录图标号"/>
    <w:basedOn w:val="1"/>
    <w:qFormat/>
    <w:uiPriority w:val="99"/>
    <w:pPr>
      <w:keepNext/>
      <w:pageBreakBefore/>
      <w:widowControl/>
      <w:numPr>
        <w:ilvl w:val="0"/>
        <w:numId w:val="10"/>
      </w:numPr>
      <w:spacing w:before="100" w:after="200" w:line="14" w:lineRule="exact"/>
      <w:ind w:left="0" w:firstLine="363"/>
      <w:jc w:val="center"/>
      <w:outlineLvl w:val="0"/>
    </w:pPr>
    <w:rPr>
      <w:rFonts w:ascii="Calibri" w:hAnsi="Calibri" w:eastAsia="楷体_GB2312"/>
      <w:color w:val="FFFFFF"/>
      <w:kern w:val="0"/>
      <w:sz w:val="24"/>
      <w:szCs w:val="20"/>
    </w:rPr>
  </w:style>
  <w:style w:type="paragraph" w:customStyle="1" w:styleId="170">
    <w:name w:val="图表脚注"/>
    <w:next w:val="81"/>
    <w:qFormat/>
    <w:uiPriority w:val="99"/>
    <w:pPr>
      <w:spacing w:before="100" w:after="200" w:line="276" w:lineRule="auto"/>
      <w:ind w:left="300" w:leftChars="200" w:hanging="100" w:hangingChars="100"/>
      <w:jc w:val="both"/>
    </w:pPr>
    <w:rPr>
      <w:rFonts w:ascii="宋体" w:hAnsi="Calibri" w:eastAsia="宋体" w:cs="Times New Roman"/>
      <w:sz w:val="18"/>
      <w:lang w:val="en-US" w:eastAsia="zh-CN" w:bidi="ar-SA"/>
    </w:rPr>
  </w:style>
  <w:style w:type="paragraph" w:customStyle="1" w:styleId="171">
    <w:name w:val="附录二级无"/>
    <w:basedOn w:val="147"/>
    <w:qFormat/>
    <w:uiPriority w:val="99"/>
    <w:pPr>
      <w:tabs>
        <w:tab w:val="clear" w:pos="360"/>
      </w:tabs>
    </w:pPr>
    <w:rPr>
      <w:rFonts w:ascii="宋体" w:eastAsia="宋体"/>
      <w:szCs w:val="21"/>
    </w:rPr>
  </w:style>
  <w:style w:type="paragraph" w:customStyle="1" w:styleId="172">
    <w:name w:val="封面一致性程度标识2"/>
    <w:basedOn w:val="134"/>
    <w:qFormat/>
    <w:uiPriority w:val="99"/>
    <w:pPr>
      <w:framePr w:wrap="around" w:y="4469"/>
    </w:pPr>
  </w:style>
  <w:style w:type="paragraph" w:customStyle="1" w:styleId="173">
    <w:name w:val="abstract"/>
    <w:basedOn w:val="1"/>
    <w:next w:val="1"/>
    <w:qFormat/>
    <w:uiPriority w:val="99"/>
    <w:pPr>
      <w:spacing w:before="120" w:after="120"/>
      <w:ind w:left="1440" w:right="1440"/>
    </w:pPr>
    <w:rPr>
      <w:rFonts w:ascii="Book Antiqua" w:hAnsi="Book Antiqua"/>
      <w:i/>
      <w:sz w:val="20"/>
      <w:lang w:eastAsia="en-US"/>
    </w:rPr>
  </w:style>
  <w:style w:type="paragraph" w:customStyle="1" w:styleId="174">
    <w:name w:val="二级无"/>
    <w:basedOn w:val="89"/>
    <w:qFormat/>
    <w:uiPriority w:val="99"/>
    <w:pPr>
      <w:spacing w:before="50" w:after="50"/>
    </w:pPr>
    <w:rPr>
      <w:rFonts w:ascii="宋体" w:eastAsia="宋体"/>
    </w:rPr>
  </w:style>
  <w:style w:type="paragraph" w:customStyle="1" w:styleId="175">
    <w:name w:val="et3"/>
    <w:basedOn w:val="1"/>
    <w:qFormat/>
    <w:uiPriority w:val="99"/>
    <w:pPr>
      <w:widowControl/>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center"/>
    </w:pPr>
    <w:rPr>
      <w:rFonts w:ascii="宋体" w:hAnsi="宋体" w:cs="宋体"/>
      <w:b/>
      <w:bCs/>
      <w:kern w:val="0"/>
      <w:sz w:val="24"/>
    </w:rPr>
  </w:style>
  <w:style w:type="paragraph" w:customStyle="1" w:styleId="176">
    <w:name w:val="其他发布部门"/>
    <w:basedOn w:val="154"/>
    <w:qFormat/>
    <w:uiPriority w:val="99"/>
    <w:pPr>
      <w:framePr w:wrap="around" w:y="15310"/>
      <w:spacing w:line="0" w:lineRule="atLeast"/>
    </w:pPr>
    <w:rPr>
      <w:rFonts w:ascii="黑体" w:eastAsia="黑体"/>
      <w:b w:val="0"/>
    </w:rPr>
  </w:style>
  <w:style w:type="paragraph" w:customStyle="1" w:styleId="177">
    <w:name w:val="样式 标题 1_A"/>
    <w:basedOn w:val="3"/>
    <w:qFormat/>
    <w:uiPriority w:val="99"/>
    <w:pPr>
      <w:keepNext w:val="0"/>
      <w:keepLines w:val="0"/>
      <w:pBdr>
        <w:top w:val="single" w:color="5B9BD5" w:sz="24" w:space="0"/>
        <w:left w:val="single" w:color="5B9BD5" w:sz="24" w:space="0"/>
        <w:bottom w:val="single" w:color="5B9BD5" w:sz="24" w:space="0"/>
        <w:right w:val="single" w:color="5B9BD5" w:sz="24" w:space="0"/>
      </w:pBdr>
      <w:shd w:val="clear" w:color="auto" w:fill="5B9BD5"/>
      <w:spacing w:before="0" w:after="0" w:line="240" w:lineRule="auto"/>
    </w:pPr>
    <w:rPr>
      <w:rFonts w:ascii="楷体_GB2312" w:hAnsi="楷体_GB2312" w:eastAsia="楷体_GB2312"/>
      <w:bCs w:val="0"/>
      <w:caps/>
      <w:color w:val="FFFFFF"/>
      <w:spacing w:val="-2"/>
      <w:kern w:val="2"/>
      <w:szCs w:val="22"/>
    </w:rPr>
  </w:style>
  <w:style w:type="paragraph" w:customStyle="1" w:styleId="178">
    <w:name w:val="封面标准代替信息"/>
    <w:qFormat/>
    <w:uiPriority w:val="99"/>
    <w:pPr>
      <w:framePr w:w="9140" w:h="1242" w:hSpace="284" w:wrap="around" w:vAnchor="page" w:hAnchor="page" w:x="1645" w:y="2910" w:anchorLock="1"/>
      <w:spacing w:before="57" w:after="200" w:line="280" w:lineRule="exact"/>
      <w:jc w:val="right"/>
    </w:pPr>
    <w:rPr>
      <w:rFonts w:ascii="宋体" w:hAnsi="Calibri" w:eastAsia="宋体" w:cs="Times New Roman"/>
      <w:sz w:val="21"/>
      <w:szCs w:val="21"/>
      <w:lang w:val="en-US" w:eastAsia="zh-CN" w:bidi="ar-SA"/>
    </w:rPr>
  </w:style>
  <w:style w:type="paragraph" w:customStyle="1" w:styleId="179">
    <w:name w:val="样式"/>
    <w:qFormat/>
    <w:uiPriority w:val="99"/>
    <w:pPr>
      <w:widowControl w:val="0"/>
      <w:autoSpaceDE w:val="0"/>
      <w:autoSpaceDN w:val="0"/>
      <w:adjustRightInd w:val="0"/>
      <w:jc w:val="center"/>
    </w:pPr>
    <w:rPr>
      <w:rFonts w:ascii="宋体" w:hAnsi="宋体" w:eastAsia="宋体" w:cs="宋体"/>
      <w:sz w:val="24"/>
      <w:szCs w:val="24"/>
      <w:lang w:val="en-US" w:eastAsia="zh-CN" w:bidi="ar-SA"/>
    </w:rPr>
  </w:style>
  <w:style w:type="paragraph" w:customStyle="1" w:styleId="180">
    <w:name w:val="列项说明数字编号"/>
    <w:qFormat/>
    <w:uiPriority w:val="99"/>
    <w:pPr>
      <w:spacing w:before="100" w:after="200" w:line="276" w:lineRule="auto"/>
      <w:ind w:left="600" w:leftChars="400" w:hanging="200" w:hangingChars="200"/>
    </w:pPr>
    <w:rPr>
      <w:rFonts w:ascii="宋体" w:hAnsi="Calibri" w:eastAsia="宋体" w:cs="Times New Roman"/>
      <w:sz w:val="21"/>
      <w:lang w:val="en-US" w:eastAsia="zh-CN" w:bidi="ar-SA"/>
    </w:rPr>
  </w:style>
  <w:style w:type="paragraph" w:customStyle="1" w:styleId="181">
    <w:name w:val="样式 标题 3 + (中文) 黑体 小四 非加粗 段前: 7.8 磅 段后: 0 磅 行距: 固定值 20 磅"/>
    <w:basedOn w:val="5"/>
    <w:qFormat/>
    <w:uiPriority w:val="99"/>
    <w:pPr>
      <w:spacing w:before="0" w:after="0" w:line="400" w:lineRule="exact"/>
    </w:pPr>
    <w:rPr>
      <w:rFonts w:eastAsia="黑体" w:cs="宋体"/>
      <w:b w:val="0"/>
      <w:bCs w:val="0"/>
      <w:sz w:val="24"/>
      <w:szCs w:val="20"/>
    </w:rPr>
  </w:style>
  <w:style w:type="paragraph" w:customStyle="1" w:styleId="182">
    <w:name w:val="font3"/>
    <w:basedOn w:val="1"/>
    <w:qFormat/>
    <w:uiPriority w:val="99"/>
    <w:pPr>
      <w:widowControl/>
      <w:spacing w:before="100" w:beforeAutospacing="1" w:after="100" w:afterAutospacing="1"/>
      <w:jc w:val="left"/>
    </w:pPr>
    <w:rPr>
      <w:rFonts w:ascii="宋体" w:hAnsi="宋体" w:cs="宋体"/>
      <w:b/>
      <w:bCs/>
      <w:color w:val="000000"/>
      <w:kern w:val="0"/>
      <w:sz w:val="20"/>
      <w:szCs w:val="20"/>
    </w:rPr>
  </w:style>
  <w:style w:type="paragraph" w:customStyle="1" w:styleId="183">
    <w:name w:val="样式 标题 2 + Times New Roman 四号 非加粗 段前: 5 磅 段后: 0 磅 行距: 固定值 20..."/>
    <w:basedOn w:val="4"/>
    <w:qFormat/>
    <w:uiPriority w:val="99"/>
    <w:pPr>
      <w:spacing w:before="100" w:after="0" w:line="400" w:lineRule="exact"/>
    </w:pPr>
    <w:rPr>
      <w:rFonts w:ascii="Times New Roman" w:hAnsi="Times New Roman" w:cs="宋体"/>
      <w:b w:val="0"/>
      <w:bCs w:val="0"/>
      <w:sz w:val="28"/>
      <w:szCs w:val="20"/>
    </w:rPr>
  </w:style>
  <w:style w:type="paragraph" w:customStyle="1" w:styleId="184">
    <w:name w:val="正文公式编号制表符"/>
    <w:basedOn w:val="81"/>
    <w:next w:val="81"/>
    <w:qFormat/>
    <w:uiPriority w:val="99"/>
    <w:pPr>
      <w:tabs>
        <w:tab w:val="center" w:pos="4201"/>
        <w:tab w:val="right" w:leader="dot" w:pos="9298"/>
      </w:tabs>
      <w:spacing w:before="100" w:after="200" w:line="276" w:lineRule="auto"/>
      <w:ind w:firstLine="0" w:firstLineChars="0"/>
    </w:pPr>
    <w:rPr>
      <w:rFonts w:eastAsia="Times New Roman"/>
    </w:rPr>
  </w:style>
  <w:style w:type="paragraph" w:customStyle="1" w:styleId="185">
    <w:name w:val="封面标准文稿类别2"/>
    <w:basedOn w:val="133"/>
    <w:qFormat/>
    <w:uiPriority w:val="99"/>
    <w:pPr>
      <w:framePr w:wrap="around" w:y="4469"/>
    </w:pPr>
  </w:style>
  <w:style w:type="paragraph" w:customStyle="1" w:styleId="186">
    <w:name w:val="封面标准号1"/>
    <w:qFormat/>
    <w:uiPriority w:val="99"/>
    <w:pPr>
      <w:widowControl w:val="0"/>
      <w:kinsoku w:val="0"/>
      <w:overflowPunct w:val="0"/>
      <w:autoSpaceDE w:val="0"/>
      <w:autoSpaceDN w:val="0"/>
      <w:spacing w:before="308" w:after="200" w:line="276" w:lineRule="auto"/>
      <w:jc w:val="right"/>
    </w:pPr>
    <w:rPr>
      <w:rFonts w:ascii="Calibri" w:hAnsi="Calibri" w:eastAsia="宋体" w:cs="Times New Roman"/>
      <w:sz w:val="28"/>
      <w:lang w:val="en-US" w:eastAsia="zh-CN" w:bidi="ar-SA"/>
    </w:rPr>
  </w:style>
  <w:style w:type="paragraph" w:customStyle="1" w:styleId="187">
    <w:name w:val="et2"/>
    <w:basedOn w:val="1"/>
    <w:qFormat/>
    <w:uiPriority w:val="99"/>
    <w:pPr>
      <w:widowControl/>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center"/>
    </w:pPr>
    <w:rPr>
      <w:rFonts w:ascii="宋体" w:hAnsi="宋体" w:cs="宋体"/>
      <w:b/>
      <w:bCs/>
      <w:kern w:val="0"/>
      <w:sz w:val="24"/>
    </w:rPr>
  </w:style>
  <w:style w:type="paragraph" w:customStyle="1" w:styleId="188">
    <w:name w:val="无间隔1"/>
    <w:qFormat/>
    <w:uiPriority w:val="1"/>
    <w:pPr>
      <w:spacing w:before="100"/>
    </w:pPr>
    <w:rPr>
      <w:rFonts w:ascii="Calibri" w:hAnsi="Calibri" w:eastAsia="宋体" w:cs="Times New Roman"/>
      <w:lang w:val="en-US" w:eastAsia="zh-CN" w:bidi="ar-SA"/>
    </w:rPr>
  </w:style>
  <w:style w:type="paragraph" w:customStyle="1" w:styleId="189">
    <w:name w:val="标准书脚_奇数页"/>
    <w:qFormat/>
    <w:uiPriority w:val="99"/>
    <w:pPr>
      <w:spacing w:before="120" w:after="200" w:line="276" w:lineRule="auto"/>
      <w:ind w:right="198"/>
      <w:jc w:val="right"/>
    </w:pPr>
    <w:rPr>
      <w:rFonts w:ascii="宋体" w:hAnsi="Calibri" w:eastAsia="宋体" w:cs="Times New Roman"/>
      <w:sz w:val="18"/>
      <w:szCs w:val="18"/>
      <w:lang w:val="en-US" w:eastAsia="zh-CN" w:bidi="ar-SA"/>
    </w:rPr>
  </w:style>
  <w:style w:type="paragraph" w:customStyle="1" w:styleId="190">
    <w:name w:val="样式 首行缩进:  2 字符"/>
    <w:basedOn w:val="1"/>
    <w:qFormat/>
    <w:uiPriority w:val="99"/>
    <w:pPr>
      <w:spacing w:line="400" w:lineRule="exact"/>
      <w:ind w:firstLine="200" w:firstLineChars="200"/>
    </w:pPr>
    <w:rPr>
      <w:rFonts w:cs="宋体"/>
      <w:sz w:val="24"/>
    </w:rPr>
  </w:style>
  <w:style w:type="paragraph" w:customStyle="1" w:styleId="191">
    <w:name w:val="列项●（二级）"/>
    <w:qFormat/>
    <w:uiPriority w:val="99"/>
    <w:pPr>
      <w:numPr>
        <w:ilvl w:val="1"/>
        <w:numId w:val="16"/>
      </w:numPr>
      <w:spacing w:before="100" w:after="200" w:line="276" w:lineRule="auto"/>
      <w:jc w:val="both"/>
    </w:pPr>
    <w:rPr>
      <w:rFonts w:ascii="宋体" w:hAnsi="Calibri" w:eastAsia="宋体" w:cs="Times New Roman"/>
      <w:sz w:val="21"/>
      <w:lang w:val="en-US" w:eastAsia="zh-CN" w:bidi="ar-SA"/>
    </w:rPr>
  </w:style>
  <w:style w:type="paragraph" w:customStyle="1" w:styleId="192">
    <w:name w:val="et7"/>
    <w:basedOn w:val="1"/>
    <w:qFormat/>
    <w:uiPriority w:val="99"/>
    <w:pPr>
      <w:widowControl/>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center"/>
    </w:pPr>
    <w:rPr>
      <w:rFonts w:ascii="宋体" w:hAnsi="宋体" w:cs="宋体"/>
      <w:kern w:val="0"/>
      <w:sz w:val="24"/>
    </w:rPr>
  </w:style>
  <w:style w:type="paragraph" w:customStyle="1" w:styleId="193">
    <w:name w:val="列项——（一级）"/>
    <w:qFormat/>
    <w:uiPriority w:val="99"/>
    <w:pPr>
      <w:widowControl w:val="0"/>
      <w:numPr>
        <w:ilvl w:val="0"/>
        <w:numId w:val="16"/>
      </w:numPr>
      <w:spacing w:before="100" w:after="200" w:line="276" w:lineRule="auto"/>
      <w:ind w:left="360" w:hanging="360"/>
      <w:jc w:val="both"/>
    </w:pPr>
    <w:rPr>
      <w:rFonts w:ascii="宋体" w:hAnsi="Calibri" w:eastAsia="宋体" w:cs="Times New Roman"/>
      <w:sz w:val="21"/>
      <w:lang w:val="en-US" w:eastAsia="zh-CN" w:bidi="ar-SA"/>
    </w:rPr>
  </w:style>
  <w:style w:type="paragraph" w:customStyle="1" w:styleId="194">
    <w:name w:val="正文首行缩进两字符"/>
    <w:basedOn w:val="1"/>
    <w:qFormat/>
    <w:uiPriority w:val="99"/>
    <w:pPr>
      <w:spacing w:line="360" w:lineRule="auto"/>
      <w:ind w:firstLine="200" w:firstLineChars="200"/>
    </w:pPr>
  </w:style>
  <w:style w:type="paragraph" w:customStyle="1" w:styleId="195">
    <w:name w:val="示例×："/>
    <w:basedOn w:val="88"/>
    <w:qFormat/>
    <w:uiPriority w:val="99"/>
    <w:pPr>
      <w:numPr>
        <w:numId w:val="17"/>
      </w:numPr>
      <w:tabs>
        <w:tab w:val="left" w:pos="420"/>
        <w:tab w:val="left" w:pos="425"/>
      </w:tabs>
      <w:spacing w:line="276" w:lineRule="auto"/>
      <w:ind w:left="360" w:hanging="360"/>
      <w:outlineLvl w:val="9"/>
    </w:pPr>
    <w:rPr>
      <w:rFonts w:ascii="宋体" w:hAnsi="Calibri" w:eastAsia="宋体"/>
      <w:sz w:val="18"/>
      <w:szCs w:val="18"/>
    </w:rPr>
  </w:style>
  <w:style w:type="paragraph" w:customStyle="1" w:styleId="196">
    <w:name w:val="正文首行缩进 21"/>
    <w:basedOn w:val="197"/>
    <w:qFormat/>
    <w:uiPriority w:val="99"/>
    <w:pPr>
      <w:widowControl/>
      <w:adjustRightInd w:val="0"/>
      <w:snapToGrid w:val="0"/>
      <w:ind w:firstLine="420" w:firstLineChars="200"/>
    </w:pPr>
    <w:rPr>
      <w:rFonts w:ascii="Calibri" w:hAnsi="Calibri" w:eastAsia="仿宋"/>
      <w:kern w:val="44"/>
      <w:sz w:val="24"/>
      <w:szCs w:val="22"/>
      <w:lang w:val="zh-CN" w:eastAsia="en-US"/>
    </w:rPr>
  </w:style>
  <w:style w:type="paragraph" w:customStyle="1" w:styleId="197">
    <w:name w:val="Body Text Indent1"/>
    <w:basedOn w:val="1"/>
    <w:qFormat/>
    <w:uiPriority w:val="0"/>
    <w:pPr>
      <w:spacing w:after="120"/>
      <w:ind w:left="420" w:leftChars="200"/>
    </w:pPr>
  </w:style>
  <w:style w:type="paragraph" w:customStyle="1" w:styleId="198">
    <w:name w:val="xl69"/>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4"/>
    </w:rPr>
  </w:style>
  <w:style w:type="paragraph" w:customStyle="1" w:styleId="199">
    <w:name w:val="封面标准号2"/>
    <w:qFormat/>
    <w:uiPriority w:val="99"/>
    <w:pPr>
      <w:framePr w:w="9140" w:h="1242" w:hSpace="284" w:wrap="around" w:vAnchor="page" w:hAnchor="page" w:x="1645" w:y="2910" w:anchorLock="1"/>
      <w:spacing w:before="357" w:after="200" w:line="280" w:lineRule="exact"/>
      <w:jc w:val="right"/>
    </w:pPr>
    <w:rPr>
      <w:rFonts w:ascii="黑体" w:hAnsi="Calibri" w:eastAsia="黑体" w:cs="Times New Roman"/>
      <w:sz w:val="28"/>
      <w:szCs w:val="28"/>
      <w:lang w:val="en-US" w:eastAsia="zh-CN" w:bidi="ar-SA"/>
    </w:rPr>
  </w:style>
  <w:style w:type="paragraph" w:customStyle="1" w:styleId="200">
    <w:name w:val="其他标准标志"/>
    <w:basedOn w:val="106"/>
    <w:qFormat/>
    <w:uiPriority w:val="99"/>
    <w:pPr>
      <w:framePr w:w="6101" w:wrap="around" w:vAnchor="page" w:hAnchor="page" w:x="4673" w:y="942"/>
    </w:pPr>
    <w:rPr>
      <w:w w:val="130"/>
    </w:rPr>
  </w:style>
  <w:style w:type="paragraph" w:customStyle="1" w:styleId="201">
    <w:name w:val="三级无"/>
    <w:basedOn w:val="123"/>
    <w:qFormat/>
    <w:uiPriority w:val="99"/>
    <w:pPr>
      <w:spacing w:before="50" w:after="50"/>
    </w:pPr>
    <w:rPr>
      <w:rFonts w:ascii="宋体" w:eastAsia="宋体"/>
    </w:rPr>
  </w:style>
  <w:style w:type="paragraph" w:customStyle="1" w:styleId="202">
    <w:name w:val="编号列项（三级）"/>
    <w:qFormat/>
    <w:uiPriority w:val="99"/>
    <w:pPr>
      <w:spacing w:before="100" w:after="200" w:line="276" w:lineRule="auto"/>
    </w:pPr>
    <w:rPr>
      <w:rFonts w:ascii="宋体" w:hAnsi="Calibri" w:eastAsia="宋体" w:cs="Times New Roman"/>
      <w:sz w:val="21"/>
      <w:lang w:val="en-US" w:eastAsia="zh-CN" w:bidi="ar-SA"/>
    </w:rPr>
  </w:style>
  <w:style w:type="paragraph" w:customStyle="1" w:styleId="203">
    <w:name w:val="列项◆（三级）"/>
    <w:basedOn w:val="1"/>
    <w:qFormat/>
    <w:uiPriority w:val="99"/>
    <w:pPr>
      <w:widowControl/>
      <w:numPr>
        <w:ilvl w:val="2"/>
        <w:numId w:val="16"/>
      </w:numPr>
      <w:tabs>
        <w:tab w:val="clear" w:pos="1260"/>
      </w:tabs>
      <w:spacing w:before="100" w:after="200" w:line="276" w:lineRule="auto"/>
      <w:jc w:val="left"/>
    </w:pPr>
    <w:rPr>
      <w:rFonts w:ascii="宋体" w:hAnsi="Calibri" w:eastAsia="楷体_GB2312"/>
      <w:kern w:val="0"/>
      <w:sz w:val="24"/>
      <w:szCs w:val="21"/>
    </w:rPr>
  </w:style>
  <w:style w:type="paragraph" w:customStyle="1" w:styleId="204">
    <w:name w:val="字母编号列项（一级）"/>
    <w:qFormat/>
    <w:uiPriority w:val="99"/>
    <w:pPr>
      <w:numPr>
        <w:ilvl w:val="0"/>
        <w:numId w:val="18"/>
      </w:numPr>
      <w:jc w:val="both"/>
    </w:pPr>
    <w:rPr>
      <w:rFonts w:ascii="宋体" w:hAnsi="Times New Roman" w:eastAsia="宋体" w:cs="Times New Roman"/>
      <w:sz w:val="21"/>
      <w:lang w:val="en-US" w:eastAsia="zh-CN" w:bidi="ar-SA"/>
    </w:rPr>
  </w:style>
  <w:style w:type="paragraph" w:customStyle="1" w:styleId="205">
    <w:name w:val="图表脚注说明"/>
    <w:basedOn w:val="1"/>
    <w:qFormat/>
    <w:uiPriority w:val="99"/>
    <w:pPr>
      <w:widowControl/>
      <w:numPr>
        <w:ilvl w:val="0"/>
        <w:numId w:val="19"/>
      </w:numPr>
      <w:spacing w:before="100" w:after="200" w:line="276" w:lineRule="auto"/>
      <w:ind w:left="360" w:hanging="360"/>
      <w:jc w:val="left"/>
    </w:pPr>
    <w:rPr>
      <w:rFonts w:ascii="宋体" w:hAnsi="Calibri" w:eastAsia="楷体_GB2312"/>
      <w:kern w:val="0"/>
      <w:sz w:val="18"/>
      <w:szCs w:val="18"/>
    </w:rPr>
  </w:style>
  <w:style w:type="paragraph" w:customStyle="1" w:styleId="206">
    <w:name w:val="TOC 标题1"/>
    <w:basedOn w:val="3"/>
    <w:next w:val="1"/>
    <w:qFormat/>
    <w:uiPriority w:val="39"/>
    <w:pPr>
      <w:keepNext w:val="0"/>
      <w:keepLines w:val="0"/>
      <w:widowControl/>
      <w:pBdr>
        <w:top w:val="single" w:color="5B9BD5" w:sz="24" w:space="0"/>
        <w:left w:val="single" w:color="5B9BD5" w:sz="24" w:space="0"/>
        <w:bottom w:val="single" w:color="5B9BD5" w:sz="24" w:space="0"/>
        <w:right w:val="single" w:color="5B9BD5" w:sz="24" w:space="0"/>
      </w:pBdr>
      <w:shd w:val="clear" w:color="auto" w:fill="5B9BD5"/>
      <w:spacing w:before="100" w:after="0" w:line="276" w:lineRule="auto"/>
      <w:jc w:val="left"/>
      <w:outlineLvl w:val="9"/>
    </w:pPr>
    <w:rPr>
      <w:rFonts w:ascii="Calibri" w:hAnsi="Calibri"/>
      <w:bCs w:val="0"/>
      <w:caps/>
      <w:color w:val="FFFFFF"/>
      <w:spacing w:val="-2"/>
      <w:kern w:val="0"/>
      <w:szCs w:val="22"/>
    </w:rPr>
  </w:style>
  <w:style w:type="paragraph" w:customStyle="1" w:styleId="207">
    <w:name w:val="样式 标题 2 _A"/>
    <w:basedOn w:val="4"/>
    <w:qFormat/>
    <w:uiPriority w:val="99"/>
    <w:pPr>
      <w:numPr>
        <w:ilvl w:val="1"/>
        <w:numId w:val="20"/>
      </w:numPr>
      <w:spacing w:after="20" w:line="410" w:lineRule="auto"/>
    </w:pPr>
    <w:rPr>
      <w:rFonts w:ascii="楷体_GB2312" w:hAnsi="楷体_GB2312" w:eastAsia="楷体_GB2312" w:cs="宋体"/>
      <w:kern w:val="44"/>
    </w:rPr>
  </w:style>
  <w:style w:type="paragraph" w:customStyle="1" w:styleId="208">
    <w:name w:val="修订2"/>
    <w:qFormat/>
    <w:uiPriority w:val="99"/>
    <w:rPr>
      <w:rFonts w:ascii="Times New Roman" w:hAnsi="Times New Roman" w:eastAsia="微软雅黑" w:cs="Times New Roman"/>
      <w:kern w:val="44"/>
      <w:sz w:val="24"/>
      <w:lang w:val="en-US" w:eastAsia="en-US" w:bidi="ar-SA"/>
    </w:rPr>
  </w:style>
  <w:style w:type="paragraph" w:customStyle="1" w:styleId="209">
    <w:name w:val="et5"/>
    <w:basedOn w:val="1"/>
    <w:qFormat/>
    <w:uiPriority w:val="99"/>
    <w:pPr>
      <w:widowControl/>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center"/>
    </w:pPr>
    <w:rPr>
      <w:rFonts w:ascii="宋体" w:hAnsi="宋体" w:cs="宋体"/>
      <w:kern w:val="0"/>
      <w:sz w:val="24"/>
    </w:rPr>
  </w:style>
  <w:style w:type="paragraph" w:customStyle="1" w:styleId="210">
    <w:name w:val="msonormal"/>
    <w:basedOn w:val="1"/>
    <w:qFormat/>
    <w:uiPriority w:val="99"/>
    <w:pPr>
      <w:widowControl/>
      <w:spacing w:before="100" w:beforeAutospacing="1" w:after="100" w:afterAutospacing="1"/>
      <w:jc w:val="left"/>
    </w:pPr>
    <w:rPr>
      <w:rFonts w:ascii="宋体" w:hAnsi="宋体" w:cs="宋体"/>
      <w:kern w:val="0"/>
      <w:sz w:val="24"/>
    </w:rPr>
  </w:style>
  <w:style w:type="paragraph" w:customStyle="1" w:styleId="211">
    <w:name w:val="正文表标题"/>
    <w:next w:val="81"/>
    <w:qFormat/>
    <w:uiPriority w:val="99"/>
    <w:pPr>
      <w:tabs>
        <w:tab w:val="left" w:pos="1620"/>
      </w:tabs>
      <w:ind w:left="1620" w:hanging="348"/>
      <w:jc w:val="center"/>
    </w:pPr>
    <w:rPr>
      <w:rFonts w:ascii="黑体" w:hAnsi="Times New Roman" w:eastAsia="黑体" w:cs="Times New Roman"/>
      <w:sz w:val="21"/>
      <w:lang w:val="en-US" w:eastAsia="zh-CN" w:bidi="ar-SA"/>
    </w:rPr>
  </w:style>
  <w:style w:type="paragraph" w:customStyle="1" w:styleId="212">
    <w:name w:val="标准书眉_偶数页"/>
    <w:basedOn w:val="213"/>
    <w:next w:val="1"/>
    <w:qFormat/>
    <w:uiPriority w:val="99"/>
    <w:pPr>
      <w:tabs>
        <w:tab w:val="center" w:pos="4154"/>
        <w:tab w:val="right" w:pos="8306"/>
      </w:tabs>
      <w:jc w:val="left"/>
    </w:pPr>
  </w:style>
  <w:style w:type="paragraph" w:customStyle="1" w:styleId="213">
    <w:name w:val="标准书眉_奇数页"/>
    <w:next w:val="1"/>
    <w:qFormat/>
    <w:uiPriority w:val="99"/>
    <w:pPr>
      <w:tabs>
        <w:tab w:val="center" w:pos="4154"/>
        <w:tab w:val="right" w:pos="8306"/>
      </w:tabs>
      <w:spacing w:before="100" w:after="220" w:line="276" w:lineRule="auto"/>
      <w:jc w:val="right"/>
    </w:pPr>
    <w:rPr>
      <w:rFonts w:ascii="黑体" w:hAnsi="Calibri" w:eastAsia="黑体" w:cs="Times New Roman"/>
      <w:sz w:val="21"/>
      <w:szCs w:val="21"/>
      <w:lang w:val="en-US" w:eastAsia="zh-CN" w:bidi="ar-SA"/>
    </w:rPr>
  </w:style>
  <w:style w:type="paragraph" w:customStyle="1" w:styleId="214">
    <w:name w:val="无标题条"/>
    <w:next w:val="81"/>
    <w:qFormat/>
    <w:uiPriority w:val="99"/>
    <w:pPr>
      <w:spacing w:before="100" w:after="200" w:line="276" w:lineRule="auto"/>
      <w:jc w:val="both"/>
    </w:pPr>
    <w:rPr>
      <w:rFonts w:ascii="Calibri" w:hAnsi="Calibri" w:eastAsia="宋体" w:cs="Times New Roman"/>
      <w:sz w:val="21"/>
      <w:lang w:val="en-US" w:eastAsia="zh-CN" w:bidi="ar-SA"/>
    </w:rPr>
  </w:style>
  <w:style w:type="paragraph" w:customStyle="1" w:styleId="215">
    <w:name w:val="Char1"/>
    <w:basedOn w:val="1"/>
    <w:qFormat/>
    <w:uiPriority w:val="99"/>
    <w:rPr>
      <w:szCs w:val="21"/>
    </w:rPr>
  </w:style>
  <w:style w:type="paragraph" w:customStyle="1" w:styleId="216">
    <w:name w:val="目次、索引正文"/>
    <w:qFormat/>
    <w:uiPriority w:val="99"/>
    <w:pPr>
      <w:spacing w:before="100" w:after="200" w:line="320" w:lineRule="exact"/>
      <w:jc w:val="both"/>
    </w:pPr>
    <w:rPr>
      <w:rFonts w:ascii="宋体" w:hAnsi="Calibri" w:eastAsia="宋体" w:cs="Times New Roman"/>
      <w:sz w:val="21"/>
      <w:lang w:val="en-US" w:eastAsia="zh-CN" w:bidi="ar-SA"/>
    </w:rPr>
  </w:style>
  <w:style w:type="paragraph" w:customStyle="1" w:styleId="217">
    <w:name w:val="图的脚注"/>
    <w:next w:val="81"/>
    <w:qFormat/>
    <w:uiPriority w:val="99"/>
    <w:pPr>
      <w:widowControl w:val="0"/>
      <w:spacing w:before="100" w:after="200" w:line="276" w:lineRule="auto"/>
      <w:ind w:left="840" w:leftChars="200" w:hanging="420" w:hangingChars="200"/>
      <w:jc w:val="both"/>
    </w:pPr>
    <w:rPr>
      <w:rFonts w:ascii="宋体" w:hAnsi="Calibri" w:eastAsia="宋体" w:cs="Times New Roman"/>
      <w:sz w:val="18"/>
      <w:lang w:val="en-US" w:eastAsia="zh-CN" w:bidi="ar-SA"/>
    </w:rPr>
  </w:style>
  <w:style w:type="paragraph" w:customStyle="1" w:styleId="218">
    <w:name w:val="纯文本1"/>
    <w:basedOn w:val="1"/>
    <w:qFormat/>
    <w:uiPriority w:val="99"/>
    <w:rPr>
      <w:rFonts w:ascii="宋体" w:hAnsi="Courier New" w:cs="Century"/>
      <w:szCs w:val="21"/>
    </w:rPr>
  </w:style>
  <w:style w:type="paragraph" w:customStyle="1" w:styleId="219">
    <w:name w:val="附录表标号"/>
    <w:basedOn w:val="1"/>
    <w:next w:val="81"/>
    <w:qFormat/>
    <w:uiPriority w:val="99"/>
    <w:pPr>
      <w:widowControl/>
      <w:numPr>
        <w:ilvl w:val="0"/>
        <w:numId w:val="12"/>
      </w:numPr>
      <w:spacing w:before="100" w:after="200" w:line="14" w:lineRule="exact"/>
      <w:ind w:left="811" w:hanging="448"/>
      <w:jc w:val="center"/>
      <w:outlineLvl w:val="0"/>
    </w:pPr>
    <w:rPr>
      <w:rFonts w:ascii="Calibri" w:hAnsi="Calibri" w:eastAsia="楷体_GB2312"/>
      <w:color w:val="FFFFFF"/>
      <w:kern w:val="0"/>
      <w:sz w:val="24"/>
      <w:szCs w:val="20"/>
    </w:rPr>
  </w:style>
  <w:style w:type="paragraph" w:customStyle="1" w:styleId="220">
    <w:name w:val="_Style 214"/>
    <w:qFormat/>
    <w:uiPriority w:val="99"/>
    <w:rPr>
      <w:rFonts w:ascii="Times New Roman" w:hAnsi="Times New Roman" w:eastAsia="宋体" w:cs="Times New Roman"/>
      <w:kern w:val="2"/>
      <w:sz w:val="21"/>
      <w:szCs w:val="24"/>
      <w:lang w:val="en-US" w:eastAsia="zh-CN" w:bidi="ar-SA"/>
    </w:rPr>
  </w:style>
  <w:style w:type="paragraph" w:customStyle="1" w:styleId="221">
    <w:name w:val="其他实施日期"/>
    <w:basedOn w:val="157"/>
    <w:qFormat/>
    <w:uiPriority w:val="99"/>
    <w:pPr>
      <w:framePr w:wrap="around"/>
    </w:pPr>
  </w:style>
  <w:style w:type="paragraph" w:styleId="222">
    <w:name w:val="List Paragraph"/>
    <w:basedOn w:val="1"/>
    <w:qFormat/>
    <w:uiPriority w:val="99"/>
    <w:pPr>
      <w:ind w:firstLine="420" w:firstLineChars="200"/>
    </w:pPr>
  </w:style>
  <w:style w:type="paragraph" w:customStyle="1" w:styleId="223">
    <w:name w:val="默认段落字体 Para Char Char Char Char Char Char Char Char Char1 Char Char Char Char"/>
    <w:basedOn w:val="1"/>
    <w:qFormat/>
    <w:uiPriority w:val="99"/>
    <w:rPr>
      <w:rFonts w:ascii="Tahoma" w:hAnsi="Tahoma"/>
      <w:sz w:val="24"/>
      <w:szCs w:val="20"/>
    </w:rPr>
  </w:style>
  <w:style w:type="paragraph" w:customStyle="1" w:styleId="224">
    <w:name w:val="样式 样式 标题 1_A + 右侧:  0.37 厘米"/>
    <w:basedOn w:val="177"/>
    <w:qFormat/>
    <w:uiPriority w:val="99"/>
    <w:pPr>
      <w:numPr>
        <w:ilvl w:val="0"/>
        <w:numId w:val="20"/>
      </w:numPr>
      <w:ind w:left="-2" w:right="210" w:firstLine="0"/>
    </w:pPr>
    <w:rPr>
      <w:rFonts w:cs="宋体"/>
      <w:szCs w:val="20"/>
    </w:rPr>
  </w:style>
  <w:style w:type="paragraph" w:customStyle="1" w:styleId="225">
    <w:name w:val="示例"/>
    <w:next w:val="150"/>
    <w:qFormat/>
    <w:uiPriority w:val="99"/>
    <w:pPr>
      <w:widowControl w:val="0"/>
      <w:numPr>
        <w:ilvl w:val="0"/>
        <w:numId w:val="21"/>
      </w:numPr>
      <w:tabs>
        <w:tab w:val="clear" w:pos="425"/>
      </w:tabs>
      <w:spacing w:before="100" w:after="200" w:line="276" w:lineRule="auto"/>
      <w:ind w:left="840" w:hanging="420"/>
      <w:jc w:val="both"/>
    </w:pPr>
    <w:rPr>
      <w:rFonts w:ascii="宋体" w:hAnsi="Calibri" w:eastAsia="宋体" w:cs="Times New Roman"/>
      <w:sz w:val="18"/>
      <w:szCs w:val="18"/>
      <w:lang w:val="en-US" w:eastAsia="zh-CN" w:bidi="ar-SA"/>
    </w:rPr>
  </w:style>
  <w:style w:type="paragraph" w:customStyle="1" w:styleId="226">
    <w:name w:val="et9"/>
    <w:basedOn w:val="1"/>
    <w:qFormat/>
    <w:uiPriority w:val="99"/>
    <w:pPr>
      <w:widowControl/>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center"/>
    </w:pPr>
    <w:rPr>
      <w:rFonts w:ascii="宋体" w:hAnsi="宋体" w:cs="宋体"/>
      <w:color w:val="000000"/>
      <w:kern w:val="0"/>
      <w:sz w:val="24"/>
    </w:rPr>
  </w:style>
  <w:style w:type="paragraph" w:customStyle="1" w:styleId="227">
    <w:name w:val="表头"/>
    <w:qFormat/>
    <w:uiPriority w:val="99"/>
    <w:pPr>
      <w:jc w:val="center"/>
    </w:pPr>
    <w:rPr>
      <w:rFonts w:ascii="Times New Roman" w:hAnsi="Times New Roman" w:eastAsia="宋体" w:cs="Times New Roman"/>
      <w:b/>
      <w:kern w:val="2"/>
      <w:sz w:val="21"/>
      <w:szCs w:val="21"/>
      <w:lang w:val="en-US" w:eastAsia="zh-CN" w:bidi="ar-SA"/>
    </w:rPr>
  </w:style>
  <w:style w:type="paragraph" w:customStyle="1" w:styleId="228">
    <w:name w:val="font1"/>
    <w:basedOn w:val="1"/>
    <w:qFormat/>
    <w:uiPriority w:val="99"/>
    <w:pPr>
      <w:widowControl/>
      <w:spacing w:before="100" w:beforeAutospacing="1" w:after="100" w:afterAutospacing="1"/>
      <w:jc w:val="left"/>
    </w:pPr>
    <w:rPr>
      <w:rFonts w:ascii="宋体" w:hAnsi="宋体" w:cs="宋体"/>
      <w:b/>
      <w:bCs/>
      <w:color w:val="000000"/>
      <w:kern w:val="0"/>
      <w:sz w:val="22"/>
      <w:szCs w:val="22"/>
    </w:rPr>
  </w:style>
  <w:style w:type="paragraph" w:customStyle="1" w:styleId="229">
    <w:name w:val="文献分类号"/>
    <w:qFormat/>
    <w:uiPriority w:val="99"/>
    <w:pPr>
      <w:framePr w:hSpace="180" w:vSpace="180" w:wrap="around" w:vAnchor="margin" w:hAnchor="margin" w:y="1" w:anchorLock="1"/>
      <w:widowControl w:val="0"/>
      <w:spacing w:before="100" w:after="200" w:line="276" w:lineRule="auto"/>
    </w:pPr>
    <w:rPr>
      <w:rFonts w:ascii="黑体" w:hAnsi="Calibri" w:eastAsia="黑体" w:cs="Times New Roman"/>
      <w:sz w:val="21"/>
      <w:szCs w:val="21"/>
      <w:lang w:val="en-US" w:eastAsia="zh-CN" w:bidi="ar-SA"/>
    </w:rPr>
  </w:style>
  <w:style w:type="paragraph" w:customStyle="1" w:styleId="230">
    <w:name w:val="xl67"/>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b/>
      <w:bCs/>
      <w:kern w:val="0"/>
      <w:sz w:val="24"/>
    </w:rPr>
  </w:style>
  <w:style w:type="paragraph" w:customStyle="1" w:styleId="231">
    <w:name w:val="xl68"/>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4"/>
    </w:rPr>
  </w:style>
  <w:style w:type="paragraph" w:customStyle="1" w:styleId="232">
    <w:name w:val="et6"/>
    <w:basedOn w:val="1"/>
    <w:qFormat/>
    <w:uiPriority w:val="99"/>
    <w:pPr>
      <w:widowControl/>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center"/>
    </w:pPr>
    <w:rPr>
      <w:rFonts w:ascii="宋体" w:hAnsi="宋体" w:cs="宋体"/>
      <w:kern w:val="0"/>
      <w:sz w:val="24"/>
    </w:rPr>
  </w:style>
  <w:style w:type="paragraph" w:customStyle="1" w:styleId="233">
    <w:name w:val="三级无标题条"/>
    <w:basedOn w:val="1"/>
    <w:qFormat/>
    <w:uiPriority w:val="99"/>
    <w:pPr>
      <w:widowControl/>
      <w:spacing w:before="100" w:after="200" w:line="276" w:lineRule="auto"/>
      <w:jc w:val="left"/>
    </w:pPr>
    <w:rPr>
      <w:rFonts w:ascii="Calibri" w:hAnsi="Calibri" w:eastAsia="楷体_GB2312"/>
      <w:kern w:val="0"/>
      <w:sz w:val="24"/>
      <w:szCs w:val="20"/>
    </w:rPr>
  </w:style>
  <w:style w:type="paragraph" w:customStyle="1" w:styleId="234">
    <w:name w:val="四级无"/>
    <w:basedOn w:val="122"/>
    <w:qFormat/>
    <w:uiPriority w:val="99"/>
    <w:pPr>
      <w:numPr>
        <w:ilvl w:val="4"/>
        <w:numId w:val="5"/>
      </w:numPr>
      <w:tabs>
        <w:tab w:val="left" w:pos="1200"/>
      </w:tabs>
      <w:spacing w:before="50" w:after="50"/>
      <w:ind w:left="2100" w:hanging="420"/>
    </w:pPr>
    <w:rPr>
      <w:rFonts w:ascii="宋体" w:eastAsia="宋体"/>
    </w:rPr>
  </w:style>
  <w:style w:type="paragraph" w:customStyle="1" w:styleId="235">
    <w:name w:val="列项说明"/>
    <w:basedOn w:val="1"/>
    <w:qFormat/>
    <w:uiPriority w:val="99"/>
    <w:pPr>
      <w:widowControl/>
      <w:adjustRightInd w:val="0"/>
      <w:spacing w:before="100" w:after="200" w:line="320" w:lineRule="exact"/>
      <w:ind w:left="400" w:leftChars="200" w:hanging="200" w:hangingChars="200"/>
      <w:jc w:val="left"/>
    </w:pPr>
    <w:rPr>
      <w:rFonts w:ascii="宋体" w:hAnsi="Calibri" w:eastAsia="楷体_GB2312"/>
      <w:kern w:val="0"/>
      <w:sz w:val="24"/>
      <w:szCs w:val="20"/>
    </w:rPr>
  </w:style>
  <w:style w:type="paragraph" w:customStyle="1" w:styleId="236">
    <w:name w:val="目次、标准名称标题"/>
    <w:basedOn w:val="1"/>
    <w:next w:val="81"/>
    <w:qFormat/>
    <w:uiPriority w:val="99"/>
    <w:pPr>
      <w:keepNext/>
      <w:pageBreakBefore/>
      <w:widowControl/>
      <w:shd w:val="clear" w:color="auto" w:fill="FFFFFF"/>
      <w:spacing w:before="640" w:after="560" w:line="460" w:lineRule="exact"/>
      <w:jc w:val="center"/>
      <w:outlineLvl w:val="0"/>
    </w:pPr>
    <w:rPr>
      <w:rFonts w:ascii="黑体" w:eastAsia="黑体"/>
      <w:kern w:val="0"/>
      <w:sz w:val="32"/>
      <w:szCs w:val="20"/>
    </w:rPr>
  </w:style>
  <w:style w:type="paragraph" w:customStyle="1" w:styleId="237">
    <w:name w:val="数字编号列项（二级）"/>
    <w:qFormat/>
    <w:uiPriority w:val="99"/>
    <w:pPr>
      <w:tabs>
        <w:tab w:val="left" w:pos="1260"/>
      </w:tabs>
      <w:spacing w:before="100" w:after="200" w:line="276" w:lineRule="auto"/>
      <w:ind w:left="567" w:hanging="567"/>
      <w:jc w:val="both"/>
    </w:pPr>
    <w:rPr>
      <w:rFonts w:ascii="宋体" w:hAnsi="Calibri" w:eastAsia="宋体" w:cs="Times New Roman"/>
      <w:sz w:val="21"/>
      <w:lang w:val="en-US" w:eastAsia="zh-CN" w:bidi="ar-SA"/>
    </w:rPr>
  </w:style>
  <w:style w:type="paragraph" w:customStyle="1" w:styleId="238">
    <w:name w:val="修订21"/>
    <w:qFormat/>
    <w:uiPriority w:val="99"/>
    <w:rPr>
      <w:rFonts w:ascii="Times New Roman" w:hAnsi="Times New Roman" w:eastAsia="宋体" w:cs="Times New Roman"/>
      <w:kern w:val="2"/>
      <w:sz w:val="21"/>
      <w:szCs w:val="24"/>
      <w:lang w:val="en-US" w:eastAsia="zh-CN" w:bidi="ar-SA"/>
    </w:rPr>
  </w:style>
  <w:style w:type="character" w:customStyle="1" w:styleId="239">
    <w:name w:val="标题 1 字符1"/>
    <w:link w:val="3"/>
    <w:qFormat/>
    <w:uiPriority w:val="9"/>
    <w:rPr>
      <w:rFonts w:ascii="Times New Roman" w:hAnsi="Times New Roman" w:eastAsia="宋体" w:cs="Times New Roman"/>
      <w:b/>
      <w:bCs/>
      <w:kern w:val="44"/>
      <w:sz w:val="44"/>
      <w:szCs w:val="44"/>
    </w:rPr>
  </w:style>
  <w:style w:type="character" w:customStyle="1" w:styleId="240">
    <w:name w:val="标题 3 字符"/>
    <w:link w:val="5"/>
    <w:qFormat/>
    <w:uiPriority w:val="0"/>
    <w:rPr>
      <w:rFonts w:ascii="Times New Roman" w:hAnsi="Times New Roman" w:eastAsia="宋体" w:cs="Times New Roman"/>
      <w:b/>
      <w:bCs/>
      <w:sz w:val="32"/>
      <w:szCs w:val="32"/>
    </w:rPr>
  </w:style>
  <w:style w:type="character" w:customStyle="1" w:styleId="241">
    <w:name w:val="标题 4 字符"/>
    <w:link w:val="6"/>
    <w:qFormat/>
    <w:uiPriority w:val="0"/>
    <w:rPr>
      <w:rFonts w:ascii="等线 Light" w:hAnsi="等线 Light" w:eastAsia="等线 Light" w:cs="Times New Roman"/>
      <w:b/>
      <w:bCs/>
      <w:kern w:val="2"/>
      <w:sz w:val="28"/>
      <w:szCs w:val="28"/>
    </w:rPr>
  </w:style>
  <w:style w:type="character" w:customStyle="1" w:styleId="242">
    <w:name w:val="标题 5 Char2"/>
    <w:qFormat/>
    <w:uiPriority w:val="0"/>
    <w:rPr>
      <w:b/>
      <w:kern w:val="2"/>
      <w:sz w:val="28"/>
      <w:szCs w:val="24"/>
    </w:rPr>
  </w:style>
  <w:style w:type="character" w:customStyle="1" w:styleId="243">
    <w:name w:val="标题 6 字符"/>
    <w:link w:val="8"/>
    <w:qFormat/>
    <w:uiPriority w:val="9"/>
    <w:rPr>
      <w:rFonts w:ascii="Arial" w:hAnsi="Arial" w:eastAsia="黑体"/>
      <w:b/>
      <w:kern w:val="2"/>
      <w:sz w:val="24"/>
      <w:szCs w:val="24"/>
    </w:rPr>
  </w:style>
  <w:style w:type="character" w:customStyle="1" w:styleId="244">
    <w:name w:val="标题 7 字符"/>
    <w:link w:val="10"/>
    <w:qFormat/>
    <w:uiPriority w:val="9"/>
    <w:rPr>
      <w:b/>
      <w:kern w:val="2"/>
      <w:sz w:val="24"/>
      <w:szCs w:val="24"/>
    </w:rPr>
  </w:style>
  <w:style w:type="character" w:customStyle="1" w:styleId="245">
    <w:name w:val="标题 8 字符"/>
    <w:link w:val="11"/>
    <w:qFormat/>
    <w:uiPriority w:val="9"/>
    <w:rPr>
      <w:rFonts w:ascii="Arial" w:hAnsi="Arial" w:eastAsia="黑体"/>
      <w:kern w:val="2"/>
      <w:sz w:val="24"/>
      <w:szCs w:val="24"/>
    </w:rPr>
  </w:style>
  <w:style w:type="character" w:customStyle="1" w:styleId="246">
    <w:name w:val="标题 9 字符"/>
    <w:link w:val="12"/>
    <w:qFormat/>
    <w:uiPriority w:val="9"/>
    <w:rPr>
      <w:rFonts w:ascii="Arial" w:hAnsi="Arial" w:eastAsia="黑体"/>
      <w:kern w:val="2"/>
      <w:sz w:val="21"/>
      <w:szCs w:val="24"/>
    </w:rPr>
  </w:style>
  <w:style w:type="character" w:customStyle="1" w:styleId="247">
    <w:name w:val="文档结构图 字符2"/>
    <w:link w:val="19"/>
    <w:qFormat/>
    <w:uiPriority w:val="99"/>
    <w:rPr>
      <w:rFonts w:ascii="宋体" w:hAnsi="宋体"/>
      <w:shd w:val="clear" w:color="auto" w:fill="000080"/>
    </w:rPr>
  </w:style>
  <w:style w:type="character" w:customStyle="1" w:styleId="248">
    <w:name w:val="批注文字 字符1"/>
    <w:link w:val="20"/>
    <w:qFormat/>
    <w:uiPriority w:val="99"/>
    <w:rPr>
      <w:rFonts w:ascii="Times New Roman" w:hAnsi="Times New Roman"/>
      <w:kern w:val="2"/>
      <w:sz w:val="21"/>
      <w:szCs w:val="24"/>
    </w:rPr>
  </w:style>
  <w:style w:type="character" w:customStyle="1" w:styleId="249">
    <w:name w:val="正文文本 3 字符"/>
    <w:link w:val="22"/>
    <w:qFormat/>
    <w:uiPriority w:val="0"/>
    <w:rPr>
      <w:rFonts w:ascii="Times New Roman" w:hAnsi="Times New Roman" w:eastAsia="宋体" w:cs="Times New Roman"/>
      <w:b/>
      <w:bCs/>
      <w:sz w:val="24"/>
      <w:szCs w:val="24"/>
    </w:rPr>
  </w:style>
  <w:style w:type="character" w:customStyle="1" w:styleId="250">
    <w:name w:val="正文文本 字符"/>
    <w:link w:val="2"/>
    <w:qFormat/>
    <w:uiPriority w:val="99"/>
    <w:rPr>
      <w:rFonts w:ascii="Times New Roman" w:hAnsi="Times New Roman" w:eastAsia="宋体" w:cs="Times New Roman"/>
      <w:sz w:val="24"/>
      <w:szCs w:val="24"/>
    </w:rPr>
  </w:style>
  <w:style w:type="character" w:customStyle="1" w:styleId="251">
    <w:name w:val="页眉 字符"/>
    <w:link w:val="39"/>
    <w:qFormat/>
    <w:uiPriority w:val="99"/>
    <w:rPr>
      <w:rFonts w:ascii="Times New Roman" w:hAnsi="Times New Roman"/>
      <w:kern w:val="2"/>
      <w:sz w:val="18"/>
      <w:szCs w:val="18"/>
    </w:rPr>
  </w:style>
  <w:style w:type="character" w:customStyle="1" w:styleId="252">
    <w:name w:val="正文文本缩进 字符1"/>
    <w:link w:val="23"/>
    <w:qFormat/>
    <w:uiPriority w:val="0"/>
    <w:rPr>
      <w:rFonts w:ascii="仿宋_GB2312" w:hAnsi="Times New Roman" w:eastAsia="仿宋_GB2312" w:cs="Times New Roman"/>
      <w:sz w:val="32"/>
      <w:szCs w:val="20"/>
    </w:rPr>
  </w:style>
  <w:style w:type="character" w:customStyle="1" w:styleId="253">
    <w:name w:val="HTML 地址 字符"/>
    <w:link w:val="27"/>
    <w:qFormat/>
    <w:uiPriority w:val="0"/>
    <w:rPr>
      <w:rFonts w:ascii="Calibri" w:hAnsi="Calibri" w:eastAsia="楷体_GB2312"/>
      <w:i/>
      <w:iCs/>
      <w:sz w:val="24"/>
    </w:rPr>
  </w:style>
  <w:style w:type="character" w:customStyle="1" w:styleId="254">
    <w:name w:val="纯文本 字符2"/>
    <w:link w:val="31"/>
    <w:qFormat/>
    <w:uiPriority w:val="0"/>
    <w:rPr>
      <w:rFonts w:ascii="宋体" w:hAnsi="Courier New"/>
      <w:w w:val="95"/>
      <w:sz w:val="21"/>
      <w:szCs w:val="21"/>
    </w:rPr>
  </w:style>
  <w:style w:type="character" w:customStyle="1" w:styleId="255">
    <w:name w:val="日期 字符"/>
    <w:link w:val="34"/>
    <w:qFormat/>
    <w:uiPriority w:val="99"/>
    <w:rPr>
      <w:rFonts w:ascii="宋体" w:hAnsi="Courier New" w:eastAsia="宋体" w:cs="Courier New"/>
      <w:szCs w:val="21"/>
    </w:rPr>
  </w:style>
  <w:style w:type="character" w:customStyle="1" w:styleId="256">
    <w:name w:val="正文文本缩进 2 字符"/>
    <w:link w:val="35"/>
    <w:qFormat/>
    <w:uiPriority w:val="99"/>
    <w:rPr>
      <w:rFonts w:ascii="Times New Roman" w:hAnsi="Times New Roman" w:eastAsia="宋体" w:cs="Times New Roman"/>
      <w:sz w:val="32"/>
      <w:szCs w:val="20"/>
    </w:rPr>
  </w:style>
  <w:style w:type="character" w:customStyle="1" w:styleId="257">
    <w:name w:val="尾注文本 字符"/>
    <w:link w:val="36"/>
    <w:qFormat/>
    <w:uiPriority w:val="99"/>
    <w:rPr>
      <w:rFonts w:ascii="Times New Roman" w:hAnsi="Times New Roman"/>
      <w:kern w:val="2"/>
      <w:sz w:val="21"/>
      <w:szCs w:val="24"/>
    </w:rPr>
  </w:style>
  <w:style w:type="character" w:customStyle="1" w:styleId="258">
    <w:name w:val="批注框文本 字符"/>
    <w:link w:val="37"/>
    <w:qFormat/>
    <w:uiPriority w:val="99"/>
    <w:rPr>
      <w:rFonts w:ascii="Times New Roman" w:hAnsi="Times New Roman" w:eastAsia="宋体" w:cs="Times New Roman"/>
      <w:sz w:val="18"/>
      <w:szCs w:val="18"/>
    </w:rPr>
  </w:style>
  <w:style w:type="character" w:customStyle="1" w:styleId="259">
    <w:name w:val="页脚 字符"/>
    <w:link w:val="38"/>
    <w:qFormat/>
    <w:uiPriority w:val="99"/>
    <w:rPr>
      <w:sz w:val="18"/>
      <w:szCs w:val="18"/>
    </w:rPr>
  </w:style>
  <w:style w:type="character" w:customStyle="1" w:styleId="260">
    <w:name w:val="副标题 字符"/>
    <w:link w:val="44"/>
    <w:qFormat/>
    <w:uiPriority w:val="11"/>
    <w:rPr>
      <w:rFonts w:ascii="Calibri" w:hAnsi="Calibri" w:eastAsia="楷体_GB2312"/>
      <w:caps/>
      <w:color w:val="595959"/>
      <w:spacing w:val="10"/>
      <w:sz w:val="21"/>
      <w:szCs w:val="21"/>
    </w:rPr>
  </w:style>
  <w:style w:type="character" w:customStyle="1" w:styleId="261">
    <w:name w:val="脚注文本 字符"/>
    <w:link w:val="46"/>
    <w:qFormat/>
    <w:uiPriority w:val="99"/>
    <w:rPr>
      <w:rFonts w:ascii="Times New Roman" w:hAnsi="Times New Roman"/>
      <w:kern w:val="2"/>
      <w:sz w:val="18"/>
      <w:szCs w:val="18"/>
    </w:rPr>
  </w:style>
  <w:style w:type="character" w:customStyle="1" w:styleId="262">
    <w:name w:val="正文文本缩进 3 字符"/>
    <w:link w:val="48"/>
    <w:qFormat/>
    <w:uiPriority w:val="99"/>
    <w:rPr>
      <w:rFonts w:ascii="Times New Roman" w:hAnsi="Times New Roman" w:eastAsia="宋体" w:cs="Times New Roman"/>
      <w:sz w:val="16"/>
      <w:szCs w:val="16"/>
    </w:rPr>
  </w:style>
  <w:style w:type="character" w:customStyle="1" w:styleId="263">
    <w:name w:val="正文文本 2 字符"/>
    <w:link w:val="53"/>
    <w:qFormat/>
    <w:uiPriority w:val="99"/>
    <w:rPr>
      <w:rFonts w:ascii="Times New Roman" w:hAnsi="Times New Roman" w:eastAsia="宋体" w:cs="Times New Roman"/>
      <w:szCs w:val="24"/>
    </w:rPr>
  </w:style>
  <w:style w:type="character" w:customStyle="1" w:styleId="264">
    <w:name w:val="HTML 预设格式 字符"/>
    <w:link w:val="54"/>
    <w:qFormat/>
    <w:uiPriority w:val="0"/>
    <w:rPr>
      <w:rFonts w:ascii="Courier New" w:hAnsi="Courier New" w:eastAsia="楷体_GB2312"/>
      <w:sz w:val="24"/>
    </w:rPr>
  </w:style>
  <w:style w:type="character" w:customStyle="1" w:styleId="265">
    <w:name w:val="标题 字符"/>
    <w:link w:val="57"/>
    <w:qFormat/>
    <w:uiPriority w:val="99"/>
    <w:rPr>
      <w:rFonts w:ascii="Cambria" w:hAnsi="Cambria" w:cs="Times New Roman"/>
      <w:b/>
      <w:bCs/>
      <w:kern w:val="2"/>
      <w:sz w:val="32"/>
      <w:szCs w:val="32"/>
    </w:rPr>
  </w:style>
  <w:style w:type="character" w:customStyle="1" w:styleId="266">
    <w:name w:val="批注主题 字符"/>
    <w:link w:val="58"/>
    <w:qFormat/>
    <w:uiPriority w:val="99"/>
    <w:rPr>
      <w:rFonts w:ascii="Times New Roman" w:hAnsi="Times New Roman"/>
      <w:b/>
      <w:bCs/>
      <w:kern w:val="2"/>
      <w:sz w:val="21"/>
      <w:szCs w:val="24"/>
    </w:rPr>
  </w:style>
  <w:style w:type="character" w:customStyle="1" w:styleId="267">
    <w:name w:val="正文文本首行缩进 字符"/>
    <w:link w:val="59"/>
    <w:qFormat/>
    <w:uiPriority w:val="99"/>
    <w:rPr>
      <w:rFonts w:ascii="微软雅黑" w:hAnsi="微软雅黑" w:eastAsia="微软雅黑" w:cs="微软雅黑"/>
      <w:sz w:val="24"/>
      <w:szCs w:val="21"/>
    </w:rPr>
  </w:style>
  <w:style w:type="character" w:customStyle="1" w:styleId="268">
    <w:name w:val="正文文本首行缩进 2 字符"/>
    <w:link w:val="60"/>
    <w:qFormat/>
    <w:uiPriority w:val="99"/>
    <w:rPr>
      <w:rFonts w:ascii="仿宋_GB2312" w:hAnsi="Times New Roman" w:eastAsia="仿宋_GB2312" w:cs="Times New Roman"/>
      <w:sz w:val="21"/>
      <w:szCs w:val="24"/>
      <w:shd w:val="clear" w:color="auto" w:fill="FFFFFF"/>
    </w:rPr>
  </w:style>
  <w:style w:type="character" w:customStyle="1" w:styleId="269">
    <w:name w:val="标题 7 字符1"/>
    <w:qFormat/>
    <w:uiPriority w:val="9"/>
    <w:rPr>
      <w:b/>
      <w:kern w:val="2"/>
      <w:sz w:val="24"/>
      <w:szCs w:val="24"/>
    </w:rPr>
  </w:style>
  <w:style w:type="character" w:customStyle="1" w:styleId="270">
    <w:name w:val="明显参考1"/>
    <w:qFormat/>
    <w:uiPriority w:val="32"/>
    <w:rPr>
      <w:b/>
      <w:bCs/>
      <w:i/>
      <w:iCs/>
      <w:caps/>
      <w:color w:val="5B9BD5"/>
    </w:rPr>
  </w:style>
  <w:style w:type="character" w:customStyle="1" w:styleId="271">
    <w:name w:val="font51"/>
    <w:qFormat/>
    <w:uiPriority w:val="0"/>
    <w:rPr>
      <w:rFonts w:hint="eastAsia" w:ascii="宋体" w:hAnsi="宋体" w:eastAsia="宋体" w:cs="宋体"/>
      <w:color w:val="000000"/>
      <w:sz w:val="24"/>
      <w:szCs w:val="24"/>
      <w:u w:val="double"/>
    </w:rPr>
  </w:style>
  <w:style w:type="character" w:customStyle="1" w:styleId="272">
    <w:name w:val="前言、引言标题 Char"/>
    <w:link w:val="80"/>
    <w:qFormat/>
    <w:uiPriority w:val="0"/>
    <w:rPr>
      <w:rFonts w:ascii="黑体" w:hAnsi="黑体" w:eastAsia="黑体"/>
      <w:sz w:val="32"/>
      <w:shd w:val="clear" w:color="auto" w:fill="FFFFFF"/>
      <w:lang w:val="en-US" w:eastAsia="zh-CN" w:bidi="ar-SA"/>
    </w:rPr>
  </w:style>
  <w:style w:type="character" w:customStyle="1" w:styleId="273">
    <w:name w:val="段 Char"/>
    <w:link w:val="81"/>
    <w:qFormat/>
    <w:uiPriority w:val="0"/>
    <w:rPr>
      <w:rFonts w:ascii="宋体" w:hAnsi="Calibri"/>
      <w:sz w:val="21"/>
      <w:lang w:val="en-US" w:eastAsia="zh-CN" w:bidi="ar-SA"/>
    </w:rPr>
  </w:style>
  <w:style w:type="character" w:customStyle="1" w:styleId="274">
    <w:name w:val="标题 2 Char Char"/>
    <w:qFormat/>
    <w:uiPriority w:val="0"/>
    <w:rPr>
      <w:rFonts w:hint="eastAsia" w:ascii="宋体" w:hAnsi="宋体" w:eastAsia="宋体"/>
      <w:kern w:val="2"/>
    </w:rPr>
  </w:style>
  <w:style w:type="character" w:customStyle="1" w:styleId="275">
    <w:name w:val="书籍标题1"/>
    <w:qFormat/>
    <w:uiPriority w:val="33"/>
    <w:rPr>
      <w:b/>
      <w:bCs/>
      <w:i/>
      <w:iCs/>
      <w:spacing w:val="0"/>
    </w:rPr>
  </w:style>
  <w:style w:type="character" w:customStyle="1" w:styleId="276">
    <w:name w:val="正文文本缩进 2 字符1"/>
    <w:qFormat/>
    <w:uiPriority w:val="99"/>
    <w:rPr>
      <w:sz w:val="32"/>
    </w:rPr>
  </w:style>
  <w:style w:type="character" w:customStyle="1" w:styleId="277">
    <w:name w:val="标题 6 字符2"/>
    <w:qFormat/>
    <w:uiPriority w:val="9"/>
    <w:rPr>
      <w:rFonts w:ascii="Arial" w:hAnsi="Arial" w:eastAsia="黑体"/>
      <w:b/>
      <w:kern w:val="2"/>
      <w:sz w:val="24"/>
      <w:szCs w:val="24"/>
    </w:rPr>
  </w:style>
  <w:style w:type="character" w:customStyle="1" w:styleId="278">
    <w:name w:val="段 Char Char"/>
    <w:qFormat/>
    <w:uiPriority w:val="0"/>
    <w:rPr>
      <w:rFonts w:hint="eastAsia" w:ascii="宋体" w:hAnsi="宋体" w:eastAsia="宋体"/>
    </w:rPr>
  </w:style>
  <w:style w:type="character" w:customStyle="1" w:styleId="279">
    <w:name w:val="页脚 字符2"/>
    <w:qFormat/>
    <w:uiPriority w:val="99"/>
    <w:rPr>
      <w:sz w:val="18"/>
      <w:szCs w:val="18"/>
    </w:rPr>
  </w:style>
  <w:style w:type="character" w:customStyle="1" w:styleId="280">
    <w:name w:val="个人答复风格"/>
    <w:qFormat/>
    <w:uiPriority w:val="0"/>
    <w:rPr>
      <w:rFonts w:hint="default" w:ascii="Arial" w:hAnsi="Arial" w:eastAsia="宋体" w:cs="Arial"/>
      <w:color w:val="auto"/>
      <w:sz w:val="20"/>
    </w:rPr>
  </w:style>
  <w:style w:type="character" w:customStyle="1" w:styleId="281">
    <w:name w:val="标题 1 字符"/>
    <w:qFormat/>
    <w:uiPriority w:val="9"/>
    <w:rPr>
      <w:rFonts w:ascii="Times New Roman" w:hAnsi="Times New Roman" w:eastAsia="宋体" w:cs="Times New Roman"/>
      <w:b/>
      <w:bCs/>
      <w:kern w:val="44"/>
      <w:sz w:val="44"/>
      <w:szCs w:val="44"/>
    </w:rPr>
  </w:style>
  <w:style w:type="character" w:customStyle="1" w:styleId="282">
    <w:name w:val="纯文本 Char"/>
    <w:qFormat/>
    <w:uiPriority w:val="0"/>
    <w:rPr>
      <w:rFonts w:ascii="宋体" w:hAnsi="Courier New" w:eastAsia="宋体" w:cs="Courier New"/>
      <w:szCs w:val="21"/>
    </w:rPr>
  </w:style>
  <w:style w:type="character" w:customStyle="1" w:styleId="283">
    <w:name w:val="纯文本 字符"/>
    <w:qFormat/>
    <w:uiPriority w:val="0"/>
    <w:rPr>
      <w:rFonts w:ascii="宋体" w:hAnsi="Courier New" w:eastAsia="宋体" w:cs="Courier New"/>
      <w:szCs w:val="21"/>
    </w:rPr>
  </w:style>
  <w:style w:type="character" w:customStyle="1" w:styleId="284">
    <w:name w:val="标题 8 字符2"/>
    <w:qFormat/>
    <w:uiPriority w:val="9"/>
    <w:rPr>
      <w:rFonts w:ascii="Arial" w:hAnsi="Arial" w:eastAsia="黑体"/>
      <w:kern w:val="2"/>
      <w:sz w:val="24"/>
      <w:szCs w:val="24"/>
    </w:rPr>
  </w:style>
  <w:style w:type="character" w:customStyle="1" w:styleId="285">
    <w:name w:val="发布"/>
    <w:qFormat/>
    <w:uiPriority w:val="0"/>
    <w:rPr>
      <w:rFonts w:hint="eastAsia" w:ascii="黑体" w:hAnsi="黑体" w:eastAsia="黑体"/>
      <w:spacing w:val="85"/>
      <w:w w:val="100"/>
      <w:position w:val="3"/>
      <w:sz w:val="28"/>
      <w:szCs w:val="28"/>
    </w:rPr>
  </w:style>
  <w:style w:type="character" w:customStyle="1" w:styleId="286">
    <w:name w:val="正文文本缩进 字符"/>
    <w:qFormat/>
    <w:uiPriority w:val="99"/>
    <w:rPr>
      <w:rFonts w:ascii="仿宋_GB2312" w:hAnsi="Times New Roman" w:eastAsia="仿宋_GB2312" w:cs="Times New Roman"/>
      <w:sz w:val="32"/>
      <w:szCs w:val="20"/>
    </w:rPr>
  </w:style>
  <w:style w:type="character" w:customStyle="1" w:styleId="287">
    <w:name w:val="标题 3 字符2"/>
    <w:qFormat/>
    <w:uiPriority w:val="0"/>
    <w:rPr>
      <w:b/>
      <w:bCs/>
      <w:sz w:val="32"/>
      <w:szCs w:val="32"/>
    </w:rPr>
  </w:style>
  <w:style w:type="character" w:customStyle="1" w:styleId="288">
    <w:name w:val="font71"/>
    <w:qFormat/>
    <w:uiPriority w:val="0"/>
    <w:rPr>
      <w:rFonts w:hint="default" w:ascii="Times New Roman" w:hAnsi="Times New Roman" w:cs="Times New Roman"/>
      <w:color w:val="000000"/>
      <w:sz w:val="21"/>
      <w:szCs w:val="21"/>
      <w:u w:val="none"/>
    </w:rPr>
  </w:style>
  <w:style w:type="character" w:customStyle="1" w:styleId="289">
    <w:name w:val="附录标识 Char"/>
    <w:link w:val="82"/>
    <w:qFormat/>
    <w:uiPriority w:val="99"/>
    <w:rPr>
      <w:rFonts w:ascii="黑体" w:eastAsia="黑体"/>
      <w:sz w:val="21"/>
      <w:shd w:val="clear" w:color="auto" w:fill="FFFFFF"/>
    </w:rPr>
  </w:style>
  <w:style w:type="character" w:customStyle="1" w:styleId="290">
    <w:name w:val="apple-style-span"/>
    <w:qFormat/>
    <w:uiPriority w:val="0"/>
  </w:style>
  <w:style w:type="character" w:customStyle="1" w:styleId="291">
    <w:name w:val="纯文本 Char1"/>
    <w:qFormat/>
    <w:uiPriority w:val="0"/>
    <w:rPr>
      <w:rFonts w:ascii="宋体" w:hAnsi="Courier New" w:eastAsia="宋体" w:cs="Courier New"/>
      <w:szCs w:val="21"/>
    </w:rPr>
  </w:style>
  <w:style w:type="character" w:customStyle="1" w:styleId="292">
    <w:name w:val="apple-converted-space"/>
    <w:qFormat/>
    <w:uiPriority w:val="0"/>
  </w:style>
  <w:style w:type="character" w:customStyle="1" w:styleId="293">
    <w:name w:val="标题 9 字符1"/>
    <w:qFormat/>
    <w:uiPriority w:val="9"/>
    <w:rPr>
      <w:rFonts w:hint="default" w:ascii="Arial" w:hAnsi="Arial" w:eastAsia="黑体" w:cs="Arial"/>
      <w:kern w:val="2"/>
      <w:sz w:val="21"/>
      <w:szCs w:val="24"/>
    </w:rPr>
  </w:style>
  <w:style w:type="character" w:customStyle="1" w:styleId="294">
    <w:name w:val="批注文字 字符"/>
    <w:qFormat/>
    <w:uiPriority w:val="99"/>
    <w:rPr>
      <w:rFonts w:ascii="Times New Roman" w:hAnsi="Times New Roman"/>
      <w:kern w:val="2"/>
      <w:sz w:val="21"/>
      <w:szCs w:val="24"/>
    </w:rPr>
  </w:style>
  <w:style w:type="character" w:customStyle="1" w:styleId="295">
    <w:name w:val="标题 9 字符2"/>
    <w:qFormat/>
    <w:uiPriority w:val="9"/>
    <w:rPr>
      <w:rFonts w:ascii="Arial" w:hAnsi="Arial" w:eastAsia="黑体"/>
      <w:kern w:val="2"/>
      <w:sz w:val="21"/>
      <w:szCs w:val="24"/>
    </w:rPr>
  </w:style>
  <w:style w:type="character" w:customStyle="1" w:styleId="296">
    <w:name w:val="正文2 Char Char"/>
    <w:link w:val="83"/>
    <w:qFormat/>
    <w:uiPriority w:val="0"/>
    <w:rPr>
      <w:kern w:val="2"/>
      <w:sz w:val="24"/>
    </w:rPr>
  </w:style>
  <w:style w:type="character" w:customStyle="1" w:styleId="297">
    <w:name w:val="标题 6 字符1"/>
    <w:qFormat/>
    <w:uiPriority w:val="9"/>
    <w:rPr>
      <w:rFonts w:hint="default" w:ascii="Arial" w:hAnsi="Arial" w:eastAsia="黑体" w:cs="Arial"/>
      <w:b/>
      <w:kern w:val="2"/>
      <w:sz w:val="24"/>
      <w:szCs w:val="24"/>
    </w:rPr>
  </w:style>
  <w:style w:type="character" w:customStyle="1" w:styleId="298">
    <w:name w:val="明显引用 字符"/>
    <w:link w:val="84"/>
    <w:qFormat/>
    <w:uiPriority w:val="30"/>
    <w:rPr>
      <w:rFonts w:ascii="Calibri" w:hAnsi="Calibri" w:eastAsia="楷体_GB2312" w:cs="Calibri"/>
      <w:color w:val="5B9BD5"/>
      <w:sz w:val="24"/>
      <w:szCs w:val="24"/>
    </w:rPr>
  </w:style>
  <w:style w:type="character" w:customStyle="1" w:styleId="299">
    <w:name w:val="附录公式 Char"/>
    <w:link w:val="85"/>
    <w:qFormat/>
    <w:uiPriority w:val="0"/>
  </w:style>
  <w:style w:type="character" w:customStyle="1" w:styleId="300">
    <w:name w:val="headline-content4"/>
    <w:qFormat/>
    <w:uiPriority w:val="0"/>
  </w:style>
  <w:style w:type="character" w:customStyle="1" w:styleId="301">
    <w:name w:val="脚注文本 字符1"/>
    <w:qFormat/>
    <w:uiPriority w:val="99"/>
    <w:rPr>
      <w:kern w:val="2"/>
      <w:sz w:val="18"/>
      <w:szCs w:val="18"/>
    </w:rPr>
  </w:style>
  <w:style w:type="character" w:customStyle="1" w:styleId="302">
    <w:name w:val="附录章标题 Char"/>
    <w:link w:val="86"/>
    <w:qFormat/>
    <w:uiPriority w:val="99"/>
    <w:rPr>
      <w:rFonts w:ascii="黑体" w:eastAsia="黑体"/>
      <w:kern w:val="21"/>
      <w:sz w:val="21"/>
      <w:lang w:val="en-US" w:eastAsia="zh-CN" w:bidi="ar-SA"/>
    </w:rPr>
  </w:style>
  <w:style w:type="character" w:customStyle="1" w:styleId="303">
    <w:name w:val="textcontents"/>
    <w:qFormat/>
    <w:uiPriority w:val="0"/>
  </w:style>
  <w:style w:type="character" w:customStyle="1" w:styleId="304">
    <w:name w:val="font41"/>
    <w:qFormat/>
    <w:uiPriority w:val="0"/>
    <w:rPr>
      <w:rFonts w:hint="eastAsia" w:ascii="宋体" w:hAnsi="宋体" w:eastAsia="宋体" w:cs="宋体"/>
      <w:color w:val="000000"/>
      <w:sz w:val="24"/>
      <w:szCs w:val="24"/>
      <w:u w:val="none"/>
    </w:rPr>
  </w:style>
  <w:style w:type="character" w:customStyle="1" w:styleId="305">
    <w:name w:val="尾注文本 字符2"/>
    <w:qFormat/>
    <w:uiPriority w:val="99"/>
    <w:rPr>
      <w:kern w:val="2"/>
      <w:sz w:val="21"/>
      <w:szCs w:val="24"/>
    </w:rPr>
  </w:style>
  <w:style w:type="character" w:customStyle="1" w:styleId="306">
    <w:name w:val="页脚 字符1"/>
    <w:qFormat/>
    <w:uiPriority w:val="99"/>
    <w:rPr>
      <w:sz w:val="18"/>
      <w:szCs w:val="18"/>
    </w:rPr>
  </w:style>
  <w:style w:type="character" w:customStyle="1" w:styleId="307">
    <w:name w:val="正文文本缩进 3 字符2"/>
    <w:qFormat/>
    <w:uiPriority w:val="99"/>
    <w:rPr>
      <w:sz w:val="16"/>
      <w:szCs w:val="16"/>
    </w:rPr>
  </w:style>
  <w:style w:type="character" w:customStyle="1" w:styleId="308">
    <w:name w:val="case31"/>
    <w:qFormat/>
    <w:uiPriority w:val="0"/>
    <w:rPr>
      <w:rFonts w:hint="default" w:ascii="_x000B__x000C_" w:hAnsi="_x000B__x000C_"/>
      <w:sz w:val="21"/>
      <w:szCs w:val="21"/>
    </w:rPr>
  </w:style>
  <w:style w:type="character" w:customStyle="1" w:styleId="309">
    <w:name w:val="首示例 Char"/>
    <w:link w:val="87"/>
    <w:qFormat/>
    <w:uiPriority w:val="99"/>
    <w:rPr>
      <w:rFonts w:ascii="宋体" w:hAnsi="宋体"/>
      <w:kern w:val="2"/>
      <w:sz w:val="18"/>
      <w:szCs w:val="18"/>
      <w:lang w:val="en-US" w:eastAsia="zh-CN" w:bidi="ar-SA"/>
    </w:rPr>
  </w:style>
  <w:style w:type="character" w:customStyle="1" w:styleId="310">
    <w:name w:val="标题 字符2"/>
    <w:qFormat/>
    <w:uiPriority w:val="10"/>
    <w:rPr>
      <w:rFonts w:ascii="Cambria" w:hAnsi="Cambria"/>
      <w:b/>
      <w:bCs/>
      <w:kern w:val="2"/>
      <w:sz w:val="32"/>
      <w:szCs w:val="32"/>
    </w:rPr>
  </w:style>
  <w:style w:type="character" w:customStyle="1" w:styleId="311">
    <w:name w:val="页眉 字符2"/>
    <w:qFormat/>
    <w:uiPriority w:val="99"/>
    <w:rPr>
      <w:kern w:val="2"/>
      <w:sz w:val="18"/>
      <w:szCs w:val="18"/>
    </w:rPr>
  </w:style>
  <w:style w:type="character" w:customStyle="1" w:styleId="312">
    <w:name w:val="正文文本 2 字符2"/>
    <w:qFormat/>
    <w:uiPriority w:val="99"/>
    <w:rPr>
      <w:szCs w:val="24"/>
    </w:rPr>
  </w:style>
  <w:style w:type="character" w:customStyle="1" w:styleId="313">
    <w:name w:val="批注文字 字符3"/>
    <w:qFormat/>
    <w:uiPriority w:val="99"/>
    <w:rPr>
      <w:kern w:val="2"/>
      <w:sz w:val="21"/>
      <w:szCs w:val="24"/>
    </w:rPr>
  </w:style>
  <w:style w:type="character" w:customStyle="1" w:styleId="314">
    <w:name w:val="明显强调1"/>
    <w:qFormat/>
    <w:uiPriority w:val="21"/>
    <w:rPr>
      <w:b/>
      <w:bCs/>
      <w:caps/>
      <w:color w:val="1F4D78"/>
      <w:spacing w:val="10"/>
    </w:rPr>
  </w:style>
  <w:style w:type="character" w:customStyle="1" w:styleId="315">
    <w:name w:val="标题 5 字符1"/>
    <w:qFormat/>
    <w:uiPriority w:val="9"/>
    <w:rPr>
      <w:b/>
      <w:kern w:val="2"/>
      <w:sz w:val="28"/>
      <w:szCs w:val="24"/>
    </w:rPr>
  </w:style>
  <w:style w:type="character" w:customStyle="1" w:styleId="316">
    <w:name w:val="章标题 Char"/>
    <w:link w:val="88"/>
    <w:qFormat/>
    <w:uiPriority w:val="99"/>
    <w:rPr>
      <w:rFonts w:ascii="黑体" w:eastAsia="黑体"/>
      <w:sz w:val="21"/>
      <w:lang w:val="en-US" w:eastAsia="zh-CN" w:bidi="ar-SA"/>
    </w:rPr>
  </w:style>
  <w:style w:type="character" w:customStyle="1" w:styleId="317">
    <w:name w:val="个人撰写风格"/>
    <w:qFormat/>
    <w:uiPriority w:val="0"/>
    <w:rPr>
      <w:rFonts w:hint="default" w:ascii="Arial" w:hAnsi="Arial" w:eastAsia="宋体" w:cs="Arial"/>
      <w:color w:val="auto"/>
      <w:sz w:val="20"/>
    </w:rPr>
  </w:style>
  <w:style w:type="character" w:customStyle="1" w:styleId="318">
    <w:name w:val="正文文本缩进 字符2"/>
    <w:qFormat/>
    <w:uiPriority w:val="99"/>
    <w:rPr>
      <w:rFonts w:ascii="仿宋_GB2312" w:eastAsia="仿宋_GB2312"/>
      <w:sz w:val="32"/>
    </w:rPr>
  </w:style>
  <w:style w:type="character" w:customStyle="1" w:styleId="319">
    <w:name w:val="不明显强调1"/>
    <w:qFormat/>
    <w:uiPriority w:val="19"/>
    <w:rPr>
      <w:i/>
      <w:iCs/>
      <w:color w:val="1F4D78"/>
    </w:rPr>
  </w:style>
  <w:style w:type="character" w:customStyle="1" w:styleId="320">
    <w:name w:val="标题 7 字符2"/>
    <w:qFormat/>
    <w:uiPriority w:val="9"/>
    <w:rPr>
      <w:b/>
      <w:kern w:val="2"/>
      <w:sz w:val="24"/>
      <w:szCs w:val="24"/>
    </w:rPr>
  </w:style>
  <w:style w:type="character" w:customStyle="1" w:styleId="321">
    <w:name w:val="日期 字符1"/>
    <w:qFormat/>
    <w:uiPriority w:val="99"/>
    <w:rPr>
      <w:rFonts w:hint="eastAsia" w:ascii="宋体" w:hAnsi="Courier New" w:eastAsia="宋体"/>
      <w:szCs w:val="21"/>
    </w:rPr>
  </w:style>
  <w:style w:type="character" w:customStyle="1" w:styleId="322">
    <w:name w:val="正文文本 3 字符1"/>
    <w:qFormat/>
    <w:uiPriority w:val="99"/>
    <w:rPr>
      <w:b/>
      <w:bCs/>
      <w:sz w:val="24"/>
      <w:szCs w:val="24"/>
    </w:rPr>
  </w:style>
  <w:style w:type="character" w:customStyle="1" w:styleId="323">
    <w:name w:val="标题 2 字符2"/>
    <w:qFormat/>
    <w:uiPriority w:val="9"/>
    <w:rPr>
      <w:rFonts w:ascii="Arial" w:hAnsi="Arial" w:eastAsia="黑体"/>
      <w:b/>
      <w:bCs/>
      <w:sz w:val="32"/>
      <w:szCs w:val="32"/>
    </w:rPr>
  </w:style>
  <w:style w:type="character" w:customStyle="1" w:styleId="324">
    <w:name w:val="标题 1 字符2"/>
    <w:qFormat/>
    <w:uiPriority w:val="9"/>
    <w:rPr>
      <w:b/>
      <w:bCs/>
      <w:kern w:val="44"/>
      <w:sz w:val="44"/>
      <w:szCs w:val="44"/>
    </w:rPr>
  </w:style>
  <w:style w:type="character" w:customStyle="1" w:styleId="325">
    <w:name w:val="二级条标题 Char"/>
    <w:link w:val="89"/>
    <w:qFormat/>
    <w:uiPriority w:val="0"/>
    <w:rPr>
      <w:rFonts w:ascii="黑体" w:hAnsi="Calibri" w:eastAsia="黑体"/>
      <w:sz w:val="21"/>
      <w:szCs w:val="21"/>
    </w:rPr>
  </w:style>
  <w:style w:type="character" w:customStyle="1" w:styleId="326">
    <w:name w:val="一级条标题 Char1"/>
    <w:link w:val="90"/>
    <w:qFormat/>
    <w:uiPriority w:val="99"/>
    <w:rPr>
      <w:rFonts w:ascii="黑体" w:eastAsia="黑体"/>
      <w:sz w:val="21"/>
      <w:szCs w:val="21"/>
      <w:lang w:val="en-US" w:eastAsia="zh-CN" w:bidi="ar-SA"/>
    </w:rPr>
  </w:style>
  <w:style w:type="character" w:customStyle="1" w:styleId="327">
    <w:name w:val="批注主题 字符1"/>
    <w:qFormat/>
    <w:uiPriority w:val="99"/>
    <w:rPr>
      <w:b/>
      <w:bCs/>
      <w:kern w:val="2"/>
      <w:sz w:val="21"/>
      <w:szCs w:val="24"/>
    </w:rPr>
  </w:style>
  <w:style w:type="character" w:customStyle="1" w:styleId="328">
    <w:name w:val="批注文字 字符2"/>
    <w:qFormat/>
    <w:uiPriority w:val="99"/>
    <w:rPr>
      <w:rFonts w:ascii="Times New Roman" w:hAnsi="Times New Roman"/>
      <w:kern w:val="2"/>
      <w:sz w:val="21"/>
      <w:szCs w:val="24"/>
    </w:rPr>
  </w:style>
  <w:style w:type="character" w:customStyle="1" w:styleId="329">
    <w:name w:val="正文文本 Char"/>
    <w:qFormat/>
    <w:uiPriority w:val="99"/>
    <w:rPr>
      <w:rFonts w:hint="default" w:ascii="Times New Roman" w:hAnsi="Times New Roman" w:eastAsia="宋体" w:cs="Times New Roman"/>
      <w:sz w:val="24"/>
      <w:szCs w:val="24"/>
    </w:rPr>
  </w:style>
  <w:style w:type="character" w:customStyle="1" w:styleId="330">
    <w:name w:val="批注主题 字符2"/>
    <w:qFormat/>
    <w:uiPriority w:val="99"/>
    <w:rPr>
      <w:b/>
      <w:bCs/>
      <w:kern w:val="2"/>
      <w:sz w:val="21"/>
      <w:szCs w:val="24"/>
    </w:rPr>
  </w:style>
  <w:style w:type="character" w:customStyle="1" w:styleId="331">
    <w:name w:val="批注文字 Char"/>
    <w:qFormat/>
    <w:uiPriority w:val="99"/>
    <w:rPr>
      <w:rFonts w:ascii="Times New Roman" w:hAnsi="Times New Roman"/>
      <w:kern w:val="2"/>
      <w:sz w:val="21"/>
      <w:szCs w:val="24"/>
    </w:rPr>
  </w:style>
  <w:style w:type="character" w:customStyle="1" w:styleId="332">
    <w:name w:val="正文文本 2 字符1"/>
    <w:qFormat/>
    <w:uiPriority w:val="99"/>
    <w:rPr>
      <w:szCs w:val="24"/>
    </w:rPr>
  </w:style>
  <w:style w:type="character" w:customStyle="1" w:styleId="333">
    <w:name w:val="cf01"/>
    <w:qFormat/>
    <w:uiPriority w:val="0"/>
    <w:rPr>
      <w:rFonts w:hint="eastAsia" w:ascii="Microsoft YaHei UI" w:hAnsi="Microsoft YaHei UI" w:eastAsia="Microsoft YaHei UI"/>
      <w:b/>
      <w:bCs/>
      <w:sz w:val="18"/>
      <w:szCs w:val="18"/>
    </w:rPr>
  </w:style>
  <w:style w:type="character" w:customStyle="1" w:styleId="334">
    <w:name w:val="纯文本 字符3"/>
    <w:qFormat/>
    <w:uiPriority w:val="99"/>
    <w:rPr>
      <w:rFonts w:ascii="宋体" w:hAnsi="Courier New"/>
      <w:szCs w:val="21"/>
    </w:rPr>
  </w:style>
  <w:style w:type="character" w:customStyle="1" w:styleId="335">
    <w:name w:val="引用 字符"/>
    <w:link w:val="91"/>
    <w:qFormat/>
    <w:uiPriority w:val="29"/>
    <w:rPr>
      <w:rFonts w:ascii="Calibri" w:hAnsi="Calibri" w:eastAsia="楷体_GB2312" w:cs="Calibri"/>
      <w:i/>
      <w:iCs/>
      <w:sz w:val="24"/>
      <w:szCs w:val="24"/>
    </w:rPr>
  </w:style>
  <w:style w:type="character" w:customStyle="1" w:styleId="336">
    <w:name w:val="正文文本缩进 2 字符2"/>
    <w:qFormat/>
    <w:uiPriority w:val="99"/>
    <w:rPr>
      <w:sz w:val="32"/>
    </w:rPr>
  </w:style>
  <w:style w:type="character" w:customStyle="1" w:styleId="337">
    <w:name w:val="纯文本 字符1"/>
    <w:qFormat/>
    <w:uiPriority w:val="0"/>
    <w:rPr>
      <w:rFonts w:ascii="宋体" w:hAnsi="Courier New"/>
    </w:rPr>
  </w:style>
  <w:style w:type="character" w:customStyle="1" w:styleId="338">
    <w:name w:val="不明显参考1"/>
    <w:qFormat/>
    <w:uiPriority w:val="31"/>
    <w:rPr>
      <w:b/>
      <w:bCs/>
      <w:color w:val="5B9BD5"/>
    </w:rPr>
  </w:style>
  <w:style w:type="character" w:customStyle="1" w:styleId="339">
    <w:name w:val="脚注文本 字符2"/>
    <w:qFormat/>
    <w:uiPriority w:val="99"/>
    <w:rPr>
      <w:kern w:val="2"/>
      <w:sz w:val="18"/>
      <w:szCs w:val="18"/>
    </w:rPr>
  </w:style>
  <w:style w:type="character" w:customStyle="1" w:styleId="340">
    <w:name w:val="标题 8 字符1"/>
    <w:qFormat/>
    <w:uiPriority w:val="9"/>
    <w:rPr>
      <w:rFonts w:hint="default" w:ascii="Arial" w:hAnsi="Arial" w:eastAsia="黑体" w:cs="Arial"/>
      <w:kern w:val="2"/>
      <w:sz w:val="24"/>
      <w:szCs w:val="24"/>
    </w:rPr>
  </w:style>
  <w:style w:type="character" w:customStyle="1" w:styleId="341">
    <w:name w:val="正文文本 3 字符2"/>
    <w:qFormat/>
    <w:uiPriority w:val="99"/>
    <w:rPr>
      <w:b/>
      <w:bCs/>
      <w:sz w:val="24"/>
      <w:szCs w:val="24"/>
    </w:rPr>
  </w:style>
  <w:style w:type="character" w:customStyle="1" w:styleId="342">
    <w:name w:val="标题 4 Char"/>
    <w:qFormat/>
    <w:uiPriority w:val="0"/>
    <w:rPr>
      <w:rFonts w:hint="default" w:ascii="Arial" w:hAnsi="Arial" w:eastAsia="黑体" w:cs="Arial"/>
      <w:b/>
      <w:bCs/>
      <w:kern w:val="2"/>
      <w:sz w:val="28"/>
      <w:szCs w:val="28"/>
      <w:lang w:val="en-US" w:eastAsia="zh-CN" w:bidi="ar-SA"/>
    </w:rPr>
  </w:style>
  <w:style w:type="character" w:customStyle="1" w:styleId="343">
    <w:name w:val="标题 3 字符1"/>
    <w:qFormat/>
    <w:uiPriority w:val="0"/>
    <w:rPr>
      <w:b/>
      <w:bCs/>
      <w:sz w:val="32"/>
      <w:szCs w:val="32"/>
    </w:rPr>
  </w:style>
  <w:style w:type="character" w:customStyle="1" w:styleId="344">
    <w:name w:val="页脚 字符3"/>
    <w:qFormat/>
    <w:uiPriority w:val="99"/>
    <w:rPr>
      <w:sz w:val="18"/>
      <w:szCs w:val="18"/>
    </w:rPr>
  </w:style>
  <w:style w:type="character" w:customStyle="1" w:styleId="345">
    <w:name w:val="标题 5 Char1"/>
    <w:qFormat/>
    <w:uiPriority w:val="0"/>
    <w:rPr>
      <w:b/>
      <w:kern w:val="2"/>
      <w:sz w:val="28"/>
      <w:szCs w:val="24"/>
    </w:rPr>
  </w:style>
  <w:style w:type="character" w:customStyle="1" w:styleId="346">
    <w:name w:val="批注框文本 字符1"/>
    <w:qFormat/>
    <w:uiPriority w:val="99"/>
    <w:rPr>
      <w:sz w:val="18"/>
      <w:szCs w:val="18"/>
    </w:rPr>
  </w:style>
  <w:style w:type="character" w:customStyle="1" w:styleId="347">
    <w:name w:val="标题 5 Char"/>
    <w:qFormat/>
    <w:uiPriority w:val="0"/>
    <w:rPr>
      <w:b/>
      <w:kern w:val="2"/>
      <w:sz w:val="28"/>
      <w:szCs w:val="24"/>
    </w:rPr>
  </w:style>
  <w:style w:type="character" w:customStyle="1" w:styleId="348">
    <w:name w:val="普通文字 Char Char2"/>
    <w:qFormat/>
    <w:uiPriority w:val="0"/>
    <w:rPr>
      <w:rFonts w:ascii="宋体" w:hAnsi="Courier New" w:eastAsia="宋体"/>
      <w:kern w:val="2"/>
      <w:sz w:val="21"/>
      <w:lang w:val="en-US" w:eastAsia="zh-CN" w:bidi="ar-SA"/>
    </w:rPr>
  </w:style>
  <w:style w:type="character" w:customStyle="1" w:styleId="349">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350">
    <w:name w:val="批注文字 Char1"/>
    <w:qFormat/>
    <w:uiPriority w:val="99"/>
    <w:rPr>
      <w:rFonts w:ascii="Times New Roman" w:hAnsi="Times New Roman"/>
      <w:kern w:val="2"/>
      <w:sz w:val="21"/>
      <w:szCs w:val="24"/>
    </w:rPr>
  </w:style>
  <w:style w:type="character" w:customStyle="1" w:styleId="351">
    <w:name w:val="正文文本 Char1"/>
    <w:qFormat/>
    <w:uiPriority w:val="99"/>
    <w:rPr>
      <w:sz w:val="24"/>
      <w:szCs w:val="24"/>
    </w:rPr>
  </w:style>
  <w:style w:type="character" w:customStyle="1" w:styleId="352">
    <w:name w:val="页眉 字符1"/>
    <w:qFormat/>
    <w:uiPriority w:val="99"/>
    <w:rPr>
      <w:kern w:val="2"/>
      <w:sz w:val="18"/>
      <w:szCs w:val="18"/>
    </w:rPr>
  </w:style>
  <w:style w:type="character" w:customStyle="1" w:styleId="353">
    <w:name w:val="日期 字符2"/>
    <w:qFormat/>
    <w:uiPriority w:val="99"/>
    <w:rPr>
      <w:rFonts w:ascii="宋体" w:hAnsi="Courier New"/>
      <w:szCs w:val="21"/>
    </w:rPr>
  </w:style>
  <w:style w:type="character" w:customStyle="1" w:styleId="354">
    <w:name w:val="文档结构图 字符"/>
    <w:qFormat/>
    <w:uiPriority w:val="99"/>
    <w:rPr>
      <w:rFonts w:ascii="Microsoft YaHei UI" w:eastAsia="Microsoft YaHei UI"/>
      <w:kern w:val="2"/>
      <w:sz w:val="18"/>
      <w:szCs w:val="18"/>
    </w:rPr>
  </w:style>
  <w:style w:type="character" w:customStyle="1" w:styleId="355">
    <w:name w:val="正文文本缩进 3 字符1"/>
    <w:qFormat/>
    <w:uiPriority w:val="99"/>
    <w:rPr>
      <w:sz w:val="16"/>
      <w:szCs w:val="16"/>
    </w:rPr>
  </w:style>
  <w:style w:type="character" w:customStyle="1" w:styleId="356">
    <w:name w:val="标题 2 字符1"/>
    <w:qFormat/>
    <w:uiPriority w:val="9"/>
    <w:rPr>
      <w:rFonts w:hint="default" w:ascii="Arial" w:hAnsi="Arial" w:eastAsia="黑体" w:cs="Arial"/>
      <w:b/>
      <w:bCs/>
      <w:sz w:val="32"/>
      <w:szCs w:val="32"/>
    </w:rPr>
  </w:style>
  <w:style w:type="character" w:customStyle="1" w:styleId="357">
    <w:name w:val="sh14"/>
    <w:qFormat/>
    <w:uiPriority w:val="0"/>
  </w:style>
  <w:style w:type="character" w:customStyle="1" w:styleId="358">
    <w:name w:val="style11"/>
    <w:qFormat/>
    <w:uiPriority w:val="0"/>
    <w:rPr>
      <w:rFonts w:hint="eastAsia" w:ascii="宋体" w:hAnsi="宋体" w:eastAsia="宋体"/>
      <w:color w:val="000000"/>
      <w:sz w:val="18"/>
      <w:szCs w:val="18"/>
    </w:rPr>
  </w:style>
  <w:style w:type="character" w:customStyle="1" w:styleId="359">
    <w:name w:val="文档结构图 字符1"/>
    <w:qFormat/>
    <w:uiPriority w:val="99"/>
    <w:rPr>
      <w:rFonts w:hint="eastAsia" w:ascii="宋体" w:hAnsi="宋体" w:eastAsia="宋体"/>
      <w:shd w:val="clear" w:color="auto" w:fill="000080"/>
    </w:rPr>
  </w:style>
  <w:style w:type="character" w:customStyle="1" w:styleId="360">
    <w:name w:val="标题 5 字符2"/>
    <w:qFormat/>
    <w:uiPriority w:val="9"/>
    <w:rPr>
      <w:b/>
      <w:kern w:val="2"/>
      <w:sz w:val="28"/>
      <w:szCs w:val="24"/>
    </w:rPr>
  </w:style>
  <w:style w:type="character" w:customStyle="1" w:styleId="361">
    <w:name w:val="尾注文本 字符1"/>
    <w:qFormat/>
    <w:uiPriority w:val="99"/>
    <w:rPr>
      <w:kern w:val="2"/>
      <w:sz w:val="21"/>
      <w:szCs w:val="24"/>
    </w:rPr>
  </w:style>
  <w:style w:type="character" w:customStyle="1" w:styleId="362">
    <w:name w:val="批注框文本 字符2"/>
    <w:qFormat/>
    <w:uiPriority w:val="99"/>
    <w:rPr>
      <w:sz w:val="18"/>
      <w:szCs w:val="18"/>
    </w:rPr>
  </w:style>
  <w:style w:type="character" w:customStyle="1" w:styleId="363">
    <w:name w:val="标题 字符1"/>
    <w:qFormat/>
    <w:uiPriority w:val="10"/>
    <w:rPr>
      <w:rFonts w:hint="default" w:ascii="Cambria" w:hAnsi="Cambria"/>
      <w:b/>
      <w:bCs/>
      <w:kern w:val="2"/>
      <w:sz w:val="32"/>
      <w:szCs w:val="32"/>
    </w:rPr>
  </w:style>
  <w:style w:type="table" w:customStyle="1" w:styleId="364">
    <w:name w:val="Table Normal"/>
    <w:qFormat/>
    <w:uiPriority w:val="2"/>
    <w:pPr>
      <w:widowControl w:val="0"/>
    </w:pPr>
    <w:rPr>
      <w:rFonts w:ascii="Calibri" w:hAnsi="Calibri" w:eastAsia="Times New Roman"/>
      <w:sz w:val="22"/>
      <w:szCs w:val="22"/>
      <w:lang w:eastAsia="en-US"/>
    </w:rPr>
    <w:tblPr>
      <w:tblCellMar>
        <w:top w:w="0" w:type="dxa"/>
        <w:left w:w="0" w:type="dxa"/>
        <w:bottom w:w="0" w:type="dxa"/>
        <w:right w:w="0" w:type="dxa"/>
      </w:tblCellMar>
    </w:tblPr>
  </w:style>
  <w:style w:type="character" w:customStyle="1" w:styleId="365">
    <w:name w:val="NormalCharacter"/>
    <w:qFormat/>
    <w:uiPriority w:val="0"/>
  </w:style>
  <w:style w:type="paragraph" w:customStyle="1" w:styleId="366">
    <w:name w:val="正文（缩进）"/>
    <w:basedOn w:val="1"/>
    <w:qFormat/>
    <w:uiPriority w:val="0"/>
    <w:pPr>
      <w:spacing w:before="156" w:after="156"/>
      <w:ind w:firstLine="480" w:firstLineChars="200"/>
    </w:pPr>
    <w:rPr>
      <w:rFonts w:ascii="Calibri" w:hAnsi="Calibri" w:cs="Calibri"/>
      <w:sz w:val="24"/>
    </w:rPr>
  </w:style>
  <w:style w:type="paragraph" w:customStyle="1" w:styleId="367">
    <w:name w:val="列出段落1"/>
    <w:basedOn w:val="1"/>
    <w:qFormat/>
    <w:uiPriority w:val="0"/>
    <w:pPr>
      <w:ind w:firstLine="200" w:firstLineChars="200"/>
    </w:pPr>
  </w:style>
  <w:style w:type="paragraph" w:customStyle="1" w:styleId="368">
    <w:name w:val="p0"/>
    <w:basedOn w:val="1"/>
    <w:qFormat/>
    <w:uiPriority w:val="0"/>
    <w:pPr>
      <w:widowControl/>
    </w:pPr>
    <w:rPr>
      <w:kern w:val="0"/>
      <w:szCs w:val="21"/>
    </w:rPr>
  </w:style>
  <w:style w:type="paragraph" w:customStyle="1" w:styleId="369">
    <w:name w:val="List Paragraph1"/>
    <w:basedOn w:val="1"/>
    <w:qFormat/>
    <w:uiPriority w:val="0"/>
    <w:pPr>
      <w:ind w:firstLine="200" w:firstLineChars="200"/>
    </w:pPr>
    <w:rPr>
      <w:rFonts w:ascii="Calibri" w:hAnsi="Calibri"/>
      <w:szCs w:val="21"/>
    </w:rPr>
  </w:style>
  <w:style w:type="paragraph" w:customStyle="1" w:styleId="370">
    <w:name w:val="列出段落2"/>
    <w:basedOn w:val="1"/>
    <w:qFormat/>
    <w:uiPriority w:val="0"/>
    <w:pPr>
      <w:ind w:firstLine="200" w:firstLineChars="200"/>
    </w:pPr>
    <w:rPr>
      <w:rFonts w:ascii="Calibri" w:hAnsi="Calibri"/>
      <w:szCs w:val="21"/>
    </w:rPr>
  </w:style>
  <w:style w:type="paragraph" w:customStyle="1" w:styleId="371">
    <w:name w:val="List Paragraph2"/>
    <w:basedOn w:val="1"/>
    <w:qFormat/>
    <w:uiPriority w:val="0"/>
    <w:pPr>
      <w:ind w:firstLine="200" w:firstLineChars="200"/>
    </w:pPr>
    <w:rPr>
      <w:rFonts w:ascii="Calibri" w:hAnsi="Calibri"/>
      <w:szCs w:val="21"/>
    </w:rPr>
  </w:style>
  <w:style w:type="table" w:customStyle="1" w:styleId="372">
    <w:name w:val="网格型1"/>
    <w:basedOn w:val="61"/>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373">
    <w:name w:val="Table Text"/>
    <w:basedOn w:val="1"/>
    <w:semiHidden/>
    <w:qFormat/>
    <w:uiPriority w:val="0"/>
    <w:rPr>
      <w:rFonts w:ascii="宋体" w:hAnsi="宋体" w:cs="宋体"/>
      <w:sz w:val="20"/>
      <w:szCs w:val="20"/>
      <w:lang w:eastAsia="en-US"/>
    </w:rPr>
  </w:style>
  <w:style w:type="character" w:customStyle="1" w:styleId="374">
    <w:name w:val="font21"/>
    <w:basedOn w:val="63"/>
    <w:qFormat/>
    <w:uiPriority w:val="0"/>
    <w:rPr>
      <w:rFonts w:hint="eastAsia" w:ascii="仿宋" w:hAnsi="仿宋" w:eastAsia="仿宋" w:cs="仿宋"/>
      <w:color w:val="000000"/>
      <w:sz w:val="18"/>
      <w:szCs w:val="18"/>
      <w:u w:val="none"/>
    </w:rPr>
  </w:style>
  <w:style w:type="character" w:customStyle="1" w:styleId="375">
    <w:name w:val="标题 5 字符"/>
    <w:basedOn w:val="63"/>
    <w:link w:val="7"/>
    <w:qFormat/>
    <w:uiPriority w:val="6"/>
    <w:rPr>
      <w:rFonts w:ascii="Times New Roman" w:hAnsi="Times New Roman" w:eastAsia="仿宋"/>
      <w:sz w:val="24"/>
    </w:rPr>
  </w:style>
  <w:style w:type="paragraph" w:customStyle="1" w:styleId="376">
    <w:name w:val="修订4"/>
    <w:hidden/>
    <w:unhideWhenUsed/>
    <w:qFormat/>
    <w:uiPriority w:val="99"/>
    <w:rPr>
      <w:rFonts w:ascii="Times New Roman" w:hAnsi="Times New Roman" w:eastAsia="宋体" w:cs="Times New Roman"/>
      <w:kern w:val="2"/>
      <w:sz w:val="21"/>
      <w:szCs w:val="24"/>
      <w:lang w:val="en-US" w:eastAsia="zh-CN" w:bidi="ar-SA"/>
    </w:rPr>
  </w:style>
  <w:style w:type="paragraph" w:customStyle="1" w:styleId="377">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10.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9fc5d309-49c2-4d77-908c-8eb2b0482c9c</errorID>
      <errorWord>湿地保护恢复</errorWord>
      <group>L1_Political</group>
      <groupName>政治性问题</groupName>
      <ability>L2_Keyword</ability>
      <abilityName>固定表述</abilityName>
      <candidateList>
        <item>湿地保护修复</item>
      </candidateList>
      <explain>词汇“湿地保护修复”在特定场景下为固定表述形式，请确认此处的“湿地保护恢复”是否存在不当。</explain>
      <paraID>1CD03BFE</paraID>
      <start>7</start>
      <end>13</end>
      <status>unmodified</status>
      <modifiedWord/>
      <trackRevisions>false</trackRevisions>
    </reviewItem>
    <reviewItem>
      <errorID>29e71d04-87b8-4d52-b9c9-50ed39dddbf9</errorID>
      <errorWord>:</errorWord>
      <group>L1_Format</group>
      <groupName>格式问题</groupName>
      <ability>L2_HalfPunc_CN</ability>
      <abilityName>全半角问题</abilityName>
      <candidateList>
        <item>：</item>
      </candidateList>
      <explain>文本全半角错误。</explain>
      <paraID>670352FE</paraID>
      <start>4</start>
      <end>5</end>
      <status>unmodified</status>
      <modifiedWord/>
      <trackRevisions>false</trackRevisions>
    </reviewItem>
    <reviewItem>
      <errorID>d2fe6e5f-936d-451a-b78c-acb27e396f12</errorID>
      <errorWord>湿地保护恢复</errorWord>
      <group>L1_Political</group>
      <groupName>政治性问题</groupName>
      <ability>L2_Keyword</ability>
      <abilityName>固定表述</abilityName>
      <candidateList>
        <item>湿地保护修复</item>
      </candidateList>
      <explain>词汇“湿地保护修复”在特定场景下为固定表述形式，请确认此处的“湿地保护恢复”是否存在不当。</explain>
      <paraID>720D395E</paraID>
      <start>34</start>
      <end>40</end>
      <status>unmodified</status>
      <modifiedWord/>
      <trackRevisions>false</trackRevisions>
    </reviewItem>
    <reviewItem>
      <errorID>a5b721ab-1a21-4b42-a719-ec03661ebc40</errorID>
      <errorWord>湿地保护恢复</errorWord>
      <group>L1_Political</group>
      <groupName>政治性问题</groupName>
      <ability>L2_Keyword</ability>
      <abilityName>固定表述</abilityName>
      <candidateList>
        <item>湿地保护修复</item>
      </candidateList>
      <explain>词汇“湿地保护修复”在特定场景下为固定表述形式，请确认此处的“湿地保护恢复”是否存在不当。</explain>
      <paraID>2B7239AD</paraID>
      <start>38</start>
      <end>44</end>
      <status>unmodified</status>
      <modifiedWord/>
      <trackRevisions>false</trackRevisions>
    </reviewItem>
    <reviewItem>
      <errorID>98a2e459-5edd-4e95-8b4a-3a4d8ee9a908</errorID>
      <errorWord>：</errorWord>
      <group>L1_Format</group>
      <groupName>格式问题</groupName>
      <ability>L2_HalfPunc_CN</ability>
      <abilityName>全半角问题</abilityName>
      <candidateList>
        <item>:</item>
      </candidateList>
      <explain>文本全半角错误。</explain>
      <paraID>64FE09F9</paraID>
      <start>19</start>
      <end>20</end>
      <status>unmodified</status>
      <modifiedWord/>
      <trackRevisions>false</trackRevisions>
    </reviewItem>
    <reviewItem>
      <errorID>f86c5f0e-a67c-4d6a-9b93-078d8bc68d9f</errorID>
      <errorWord>：</errorWord>
      <group>L1_Format</group>
      <groupName>格式问题</groupName>
      <ability>L2_HalfPunc_CN</ability>
      <abilityName>全半角问题</abilityName>
      <candidateList>
        <item>:</item>
      </candidateList>
      <explain>文本全半角错误。</explain>
      <paraID>64FE09F9</paraID>
      <start>31</start>
      <end>32</end>
      <status>unmodified</status>
      <modifiedWord/>
      <trackRevisions>false</trackRevisions>
    </reviewItem>
    <reviewItem>
      <errorID>dd0db21a-54aa-44d0-afd1-d90f854519d2</errorID>
      <errorWord>：</errorWord>
      <group>L1_Format</group>
      <groupName>格式问题</groupName>
      <ability>L2_HalfPunc_CN</ability>
      <abilityName>全半角问题</abilityName>
      <candidateList>
        <item>:</item>
      </candidateList>
      <explain>文本全半角错误。</explain>
      <paraID>64FE09F9</paraID>
      <start>43</start>
      <end>44</end>
      <status>unmodified</status>
      <modifiedWord/>
      <trackRevisions>false</trackRevisions>
    </reviewItem>
    <reviewItem>
      <errorID>bf208697-98a1-442e-89bb-fbde2ac09364</errorID>
      <errorWord>：</errorWord>
      <group>L1_Format</group>
      <groupName>格式问题</groupName>
      <ability>L2_HalfPunc_CN</ability>
      <abilityName>全半角问题</abilityName>
      <candidateList>
        <item>:</item>
      </candidateList>
      <explain>文本全半角错误。</explain>
      <paraID>64FE09F9</paraID>
      <start>55</start>
      <end>56</end>
      <status>unmodified</status>
      <modifiedWord/>
      <trackRevisions>false</trackRevisions>
    </reviewItem>
    <reviewItem>
      <errorID>93785aac-17e2-4175-b0d7-48aaa2b7ea1b</errorID>
      <errorWord>：</errorWord>
      <group>L1_Format</group>
      <groupName>格式问题</groupName>
      <ability>L2_HalfPunc_CN</ability>
      <abilityName>全半角问题</abilityName>
      <candidateList>
        <item>:</item>
      </candidateList>
      <explain>文本全半角错误。</explain>
      <paraID>64FE09F9</paraID>
      <start>67</start>
      <end>68</end>
      <status>unmodified</status>
      <modifiedWord/>
      <trackRevisions>false</trackRevisions>
    </reviewItem>
    <reviewItem>
      <errorID>1fa79eb4-0fd8-494a-8662-3e4fd3e3ac53</errorID>
      <errorWord>：</errorWord>
      <group>L1_Format</group>
      <groupName>格式问题</groupName>
      <ability>L2_HalfPunc_CN</ability>
      <abilityName>全半角问题</abilityName>
      <candidateList>
        <item>:</item>
      </candidateList>
      <explain>文本全半角错误。</explain>
      <paraID>51D10F45</paraID>
      <start>19</start>
      <end>20</end>
      <status>unmodified</status>
      <modifiedWord/>
      <trackRevisions>false</trackRevisions>
    </reviewItem>
    <reviewItem>
      <errorID>e026aba3-3843-4b63-8c63-5ed4704ede92</errorID>
      <errorWord>：</errorWord>
      <group>L1_Format</group>
      <groupName>格式问题</groupName>
      <ability>L2_HalfPunc_CN</ability>
      <abilityName>全半角问题</abilityName>
      <candidateList>
        <item>:</item>
      </candidateList>
      <explain>文本全半角错误。</explain>
      <paraID>51D10F45</paraID>
      <start>31</start>
      <end>32</end>
      <status>unmodified</status>
      <modifiedWord/>
      <trackRevisions>false</trackRevisions>
    </reviewItem>
    <reviewItem>
      <errorID>2e862e47-585b-407a-9e55-ac818ce4e670</errorID>
      <errorWord>：</errorWord>
      <group>L1_Format</group>
      <groupName>格式问题</groupName>
      <ability>L2_HalfPunc_CN</ability>
      <abilityName>全半角问题</abilityName>
      <candidateList>
        <item>:</item>
      </candidateList>
      <explain>文本全半角错误。</explain>
      <paraID>51D10F45</paraID>
      <start>43</start>
      <end>44</end>
      <status>unmodified</status>
      <modifiedWord/>
      <trackRevisions>false</trackRevisions>
    </reviewItem>
    <reviewItem>
      <errorID>46dde83d-eca7-4581-abb2-77216d197790</errorID>
      <errorWord>：</errorWord>
      <group>L1_Format</group>
      <groupName>格式问题</groupName>
      <ability>L2_HalfPunc_CN</ability>
      <abilityName>全半角问题</abilityName>
      <candidateList>
        <item>:</item>
      </candidateList>
      <explain>文本全半角错误。</explain>
      <paraID>51D10F45</paraID>
      <start>55</start>
      <end>56</end>
      <status>unmodified</status>
      <modifiedWord/>
      <trackRevisions>false</trackRevisions>
    </reviewItem>
    <reviewItem>
      <errorID>2e6b2ce6-cf98-4c86-80fd-518866851354</errorID>
      <errorWord>：</errorWord>
      <group>L1_Format</group>
      <groupName>格式问题</groupName>
      <ability>L2_HalfPunc_CN</ability>
      <abilityName>全半角问题</abilityName>
      <candidateList>
        <item>:</item>
      </candidateList>
      <explain>文本全半角错误。</explain>
      <paraID>51D10F45</paraID>
      <start>67</start>
      <end>68</end>
      <status>unmodified</status>
      <modifiedWord/>
      <trackRevisions>false</trackRevisions>
    </reviewItem>
    <reviewItem>
      <errorID>aea49e4f-2284-4741-aae4-7e7ebf4ce430</errorID>
      <errorWord>湿地保护与恢复</errorWord>
      <group>L1_Political</group>
      <groupName>政治性问题</groupName>
      <ability>L2_Keyword</ability>
      <abilityName>固定表述</abilityName>
      <candidateList>
        <item>湿地保护修复</item>
      </candidateList>
      <explain>词汇“湿地保护修复”在特定场景下为固定表述形式，请确认此处的“湿地保护与恢复”是否存在不当。</explain>
      <paraID>778FC9D7</paraID>
      <start>37</start>
      <end>44</end>
      <status>unmodified</status>
      <modifiedWord/>
      <trackRevisions>false</trackRevisions>
    </reviewItem>
    <reviewItem>
      <errorID>b5948196-55bf-4b29-bf81-fd89b622bd67</errorID>
      <errorWord>(</errorWord>
      <group>L1_Format</group>
      <groupName>格式问题</groupName>
      <ability>L2_HalfPunc_CN</ability>
      <abilityName>全半角问题</abilityName>
      <candidateList>
        <item>（</item>
      </candidateList>
      <explain>文本全半角错误。</explain>
      <paraID>1BF3D69E</paraID>
      <start>88</start>
      <end>89</end>
      <status>unmodified</status>
      <modifiedWord/>
      <trackRevisions>false</trackRevisions>
    </reviewItem>
    <reviewItem>
      <errorID>d22f92c5-e793-47c7-a161-60e2949ac346</errorID>
      <errorWord>)</errorWord>
      <group>L1_Format</group>
      <groupName>格式问题</groupName>
      <ability>L2_HalfPunc_CN</ability>
      <abilityName>全半角问题</abilityName>
      <candidateList>
        <item>）</item>
      </candidateList>
      <explain>文本全半角错误。</explain>
      <paraID>1BF3D69E</paraID>
      <start>112</start>
      <end>113</end>
      <status>unmodified</status>
      <modifiedWord/>
      <trackRevisions>false</trackRevisions>
    </reviewItem>
    <reviewItem>
      <errorID>2ac7f78d-428b-4876-aac1-de1dcd49fd5c</errorID>
      <errorWord>(</errorWord>
      <group>L1_Format</group>
      <groupName>格式问题</groupName>
      <ability>L2_HalfPunc_CN</ability>
      <abilityName>全半角问题</abilityName>
      <candidateList>
        <item>（</item>
      </candidateList>
      <explain>文本全半角错误。</explain>
      <paraID>6C96FA12</paraID>
      <start>12</start>
      <end>13</end>
      <status>unmodified</status>
      <modifiedWord/>
      <trackRevisions>false</trackRevisions>
    </reviewItem>
    <reviewItem>
      <errorID>c691e1f0-3ffc-4b7c-a8ea-81a1972d5924</errorID>
      <errorWord>)</errorWord>
      <group>L1_Format</group>
      <groupName>格式问题</groupName>
      <ability>L2_HalfPunc_CN</ability>
      <abilityName>全半角问题</abilityName>
      <candidateList>
        <item>）</item>
      </candidateList>
      <explain>文本全半角错误。</explain>
      <paraID>6C96FA12</paraID>
      <start>35</start>
      <end>36</end>
      <status>unmodified</status>
      <modifiedWord/>
      <trackRevisions>false</trackRevisions>
    </reviewItem>
    <reviewItem>
      <errorID>7d352a81-7544-4fa6-8f23-87c81c35c885</errorID>
      <errorWord>(</errorWord>
      <group>L1_Format</group>
      <groupName>格式问题</groupName>
      <ability>L2_HalfPunc_CN</ability>
      <abilityName>全半角问题</abilityName>
      <candidateList>
        <item>（</item>
      </candidateList>
      <explain>文本全半角错误。</explain>
      <paraID>6C96FA12</paraID>
      <start>45</start>
      <end>46</end>
      <status>unmodified</status>
      <modifiedWord/>
      <trackRevisions>false</trackRevisions>
    </reviewItem>
    <reviewItem>
      <errorID>3ace626e-952c-4dde-8d43-4eb87a4b02e8</errorID>
      <errorWord>)</errorWord>
      <group>L1_Format</group>
      <groupName>格式问题</groupName>
      <ability>L2_HalfPunc_CN</ability>
      <abilityName>全半角问题</abilityName>
      <candidateList>
        <item>）</item>
      </candidateList>
      <explain>文本全半角错误。</explain>
      <paraID>6C96FA12</paraID>
      <start>61</start>
      <end>62</end>
      <status>unmodified</status>
      <modifiedWord/>
      <trackRevisions>false</trackRevisions>
    </reviewItem>
    <reviewItem>
      <errorID>dfc04ed0-f121-4ec1-a565-906b40c3a99c</errorID>
      <errorWord>日至2026年</errorWord>
      <group>L1_Word</group>
      <groupName>字词问题</groupName>
      <ability>L2_Typo</ability>
      <abilityName>字词错误</abilityName>
      <candidateList>
        <item>日起至2026年</item>
      </candidateList>
      <explain/>
      <paraID>72F268EB</paraID>
      <start>16</start>
      <end>23</end>
      <status>unmodified</status>
      <modifiedWord/>
      <trackRevisions>false</trackRevisions>
    </reviewItem>
    <reviewItem>
      <errorID>087df39b-bbc2-4bcb-9962-582258f85224</errorID>
      <errorWord>下午15:00</errorWord>
      <group>L1_Knowledge</group>
      <groupName>知识性问题</groupName>
      <ability>L2_Time</ability>
      <abilityName>日期时间</abilityName>
      <candidateList>
        <item>15:00</item>
      </candidateList>
      <explain>24小时制的时间，不需要强调“下午”。</explain>
      <paraID>72F268EB</paraID>
      <start>48</start>
      <end>55</end>
      <status>unmodified</status>
      <modifiedWord/>
      <trackRevisions>false</trackRevisions>
    </reviewItem>
    <reviewItem>
      <errorID>73d1be58-4687-4d18-b25c-c1e41e780381</errorID>
      <errorWord>-</errorWord>
      <group>L1_Format</group>
      <groupName>格式问题</groupName>
      <ability>L2_HalfPunc_CN</ability>
      <abilityName>全半角问题</abilityName>
      <candidateList>
        <item>－</item>
      </candidateList>
      <explain>文本全半角错误。</explain>
      <paraID>161975C0</paraID>
      <start>84</start>
      <end>85</end>
      <status>unmodified</status>
      <modifiedWord/>
      <trackRevisions>false</trackRevisions>
    </reviewItem>
    <reviewItem>
      <errorID>faf62462-cd34-4999-a904-58b8eca411d6</errorID>
      <errorWord>-</errorWord>
      <group>L1_Format</group>
      <groupName>格式问题</groupName>
      <ability>L2_HalfPunc_CN</ability>
      <abilityName>全半角问题</abilityName>
      <candidateList>
        <item>－</item>
      </candidateList>
      <explain>文本全半角错误。</explain>
      <paraID>161975C0</paraID>
      <start>130</start>
      <end>131</end>
      <status>unmodified</status>
      <modifiedWord/>
      <trackRevisions>false</trackRevisions>
    </reviewItem>
    <reviewItem>
      <errorID>86b8a42f-a4c1-4537-8be8-13485ece51eb</errorID>
      <errorWord>：</errorWord>
      <group>L1_Format</group>
      <groupName>格式问题</groupName>
      <ability>L2_HalfPunc_CN</ability>
      <abilityName>全半角问题</abilityName>
      <candidateList>
        <item>:</item>
      </candidateList>
      <explain>文本全半角错误。</explain>
      <paraID> 7EE69CB</paraID>
      <start>11</start>
      <end>12</end>
      <status>unmodified</status>
      <modifiedWord/>
      <trackRevisions>false</trackRevisions>
    </reviewItem>
    <reviewItem>
      <errorID>0c032f0a-6b89-4af8-96c3-a9617bbce722</errorID>
      <errorWord>：</errorWord>
      <group>L1_Format</group>
      <groupName>格式问题</groupName>
      <ability>L2_HalfPunc_CN</ability>
      <abilityName>全半角问题</abilityName>
      <candidateList>
        <item>:</item>
      </candidateList>
      <explain>文本全半角错误。</explain>
      <paraID> 7EE69CB</paraID>
      <start>24</start>
      <end>25</end>
      <status>unmodified</status>
      <modifiedWord/>
      <trackRevisions>false</trackRevisions>
    </reviewItem>
    <reviewItem>
      <errorID>74f3e496-ae26-4965-b0c5-f163d3369173</errorID>
      <errorWord>：</errorWord>
      <group>L1_Format</group>
      <groupName>格式问题</groupName>
      <ability>L2_HalfPunc_CN</ability>
      <abilityName>全半角问题</abilityName>
      <candidateList>
        <item>:</item>
      </candidateList>
      <explain>文本全半角错误。</explain>
      <paraID> 7EE69CB</paraID>
      <start>37</start>
      <end>38</end>
      <status>unmodified</status>
      <modifiedWord/>
      <trackRevisions>false</trackRevisions>
    </reviewItem>
    <reviewItem>
      <errorID>2a30086d-a383-43b3-8c32-a752eaf5e7ae</errorID>
      <errorWord>：</errorWord>
      <group>L1_Format</group>
      <groupName>格式问题</groupName>
      <ability>L2_HalfPunc_CN</ability>
      <abilityName>全半角问题</abilityName>
      <candidateList>
        <item>:</item>
      </candidateList>
      <explain>文本全半角错误。</explain>
      <paraID> 7EE69CB</paraID>
      <start>50</start>
      <end>51</end>
      <status>unmodified</status>
      <modifiedWord/>
      <trackRevisions>false</trackRevisions>
    </reviewItem>
    <reviewItem>
      <errorID>f061796c-d14c-47f2-a6dc-183cc54e8fb9</errorID>
      <errorWord>：</errorWord>
      <group>L1_Format</group>
      <groupName>格式问题</groupName>
      <ability>L2_HalfPunc_CN</ability>
      <abilityName>全半角问题</abilityName>
      <candidateList>
        <item>:</item>
      </candidateList>
      <explain>文本全半角错误。</explain>
      <paraID> 7EE69CB</paraID>
      <start>63</start>
      <end>64</end>
      <status>unmodified</status>
      <modifiedWord/>
      <trackRevisions>false</trackRevisions>
    </reviewItem>
    <reviewItem>
      <errorID>22cc8082-86a8-4c9e-9b91-8256824faf09</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7EE69CB</paraID>
      <start>73</start>
      <end>74</end>
      <status>unmodified</status>
      <modifiedWord/>
      <trackRevisions>false</trackRevisions>
    </reviewItem>
    <reviewItem>
      <errorID>9dfeefa9-ab89-42af-9694-701f064b63e4</errorID>
      <errorWord>-</errorWord>
      <group>L1_Format</group>
      <groupName>格式问题</groupName>
      <ability>L2_HalfPunc_CN</ability>
      <abilityName>全半角问题</abilityName>
      <candidateList>
        <item>－</item>
      </candidateList>
      <explain>文本全半角错误。</explain>
      <paraID>4ED14275</paraID>
      <start>278</start>
      <end>279</end>
      <status>unmodified</status>
      <modifiedWord/>
      <trackRevisions>false</trackRevisions>
    </reviewItem>
    <reviewItem>
      <errorID>f8337a44-40ea-469e-8317-623d2ae5d1f2</errorID>
      <errorWord>-</errorWord>
      <group>L1_Format</group>
      <groupName>格式问题</groupName>
      <ability>L2_HalfPunc_CN</ability>
      <abilityName>全半角问题</abilityName>
      <candidateList>
        <item>－</item>
      </candidateList>
      <explain>文本全半角错误。</explain>
      <paraID>4ED14275</paraID>
      <start>283</start>
      <end>284</end>
      <status>unmodified</status>
      <modifiedWord/>
      <trackRevisions>false</trackRevisions>
    </reviewItem>
    <reviewItem>
      <errorID>57475a08-8399-4e97-a33d-02d989765749</errorID>
      <errorWord>-</errorWord>
      <group>L1_Format</group>
      <groupName>格式问题</groupName>
      <ability>L2_HalfPunc_CN</ability>
      <abilityName>全半角问题</abilityName>
      <candidateList>
        <item>－</item>
      </candidateList>
      <explain>文本全半角错误。</explain>
      <paraID>4ED14275</paraID>
      <start>288</start>
      <end>289</end>
      <status>unmodified</status>
      <modifiedWord/>
      <trackRevisions>false</trackRevisions>
    </reviewItem>
    <reviewItem>
      <errorID>89522454-f92d-477c-b37c-9e48cf656268</errorID>
      <errorWord>-</errorWord>
      <group>L1_Format</group>
      <groupName>格式问题</groupName>
      <ability>L2_HalfPunc_CN</ability>
      <abilityName>全半角问题</abilityName>
      <candidateList>
        <item>－</item>
      </candidateList>
      <explain>文本全半角错误。</explain>
      <paraID>4ED14275</paraID>
      <start>294</start>
      <end>295</end>
      <status>unmodified</status>
      <modifiedWord/>
      <trackRevisions>false</trackRevisions>
    </reviewItem>
    <reviewItem>
      <errorID>953fe6e3-a23b-41ab-8d6b-d156148e0c83</errorID>
      <errorWord>-</errorWord>
      <group>L1_Format</group>
      <groupName>格式问题</groupName>
      <ability>L2_HalfPunc_CN</ability>
      <abilityName>全半角问题</abilityName>
      <candidateList>
        <item>－</item>
      </candidateList>
      <explain>文本全半角错误。</explain>
      <paraID>4ED14275</paraID>
      <start>311</start>
      <end>312</end>
      <status>unmodified</status>
      <modifiedWord/>
      <trackRevisions>false</trackRevisions>
    </reviewItem>
    <reviewItem>
      <errorID>19bc77e8-d285-4ee7-8bf7-19fd9a374122</errorID>
      <errorWord>-</errorWord>
      <group>L1_Format</group>
      <groupName>格式问题</groupName>
      <ability>L2_HalfPunc_CN</ability>
      <abilityName>全半角问题</abilityName>
      <candidateList>
        <item>－</item>
      </candidateList>
      <explain>文本全半角错误。</explain>
      <paraID>1EFFBFFE</paraID>
      <start>108</start>
      <end>109</end>
      <status>unmodified</status>
      <modifiedWord/>
      <trackRevisions>false</trackRevisions>
    </reviewItem>
    <reviewItem>
      <errorID>4ffde49d-68dc-4151-b97f-704d29e81851</errorID>
      <errorWord>-</errorWord>
      <group>L1_Format</group>
      <groupName>格式问题</groupName>
      <ability>L2_HalfPunc_CN</ability>
      <abilityName>全半角问题</abilityName>
      <candidateList>
        <item>－</item>
      </candidateList>
      <explain>文本全半角错误。</explain>
      <paraID>1EFFBFFE</paraID>
      <start>139</start>
      <end>140</end>
      <status>unmodified</status>
      <modifiedWord/>
      <trackRevisions>false</trackRevisions>
    </reviewItem>
    <reviewItem>
      <errorID>31b99dc2-e475-4ce5-91ba-35a23c9d5aaf</errorID>
      <errorWord>操作合</errorWord>
      <group>L1_Word</group>
      <groupName>字词问题</groupName>
      <ability>L2_Typo</ability>
      <abilityName>字词错误</abilityName>
      <candidateList>
        <item>操作台</item>
      </candidateList>
      <explain/>
      <paraID>3C0DA668</paraID>
      <start>9</start>
      <end>12</end>
      <status>unmodified</status>
      <modifiedWord/>
      <trackRevisions>false</trackRevisions>
    </reviewItem>
    <reviewItem>
      <errorID>0cd7a7f8-790d-461e-a063-c02fa8f530b2</errorID>
      <errorWord>中的</errorWord>
      <group>L1_Word</group>
      <groupName>字词问题</groupName>
      <ability>L2_Typo</ability>
      <abilityName>字词错误</abilityName>
      <candidateList>
        <item>中</item>
      </candidateList>
      <explain/>
      <paraID>  E05401</paraID>
      <start>335</start>
      <end>337</end>
      <status>unmodified</status>
      <modifiedWord/>
      <trackRevisions>false</trackRevisions>
    </reviewItem>
    <reviewItem>
      <errorID>63973721-efd1-47c9-8d83-c867e284f07f</errorID>
      <errorWord>湿地保护与恢复</errorWord>
      <group>L1_Political</group>
      <groupName>政治性问题</groupName>
      <ability>L2_Keyword</ability>
      <abilityName>固定表述</abilityName>
      <candidateList>
        <item>湿地保护修复</item>
      </candidateList>
      <explain>词汇“湿地保护修复”在特定场景下为固定表述形式，请确认此处的“湿地保护与恢复”是否存在不当。</explain>
      <paraID>739EC8D3</paraID>
      <start>40</start>
      <end>47</end>
      <status>unmodified</status>
      <modifiedWord/>
      <trackRevisions>false</trackRevisions>
    </reviewItem>
    <reviewItem>
      <errorID>a4e8bc40-c44a-4230-a1d8-052ec7908c19</errorID>
      <errorWord>湿地保护与恢复</errorWord>
      <group>L1_Political</group>
      <groupName>政治性问题</groupName>
      <ability>L2_Keyword</ability>
      <abilityName>固定表述</abilityName>
      <candidateList>
        <item>湿地保护修复</item>
      </candidateList>
      <explain>词汇“湿地保护修复”在特定场景下为固定表述形式，请确认此处的“湿地保护与恢复”是否存在不当。</explain>
      <paraID>5BADF1A3</paraID>
      <start>93</start>
      <end>100</end>
      <status>unmodified</status>
      <modifiedWord/>
      <trackRevisions>false</trackRevisions>
    </reviewItem>
    <reviewItem>
      <errorID>b7a3fb36-a922-4369-b3e8-af48f9706875</errorID>
      <errorWord>湿地保护与恢复</errorWord>
      <group>L1_Political</group>
      <groupName>政治性问题</groupName>
      <ability>L2_Keyword</ability>
      <abilityName>固定表述</abilityName>
      <candidateList>
        <item>湿地保护修复</item>
      </candidateList>
      <explain>词汇“湿地保护修复”在特定场景下为固定表述形式，请确认此处的“湿地保护与恢复”是否存在不当。</explain>
      <paraID>31EACE46</paraID>
      <start>57</start>
      <end>64</end>
      <status>unmodified</status>
      <modifiedWord/>
      <trackRevisions>false</trackRevisions>
    </reviewItem>
    <reviewItem>
      <errorID>0e3685a5-3a44-4bf9-87dd-22322f6a92ab</errorID>
      <errorWord>湿地保护与恢复</errorWord>
      <group>L1_Political</group>
      <groupName>政治性问题</groupName>
      <ability>L2_Keyword</ability>
      <abilityName>固定表述</abilityName>
      <candidateList>
        <item>湿地保护修复</item>
      </candidateList>
      <explain>词汇“湿地保护修复”在特定场景下为固定表述形式，请确认此处的“湿地保护与恢复”是否存在不当。</explain>
      <paraID>5A735B47</paraID>
      <start>42</start>
      <end>49</end>
      <status>unmodified</status>
      <modifiedWord/>
      <trackRevisions>false</trackRevisions>
    </reviewItem>
    <reviewItem>
      <errorID>eb4b476f-2fa6-437b-820c-270223a5c2d2</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7A19534C</paraID>
      <start>174</start>
      <end>175</end>
      <status>unmodified</status>
      <modifiedWord/>
      <trackRevisions>false</trackRevisions>
    </reviewItem>
    <reviewItem>
      <errorID>111e22b3-1144-430f-a194-0de4beb99a75</errorID>
      <errorWord>~</errorWord>
      <group>L1_Format</group>
      <groupName>格式问题</groupName>
      <ability>L2_HalfPunc_CN</ability>
      <abilityName>全半角问题</abilityName>
      <candidateList>
        <item>～</item>
      </candidateList>
      <explain>文本全半角错误。</explain>
      <paraID>7DE2D2C9</paraID>
      <start>151</start>
      <end>152</end>
      <status>unmodified</status>
      <modifiedWord/>
      <trackRevisions>false</trackRevisions>
    </reviewItem>
    <reviewItem>
      <errorID>573e026a-af9b-4d8d-872e-1cd289f0462e</errorID>
      <errorWord>:</errorWord>
      <group>L1_Format</group>
      <groupName>格式问题</groupName>
      <ability>L2_HalfPunc_CN</ability>
      <abilityName>全半角问题</abilityName>
      <candidateList>
        <item>：</item>
      </candidateList>
      <explain>文本全半角错误。</explain>
      <paraID>22BC58B5</paraID>
      <start>46</start>
      <end>47</end>
      <status>unmodified</status>
      <modifiedWord/>
      <trackRevisions>false</trackRevisions>
    </reviewItem>
    <reviewItem>
      <errorID>14eeff30-8388-4cc0-80c2-6331650cc8ef</errorID>
      <errorWord>:</errorWord>
      <group>L1_Format</group>
      <groupName>格式问题</groupName>
      <ability>L2_HalfPunc_CN</ability>
      <abilityName>全半角问题</abilityName>
      <candidateList>
        <item>：</item>
      </candidateList>
      <explain>文本全半角错误。</explain>
      <paraID> CE3DE19</paraID>
      <start>1</start>
      <end>2</end>
      <status>unmodified</status>
      <modifiedWord/>
      <trackRevisions>false</trackRevisions>
    </reviewItem>
    <reviewItem>
      <errorID>07677e56-8789-4cef-9305-3dfd00e953d9</errorID>
      <errorWord>、以及</errorWord>
      <group>L1_Punc</group>
      <groupName>标点问题</groupName>
      <ability>L2_Punc_CN</ability>
      <abilityName>标点符号问题</abilityName>
      <candidateList>
        <item>，以及</item>
      </candidateList>
      <explain>连接词前后不宜使用顿号，建议使用逗号。</explain>
      <paraID>15FD3096</paraID>
      <start>81</start>
      <end>84</end>
      <status>unmodified</status>
      <modifiedWord/>
      <trackRevisions>false</trackRevisions>
    </reviewItem>
    <reviewItem>
      <errorID>c5985934-dd68-4f98-8e55-e1ab6a94f5cf</errorID>
      <errorWord>法律、法规</errorWord>
      <group>L1_Word</group>
      <groupName>字词问题</groupName>
      <ability>L2_Typo</ability>
      <abilityName>字词错误</abilityName>
      <candidateList>
        <item>法律法规</item>
      </candidateList>
      <explain/>
      <paraID>7A83D631</paraID>
      <start>16</start>
      <end>21</end>
      <status>unmodified</status>
      <modifiedWord/>
      <trackRevisions>false</trackRevisions>
    </reviewItem>
    <reviewItem>
      <errorID>02c75672-d391-4c6c-9188-1afbf73b94c9</errorID>
      <errorWord>无条件对</errorWord>
      <group>L1_Word</group>
      <groupName>字词问题</groupName>
      <ability>L2_Typo</ability>
      <abilityName>字词错误</abilityName>
      <candidateList>
        <item>无条件</item>
      </candidateList>
      <explain/>
      <paraID> C38231D</paraID>
      <start>44</start>
      <end>48</end>
      <status>unmodified</status>
      <modifiedWord/>
      <trackRevisions>false</trackRevisions>
    </reviewItem>
    <reviewItem>
      <errorID>21a28776-8791-4f91-b436-10c340ee2445</errorID>
      <errorWord>其它</errorWord>
      <group>L1_Word</group>
      <groupName>字词问题</groupName>
      <ability>L2_Alias</ability>
      <abilityName>也作/曾用词</abilityName>
      <candidateList>
        <item>其他</item>
      </candidateList>
      <explain>词汇[其它]为不规范表述或旧称，其规范书面表述为[其他]。</explain>
      <paraID>67860F73</paraID>
      <start>41</start>
      <end>43</end>
      <status>unmodified</status>
      <modifiedWord/>
      <trackRevisions>false</trackRevisions>
    </reviewItem>
    <reviewItem>
      <errorID>1f262e84-a75d-431f-9cb4-04ea67985ec9</errorID>
      <errorWord>抽沙</errorWord>
      <group>L1_Word</group>
      <groupName>字词问题</groupName>
      <ability>L2_Typo</ability>
      <abilityName>字词错误</abilityName>
      <candidateList>
        <item>抽砂</item>
      </candidateList>
      <explain>存在发音相同字词的误用。</explain>
      <paraID>79AAC2FE</paraID>
      <start>232</start>
      <end>234</end>
      <status>unmodified</status>
      <modifiedWord/>
      <trackRevisions>false</trackRevisions>
    </reviewItem>
    <reviewItem>
      <errorID>ec40b905-9375-4891-9b31-ff4672cd1bbe</errorID>
      <errorWord>需具备</errorWord>
      <group>L1_Word</group>
      <groupName>字词问题</groupName>
      <ability>L2_Typo</ability>
      <abilityName>字词错误</abilityName>
      <candidateList>
        <item>须具备</item>
      </candidateList>
      <explain/>
      <paraID>2264E703</paraID>
      <start>51</start>
      <end>54</end>
      <status>unmodified</status>
      <modifiedWord/>
      <trackRevisions>false</trackRevisions>
    </reviewItem>
    <reviewItem>
      <errorID>d5da39a2-8541-4c9a-ba15-37be107c0f60</errorID>
      <errorWord>需</errorWord>
      <group>L1_Word</group>
      <groupName>字词问题</groupName>
      <ability>L2_Typo</ability>
      <abilityName>字词错误</abilityName>
      <candidateList>
        <item>须</item>
      </candidateList>
      <explain>存在发音相同字词的误用。</explain>
      <paraID>76DFDB78</paraID>
      <start>54</start>
      <end>55</end>
      <status>unmodified</status>
      <modifiedWord/>
      <trackRevisions>false</trackRevisions>
    </reviewItem>
    <reviewItem>
      <errorID>8d8f7b19-9045-4a4c-bd50-f03bf2b408dd</errorID>
      <errorWord>做</errorWord>
      <group>L1_Word</group>
      <groupName>字词问题</groupName>
      <ability>L2_Typo</ability>
      <abilityName>字词错误</abilityName>
      <candidateList>
        <item>作</item>
      </candidateList>
      <explain>存在发音相同字词的误用。</explain>
      <paraID>768EDA5C</paraID>
      <start>23</start>
      <end>24</end>
      <status>unmodified</status>
      <modifiedWord/>
      <trackRevisions>false</trackRevisions>
    </reviewItem>
    <reviewItem>
      <errorID>8f0680be-f519-4a49-a2d3-e89fd6f36c3c</errorID>
      <errorWord>使用到</errorWord>
      <group>L1_Word</group>
      <groupName>字词问题</groupName>
      <ability>L2_Typo</ability>
      <abilityName>字词错误</abilityName>
      <candidateList>
        <item>使用</item>
      </candidateList>
      <explain/>
      <paraID>2B5EA099</paraID>
      <start>6</start>
      <end>9</end>
      <status>unmodified</status>
      <modifiedWord/>
      <trackRevisions>false</trackRevisions>
    </reviewItem>
    <reviewItem>
      <errorID>3c245896-c620-4c71-88a8-0fc915b97f2a</errorID>
      <errorWord>方</errorWord>
      <group>L1_Word</group>
      <groupName>字词问题</groupName>
      <ability>L2_Typo</ability>
      <abilityName>字词错误</abilityName>
      <candidateList>
        <item>方米</item>
      </candidateList>
      <explain/>
      <paraID>2D76E430</paraID>
      <start>13</start>
      <end>14</end>
      <status>unmodified</status>
      <modifiedWord/>
      <trackRevisions>false</trackRevisions>
    </reviewItem>
    <reviewItem>
      <errorID>f6f9b8e2-953a-416c-9f05-cee7c81c533e</errorID>
      <errorWord>方</errorWord>
      <group>L1_Word</group>
      <groupName>字词问题</groupName>
      <ability>L2_Typo</ability>
      <abilityName>字词错误</abilityName>
      <candidateList>
        <item>方米</item>
      </candidateList>
      <explain/>
      <paraID>10FBEAEF</paraID>
      <start>13</start>
      <end>14</end>
      <status>unmodified</status>
      <modifiedWord/>
      <trackRevisions>false</trackRevisions>
    </reviewItem>
    <reviewItem>
      <errorID>4ae03e97-46f3-4244-be37-df7f73fe6ca9</errorID>
      <errorWord>方</errorWord>
      <group>L1_Word</group>
      <groupName>字词问题</groupName>
      <ability>L2_Typo</ability>
      <abilityName>字词错误</abilityName>
      <candidateList>
        <item>方米</item>
      </candidateList>
      <explain/>
      <paraID>10DAD331</paraID>
      <start>14</start>
      <end>15</end>
      <status>unmodified</status>
      <modifiedWord/>
      <trackRevisions>false</trackRevisions>
    </reviewItem>
    <reviewItem>
      <errorID>43270d5c-d1f6-415a-8915-c4431efdb052</errorID>
      <errorWord>法律、法规</errorWord>
      <group>L1_Word</group>
      <groupName>字词问题</groupName>
      <ability>L2_Typo</ability>
      <abilityName>字词错误</abilityName>
      <candidateList>
        <item>法律法规</item>
      </candidateList>
      <explain/>
      <paraID>47D9F58C</paraID>
      <start>16</start>
      <end>21</end>
      <status>unmodified</status>
      <modifiedWord/>
      <trackRevisions>false</trackRevisions>
    </reviewItem>
    <reviewItem>
      <errorID>386b2a4e-ae6b-4034-8484-256d78c23711</errorID>
      <errorWord>无条件对</errorWord>
      <group>L1_Word</group>
      <groupName>字词问题</groupName>
      <ability>L2_Typo</ability>
      <abilityName>字词错误</abilityName>
      <candidateList>
        <item>无条件</item>
      </candidateList>
      <explain/>
      <paraID> 5F0C42D</paraID>
      <start>44</start>
      <end>48</end>
      <status>unmodified</status>
      <modifiedWord/>
      <trackRevisions>false</trackRevisions>
    </reviewItem>
    <reviewItem>
      <errorID>88d93b06-ad51-4ef2-a727-4953b6b0b94b</errorID>
      <errorWord>其它</errorWord>
      <group>L1_Word</group>
      <groupName>字词问题</groupName>
      <ability>L2_Alias</ability>
      <abilityName>也作/曾用词</abilityName>
      <candidateList>
        <item>其他</item>
      </candidateList>
      <explain>词汇[其它]为不规范表述或旧称，其规范书面表述为[其他]。</explain>
      <paraID>6A96BD32</paraID>
      <start>41</start>
      <end>43</end>
      <status>unmodified</status>
      <modifiedWord/>
      <trackRevisions>false</trackRevisions>
    </reviewItem>
    <reviewItem>
      <errorID>016e8736-5887-48b9-a066-2f853b89ed49</errorID>
      <errorWord>勾</errorWord>
      <group>L1_Word</group>
      <groupName>字词问题</groupName>
      <ability>L2_Typo</ability>
      <abilityName>字词错误</abilityName>
      <candidateList>
        <item>钩</item>
      </candidateList>
      <explain>存在发音相同字词的误用。</explain>
      <paraID>137DD2B6</paraID>
      <start>48</start>
      <end>49</end>
      <status>unmodified</status>
      <modifiedWord/>
      <trackRevisions>false</trackRevisions>
    </reviewItem>
    <reviewItem>
      <errorID>e6911316-633b-4fa5-a352-0550cfe46f35</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25605A5A</paraID>
      <start>0</start>
      <end>2</end>
      <status>unmodified</status>
      <modifiedWord/>
      <trackRevisions>false</trackRevisions>
    </reviewItem>
    <reviewItem>
      <errorID>d69ac4b1-2d68-4828-8c01-105bc7f753dd</errorID>
      <errorWord>需具备</errorWord>
      <group>L1_Word</group>
      <groupName>字词问题</groupName>
      <ability>L2_Typo</ability>
      <abilityName>字词错误</abilityName>
      <candidateList>
        <item>须具备</item>
      </candidateList>
      <explain/>
      <paraID>3D35D84D</paraID>
      <start>51</start>
      <end>54</end>
      <status>unmodified</status>
      <modifiedWord/>
      <trackRevisions>false</trackRevisions>
    </reviewItem>
    <reviewItem>
      <errorID>c3a8e448-99fe-4689-a14e-51860d289f46</errorID>
      <errorWord>需</errorWord>
      <group>L1_Word</group>
      <groupName>字词问题</groupName>
      <ability>L2_Typo</ability>
      <abilityName>字词错误</abilityName>
      <candidateList>
        <item>须</item>
      </candidateList>
      <explain>存在发音相同字词的误用。</explain>
      <paraID>5F1E472C</paraID>
      <start>54</start>
      <end>55</end>
      <status>unmodified</status>
      <modifiedWord/>
      <trackRevisions>false</trackRevisions>
    </reviewItem>
    <reviewItem>
      <errorID>2bfd6424-b48d-4b15-91ac-644d9fbfe72f</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2288EDB6</paraID>
      <start>0</start>
      <end>2</end>
      <status>unmodified</status>
      <modifiedWord/>
      <trackRevisions>false</trackRevisions>
    </reviewItem>
    <reviewItem>
      <errorID>57357d35-6ecd-4c9c-97e6-d48619ad5257</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219F8194</paraID>
      <start>0</start>
      <end>2</end>
      <status>unmodified</status>
      <modifiedWord/>
      <trackRevisions>false</trackRevisions>
    </reviewItem>
    <reviewItem>
      <errorID>bf03fc6b-74c0-4430-a99a-eaaf301d1522</errorID>
      <errorWord>做</errorWord>
      <group>L1_Word</group>
      <groupName>字词问题</groupName>
      <ability>L2_Typo</ability>
      <abilityName>字词错误</abilityName>
      <candidateList>
        <item>作</item>
      </candidateList>
      <explain>存在发音相同字词的误用。</explain>
      <paraID>2C0303AE</paraID>
      <start>23</start>
      <end>24</end>
      <status>unmodified</status>
      <modifiedWord/>
      <trackRevisions>false</trackRevisions>
    </reviewItem>
    <reviewItem>
      <errorID>b80b5229-851f-412c-865b-3bf63c1469f8</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7E97AC41</paraID>
      <start>0</start>
      <end>2</end>
      <status>unmodified</status>
      <modifiedWord/>
      <trackRevisions>false</trackRevisions>
    </reviewItem>
    <reviewItem>
      <errorID>05de60f3-c95e-44d7-a48e-95c5ae92b217</errorID>
      <errorWord>使用到</errorWord>
      <group>L1_Word</group>
      <groupName>字词问题</groupName>
      <ability>L2_Typo</ability>
      <abilityName>字词错误</abilityName>
      <candidateList>
        <item>使用</item>
      </candidateList>
      <explain/>
      <paraID>7E97AC41</paraID>
      <start>19</start>
      <end>22</end>
      <status>unmodified</status>
      <modifiedWord/>
      <trackRevisions>false</trackRevisions>
    </reviewItem>
    <reviewItem>
      <errorID>2515396f-4da1-4860-8caf-ee9117e4a66e</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11337946</paraID>
      <start>0</start>
      <end>2</end>
      <status>unmodified</status>
      <modifiedWord/>
      <trackRevisions>false</trackRevisions>
    </reviewItem>
    <reviewItem>
      <errorID>3ad4066f-7d68-4e1b-863a-24308dd4adde</errorID>
      <errorWord>对</errorWord>
      <group>L1_Word</group>
      <groupName>字词问题</groupName>
      <ability>L2_Typo</ability>
      <abilityName>字词错误</abilityName>
      <candidateList>
        <item>对保</item>
      </candidateList>
      <explain/>
      <paraID>11337946</paraID>
      <start>2</start>
      <end>3</end>
      <status>unmodified</status>
      <modifiedWord/>
      <trackRevisions>false</trackRevisions>
    </reviewItem>
    <reviewItem>
      <errorID>17b11312-4bcc-4102-b1c1-e2ec4d9036f0</errorID>
      <errorWord>清理清理</errorWord>
      <group>L1_Word</group>
      <groupName>字词问题</groupName>
      <ability>L2_Typo</ability>
      <abilityName>字词错误</abilityName>
      <candidateList>
        <item>清理</item>
      </candidateList>
      <explain/>
      <paraID>4141C164</paraID>
      <start>74</start>
      <end>78</end>
      <status>unmodified</status>
      <modifiedWord/>
      <trackRevisions>false</trackRevisions>
    </reviewItem>
    <reviewItem>
      <errorID>fb914931-11ca-4173-8b6d-940b41a48ae5</errorID>
      <errorWord>法律、法规</errorWord>
      <group>L1_Word</group>
      <groupName>字词问题</groupName>
      <ability>L2_Typo</ability>
      <abilityName>字词错误</abilityName>
      <candidateList>
        <item>法律法规</item>
      </candidateList>
      <explain/>
      <paraID>28DAEB10</paraID>
      <start>16</start>
      <end>21</end>
      <status>unmodified</status>
      <modifiedWord/>
      <trackRevisions>false</trackRevisions>
    </reviewItem>
    <reviewItem>
      <errorID>4a41f021-facc-41bf-b0dc-fbd71daf924d</errorID>
      <errorWord>无条件对</errorWord>
      <group>L1_Word</group>
      <groupName>字词问题</groupName>
      <ability>L2_Typo</ability>
      <abilityName>字词错误</abilityName>
      <candidateList>
        <item>无条件</item>
      </candidateList>
      <explain/>
      <paraID>12A3B13F</paraID>
      <start>44</start>
      <end>48</end>
      <status>unmodified</status>
      <modifiedWord/>
      <trackRevisions>false</trackRevisions>
    </reviewItem>
    <reviewItem>
      <errorID>5f1d6c54-7c94-45ec-92d4-14ef688df5c4</errorID>
      <errorWord>其它</errorWord>
      <group>L1_Word</group>
      <groupName>字词问题</groupName>
      <ability>L2_Alias</ability>
      <abilityName>也作/曾用词</abilityName>
      <candidateList>
        <item>其他</item>
      </candidateList>
      <explain>词汇[其它]为不规范表述或旧称，其规范书面表述为[其他]。</explain>
      <paraID> 2E1A346</paraID>
      <start>41</start>
      <end>43</end>
      <status>unmodified</status>
      <modifiedWord/>
      <trackRevisions>false</trackRevisions>
    </reviewItem>
    <reviewItem>
      <errorID>894d5758-1863-43c8-a589-3d6150f2680a</errorID>
      <errorWord>法律、法规</errorWord>
      <group>L1_Word</group>
      <groupName>字词问题</groupName>
      <ability>L2_Typo</ability>
      <abilityName>字词错误</abilityName>
      <candidateList>
        <item>法律法规</item>
      </candidateList>
      <explain/>
      <paraID>51A9DCB6</paraID>
      <start>16</start>
      <end>21</end>
      <status>unmodified</status>
      <modifiedWord/>
      <trackRevisions>false</trackRevisions>
    </reviewItem>
    <reviewItem>
      <errorID>f2a742f5-ca15-4972-8669-9cff93ff523c</errorID>
      <errorWord>无条件对</errorWord>
      <group>L1_Word</group>
      <groupName>字词问题</groupName>
      <ability>L2_Typo</ability>
      <abilityName>字词错误</abilityName>
      <candidateList>
        <item>无条件</item>
      </candidateList>
      <explain/>
      <paraID>6C41807D</paraID>
      <start>44</start>
      <end>48</end>
      <status>unmodified</status>
      <modifiedWord/>
      <trackRevisions>false</trackRevisions>
    </reviewItem>
    <reviewItem>
      <errorID>b346a880-0819-49d1-af35-a945225bf362</errorID>
      <errorWord>其它</errorWord>
      <group>L1_Word</group>
      <groupName>字词问题</groupName>
      <ability>L2_Alias</ability>
      <abilityName>也作/曾用词</abilityName>
      <candidateList>
        <item>其他</item>
      </candidateList>
      <explain>词汇[其它]为不规范表述或旧称，其规范书面表述为[其他]。</explain>
      <paraID>7715EEAA</paraID>
      <start>41</start>
      <end>43</end>
      <status>unmodified</status>
      <modifiedWord/>
      <trackRevisions>false</trackRevisions>
    </reviewItem>
    <reviewItem>
      <errorID>4b4ca788-dd30-4345-9e5c-4e95cad7ba6f</errorID>
      <errorWord>至少有3名本科及以上</errorWord>
      <group>L1_Grammar</group>
      <groupName>语法问题</groupName>
      <ability>L2_Grammar</ability>
      <abilityName>语法错误</abilityName>
      <candidateList>
        <item>至少有3名本科及</item>
      </candidateList>
      <explain>该表达中的“至少有3名本科及以上”存在语义重复。</explain>
      <paraID>3E83F589</paraID>
      <start>10</start>
      <end>20</end>
      <status>unmodified</status>
      <modifiedWord/>
      <trackRevisions>false</trackRevisions>
    </reviewItem>
    <reviewItem>
      <errorID>5d673697-4d63-4293-bb38-3cf0f26be3d8</errorID>
      <errorWord>..</errorWord>
      <group>L1_Punc</group>
      <groupName>标点问题</groupName>
      <ability>L2_Punc_CN</ability>
      <abilityName>标点符号问题</abilityName>
      <candidateList>
        <item>.</item>
      </candidateList>
      <explain/>
      <paraID> FD3FC75</paraID>
      <start>1</start>
      <end>3</end>
      <status>unmodified</status>
      <modifiedWord/>
      <trackRevisions>false</trackRevisions>
    </reviewItem>
    <reviewItem>
      <errorID>f8ddcf64-396c-496c-94f3-4d6741b3f93f</errorID>
      <errorWord>安全部</errorWord>
      <group>L1_Word</group>
      <groupName>字词问题</groupName>
      <ability>L2_Typo</ability>
      <abilityName>字词错误</abilityName>
      <candidateList>
        <item>安全</item>
      </candidateList>
      <explain/>
      <paraID>4EED0FA3</paraID>
      <start>203</start>
      <end>206</end>
      <status>unmodified</status>
      <modifiedWord/>
      <trackRevisions>false</trackRevisions>
    </reviewItem>
    <reviewItem>
      <errorID>06cc4cef-ac82-436e-bafe-0c7276cba98a</errorID>
      <errorWord>时</errorWord>
      <group>L1_Word</group>
      <groupName>字词问题</groupName>
      <ability>L2_Typo</ability>
      <abilityName>字词错误</abilityName>
      <candidateList>
        <item>时内</item>
      </candidateList>
      <explain/>
      <paraID>1356D44F</paraID>
      <start>42</start>
      <end>43</end>
      <status>unmodified</status>
      <modifiedWord/>
      <trackRevisions>false</trackRevisions>
    </reviewItem>
    <reviewItem>
      <errorID>cd689b7c-6a4b-4c3f-9fb8-f6247ffd80b3</errorID>
      <errorWord>(</errorWord>
      <group>L1_Format</group>
      <groupName>格式问题</groupName>
      <ability>L2_HalfPunc_CN</ability>
      <abilityName>全半角问题</abilityName>
      <candidateList>
        <item>（</item>
      </candidateList>
      <explain>文本全半角错误。</explain>
      <paraID>6225CDC5</paraID>
      <start>8</start>
      <end>9</end>
      <status>unmodified</status>
      <modifiedWord/>
      <trackRevisions>false</trackRevisions>
    </reviewItem>
    <reviewItem>
      <errorID>25cfcc5d-b975-44b6-8a3a-5a8c73194621</errorID>
      <errorWord>)</errorWord>
      <group>L1_Format</group>
      <groupName>格式问题</groupName>
      <ability>L2_HalfPunc_CN</ability>
      <abilityName>全半角问题</abilityName>
      <candidateList>
        <item>）</item>
      </candidateList>
      <explain>文本全半角错误。</explain>
      <paraID>6225CDC5</paraID>
      <start>19</start>
      <end>20</end>
      <status>unmodified</status>
      <modifiedWord/>
      <trackRevisions>false</trackRevisions>
    </reviewItem>
    <reviewItem>
      <errorID>b407dfba-a8ec-4b15-9f5d-5f3205137785</errorID>
      <errorWord>(</errorWord>
      <group>L1_Format</group>
      <groupName>格式问题</groupName>
      <ability>L2_HalfPunc_CN</ability>
      <abilityName>全半角问题</abilityName>
      <candidateList>
        <item>（</item>
      </candidateList>
      <explain>文本全半角错误。</explain>
      <paraID>725B15E4</paraID>
      <start>8</start>
      <end>9</end>
      <status>unmodified</status>
      <modifiedWord/>
      <trackRevisions>false</trackRevisions>
    </reviewItem>
    <reviewItem>
      <errorID>acb7ca7c-0979-4cbd-a1c7-a450baa5b262</errorID>
      <errorWord>)</errorWord>
      <group>L1_Format</group>
      <groupName>格式问题</groupName>
      <ability>L2_HalfPunc_CN</ability>
      <abilityName>全半角问题</abilityName>
      <candidateList>
        <item>）</item>
      </candidateList>
      <explain>文本全半角错误。</explain>
      <paraID>725B15E4</paraID>
      <start>19</start>
      <end>20</end>
      <status>unmodified</status>
      <modifiedWord/>
      <trackRevisions>false</trackRevisions>
    </reviewItem>
    <reviewItem>
      <errorID>db033e54-b93f-4ac2-bd34-935487927692</errorID>
      <errorWord>：）</errorWord>
      <group>L1_Punc</group>
      <groupName>标点问题</groupName>
      <ability>L2_Punc_CN</ability>
      <abilityName>标点符号问题</abilityName>
      <candidateList>
        <item>）</item>
      </candidateList>
      <explain/>
      <paraID>7A94271C</paraID>
      <start>15</start>
      <end>17</end>
      <status>unmodified</status>
      <modifiedWord/>
      <trackRevisions>false</trackRevisions>
    </reviewItem>
    <reviewItem>
      <errorID>ee180b17-3c87-4354-a30b-ecceb7ec900b</errorID>
      <errorWord>)</errorWord>
      <group>L1_Format</group>
      <groupName>格式问题</groupName>
      <ability>L2_HalfPunc_CN</ability>
      <abilityName>全半角问题</abilityName>
      <candidateList>
        <item>）</item>
      </candidateList>
      <explain>文本全半角错误。</explain>
      <paraID>57D66A3B</paraID>
      <start>98</start>
      <end>99</end>
      <status>unmodified</status>
      <modifiedWord/>
      <trackRevisions>false</trackRevisions>
    </reviewItem>
    <reviewItem>
      <errorID>a5ddc436-e07a-4d7d-abec-cf44aa43dfc2</errorID>
      <errorWord>帐</errorWord>
      <group>L1_Word</group>
      <groupName>字词问题</groupName>
      <ability>L2_Typo</ability>
      <abilityName>字词错误</abilityName>
      <candidateList>
        <item>账</item>
      </candidateList>
      <explain/>
      <paraID> AACA0D4</paraID>
      <start>0</start>
      <end>1</end>
      <status>unmodified</status>
      <modifiedWord/>
      <trackRevisions>false</trackRevisions>
    </reviewItem>
    <reviewItem>
      <errorID>253bec99-5e3b-4c5e-89b5-0b1a962b517c</errorID>
      <errorWord>：/</errorWord>
      <group>L1_Punc</group>
      <groupName>标点问题</groupName>
      <ability>L2_Punc_CN</ability>
      <abilityName>标点符号问题</abilityName>
      <candidateList>
        <item>：</item>
      </candidateList>
      <explain/>
      <paraID>307AB25B</paraID>
      <start>6</start>
      <end>8</end>
      <status>unmodified</status>
      <modifiedWord/>
      <trackRevisions>false</trackRevisions>
    </reviewItem>
    <reviewItem>
      <errorID>e5745208-1b43-4eb4-9f03-f7641a7c9f9d</errorID>
      <errorWord>：/</errorWord>
      <group>L1_Punc</group>
      <groupName>标点问题</groupName>
      <ability>L2_Punc_CN</ability>
      <abilityName>标点符号问题</abilityName>
      <candidateList>
        <item>：</item>
      </candidateList>
      <explain/>
      <paraID>307AB25B</paraID>
      <start>29</start>
      <end>31</end>
      <status>unmodified</status>
      <modifiedWord/>
      <trackRevisions>false</trackRevisions>
    </reviewItem>
    <reviewItem>
      <errorID>f5dc90db-be83-4aa8-8ff4-c66a0f516672</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13290E6E</paraID>
      <start>120</start>
      <end>121</end>
      <status>unmodified</status>
      <modifiedWord/>
      <trackRevisions>false</trackRevisions>
    </reviewItem>
    <reviewItem>
      <errorID>0d80a8fc-ae94-4b3f-acfb-12ddb3d1d940</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7FFB6529</paraID>
      <start>176</start>
      <end>177</end>
      <status>unmodified</status>
      <modifiedWord/>
      <trackRevisions>false</trackRevisions>
    </reviewItem>
    <reviewItem>
      <errorID>f1119978-c298-4f36-ac20-b31cd6866850</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6C9D15AB</paraID>
      <start>0</start>
      <end>2</end>
      <status>unmodified</status>
      <modifiedWord/>
      <trackRevisions>false</trackRevisions>
    </reviewItem>
    <reviewItem>
      <errorID>5596fdb4-9685-4d9d-8cb5-95492cce80d7</errorID>
      <errorWord>作为在</errorWord>
      <group>L1_Word</group>
      <groupName>字词问题</groupName>
      <ability>L2_Typo</ability>
      <abilityName>字词错误</abilityName>
      <candidateList>
        <item>作为</item>
      </candidateList>
      <explain/>
      <paraID>2BBA8669</paraID>
      <start>29</start>
      <end>32</end>
      <status>unmodified</status>
      <modifiedWord/>
      <trackRevisions>false</trackRevisions>
    </reviewItem>
    <reviewItem>
      <errorID>b9c61e41-1a68-49f5-aadd-4c9a1cec5ce7</errorID>
      <errorWord>推荐为</errorWord>
      <group>L1_Word</group>
      <groupName>字词问题</groupName>
      <ability>L2_Typo</ability>
      <abilityName>字词错误</abilityName>
      <candidateList>
        <item>推荐</item>
      </candidateList>
      <explain/>
      <paraID>55E991D5</paraID>
      <start>16</start>
      <end>19</end>
      <status>unmodified</status>
      <modifiedWord/>
      <trackRevisions>false</trackRevisions>
    </reviewItem>
    <reviewItem>
      <errorID>ac427cf1-9806-44b1-b94b-b0206d825dd5</errorID>
      <errorWord>以下的</errorWord>
      <group>L1_Word</group>
      <groupName>字词问题</groupName>
      <ability>L2_Typo</ability>
      <abilityName>字词错误</abilityName>
      <candidateList>
        <item>以下</item>
      </candidateList>
      <explain/>
      <paraID>19E0C819</paraID>
      <start>40</start>
      <end>43</end>
      <status>unmodified</status>
      <modifiedWord/>
      <trackRevisions>false</trackRevisions>
    </reviewItem>
    <reviewItem>
      <errorID>b9e99621-526a-4db1-881b-644935e70841</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8C44731</paraID>
      <start>28</start>
      <end>31</end>
      <status>unmodified</status>
      <modifiedWord/>
      <trackRevisions>false</trackRevisions>
    </reviewItem>
    <reviewItem>
      <errorID>0474ce7a-c4b6-4f8c-9b23-bca6fa0beba0</errorID>
      <errorWord>，</errorWord>
      <group>L1_Word</group>
      <groupName>字词问题</groupName>
      <ability>L2_Typo</ability>
      <abilityName>字词错误</abilityName>
      <candidateList>
        <item>，使</item>
      </candidateList>
      <explain/>
      <paraID> D1E7917</paraID>
      <start>32</start>
      <end>33</end>
      <status>unmodified</status>
      <modifiedWord/>
      <trackRevisions>false</trackRevisions>
    </reviewItem>
    <reviewItem>
      <errorID>f75e8bf4-7e8d-4be2-b7d0-b26e41900933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6A3898E</paraID>
      <start>15</start>
      <end>18</end>
      <status>unmodified</status>
      <modifiedWord/>
      <trackRevisions>false</trackRevisions>
    </reviewItem>
    <reviewItem>
      <errorID>ccf083df-f415-405c-bbd7-ea3b87b03e71</errorID>
      <errorWord>(</errorWord>
      <group>L1_Format</group>
      <groupName>格式问题</groupName>
      <ability>L2_HalfPunc_CN</ability>
      <abilityName>全半角问题</abilityName>
      <candidateList>
        <item>（</item>
      </candidateList>
      <explain>文本全半角错误。</explain>
      <paraID>57C1CAC7</paraID>
      <start>53</start>
      <end>54</end>
      <status>unmodified</status>
      <modifiedWord/>
      <trackRevisions>false</trackRevisions>
    </reviewItem>
    <reviewItem>
      <errorID>bac12206-2a59-42be-9d9b-5426a1729066</errorID>
      <errorWord>)</errorWord>
      <group>L1_Format</group>
      <groupName>格式问题</groupName>
      <ability>L2_HalfPunc_CN</ability>
      <abilityName>全半角问题</abilityName>
      <candidateList>
        <item>）</item>
      </candidateList>
      <explain>文本全半角错误。</explain>
      <paraID>57C1CAC7</paraID>
      <start>73</start>
      <end>74</end>
      <status>unmodified</status>
      <modifiedWord/>
      <trackRevisions>false</trackRevisions>
    </reviewItem>
    <reviewItem>
      <errorID>87411d5d-01f9-4816-93a8-9edafcc8169a</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1CE84391</paraID>
      <start>51</start>
      <end>54</end>
      <status>unmodified</status>
      <modifiedWord/>
      <trackRevisions>false</trackRevisions>
    </reviewItem>
    <reviewItem>
      <errorID>e2077af8-a7ca-49af-9392-e800358241ef</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1CE84391</paraID>
      <start>70</start>
      <end>73</end>
      <status>unmodified</status>
      <modifiedWord/>
      <trackRevisions>false</trackRevisions>
    </reviewItem>
    <reviewItem>
      <errorID>1708f58a-4c0e-4e06-98d6-9a172af4277f</errorID>
      <errorWord>法律、法规</errorWord>
      <group>L1_Word</group>
      <groupName>字词问题</groupName>
      <ability>L2_Typo</ability>
      <abilityName>字词错误</abilityName>
      <candidateList>
        <item>法律法规</item>
      </candidateList>
      <explain/>
      <paraID>1227DB0B</paraID>
      <start>25</start>
      <end>30</end>
      <status>unmodified</status>
      <modifiedWord/>
      <trackRevisions>false</trackRevisions>
    </reviewItem>
    <reviewItem>
      <errorID>0140ff89-aa10-4ddb-a28a-9c5d5eb94f63</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4CEAAC16</paraID>
      <start>203</start>
      <end>208</end>
      <status>unmodified</status>
      <modifiedWord/>
      <trackRevisions>false</trackRevisions>
    </reviewItem>
    <reviewItem>
      <errorID>c3f74560-6a22-41e0-a50c-d4509e973c6a</errorID>
      <errorWord>(</errorWord>
      <group>L1_Format</group>
      <groupName>格式问题</groupName>
      <ability>L2_HalfPunc_CN</ability>
      <abilityName>全半角问题</abilityName>
      <candidateList>
        <item>（</item>
      </candidateList>
      <explain>文本全半角错误。</explain>
      <paraID>77964E70</paraID>
      <start>94</start>
      <end>95</end>
      <status>unmodified</status>
      <modifiedWord/>
      <trackRevisions>false</trackRevisions>
    </reviewItem>
    <reviewItem>
      <errorID>ee26cc12-d4c0-4a39-9507-8f49223005a3</errorID>
      <errorWord>)</errorWord>
      <group>L1_Format</group>
      <groupName>格式问题</groupName>
      <ability>L2_HalfPunc_CN</ability>
      <abilityName>全半角问题</abilityName>
      <candidateList>
        <item>）</item>
      </candidateList>
      <explain>文本全半角错误。</explain>
      <paraID>77964E70</paraID>
      <start>133</start>
      <end>134</end>
      <status>unmodified</status>
      <modifiedWord/>
      <trackRevisions>false</trackRevisions>
    </reviewItem>
    <reviewItem>
      <errorID>b17bc4a3-f86a-4b36-b753-38e878c7a992</errorID>
      <errorWord>操作合</errorWord>
      <group>L1_Word</group>
      <groupName>字词问题</groupName>
      <ability>L2_Typo</ability>
      <abilityName>字词错误</abilityName>
      <candidateList>
        <item>操作台</item>
      </candidateList>
      <explain/>
      <paraID>127B6D93</paraID>
      <start>9</start>
      <end>12</end>
      <status>unmodified</status>
      <modifiedWord/>
      <trackRevisions>false</trackRevisions>
    </reviewItem>
    <reviewItem>
      <errorID>bcf65275-ba7c-4339-8048-e35515ca3bd9</errorID>
      <errorWord>详见在</errorWord>
      <group>L1_Word</group>
      <groupName>字词问题</groupName>
      <ability>L2_Typo</ability>
      <abilityName>字词错误</abilityName>
      <candidateList>
        <item>详见</item>
      </candidateList>
      <explain/>
      <paraID>2AAEB5FF</paraID>
      <start>63</start>
      <end>66</end>
      <status>unmodified</status>
      <modifiedWord/>
      <trackRevisions>false</trackRevisions>
    </reviewItem>
    <reviewItem>
      <errorID>f07347ef-7033-485d-8bca-79d46bf9f458</errorID>
      <errorWord>”中</errorWord>
      <group>L1_Word</group>
      <groupName>字词问题</groupName>
      <ability>L2_Typo</ability>
      <abilityName>字词错误</abilityName>
      <candidateList>
        <item>”</item>
      </candidateList>
      <explain/>
      <paraID> 1E1A3F5</paraID>
      <start>190</start>
      <end>192</end>
      <status>unmodified</status>
      <modifiedWord/>
      <trackRevisions>false</trackRevisions>
    </reviewItem>
    <reviewItem>
      <errorID>03b39929-1f35-479e-adc8-7f7ccf4f6afd</errorID>
      <errorWord>间</errorWord>
      <group>L1_Word</group>
      <groupName>字词问题</groupName>
      <ability>L2_Typo</ability>
      <abilityName>字词错误</abilityName>
      <candidateList>
        <item>间之</item>
      </candidateList>
      <explain/>
      <paraID>702BA32D</paraID>
      <start>41</start>
      <end>42</end>
      <status>unmodified</status>
      <modifiedWord/>
      <trackRevisions>false</trackRevisions>
    </reviewItem>
    <reviewItem>
      <errorID>4898fb18-5275-478c-8990-a631b0d07442</errorID>
      <errorWord>名</errorWord>
      <group>L1_Word</group>
      <groupName>字词问题</groupName>
      <ability>L2_Typo</ability>
      <abilityName>字词错误</abilityName>
      <candidateList>
        <item>名单</item>
      </candidateList>
      <explain/>
      <paraID>39F812FB</paraID>
      <start>81</start>
      <end>82</end>
      <status>unmodified</status>
      <modifiedWord/>
      <trackRevisions>false</trackRevisions>
    </reviewItem>
    <reviewItem>
      <errorID>499a477a-7a28-4b24-b9fb-eda2ce2aa05e</errorID>
      <errorWord>会</errorWord>
      <group>L1_Word</group>
      <groupName>字词问题</groupName>
      <ability>L2_Typo</ability>
      <abilityName>字词错误</abilityName>
      <candidateList>
        <item>会在</item>
      </candidateList>
      <explain/>
      <paraID>52812E4C</paraID>
      <start>13</start>
      <end>14</end>
      <status>unmodified</status>
      <modifiedWord/>
      <trackRevisions>false</trackRevisions>
    </reviewItem>
    <reviewItem>
      <errorID>5dab0e65-51d3-40b1-a422-26a4e63be012</errorID>
      <errorWord>(</errorWord>
      <group>L1_Format</group>
      <groupName>格式问题</groupName>
      <ability>L2_HalfPunc_CN</ability>
      <abilityName>全半角问题</abilityName>
      <candidateList>
        <item>（</item>
      </candidateList>
      <explain>文本全半角错误。</explain>
      <paraID> AABBCCE</paraID>
      <start>117</start>
      <end>118</end>
      <status>unmodified</status>
      <modifiedWord/>
      <trackRevisions>false</trackRevisions>
    </reviewItem>
    <reviewItem>
      <errorID>fa7e18b5-3e16-4361-9bed-74256129f0c6</errorID>
      <errorWord>)</errorWord>
      <group>L1_Format</group>
      <groupName>格式问题</groupName>
      <ability>L2_HalfPunc_CN</ability>
      <abilityName>全半角问题</abilityName>
      <candidateList>
        <item>）</item>
      </candidateList>
      <explain>文本全半角错误。</explain>
      <paraID> AABBCCE</paraID>
      <start>130</start>
      <end>131</end>
      <status>unmodified</status>
      <modifiedWord/>
      <trackRevisions>false</trackRevisions>
    </reviewItem>
    <reviewItem>
      <errorID>0035aa33-d6d2-4381-a419-bdbde4b06307</errorID>
      <errorWord>计算出</errorWord>
      <group>L1_Word</group>
      <groupName>字词问题</groupName>
      <ability>L2_Typo</ability>
      <abilityName>字词错误</abilityName>
      <candidateList>
        <item>计算</item>
      </candidateList>
      <explain/>
      <paraID>3EF6190C</paraID>
      <start>90</start>
      <end>93</end>
      <status>unmodified</status>
      <modifiedWord/>
      <trackRevisions>false</trackRevisions>
    </reviewItem>
    <reviewItem>
      <errorID>2d6626a6-7efc-470a-a05d-40924ad478b3</errorID>
      <errorWord>100～500万</errorWord>
      <group>L1_Knowledge</group>
      <groupName>知识性问题</groupName>
      <ability>L2_Knowledge</ability>
      <abilityName>其他知识</abilityName>
      <candidateList>
        <item>100万～500万</item>
      </candidateList>
      <explain>1. “100～500万”中的单位“万”仅出现在后一个数字上，容易引起歧义；根据《现代汉语标点符号数字用法规范手册》，数字表示范围两边需要使用统一的格式。2.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102E876E</paraID>
      <start>0</start>
      <end>8</end>
      <status>unmodified</status>
      <modifiedWord/>
      <trackRevisions>false</trackRevisions>
    </reviewItem>
    <reviewItem>
      <errorID>85acedc4-668b-4b83-94d1-f8d4a4d0ad79</errorID>
      <errorWord>500～1000万</errorWord>
      <group>L1_Knowledge</group>
      <groupName>知识性问题</groupName>
      <ability>L2_Knowledge</ability>
      <abilityName>其他知识</abilityName>
      <candidateList>
        <item>500万～1000万</item>
      </candidateList>
      <explain>1. “500～1000万”中的单位“万”仅出现在后一个数字上，容易引起歧义；根据《现代汉语标点符号数字用法规范手册》，数字表示范围两边需要使用统一的格式。2.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6A6AA653</paraID>
      <start>0</start>
      <end>9</end>
      <status>unmodified</status>
      <modifiedWord/>
      <trackRevisions>false</trackRevisions>
    </reviewItem>
    <reviewItem>
      <errorID>96eacc35-0fa6-42d6-bd13-4ee9d22c1737</errorID>
      <errorWord>1000～5000万</errorWord>
      <group>L1_Knowledge</group>
      <groupName>知识性问题</groupName>
      <ability>L2_Knowledge</ability>
      <abilityName>其他知识</abilityName>
      <candidateList>
        <item>1000万～5000万</item>
      </candidateList>
      <explain>1. “1000～5000万”中的单位“万”仅出现在后一个数字上，容易引起歧义；根据《现代汉语标点符号数字用法规范手册》，数字表示范围两边需要使用统一的格式。2.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49957D39</paraID>
      <start>0</start>
      <end>10</end>
      <status>unmodified</status>
      <modifiedWord/>
      <trackRevisions>false</trackRevisions>
    </reviewItem>
    <reviewItem>
      <errorID>2adcab67-5c48-4e38-bd2b-8df0da0023d0</errorID>
      <errorWord>1～5亿</errorWord>
      <group>L1_Knowledge</group>
      <groupName>知识性问题</groupName>
      <ability>L2_Knowledge</ability>
      <abilityName>其他知识</abilityName>
      <candidateList>
        <item>1亿～5亿</item>
      </candidateList>
      <explain>1. “1～5亿”中的单位“亿”仅出现在后一个数字上，容易引起歧义；根据《现代汉语标点符号数字用法规范手册》，数字表示范围两边需要使用统一的格式。2. 根据标点国标 4.13 中的规则，数字、时间或地域连接符应使用（视觉上更长的）“—”或“～”。</explain>
      <paraID>5448CD2E</paraID>
      <start>0</start>
      <end>4</end>
      <status>unmodified</status>
      <modifiedWord/>
      <trackRevisions>false</trackRevisions>
    </reviewItem>
    <reviewItem>
      <errorID>55c87427-38f8-422d-b2d8-6c5daac5d8f4</errorID>
      <errorWord>5～10亿</errorWord>
      <group>L1_Knowledge</group>
      <groupName>知识性问题</groupName>
      <ability>L2_Knowledge</ability>
      <abilityName>其他知识</abilityName>
      <candidateList>
        <item>5亿～10亿</item>
      </candidateList>
      <explain>1. “5～10亿”中的单位“亿”仅出现在后一个数字上，容易引起歧义；根据《现代汉语标点符号数字用法规范手册》，数字表示范围两边需要使用统一的格式。2. 根据标点国标 4.13 中的规则，数字、时间或地域连接符应使用（视觉上更长的）“—”或“～”。</explain>
      <paraID>4F3D8165</paraID>
      <start>0</start>
      <end>5</end>
      <status>unmodified</status>
      <modifiedWord/>
      <trackRevisions>false</trackRevisions>
    </reviewItem>
    <reviewItem>
      <errorID>b08fea8b-b2da-488b-8155-d00b42c14750</errorID>
      <errorWord>10～50亿</errorWord>
      <group>L1_Knowledge</group>
      <groupName>知识性问题</groupName>
      <ability>L2_Knowledge</ability>
      <abilityName>其他知识</abilityName>
      <candidateList>
        <item>10亿～50亿</item>
      </candidateList>
      <explain>1. “10～50亿”中的单位“亿”仅出现在后一个数字上，容易引起歧义；根据《现代汉语标点符号数字用法规范手册》，数字表示范围两边需要使用统一的格式。2. 根据标点国标 4.13 中的规则，数字、时间或地域连接符应使用（视觉上更长的）“—”或“～”。</explain>
      <paraID>7CBB00E4</paraID>
      <start>0</start>
      <end>6</end>
      <status>unmodified</status>
      <modifiedWord/>
      <trackRevisions>false</trackRevisions>
    </reviewItem>
    <reviewItem>
      <errorID>2a86d692-3e45-4f7e-840b-654f35646462</errorID>
      <errorWord>50～100亿</errorWord>
      <group>L1_Knowledge</group>
      <groupName>知识性问题</groupName>
      <ability>L2_Knowledge</ability>
      <abilityName>其他知识</abilityName>
      <candidateList>
        <item>50亿～100亿</item>
      </candidateList>
      <explain>1. “50～100亿”中的单位“亿”仅出现在后一个数字上，容易引起歧义；根据《现代汉语标点符号数字用法规范手册》，数字表示范围两边需要使用统一的格式。2. 根据标点国标 4.13 中的规则，数字、时间或地域连接符应使用（视觉上更长的）“—”或“～”。</explain>
      <paraID>50519952</paraID>
      <start>0</start>
      <end>7</end>
      <status>unmodified</status>
      <modifiedWord/>
      <trackRevisions>false</trackRevisions>
    </reviewItem>
    <reviewItem>
      <errorID>345e4419-e6a9-43f8-b900-ea0abc8a1175</errorID>
      <errorWord>亿</errorWord>
      <group>L1_Word</group>
      <groupName>字词问题</groupName>
      <ability>L2_Typo</ability>
      <abilityName>字词错误</abilityName>
      <candidateList>
        <item>亿元</item>
      </candidateList>
      <explain/>
      <paraID> F7717F8</paraID>
      <start>3</start>
      <end>4</end>
      <status>unmodified</status>
      <modifiedWord/>
      <trackRevisions>false</trackRevisions>
    </reviewItem>
    <reviewItem>
      <errorID>cb105819-9c22-421b-b765-2da7fdac002f</errorID>
      <errorWord>法律、法规</errorWord>
      <group>L1_Word</group>
      <groupName>字词问题</groupName>
      <ability>L2_Typo</ability>
      <abilityName>字词错误</abilityName>
      <candidateList>
        <item>法律法规</item>
      </candidateList>
      <explain/>
      <paraID>11B64B34</paraID>
      <start>4</start>
      <end>9</end>
      <status>unmodified</status>
      <modifiedWord/>
      <trackRevisions>false</trackRevisions>
    </reviewItem>
    <reviewItem>
      <errorID>a84a0ea3-faa3-4bc9-9aa0-7e1891064403</errorID>
      <errorWord>-</errorWord>
      <group>L1_Format</group>
      <groupName>格式问题</groupName>
      <ability>L2_HalfPunc_CN</ability>
      <abilityName>全半角问题</abilityName>
      <candidateList>
        <item>－</item>
      </candidateList>
      <explain>文本全半角错误。</explain>
      <paraID>47C0A2A8</paraID>
      <start>20</start>
      <end>21</end>
      <status>unmodified</status>
      <modifiedWord/>
      <trackRevisions>false</trackRevisions>
    </reviewItem>
    <reviewItem>
      <errorID>65634ec9-d8eb-4c67-8b27-5e063933f594</errorID>
      <errorWord>(</errorWord>
      <group>L1_Format</group>
      <groupName>格式问题</groupName>
      <ability>L2_HalfPunc_CN</ability>
      <abilityName>全半角问题</abilityName>
      <candidateList>
        <item>（</item>
      </candidateList>
      <explain>文本全半角错误。</explain>
      <paraID>709BE5C6</paraID>
      <start>131</start>
      <end>132</end>
      <status>unmodified</status>
      <modifiedWord/>
      <trackRevisions>false</trackRevisions>
    </reviewItem>
    <reviewItem>
      <errorID>a715b7b8-496a-44cf-84a6-3ffe4e69a271</errorID>
      <errorWord>)</errorWord>
      <group>L1_Format</group>
      <groupName>格式问题</groupName>
      <ability>L2_HalfPunc_CN</ability>
      <abilityName>全半角问题</abilityName>
      <candidateList>
        <item>）</item>
      </candidateList>
      <explain>文本全半角错误。</explain>
      <paraID>709BE5C6</paraID>
      <start>141</start>
      <end>142</end>
      <status>unmodified</status>
      <modifiedWord/>
      <trackRevisions>false</trackRevisions>
    </reviewItem>
    <reviewItem>
      <errorID>f5097c09-ac7a-442a-adda-d5f60d6a7751</errorID>
      <errorWord>，</errorWord>
      <group>L1_Word</group>
      <groupName>字词问题</groupName>
      <ability>L2_Typo</ability>
      <abilityName>字词错误</abilityName>
      <candidateList>
        <item>，具</item>
      </candidateList>
      <explain/>
      <paraID>448C709A</paraID>
      <start>63</start>
      <end>64</end>
      <status>unmodified</status>
      <modifiedWord/>
      <trackRevisions>false</trackRevisions>
    </reviewItem>
    <reviewItem>
      <errorID>a30bf236-f390-49f3-aef8-0ec7f77d5ef5</errorID>
      <errorWord>，</errorWord>
      <group>L1_Word</group>
      <groupName>字词问题</groupName>
      <ability>L2_Typo</ability>
      <abilityName>字词错误</abilityName>
      <candidateList>
        <item>，具</item>
      </candidateList>
      <explain/>
      <paraID>11745149</paraID>
      <start>70</start>
      <end>71</end>
      <status>unmodified</status>
      <modifiedWord/>
      <trackRevisions>false</trackRevisions>
    </reviewItem>
    <reviewItem>
      <errorID>d13d817b-353a-4040-98ff-d5d0e35da3c2</errorID>
      <errorWord>)</errorWord>
      <group>L1_Format</group>
      <groupName>格式问题</groupName>
      <ability>L2_HalfPunc_CN</ability>
      <abilityName>全半角问题</abilityName>
      <candidateList>
        <item>）</item>
      </candidateList>
      <explain>文本全半角错误。</explain>
      <paraID>239814E5</paraID>
      <start>6</start>
      <end>7</end>
      <status>unmodified</status>
      <modifiedWord/>
      <trackRevisions>false</trackRevisions>
    </reviewItem>
    <reviewItem>
      <errorID>13728564-e440-4219-af97-73e1e3caff0b</errorID>
      <errorWord>复印件加盖</errorWord>
      <group>L1_Word</group>
      <groupName>字词问题</groupName>
      <ability>L2_Typo</ability>
      <abilityName>字词错误</abilityName>
      <candidateList>
        <item>复印件并加盖</item>
      </candidateList>
      <explain/>
      <paraID>75CAC627</paraID>
      <start>54</start>
      <end>59</end>
      <status>unmodified</status>
      <modifiedWord/>
      <trackRevisions>false</trackRevisions>
    </reviewItem>
    <reviewItem>
      <errorID>53bdc35c-fb76-49ac-be66-6aade605b52a</errorID>
      <errorWord>(</errorWord>
      <group>L1_Format</group>
      <groupName>格式问题</groupName>
      <ability>L2_HalfPunc_CN</ability>
      <abilityName>全半角问题</abilityName>
      <candidateList>
        <item>（</item>
      </candidateList>
      <explain>文本全半角错误。</explain>
      <paraID>2EC712F9</paraID>
      <start>131</start>
      <end>132</end>
      <status>unmodified</status>
      <modifiedWord/>
      <trackRevisions>false</trackRevisions>
    </reviewItem>
    <reviewItem>
      <errorID>624fdc20-9ea5-4e60-a700-b6c030941547</errorID>
      <errorWord>)</errorWord>
      <group>L1_Format</group>
      <groupName>格式问题</groupName>
      <ability>L2_HalfPunc_CN</ability>
      <abilityName>全半角问题</abilityName>
      <candidateList>
        <item>）</item>
      </candidateList>
      <explain>文本全半角错误。</explain>
      <paraID>2EC712F9</paraID>
      <start>141</start>
      <end>142</end>
      <status>unmodified</status>
      <modifiedWord/>
      <trackRevisions>false</trackRevisions>
    </reviewItem>
    <reviewItem>
      <errorID>61a13bc3-0c59-4fa7-8f07-3e53002fdacd</errorID>
      <errorWord>利用的</errorWord>
      <group>L1_Word</group>
      <groupName>字词问题</groupName>
      <ability>L2_Typo</ability>
      <abilityName>字词错误</abilityName>
      <candidateList>
        <item>利用</item>
      </candidateList>
      <explain/>
      <paraID>1BB1524D</paraID>
      <start>170</start>
      <end>173</end>
      <status>unmodified</status>
      <modifiedWord/>
      <trackRevisions>false</trackRevisions>
    </reviewItem>
    <reviewItem>
      <errorID>8d17aa04-e634-46e7-ac45-b4af3691cc69</errorID>
      <errorWord>，能</errorWord>
      <group>L1_Word</group>
      <groupName>字词问题</groupName>
      <ability>L2_Typo</ability>
      <abilityName>字词错误</abilityName>
      <candidateList>
        <item>，</item>
      </candidateList>
      <explain/>
      <paraID>1BB1524D</paraID>
      <start>175</start>
      <end>177</end>
      <status>unmodified</status>
      <modifiedWord/>
      <trackRevisions>false</trackRevisions>
    </reviewItem>
    <reviewItem>
      <errorID>15c0e896-dcee-4746-927b-970c67474bd8</errorID>
      <errorWord>的</errorWord>
      <group>L1_Word</group>
      <groupName>字词问题</groupName>
      <ability>L2_DDD</ability>
      <abilityName>的地得用法</abilityName>
      <candidateList>
        <item>地</item>
      </candidateList>
      <explain/>
      <paraID>682E8B76</paraID>
      <start>74</start>
      <end>75</end>
      <status>unmodified</status>
      <modifiedWord/>
      <trackRevisions>false</trackRevisions>
    </reviewItem>
    <reviewItem>
      <errorID>f9a1d41a-18f6-4685-a5d2-2414139c58b3</errorID>
      <errorWord>包含有</errorWord>
      <group>L1_Word</group>
      <groupName>字词问题</groupName>
      <ability>L2_Typo</ability>
      <abilityName>字词错误</abilityName>
      <candidateList>
        <item>包含</item>
      </candidateList>
      <explain/>
      <paraID>27CDE9D0</paraID>
      <start>21</start>
      <end>24</end>
      <status>unmodified</status>
      <modifiedWord/>
      <trackRevisions>false</trackRevisions>
    </reviewItem>
    <reviewItem>
      <errorID>739b941a-8c8c-45d4-9d76-0d640681f47a</errorID>
      <errorWord>制定有</errorWord>
      <group>L1_Word</group>
      <groupName>字词问题</groupName>
      <ability>L2_Typo</ability>
      <abilityName>字词错误</abilityName>
      <candidateList>
        <item>制定</item>
      </candidateList>
      <explain/>
      <paraID> 2096127</paraID>
      <start>57</start>
      <end>60</end>
      <status>unmodified</status>
      <modifiedWord/>
      <trackRevisions>false</trackRevisions>
    </reviewItem>
    <reviewItem>
      <errorID>85c99128-7119-436b-9aa8-6f205d17fd5b</errorID>
      <errorWord>里</errorWord>
      <group>L1_Word</group>
      <groupName>字词问题</groupName>
      <ability>L2_Typo</ability>
      <abilityName>字词错误</abilityName>
      <candidateList>
        <item>中</item>
      </candidateList>
      <explain>存在字形相近字词的误用。</explain>
      <paraID>6B568352</paraID>
      <start>29</start>
      <end>30</end>
      <status>unmodified</status>
      <modifiedWord/>
      <trackRevisions>false</trackRevisions>
    </reviewItem>
    <reviewItem>
      <errorID>6c5412c0-0f09-4b4a-95f6-aa1f3bc9cc70</errorID>
      <errorWord>、</errorWord>
      <group>L1_Word</group>
      <groupName>字词问题</groupName>
      <ability>L2_Typo</ability>
      <abilityName>字词错误</abilityName>
      <candidateList>
        <item>、具</item>
      </candidateList>
      <explain/>
      <paraID>4E9D43FF</paraID>
      <start>14</start>
      <end>15</end>
      <status>unmodified</status>
      <modifiedWord/>
      <trackRevisions>false</trackRevisions>
    </reviewItem>
    <reviewItem>
      <errorID>0343905d-afcf-4e45-8726-bbf117c4f358</errorID>
      <errorWord>程</errorWord>
      <group>L1_Word</group>
      <groupName>字词问题</groupName>
      <ability>L2_Typo</ability>
      <abilityName>字词错误</abilityName>
      <candidateList>
        <item>程和</item>
      </candidateList>
      <explain/>
      <paraID>4E9D43FF</paraID>
      <start>46</start>
      <end>47</end>
      <status>unmodified</status>
      <modifiedWord/>
      <trackRevisions>false</trackRevisions>
    </reviewItem>
    <reviewItem>
      <errorID>4625db2c-4c49-4b54-891a-638243f44f29</errorID>
      <errorWord>，</errorWord>
      <group>L1_Word</group>
      <groupName>字词问题</groupName>
      <ability>L2_Typo</ability>
      <abilityName>字词错误</abilityName>
      <candidateList>
        <item>，具</item>
      </candidateList>
      <explain/>
      <paraID>322C226A</paraID>
      <start>17</start>
      <end>18</end>
      <status>unmodified</status>
      <modifiedWord/>
      <trackRevisions>false</trackRevisions>
    </reviewItem>
    <reviewItem>
      <errorID>bfec59ce-c3af-4ea1-a013-90adca355ffb</errorID>
      <errorWord>程</errorWord>
      <group>L1_Word</group>
      <groupName>字词问题</groupName>
      <ability>L2_Typo</ability>
      <abilityName>字词错误</abilityName>
      <candidateList>
        <item>程和</item>
      </candidateList>
      <explain/>
      <paraID>322C226A</paraID>
      <start>49</start>
      <end>50</end>
      <status>unmodified</status>
      <modifiedWord/>
      <trackRevisions>false</trackRevisions>
    </reviewItem>
    <reviewItem>
      <errorID>95c014ad-747b-4799-bc3a-9e11551f1602</errorID>
      <errorWord>别</errorWord>
      <group>L1_Word</group>
      <groupName>字词问题</groupName>
      <ability>L2_Typo</ability>
      <abilityName>字词错误</abilityName>
      <candidateList>
        <item>别是</item>
      </candidateList>
      <explain/>
      <paraID>322C226A</paraID>
      <start>66</start>
      <end>67</end>
      <status>unmodified</status>
      <modifiedWord/>
      <trackRevisions>false</trackRevisions>
    </reviewItem>
    <reviewItem>
      <errorID>6fd3d5a3-bd2a-4970-af46-792d64dbc2ef</errorID>
      <errorWord>，</errorWord>
      <group>L1_Word</group>
      <groupName>字词问题</groupName>
      <ability>L2_Typo</ability>
      <abilityName>字词错误</abilityName>
      <candidateList>
        <item>，具</item>
      </candidateList>
      <explain/>
      <paraID>322C226A</paraID>
      <start>90</start>
      <end>91</end>
      <status>unmodified</status>
      <modifiedWord/>
      <trackRevisions>false</trackRevisions>
    </reviewItem>
    <reviewItem>
      <errorID>a2051b62-3b3e-4e0b-bf25-dbb813bb6996</errorID>
      <errorWord>（</errorWord>
      <group>L1_Punc</group>
      <groupName>标点问题</groupName>
      <ability>L2_Punc_CN</ability>
      <abilityName>标点符号问题</abilityName>
      <candidateList/>
      <explain>同一形式括号套用。</explain>
      <paraID>3B5269C8</paraID>
      <start>54</start>
      <end>55</end>
      <status>unmodified</status>
      <modifiedWord/>
      <trackRevisions>false</trackRevisions>
    </reviewItem>
    <reviewItem>
      <errorID>6e226b3b-06f4-488b-b038-17774f8af7a5</errorID>
      <errorWord>）</errorWord>
      <group>L1_Punc</group>
      <groupName>标点问题</groupName>
      <ability>L2_Punc_CN</ability>
      <abilityName>标点符号问题</abilityName>
      <candidateList/>
      <explain>同一形式括号套用。</explain>
      <paraID>3B5269C8</paraID>
      <start>57</start>
      <end>58</end>
      <status>unmodified</status>
      <modifiedWord/>
      <trackRevisions>false</trackRevisions>
    </reviewItem>
    <reviewItem>
      <errorID>a9387012-dd13-4716-8dbf-1c54fe4b9d64</errorID>
      <errorWord>(</errorWord>
      <group>L1_Format</group>
      <groupName>格式问题</groupName>
      <ability>L2_HalfPunc_CN</ability>
      <abilityName>全半角问题</abilityName>
      <candidateList>
        <item>（</item>
      </candidateList>
      <explain>文本全半角错误。</explain>
      <paraID>624009E8</paraID>
      <start>131</start>
      <end>132</end>
      <status>unmodified</status>
      <modifiedWord/>
      <trackRevisions>false</trackRevisions>
    </reviewItem>
    <reviewItem>
      <errorID>99181bc8-64c0-4240-8743-71c8c2afcfd9</errorID>
      <errorWord>)</errorWord>
      <group>L1_Format</group>
      <groupName>格式问题</groupName>
      <ability>L2_HalfPunc_CN</ability>
      <abilityName>全半角问题</abilityName>
      <candidateList>
        <item>）</item>
      </candidateList>
      <explain>文本全半角错误。</explain>
      <paraID>624009E8</paraID>
      <start>141</start>
      <end>142</end>
      <status>unmodified</status>
      <modifiedWord/>
      <trackRevisions>false</trackRevisions>
    </reviewItem>
    <reviewItem>
      <errorID>1124a678-fe99-41cf-be6a-97ad5b2158a7</errorID>
      <errorWord>利用的</errorWord>
      <group>L1_Word</group>
      <groupName>字词问题</groupName>
      <ability>L2_Typo</ability>
      <abilityName>字词错误</abilityName>
      <candidateList>
        <item>利用</item>
      </candidateList>
      <explain/>
      <paraID>23AF6BA6</paraID>
      <start>170</start>
      <end>173</end>
      <status>unmodified</status>
      <modifiedWord/>
      <trackRevisions>false</trackRevisions>
    </reviewItem>
    <reviewItem>
      <errorID>796636d1-1313-4869-9304-c4c22d56afac</errorID>
      <errorWord>，能</errorWord>
      <group>L1_Word</group>
      <groupName>字词问题</groupName>
      <ability>L2_Typo</ability>
      <abilityName>字词错误</abilityName>
      <candidateList>
        <item>，</item>
      </candidateList>
      <explain/>
      <paraID>23AF6BA6</paraID>
      <start>175</start>
      <end>177</end>
      <status>unmodified</status>
      <modifiedWord/>
      <trackRevisions>false</trackRevisions>
    </reviewItem>
    <reviewItem>
      <errorID>1d8ec286-3893-47e2-a9a9-5aadc04af7a6</errorID>
      <errorWord>包含有</errorWord>
      <group>L1_Word</group>
      <groupName>字词问题</groupName>
      <ability>L2_Typo</ability>
      <abilityName>字词错误</abilityName>
      <candidateList>
        <item>包含</item>
      </candidateList>
      <explain/>
      <paraID>7DA45B49</paraID>
      <start>21</start>
      <end>24</end>
      <status>unmodified</status>
      <modifiedWord/>
      <trackRevisions>false</trackRevisions>
    </reviewItem>
    <reviewItem>
      <errorID>57fc0249-d1bf-43e4-b640-041531e8aac1</errorID>
      <errorWord>制定有</errorWord>
      <group>L1_Word</group>
      <groupName>字词问题</groupName>
      <ability>L2_Typo</ability>
      <abilityName>字词错误</abilityName>
      <candidateList>
        <item>制定</item>
      </candidateList>
      <explain/>
      <paraID>6AD80BF3</paraID>
      <start>57</start>
      <end>60</end>
      <status>unmodified</status>
      <modifiedWord/>
      <trackRevisions>false</trackRevisions>
    </reviewItem>
    <reviewItem>
      <errorID>d547a514-bb1a-43c6-8b93-d972c5d4453a</errorID>
      <errorWord>复印件加盖</errorWord>
      <group>L1_Word</group>
      <groupName>字词问题</groupName>
      <ability>L2_Typo</ability>
      <abilityName>字词错误</abilityName>
      <candidateList>
        <item>复印件并加盖</item>
      </candidateList>
      <explain/>
      <paraID>49366BC1</paraID>
      <start>48</start>
      <end>53</end>
      <status>unmodified</status>
      <modifiedWord/>
      <trackRevisions>false</trackRevisions>
    </reviewItem>
    <reviewItem>
      <errorID>9fa77432-e800-449a-98fb-e0e8aea46d0b</errorID>
      <errorWord>(</errorWord>
      <group>L1_Format</group>
      <groupName>格式问题</groupName>
      <ability>L2_HalfPunc_CN</ability>
      <abilityName>全半角问题</abilityName>
      <candidateList>
        <item>（</item>
      </candidateList>
      <explain>文本全半角错误。</explain>
      <paraID>3D853D95</paraID>
      <start>131</start>
      <end>132</end>
      <status>unmodified</status>
      <modifiedWord/>
      <trackRevisions>false</trackRevisions>
    </reviewItem>
    <reviewItem>
      <errorID>5b1e9c93-5601-47f2-b64f-fac83bfb22f0</errorID>
      <errorWord>)</errorWord>
      <group>L1_Format</group>
      <groupName>格式问题</groupName>
      <ability>L2_HalfPunc_CN</ability>
      <abilityName>全半角问题</abilityName>
      <candidateList>
        <item>）</item>
      </candidateList>
      <explain>文本全半角错误。</explain>
      <paraID>3D853D95</paraID>
      <start>141</start>
      <end>142</end>
      <status>unmodified</status>
      <modifiedWord/>
      <trackRevisions>false</trackRevisions>
    </reviewItem>
    <reviewItem>
      <errorID>9bbf4aa9-f9b9-450d-a6f5-2a47a86753df</errorID>
      <errorWord>的</errorWord>
      <group>L1_Word</group>
      <groupName>字词问题</groupName>
      <ability>L2_DDD</ability>
      <abilityName>的地得用法</abilityName>
      <candidateList>
        <item>地</item>
      </candidateList>
      <explain/>
      <paraID> E7DD2E6</paraID>
      <start>63</start>
      <end>64</end>
      <status>unmodified</status>
      <modifiedWord/>
      <trackRevisions>false</trackRevisions>
    </reviewItem>
    <reviewItem>
      <errorID>7ab3b6a2-ac3d-430d-b116-b055e9ee2497</errorID>
      <errorWord>包含有</errorWord>
      <group>L1_Word</group>
      <groupName>字词问题</groupName>
      <ability>L2_Typo</ability>
      <abilityName>字词错误</abilityName>
      <candidateList>
        <item>包含</item>
      </candidateList>
      <explain/>
      <paraID>3EBD811D</paraID>
      <start>21</start>
      <end>24</end>
      <status>unmodified</status>
      <modifiedWord/>
      <trackRevisions>false</trackRevisions>
    </reviewItem>
    <reviewItem>
      <errorID>8eb345f2-bfa5-4e75-8e12-d7837495b96a</errorID>
      <errorWord>制定有</errorWord>
      <group>L1_Word</group>
      <groupName>字词问题</groupName>
      <ability>L2_Typo</ability>
      <abilityName>字词错误</abilityName>
      <candidateList>
        <item>制定</item>
      </candidateList>
      <explain/>
      <paraID>64662F0C</paraID>
      <start>57</start>
      <end>60</end>
      <status>unmodified</status>
      <modifiedWord/>
      <trackRevisions>false</trackRevisions>
    </reviewItem>
    <reviewItem>
      <errorID>6611893e-b55e-4cee-8c25-0a244a25a150</errorID>
      <errorWord>（</errorWord>
      <group>L1_Punc</group>
      <groupName>标点问题</groupName>
      <ability>L2_Punc_CN</ability>
      <abilityName>标点符号问题</abilityName>
      <candidateList/>
      <explain>同一形式括号套用。</explain>
      <paraID>7DE1AA66</paraID>
      <start>56</start>
      <end>57</end>
      <status>unmodified</status>
      <modifiedWord/>
      <trackRevisions>false</trackRevisions>
    </reviewItem>
    <reviewItem>
      <errorID>31f50c77-6c1e-4959-84d0-2bc85f8b18ca</errorID>
      <errorWord>）</errorWord>
      <group>L1_Punc</group>
      <groupName>标点问题</groupName>
      <ability>L2_Punc_CN</ability>
      <abilityName>标点符号问题</abilityName>
      <candidateList/>
      <explain>同一形式括号套用。</explain>
      <paraID>7DE1AA66</paraID>
      <start>59</start>
      <end>60</end>
      <status>unmodified</status>
      <modifiedWord/>
      <trackRevisions>false</trackRevisions>
    </reviewItem>
    <reviewItem>
      <errorID>d14fe14d-1ef0-44ad-9c47-3a6357ffb867</errorID>
      <errorWord>(</errorWord>
      <group>L1_Format</group>
      <groupName>格式问题</groupName>
      <ability>L2_HalfPunc_CN</ability>
      <abilityName>全半角问题</abilityName>
      <candidateList>
        <item>（</item>
      </candidateList>
      <explain>文本全半角错误。</explain>
      <paraID>1B24AD71</paraID>
      <start>131</start>
      <end>132</end>
      <status>unmodified</status>
      <modifiedWord/>
      <trackRevisions>false</trackRevisions>
    </reviewItem>
    <reviewItem>
      <errorID>6d3cc182-9f70-4164-8a22-0077414d4985</errorID>
      <errorWord>)</errorWord>
      <group>L1_Format</group>
      <groupName>格式问题</groupName>
      <ability>L2_HalfPunc_CN</ability>
      <abilityName>全半角问题</abilityName>
      <candidateList>
        <item>）</item>
      </candidateList>
      <explain>文本全半角错误。</explain>
      <paraID>1B24AD71</paraID>
      <start>141</start>
      <end>142</end>
      <status>unmodified</status>
      <modifiedWord/>
      <trackRevisions>false</trackRevisions>
    </reviewItem>
    <reviewItem>
      <errorID>8bac78a7-5538-47a4-8f70-3892dd024c91</errorID>
      <errorWord>、有</errorWord>
      <group>L1_Word</group>
      <groupName>字词问题</groupName>
      <ability>L2_Typo</ability>
      <abilityName>字词错误</abilityName>
      <candidateList>
        <item>、</item>
      </candidateList>
      <explain/>
      <paraID>22FA96C9</paraID>
      <start>58</start>
      <end>60</end>
      <status>unmodified</status>
      <modifiedWord/>
      <trackRevisions>false</trackRevisions>
    </reviewItem>
    <reviewItem>
      <errorID>6057e206-bffb-4cc9-9eb1-9e41568ec64c</errorID>
      <errorWord>（</errorWord>
      <group>L1_Punc</group>
      <groupName>标点问题</groupName>
      <ability>L2_Punc_CN</ability>
      <abilityName>标点符号问题</abilityName>
      <candidateList/>
      <explain>同一形式括号套用。</explain>
      <paraID>43E2ED1E</paraID>
      <start>69</start>
      <end>70</end>
      <status>unmodified</status>
      <modifiedWord/>
      <trackRevisions>false</trackRevisions>
    </reviewItem>
    <reviewItem>
      <errorID>c0dfcaba-2ee7-4525-8597-7593ef7b11af</errorID>
      <errorWord>）</errorWord>
      <group>L1_Punc</group>
      <groupName>标点问题</groupName>
      <ability>L2_Punc_CN</ability>
      <abilityName>标点符号问题</abilityName>
      <candidateList/>
      <explain>同一形式括号套用。</explain>
      <paraID>43E2ED1E</paraID>
      <start>72</start>
      <end>73</end>
      <status>unmodified</status>
      <modifiedWord/>
      <trackRevisions>false</trackRevisions>
    </reviewItem>
    <reviewItem>
      <errorID>466281b4-cbd6-419d-9d2b-e0c7fc374f27</errorID>
      <errorWord>(</errorWord>
      <group>L1_Format</group>
      <groupName>格式问题</groupName>
      <ability>L2_HalfPunc_CN</ability>
      <abilityName>全半角问题</abilityName>
      <candidateList>
        <item>（</item>
      </candidateList>
      <explain>文本全半角错误。</explain>
      <paraID>25E5AD1F</paraID>
      <start>89</start>
      <end>90</end>
      <status>unmodified</status>
      <modifiedWord/>
      <trackRevisions>false</trackRevisions>
    </reviewItem>
    <reviewItem>
      <errorID>423e665f-ddeb-4841-a760-3eb4d02b81e9</errorID>
      <errorWord>)</errorWord>
      <group>L1_Format</group>
      <groupName>格式问题</groupName>
      <ability>L2_HalfPunc_CN</ability>
      <abilityName>全半角问题</abilityName>
      <candidateList>
        <item>）</item>
      </candidateList>
      <explain>文本全半角错误。</explain>
      <paraID>25E5AD1F</paraID>
      <start>113</start>
      <end>114</end>
      <status>unmodified</status>
      <modifiedWord/>
      <trackRevisions>false</trackRevisions>
    </reviewItem>
    <reviewItem>
      <errorID>96f16bbd-de08-46a0-8965-fc949594f84d</errorID>
      <errorWord>(</errorWord>
      <group>L1_Format</group>
      <groupName>格式问题</groupName>
      <ability>L2_HalfPunc_CN</ability>
      <abilityName>全半角问题</abilityName>
      <candidateList>
        <item>（</item>
      </candidateList>
      <explain>文本全半角错误。</explain>
      <paraID>22D57CD9</paraID>
      <start>3</start>
      <end>4</end>
      <status>unmodified</status>
      <modifiedWord/>
      <trackRevisions>false</trackRevisions>
    </reviewItem>
    <reviewItem>
      <errorID>5c4a57ef-6d2b-4467-96bb-c981fbf143ee</errorID>
      <errorWord>)</errorWord>
      <group>L1_Format</group>
      <groupName>格式问题</groupName>
      <ability>L2_HalfPunc_CN</ability>
      <abilityName>全半角问题</abilityName>
      <candidateList>
        <item>）</item>
      </candidateList>
      <explain>文本全半角错误。</explain>
      <paraID>22D57CD9</paraID>
      <start>6</start>
      <end>7</end>
      <status>unmodified</status>
      <modifiedWord/>
      <trackRevisions>false</trackRevisions>
    </reviewItem>
    <reviewItem>
      <errorID>81ed2257-1c9c-491d-8fae-0cbebc856616</errorID>
      <errorWord>(</errorWord>
      <group>L1_Format</group>
      <groupName>格式问题</groupName>
      <ability>L2_HalfPunc_CN</ability>
      <abilityName>全半角问题</abilityName>
      <candidateList>
        <item>（</item>
      </candidateList>
      <explain>文本全半角错误。</explain>
      <paraID>73234CFF</paraID>
      <start>3</start>
      <end>4</end>
      <status>unmodified</status>
      <modifiedWord/>
      <trackRevisions>false</trackRevisions>
    </reviewItem>
    <reviewItem>
      <errorID>178d0e68-701e-4bb4-bcc6-4a44083b0219</errorID>
      <errorWord>)</errorWord>
      <group>L1_Format</group>
      <groupName>格式问题</groupName>
      <ability>L2_HalfPunc_CN</ability>
      <abilityName>全半角问题</abilityName>
      <candidateList>
        <item>）</item>
      </candidateList>
      <explain>文本全半角错误。</explain>
      <paraID>73234CFF</paraID>
      <start>6</start>
      <end>7</end>
      <status>unmodified</status>
      <modifiedWord/>
      <trackRevisions>false</trackRevisions>
    </reviewItem>
    <reviewItem>
      <errorID>206a69fe-2234-493f-ab08-c76d6f4ea536</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699402F6</paraID>
      <start>15</start>
      <end>18</end>
      <status>unmodified</status>
      <modifiedWord/>
      <trackRevisions>false</trackRevisions>
    </reviewItem>
    <reviewItem>
      <errorID>68ffdd6e-0345-44d9-9a87-8511bd0fdeab</errorID>
      <errorWord>法律、法规</errorWord>
      <group>L1_Word</group>
      <groupName>字词问题</groupName>
      <ability>L2_Typo</ability>
      <abilityName>字词错误</abilityName>
      <candidateList>
        <item>法律法规</item>
      </candidateList>
      <explain/>
      <paraID>699402F6</paraID>
      <start>30</start>
      <end>35</end>
      <status>unmodified</status>
      <modifiedWord/>
      <trackRevisions>false</trackRevisions>
    </reviewItem>
    <reviewItem>
      <errorID>8862465e-33ff-419b-810e-09c47d7cca40</errorID>
      <errorWord>(</errorWord>
      <group>L1_Format</group>
      <groupName>格式问题</groupName>
      <ability>L2_HalfPunc_CN</ability>
      <abilityName>全半角问题</abilityName>
      <candidateList>
        <item>（</item>
      </candidateList>
      <explain>文本全半角错误。</explain>
      <paraID>225B95F3</paraID>
      <start>9</start>
      <end>10</end>
      <status>unmodified</status>
      <modifiedWord/>
      <trackRevisions>false</trackRevisions>
    </reviewItem>
    <reviewItem>
      <errorID>d3f6e7ba-5dbd-497a-84da-a73f5a0126aa</errorID>
      <errorWord>)</errorWord>
      <group>L1_Format</group>
      <groupName>格式问题</groupName>
      <ability>L2_HalfPunc_CN</ability>
      <abilityName>全半角问题</abilityName>
      <candidateList>
        <item>）</item>
      </candidateList>
      <explain>文本全半角错误。</explain>
      <paraID>225B95F3</paraID>
      <start>12</start>
      <end>13</end>
      <status>unmodified</status>
      <modifiedWord/>
      <trackRevisions>false</trackRevisions>
    </reviewItem>
    <reviewItem>
      <errorID>95049e72-a841-411f-a1ec-816ab4d3eaab</errorID>
      <errorWord>(</errorWord>
      <group>L1_Format</group>
      <groupName>格式问题</groupName>
      <ability>L2_HalfPunc_CN</ability>
      <abilityName>全半角问题</abilityName>
      <candidateList>
        <item>（</item>
      </candidateList>
      <explain>文本全半角错误。</explain>
      <paraID>2E944054</paraID>
      <start>6</start>
      <end>7</end>
      <status>unmodified</status>
      <modifiedWord/>
      <trackRevisions>false</trackRevisions>
    </reviewItem>
    <reviewItem>
      <errorID>85b34652-fc7e-4f94-bb27-a2c91ce7d0bc</errorID>
      <errorWord>)</errorWord>
      <group>L1_Format</group>
      <groupName>格式问题</groupName>
      <ability>L2_HalfPunc_CN</ability>
      <abilityName>全半角问题</abilityName>
      <candidateList>
        <item>）</item>
      </candidateList>
      <explain>文本全半角错误。</explain>
      <paraID>2E944054</paraID>
      <start>9</start>
      <end>10</end>
      <status>unmodified</status>
      <modifiedWord/>
      <trackRevisions>false</trackRevisions>
    </reviewItem>
    <reviewItem>
      <errorID>7100b521-d652-4341-a684-cef8099b23ec</errorID>
      <errorWord>(</errorWord>
      <group>L1_Format</group>
      <groupName>格式问题</groupName>
      <ability>L2_HalfPunc_CN</ability>
      <abilityName>全半角问题</abilityName>
      <candidateList>
        <item>（</item>
      </candidateList>
      <explain>文本全半角错误。</explain>
      <paraID>754454E0</paraID>
      <start>28</start>
      <end>29</end>
      <status>unmodified</status>
      <modifiedWord/>
      <trackRevisions>false</trackRevisions>
    </reviewItem>
    <reviewItem>
      <errorID>9a792d0e-548f-4fea-947e-e6481c4e713d</errorID>
      <errorWord>)</errorWord>
      <group>L1_Format</group>
      <groupName>格式问题</groupName>
      <ability>L2_HalfPunc_CN</ability>
      <abilityName>全半角问题</abilityName>
      <candidateList>
        <item>）</item>
      </candidateList>
      <explain>文本全半角错误。</explain>
      <paraID>754454E0</paraID>
      <start>31</start>
      <end>32</end>
      <status>unmodified</status>
      <modifiedWord/>
      <trackRevisions>false</trackRevisions>
    </reviewItem>
    <reviewItem>
      <errorID>a909bc4f-e134-400a-ad19-974cab5a7490</errorID>
      <errorWord>方</errorWord>
      <group>L1_Word</group>
      <groupName>字词问题</groupName>
      <ability>L2_Typo</ability>
      <abilityName>字词错误</abilityName>
      <candidateList>
        <item>方在</item>
      </candidateList>
      <explain/>
      <paraID>6FE99254</paraID>
      <start>3</start>
      <end>4</end>
      <status>unmodified</status>
      <modifiedWord/>
      <trackRevisions>false</trackRevisions>
    </reviewItem>
    <reviewItem>
      <errorID>ea105f97-f21c-4e4e-8672-5cceaeed17ee</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7B958B2</paraID>
      <start>0</start>
      <end>3</end>
      <status>unmodified</status>
      <modifiedWord/>
      <trackRevisions>false</trackRevisions>
    </reviewItem>
    <reviewItem>
      <errorID>3ba2db33-47cd-47ab-80da-449e8c890f9a</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6583E4B9</paraID>
      <start>0</start>
      <end>3</end>
      <status>unmodified</status>
      <modifiedWord/>
      <trackRevisions>false</trackRevisions>
    </reviewItem>
    <reviewItem>
      <errorID>2fc1f304-ca0a-41bd-8bf6-9e20f87dc46e</errorID>
      <errorWord>目</errorWord>
      <group>L1_Word</group>
      <groupName>字词问题</groupName>
      <ability>L2_Typo</ability>
      <abilityName>字词错误</abilityName>
      <candidateList>
        <item>目以</item>
      </candidateList>
      <explain/>
      <paraID>3387CF18</paraID>
      <start>73</start>
      <end>74</end>
      <status>unmodified</status>
      <modifiedWord/>
      <trackRevisions>false</trackRevisions>
    </reviewItem>
    <reviewItem>
      <errorID>20c7fc48-1887-4edb-aa93-2a8ce3fdc40c</errorID>
      <errorWord>(</errorWord>
      <group>L1_Format</group>
      <groupName>格式问题</groupName>
      <ability>L2_HalfPunc_CN</ability>
      <abilityName>全半角问题</abilityName>
      <candidateList>
        <item>（</item>
      </candidateList>
      <explain>文本全半角错误。</explain>
      <paraID>2AFD1D9E</paraID>
      <start>33</start>
      <end>34</end>
      <status>unmodified</status>
      <modifiedWord/>
      <trackRevisions>false</trackRevisions>
    </reviewItem>
    <reviewItem>
      <errorID>f808abff-c388-4c08-b38d-5c3e6530cd96</errorID>
      <errorWord>)</errorWord>
      <group>L1_Format</group>
      <groupName>格式问题</groupName>
      <ability>L2_HalfPunc_CN</ability>
      <abilityName>全半角问题</abilityName>
      <candidateList>
        <item>）</item>
      </candidateList>
      <explain>文本全半角错误。</explain>
      <paraID>2AFD1D9E</paraID>
      <start>36</start>
      <end>37</end>
      <status>unmodified</status>
      <modifiedWord/>
      <trackRevisions>false</trackRevisions>
    </reviewItem>
    <reviewItem>
      <errorID>641a30f4-d888-4dc1-94ab-1817c9e8ab67</errorID>
      <errorWord>(</errorWord>
      <group>L1_Format</group>
      <groupName>格式问题</groupName>
      <ability>L2_HalfPunc_CN</ability>
      <abilityName>全半角问题</abilityName>
      <candidateList>
        <item>（</item>
      </candidateList>
      <explain>文本全半角错误。</explain>
      <paraID>2AFD1D9E</paraID>
      <start>72</start>
      <end>73</end>
      <status>unmodified</status>
      <modifiedWord/>
      <trackRevisions>false</trackRevisions>
    </reviewItem>
    <reviewItem>
      <errorID>b5075f07-e42a-4dfb-8c1d-c5f0d19c946e</errorID>
      <errorWord>)</errorWord>
      <group>L1_Format</group>
      <groupName>格式问题</groupName>
      <ability>L2_HalfPunc_CN</ability>
      <abilityName>全半角问题</abilityName>
      <candidateList>
        <item>）</item>
      </candidateList>
      <explain>文本全半角错误。</explain>
      <paraID>2AFD1D9E</paraID>
      <start>75</start>
      <end>76</end>
      <status>unmodified</status>
      <modifiedWord/>
      <trackRevisions>false</trackRevisions>
    </reviewItem>
    <reviewItem>
      <errorID>5d246401-42bc-4740-aa87-d6777695c2b7</errorID>
      <errorWord>(</errorWord>
      <group>L1_Format</group>
      <groupName>格式问题</groupName>
      <ability>L2_HalfPunc_CN</ability>
      <abilityName>全半角问题</abilityName>
      <candidateList>
        <item>（</item>
      </candidateList>
      <explain>文本全半角错误。</explain>
      <paraID>2AFD1D9E</paraID>
      <start>149</start>
      <end>150</end>
      <status>unmodified</status>
      <modifiedWord/>
      <trackRevisions>false</trackRevisions>
    </reviewItem>
    <reviewItem>
      <errorID>d62fa04d-2103-45fc-a038-ab2f79d8e62a</errorID>
      <errorWord>)</errorWord>
      <group>L1_Format</group>
      <groupName>格式问题</groupName>
      <ability>L2_HalfPunc_CN</ability>
      <abilityName>全半角问题</abilityName>
      <candidateList>
        <item>）</item>
      </candidateList>
      <explain>文本全半角错误。</explain>
      <paraID>2AFD1D9E</paraID>
      <start>152</start>
      <end>153</end>
      <status>unmodified</status>
      <modifiedWord/>
      <trackRevisions>false</trackRevisions>
    </reviewItem>
    <reviewItem>
      <errorID>71ff7517-f396-4de9-afde-64f0e3b9a5ee</errorID>
      <errorWord>(</errorWord>
      <group>L1_Format</group>
      <groupName>格式问题</groupName>
      <ability>L2_HalfPunc_CN</ability>
      <abilityName>全半角问题</abilityName>
      <candidateList>
        <item>（</item>
      </candidateList>
      <explain>文本全半角错误。</explain>
      <paraID>7DA72A38</paraID>
      <start>35</start>
      <end>36</end>
      <status>unmodified</status>
      <modifiedWord/>
      <trackRevisions>false</trackRevisions>
    </reviewItem>
    <reviewItem>
      <errorID>c6569987-9b04-4262-a879-81c02a92a517</errorID>
      <errorWord>、</errorWord>
      <group>L1_Word</group>
      <groupName>字词问题</groupName>
      <ability>L2_Typo</ability>
      <abilityName>字词错误</abilityName>
      <candidateList>
        <item>、以</item>
      </candidateList>
      <explain/>
      <paraID>7DA72A38</paraID>
      <start>57</start>
      <end>58</end>
      <status>unmodified</status>
      <modifiedWord/>
      <trackRevisions>false</trackRevisions>
    </reviewItem>
    <reviewItem>
      <errorID>997d62d4-8bc4-4151-9523-70afeb8ffa5e</errorID>
      <errorWord>)</errorWord>
      <group>L1_Format</group>
      <groupName>格式问题</groupName>
      <ability>L2_HalfPunc_CN</ability>
      <abilityName>全半角问题</abilityName>
      <candidateList>
        <item>）</item>
      </candidateList>
      <explain>文本全半角错误。</explain>
      <paraID>7DA72A38</paraID>
      <start>64</start>
      <end>65</end>
      <status>unmodified</status>
      <modifiedWord/>
      <trackRevisions>false</trackRevisions>
    </reviewItem>
    <reviewItem>
      <errorID>37e85ee0-a78a-44dd-9192-adafa1f3c782</errorID>
      <errorWord>目</errorWord>
      <group>L1_Word</group>
      <groupName>字词问题</groupName>
      <ability>L2_Typo</ability>
      <abilityName>字词错误</abilityName>
      <candidateList>
        <item>目以</item>
      </candidateList>
      <explain/>
      <paraID>7DA72A38</paraID>
      <start>94</start>
      <end>95</end>
      <status>unmodified</status>
      <modifiedWord/>
      <trackRevisions>false</trackRevisions>
    </reviewItem>
    <reviewItem>
      <errorID>a5c33d09-7cd0-4564-a84e-35a52fc63914</errorID>
      <errorWord>直按</errorWord>
      <group>L1_Word</group>
      <groupName>字词问题</groupName>
      <ability>L2_Typo</ability>
      <abilityName>字词错误</abilityName>
      <candidateList>
        <item>直接</item>
      </candidateList>
      <explain/>
      <paraID>110B9910</paraID>
      <start>14</start>
      <end>16</end>
      <status>unmodified</status>
      <modifiedWord/>
      <trackRevisions>false</trackRevisions>
    </reviewItem>
    <reviewItem>
      <errorID>fe94ac8d-5c73-4ef6-afc8-ae0f9d8bb91d</errorID>
      <errorWord>承担的</errorWord>
      <group>L1_Word</group>
      <groupName>字词问题</groupName>
      <ability>L2_Typo</ability>
      <abilityName>字词错误</abilityName>
      <candidateList>
        <item>承担</item>
      </candidateList>
      <explain/>
      <paraID> 4FBB1E4</paraID>
      <start>26</start>
      <end>29</end>
      <status>unmodified</status>
      <modifiedWord/>
      <trackRevisions>false</trackRevisions>
    </reviewItem>
    <reviewItem>
      <errorID>c51524ec-0087-4342-9b68-e7e88c91d75c</errorID>
      <errorWord>其它</errorWord>
      <group>L1_Word</group>
      <groupName>字词问题</groupName>
      <ability>L2_Alias</ability>
      <abilityName>也作/曾用词</abilityName>
      <candidateList>
        <item>其他</item>
      </candidateList>
      <explain>词汇[其它]为不规范表述或旧称，其规范书面表述为[其他]。</explain>
      <paraID>3786E1BA</paraID>
      <start>3</start>
      <end>5</end>
      <status>unmodified</status>
      <modifiedWord/>
      <trackRevisions>false</trackRevisions>
    </reviewItem>
    <reviewItem>
      <errorID>ca9fb460-020c-484c-af8e-4fe74ce64bc3</errorID>
      <errorWord>(</errorWord>
      <group>L1_Format</group>
      <groupName>格式问题</groupName>
      <ability>L2_HalfPunc_CN</ability>
      <abilityName>全半角问题</abilityName>
      <candidateList>
        <item>（</item>
      </candidateList>
      <explain>文本全半角错误。</explain>
      <paraID>578C724C</paraID>
      <start>5</start>
      <end>6</end>
      <status>unmodified</status>
      <modifiedWord/>
      <trackRevisions>false</trackRevisions>
    </reviewItem>
    <reviewItem>
      <errorID>f5394ec9-c870-4978-9ba8-77aa09d21838</errorID>
      <errorWord>)</errorWord>
      <group>L1_Format</group>
      <groupName>格式问题</groupName>
      <ability>L2_HalfPunc_CN</ability>
      <abilityName>全半角问题</abilityName>
      <candidateList>
        <item>）</item>
      </candidateList>
      <explain>文本全半角错误。</explain>
      <paraID>578C724C</paraID>
      <start>8</start>
      <end>9</end>
      <status>unmodified</status>
      <modifiedWord/>
      <trackRevisions>false</trackRevisions>
    </reviewItem>
    <reviewItem>
      <errorID>ca9cadbf-ffed-40bc-9933-80e948371cc7</errorID>
      <errorWord>共同协商</errorWord>
      <group>L1_Grammar</group>
      <groupName>语法问题</groupName>
      <ability>L2_Grammar</ability>
      <abilityName>语法错误</abilityName>
      <candidateList>
        <item>协商</item>
      </candidateList>
      <explain>该表达中的“共同协商”存在语义重复。【词汇解析】协商：“协商”原本就有“共同”之意，协商指共同商量。</explain>
      <paraID>578C724C</paraID>
      <start>26</start>
      <end>30</end>
      <status>unmodified</status>
      <modifiedWord/>
      <trackRevisions>false</trackRevisions>
    </reviewItem>
    <reviewItem>
      <errorID>9e6e445b-f11b-4bf1-95ce-5fe04fb2178b</errorID>
      <errorWord>(</errorWord>
      <group>L1_Format</group>
      <groupName>格式问题</groupName>
      <ability>L2_HalfPunc_CN</ability>
      <abilityName>全半角问题</abilityName>
      <candidateList>
        <item>（</item>
      </candidateList>
      <explain>文本全半角错误。</explain>
      <paraID>578C724C</paraID>
      <start>96</start>
      <end>97</end>
      <status>unmodified</status>
      <modifiedWord/>
      <trackRevisions>false</trackRevisions>
    </reviewItem>
    <reviewItem>
      <errorID>d0112a37-1629-41d1-bc7b-a177973bb360</errorID>
      <errorWord>)</errorWord>
      <group>L1_Format</group>
      <groupName>格式问题</groupName>
      <ability>L2_HalfPunc_CN</ability>
      <abilityName>全半角问题</abilityName>
      <candidateList>
        <item>）</item>
      </candidateList>
      <explain>文本全半角错误。</explain>
      <paraID>578C724C</paraID>
      <start>99</start>
      <end>100</end>
      <status>unmodified</status>
      <modifiedWord/>
      <trackRevisions>false</trackRevisions>
    </reviewItem>
    <reviewItem>
      <errorID>4dc18224-7f72-4915-96a3-9a70b4772210</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4D9EE814</paraID>
      <start>28</start>
      <end>31</end>
      <status>unmodified</status>
      <modifiedWord/>
      <trackRevisions>false</trackRevisions>
    </reviewItem>
    <reviewItem>
      <errorID>adb5195d-ed00-4c52-9c83-66056a9805b8</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4D9EE814</paraID>
      <start>35</start>
      <end>38</end>
      <status>unmodified</status>
      <modifiedWord/>
      <trackRevisions>false</trackRevisions>
    </reviewItem>
    <reviewItem>
      <errorID>a2700cca-40e0-4b4e-995d-0b68935646ba</errorID>
      <errorWord>(</errorWord>
      <group>L1_Format</group>
      <groupName>格式问题</groupName>
      <ability>L2_HalfPunc_CN</ability>
      <abilityName>全半角问题</abilityName>
      <candidateList>
        <item>（</item>
      </candidateList>
      <explain>文本全半角错误。</explain>
      <paraID>15F435EF</paraID>
      <start>11</start>
      <end>12</end>
      <status>unmodified</status>
      <modifiedWord/>
      <trackRevisions>false</trackRevisions>
    </reviewItem>
    <reviewItem>
      <errorID>57009bbe-603d-4ed3-a19e-c1cbe41c7662</errorID>
      <errorWord>)</errorWord>
      <group>L1_Format</group>
      <groupName>格式问题</groupName>
      <ability>L2_HalfPunc_CN</ability>
      <abilityName>全半角问题</abilityName>
      <candidateList>
        <item>）</item>
      </candidateList>
      <explain>文本全半角错误。</explain>
      <paraID>15F435EF</paraID>
      <start>19</start>
      <end>20</end>
      <status>unmodified</status>
      <modifiedWord/>
      <trackRevisions>false</trackRevisions>
    </reviewItem>
    <reviewItem>
      <errorID>335849f0-8761-4629-ade9-20ce6d9e7f93</errorID>
      <errorWord>生效及其它</errorWord>
      <group>L1_Word</group>
      <groupName>字词问题</groupName>
      <ability>L2_Alias</ability>
      <abilityName>也作/曾用词</abilityName>
      <candidateList>
        <item>生效及其他</item>
      </candidateList>
      <explain>词汇[生效及其它]为不规范表述或旧称，其规范书面表述为[生效及其他]。</explain>
      <paraID>6E3EC47F</paraID>
      <start>8</start>
      <end>13</end>
      <status>unmodified</status>
      <modifiedWord/>
      <trackRevisions>false</trackRevisions>
    </reviewItem>
    <reviewItem>
      <errorID>5cc8653a-50fa-4eac-9890-29175673b6ef</errorID>
      <errorWord>(</errorWord>
      <group>L1_Format</group>
      <groupName>格式问题</groupName>
      <ability>L2_HalfPunc_CN</ability>
      <abilityName>全半角问题</abilityName>
      <candidateList>
        <item>（</item>
      </candidateList>
      <explain>文本全半角错误。</explain>
      <paraID>790533CB</paraID>
      <start>32</start>
      <end>33</end>
      <status>unmodified</status>
      <modifiedWord/>
      <trackRevisions>false</trackRevisions>
    </reviewItem>
    <reviewItem>
      <errorID>77e7bb06-9297-415f-af00-04b12c1ab23f</errorID>
      <errorWord>)</errorWord>
      <group>L1_Format</group>
      <groupName>格式问题</groupName>
      <ability>L2_HalfPunc_CN</ability>
      <abilityName>全半角问题</abilityName>
      <candidateList>
        <item>）</item>
      </candidateList>
      <explain>文本全半角错误。</explain>
      <paraID>790533CB</paraID>
      <start>54</start>
      <end>55</end>
      <status>unmodified</status>
      <modifiedWord/>
      <trackRevisions>false</trackRevisions>
    </reviewItem>
    <reviewItem>
      <errorID>cd8eb056-fc05-483d-94f1-80c27ea501cd</errorID>
      <errorWord>签</errorWord>
      <group>L1_Word</group>
      <groupName>字词问题</groupName>
      <ability>L2_Typo</ability>
      <abilityName>字词错误</abilityName>
      <candidateList>
        <item>签订</item>
      </candidateList>
      <explain/>
      <paraID>57A0F618</paraID>
      <start>28</start>
      <end>29</end>
      <status>unmodified</status>
      <modifiedWord/>
      <trackRevisions>false</trackRevisions>
    </reviewItem>
    <reviewItem>
      <errorID>4aee1ec0-7a83-46bb-ae54-d6cd52113fe5</errorID>
      <errorWord>甲方(章)</errorWord>
      <group>L1_Word</group>
      <groupName>字词问题</groupName>
      <ability>L2_Typo</ability>
      <abilityName>字词错误</abilityName>
      <candidateList>
        <item>甲方（公章）</item>
      </candidateList>
      <explain/>
      <paraID> 4569110</paraID>
      <start>0</start>
      <end>5</end>
      <status>unmodified</status>
      <modifiedWord/>
      <trackRevisions>false</trackRevisions>
    </reviewItem>
    <reviewItem>
      <errorID>09b3bf20-3a83-4dcd-bb70-dd57f8481632</errorID>
      <errorWord>(</errorWord>
      <group>L1_Format</group>
      <groupName>格式问题</groupName>
      <ability>L2_HalfPunc_CN</ability>
      <abilityName>全半角问题</abilityName>
      <candidateList>
        <item>（</item>
      </candidateList>
      <explain>文本全半角错误。</explain>
      <paraID>20A0DEE5</paraID>
      <start>2</start>
      <end>3</end>
      <status>unmodified</status>
      <modifiedWord/>
      <trackRevisions>false</trackRevisions>
    </reviewItem>
    <reviewItem>
      <errorID>61b04661-51a6-41fa-ac5e-b52d83b344c2</errorID>
      <errorWord>)</errorWord>
      <group>L1_Format</group>
      <groupName>格式问题</groupName>
      <ability>L2_HalfPunc_CN</ability>
      <abilityName>全半角问题</abilityName>
      <candidateList>
        <item>）</item>
      </candidateList>
      <explain>文本全半角错误。</explain>
      <paraID>20A0DEE5</paraID>
      <start>4</start>
      <end>5</end>
      <status>unmodified</status>
      <modifiedWord/>
      <trackRevisions>false</trackRevisions>
    </reviewItem>
    <reviewItem>
      <errorID>7caad8fb-8bff-419b-a92e-0dc28afaa3b2</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10FA6B23</paraID>
      <start>0</start>
      <end>3</end>
      <status>unmodified</status>
      <modifiedWord/>
      <trackRevisions>false</trackRevisions>
    </reviewItem>
    <reviewItem>
      <errorID>f05b5a09-d082-49c3-ac2f-dc65d1a34de9</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71ECD3CF</paraID>
      <start>0</start>
      <end>3</end>
      <status>unmodified</status>
      <modifiedWord/>
      <trackRevisions>false</trackRevisions>
    </reviewItem>
    <reviewItem>
      <errorID>6684ec87-dd3d-4581-b717-dae51215d327</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2586B1F3</paraID>
      <start>0</start>
      <end>3</end>
      <status>unmodified</status>
      <modifiedWord/>
      <trackRevisions>false</trackRevisions>
    </reviewItem>
    <reviewItem>
      <errorID>9ec268a5-e419-4e67-9fcd-a69819af6961</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17B9AA83</paraID>
      <start>0</start>
      <end>3</end>
      <status>unmodified</status>
      <modifiedWord/>
      <trackRevisions>false</trackRevisions>
    </reviewItem>
    <reviewItem>
      <errorID>d76c0552-52bb-43c0-a899-e981cd81e70f</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48CF114C</paraID>
      <start>0</start>
      <end>3</end>
      <status>unmodified</status>
      <modifiedWord/>
      <trackRevisions>false</trackRevisions>
    </reviewItem>
    <reviewItem>
      <errorID>06ce5439-873a-45fb-a908-7232447cb525</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4AD762CE</paraID>
      <start>0</start>
      <end>3</end>
      <status>unmodified</status>
      <modifiedWord/>
      <trackRevisions>false</trackRevisions>
    </reviewItem>
    <reviewItem>
      <errorID>5cdec5df-4728-4d72-bce2-177c755e5515</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43F65CA4</paraID>
      <start>0</start>
      <end>3</end>
      <status>unmodified</status>
      <modifiedWord/>
      <trackRevisions>false</trackRevisions>
    </reviewItem>
    <reviewItem>
      <errorID>f5443243-063f-4099-b269-c0e18b438fe7</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5D4CD751</paraID>
      <start>0</start>
      <end>3</end>
      <status>unmodified</status>
      <modifiedWord/>
      <trackRevisions>false</trackRevisions>
    </reviewItem>
    <reviewItem>
      <errorID>0f212a6d-6ee8-4e04-b6f4-0c41d22937f8</errorID>
      <errorWord>(六)</errorWord>
      <group>L1_Format</group>
      <groupName>格式问题</groupName>
      <ability>L2_Ordinal</ability>
      <abilityName>序号格式</abilityName>
      <candidateList>
        <item>（六）</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67ED3329</paraID>
      <start>0</start>
      <end>3</end>
      <status>unmodified</status>
      <modifiedWord/>
      <trackRevisions>false</trackRevisions>
    </reviewItem>
    <reviewItem>
      <errorID>b0cdae74-8323-4e58-ab68-1c0a2ac1378d</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68D44DB8</paraID>
      <start>0</start>
      <end>3</end>
      <status>unmodified</status>
      <modifiedWord/>
      <trackRevisions>false</trackRevisions>
    </reviewItem>
    <reviewItem>
      <errorID>91624ff8-1d47-45d9-af8e-f3c2ba368bfd</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33B67FAF</paraID>
      <start>0</start>
      <end>3</end>
      <status>unmodified</status>
      <modifiedWord/>
      <trackRevisions>false</trackRevisions>
    </reviewItem>
    <reviewItem>
      <errorID>84b22284-881d-43d4-be27-9c97a91a55b2</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7B4D2F5E</paraID>
      <start>0</start>
      <end>3</end>
      <status>unmodified</status>
      <modifiedWord/>
      <trackRevisions>false</trackRevisions>
    </reviewItem>
    <reviewItem>
      <errorID>14ec332a-102b-4896-a905-a44b6efaa60d</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5B1F1E56</paraID>
      <start>0</start>
      <end>3</end>
      <status>unmodified</status>
      <modifiedWord/>
      <trackRevisions>false</trackRevisions>
    </reviewItem>
    <reviewItem>
      <errorID>4ccdb23c-2225-4cb1-b079-55e9106352b0</errorID>
      <errorWord>(</errorWord>
      <group>L1_Format</group>
      <groupName>格式问题</groupName>
      <ability>L2_HalfPunc_CN</ability>
      <abilityName>全半角问题</abilityName>
      <candidateList>
        <item>（</item>
      </candidateList>
      <explain>文本全半角错误。</explain>
      <paraID>5B1F1E56</paraID>
      <start>31</start>
      <end>32</end>
      <status>unmodified</status>
      <modifiedWord/>
      <trackRevisions>false</trackRevisions>
    </reviewItem>
    <reviewItem>
      <errorID>43ab5586-8cc9-45c9-b6ae-dfa8c3a377ba</errorID>
      <errorWord>)</errorWord>
      <group>L1_Format</group>
      <groupName>格式问题</groupName>
      <ability>L2_HalfPunc_CN</ability>
      <abilityName>全半角问题</abilityName>
      <candidateList>
        <item>）</item>
      </candidateList>
      <explain>文本全半角错误。</explain>
      <paraID>5B1F1E56</paraID>
      <start>34</start>
      <end>35</end>
      <status>unmodified</status>
      <modifiedWord/>
      <trackRevisions>false</trackRevisions>
    </reviewItem>
    <reviewItem>
      <errorID>41c0a57e-7b0c-4426-bd72-527de581311d</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84C9BF0</paraID>
      <start>0</start>
      <end>3</end>
      <status>unmodified</status>
      <modifiedWord/>
      <trackRevisions>false</trackRevisions>
    </reviewItem>
    <reviewItem>
      <errorID>fb29fbb5-5ceb-49e7-9be1-04f134f0103a</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7E06EA13</paraID>
      <start>0</start>
      <end>3</end>
      <status>unmodified</status>
      <modifiedWord/>
      <trackRevisions>false</trackRevisions>
    </reviewItem>
    <reviewItem>
      <errorID>f8502d16-af82-4aa3-a6fa-a3d49d551026</errorID>
      <errorWord>(</errorWord>
      <group>L1_Format</group>
      <groupName>格式问题</groupName>
      <ability>L2_HalfPunc_CN</ability>
      <abilityName>全半角问题</abilityName>
      <candidateList>
        <item>（</item>
      </candidateList>
      <explain>文本全半角错误。</explain>
      <paraID>6A4EDB54</paraID>
      <start>33</start>
      <end>34</end>
      <status>unmodified</status>
      <modifiedWord/>
      <trackRevisions>false</trackRevisions>
    </reviewItem>
    <reviewItem>
      <errorID>6ea433e7-9c48-41cc-8f98-c2c8f1b16944</errorID>
      <errorWord>)</errorWord>
      <group>L1_Format</group>
      <groupName>格式问题</groupName>
      <ability>L2_HalfPunc_CN</ability>
      <abilityName>全半角问题</abilityName>
      <candidateList>
        <item>）</item>
      </candidateList>
      <explain>文本全半角错误。</explain>
      <paraID>6A4EDB54</paraID>
      <start>36</start>
      <end>37</end>
      <status>unmodified</status>
      <modifiedWord/>
      <trackRevisions>false</trackRevisions>
    </reviewItem>
    <reviewItem>
      <errorID>2b9a4f22-b808-440a-960f-bf538965a706</errorID>
      <errorWord>(</errorWord>
      <group>L1_Format</group>
      <groupName>格式问题</groupName>
      <ability>L2_HalfPunc_CN</ability>
      <abilityName>全半角问题</abilityName>
      <candidateList>
        <item>（</item>
      </candidateList>
      <explain>文本全半角错误。</explain>
      <paraID>6E410C3D</paraID>
      <start>18</start>
      <end>19</end>
      <status>unmodified</status>
      <modifiedWord/>
      <trackRevisions>false</trackRevisions>
    </reviewItem>
    <reviewItem>
      <errorID>44f05d59-bc9d-4c7e-845f-0614d7f61de3</errorID>
      <errorWord>)</errorWord>
      <group>L1_Format</group>
      <groupName>格式问题</groupName>
      <ability>L2_HalfPunc_CN</ability>
      <abilityName>全半角问题</abilityName>
      <candidateList>
        <item>）</item>
      </candidateList>
      <explain>文本全半角错误。</explain>
      <paraID>6E410C3D</paraID>
      <start>21</start>
      <end>22</end>
      <status>unmodified</status>
      <modifiedWord/>
      <trackRevisions>false</trackRevisions>
    </reviewItem>
    <reviewItem>
      <errorID>b865c861-c141-4bfb-b499-028ec41c5703</errorID>
      <errorWord>:</errorWord>
      <group>L1_Format</group>
      <groupName>格式问题</groupName>
      <ability>L2_HalfPunc_CN</ability>
      <abilityName>全半角问题</abilityName>
      <candidateList>
        <item>：</item>
      </candidateList>
      <explain>文本全半角错误。</explain>
      <paraID> D744212</paraID>
      <start>9</start>
      <end>10</end>
      <status>unmodified</status>
      <modifiedWord/>
      <trackRevisions>false</trackRevisions>
    </reviewItem>
    <reviewItem>
      <errorID>04a5e9af-0308-4c9e-b254-fdba32bdbe0c</errorID>
      <errorWord>:</errorWord>
      <group>L1_Format</group>
      <groupName>格式问题</groupName>
      <ability>L2_HalfPunc_CN</ability>
      <abilityName>全半角问题</abilityName>
      <candidateList>
        <item>：</item>
      </candidateList>
      <explain>文本全半角错误。</explain>
      <paraID>4751E718</paraID>
      <start>8</start>
      <end>9</end>
      <status>unmodified</status>
      <modifiedWord/>
      <trackRevisions>false</trackRevisions>
    </reviewItem>
    <reviewItem>
      <errorID>da9921dd-4905-4b23-a7b4-cedef328d95b</errorID>
      <errorWord>法律、法规</errorWord>
      <group>L1_Word</group>
      <groupName>字词问题</groupName>
      <ability>L2_Typo</ability>
      <abilityName>字词错误</abilityName>
      <candidateList>
        <item>法律法规</item>
      </candidateList>
      <explain/>
      <paraID>7B1583AF</paraID>
      <start>43</start>
      <end>48</end>
      <status>unmodified</status>
      <modifiedWord/>
      <trackRevisions>false</trackRevisions>
    </reviewItem>
    <reviewItem>
      <errorID>3023f8a7-ce6a-49c0-8c03-2e1b86005fbf</errorID>
      <errorWord>:</errorWord>
      <group>L1_Format</group>
      <groupName>格式问题</groupName>
      <ability>L2_HalfPunc_CN</ability>
      <abilityName>全半角问题</abilityName>
      <candidateList>
        <item>：</item>
      </candidateList>
      <explain>文本全半角错误。</explain>
      <paraID>784CBA40</paraID>
      <start>1</start>
      <end>2</end>
      <status>unmodified</status>
      <modifiedWord/>
      <trackRevisions>false</trackRevisions>
    </reviewItem>
    <reviewItem>
      <errorID>2d04bb43-aed9-46b7-997a-74e63ed5b035</errorID>
      <errorWord>(</errorWord>
      <group>L1_Format</group>
      <groupName>格式问题</groupName>
      <ability>L2_HalfPunc_CN</ability>
      <abilityName>全半角问题</abilityName>
      <candidateList>
        <item>（</item>
      </candidateList>
      <explain>文本全半角错误。</explain>
      <paraID>4961C0AB</paraID>
      <start>4</start>
      <end>5</end>
      <status>unmodified</status>
      <modifiedWord/>
      <trackRevisions>false</trackRevisions>
    </reviewItem>
    <reviewItem>
      <errorID>1e150548-a607-4804-a3d9-430f68e0a417</errorID>
      <errorWord>)</errorWord>
      <group>L1_Format</group>
      <groupName>格式问题</groupName>
      <ability>L2_HalfPunc_CN</ability>
      <abilityName>全半角问题</abilityName>
      <candidateList>
        <item>）</item>
      </candidateList>
      <explain>文本全半角错误。</explain>
      <paraID>4961C0AB</paraID>
      <start>6</start>
      <end>7</end>
      <status>unmodified</status>
      <modifiedWord/>
      <trackRevisions>false</trackRevisions>
    </reviewItem>
    <reviewItem>
      <errorID>d2e50b06-2621-4251-b7ba-70bea227c6bd</errorID>
      <errorWord>股东大会</errorWord>
      <group>L1_Word</group>
      <groupName>字词问题</groupName>
      <ability>L2_Typo</ability>
      <abilityName>字词错误</abilityName>
      <candidateList>
        <item>股东会</item>
      </candidateList>
      <explain/>
      <paraID>32B2EE72</paraID>
      <start>113</start>
      <end>117</end>
      <status>unmodified</status>
      <modifiedWord/>
      <trackRevisions>false</trackRevisions>
    </reviewItem>
    <reviewItem>
      <errorID>3d2e6a97-af94-4511-b4d8-f05d79d5288d</errorID>
      <errorWord>〔2017〕 141号</errorWord>
      <group>L1_Knowledge</group>
      <groupName>知识性问题</groupName>
      <ability>L2_Knowledge</ability>
      <abilityName>其他知识</abilityName>
      <candidateList>
        <item>〔2017〕141号</item>
      </candidateList>
      <explain>发文字号格式错误。</explain>
      <paraID>5E5909B4</paraID>
      <start>49</start>
      <end>60</end>
      <status>unmodified</status>
      <modifiedWord/>
      <trackRevisions>false</trackRevisions>
    </reviewItem>
    <reviewItem>
      <errorID>5cade18f-6730-4f69-a84b-5c82143e659c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2E188CA4</paraID>
      <start>36</start>
      <end>39</end>
      <status>unmodified</status>
      <modifiedWord/>
      <trackRevisions>false</trackRevisions>
    </reviewItem>
    <reviewItem>
      <errorID>876286a6-1591-449c-a6c1-eabb873c32f3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59079967</paraID>
      <start>37</start>
      <end>40</end>
      <status>unmodified</status>
      <modifiedWord/>
      <trackRevisions>false</trackRevisions>
    </reviewItem>
    <reviewItem>
      <errorID>45c955dd-f87e-4f04-a581-ce13f105a9f5</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39D118E4</paraID>
      <start>53</start>
      <end>57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45e4728-2532-4d66-a65c-cc40ef643c49}">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117</Pages>
  <Words>73843</Words>
  <Characters>77669</Characters>
  <Lines>389</Lines>
  <Paragraphs>109</Paragraphs>
  <TotalTime>51</TotalTime>
  <ScaleCrop>false</ScaleCrop>
  <LinksUpToDate>false</LinksUpToDate>
  <CharactersWithSpaces>83760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2025-09-24T08:09:00Z</dcterms:created>
  <dc:creator>陈潇</dc:creator>
  <cp:lastModifiedBy>Administrator</cp:lastModifiedBy>
  <cp:lastPrinted>2025-04-30T00:44:00Z</cp:lastPrinted>
  <dcterms:modified xsi:type="dcterms:W3CDTF">2026-09-07T08:39:40Z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6803D5823AC64C0C92FF64EBEE73913F_13</vt:lpwstr>
  </property>
  <property fmtid="{D5CDD505-2E9C-101B-9397-08002B2CF9AE}" pid="4" name="KSOTemplateDocerSaveRecord">
    <vt:lpwstr>eyJoZGlkIjoiMGNmOGIyNTBjYmU0MjNhOThkZDU4Yzk4YmM4MjllMWMiLCJ1c2VySWQiOiIzNDk5NTAzNjgifQ==</vt:lpwstr>
  </property>
</Properties>
</file>