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C119D">
      <w:pPr>
        <w:spacing w:before="3"/>
        <w:ind w:left="225" w:right="25" w:firstLine="0"/>
        <w:jc w:val="center"/>
        <w:rPr>
          <w:rFonts w:hint="eastAsia" w:eastAsia="宋体"/>
          <w:color w:val="auto"/>
          <w:sz w:val="51"/>
          <w:lang w:eastAsia="zh-CN"/>
        </w:rPr>
      </w:pPr>
      <w:r>
        <w:rPr>
          <w:rFonts w:hint="eastAsia" w:ascii="宋体" w:hAnsi="宋体" w:cs="宋体"/>
          <w:b/>
          <w:color w:val="auto"/>
          <w:spacing w:val="-2"/>
          <w:sz w:val="72"/>
          <w:szCs w:val="72"/>
        </w:rPr>
        <w:drawing>
          <wp:inline distT="0" distB="0" distL="0" distR="0">
            <wp:extent cx="752475" cy="504825"/>
            <wp:effectExtent l="0" t="0" r="9525" b="9525"/>
            <wp:docPr id="2088223406" name="图片 2" descr="冠宁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223406" name="图片 2" descr="冠宁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52475" cy="504825"/>
                    </a:xfrm>
                    <a:prstGeom prst="rect">
                      <a:avLst/>
                    </a:prstGeom>
                    <a:noFill/>
                    <a:ln>
                      <a:noFill/>
                    </a:ln>
                    <a:effectLst/>
                  </pic:spPr>
                </pic:pic>
              </a:graphicData>
            </a:graphic>
          </wp:inline>
        </w:drawing>
      </w:r>
      <w:r>
        <w:rPr>
          <w:rFonts w:hint="eastAsia"/>
          <w:color w:val="auto"/>
          <w:spacing w:val="-1"/>
          <w:sz w:val="51"/>
          <w:lang w:eastAsia="zh-CN"/>
        </w:rPr>
        <w:t>广西冠宁工程咨询有限公司</w:t>
      </w:r>
    </w:p>
    <w:p w14:paraId="52B6F25D">
      <w:pPr>
        <w:pStyle w:val="12"/>
        <w:spacing w:before="0"/>
        <w:ind w:left="0"/>
        <w:rPr>
          <w:color w:val="auto"/>
          <w:sz w:val="51"/>
        </w:rPr>
      </w:pPr>
    </w:p>
    <w:p w14:paraId="627DBD80">
      <w:pPr>
        <w:pStyle w:val="12"/>
        <w:spacing w:before="639"/>
        <w:ind w:left="0"/>
        <w:rPr>
          <w:color w:val="auto"/>
          <w:sz w:val="51"/>
        </w:rPr>
      </w:pPr>
    </w:p>
    <w:p w14:paraId="7BD19D95">
      <w:pPr>
        <w:pStyle w:val="2"/>
        <w:rPr>
          <w:color w:val="auto"/>
        </w:rPr>
      </w:pPr>
      <w:r>
        <w:rPr>
          <w:color w:val="auto"/>
          <w:spacing w:val="-2"/>
          <w:w w:val="110"/>
        </w:rPr>
        <w:t>竞争性磋商文件</w:t>
      </w:r>
    </w:p>
    <w:p w14:paraId="34796329">
      <w:pPr>
        <w:spacing w:before="1069"/>
        <w:ind w:left="225" w:right="83" w:firstLine="0"/>
        <w:jc w:val="center"/>
        <w:rPr>
          <w:color w:val="auto"/>
          <w:sz w:val="49"/>
        </w:rPr>
      </w:pPr>
      <w:r>
        <w:rPr>
          <w:color w:val="auto"/>
          <w:spacing w:val="-10"/>
          <w:sz w:val="49"/>
        </w:rPr>
        <w:t>（全流程电子化采购）</w:t>
      </w:r>
    </w:p>
    <w:p w14:paraId="1DB568A4">
      <w:pPr>
        <w:pStyle w:val="12"/>
        <w:spacing w:before="0"/>
        <w:ind w:left="0"/>
        <w:rPr>
          <w:color w:val="auto"/>
          <w:sz w:val="49"/>
        </w:rPr>
      </w:pPr>
    </w:p>
    <w:p w14:paraId="789C1546">
      <w:pPr>
        <w:pStyle w:val="12"/>
        <w:spacing w:before="215"/>
        <w:ind w:left="0"/>
        <w:rPr>
          <w:color w:val="auto"/>
          <w:sz w:val="49"/>
        </w:rPr>
      </w:pPr>
    </w:p>
    <w:p w14:paraId="3A4D50A6">
      <w:pPr>
        <w:pStyle w:val="8"/>
        <w:tabs>
          <w:tab w:val="left" w:pos="8140"/>
          <w:tab w:val="left" w:pos="8360"/>
          <w:tab w:val="left" w:pos="8580"/>
        </w:tabs>
        <w:spacing w:line="369" w:lineRule="auto"/>
        <w:ind w:right="400" w:rightChars="0"/>
        <w:rPr>
          <w:rFonts w:hint="eastAsia"/>
          <w:color w:val="auto"/>
          <w:w w:val="104"/>
          <w:lang w:eastAsia="zh-CN"/>
        </w:rPr>
      </w:pPr>
      <w:r>
        <w:rPr>
          <w:color w:val="auto"/>
          <w:w w:val="104"/>
        </w:rPr>
        <w:t>项目名称：</w:t>
      </w:r>
      <w:r>
        <w:rPr>
          <w:rFonts w:hint="eastAsia"/>
          <w:color w:val="auto"/>
          <w:w w:val="104"/>
          <w:lang w:eastAsia="zh-CN"/>
        </w:rPr>
        <w:t>里当鸡现代化产业育种孵化厂配套设施项目</w:t>
      </w:r>
    </w:p>
    <w:p w14:paraId="65FAA9B2">
      <w:pPr>
        <w:pStyle w:val="8"/>
        <w:spacing w:line="369" w:lineRule="auto"/>
        <w:rPr>
          <w:rFonts w:hint="eastAsia" w:ascii="Arial" w:eastAsia="宋体"/>
          <w:color w:val="auto"/>
          <w:lang w:eastAsia="zh-CN"/>
        </w:rPr>
      </w:pPr>
      <w:r>
        <w:rPr>
          <w:color w:val="auto"/>
          <w:w w:val="97"/>
        </w:rPr>
        <w:t>项目编号：</w:t>
      </w:r>
      <w:r>
        <w:rPr>
          <w:rFonts w:hint="eastAsia" w:ascii="Arial"/>
          <w:color w:val="auto"/>
          <w:spacing w:val="-1"/>
          <w:w w:val="97"/>
          <w:lang w:eastAsia="zh-CN"/>
        </w:rPr>
        <w:t>NNZC2026-C2-240129-GXGN</w:t>
      </w:r>
    </w:p>
    <w:p w14:paraId="788091B1">
      <w:pPr>
        <w:pStyle w:val="12"/>
        <w:spacing w:before="0"/>
        <w:ind w:left="0"/>
        <w:rPr>
          <w:rFonts w:ascii="Arial"/>
          <w:color w:val="auto"/>
          <w:sz w:val="29"/>
        </w:rPr>
      </w:pPr>
    </w:p>
    <w:p w14:paraId="55D92724">
      <w:pPr>
        <w:pStyle w:val="12"/>
        <w:spacing w:before="0"/>
        <w:ind w:left="0"/>
        <w:rPr>
          <w:rFonts w:ascii="Arial"/>
          <w:color w:val="auto"/>
          <w:sz w:val="29"/>
        </w:rPr>
      </w:pPr>
    </w:p>
    <w:p w14:paraId="664DE10D">
      <w:pPr>
        <w:pStyle w:val="12"/>
        <w:spacing w:before="173"/>
        <w:ind w:left="0"/>
        <w:rPr>
          <w:rFonts w:ascii="Arial"/>
          <w:color w:val="auto"/>
          <w:sz w:val="29"/>
        </w:rPr>
      </w:pPr>
    </w:p>
    <w:p w14:paraId="6BA719D4">
      <w:pPr>
        <w:pStyle w:val="7"/>
        <w:ind w:right="9"/>
        <w:rPr>
          <w:rFonts w:hint="eastAsia" w:eastAsia="宋体"/>
          <w:color w:val="auto"/>
          <w:lang w:eastAsia="zh-CN"/>
        </w:rPr>
      </w:pPr>
      <w:r>
        <w:rPr>
          <w:color w:val="auto"/>
          <w:w w:val="105"/>
        </w:rPr>
        <w:t>采购人：</w:t>
      </w:r>
      <w:r>
        <w:rPr>
          <w:rFonts w:hint="eastAsia"/>
          <w:color w:val="auto"/>
          <w:w w:val="105"/>
          <w:lang w:eastAsia="zh-CN"/>
        </w:rPr>
        <w:t>马山县农业农村局</w:t>
      </w:r>
    </w:p>
    <w:p w14:paraId="5E53B84F">
      <w:pPr>
        <w:pStyle w:val="12"/>
        <w:spacing w:before="0"/>
        <w:ind w:left="0"/>
        <w:rPr>
          <w:color w:val="auto"/>
          <w:sz w:val="20"/>
        </w:rPr>
      </w:pPr>
    </w:p>
    <w:p w14:paraId="115934A8">
      <w:pPr>
        <w:pStyle w:val="12"/>
        <w:spacing w:before="232"/>
        <w:ind w:left="0"/>
        <w:rPr>
          <w:color w:val="auto"/>
          <w:sz w:val="20"/>
        </w:rPr>
      </w:pPr>
    </w:p>
    <w:p w14:paraId="672A3D26">
      <w:pPr>
        <w:pStyle w:val="7"/>
        <w:rPr>
          <w:rFonts w:hint="eastAsia" w:eastAsia="宋体"/>
          <w:color w:val="auto"/>
          <w:lang w:eastAsia="zh-CN"/>
        </w:rPr>
      </w:pPr>
      <w:r>
        <w:rPr>
          <w:color w:val="auto"/>
        </w:rPr>
        <w:t>采购代理机构；</w:t>
      </w:r>
      <w:r>
        <w:rPr>
          <w:rFonts w:hint="eastAsia"/>
          <w:color w:val="auto"/>
          <w:spacing w:val="-1"/>
          <w:lang w:eastAsia="zh-CN"/>
        </w:rPr>
        <w:t>广西冠宁工程咨询有限公司</w:t>
      </w:r>
    </w:p>
    <w:p w14:paraId="11E010F2">
      <w:pPr>
        <w:spacing w:after="0"/>
        <w:rPr>
          <w:color w:val="auto"/>
        </w:rPr>
        <w:sectPr>
          <w:type w:val="continuous"/>
          <w:pgSz w:w="11900" w:h="16820"/>
          <w:pgMar w:top="1520" w:right="1680" w:bottom="280" w:left="1680" w:header="720" w:footer="720" w:gutter="0"/>
          <w:cols w:space="720" w:num="1"/>
        </w:sectPr>
      </w:pPr>
    </w:p>
    <w:p w14:paraId="0DE0E1E0">
      <w:pPr>
        <w:spacing w:before="16"/>
        <w:ind w:left="835" w:right="751" w:firstLine="0"/>
        <w:jc w:val="center"/>
        <w:rPr>
          <w:b/>
          <w:color w:val="auto"/>
          <w:sz w:val="44"/>
        </w:rPr>
      </w:pPr>
      <w:r>
        <w:rPr>
          <w:b/>
          <w:color w:val="auto"/>
          <w:spacing w:val="-7"/>
          <w:sz w:val="44"/>
        </w:rPr>
        <w:t>目录</w:t>
      </w:r>
    </w:p>
    <w:sdt>
      <w:sdtPr>
        <w:rPr>
          <w:color w:val="auto"/>
        </w:rPr>
        <w:id w:val="147470106"/>
        <w:docPartObj>
          <w:docPartGallery w:val="Table of Contents"/>
          <w:docPartUnique/>
        </w:docPartObj>
      </w:sdtPr>
      <w:sdtEndPr>
        <w:rPr>
          <w:color w:val="auto"/>
        </w:rPr>
      </w:sdtEndPr>
      <w:sdtContent>
        <w:p w14:paraId="50569A95">
          <w:pPr>
            <w:pStyle w:val="15"/>
            <w:tabs>
              <w:tab w:val="right" w:leader="dot" w:pos="9432"/>
            </w:tabs>
            <w:spacing w:before="810"/>
            <w:rPr>
              <w:color w:val="auto"/>
            </w:rPr>
          </w:pPr>
          <w:r>
            <w:rPr>
              <w:color w:val="auto"/>
            </w:rPr>
            <w:fldChar w:fldCharType="begin"/>
          </w:r>
          <w:r>
            <w:rPr>
              <w:color w:val="auto"/>
            </w:rPr>
            <w:instrText xml:space="preserve">TOC \o "1-1" \h \z \u </w:instrText>
          </w:r>
          <w:r>
            <w:rPr>
              <w:color w:val="auto"/>
            </w:rPr>
            <w:fldChar w:fldCharType="separate"/>
          </w:r>
          <w:r>
            <w:rPr>
              <w:color w:val="auto"/>
            </w:rPr>
            <w:fldChar w:fldCharType="begin"/>
          </w:r>
          <w:r>
            <w:rPr>
              <w:color w:val="auto"/>
            </w:rPr>
            <w:instrText xml:space="preserve"> HYPERLINK \l "_bookmark0" </w:instrText>
          </w:r>
          <w:r>
            <w:rPr>
              <w:color w:val="auto"/>
            </w:rPr>
            <w:fldChar w:fldCharType="separate"/>
          </w:r>
          <w:r>
            <w:rPr>
              <w:color w:val="auto"/>
            </w:rPr>
            <w:t>第一章</w:t>
          </w:r>
          <w:r>
            <w:rPr>
              <w:color w:val="auto"/>
              <w:spacing w:val="-22"/>
            </w:rPr>
            <w:t xml:space="preserve"> </w:t>
          </w:r>
          <w:r>
            <w:rPr>
              <w:color w:val="auto"/>
            </w:rPr>
            <w:t>竞争性磋商公</w:t>
          </w:r>
          <w:r>
            <w:rPr>
              <w:color w:val="auto"/>
              <w:spacing w:val="-10"/>
            </w:rPr>
            <w:t>告</w:t>
          </w:r>
          <w:r>
            <w:rPr>
              <w:color w:val="auto"/>
              <w:spacing w:val="-10"/>
            </w:rPr>
            <w:fldChar w:fldCharType="end"/>
          </w:r>
          <w:r>
            <w:rPr>
              <w:rFonts w:ascii="Times New Roman" w:eastAsia="Times New Roman"/>
              <w:color w:val="auto"/>
            </w:rPr>
            <w:tab/>
          </w:r>
          <w:r>
            <w:rPr>
              <w:color w:val="auto"/>
            </w:rPr>
            <w:fldChar w:fldCharType="begin"/>
          </w:r>
          <w:r>
            <w:rPr>
              <w:color w:val="auto"/>
            </w:rPr>
            <w:instrText xml:space="preserve"> HYPERLINK \l "_bookmark0" </w:instrText>
          </w:r>
          <w:r>
            <w:rPr>
              <w:color w:val="auto"/>
            </w:rPr>
            <w:fldChar w:fldCharType="separate"/>
          </w:r>
          <w:r>
            <w:rPr>
              <w:color w:val="auto"/>
              <w:spacing w:val="-10"/>
            </w:rPr>
            <w:t>3</w:t>
          </w:r>
          <w:r>
            <w:rPr>
              <w:color w:val="auto"/>
              <w:spacing w:val="-10"/>
            </w:rPr>
            <w:fldChar w:fldCharType="end"/>
          </w:r>
        </w:p>
        <w:p w14:paraId="397B7895">
          <w:pPr>
            <w:pStyle w:val="15"/>
            <w:tabs>
              <w:tab w:val="right" w:leader="dot" w:pos="9432"/>
            </w:tabs>
            <w:rPr>
              <w:color w:val="auto"/>
            </w:rPr>
          </w:pPr>
          <w:r>
            <w:rPr>
              <w:color w:val="auto"/>
            </w:rPr>
            <w:fldChar w:fldCharType="begin"/>
          </w:r>
          <w:r>
            <w:rPr>
              <w:color w:val="auto"/>
            </w:rPr>
            <w:instrText xml:space="preserve"> HYPERLINK \l "_bookmark1" </w:instrText>
          </w:r>
          <w:r>
            <w:rPr>
              <w:color w:val="auto"/>
            </w:rPr>
            <w:fldChar w:fldCharType="separate"/>
          </w:r>
          <w:r>
            <w:rPr>
              <w:color w:val="auto"/>
            </w:rPr>
            <w:t>第二章</w:t>
          </w:r>
          <w:r>
            <w:rPr>
              <w:color w:val="auto"/>
              <w:spacing w:val="-18"/>
            </w:rPr>
            <w:t xml:space="preserve"> </w:t>
          </w:r>
          <w:r>
            <w:rPr>
              <w:color w:val="auto"/>
            </w:rPr>
            <w:t>供应商须</w:t>
          </w:r>
          <w:r>
            <w:rPr>
              <w:color w:val="auto"/>
              <w:spacing w:val="-10"/>
            </w:rPr>
            <w:t>知</w:t>
          </w:r>
          <w:r>
            <w:rPr>
              <w:color w:val="auto"/>
              <w:spacing w:val="-10"/>
            </w:rPr>
            <w:fldChar w:fldCharType="end"/>
          </w:r>
          <w:r>
            <w:rPr>
              <w:rFonts w:ascii="Times New Roman" w:eastAsia="Times New Roman"/>
              <w:color w:val="auto"/>
            </w:rPr>
            <w:tab/>
          </w:r>
          <w:r>
            <w:rPr>
              <w:color w:val="auto"/>
            </w:rPr>
            <w:fldChar w:fldCharType="begin"/>
          </w:r>
          <w:r>
            <w:rPr>
              <w:color w:val="auto"/>
            </w:rPr>
            <w:instrText xml:space="preserve"> HYPERLINK \l "_bookmark1" </w:instrText>
          </w:r>
          <w:r>
            <w:rPr>
              <w:color w:val="auto"/>
            </w:rPr>
            <w:fldChar w:fldCharType="separate"/>
          </w:r>
          <w:r>
            <w:rPr>
              <w:color w:val="auto"/>
              <w:spacing w:val="-10"/>
            </w:rPr>
            <w:t>6</w:t>
          </w:r>
          <w:r>
            <w:rPr>
              <w:color w:val="auto"/>
              <w:spacing w:val="-10"/>
            </w:rPr>
            <w:fldChar w:fldCharType="end"/>
          </w:r>
        </w:p>
        <w:p w14:paraId="56ABCD7C">
          <w:pPr>
            <w:pStyle w:val="15"/>
            <w:tabs>
              <w:tab w:val="right" w:leader="dot" w:pos="9434"/>
            </w:tabs>
            <w:spacing w:before="285"/>
            <w:rPr>
              <w:color w:val="auto"/>
            </w:rPr>
          </w:pPr>
          <w:r>
            <w:rPr>
              <w:color w:val="auto"/>
            </w:rPr>
            <w:fldChar w:fldCharType="begin"/>
          </w:r>
          <w:r>
            <w:rPr>
              <w:color w:val="auto"/>
            </w:rPr>
            <w:instrText xml:space="preserve"> HYPERLINK \l "_bookmark2" </w:instrText>
          </w:r>
          <w:r>
            <w:rPr>
              <w:color w:val="auto"/>
            </w:rPr>
            <w:fldChar w:fldCharType="separate"/>
          </w:r>
          <w:r>
            <w:rPr>
              <w:color w:val="auto"/>
            </w:rPr>
            <w:t>第三章</w:t>
          </w:r>
          <w:r>
            <w:rPr>
              <w:color w:val="auto"/>
              <w:spacing w:val="-15"/>
            </w:rPr>
            <w:t xml:space="preserve"> </w:t>
          </w:r>
          <w:r>
            <w:rPr>
              <w:color w:val="auto"/>
            </w:rPr>
            <w:t>采购需</w:t>
          </w:r>
          <w:r>
            <w:rPr>
              <w:color w:val="auto"/>
              <w:spacing w:val="-10"/>
            </w:rPr>
            <w:t>求</w:t>
          </w:r>
          <w:r>
            <w:rPr>
              <w:color w:val="auto"/>
              <w:spacing w:val="-10"/>
            </w:rPr>
            <w:fldChar w:fldCharType="end"/>
          </w:r>
          <w:r>
            <w:rPr>
              <w:rFonts w:ascii="Times New Roman" w:eastAsia="Times New Roman"/>
              <w:color w:val="auto"/>
            </w:rPr>
            <w:tab/>
          </w:r>
          <w:r>
            <w:rPr>
              <w:color w:val="auto"/>
            </w:rPr>
            <w:fldChar w:fldCharType="begin"/>
          </w:r>
          <w:r>
            <w:rPr>
              <w:color w:val="auto"/>
            </w:rPr>
            <w:instrText xml:space="preserve"> HYPERLINK \l "_bookmark2" </w:instrText>
          </w:r>
          <w:r>
            <w:rPr>
              <w:color w:val="auto"/>
            </w:rPr>
            <w:fldChar w:fldCharType="separate"/>
          </w:r>
          <w:r>
            <w:rPr>
              <w:color w:val="auto"/>
              <w:spacing w:val="-5"/>
            </w:rPr>
            <w:t>2</w:t>
          </w:r>
          <w:r>
            <w:rPr>
              <w:color w:val="auto"/>
              <w:spacing w:val="-5"/>
            </w:rPr>
            <w:fldChar w:fldCharType="end"/>
          </w:r>
          <w:r>
            <w:rPr>
              <w:color w:val="auto"/>
            </w:rPr>
            <w:fldChar w:fldCharType="begin"/>
          </w:r>
          <w:r>
            <w:rPr>
              <w:color w:val="auto"/>
            </w:rPr>
            <w:instrText xml:space="preserve"> HYPERLINK \l "_bookmark2" </w:instrText>
          </w:r>
          <w:r>
            <w:rPr>
              <w:color w:val="auto"/>
            </w:rPr>
            <w:fldChar w:fldCharType="separate"/>
          </w:r>
          <w:r>
            <w:rPr>
              <w:color w:val="auto"/>
              <w:spacing w:val="-5"/>
            </w:rPr>
            <w:t>3</w:t>
          </w:r>
          <w:r>
            <w:rPr>
              <w:color w:val="auto"/>
              <w:spacing w:val="-5"/>
            </w:rPr>
            <w:fldChar w:fldCharType="end"/>
          </w:r>
        </w:p>
        <w:p w14:paraId="15CCD7B4">
          <w:pPr>
            <w:pStyle w:val="15"/>
            <w:tabs>
              <w:tab w:val="right" w:leader="dot" w:pos="9434"/>
            </w:tabs>
            <w:spacing w:before="284"/>
            <w:rPr>
              <w:color w:val="auto"/>
            </w:rPr>
          </w:pPr>
          <w:r>
            <w:rPr>
              <w:color w:val="auto"/>
            </w:rPr>
            <w:fldChar w:fldCharType="begin"/>
          </w:r>
          <w:r>
            <w:rPr>
              <w:color w:val="auto"/>
            </w:rPr>
            <w:instrText xml:space="preserve"> HYPERLINK \l "_bookmark3" </w:instrText>
          </w:r>
          <w:r>
            <w:rPr>
              <w:color w:val="auto"/>
            </w:rPr>
            <w:fldChar w:fldCharType="separate"/>
          </w:r>
          <w:r>
            <w:rPr>
              <w:color w:val="auto"/>
              <w:spacing w:val="-2"/>
            </w:rPr>
            <w:t>第四章</w:t>
          </w:r>
          <w:r>
            <w:rPr>
              <w:color w:val="auto"/>
              <w:spacing w:val="-9"/>
            </w:rPr>
            <w:t xml:space="preserve"> </w:t>
          </w:r>
          <w:r>
            <w:rPr>
              <w:color w:val="auto"/>
              <w:spacing w:val="-2"/>
            </w:rPr>
            <w:t>评审程序、评审方法和评审标</w:t>
          </w:r>
          <w:r>
            <w:rPr>
              <w:color w:val="auto"/>
              <w:spacing w:val="-10"/>
            </w:rPr>
            <w:t>准</w:t>
          </w:r>
          <w:r>
            <w:rPr>
              <w:color w:val="auto"/>
              <w:spacing w:val="-10"/>
            </w:rPr>
            <w:fldChar w:fldCharType="end"/>
          </w:r>
          <w:r>
            <w:rPr>
              <w:rFonts w:ascii="Times New Roman" w:eastAsia="Times New Roman"/>
              <w:color w:val="auto"/>
            </w:rPr>
            <w:tab/>
          </w:r>
          <w:r>
            <w:rPr>
              <w:color w:val="auto"/>
            </w:rPr>
            <w:fldChar w:fldCharType="begin"/>
          </w:r>
          <w:r>
            <w:rPr>
              <w:color w:val="auto"/>
            </w:rPr>
            <w:instrText xml:space="preserve"> HYPERLINK \l "_bookmark3" </w:instrText>
          </w:r>
          <w:r>
            <w:rPr>
              <w:color w:val="auto"/>
            </w:rPr>
            <w:fldChar w:fldCharType="separate"/>
          </w:r>
          <w:r>
            <w:rPr>
              <w:color w:val="auto"/>
              <w:spacing w:val="-5"/>
            </w:rPr>
            <w:t>2</w:t>
          </w:r>
          <w:r>
            <w:rPr>
              <w:color w:val="auto"/>
              <w:spacing w:val="-5"/>
            </w:rPr>
            <w:fldChar w:fldCharType="end"/>
          </w:r>
          <w:r>
            <w:rPr>
              <w:color w:val="auto"/>
            </w:rPr>
            <w:fldChar w:fldCharType="begin"/>
          </w:r>
          <w:r>
            <w:rPr>
              <w:color w:val="auto"/>
            </w:rPr>
            <w:instrText xml:space="preserve"> HYPERLINK \l "_bookmark3" </w:instrText>
          </w:r>
          <w:r>
            <w:rPr>
              <w:color w:val="auto"/>
            </w:rPr>
            <w:fldChar w:fldCharType="separate"/>
          </w:r>
          <w:r>
            <w:rPr>
              <w:color w:val="auto"/>
              <w:spacing w:val="-5"/>
            </w:rPr>
            <w:t>5</w:t>
          </w:r>
          <w:r>
            <w:rPr>
              <w:color w:val="auto"/>
              <w:spacing w:val="-5"/>
            </w:rPr>
            <w:fldChar w:fldCharType="end"/>
          </w:r>
        </w:p>
        <w:p w14:paraId="0867116F">
          <w:pPr>
            <w:pStyle w:val="15"/>
            <w:tabs>
              <w:tab w:val="right" w:leader="dot" w:pos="9434"/>
            </w:tabs>
            <w:rPr>
              <w:color w:val="auto"/>
            </w:rPr>
          </w:pPr>
          <w:r>
            <w:rPr>
              <w:color w:val="auto"/>
            </w:rPr>
            <w:fldChar w:fldCharType="begin"/>
          </w:r>
          <w:r>
            <w:rPr>
              <w:color w:val="auto"/>
            </w:rPr>
            <w:instrText xml:space="preserve"> HYPERLINK \l "_bookmark4" </w:instrText>
          </w:r>
          <w:r>
            <w:rPr>
              <w:color w:val="auto"/>
            </w:rPr>
            <w:fldChar w:fldCharType="separate"/>
          </w:r>
          <w:r>
            <w:rPr>
              <w:color w:val="auto"/>
            </w:rPr>
            <w:t>第五章</w:t>
          </w:r>
          <w:r>
            <w:rPr>
              <w:color w:val="auto"/>
              <w:spacing w:val="-25"/>
            </w:rPr>
            <w:t xml:space="preserve"> </w:t>
          </w:r>
          <w:r>
            <w:rPr>
              <w:color w:val="auto"/>
            </w:rPr>
            <w:t>工程量清单及图</w:t>
          </w:r>
          <w:r>
            <w:rPr>
              <w:color w:val="auto"/>
              <w:spacing w:val="-10"/>
            </w:rPr>
            <w:t>纸</w:t>
          </w:r>
          <w:r>
            <w:rPr>
              <w:color w:val="auto"/>
              <w:spacing w:val="-10"/>
            </w:rPr>
            <w:fldChar w:fldCharType="end"/>
          </w:r>
          <w:r>
            <w:rPr>
              <w:rFonts w:ascii="Times New Roman" w:eastAsia="Times New Roman"/>
              <w:color w:val="auto"/>
            </w:rPr>
            <w:tab/>
          </w:r>
          <w:r>
            <w:rPr>
              <w:color w:val="auto"/>
            </w:rPr>
            <w:fldChar w:fldCharType="begin"/>
          </w:r>
          <w:r>
            <w:rPr>
              <w:color w:val="auto"/>
            </w:rPr>
            <w:instrText xml:space="preserve"> HYPERLINK \l "_bookmark4" </w:instrText>
          </w:r>
          <w:r>
            <w:rPr>
              <w:color w:val="auto"/>
            </w:rPr>
            <w:fldChar w:fldCharType="separate"/>
          </w:r>
          <w:r>
            <w:rPr>
              <w:color w:val="auto"/>
              <w:spacing w:val="-5"/>
            </w:rPr>
            <w:t>3</w:t>
          </w:r>
          <w:r>
            <w:rPr>
              <w:color w:val="auto"/>
              <w:spacing w:val="-5"/>
            </w:rPr>
            <w:fldChar w:fldCharType="end"/>
          </w:r>
          <w:r>
            <w:rPr>
              <w:color w:val="auto"/>
            </w:rPr>
            <w:fldChar w:fldCharType="begin"/>
          </w:r>
          <w:r>
            <w:rPr>
              <w:color w:val="auto"/>
            </w:rPr>
            <w:instrText xml:space="preserve"> HYPERLINK \l "_bookmark4" </w:instrText>
          </w:r>
          <w:r>
            <w:rPr>
              <w:color w:val="auto"/>
            </w:rPr>
            <w:fldChar w:fldCharType="separate"/>
          </w:r>
          <w:r>
            <w:rPr>
              <w:color w:val="auto"/>
              <w:spacing w:val="-5"/>
            </w:rPr>
            <w:t>6</w:t>
          </w:r>
          <w:r>
            <w:rPr>
              <w:color w:val="auto"/>
              <w:spacing w:val="-5"/>
            </w:rPr>
            <w:fldChar w:fldCharType="end"/>
          </w:r>
        </w:p>
        <w:p w14:paraId="599D1A4C">
          <w:pPr>
            <w:pStyle w:val="15"/>
            <w:tabs>
              <w:tab w:val="right" w:leader="dot" w:pos="9434"/>
            </w:tabs>
            <w:spacing w:before="285"/>
            <w:rPr>
              <w:rFonts w:hint="default" w:eastAsia="宋体"/>
              <w:color w:val="auto"/>
              <w:lang w:val="en-US" w:eastAsia="zh-CN"/>
            </w:rPr>
          </w:pPr>
          <w:r>
            <w:rPr>
              <w:color w:val="auto"/>
            </w:rPr>
            <w:fldChar w:fldCharType="begin"/>
          </w:r>
          <w:r>
            <w:rPr>
              <w:color w:val="auto"/>
            </w:rPr>
            <w:instrText xml:space="preserve"> HYPERLINK \l "_bookmark5" </w:instrText>
          </w:r>
          <w:r>
            <w:rPr>
              <w:color w:val="auto"/>
            </w:rPr>
            <w:fldChar w:fldCharType="separate"/>
          </w:r>
          <w:r>
            <w:rPr>
              <w:color w:val="auto"/>
            </w:rPr>
            <w:t>第六章</w:t>
          </w:r>
          <w:r>
            <w:rPr>
              <w:color w:val="auto"/>
              <w:spacing w:val="-19"/>
            </w:rPr>
            <w:t xml:space="preserve"> </w:t>
          </w:r>
          <w:r>
            <w:rPr>
              <w:color w:val="auto"/>
            </w:rPr>
            <w:t>响应文件格</w:t>
          </w:r>
          <w:r>
            <w:rPr>
              <w:color w:val="auto"/>
              <w:spacing w:val="-10"/>
            </w:rPr>
            <w:t>式</w:t>
          </w:r>
          <w:r>
            <w:rPr>
              <w:color w:val="auto"/>
              <w:spacing w:val="-10"/>
            </w:rPr>
            <w:fldChar w:fldCharType="end"/>
          </w:r>
          <w:r>
            <w:rPr>
              <w:rFonts w:ascii="Times New Roman" w:eastAsia="Times New Roman"/>
              <w:color w:val="auto"/>
            </w:rPr>
            <w:tab/>
          </w:r>
          <w:r>
            <w:rPr>
              <w:rFonts w:hint="eastAsia"/>
              <w:color w:val="auto"/>
              <w:lang w:val="en-US" w:eastAsia="zh-CN"/>
            </w:rPr>
            <w:t>37</w:t>
          </w:r>
        </w:p>
        <w:p w14:paraId="60DCE63B">
          <w:pPr>
            <w:pStyle w:val="15"/>
            <w:tabs>
              <w:tab w:val="right" w:leader="dot" w:pos="9434"/>
            </w:tabs>
            <w:spacing w:before="284"/>
            <w:rPr>
              <w:rFonts w:hint="eastAsia" w:eastAsia="宋体"/>
              <w:color w:val="auto"/>
              <w:lang w:eastAsia="zh-CN"/>
            </w:rPr>
          </w:pPr>
          <w:r>
            <w:rPr>
              <w:color w:val="auto"/>
            </w:rPr>
            <w:fldChar w:fldCharType="begin"/>
          </w:r>
          <w:r>
            <w:rPr>
              <w:color w:val="auto"/>
            </w:rPr>
            <w:instrText xml:space="preserve"> HYPERLINK \l "_bookmark6" </w:instrText>
          </w:r>
          <w:r>
            <w:rPr>
              <w:color w:val="auto"/>
            </w:rPr>
            <w:fldChar w:fldCharType="separate"/>
          </w:r>
          <w:r>
            <w:rPr>
              <w:color w:val="auto"/>
            </w:rPr>
            <w:t>第七章</w:t>
          </w:r>
          <w:r>
            <w:rPr>
              <w:color w:val="auto"/>
              <w:spacing w:val="-15"/>
            </w:rPr>
            <w:t xml:space="preserve"> </w:t>
          </w:r>
          <w:r>
            <w:rPr>
              <w:color w:val="auto"/>
            </w:rPr>
            <w:t>合同文</w:t>
          </w:r>
          <w:r>
            <w:rPr>
              <w:color w:val="auto"/>
              <w:spacing w:val="-10"/>
            </w:rPr>
            <w:t>本</w:t>
          </w:r>
          <w:r>
            <w:rPr>
              <w:color w:val="auto"/>
              <w:spacing w:val="-10"/>
            </w:rPr>
            <w:fldChar w:fldCharType="end"/>
          </w:r>
          <w:r>
            <w:rPr>
              <w:rFonts w:ascii="Times New Roman" w:eastAsia="Times New Roman"/>
              <w:color w:val="auto"/>
            </w:rPr>
            <w:tab/>
          </w:r>
          <w:r>
            <w:rPr>
              <w:color w:val="auto"/>
            </w:rPr>
            <w:fldChar w:fldCharType="begin"/>
          </w:r>
          <w:r>
            <w:rPr>
              <w:color w:val="auto"/>
            </w:rPr>
            <w:instrText xml:space="preserve"> HYPERLINK \l "_bookmark6" </w:instrText>
          </w:r>
          <w:r>
            <w:rPr>
              <w:color w:val="auto"/>
            </w:rPr>
            <w:fldChar w:fldCharType="separate"/>
          </w:r>
          <w:r>
            <w:rPr>
              <w:color w:val="auto"/>
              <w:spacing w:val="-5"/>
            </w:rPr>
            <w:t>7</w:t>
          </w:r>
          <w:r>
            <w:rPr>
              <w:color w:val="auto"/>
              <w:spacing w:val="-5"/>
            </w:rPr>
            <w:fldChar w:fldCharType="end"/>
          </w:r>
          <w:r>
            <w:rPr>
              <w:rFonts w:hint="eastAsia"/>
              <w:color w:val="auto"/>
              <w:lang w:val="en-US" w:eastAsia="zh-CN"/>
            </w:rPr>
            <w:t>4</w:t>
          </w:r>
        </w:p>
        <w:p w14:paraId="211B6CEF">
          <w:pPr>
            <w:rPr>
              <w:color w:val="auto"/>
            </w:rPr>
          </w:pPr>
          <w:r>
            <w:rPr>
              <w:color w:val="auto"/>
            </w:rPr>
            <w:fldChar w:fldCharType="end"/>
          </w:r>
        </w:p>
      </w:sdtContent>
    </w:sdt>
    <w:p w14:paraId="4B471187">
      <w:pPr>
        <w:spacing w:after="0"/>
        <w:rPr>
          <w:color w:val="auto"/>
        </w:rPr>
        <w:sectPr>
          <w:footerReference r:id="rId5" w:type="default"/>
          <w:pgSz w:w="11910" w:h="16840"/>
          <w:pgMar w:top="1400" w:right="740" w:bottom="1380" w:left="800" w:header="0" w:footer="1195" w:gutter="0"/>
          <w:cols w:space="720" w:num="1"/>
        </w:sectPr>
      </w:pPr>
    </w:p>
    <w:p w14:paraId="3BC5CB6B">
      <w:pPr>
        <w:pStyle w:val="3"/>
        <w:rPr>
          <w:color w:val="auto"/>
        </w:rPr>
      </w:pPr>
      <w:bookmarkStart w:id="0" w:name="第一章 竞争性磋商公告"/>
      <w:bookmarkEnd w:id="0"/>
      <w:bookmarkStart w:id="1" w:name="_bookmark0"/>
      <w:bookmarkEnd w:id="1"/>
      <w:r>
        <w:rPr>
          <w:color w:val="auto"/>
          <w:spacing w:val="-6"/>
        </w:rPr>
        <w:t>第一章 竞争性磋商公告</w:t>
      </w:r>
    </w:p>
    <w:p w14:paraId="30225189">
      <w:pPr>
        <w:pStyle w:val="5"/>
        <w:spacing w:before="268"/>
        <w:rPr>
          <w:color w:val="auto"/>
        </w:rPr>
      </w:pPr>
      <w:r>
        <w:rPr>
          <w:color w:val="auto"/>
          <w:spacing w:val="-4"/>
        </w:rPr>
        <w:t>竞争性磋商公告</w:t>
      </w:r>
    </w:p>
    <w:p w14:paraId="550B93FD">
      <w:pPr>
        <w:pStyle w:val="12"/>
        <w:spacing w:before="80"/>
        <w:ind w:left="0"/>
        <w:rPr>
          <w:b/>
          <w:color w:val="auto"/>
          <w:sz w:val="20"/>
        </w:rPr>
      </w:pPr>
      <w:r>
        <w:rPr>
          <w:color w:val="auto"/>
        </w:rPr>
        <mc:AlternateContent>
          <mc:Choice Requires="wps">
            <w:drawing>
              <wp:anchor distT="0" distB="0" distL="0" distR="0" simplePos="0" relativeHeight="251663360" behindDoc="1" locked="0" layoutInCell="1" allowOverlap="1">
                <wp:simplePos x="0" y="0"/>
                <wp:positionH relativeFrom="page">
                  <wp:posOffset>954405</wp:posOffset>
                </wp:positionH>
                <wp:positionV relativeFrom="paragraph">
                  <wp:posOffset>234315</wp:posOffset>
                </wp:positionV>
                <wp:extent cx="5687060" cy="996950"/>
                <wp:effectExtent l="0" t="0" r="0" b="0"/>
                <wp:wrapTopAndBottom/>
                <wp:docPr id="7" name="Textbox 7"/>
                <wp:cNvGraphicFramePr/>
                <a:graphic xmlns:a="http://schemas.openxmlformats.org/drawingml/2006/main">
                  <a:graphicData uri="http://schemas.microsoft.com/office/word/2010/wordprocessingShape">
                    <wps:wsp>
                      <wps:cNvSpPr txBox="1"/>
                      <wps:spPr>
                        <a:xfrm>
                          <a:off x="0" y="0"/>
                          <a:ext cx="5687060" cy="996950"/>
                        </a:xfrm>
                        <a:prstGeom prst="rect">
                          <a:avLst/>
                        </a:prstGeom>
                        <a:ln w="6096">
                          <a:solidFill>
                            <a:srgbClr val="000000"/>
                          </a:solidFill>
                          <a:prstDash val="solid"/>
                        </a:ln>
                      </wps:spPr>
                      <wps:txbx>
                        <w:txbxContent>
                          <w:p w14:paraId="406FEF57">
                            <w:pPr>
                              <w:pStyle w:val="12"/>
                              <w:spacing w:before="111"/>
                              <w:ind w:left="500"/>
                            </w:pPr>
                            <w:r>
                              <w:rPr>
                                <w:spacing w:val="-7"/>
                              </w:rPr>
                              <w:t>项目概况</w:t>
                            </w:r>
                          </w:p>
                          <w:p w14:paraId="4E0AAC2C">
                            <w:pPr>
                              <w:pStyle w:val="12"/>
                              <w:spacing w:before="106"/>
                              <w:ind w:left="500"/>
                            </w:pPr>
                            <w:r>
                              <w:rPr>
                                <w:rFonts w:hint="eastAsia"/>
                                <w:u w:val="single"/>
                                <w:lang w:eastAsia="zh-CN"/>
                              </w:rPr>
                              <w:t>里当鸡现代化产业育种孵化厂配套设施项目</w:t>
                            </w:r>
                            <w:r>
                              <w:rPr>
                                <w:spacing w:val="-1"/>
                                <w:u w:val="none"/>
                              </w:rPr>
                              <w:t>采购项目的潜在供应商应在广西政府采购云平台</w:t>
                            </w:r>
                          </w:p>
                          <w:p w14:paraId="1621D104">
                            <w:pPr>
                              <w:pStyle w:val="12"/>
                              <w:spacing w:before="106"/>
                              <w:ind w:left="80"/>
                            </w:pPr>
                            <w:r>
                              <w:rPr>
                                <w:spacing w:val="-2"/>
                              </w:rPr>
                              <w:t>（https://</w:t>
                            </w:r>
                            <w:r>
                              <w:fldChar w:fldCharType="begin"/>
                            </w:r>
                            <w:r>
                              <w:instrText xml:space="preserve"> HYPERLINK "http://www.gcy.zfcg.gxzf.gov.cn/" \h </w:instrText>
                            </w:r>
                            <w:r>
                              <w:fldChar w:fldCharType="separate"/>
                            </w:r>
                            <w:r>
                              <w:rPr>
                                <w:spacing w:val="-2"/>
                              </w:rPr>
                              <w:t>www.gcy.zfcg.gxzf.gov.cn</w:t>
                            </w:r>
                            <w:r>
                              <w:rPr>
                                <w:spacing w:val="-2"/>
                              </w:rPr>
                              <w:fldChar w:fldCharType="end"/>
                            </w:r>
                            <w:r>
                              <w:rPr>
                                <w:spacing w:val="-2"/>
                              </w:rPr>
                              <w:t>）获取（下载）</w:t>
                            </w:r>
                            <w:r>
                              <w:rPr>
                                <w:spacing w:val="-5"/>
                              </w:rPr>
                              <w:t xml:space="preserve">竞争性磋商文件，并于 </w:t>
                            </w:r>
                            <w:r>
                              <w:rPr>
                                <w:spacing w:val="-2"/>
                              </w:rPr>
                              <w:t>2026</w:t>
                            </w:r>
                            <w:r>
                              <w:rPr>
                                <w:spacing w:val="-22"/>
                              </w:rPr>
                              <w:t xml:space="preserve"> 年</w:t>
                            </w:r>
                            <w:r>
                              <w:rPr>
                                <w:rFonts w:hint="eastAsia"/>
                                <w:spacing w:val="-22"/>
                                <w:lang w:val="en-US" w:eastAsia="zh-CN"/>
                              </w:rPr>
                              <w:t xml:space="preserve"> 8</w:t>
                            </w:r>
                            <w:r>
                              <w:rPr>
                                <w:spacing w:val="-22"/>
                              </w:rPr>
                              <w:t xml:space="preserve"> 月</w:t>
                            </w:r>
                            <w:r>
                              <w:rPr>
                                <w:rFonts w:hint="eastAsia"/>
                                <w:spacing w:val="-22"/>
                                <w:lang w:val="en-US" w:eastAsia="zh-CN"/>
                              </w:rPr>
                              <w:t xml:space="preserve">31 </w:t>
                            </w:r>
                            <w:r>
                              <w:rPr>
                                <w:spacing w:val="-20"/>
                              </w:rPr>
                              <w:t>日</w:t>
                            </w:r>
                          </w:p>
                          <w:p w14:paraId="166BEE37">
                            <w:pPr>
                              <w:pStyle w:val="12"/>
                              <w:spacing w:before="109"/>
                              <w:ind w:left="80"/>
                            </w:pPr>
                            <w:r>
                              <w:rPr>
                                <w:rFonts w:hint="eastAsia"/>
                                <w:spacing w:val="-2"/>
                                <w:lang w:val="en-US" w:eastAsia="zh-CN"/>
                              </w:rPr>
                              <w:t xml:space="preserve"> 13</w:t>
                            </w:r>
                            <w:r>
                              <w:rPr>
                                <w:spacing w:val="-34"/>
                              </w:rPr>
                              <w:t xml:space="preserve">时 </w:t>
                            </w:r>
                            <w:r>
                              <w:rPr>
                                <w:spacing w:val="-2"/>
                              </w:rPr>
                              <w:t>00</w:t>
                            </w:r>
                            <w:r>
                              <w:rPr>
                                <w:spacing w:val="-27"/>
                              </w:rPr>
                              <w:t xml:space="preserve"> 分</w:t>
                            </w:r>
                            <w:r>
                              <w:rPr>
                                <w:spacing w:val="-2"/>
                              </w:rPr>
                              <w:t>（北京时间）前提交（上传）</w:t>
                            </w:r>
                            <w:r>
                              <w:rPr>
                                <w:spacing w:val="-4"/>
                              </w:rPr>
                              <w:t>响应文件。</w:t>
                            </w:r>
                          </w:p>
                        </w:txbxContent>
                      </wps:txbx>
                      <wps:bodyPr wrap="square" lIns="0" tIns="0" rIns="0" bIns="0" rtlCol="0">
                        <a:noAutofit/>
                      </wps:bodyPr>
                    </wps:wsp>
                  </a:graphicData>
                </a:graphic>
              </wp:anchor>
            </w:drawing>
          </mc:Choice>
          <mc:Fallback>
            <w:pict>
              <v:shape id="Textbox 7" o:spid="_x0000_s1026" o:spt="202" type="#_x0000_t202" style="position:absolute;left:0pt;margin-left:75.15pt;margin-top:18.45pt;height:78.5pt;width:447.8pt;mso-position-horizontal-relative:page;mso-wrap-distance-bottom:0pt;mso-wrap-distance-top:0pt;z-index:-251653120;mso-width-relative:page;mso-height-relative:page;" filled="f" stroked="t" coordsize="21600,21600" o:gfxdata="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jQjT4dcAAAALAQAA&#10;DwAAAAAAAAABACAAAAAiAAAAZHJzL2Rvd25yZXYueG1sUEsBAhQAFAAAAAgAh07iQNIXwDLhAQAA&#10;1wMAAA4AAAAAAAAAAQAgAAAAJgEAAGRycy9lMm9Eb2MueG1sUEsFBgAAAAAGAAYAWQEAAHkFAAAA&#10;AA==&#10;">
                <v:fill on="f" focussize="0,0"/>
                <v:stroke weight="0.48pt" color="#000000" joinstyle="round"/>
                <v:imagedata o:title=""/>
                <o:lock v:ext="edit" aspectratio="f"/>
                <v:textbox inset="0mm,0mm,0mm,0mm">
                  <w:txbxContent>
                    <w:p w14:paraId="406FEF57">
                      <w:pPr>
                        <w:pStyle w:val="12"/>
                        <w:spacing w:before="111"/>
                        <w:ind w:left="500"/>
                      </w:pPr>
                      <w:r>
                        <w:rPr>
                          <w:spacing w:val="-7"/>
                        </w:rPr>
                        <w:t>项目概况</w:t>
                      </w:r>
                    </w:p>
                    <w:p w14:paraId="4E0AAC2C">
                      <w:pPr>
                        <w:pStyle w:val="12"/>
                        <w:spacing w:before="106"/>
                        <w:ind w:left="500"/>
                      </w:pPr>
                      <w:r>
                        <w:rPr>
                          <w:rFonts w:hint="eastAsia"/>
                          <w:u w:val="single"/>
                          <w:lang w:eastAsia="zh-CN"/>
                        </w:rPr>
                        <w:t>里当鸡现代化产业育种孵化厂配套设施项目</w:t>
                      </w:r>
                      <w:r>
                        <w:rPr>
                          <w:spacing w:val="-1"/>
                          <w:u w:val="none"/>
                        </w:rPr>
                        <w:t>采购项目的潜在供应商应在广西政府采购云平台</w:t>
                      </w:r>
                    </w:p>
                    <w:p w14:paraId="1621D104">
                      <w:pPr>
                        <w:pStyle w:val="12"/>
                        <w:spacing w:before="106"/>
                        <w:ind w:left="80"/>
                      </w:pPr>
                      <w:r>
                        <w:rPr>
                          <w:spacing w:val="-2"/>
                        </w:rPr>
                        <w:t>（https://</w:t>
                      </w:r>
                      <w:r>
                        <w:fldChar w:fldCharType="begin"/>
                      </w:r>
                      <w:r>
                        <w:instrText xml:space="preserve"> HYPERLINK "http://www.gcy.zfcg.gxzf.gov.cn/" \h </w:instrText>
                      </w:r>
                      <w:r>
                        <w:fldChar w:fldCharType="separate"/>
                      </w:r>
                      <w:r>
                        <w:rPr>
                          <w:spacing w:val="-2"/>
                        </w:rPr>
                        <w:t>www.gcy.zfcg.gxzf.gov.cn</w:t>
                      </w:r>
                      <w:r>
                        <w:rPr>
                          <w:spacing w:val="-2"/>
                        </w:rPr>
                        <w:fldChar w:fldCharType="end"/>
                      </w:r>
                      <w:r>
                        <w:rPr>
                          <w:spacing w:val="-2"/>
                        </w:rPr>
                        <w:t>）获取（下载）</w:t>
                      </w:r>
                      <w:r>
                        <w:rPr>
                          <w:spacing w:val="-5"/>
                        </w:rPr>
                        <w:t xml:space="preserve">竞争性磋商文件，并于 </w:t>
                      </w:r>
                      <w:r>
                        <w:rPr>
                          <w:spacing w:val="-2"/>
                        </w:rPr>
                        <w:t>2026</w:t>
                      </w:r>
                      <w:r>
                        <w:rPr>
                          <w:spacing w:val="-22"/>
                        </w:rPr>
                        <w:t xml:space="preserve"> 年</w:t>
                      </w:r>
                      <w:r>
                        <w:rPr>
                          <w:rFonts w:hint="eastAsia"/>
                          <w:spacing w:val="-22"/>
                          <w:lang w:val="en-US" w:eastAsia="zh-CN"/>
                        </w:rPr>
                        <w:t xml:space="preserve"> 8</w:t>
                      </w:r>
                      <w:r>
                        <w:rPr>
                          <w:spacing w:val="-22"/>
                        </w:rPr>
                        <w:t xml:space="preserve"> 月</w:t>
                      </w:r>
                      <w:r>
                        <w:rPr>
                          <w:rFonts w:hint="eastAsia"/>
                          <w:spacing w:val="-22"/>
                          <w:lang w:val="en-US" w:eastAsia="zh-CN"/>
                        </w:rPr>
                        <w:t xml:space="preserve">31 </w:t>
                      </w:r>
                      <w:r>
                        <w:rPr>
                          <w:spacing w:val="-20"/>
                        </w:rPr>
                        <w:t>日</w:t>
                      </w:r>
                    </w:p>
                    <w:p w14:paraId="166BEE37">
                      <w:pPr>
                        <w:pStyle w:val="12"/>
                        <w:spacing w:before="109"/>
                        <w:ind w:left="80"/>
                      </w:pPr>
                      <w:r>
                        <w:rPr>
                          <w:rFonts w:hint="eastAsia"/>
                          <w:spacing w:val="-2"/>
                          <w:lang w:val="en-US" w:eastAsia="zh-CN"/>
                        </w:rPr>
                        <w:t xml:space="preserve"> 13</w:t>
                      </w:r>
                      <w:r>
                        <w:rPr>
                          <w:spacing w:val="-34"/>
                        </w:rPr>
                        <w:t xml:space="preserve">时 </w:t>
                      </w:r>
                      <w:r>
                        <w:rPr>
                          <w:spacing w:val="-2"/>
                        </w:rPr>
                        <w:t>00</w:t>
                      </w:r>
                      <w:r>
                        <w:rPr>
                          <w:spacing w:val="-27"/>
                        </w:rPr>
                        <w:t xml:space="preserve"> 分</w:t>
                      </w:r>
                      <w:r>
                        <w:rPr>
                          <w:spacing w:val="-2"/>
                        </w:rPr>
                        <w:t>（北京时间）前提交（上传）</w:t>
                      </w:r>
                      <w:r>
                        <w:rPr>
                          <w:spacing w:val="-4"/>
                        </w:rPr>
                        <w:t>响应文件。</w:t>
                      </w:r>
                    </w:p>
                  </w:txbxContent>
                </v:textbox>
                <w10:wrap type="topAndBottom"/>
              </v:shape>
            </w:pict>
          </mc:Fallback>
        </mc:AlternateContent>
      </w:r>
    </w:p>
    <w:p w14:paraId="3C5EFFBB">
      <w:pPr>
        <w:pStyle w:val="10"/>
        <w:spacing w:before="250"/>
        <w:ind w:left="1141" w:firstLine="0"/>
        <w:rPr>
          <w:rFonts w:hint="eastAsia" w:ascii="黑体" w:eastAsia="黑体"/>
          <w:color w:val="auto"/>
        </w:rPr>
      </w:pPr>
      <w:r>
        <w:rPr>
          <w:rFonts w:hint="eastAsia" w:ascii="黑体" w:eastAsia="黑体"/>
          <w:color w:val="auto"/>
          <w:spacing w:val="-2"/>
        </w:rPr>
        <w:t>一、项目基本情况</w:t>
      </w:r>
    </w:p>
    <w:p w14:paraId="3EA8AE7A">
      <w:pPr>
        <w:pStyle w:val="12"/>
        <w:spacing w:before="77"/>
        <w:ind w:left="1208"/>
        <w:rPr>
          <w:rFonts w:hint="eastAsia" w:eastAsia="宋体"/>
          <w:color w:val="auto"/>
          <w:lang w:eastAsia="zh-CN"/>
        </w:rPr>
      </w:pPr>
      <w:r>
        <w:rPr>
          <w:color w:val="auto"/>
          <w:spacing w:val="-2"/>
        </w:rPr>
        <w:t>项目编号：</w:t>
      </w:r>
      <w:r>
        <w:rPr>
          <w:rFonts w:hint="eastAsia"/>
          <w:color w:val="auto"/>
          <w:spacing w:val="-2"/>
          <w:lang w:eastAsia="zh-CN"/>
        </w:rPr>
        <w:t>NNZC2026-C2-240129-GXGN</w:t>
      </w:r>
    </w:p>
    <w:p w14:paraId="24BD07B1">
      <w:pPr>
        <w:ind w:firstLine="1260" w:firstLineChars="600"/>
        <w:rPr>
          <w:rFonts w:hint="eastAsia"/>
          <w:color w:val="auto"/>
          <w:sz w:val="21"/>
          <w:szCs w:val="21"/>
          <w:lang w:eastAsia="zh-CN"/>
        </w:rPr>
      </w:pPr>
      <w:r>
        <w:rPr>
          <w:color w:val="auto"/>
          <w:sz w:val="21"/>
          <w:szCs w:val="21"/>
        </w:rPr>
        <w:t>项目名称：</w:t>
      </w:r>
      <w:r>
        <w:rPr>
          <w:rFonts w:hint="eastAsia"/>
          <w:color w:val="auto"/>
          <w:sz w:val="21"/>
          <w:szCs w:val="21"/>
          <w:lang w:eastAsia="zh-CN"/>
        </w:rPr>
        <w:t>里当鸡现代化产业育种孵化厂配套设施项目</w:t>
      </w:r>
    </w:p>
    <w:p w14:paraId="78B903C0">
      <w:pPr>
        <w:pStyle w:val="12"/>
        <w:spacing w:before="87" w:line="316" w:lineRule="auto"/>
        <w:ind w:left="1208" w:right="4326"/>
        <w:rPr>
          <w:color w:val="auto"/>
        </w:rPr>
      </w:pPr>
      <w:r>
        <w:rPr>
          <w:color w:val="auto"/>
          <w:spacing w:val="-2"/>
        </w:rPr>
        <w:t>采购方式：竞争性磋商</w:t>
      </w:r>
    </w:p>
    <w:p w14:paraId="57417A2B">
      <w:pPr>
        <w:pStyle w:val="12"/>
        <w:spacing w:before="0" w:line="316" w:lineRule="auto"/>
        <w:ind w:left="1208" w:right="6425"/>
        <w:rPr>
          <w:rFonts w:hint="eastAsia"/>
          <w:color w:val="auto"/>
          <w:spacing w:val="-2"/>
          <w:lang w:val="en-US" w:eastAsia="zh-CN"/>
        </w:rPr>
      </w:pPr>
      <w:r>
        <w:rPr>
          <w:color w:val="auto"/>
          <w:spacing w:val="-2"/>
        </w:rPr>
        <w:t>预算金额（元）：</w:t>
      </w:r>
      <w:r>
        <w:rPr>
          <w:rFonts w:hint="eastAsia"/>
          <w:color w:val="auto"/>
          <w:spacing w:val="-2"/>
          <w:lang w:val="en-US" w:eastAsia="zh-CN"/>
        </w:rPr>
        <w:t>2032313.95</w:t>
      </w:r>
    </w:p>
    <w:p w14:paraId="1737D9BA">
      <w:pPr>
        <w:ind w:firstLine="220" w:firstLineChars="100"/>
        <w:rPr>
          <w:color w:val="auto"/>
        </w:rPr>
      </w:pPr>
      <w:r>
        <w:rPr>
          <w:rFonts w:hint="eastAsia"/>
          <w:color w:val="auto"/>
          <w:lang w:val="en-US" w:eastAsia="zh-CN"/>
        </w:rPr>
        <w:t xml:space="preserve">      </w:t>
      </w:r>
      <w:r>
        <w:rPr>
          <w:rFonts w:hint="eastAsia" w:ascii="宋体" w:hAnsi="宋体" w:eastAsia="宋体" w:cs="宋体"/>
          <w:color w:val="auto"/>
          <w:spacing w:val="-2"/>
          <w:sz w:val="21"/>
          <w:szCs w:val="21"/>
          <w:lang w:val="en-US" w:eastAsia="zh-CN" w:bidi="ar-SA"/>
        </w:rPr>
        <w:t xml:space="preserve">  </w:t>
      </w:r>
      <w:r>
        <w:rPr>
          <w:rFonts w:hint="eastAsia" w:cs="宋体"/>
          <w:color w:val="auto"/>
          <w:spacing w:val="-2"/>
          <w:sz w:val="21"/>
          <w:szCs w:val="21"/>
          <w:lang w:val="en-US" w:eastAsia="zh-CN" w:bidi="ar-SA"/>
        </w:rPr>
        <w:t xml:space="preserve"> </w:t>
      </w:r>
      <w:r>
        <w:rPr>
          <w:rFonts w:ascii="宋体" w:hAnsi="宋体" w:eastAsia="宋体" w:cs="宋体"/>
          <w:color w:val="auto"/>
          <w:spacing w:val="-2"/>
          <w:sz w:val="21"/>
          <w:szCs w:val="21"/>
          <w:lang w:val="en-US" w:eastAsia="zh-CN" w:bidi="ar-SA"/>
        </w:rPr>
        <w:t>最高限价（如有）：</w:t>
      </w:r>
      <w:r>
        <w:rPr>
          <w:rFonts w:hint="eastAsia" w:ascii="宋体" w:hAnsi="宋体" w:eastAsia="宋体" w:cs="宋体"/>
          <w:color w:val="auto"/>
          <w:spacing w:val="-2"/>
          <w:sz w:val="21"/>
          <w:szCs w:val="21"/>
          <w:lang w:val="en-US" w:eastAsia="zh-CN" w:bidi="ar-SA"/>
        </w:rPr>
        <w:t>2032313.95</w:t>
      </w:r>
    </w:p>
    <w:p w14:paraId="10EED51E">
      <w:pPr>
        <w:pStyle w:val="12"/>
        <w:spacing w:before="0" w:line="272" w:lineRule="exact"/>
        <w:ind w:left="1208"/>
        <w:rPr>
          <w:color w:val="auto"/>
        </w:rPr>
      </w:pPr>
      <w:r>
        <w:rPr>
          <w:color w:val="auto"/>
          <w:spacing w:val="-4"/>
        </w:rPr>
        <w:t>采购需求：</w:t>
      </w:r>
    </w:p>
    <w:p w14:paraId="6288A114">
      <w:pPr>
        <w:keepNext w:val="0"/>
        <w:keepLines w:val="0"/>
        <w:pageBreakBefore w:val="0"/>
        <w:widowControl w:val="0"/>
        <w:kinsoku/>
        <w:wordWrap/>
        <w:overflowPunct/>
        <w:topLinePunct w:val="0"/>
        <w:autoSpaceDE w:val="0"/>
        <w:autoSpaceDN w:val="0"/>
        <w:bidi w:val="0"/>
        <w:adjustRightInd w:val="0"/>
        <w:snapToGrid w:val="0"/>
        <w:spacing w:line="360" w:lineRule="auto"/>
        <w:ind w:left="660" w:leftChars="300" w:firstLine="440" w:firstLineChars="200"/>
        <w:textAlignment w:val="auto"/>
        <w:rPr>
          <w:color w:val="auto"/>
        </w:rPr>
      </w:pPr>
      <w:r>
        <w:rPr>
          <w:color w:val="auto"/>
        </w:rPr>
        <w:t>简要规格描述和项目基本概况介绍、用途：</w:t>
      </w:r>
      <w:r>
        <w:rPr>
          <w:rFonts w:hint="eastAsia"/>
          <w:color w:val="auto"/>
        </w:rPr>
        <w:t>建</w:t>
      </w:r>
      <w:r>
        <w:rPr>
          <w:rFonts w:hint="eastAsia"/>
          <w:color w:val="auto"/>
          <w:lang w:val="en-US" w:eastAsia="zh-CN"/>
        </w:rPr>
        <w:t>设混凝土路面1600平方米及排水等;二层门式刚架轻钢结构3517平方米孵化厂房的电气、给排水等工程建设；建设一层门式刚架轻钢结构附属用房125平方米</w:t>
      </w:r>
      <w:r>
        <w:rPr>
          <w:color w:val="auto"/>
          <w:lang w:val="en-US" w:eastAsia="zh-CN"/>
        </w:rPr>
        <w:t>等，具体内容详见施工图纸及工程量清单。</w:t>
      </w:r>
    </w:p>
    <w:p w14:paraId="057760E1">
      <w:pPr>
        <w:pStyle w:val="12"/>
        <w:spacing w:before="0" w:line="316" w:lineRule="auto"/>
        <w:ind w:left="1208" w:right="1806" w:hanging="420"/>
        <w:jc w:val="both"/>
        <w:rPr>
          <w:color w:val="auto"/>
        </w:rPr>
      </w:pPr>
      <w:r>
        <w:rPr>
          <w:color w:val="auto"/>
        </w:rPr>
        <w:t>合同履行期限：</w:t>
      </w:r>
      <w:r>
        <w:rPr>
          <w:rFonts w:hint="eastAsia"/>
          <w:color w:val="auto"/>
          <w:spacing w:val="-2"/>
          <w:lang w:val="en-US" w:eastAsia="zh-CN"/>
        </w:rPr>
        <w:t>180</w:t>
      </w:r>
      <w:r>
        <w:rPr>
          <w:color w:val="auto"/>
          <w:spacing w:val="-22"/>
        </w:rPr>
        <w:t>天</w:t>
      </w:r>
      <w:r>
        <w:rPr>
          <w:color w:val="auto"/>
        </w:rPr>
        <w:t>（日历天）</w:t>
      </w:r>
    </w:p>
    <w:p w14:paraId="76CC5264">
      <w:pPr>
        <w:pStyle w:val="12"/>
        <w:spacing w:before="0" w:line="272" w:lineRule="exact"/>
        <w:ind w:left="1208"/>
        <w:rPr>
          <w:color w:val="auto"/>
        </w:rPr>
      </w:pPr>
      <w:r>
        <w:rPr>
          <w:color w:val="auto"/>
          <w:spacing w:val="-2"/>
        </w:rPr>
        <w:t>本项目（否）</w:t>
      </w:r>
      <w:r>
        <w:rPr>
          <w:color w:val="auto"/>
          <w:spacing w:val="-4"/>
        </w:rPr>
        <w:t>接受联合体。</w:t>
      </w:r>
    </w:p>
    <w:p w14:paraId="3DB78C22">
      <w:pPr>
        <w:pStyle w:val="10"/>
        <w:spacing w:before="58"/>
        <w:ind w:left="1141" w:firstLine="0"/>
        <w:rPr>
          <w:rFonts w:hint="eastAsia" w:ascii="黑体" w:eastAsia="黑体"/>
          <w:color w:val="auto"/>
        </w:rPr>
      </w:pPr>
      <w:r>
        <w:rPr>
          <w:rFonts w:hint="eastAsia" w:ascii="黑体" w:eastAsia="黑体"/>
          <w:color w:val="auto"/>
          <w:spacing w:val="-1"/>
        </w:rPr>
        <w:t>二、申请人的资格条件：</w:t>
      </w:r>
    </w:p>
    <w:p w14:paraId="30C1F208">
      <w:pPr>
        <w:pStyle w:val="21"/>
        <w:keepNext w:val="0"/>
        <w:keepLines w:val="0"/>
        <w:pageBreakBefore w:val="0"/>
        <w:widowControl w:val="0"/>
        <w:numPr>
          <w:ilvl w:val="0"/>
          <w:numId w:val="1"/>
        </w:numPr>
        <w:tabs>
          <w:tab w:val="left" w:pos="1416"/>
        </w:tabs>
        <w:kinsoku/>
        <w:wordWrap/>
        <w:overflowPunct/>
        <w:topLinePunct w:val="0"/>
        <w:autoSpaceDE w:val="0"/>
        <w:autoSpaceDN w:val="0"/>
        <w:bidi w:val="0"/>
        <w:adjustRightInd/>
        <w:snapToGrid/>
        <w:spacing w:before="76" w:after="0" w:line="30" w:lineRule="atLeast"/>
        <w:ind w:left="1416" w:right="0" w:hanging="208"/>
        <w:jc w:val="left"/>
        <w:textAlignment w:val="auto"/>
        <w:rPr>
          <w:color w:val="auto"/>
          <w:sz w:val="21"/>
        </w:rPr>
      </w:pPr>
      <w:r>
        <w:rPr>
          <w:color w:val="auto"/>
          <w:spacing w:val="-3"/>
          <w:sz w:val="21"/>
        </w:rPr>
        <w:t>满足《中华人民共和国政府采购法》第二十二条规定；</w:t>
      </w:r>
    </w:p>
    <w:p w14:paraId="73A34AF7">
      <w:pPr>
        <w:pStyle w:val="21"/>
        <w:keepNext w:val="0"/>
        <w:keepLines w:val="0"/>
        <w:pageBreakBefore w:val="0"/>
        <w:widowControl w:val="0"/>
        <w:numPr>
          <w:ilvl w:val="0"/>
          <w:numId w:val="1"/>
        </w:numPr>
        <w:tabs>
          <w:tab w:val="left" w:pos="1416"/>
        </w:tabs>
        <w:kinsoku/>
        <w:wordWrap/>
        <w:overflowPunct/>
        <w:topLinePunct w:val="0"/>
        <w:autoSpaceDE w:val="0"/>
        <w:autoSpaceDN w:val="0"/>
        <w:bidi w:val="0"/>
        <w:adjustRightInd/>
        <w:snapToGrid/>
        <w:spacing w:before="76" w:after="0" w:line="30" w:lineRule="atLeast"/>
        <w:ind w:left="1416" w:right="0" w:hanging="208"/>
        <w:jc w:val="left"/>
        <w:textAlignment w:val="auto"/>
        <w:rPr>
          <w:color w:val="auto"/>
          <w:spacing w:val="-3"/>
          <w:sz w:val="21"/>
        </w:rPr>
      </w:pPr>
      <w:r>
        <w:rPr>
          <w:color w:val="auto"/>
          <w:spacing w:val="-3"/>
          <w:sz w:val="21"/>
        </w:rPr>
        <w:t>落实政府采购政策需满足的资格要求：本项目属于专门面向小微企业采购的项目，施工单位应为小微企业或者监狱企业或者残疾人福利性单位；</w:t>
      </w:r>
    </w:p>
    <w:p w14:paraId="6A54C37D">
      <w:pPr>
        <w:pStyle w:val="21"/>
        <w:keepNext w:val="0"/>
        <w:keepLines w:val="0"/>
        <w:pageBreakBefore w:val="0"/>
        <w:widowControl w:val="0"/>
        <w:numPr>
          <w:ilvl w:val="0"/>
          <w:numId w:val="1"/>
        </w:numPr>
        <w:tabs>
          <w:tab w:val="left" w:pos="1416"/>
        </w:tabs>
        <w:kinsoku/>
        <w:wordWrap/>
        <w:overflowPunct/>
        <w:topLinePunct w:val="0"/>
        <w:autoSpaceDE w:val="0"/>
        <w:autoSpaceDN w:val="0"/>
        <w:bidi w:val="0"/>
        <w:adjustRightInd/>
        <w:snapToGrid/>
        <w:spacing w:before="0" w:after="0" w:line="30" w:lineRule="atLeast"/>
        <w:ind w:left="1416" w:right="0" w:hanging="208"/>
        <w:jc w:val="left"/>
        <w:textAlignment w:val="auto"/>
        <w:rPr>
          <w:color w:val="auto"/>
          <w:sz w:val="21"/>
        </w:rPr>
      </w:pPr>
      <w:r>
        <w:rPr>
          <w:color w:val="auto"/>
          <w:spacing w:val="-3"/>
          <w:sz w:val="21"/>
        </w:rPr>
        <w:t>本项目的特定资格要求：</w:t>
      </w:r>
    </w:p>
    <w:p w14:paraId="4DF7A282">
      <w:pPr>
        <w:pStyle w:val="21"/>
        <w:keepNext w:val="0"/>
        <w:keepLines w:val="0"/>
        <w:pageBreakBefore w:val="0"/>
        <w:widowControl w:val="0"/>
        <w:numPr>
          <w:ilvl w:val="1"/>
          <w:numId w:val="1"/>
        </w:numPr>
        <w:tabs>
          <w:tab w:val="left" w:pos="1574"/>
        </w:tabs>
        <w:kinsoku/>
        <w:wordWrap/>
        <w:overflowPunct/>
        <w:topLinePunct w:val="0"/>
        <w:autoSpaceDE w:val="0"/>
        <w:autoSpaceDN w:val="0"/>
        <w:bidi w:val="0"/>
        <w:adjustRightInd/>
        <w:snapToGrid/>
        <w:spacing w:before="87" w:after="0" w:line="30" w:lineRule="atLeast"/>
        <w:ind w:left="788" w:right="791" w:firstLine="420"/>
        <w:jc w:val="both"/>
        <w:textAlignment w:val="auto"/>
        <w:rPr>
          <w:color w:val="auto"/>
          <w:sz w:val="21"/>
        </w:rPr>
      </w:pPr>
      <w:r>
        <w:rPr>
          <w:color w:val="auto"/>
          <w:spacing w:val="-2"/>
          <w:sz w:val="21"/>
        </w:rPr>
        <w:t>供应商具备建筑工程施工总承包三级以上（含三级）资质的施工企业，具有省级及以上建设行政主管部门颁发的安全生产许可证；</w:t>
      </w:r>
    </w:p>
    <w:p w14:paraId="767090CE">
      <w:pPr>
        <w:pStyle w:val="21"/>
        <w:keepNext w:val="0"/>
        <w:keepLines w:val="0"/>
        <w:pageBreakBefore w:val="0"/>
        <w:widowControl w:val="0"/>
        <w:numPr>
          <w:ilvl w:val="1"/>
          <w:numId w:val="1"/>
        </w:numPr>
        <w:tabs>
          <w:tab w:val="left" w:pos="1574"/>
        </w:tabs>
        <w:kinsoku/>
        <w:wordWrap/>
        <w:overflowPunct/>
        <w:topLinePunct w:val="0"/>
        <w:autoSpaceDE w:val="0"/>
        <w:autoSpaceDN w:val="0"/>
        <w:bidi w:val="0"/>
        <w:adjustRightInd/>
        <w:snapToGrid/>
        <w:spacing w:before="0" w:after="0" w:line="30" w:lineRule="atLeast"/>
        <w:ind w:left="788" w:right="791" w:firstLine="420"/>
        <w:jc w:val="both"/>
        <w:textAlignment w:val="auto"/>
        <w:rPr>
          <w:color w:val="auto"/>
          <w:sz w:val="21"/>
        </w:rPr>
      </w:pPr>
      <w:r>
        <w:rPr>
          <w:color w:val="auto"/>
          <w:spacing w:val="-2"/>
          <w:sz w:val="21"/>
        </w:rPr>
        <w:t>拟投入本项目的项目经理须具备有效的建筑工程专业二级以上（含二级）注册建造师证书，并获得有效的安全生产考核合格证（B 类），且为本单位在职职工并未在其他在施建设工程项目中任职；</w:t>
      </w:r>
    </w:p>
    <w:p w14:paraId="79BCF8C2">
      <w:pPr>
        <w:pStyle w:val="21"/>
        <w:keepNext w:val="0"/>
        <w:keepLines w:val="0"/>
        <w:pageBreakBefore w:val="0"/>
        <w:widowControl w:val="0"/>
        <w:numPr>
          <w:ilvl w:val="1"/>
          <w:numId w:val="1"/>
        </w:numPr>
        <w:tabs>
          <w:tab w:val="left" w:pos="1574"/>
        </w:tabs>
        <w:kinsoku/>
        <w:wordWrap/>
        <w:overflowPunct/>
        <w:topLinePunct w:val="0"/>
        <w:autoSpaceDE w:val="0"/>
        <w:autoSpaceDN w:val="0"/>
        <w:bidi w:val="0"/>
        <w:adjustRightInd/>
        <w:snapToGrid/>
        <w:spacing w:before="0" w:after="0" w:line="30" w:lineRule="atLeast"/>
        <w:ind w:left="1574" w:right="0" w:hanging="366"/>
        <w:jc w:val="both"/>
        <w:textAlignment w:val="auto"/>
        <w:rPr>
          <w:color w:val="auto"/>
          <w:sz w:val="21"/>
        </w:rPr>
      </w:pPr>
      <w:r>
        <w:rPr>
          <w:color w:val="auto"/>
          <w:spacing w:val="-2"/>
          <w:sz w:val="21"/>
        </w:rPr>
        <w:t>拟投入本项目的专职安全员具备安全生产考核合格证书（C</w:t>
      </w:r>
      <w:r>
        <w:rPr>
          <w:color w:val="auto"/>
          <w:spacing w:val="-22"/>
          <w:sz w:val="21"/>
        </w:rPr>
        <w:t xml:space="preserve"> 类</w:t>
      </w:r>
      <w:r>
        <w:rPr>
          <w:color w:val="auto"/>
          <w:spacing w:val="-2"/>
          <w:sz w:val="21"/>
        </w:rPr>
        <w:t>）</w:t>
      </w:r>
      <w:r>
        <w:rPr>
          <w:color w:val="auto"/>
          <w:spacing w:val="-10"/>
          <w:sz w:val="21"/>
        </w:rPr>
        <w:t>。</w:t>
      </w:r>
    </w:p>
    <w:p w14:paraId="554DEEDD">
      <w:pPr>
        <w:pStyle w:val="21"/>
        <w:keepNext w:val="0"/>
        <w:keepLines w:val="0"/>
        <w:pageBreakBefore w:val="0"/>
        <w:widowControl w:val="0"/>
        <w:numPr>
          <w:ilvl w:val="0"/>
          <w:numId w:val="0"/>
        </w:numPr>
        <w:tabs>
          <w:tab w:val="left" w:pos="1574"/>
        </w:tabs>
        <w:kinsoku/>
        <w:wordWrap/>
        <w:overflowPunct/>
        <w:topLinePunct w:val="0"/>
        <w:autoSpaceDE w:val="0"/>
        <w:autoSpaceDN w:val="0"/>
        <w:bidi w:val="0"/>
        <w:adjustRightInd/>
        <w:snapToGrid/>
        <w:spacing w:before="0" w:after="0" w:line="30" w:lineRule="atLeast"/>
        <w:ind w:left="1208" w:leftChars="0" w:right="0" w:rightChars="0"/>
        <w:jc w:val="both"/>
        <w:textAlignment w:val="auto"/>
        <w:rPr>
          <w:rFonts w:hint="eastAsia"/>
          <w:color w:val="auto"/>
          <w:sz w:val="21"/>
        </w:rPr>
      </w:pPr>
      <w:r>
        <w:rPr>
          <w:rFonts w:hint="eastAsia"/>
          <w:color w:val="auto"/>
          <w:sz w:val="21"/>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BE251F5">
      <w:pPr>
        <w:pStyle w:val="21"/>
        <w:keepNext w:val="0"/>
        <w:keepLines w:val="0"/>
        <w:pageBreakBefore w:val="0"/>
        <w:widowControl w:val="0"/>
        <w:numPr>
          <w:ilvl w:val="0"/>
          <w:numId w:val="0"/>
        </w:numPr>
        <w:tabs>
          <w:tab w:val="left" w:pos="1574"/>
        </w:tabs>
        <w:kinsoku/>
        <w:wordWrap/>
        <w:overflowPunct/>
        <w:topLinePunct w:val="0"/>
        <w:autoSpaceDE w:val="0"/>
        <w:autoSpaceDN w:val="0"/>
        <w:bidi w:val="0"/>
        <w:adjustRightInd/>
        <w:snapToGrid/>
        <w:spacing w:before="0" w:after="0" w:line="30" w:lineRule="atLeast"/>
        <w:ind w:left="1208" w:leftChars="0" w:right="0" w:rightChars="0"/>
        <w:jc w:val="both"/>
        <w:textAlignment w:val="auto"/>
        <w:rPr>
          <w:color w:val="auto"/>
          <w:sz w:val="21"/>
        </w:rPr>
      </w:pPr>
      <w:r>
        <w:rPr>
          <w:rFonts w:hint="eastAsia"/>
          <w:color w:val="auto"/>
          <w:sz w:val="21"/>
        </w:rPr>
        <w:t>5.对在“信用中国”网站(www.creditchina.gov.cn)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1B5B4DFA">
      <w:pPr>
        <w:pStyle w:val="10"/>
        <w:spacing w:before="58"/>
        <w:ind w:left="1268" w:firstLine="0"/>
        <w:rPr>
          <w:rFonts w:hint="eastAsia" w:ascii="黑体" w:eastAsia="黑体"/>
          <w:color w:val="auto"/>
        </w:rPr>
      </w:pPr>
      <w:r>
        <w:rPr>
          <w:rFonts w:hint="eastAsia" w:ascii="黑体" w:eastAsia="黑体"/>
          <w:color w:val="auto"/>
          <w:spacing w:val="-1"/>
        </w:rPr>
        <w:t>三、获取竞争性磋商文件</w:t>
      </w:r>
    </w:p>
    <w:p w14:paraId="7023EB4D">
      <w:pPr>
        <w:pStyle w:val="12"/>
        <w:spacing w:before="76" w:line="316" w:lineRule="auto"/>
        <w:ind w:right="791" w:firstLine="420"/>
        <w:rPr>
          <w:color w:val="auto"/>
        </w:rPr>
      </w:pPr>
      <w:r>
        <w:rPr>
          <w:color w:val="auto"/>
          <w:spacing w:val="-2"/>
        </w:rPr>
        <w:t>时间：</w:t>
      </w:r>
      <w:r>
        <w:rPr>
          <w:color w:val="auto"/>
          <w:spacing w:val="-2"/>
          <w:u w:val="single"/>
        </w:rPr>
        <w:t>2026</w:t>
      </w:r>
      <w:r>
        <w:rPr>
          <w:color w:val="auto"/>
          <w:spacing w:val="-37"/>
          <w:u w:val="single"/>
        </w:rPr>
        <w:t xml:space="preserve"> 年 </w:t>
      </w:r>
      <w:r>
        <w:rPr>
          <w:rFonts w:hint="eastAsia"/>
          <w:color w:val="auto"/>
          <w:spacing w:val="-37"/>
          <w:u w:val="single"/>
          <w:lang w:val="en-US" w:eastAsia="zh-CN"/>
        </w:rPr>
        <w:t>8</w:t>
      </w:r>
      <w:r>
        <w:rPr>
          <w:color w:val="auto"/>
          <w:spacing w:val="-38"/>
          <w:u w:val="single"/>
        </w:rPr>
        <w:t xml:space="preserve"> 月</w:t>
      </w:r>
      <w:r>
        <w:rPr>
          <w:rFonts w:hint="eastAsia"/>
          <w:color w:val="auto"/>
          <w:spacing w:val="-38"/>
          <w:u w:val="single"/>
          <w:lang w:val="en-US" w:eastAsia="zh-CN"/>
        </w:rPr>
        <w:t xml:space="preserve"> 18</w:t>
      </w:r>
      <w:r>
        <w:rPr>
          <w:color w:val="auto"/>
          <w:spacing w:val="-30"/>
          <w:u w:val="none"/>
        </w:rPr>
        <w:t xml:space="preserve"> 日至 </w:t>
      </w:r>
      <w:r>
        <w:rPr>
          <w:color w:val="auto"/>
          <w:spacing w:val="-2"/>
          <w:u w:val="single"/>
        </w:rPr>
        <w:t>2026</w:t>
      </w:r>
      <w:r>
        <w:rPr>
          <w:color w:val="auto"/>
          <w:spacing w:val="-38"/>
          <w:u w:val="single"/>
        </w:rPr>
        <w:t xml:space="preserve"> 年 </w:t>
      </w:r>
      <w:r>
        <w:rPr>
          <w:rFonts w:hint="eastAsia"/>
          <w:color w:val="auto"/>
          <w:spacing w:val="-38"/>
          <w:u w:val="single"/>
          <w:lang w:val="en-US" w:eastAsia="zh-CN"/>
        </w:rPr>
        <w:t>8</w:t>
      </w:r>
      <w:r>
        <w:rPr>
          <w:rFonts w:hint="eastAsia"/>
          <w:color w:val="auto"/>
          <w:spacing w:val="-2"/>
          <w:u w:val="single"/>
          <w:lang w:val="en-US" w:eastAsia="zh-CN"/>
        </w:rPr>
        <w:t xml:space="preserve"> </w:t>
      </w:r>
      <w:r>
        <w:rPr>
          <w:color w:val="auto"/>
          <w:spacing w:val="-38"/>
          <w:u w:val="single"/>
        </w:rPr>
        <w:t>月</w:t>
      </w:r>
      <w:r>
        <w:rPr>
          <w:rFonts w:hint="eastAsia"/>
          <w:color w:val="auto"/>
          <w:spacing w:val="-38"/>
          <w:u w:val="single"/>
          <w:lang w:val="en-US" w:eastAsia="zh-CN"/>
        </w:rPr>
        <w:t xml:space="preserve">31 </w:t>
      </w:r>
      <w:r>
        <w:rPr>
          <w:color w:val="auto"/>
          <w:spacing w:val="-17"/>
          <w:u w:val="none"/>
        </w:rPr>
        <w:t xml:space="preserve">日，每天上午 </w:t>
      </w:r>
      <w:r>
        <w:rPr>
          <w:color w:val="auto"/>
          <w:spacing w:val="-2"/>
          <w:u w:val="none"/>
        </w:rPr>
        <w:t>8</w:t>
      </w:r>
      <w:r>
        <w:rPr>
          <w:color w:val="auto"/>
          <w:spacing w:val="-30"/>
          <w:u w:val="none"/>
        </w:rPr>
        <w:t xml:space="preserve"> 时至 </w:t>
      </w:r>
      <w:r>
        <w:rPr>
          <w:color w:val="auto"/>
          <w:spacing w:val="-2"/>
          <w:u w:val="none"/>
        </w:rPr>
        <w:t>12</w:t>
      </w:r>
      <w:r>
        <w:rPr>
          <w:color w:val="auto"/>
          <w:spacing w:val="-21"/>
          <w:u w:val="none"/>
        </w:rPr>
        <w:t xml:space="preserve"> 时，下午 </w:t>
      </w:r>
      <w:r>
        <w:rPr>
          <w:color w:val="auto"/>
          <w:spacing w:val="-2"/>
          <w:u w:val="none"/>
        </w:rPr>
        <w:t>3</w:t>
      </w:r>
      <w:r>
        <w:rPr>
          <w:color w:val="auto"/>
          <w:spacing w:val="-29"/>
          <w:u w:val="none"/>
        </w:rPr>
        <w:t xml:space="preserve"> 时至 </w:t>
      </w:r>
      <w:r>
        <w:rPr>
          <w:color w:val="auto"/>
          <w:spacing w:val="-2"/>
          <w:u w:val="none"/>
        </w:rPr>
        <w:t>6</w:t>
      </w:r>
      <w:r>
        <w:rPr>
          <w:color w:val="auto"/>
          <w:spacing w:val="-30"/>
          <w:u w:val="none"/>
        </w:rPr>
        <w:t xml:space="preserve"> 时</w:t>
      </w:r>
      <w:r>
        <w:rPr>
          <w:color w:val="auto"/>
          <w:spacing w:val="-2"/>
          <w:u w:val="none"/>
        </w:rPr>
        <w:t>（北京时间，法定节假日除外）</w:t>
      </w:r>
    </w:p>
    <w:p w14:paraId="09BB03B6">
      <w:pPr>
        <w:pStyle w:val="12"/>
        <w:spacing w:before="0" w:line="272" w:lineRule="exact"/>
        <w:ind w:left="1208"/>
        <w:rPr>
          <w:color w:val="auto"/>
        </w:rPr>
      </w:pPr>
      <w:r>
        <w:rPr>
          <w:color w:val="auto"/>
          <w:spacing w:val="-2"/>
        </w:rPr>
        <w:t>地点：广西政府采购云平台（https://</w:t>
      </w:r>
      <w:r>
        <w:rPr>
          <w:color w:val="auto"/>
        </w:rPr>
        <w:fldChar w:fldCharType="begin"/>
      </w:r>
      <w:r>
        <w:rPr>
          <w:color w:val="auto"/>
        </w:rPr>
        <w:instrText xml:space="preserve"> HYPERLINK "http://www.gcy.zfcg.gxzf.gov.cn/" \h </w:instrText>
      </w:r>
      <w:r>
        <w:rPr>
          <w:color w:val="auto"/>
        </w:rPr>
        <w:fldChar w:fldCharType="separate"/>
      </w:r>
      <w:r>
        <w:rPr>
          <w:color w:val="auto"/>
          <w:spacing w:val="-2"/>
        </w:rPr>
        <w:t>www.gcy.zfcg.gxzf.gov.cn</w:t>
      </w:r>
      <w:r>
        <w:rPr>
          <w:color w:val="auto"/>
          <w:spacing w:val="-2"/>
        </w:rPr>
        <w:fldChar w:fldCharType="end"/>
      </w:r>
      <w:r>
        <w:rPr>
          <w:color w:val="auto"/>
          <w:spacing w:val="-2"/>
        </w:rPr>
        <w:t>）</w:t>
      </w:r>
    </w:p>
    <w:p w14:paraId="50C26BC2">
      <w:pPr>
        <w:pStyle w:val="12"/>
        <w:spacing w:before="87"/>
        <w:ind w:left="1208"/>
        <w:rPr>
          <w:color w:val="auto"/>
        </w:rPr>
      </w:pPr>
      <w:r>
        <w:rPr>
          <w:color w:val="auto"/>
          <w:spacing w:val="-2"/>
        </w:rPr>
        <w:t xml:space="preserve">方式：网上下载。本项目不提供纸质文件，潜在供应商需使用账号登录或者使用 </w:t>
      </w:r>
      <w:r>
        <w:rPr>
          <w:color w:val="auto"/>
        </w:rPr>
        <w:t>CA</w:t>
      </w:r>
      <w:r>
        <w:rPr>
          <w:color w:val="auto"/>
          <w:spacing w:val="-13"/>
        </w:rPr>
        <w:t xml:space="preserve"> 登录广</w:t>
      </w:r>
    </w:p>
    <w:p w14:paraId="39D12B38">
      <w:pPr>
        <w:pStyle w:val="12"/>
        <w:spacing w:before="37" w:line="316" w:lineRule="auto"/>
        <w:ind w:right="791"/>
        <w:jc w:val="both"/>
        <w:rPr>
          <w:color w:val="auto"/>
        </w:rPr>
      </w:pPr>
      <w:r>
        <w:rPr>
          <w:color w:val="auto"/>
          <w:spacing w:val="2"/>
          <w:w w:val="99"/>
        </w:rPr>
        <w:t>西政府采购云平台（</w:t>
      </w:r>
      <w:r>
        <w:rPr>
          <w:color w:val="auto"/>
          <w:spacing w:val="1"/>
          <w:w w:val="99"/>
        </w:rPr>
        <w:t>htt</w:t>
      </w:r>
      <w:r>
        <w:rPr>
          <w:color w:val="auto"/>
          <w:spacing w:val="-2"/>
          <w:w w:val="99"/>
        </w:rPr>
        <w:t>p</w:t>
      </w:r>
      <w:r>
        <w:rPr>
          <w:color w:val="auto"/>
          <w:spacing w:val="1"/>
          <w:w w:val="99"/>
        </w:rPr>
        <w:t>s:/</w:t>
      </w:r>
      <w:r>
        <w:rPr>
          <w:color w:val="auto"/>
          <w:spacing w:val="-2"/>
          <w:w w:val="99"/>
        </w:rPr>
        <w:t>/</w:t>
      </w:r>
      <w:r>
        <w:rPr>
          <w:color w:val="auto"/>
        </w:rPr>
        <w:fldChar w:fldCharType="begin"/>
      </w:r>
      <w:r>
        <w:rPr>
          <w:color w:val="auto"/>
        </w:rPr>
        <w:instrText xml:space="preserve"> HYPERLINK "http://www.gcy.zfcg.gxzf.gov.cn/" \h </w:instrText>
      </w:r>
      <w:r>
        <w:rPr>
          <w:color w:val="auto"/>
        </w:rPr>
        <w:fldChar w:fldCharType="separate"/>
      </w:r>
      <w:r>
        <w:rPr>
          <w:color w:val="auto"/>
          <w:spacing w:val="1"/>
          <w:w w:val="99"/>
        </w:rPr>
        <w:t>www</w:t>
      </w:r>
      <w:r>
        <w:rPr>
          <w:color w:val="auto"/>
          <w:spacing w:val="-2"/>
          <w:w w:val="99"/>
        </w:rPr>
        <w:t>.</w:t>
      </w:r>
      <w:r>
        <w:rPr>
          <w:color w:val="auto"/>
          <w:spacing w:val="1"/>
          <w:w w:val="99"/>
        </w:rPr>
        <w:t>gcy</w:t>
      </w:r>
      <w:r>
        <w:rPr>
          <w:color w:val="auto"/>
          <w:spacing w:val="-2"/>
          <w:w w:val="99"/>
        </w:rPr>
        <w:t>.</w:t>
      </w:r>
      <w:r>
        <w:rPr>
          <w:color w:val="auto"/>
          <w:spacing w:val="1"/>
          <w:w w:val="99"/>
        </w:rPr>
        <w:t>zfc</w:t>
      </w:r>
      <w:r>
        <w:rPr>
          <w:color w:val="auto"/>
          <w:spacing w:val="-2"/>
          <w:w w:val="99"/>
        </w:rPr>
        <w:t>g</w:t>
      </w:r>
      <w:r>
        <w:rPr>
          <w:color w:val="auto"/>
          <w:spacing w:val="1"/>
          <w:w w:val="99"/>
        </w:rPr>
        <w:t>.gx</w:t>
      </w:r>
      <w:r>
        <w:rPr>
          <w:color w:val="auto"/>
          <w:spacing w:val="-2"/>
          <w:w w:val="99"/>
        </w:rPr>
        <w:t>z</w:t>
      </w:r>
      <w:r>
        <w:rPr>
          <w:color w:val="auto"/>
          <w:spacing w:val="1"/>
          <w:w w:val="99"/>
        </w:rPr>
        <w:t>f.g</w:t>
      </w:r>
      <w:r>
        <w:rPr>
          <w:color w:val="auto"/>
          <w:spacing w:val="-2"/>
          <w:w w:val="99"/>
        </w:rPr>
        <w:t>o</w:t>
      </w:r>
      <w:r>
        <w:rPr>
          <w:color w:val="auto"/>
          <w:spacing w:val="1"/>
          <w:w w:val="99"/>
        </w:rPr>
        <w:t>v.cn</w:t>
      </w:r>
      <w:r>
        <w:rPr>
          <w:color w:val="auto"/>
          <w:spacing w:val="1"/>
          <w:w w:val="99"/>
        </w:rPr>
        <w:fldChar w:fldCharType="end"/>
      </w:r>
      <w:r>
        <w:rPr>
          <w:color w:val="auto"/>
          <w:spacing w:val="4"/>
          <w:w w:val="99"/>
        </w:rPr>
        <w:t>）</w:t>
      </w:r>
      <w:r>
        <w:rPr>
          <w:color w:val="auto"/>
          <w:spacing w:val="1"/>
          <w:w w:val="99"/>
        </w:rPr>
        <w:t>-进入“项目采购”应用，在获取采</w:t>
      </w:r>
      <w:r>
        <w:rPr>
          <w:color w:val="auto"/>
          <w:w w:val="99"/>
        </w:rPr>
        <w:t>购文件-待获取列表中选择项目，获取竞争性磋商文件。电子响应文件制作需要基于广西政府采</w:t>
      </w:r>
      <w:r>
        <w:rPr>
          <w:color w:val="auto"/>
          <w:spacing w:val="3"/>
          <w:w w:val="99"/>
        </w:rPr>
        <w:t>购云平台获取的磋商文件编制，通过其他方式获取磋商文件的，将有可能导致供应商无法在广</w:t>
      </w:r>
      <w:r>
        <w:rPr>
          <w:color w:val="auto"/>
          <w:spacing w:val="-1"/>
          <w:w w:val="99"/>
        </w:rPr>
        <w:t>西政府采购云平台编制及上传响应文件。</w:t>
      </w:r>
    </w:p>
    <w:p w14:paraId="50C11252">
      <w:pPr>
        <w:pStyle w:val="12"/>
        <w:spacing w:before="0" w:line="272" w:lineRule="exact"/>
        <w:ind w:left="1208"/>
        <w:jc w:val="both"/>
        <w:rPr>
          <w:color w:val="auto"/>
        </w:rPr>
      </w:pPr>
      <w:r>
        <w:rPr>
          <w:color w:val="auto"/>
          <w:spacing w:val="-2"/>
        </w:rPr>
        <w:t>售价：</w:t>
      </w:r>
      <w:r>
        <w:rPr>
          <w:color w:val="auto"/>
          <w:spacing w:val="-2"/>
          <w:u w:val="single"/>
        </w:rPr>
        <w:t>0</w:t>
      </w:r>
      <w:r>
        <w:rPr>
          <w:color w:val="auto"/>
          <w:spacing w:val="-31"/>
          <w:u w:val="none"/>
        </w:rPr>
        <w:t xml:space="preserve"> 元</w:t>
      </w:r>
    </w:p>
    <w:p w14:paraId="691350CD">
      <w:pPr>
        <w:pStyle w:val="10"/>
        <w:spacing w:before="56"/>
        <w:ind w:left="1141" w:firstLine="0"/>
        <w:rPr>
          <w:rFonts w:hint="eastAsia" w:ascii="黑体" w:eastAsia="黑体"/>
          <w:color w:val="auto"/>
        </w:rPr>
      </w:pPr>
      <w:r>
        <w:rPr>
          <w:rFonts w:hint="eastAsia" w:ascii="黑体" w:eastAsia="黑体"/>
          <w:color w:val="auto"/>
          <w:spacing w:val="-2"/>
        </w:rPr>
        <w:t>四、响应文件提交</w:t>
      </w:r>
    </w:p>
    <w:p w14:paraId="733EE40B">
      <w:pPr>
        <w:pStyle w:val="12"/>
        <w:spacing w:before="79"/>
        <w:ind w:left="1208"/>
        <w:rPr>
          <w:color w:val="auto"/>
        </w:rPr>
      </w:pPr>
      <w:r>
        <w:rPr>
          <w:color w:val="auto"/>
          <w:spacing w:val="-2"/>
        </w:rPr>
        <w:t>截止时间：</w:t>
      </w:r>
      <w:r>
        <w:rPr>
          <w:color w:val="auto"/>
          <w:spacing w:val="-2"/>
          <w:u w:val="single"/>
        </w:rPr>
        <w:t>2026</w:t>
      </w:r>
      <w:r>
        <w:rPr>
          <w:color w:val="auto"/>
          <w:spacing w:val="-36"/>
          <w:u w:val="single"/>
        </w:rPr>
        <w:t xml:space="preserve"> 年 </w:t>
      </w:r>
      <w:r>
        <w:rPr>
          <w:rFonts w:hint="eastAsia"/>
          <w:color w:val="auto"/>
          <w:spacing w:val="-2"/>
          <w:u w:val="single"/>
          <w:lang w:val="en-US" w:eastAsia="zh-CN"/>
        </w:rPr>
        <w:t>8</w:t>
      </w:r>
      <w:r>
        <w:rPr>
          <w:color w:val="auto"/>
          <w:spacing w:val="-35"/>
          <w:u w:val="single"/>
        </w:rPr>
        <w:t xml:space="preserve"> 月 </w:t>
      </w:r>
      <w:r>
        <w:rPr>
          <w:rFonts w:hint="eastAsia"/>
          <w:color w:val="auto"/>
          <w:spacing w:val="-2"/>
          <w:u w:val="single"/>
          <w:lang w:val="en-US" w:eastAsia="zh-CN"/>
        </w:rPr>
        <w:t>31</w:t>
      </w:r>
      <w:r>
        <w:rPr>
          <w:color w:val="auto"/>
          <w:spacing w:val="-35"/>
          <w:u w:val="single"/>
        </w:rPr>
        <w:t xml:space="preserve"> 日 </w:t>
      </w:r>
      <w:r>
        <w:rPr>
          <w:rFonts w:hint="eastAsia"/>
          <w:color w:val="auto"/>
          <w:spacing w:val="-2"/>
          <w:u w:val="single"/>
          <w:lang w:val="en-US" w:eastAsia="zh-CN"/>
        </w:rPr>
        <w:t xml:space="preserve"> 13</w:t>
      </w:r>
      <w:r>
        <w:rPr>
          <w:color w:val="auto"/>
          <w:spacing w:val="-36"/>
          <w:u w:val="single"/>
        </w:rPr>
        <w:t xml:space="preserve"> 时 </w:t>
      </w:r>
      <w:r>
        <w:rPr>
          <w:color w:val="auto"/>
          <w:spacing w:val="-2"/>
          <w:u w:val="single"/>
        </w:rPr>
        <w:t>00</w:t>
      </w:r>
      <w:r>
        <w:rPr>
          <w:color w:val="auto"/>
          <w:spacing w:val="-26"/>
          <w:u w:val="single"/>
        </w:rPr>
        <w:t xml:space="preserve"> 分</w:t>
      </w:r>
      <w:r>
        <w:rPr>
          <w:color w:val="auto"/>
          <w:spacing w:val="-2"/>
          <w:u w:val="none"/>
        </w:rPr>
        <w:t>（北京时间</w:t>
      </w:r>
      <w:r>
        <w:rPr>
          <w:color w:val="auto"/>
          <w:spacing w:val="-10"/>
          <w:u w:val="none"/>
        </w:rPr>
        <w:t>）</w:t>
      </w:r>
    </w:p>
    <w:p w14:paraId="64033C55">
      <w:pPr>
        <w:pStyle w:val="12"/>
        <w:spacing w:before="87"/>
        <w:ind w:left="1208"/>
        <w:rPr>
          <w:color w:val="auto"/>
        </w:rPr>
      </w:pPr>
      <w:r>
        <w:rPr>
          <w:color w:val="auto"/>
          <w:spacing w:val="-2"/>
        </w:rPr>
        <w:t>地点：广西政府采购云平台（https://</w:t>
      </w:r>
      <w:r>
        <w:rPr>
          <w:color w:val="auto"/>
        </w:rPr>
        <w:fldChar w:fldCharType="begin"/>
      </w:r>
      <w:r>
        <w:rPr>
          <w:color w:val="auto"/>
        </w:rPr>
        <w:instrText xml:space="preserve"> HYPERLINK "http://www.gcy.zfcg.gxzf.gov.cn/" \h </w:instrText>
      </w:r>
      <w:r>
        <w:rPr>
          <w:color w:val="auto"/>
        </w:rPr>
        <w:fldChar w:fldCharType="separate"/>
      </w:r>
      <w:r>
        <w:rPr>
          <w:color w:val="auto"/>
          <w:spacing w:val="-2"/>
        </w:rPr>
        <w:t>www.gcy.zfcg.gxzf.gov.cn</w:t>
      </w:r>
      <w:r>
        <w:rPr>
          <w:color w:val="auto"/>
          <w:spacing w:val="-2"/>
        </w:rPr>
        <w:fldChar w:fldCharType="end"/>
      </w:r>
      <w:r>
        <w:rPr>
          <w:color w:val="auto"/>
          <w:spacing w:val="-2"/>
        </w:rPr>
        <w:t>）</w:t>
      </w:r>
    </w:p>
    <w:p w14:paraId="0C1987DE">
      <w:pPr>
        <w:pStyle w:val="10"/>
        <w:spacing w:before="56"/>
        <w:ind w:left="1141" w:firstLine="0"/>
        <w:rPr>
          <w:rFonts w:hint="eastAsia" w:ascii="黑体" w:eastAsia="黑体"/>
          <w:color w:val="auto"/>
        </w:rPr>
      </w:pPr>
      <w:r>
        <w:rPr>
          <w:rFonts w:hint="eastAsia" w:ascii="黑体" w:eastAsia="黑体"/>
          <w:color w:val="auto"/>
          <w:spacing w:val="-3"/>
        </w:rPr>
        <w:t>五、开启</w:t>
      </w:r>
    </w:p>
    <w:p w14:paraId="2A3C3ABB">
      <w:pPr>
        <w:pStyle w:val="21"/>
        <w:numPr>
          <w:ilvl w:val="0"/>
          <w:numId w:val="2"/>
        </w:numPr>
        <w:tabs>
          <w:tab w:val="left" w:pos="1416"/>
        </w:tabs>
        <w:spacing w:before="79" w:after="0" w:line="240" w:lineRule="auto"/>
        <w:ind w:left="1416" w:right="0" w:hanging="208"/>
        <w:jc w:val="left"/>
        <w:rPr>
          <w:color w:val="auto"/>
          <w:sz w:val="21"/>
        </w:rPr>
      </w:pPr>
      <w:r>
        <w:rPr>
          <w:color w:val="auto"/>
          <w:spacing w:val="-2"/>
          <w:sz w:val="21"/>
        </w:rPr>
        <w:t>时间：</w:t>
      </w:r>
      <w:r>
        <w:rPr>
          <w:color w:val="auto"/>
          <w:spacing w:val="-2"/>
          <w:sz w:val="21"/>
          <w:u w:val="single"/>
        </w:rPr>
        <w:t>2026</w:t>
      </w:r>
      <w:r>
        <w:rPr>
          <w:color w:val="auto"/>
          <w:spacing w:val="-35"/>
          <w:sz w:val="21"/>
          <w:u w:val="single"/>
        </w:rPr>
        <w:t xml:space="preserve"> 年 </w:t>
      </w:r>
      <w:r>
        <w:rPr>
          <w:rFonts w:hint="eastAsia"/>
          <w:color w:val="auto"/>
          <w:spacing w:val="-2"/>
          <w:sz w:val="21"/>
          <w:u w:val="single"/>
          <w:lang w:val="en-US" w:eastAsia="zh-CN"/>
        </w:rPr>
        <w:t xml:space="preserve"> 8</w:t>
      </w:r>
      <w:r>
        <w:rPr>
          <w:color w:val="auto"/>
          <w:spacing w:val="-35"/>
          <w:sz w:val="21"/>
          <w:u w:val="single"/>
        </w:rPr>
        <w:t xml:space="preserve"> 月 </w:t>
      </w:r>
      <w:r>
        <w:rPr>
          <w:rFonts w:hint="eastAsia"/>
          <w:color w:val="auto"/>
          <w:spacing w:val="-35"/>
          <w:sz w:val="21"/>
          <w:u w:val="single"/>
          <w:lang w:val="en-US" w:eastAsia="zh-CN"/>
        </w:rPr>
        <w:t>31</w:t>
      </w:r>
      <w:bookmarkStart w:id="130" w:name="_GoBack"/>
      <w:bookmarkEnd w:id="130"/>
      <w:r>
        <w:rPr>
          <w:rFonts w:hint="eastAsia"/>
          <w:color w:val="auto"/>
          <w:spacing w:val="-2"/>
          <w:sz w:val="21"/>
          <w:u w:val="single"/>
          <w:lang w:val="en-US" w:eastAsia="zh-CN"/>
        </w:rPr>
        <w:t xml:space="preserve"> </w:t>
      </w:r>
      <w:r>
        <w:rPr>
          <w:color w:val="auto"/>
          <w:spacing w:val="-35"/>
          <w:sz w:val="21"/>
          <w:u w:val="single"/>
        </w:rPr>
        <w:t xml:space="preserve"> 日</w:t>
      </w:r>
      <w:r>
        <w:rPr>
          <w:rFonts w:hint="eastAsia"/>
          <w:color w:val="auto"/>
          <w:spacing w:val="-35"/>
          <w:sz w:val="21"/>
          <w:u w:val="single"/>
          <w:lang w:val="en-US" w:eastAsia="zh-CN"/>
        </w:rPr>
        <w:t xml:space="preserve"> </w:t>
      </w:r>
      <w:r>
        <w:rPr>
          <w:color w:val="auto"/>
          <w:spacing w:val="-35"/>
          <w:sz w:val="21"/>
          <w:u w:val="single"/>
        </w:rPr>
        <w:t xml:space="preserve"> </w:t>
      </w:r>
      <w:r>
        <w:rPr>
          <w:rFonts w:hint="eastAsia"/>
          <w:color w:val="auto"/>
          <w:spacing w:val="-35"/>
          <w:sz w:val="21"/>
          <w:u w:val="single"/>
          <w:lang w:val="en-US" w:eastAsia="zh-CN"/>
        </w:rPr>
        <w:t xml:space="preserve">13 </w:t>
      </w:r>
      <w:r>
        <w:rPr>
          <w:color w:val="auto"/>
          <w:spacing w:val="-35"/>
          <w:sz w:val="21"/>
          <w:u w:val="single"/>
        </w:rPr>
        <w:t xml:space="preserve">时 </w:t>
      </w:r>
      <w:r>
        <w:rPr>
          <w:color w:val="auto"/>
          <w:spacing w:val="-2"/>
          <w:sz w:val="21"/>
          <w:u w:val="single"/>
        </w:rPr>
        <w:t>00</w:t>
      </w:r>
      <w:r>
        <w:rPr>
          <w:color w:val="auto"/>
          <w:spacing w:val="-27"/>
          <w:sz w:val="21"/>
          <w:u w:val="single"/>
        </w:rPr>
        <w:t xml:space="preserve"> 分</w:t>
      </w:r>
      <w:r>
        <w:rPr>
          <w:color w:val="auto"/>
          <w:spacing w:val="-2"/>
          <w:sz w:val="21"/>
          <w:u w:val="none"/>
        </w:rPr>
        <w:t>（北京时间</w:t>
      </w:r>
      <w:r>
        <w:rPr>
          <w:color w:val="auto"/>
          <w:spacing w:val="-10"/>
          <w:sz w:val="21"/>
          <w:u w:val="none"/>
        </w:rPr>
        <w:t>）</w:t>
      </w:r>
    </w:p>
    <w:p w14:paraId="55725C5C">
      <w:pPr>
        <w:pStyle w:val="21"/>
        <w:numPr>
          <w:ilvl w:val="0"/>
          <w:numId w:val="2"/>
        </w:numPr>
        <w:tabs>
          <w:tab w:val="left" w:pos="1416"/>
        </w:tabs>
        <w:spacing w:before="87" w:after="0" w:line="240" w:lineRule="auto"/>
        <w:ind w:left="1416" w:right="0" w:hanging="208"/>
        <w:jc w:val="left"/>
        <w:rPr>
          <w:color w:val="auto"/>
          <w:sz w:val="21"/>
        </w:rPr>
      </w:pPr>
      <w:r>
        <w:rPr>
          <w:color w:val="auto"/>
          <w:spacing w:val="-2"/>
          <w:sz w:val="21"/>
        </w:rPr>
        <w:t>地点：广西政府采购云平台（https://</w:t>
      </w:r>
      <w:r>
        <w:rPr>
          <w:color w:val="auto"/>
        </w:rPr>
        <w:fldChar w:fldCharType="begin"/>
      </w:r>
      <w:r>
        <w:rPr>
          <w:color w:val="auto"/>
        </w:rPr>
        <w:instrText xml:space="preserve"> HYPERLINK "http://www.gcy.zfcg.gxzf.gov.cn/" \h </w:instrText>
      </w:r>
      <w:r>
        <w:rPr>
          <w:color w:val="auto"/>
        </w:rPr>
        <w:fldChar w:fldCharType="separate"/>
      </w:r>
      <w:r>
        <w:rPr>
          <w:color w:val="auto"/>
          <w:spacing w:val="-2"/>
          <w:sz w:val="21"/>
        </w:rPr>
        <w:t>www.gcy.zfcg.gxzf.gov.cn</w:t>
      </w:r>
      <w:r>
        <w:rPr>
          <w:color w:val="auto"/>
          <w:spacing w:val="-2"/>
          <w:sz w:val="21"/>
        </w:rPr>
        <w:fldChar w:fldCharType="end"/>
      </w:r>
      <w:r>
        <w:rPr>
          <w:color w:val="auto"/>
          <w:spacing w:val="-2"/>
          <w:sz w:val="21"/>
        </w:rPr>
        <w:t>）</w:t>
      </w:r>
    </w:p>
    <w:p w14:paraId="3F1B2D34">
      <w:pPr>
        <w:pStyle w:val="10"/>
        <w:spacing w:before="56"/>
        <w:ind w:left="1141" w:firstLine="0"/>
        <w:rPr>
          <w:rFonts w:hint="eastAsia" w:ascii="黑体" w:eastAsia="黑体"/>
          <w:color w:val="auto"/>
        </w:rPr>
      </w:pPr>
      <w:r>
        <w:rPr>
          <w:rFonts w:hint="eastAsia" w:ascii="黑体" w:eastAsia="黑体"/>
          <w:color w:val="auto"/>
          <w:spacing w:val="-2"/>
        </w:rPr>
        <w:t>六、公告期限</w:t>
      </w:r>
    </w:p>
    <w:p w14:paraId="2552F180">
      <w:pPr>
        <w:pStyle w:val="12"/>
        <w:spacing w:before="79"/>
        <w:ind w:left="1208"/>
        <w:rPr>
          <w:color w:val="auto"/>
        </w:rPr>
      </w:pPr>
      <w:r>
        <w:rPr>
          <w:color w:val="auto"/>
          <w:spacing w:val="-7"/>
        </w:rPr>
        <w:t xml:space="preserve">自本公告发布之日起 </w:t>
      </w:r>
      <w:r>
        <w:rPr>
          <w:color w:val="auto"/>
          <w:spacing w:val="-2"/>
        </w:rPr>
        <w:t>5</w:t>
      </w:r>
      <w:r>
        <w:rPr>
          <w:color w:val="auto"/>
          <w:spacing w:val="-12"/>
        </w:rPr>
        <w:t xml:space="preserve"> 个工作日。</w:t>
      </w:r>
    </w:p>
    <w:p w14:paraId="2498E817">
      <w:pPr>
        <w:pStyle w:val="10"/>
        <w:spacing w:before="56"/>
        <w:ind w:left="1141" w:firstLine="0"/>
        <w:rPr>
          <w:rFonts w:hint="eastAsia" w:ascii="黑体" w:eastAsia="黑体"/>
          <w:color w:val="auto"/>
        </w:rPr>
      </w:pPr>
      <w:r>
        <w:rPr>
          <w:rFonts w:hint="eastAsia" w:ascii="黑体" w:eastAsia="黑体"/>
          <w:color w:val="auto"/>
          <w:spacing w:val="-2"/>
        </w:rPr>
        <w:t>七、其他补充事宜</w:t>
      </w:r>
    </w:p>
    <w:p w14:paraId="6C4A34FC">
      <w:pPr>
        <w:pStyle w:val="21"/>
        <w:numPr>
          <w:ilvl w:val="0"/>
          <w:numId w:val="0"/>
        </w:numPr>
        <w:tabs>
          <w:tab w:val="left" w:pos="1416"/>
        </w:tabs>
        <w:spacing w:before="82" w:after="0" w:line="240" w:lineRule="auto"/>
        <w:ind w:left="1208" w:leftChars="0" w:right="0" w:rightChars="0"/>
        <w:jc w:val="left"/>
        <w:rPr>
          <w:rFonts w:hint="eastAsia"/>
          <w:color w:val="auto"/>
          <w:sz w:val="21"/>
        </w:rPr>
      </w:pPr>
      <w:r>
        <w:rPr>
          <w:rFonts w:hint="eastAsia"/>
          <w:color w:val="auto"/>
          <w:sz w:val="21"/>
        </w:rPr>
        <w:t>1.磋商保证金：本项目不收取磋商保证金。</w:t>
      </w:r>
    </w:p>
    <w:p w14:paraId="3F7A2445">
      <w:pPr>
        <w:pStyle w:val="21"/>
        <w:numPr>
          <w:ilvl w:val="0"/>
          <w:numId w:val="0"/>
        </w:numPr>
        <w:tabs>
          <w:tab w:val="left" w:pos="1416"/>
        </w:tabs>
        <w:spacing w:before="82" w:after="0" w:line="240" w:lineRule="auto"/>
        <w:ind w:left="1208" w:leftChars="0" w:right="0" w:rightChars="0"/>
        <w:jc w:val="left"/>
        <w:rPr>
          <w:rFonts w:hint="eastAsia"/>
          <w:color w:val="auto"/>
          <w:sz w:val="21"/>
        </w:rPr>
      </w:pPr>
      <w:r>
        <w:rPr>
          <w:rFonts w:hint="eastAsia"/>
          <w:color w:val="auto"/>
          <w:sz w:val="21"/>
        </w:rPr>
        <w:t>2.采购意向公开链接：</w:t>
      </w:r>
    </w:p>
    <w:p w14:paraId="1EA4EBA6">
      <w:pPr>
        <w:pStyle w:val="21"/>
        <w:numPr>
          <w:ilvl w:val="0"/>
          <w:numId w:val="0"/>
        </w:numPr>
        <w:tabs>
          <w:tab w:val="left" w:pos="1416"/>
        </w:tabs>
        <w:spacing w:before="82" w:after="0" w:line="240" w:lineRule="auto"/>
        <w:ind w:left="1208" w:leftChars="0" w:right="0" w:rightChars="0"/>
        <w:jc w:val="left"/>
        <w:rPr>
          <w:rFonts w:hint="eastAsia"/>
          <w:color w:val="auto"/>
          <w:sz w:val="21"/>
        </w:rPr>
      </w:pPr>
      <w:r>
        <w:rPr>
          <w:rFonts w:hint="eastAsia"/>
          <w:color w:val="auto"/>
          <w:sz w:val="21"/>
          <w:u w:val="none"/>
        </w:rPr>
        <w:t>http://www.ccgp-guangxi.gov.cn/site/detail?categoryCode=ZcyAnnouncement&amp;parentId=66485&amp;articleId=XwnxDwI2UbOjqNinUjKpTQ==</w:t>
      </w:r>
    </w:p>
    <w:p w14:paraId="3DF0B5A1">
      <w:pPr>
        <w:pStyle w:val="21"/>
        <w:numPr>
          <w:ilvl w:val="0"/>
          <w:numId w:val="0"/>
        </w:numPr>
        <w:tabs>
          <w:tab w:val="left" w:pos="1416"/>
        </w:tabs>
        <w:spacing w:before="82" w:after="0" w:line="240" w:lineRule="auto"/>
        <w:ind w:left="1208" w:leftChars="0" w:right="0" w:rightChars="0"/>
        <w:jc w:val="left"/>
        <w:rPr>
          <w:rFonts w:hint="eastAsia"/>
          <w:color w:val="auto"/>
          <w:sz w:val="21"/>
        </w:rPr>
      </w:pPr>
      <w:r>
        <w:rPr>
          <w:rFonts w:hint="eastAsia"/>
          <w:color w:val="auto"/>
          <w:sz w:val="21"/>
        </w:rPr>
        <w:t>3.网上查询地址</w:t>
      </w:r>
    </w:p>
    <w:p w14:paraId="533A5480">
      <w:pPr>
        <w:pStyle w:val="21"/>
        <w:numPr>
          <w:ilvl w:val="0"/>
          <w:numId w:val="0"/>
        </w:numPr>
        <w:tabs>
          <w:tab w:val="left" w:pos="1416"/>
        </w:tabs>
        <w:spacing w:before="82" w:after="0" w:line="240" w:lineRule="auto"/>
        <w:ind w:left="1208" w:leftChars="0" w:right="0" w:rightChars="0"/>
        <w:jc w:val="left"/>
        <w:rPr>
          <w:rFonts w:hint="eastAsia"/>
          <w:color w:val="auto"/>
          <w:sz w:val="21"/>
        </w:rPr>
      </w:pPr>
      <w:r>
        <w:rPr>
          <w:rFonts w:hint="eastAsia"/>
          <w:color w:val="auto"/>
          <w:sz w:val="21"/>
        </w:rPr>
        <w:t>中国政府采购网(http://www.ccgp.gov.cn/)、广西壮族自治区政府采购网(http://zfcg.gxzf.gov.cn/)、全国公共资源交易平台（广西•南宁）（http://ggzy.jgswj.gxzf.gov.cn/nnggzy/）。</w:t>
      </w:r>
    </w:p>
    <w:p w14:paraId="473C3F18">
      <w:pPr>
        <w:pStyle w:val="21"/>
        <w:numPr>
          <w:ilvl w:val="0"/>
          <w:numId w:val="0"/>
        </w:numPr>
        <w:tabs>
          <w:tab w:val="left" w:pos="1416"/>
        </w:tabs>
        <w:spacing w:before="82" w:after="0" w:line="240" w:lineRule="auto"/>
        <w:ind w:left="1208" w:leftChars="0" w:right="0" w:rightChars="0"/>
        <w:jc w:val="left"/>
        <w:rPr>
          <w:rFonts w:hint="eastAsia"/>
          <w:color w:val="auto"/>
          <w:sz w:val="21"/>
        </w:rPr>
      </w:pPr>
      <w:r>
        <w:rPr>
          <w:rFonts w:hint="eastAsia"/>
          <w:color w:val="auto"/>
          <w:sz w:val="21"/>
        </w:rPr>
        <w:t>4.本项目需要落实的政府采购政策</w:t>
      </w:r>
    </w:p>
    <w:p w14:paraId="70699122">
      <w:pPr>
        <w:pStyle w:val="21"/>
        <w:numPr>
          <w:ilvl w:val="0"/>
          <w:numId w:val="0"/>
        </w:numPr>
        <w:tabs>
          <w:tab w:val="left" w:pos="1416"/>
        </w:tabs>
        <w:spacing w:before="82" w:after="0" w:line="240" w:lineRule="auto"/>
        <w:ind w:left="1208" w:leftChars="0" w:right="0" w:rightChars="0"/>
        <w:jc w:val="left"/>
        <w:rPr>
          <w:rFonts w:hint="eastAsia"/>
          <w:color w:val="auto"/>
          <w:sz w:val="21"/>
        </w:rPr>
      </w:pPr>
      <w:r>
        <w:rPr>
          <w:rFonts w:hint="eastAsia"/>
          <w:color w:val="auto"/>
          <w:sz w:val="21"/>
        </w:rPr>
        <w:t>（1）政府采购促进中小企业发展。</w:t>
      </w:r>
    </w:p>
    <w:p w14:paraId="15A688FD">
      <w:pPr>
        <w:pStyle w:val="21"/>
        <w:numPr>
          <w:ilvl w:val="0"/>
          <w:numId w:val="0"/>
        </w:numPr>
        <w:tabs>
          <w:tab w:val="left" w:pos="1416"/>
        </w:tabs>
        <w:spacing w:before="82" w:after="0" w:line="240" w:lineRule="auto"/>
        <w:ind w:left="1208" w:leftChars="0" w:right="0" w:rightChars="0"/>
        <w:jc w:val="left"/>
        <w:rPr>
          <w:rFonts w:hint="eastAsia"/>
          <w:color w:val="auto"/>
          <w:sz w:val="21"/>
        </w:rPr>
      </w:pPr>
      <w:r>
        <w:rPr>
          <w:rFonts w:hint="eastAsia"/>
          <w:color w:val="auto"/>
          <w:sz w:val="21"/>
        </w:rPr>
        <w:t>（2）政府采购支持采用本国产品的政策。</w:t>
      </w:r>
    </w:p>
    <w:p w14:paraId="6E766877">
      <w:pPr>
        <w:pStyle w:val="21"/>
        <w:numPr>
          <w:ilvl w:val="0"/>
          <w:numId w:val="0"/>
        </w:numPr>
        <w:tabs>
          <w:tab w:val="left" w:pos="1416"/>
        </w:tabs>
        <w:spacing w:before="82" w:after="0" w:line="240" w:lineRule="auto"/>
        <w:ind w:left="1208" w:leftChars="0" w:right="0" w:rightChars="0"/>
        <w:jc w:val="left"/>
        <w:rPr>
          <w:rFonts w:hint="eastAsia"/>
          <w:color w:val="auto"/>
          <w:sz w:val="21"/>
        </w:rPr>
      </w:pPr>
      <w:r>
        <w:rPr>
          <w:rFonts w:hint="eastAsia"/>
          <w:color w:val="auto"/>
          <w:sz w:val="21"/>
        </w:rPr>
        <w:t>（3）强制采购节能产品；优先采购节能产品、环境标志产品。</w:t>
      </w:r>
    </w:p>
    <w:p w14:paraId="56B6B542">
      <w:pPr>
        <w:pStyle w:val="21"/>
        <w:numPr>
          <w:ilvl w:val="0"/>
          <w:numId w:val="0"/>
        </w:numPr>
        <w:tabs>
          <w:tab w:val="left" w:pos="1416"/>
        </w:tabs>
        <w:spacing w:before="82" w:after="0" w:line="240" w:lineRule="auto"/>
        <w:ind w:left="1208" w:leftChars="0" w:right="0" w:rightChars="0"/>
        <w:jc w:val="left"/>
        <w:rPr>
          <w:rFonts w:hint="eastAsia"/>
          <w:color w:val="auto"/>
          <w:sz w:val="21"/>
        </w:rPr>
      </w:pPr>
      <w:r>
        <w:rPr>
          <w:rFonts w:hint="eastAsia"/>
          <w:color w:val="auto"/>
          <w:sz w:val="21"/>
        </w:rPr>
        <w:t>（4）政府采购促进残疾人就业政策。</w:t>
      </w:r>
    </w:p>
    <w:p w14:paraId="0710D8CC">
      <w:pPr>
        <w:pStyle w:val="21"/>
        <w:numPr>
          <w:ilvl w:val="0"/>
          <w:numId w:val="0"/>
        </w:numPr>
        <w:tabs>
          <w:tab w:val="left" w:pos="1416"/>
        </w:tabs>
        <w:spacing w:before="82" w:after="0" w:line="240" w:lineRule="auto"/>
        <w:ind w:left="1208" w:leftChars="0" w:right="0" w:rightChars="0"/>
        <w:jc w:val="left"/>
        <w:rPr>
          <w:rFonts w:hint="eastAsia"/>
          <w:color w:val="auto"/>
          <w:sz w:val="21"/>
        </w:rPr>
      </w:pPr>
      <w:r>
        <w:rPr>
          <w:rFonts w:hint="eastAsia"/>
          <w:color w:val="auto"/>
          <w:sz w:val="21"/>
        </w:rPr>
        <w:t>（5）政府采购支持监狱企业发展。</w:t>
      </w:r>
    </w:p>
    <w:p w14:paraId="32F68E99">
      <w:pPr>
        <w:pStyle w:val="21"/>
        <w:numPr>
          <w:ilvl w:val="0"/>
          <w:numId w:val="0"/>
        </w:numPr>
        <w:tabs>
          <w:tab w:val="left" w:pos="1416"/>
        </w:tabs>
        <w:spacing w:before="82" w:after="0" w:line="240" w:lineRule="auto"/>
        <w:ind w:left="1208" w:leftChars="0" w:right="0" w:rightChars="0"/>
        <w:jc w:val="left"/>
        <w:rPr>
          <w:rFonts w:hint="eastAsia"/>
          <w:color w:val="auto"/>
          <w:sz w:val="21"/>
        </w:rPr>
      </w:pPr>
      <w:r>
        <w:rPr>
          <w:rFonts w:hint="eastAsia"/>
          <w:color w:val="auto"/>
          <w:sz w:val="21"/>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661FD75C">
      <w:pPr>
        <w:pStyle w:val="21"/>
        <w:numPr>
          <w:ilvl w:val="0"/>
          <w:numId w:val="0"/>
        </w:numPr>
        <w:tabs>
          <w:tab w:val="left" w:pos="1416"/>
        </w:tabs>
        <w:spacing w:before="82" w:after="0" w:line="240" w:lineRule="auto"/>
        <w:ind w:left="1208" w:leftChars="0" w:right="0" w:rightChars="0"/>
        <w:jc w:val="left"/>
        <w:rPr>
          <w:color w:val="auto"/>
          <w:sz w:val="21"/>
        </w:rPr>
      </w:pPr>
      <w:r>
        <w:rPr>
          <w:rFonts w:hint="eastAsia"/>
          <w:color w:val="auto"/>
          <w:sz w:val="21"/>
        </w:rPr>
        <w:t>6.若对项目采购电子交易系统操作有疑问，可登录广西政府采购云平台（https://www.gcy.zfcg.gxzf.gov.cn/），点击右侧咨询小采，获取采小蜜智能服务管家帮助，或拨打广西政府采购云平台服务热线95763或0771-3381253获取热线服务帮助。</w:t>
      </w:r>
    </w:p>
    <w:p w14:paraId="08561650">
      <w:pPr>
        <w:pStyle w:val="21"/>
        <w:numPr>
          <w:ilvl w:val="0"/>
          <w:numId w:val="0"/>
        </w:numPr>
        <w:tabs>
          <w:tab w:val="left" w:pos="1416"/>
        </w:tabs>
        <w:spacing w:before="82" w:after="0" w:line="240" w:lineRule="auto"/>
        <w:ind w:left="1208" w:leftChars="0" w:right="0" w:rightChars="0"/>
        <w:jc w:val="left"/>
        <w:rPr>
          <w:color w:val="auto"/>
          <w:sz w:val="21"/>
        </w:rPr>
      </w:pPr>
    </w:p>
    <w:p w14:paraId="012E6402">
      <w:pPr>
        <w:pStyle w:val="10"/>
        <w:spacing w:before="57"/>
        <w:ind w:left="788" w:firstLine="0"/>
        <w:rPr>
          <w:rFonts w:hint="eastAsia" w:ascii="黑体" w:eastAsia="黑体"/>
          <w:color w:val="auto"/>
        </w:rPr>
      </w:pPr>
      <w:r>
        <w:rPr>
          <w:rFonts w:hint="eastAsia" w:ascii="黑体" w:eastAsia="黑体"/>
          <w:color w:val="auto"/>
          <w:spacing w:val="-1"/>
        </w:rPr>
        <w:t>八、凡对本次采购提出询问，请按以下方式联系。</w:t>
      </w:r>
    </w:p>
    <w:p w14:paraId="0F848A8A">
      <w:pPr>
        <w:pStyle w:val="21"/>
        <w:numPr>
          <w:ilvl w:val="0"/>
          <w:numId w:val="3"/>
        </w:numPr>
        <w:tabs>
          <w:tab w:val="left" w:pos="1416"/>
        </w:tabs>
        <w:spacing w:before="78" w:after="0" w:line="240" w:lineRule="auto"/>
        <w:ind w:left="1416" w:right="0" w:hanging="208"/>
        <w:jc w:val="left"/>
        <w:rPr>
          <w:color w:val="auto"/>
          <w:sz w:val="21"/>
        </w:rPr>
      </w:pPr>
      <w:r>
        <w:rPr>
          <w:color w:val="auto"/>
          <w:spacing w:val="-4"/>
          <w:sz w:val="21"/>
        </w:rPr>
        <w:t>采购人信息</w:t>
      </w:r>
    </w:p>
    <w:p w14:paraId="5312FEF2">
      <w:pPr>
        <w:pStyle w:val="12"/>
        <w:spacing w:before="87"/>
        <w:ind w:left="1208"/>
        <w:rPr>
          <w:rFonts w:hint="eastAsia" w:eastAsia="宋体"/>
          <w:color w:val="auto"/>
          <w:lang w:eastAsia="zh-CN"/>
        </w:rPr>
      </w:pPr>
      <w:r>
        <w:rPr>
          <w:color w:val="auto"/>
        </w:rPr>
        <w:t>名</w:t>
      </w:r>
      <w:r>
        <w:rPr>
          <w:color w:val="auto"/>
          <w:spacing w:val="32"/>
          <w:w w:val="150"/>
        </w:rPr>
        <w:t xml:space="preserve"> </w:t>
      </w:r>
      <w:r>
        <w:rPr>
          <w:color w:val="auto"/>
          <w:spacing w:val="-1"/>
        </w:rPr>
        <w:t>称：</w:t>
      </w:r>
      <w:r>
        <w:rPr>
          <w:rFonts w:hint="eastAsia"/>
          <w:color w:val="auto"/>
          <w:spacing w:val="-1"/>
          <w:lang w:eastAsia="zh-CN"/>
        </w:rPr>
        <w:t>马山县农业农村局</w:t>
      </w:r>
    </w:p>
    <w:p w14:paraId="32F4B65E">
      <w:pPr>
        <w:pStyle w:val="12"/>
        <w:spacing w:before="87" w:line="316" w:lineRule="auto"/>
        <w:ind w:left="1208" w:right="5904"/>
        <w:rPr>
          <w:color w:val="auto"/>
          <w:spacing w:val="-2"/>
        </w:rPr>
      </w:pPr>
      <w:r>
        <w:rPr>
          <w:color w:val="auto"/>
          <w:spacing w:val="-2"/>
        </w:rPr>
        <w:t>地 址：</w:t>
      </w:r>
      <w:r>
        <w:rPr>
          <w:rFonts w:hint="eastAsia"/>
          <w:color w:val="auto"/>
          <w:spacing w:val="-2"/>
        </w:rPr>
        <w:t>南宁市马山县新兴大道南二巷 1 号</w:t>
      </w:r>
    </w:p>
    <w:p w14:paraId="7E41CD12">
      <w:pPr>
        <w:pStyle w:val="12"/>
        <w:spacing w:before="87" w:line="316" w:lineRule="auto"/>
        <w:ind w:left="1208" w:right="5904"/>
        <w:rPr>
          <w:color w:val="auto"/>
        </w:rPr>
      </w:pPr>
      <w:r>
        <w:rPr>
          <w:color w:val="auto"/>
          <w:spacing w:val="-2"/>
        </w:rPr>
        <w:t>联系人：</w:t>
      </w:r>
      <w:r>
        <w:rPr>
          <w:rFonts w:hint="eastAsia"/>
          <w:color w:val="auto"/>
          <w:spacing w:val="-2"/>
        </w:rPr>
        <w:t>窦艳霞</w:t>
      </w:r>
    </w:p>
    <w:p w14:paraId="23A5D507">
      <w:pPr>
        <w:pStyle w:val="12"/>
        <w:spacing w:before="0" w:line="272" w:lineRule="exact"/>
        <w:ind w:left="1208"/>
        <w:rPr>
          <w:color w:val="auto"/>
        </w:rPr>
      </w:pPr>
      <w:r>
        <w:rPr>
          <w:color w:val="auto"/>
          <w:spacing w:val="-2"/>
        </w:rPr>
        <w:t>联系方式：</w:t>
      </w:r>
      <w:r>
        <w:rPr>
          <w:rFonts w:hint="eastAsia"/>
          <w:color w:val="auto"/>
          <w:spacing w:val="-2"/>
        </w:rPr>
        <w:t>0771</w:t>
      </w:r>
      <w:r>
        <w:rPr>
          <w:rFonts w:hint="eastAsia"/>
          <w:color w:val="auto"/>
          <w:spacing w:val="-2"/>
          <w:lang w:val="en-US" w:eastAsia="zh-CN"/>
        </w:rPr>
        <w:t>-</w:t>
      </w:r>
      <w:r>
        <w:rPr>
          <w:rFonts w:hint="eastAsia"/>
          <w:color w:val="auto"/>
          <w:spacing w:val="-2"/>
        </w:rPr>
        <w:t>6820957</w:t>
      </w:r>
    </w:p>
    <w:p w14:paraId="14165820">
      <w:pPr>
        <w:pStyle w:val="21"/>
        <w:numPr>
          <w:ilvl w:val="0"/>
          <w:numId w:val="3"/>
        </w:numPr>
        <w:tabs>
          <w:tab w:val="left" w:pos="1416"/>
        </w:tabs>
        <w:spacing w:before="87" w:after="0" w:line="240" w:lineRule="auto"/>
        <w:ind w:left="1416" w:right="0" w:hanging="208"/>
        <w:jc w:val="left"/>
        <w:rPr>
          <w:color w:val="auto"/>
          <w:sz w:val="21"/>
        </w:rPr>
      </w:pPr>
      <w:r>
        <w:rPr>
          <w:color w:val="auto"/>
          <w:spacing w:val="-4"/>
          <w:sz w:val="21"/>
        </w:rPr>
        <w:t>采购代理机构信息</w:t>
      </w:r>
    </w:p>
    <w:p w14:paraId="6C815556">
      <w:pPr>
        <w:pStyle w:val="12"/>
        <w:spacing w:before="87"/>
        <w:ind w:left="1208"/>
        <w:rPr>
          <w:rFonts w:hint="eastAsia" w:eastAsia="宋体"/>
          <w:color w:val="auto"/>
          <w:lang w:eastAsia="zh-CN"/>
        </w:rPr>
      </w:pPr>
      <w:r>
        <w:rPr>
          <w:color w:val="auto"/>
        </w:rPr>
        <w:t>名</w:t>
      </w:r>
      <w:r>
        <w:rPr>
          <w:color w:val="auto"/>
          <w:spacing w:val="32"/>
          <w:w w:val="150"/>
        </w:rPr>
        <w:t xml:space="preserve"> </w:t>
      </w:r>
      <w:r>
        <w:rPr>
          <w:color w:val="auto"/>
          <w:spacing w:val="-1"/>
        </w:rPr>
        <w:t>称：</w:t>
      </w:r>
      <w:r>
        <w:rPr>
          <w:rFonts w:hint="eastAsia"/>
          <w:color w:val="auto"/>
          <w:spacing w:val="-1"/>
          <w:lang w:eastAsia="zh-CN"/>
        </w:rPr>
        <w:t>广西冠宁工程咨询有限公司</w:t>
      </w:r>
    </w:p>
    <w:p w14:paraId="2C189934">
      <w:pPr>
        <w:pStyle w:val="12"/>
        <w:spacing w:before="87" w:line="316" w:lineRule="auto"/>
        <w:ind w:left="1208" w:right="4851"/>
        <w:rPr>
          <w:rFonts w:hint="eastAsia" w:ascii="宋体" w:hAnsi="宋体" w:cs="宋体"/>
          <w:color w:val="auto"/>
          <w:szCs w:val="21"/>
        </w:rPr>
      </w:pPr>
      <w:r>
        <w:rPr>
          <w:color w:val="auto"/>
          <w:spacing w:val="-4"/>
        </w:rPr>
        <w:t>地 址：</w:t>
      </w:r>
      <w:r>
        <w:rPr>
          <w:rFonts w:hint="eastAsia" w:ascii="宋体" w:hAnsi="宋体" w:cs="宋体"/>
          <w:color w:val="auto"/>
          <w:szCs w:val="21"/>
        </w:rPr>
        <w:t>南宁市青秀区茶花园路6-1号南湖翠苑4层0431A号、0431B号、0431C号</w:t>
      </w:r>
    </w:p>
    <w:p w14:paraId="47F9C824">
      <w:pPr>
        <w:pStyle w:val="12"/>
        <w:spacing w:before="87" w:line="316" w:lineRule="auto"/>
        <w:ind w:left="1208" w:right="4851"/>
        <w:rPr>
          <w:rFonts w:hint="default" w:eastAsia="宋体"/>
          <w:color w:val="auto"/>
          <w:lang w:val="en-US" w:eastAsia="zh-CN"/>
        </w:rPr>
      </w:pPr>
      <w:r>
        <w:rPr>
          <w:color w:val="auto"/>
          <w:spacing w:val="-2"/>
        </w:rPr>
        <w:t>项目联系人：</w:t>
      </w:r>
      <w:r>
        <w:rPr>
          <w:rFonts w:hint="eastAsia"/>
          <w:color w:val="auto"/>
          <w:spacing w:val="-2"/>
          <w:lang w:val="en-US" w:eastAsia="zh-CN"/>
        </w:rPr>
        <w:t>廖工</w:t>
      </w:r>
    </w:p>
    <w:p w14:paraId="0833CC2E">
      <w:pPr>
        <w:wordWrap w:val="0"/>
        <w:spacing w:line="360" w:lineRule="auto"/>
        <w:ind w:firstLine="1296" w:firstLineChars="600"/>
        <w:rPr>
          <w:rFonts w:hint="default" w:ascii="宋体" w:hAnsi="宋体" w:eastAsia="宋体" w:cs="宋体"/>
          <w:color w:val="auto"/>
          <w:szCs w:val="21"/>
          <w:lang w:val="en-US" w:eastAsia="zh-CN"/>
        </w:rPr>
      </w:pPr>
      <w:r>
        <w:rPr>
          <w:color w:val="auto"/>
          <w:spacing w:val="-2"/>
        </w:rPr>
        <w:t>联系方式：</w:t>
      </w:r>
      <w:r>
        <w:rPr>
          <w:rFonts w:hint="eastAsia" w:ascii="宋体" w:hAnsi="宋体" w:cs="宋体"/>
          <w:color w:val="auto"/>
          <w:szCs w:val="21"/>
        </w:rPr>
        <w:t>0771-5725583</w:t>
      </w:r>
      <w:r>
        <w:rPr>
          <w:rFonts w:hint="eastAsia" w:cs="宋体"/>
          <w:color w:val="auto"/>
          <w:szCs w:val="21"/>
          <w:lang w:eastAsia="zh-CN"/>
        </w:rPr>
        <w:t>，</w:t>
      </w:r>
      <w:r>
        <w:rPr>
          <w:rFonts w:hint="eastAsia" w:cs="宋体"/>
          <w:color w:val="auto"/>
          <w:szCs w:val="21"/>
          <w:lang w:val="en-US" w:eastAsia="zh-CN"/>
        </w:rPr>
        <w:t>19914866882</w:t>
      </w:r>
    </w:p>
    <w:p w14:paraId="4A8D79B3">
      <w:pPr>
        <w:pStyle w:val="12"/>
        <w:spacing w:before="0" w:line="272" w:lineRule="exact"/>
        <w:ind w:left="1208"/>
        <w:rPr>
          <w:color w:val="auto"/>
        </w:rPr>
      </w:pPr>
    </w:p>
    <w:p w14:paraId="555AD699">
      <w:pPr>
        <w:spacing w:after="0" w:line="272" w:lineRule="exact"/>
        <w:rPr>
          <w:color w:val="auto"/>
        </w:rPr>
        <w:sectPr>
          <w:footerReference r:id="rId6" w:type="default"/>
          <w:pgSz w:w="11910" w:h="16840"/>
          <w:pgMar w:top="1460" w:right="740" w:bottom="1180" w:left="800" w:header="0" w:footer="989" w:gutter="0"/>
          <w:cols w:space="720" w:num="1"/>
        </w:sectPr>
      </w:pPr>
    </w:p>
    <w:p w14:paraId="736B7D23">
      <w:pPr>
        <w:pStyle w:val="3"/>
        <w:rPr>
          <w:color w:val="auto"/>
        </w:rPr>
      </w:pPr>
      <w:bookmarkStart w:id="2" w:name="_bookmark1"/>
      <w:bookmarkEnd w:id="2"/>
      <w:r>
        <w:rPr>
          <w:color w:val="auto"/>
          <w:spacing w:val="-5"/>
        </w:rPr>
        <w:t>第二章 供应商须知</w:t>
      </w:r>
    </w:p>
    <w:p w14:paraId="3D66E6F8">
      <w:pPr>
        <w:pStyle w:val="12"/>
        <w:spacing w:before="13"/>
        <w:ind w:left="0"/>
        <w:rPr>
          <w:b/>
          <w:color w:val="auto"/>
          <w:sz w:val="44"/>
        </w:rPr>
      </w:pPr>
    </w:p>
    <w:p w14:paraId="70C84AA3">
      <w:pPr>
        <w:pStyle w:val="5"/>
        <w:spacing w:before="0"/>
        <w:rPr>
          <w:color w:val="auto"/>
        </w:rPr>
      </w:pPr>
      <w:r>
        <w:rPr>
          <w:color w:val="auto"/>
          <w:spacing w:val="-4"/>
        </w:rPr>
        <w:t>供应商须知前附表</w:t>
      </w:r>
    </w:p>
    <w:p w14:paraId="0012E91B">
      <w:pPr>
        <w:pStyle w:val="12"/>
        <w:spacing w:before="129"/>
        <w:ind w:left="0"/>
        <w:rPr>
          <w:b/>
          <w:color w:val="auto"/>
          <w:sz w:val="20"/>
        </w:rPr>
      </w:pPr>
    </w:p>
    <w:tbl>
      <w:tblPr>
        <w:tblStyle w:val="16"/>
        <w:tblW w:w="0" w:type="auto"/>
        <w:tblInd w:w="7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2"/>
        <w:gridCol w:w="7912"/>
      </w:tblGrid>
      <w:tr w14:paraId="2E460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992" w:type="dxa"/>
          </w:tcPr>
          <w:p w14:paraId="08D5B700">
            <w:pPr>
              <w:pStyle w:val="22"/>
              <w:spacing w:line="269" w:lineRule="exact"/>
              <w:ind w:left="11" w:right="3"/>
              <w:jc w:val="center"/>
              <w:rPr>
                <w:b/>
                <w:color w:val="auto"/>
                <w:sz w:val="21"/>
              </w:rPr>
            </w:pPr>
            <w:r>
              <w:rPr>
                <w:b/>
                <w:color w:val="auto"/>
                <w:spacing w:val="-5"/>
                <w:sz w:val="21"/>
              </w:rPr>
              <w:t>条款号</w:t>
            </w:r>
          </w:p>
        </w:tc>
        <w:tc>
          <w:tcPr>
            <w:tcW w:w="7912" w:type="dxa"/>
          </w:tcPr>
          <w:p w14:paraId="14F50368">
            <w:pPr>
              <w:pStyle w:val="22"/>
              <w:tabs>
                <w:tab w:val="left" w:pos="637"/>
              </w:tabs>
              <w:spacing w:line="269" w:lineRule="exact"/>
              <w:ind w:left="6"/>
              <w:jc w:val="center"/>
              <w:rPr>
                <w:b/>
                <w:color w:val="auto"/>
                <w:sz w:val="21"/>
              </w:rPr>
            </w:pPr>
            <w:r>
              <w:rPr>
                <w:b/>
                <w:color w:val="auto"/>
                <w:spacing w:val="-10"/>
                <w:sz w:val="21"/>
              </w:rPr>
              <w:t>内</w:t>
            </w:r>
            <w:r>
              <w:rPr>
                <w:b/>
                <w:color w:val="auto"/>
                <w:sz w:val="21"/>
              </w:rPr>
              <w:tab/>
            </w:r>
            <w:r>
              <w:rPr>
                <w:b/>
                <w:color w:val="auto"/>
                <w:spacing w:val="-10"/>
                <w:sz w:val="21"/>
              </w:rPr>
              <w:t>容</w:t>
            </w:r>
          </w:p>
        </w:tc>
      </w:tr>
      <w:tr w14:paraId="16985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92" w:type="dxa"/>
          </w:tcPr>
          <w:p w14:paraId="1302B4DE">
            <w:pPr>
              <w:pStyle w:val="22"/>
              <w:spacing w:line="271" w:lineRule="exact"/>
              <w:ind w:left="11" w:right="2"/>
              <w:jc w:val="center"/>
              <w:rPr>
                <w:color w:val="auto"/>
                <w:sz w:val="21"/>
              </w:rPr>
            </w:pPr>
            <w:r>
              <w:rPr>
                <w:color w:val="auto"/>
                <w:spacing w:val="-5"/>
                <w:sz w:val="21"/>
              </w:rPr>
              <w:t>3.1</w:t>
            </w:r>
          </w:p>
        </w:tc>
        <w:tc>
          <w:tcPr>
            <w:tcW w:w="7912" w:type="dxa"/>
          </w:tcPr>
          <w:p w14:paraId="0BC0169D">
            <w:pPr>
              <w:pStyle w:val="22"/>
              <w:spacing w:line="271" w:lineRule="exact"/>
              <w:ind w:left="106"/>
              <w:rPr>
                <w:color w:val="auto"/>
                <w:sz w:val="21"/>
              </w:rPr>
            </w:pPr>
            <w:r>
              <w:rPr>
                <w:color w:val="auto"/>
                <w:spacing w:val="-3"/>
                <w:sz w:val="21"/>
              </w:rPr>
              <w:t>供应商的资格条件：详见竞争性磋商公告</w:t>
            </w:r>
          </w:p>
        </w:tc>
      </w:tr>
      <w:tr w14:paraId="22ED3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992" w:type="dxa"/>
          </w:tcPr>
          <w:p w14:paraId="4EABDAA1">
            <w:pPr>
              <w:pStyle w:val="22"/>
              <w:spacing w:line="269" w:lineRule="exact"/>
              <w:ind w:left="11" w:right="2"/>
              <w:jc w:val="center"/>
              <w:rPr>
                <w:color w:val="auto"/>
                <w:sz w:val="21"/>
              </w:rPr>
            </w:pPr>
            <w:r>
              <w:rPr>
                <w:color w:val="auto"/>
                <w:spacing w:val="-5"/>
                <w:sz w:val="21"/>
              </w:rPr>
              <w:t>5.1</w:t>
            </w:r>
          </w:p>
        </w:tc>
        <w:tc>
          <w:tcPr>
            <w:tcW w:w="7912" w:type="dxa"/>
          </w:tcPr>
          <w:p w14:paraId="7679F655">
            <w:pPr>
              <w:pStyle w:val="22"/>
              <w:spacing w:line="269" w:lineRule="exact"/>
              <w:ind w:left="106"/>
              <w:rPr>
                <w:color w:val="auto"/>
                <w:sz w:val="21"/>
              </w:rPr>
            </w:pPr>
            <w:r>
              <w:rPr>
                <w:color w:val="auto"/>
                <w:spacing w:val="-3"/>
                <w:sz w:val="21"/>
              </w:rPr>
              <w:t>是否接受联合体竞标: 详见竞争性磋商公告</w:t>
            </w:r>
          </w:p>
        </w:tc>
      </w:tr>
      <w:tr w14:paraId="4E9E2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92" w:type="dxa"/>
          </w:tcPr>
          <w:p w14:paraId="02E0A59B">
            <w:pPr>
              <w:pStyle w:val="22"/>
              <w:spacing w:line="271" w:lineRule="exact"/>
              <w:ind w:left="11" w:right="2"/>
              <w:jc w:val="center"/>
              <w:rPr>
                <w:color w:val="auto"/>
                <w:sz w:val="21"/>
              </w:rPr>
            </w:pPr>
            <w:r>
              <w:rPr>
                <w:color w:val="auto"/>
                <w:spacing w:val="-5"/>
                <w:sz w:val="21"/>
              </w:rPr>
              <w:t>5.2</w:t>
            </w:r>
          </w:p>
        </w:tc>
        <w:tc>
          <w:tcPr>
            <w:tcW w:w="7912" w:type="dxa"/>
          </w:tcPr>
          <w:p w14:paraId="5BA5A4B1">
            <w:pPr>
              <w:pStyle w:val="22"/>
              <w:spacing w:line="271" w:lineRule="exact"/>
              <w:ind w:left="106"/>
              <w:rPr>
                <w:color w:val="auto"/>
                <w:sz w:val="21"/>
              </w:rPr>
            </w:pPr>
            <w:r>
              <w:rPr>
                <w:color w:val="auto"/>
                <w:spacing w:val="-4"/>
                <w:sz w:val="21"/>
              </w:rPr>
              <w:t>如接受联合体竞标，联合体竞标要求如下：/</w:t>
            </w:r>
          </w:p>
        </w:tc>
      </w:tr>
      <w:tr w14:paraId="4E63D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2" w:hRule="atLeast"/>
        </w:trPr>
        <w:tc>
          <w:tcPr>
            <w:tcW w:w="992" w:type="dxa"/>
          </w:tcPr>
          <w:p w14:paraId="4522B220">
            <w:pPr>
              <w:pStyle w:val="22"/>
              <w:rPr>
                <w:b/>
                <w:color w:val="auto"/>
                <w:sz w:val="21"/>
              </w:rPr>
            </w:pPr>
          </w:p>
          <w:p w14:paraId="6B9A1BA2">
            <w:pPr>
              <w:pStyle w:val="22"/>
              <w:spacing w:before="266"/>
              <w:rPr>
                <w:b/>
                <w:color w:val="auto"/>
                <w:sz w:val="21"/>
              </w:rPr>
            </w:pPr>
          </w:p>
          <w:p w14:paraId="686627CC">
            <w:pPr>
              <w:pStyle w:val="22"/>
              <w:spacing w:before="1"/>
              <w:ind w:left="11" w:right="2"/>
              <w:jc w:val="center"/>
              <w:rPr>
                <w:color w:val="auto"/>
                <w:sz w:val="21"/>
              </w:rPr>
            </w:pPr>
            <w:r>
              <w:rPr>
                <w:color w:val="auto"/>
                <w:spacing w:val="-5"/>
                <w:sz w:val="21"/>
              </w:rPr>
              <w:t>6.2</w:t>
            </w:r>
          </w:p>
        </w:tc>
        <w:tc>
          <w:tcPr>
            <w:tcW w:w="7912" w:type="dxa"/>
          </w:tcPr>
          <w:p w14:paraId="40980AFF">
            <w:pPr>
              <w:pStyle w:val="22"/>
              <w:spacing w:line="270" w:lineRule="exact"/>
              <w:ind w:left="106"/>
              <w:rPr>
                <w:color w:val="auto"/>
                <w:sz w:val="21"/>
              </w:rPr>
            </w:pPr>
            <w:r>
              <w:rPr>
                <w:rFonts w:ascii="Wingdings 2" w:hAnsi="Wingdings 2" w:eastAsia="Wingdings 2"/>
                <w:color w:val="auto"/>
                <w:spacing w:val="-2"/>
                <w:sz w:val="21"/>
              </w:rPr>
              <w:t></w:t>
            </w:r>
            <w:r>
              <w:rPr>
                <w:color w:val="auto"/>
                <w:spacing w:val="-4"/>
                <w:sz w:val="21"/>
              </w:rPr>
              <w:t>不允许分包</w:t>
            </w:r>
          </w:p>
          <w:p w14:paraId="3A41163C">
            <w:pPr>
              <w:pStyle w:val="22"/>
              <w:spacing w:before="135"/>
              <w:ind w:left="106"/>
              <w:rPr>
                <w:color w:val="auto"/>
                <w:sz w:val="21"/>
              </w:rPr>
            </w:pPr>
            <w:r>
              <w:rPr>
                <w:color w:val="auto"/>
                <w:spacing w:val="-4"/>
                <w:sz w:val="21"/>
              </w:rPr>
              <w:t>□允许分包</w:t>
            </w:r>
          </w:p>
          <w:p w14:paraId="51F30DC7">
            <w:pPr>
              <w:pStyle w:val="22"/>
              <w:tabs>
                <w:tab w:val="left" w:pos="1786"/>
                <w:tab w:val="left" w:pos="5146"/>
              </w:tabs>
              <w:spacing w:before="137"/>
              <w:ind w:left="106"/>
              <w:rPr>
                <w:color w:val="auto"/>
                <w:sz w:val="21"/>
              </w:rPr>
            </w:pPr>
            <w:r>
              <w:rPr>
                <w:color w:val="auto"/>
                <w:spacing w:val="-2"/>
                <w:sz w:val="21"/>
              </w:rPr>
              <w:t>分包内容</w:t>
            </w:r>
            <w:r>
              <w:rPr>
                <w:color w:val="auto"/>
                <w:spacing w:val="-10"/>
                <w:sz w:val="21"/>
              </w:rPr>
              <w:t>：</w:t>
            </w:r>
            <w:r>
              <w:rPr>
                <w:rFonts w:ascii="Times New Roman" w:eastAsia="Times New Roman"/>
                <w:color w:val="auto"/>
                <w:sz w:val="21"/>
                <w:u w:val="single"/>
              </w:rPr>
              <w:tab/>
            </w:r>
            <w:r>
              <w:rPr>
                <w:color w:val="auto"/>
                <w:spacing w:val="-10"/>
                <w:sz w:val="21"/>
                <w:u w:val="single"/>
              </w:rPr>
              <w:t>/</w:t>
            </w:r>
            <w:r>
              <w:rPr>
                <w:color w:val="auto"/>
                <w:sz w:val="21"/>
                <w:u w:val="single"/>
              </w:rPr>
              <w:tab/>
            </w:r>
            <w:r>
              <w:rPr>
                <w:color w:val="auto"/>
                <w:spacing w:val="-10"/>
                <w:sz w:val="21"/>
                <w:u w:val="none"/>
              </w:rPr>
              <w:t>。</w:t>
            </w:r>
          </w:p>
          <w:p w14:paraId="0B61E7FC">
            <w:pPr>
              <w:pStyle w:val="22"/>
              <w:tabs>
                <w:tab w:val="left" w:pos="2523"/>
                <w:tab w:val="left" w:pos="5986"/>
              </w:tabs>
              <w:spacing w:before="135"/>
              <w:ind w:left="106"/>
              <w:rPr>
                <w:color w:val="auto"/>
                <w:sz w:val="21"/>
              </w:rPr>
            </w:pPr>
            <w:r>
              <w:rPr>
                <w:color w:val="auto"/>
                <w:spacing w:val="-2"/>
                <w:sz w:val="21"/>
              </w:rPr>
              <w:t>分包金额或者比例</w:t>
            </w:r>
            <w:r>
              <w:rPr>
                <w:color w:val="auto"/>
                <w:spacing w:val="-10"/>
                <w:sz w:val="21"/>
              </w:rPr>
              <w:t>：</w:t>
            </w:r>
            <w:r>
              <w:rPr>
                <w:rFonts w:ascii="Times New Roman" w:eastAsia="Times New Roman"/>
                <w:color w:val="auto"/>
                <w:sz w:val="21"/>
                <w:u w:val="single"/>
              </w:rPr>
              <w:tab/>
            </w:r>
            <w:r>
              <w:rPr>
                <w:color w:val="auto"/>
                <w:spacing w:val="-10"/>
                <w:sz w:val="21"/>
                <w:u w:val="single"/>
              </w:rPr>
              <w:t>/</w:t>
            </w:r>
            <w:r>
              <w:rPr>
                <w:color w:val="auto"/>
                <w:sz w:val="21"/>
                <w:u w:val="single"/>
              </w:rPr>
              <w:tab/>
            </w:r>
            <w:r>
              <w:rPr>
                <w:color w:val="auto"/>
                <w:spacing w:val="-10"/>
                <w:sz w:val="21"/>
                <w:u w:val="none"/>
              </w:rPr>
              <w:t>。</w:t>
            </w:r>
          </w:p>
          <w:p w14:paraId="777EF916">
            <w:pPr>
              <w:pStyle w:val="22"/>
              <w:tabs>
                <w:tab w:val="left" w:pos="3257"/>
                <w:tab w:val="left" w:pos="6302"/>
              </w:tabs>
              <w:spacing w:before="135"/>
              <w:ind w:left="106"/>
              <w:rPr>
                <w:color w:val="auto"/>
                <w:sz w:val="21"/>
              </w:rPr>
            </w:pPr>
            <w:r>
              <w:rPr>
                <w:color w:val="auto"/>
                <w:spacing w:val="-2"/>
                <w:sz w:val="21"/>
              </w:rPr>
              <w:t>分包供应商必须具备的资质</w:t>
            </w:r>
            <w:r>
              <w:rPr>
                <w:color w:val="auto"/>
                <w:spacing w:val="-10"/>
                <w:sz w:val="21"/>
              </w:rPr>
              <w:t>：</w:t>
            </w:r>
            <w:r>
              <w:rPr>
                <w:rFonts w:ascii="Times New Roman" w:eastAsia="Times New Roman"/>
                <w:color w:val="auto"/>
                <w:sz w:val="21"/>
                <w:u w:val="single"/>
              </w:rPr>
              <w:tab/>
            </w:r>
            <w:r>
              <w:rPr>
                <w:color w:val="auto"/>
                <w:spacing w:val="-10"/>
                <w:sz w:val="21"/>
                <w:u w:val="single"/>
              </w:rPr>
              <w:t>/</w:t>
            </w:r>
            <w:r>
              <w:rPr>
                <w:color w:val="auto"/>
                <w:sz w:val="21"/>
                <w:u w:val="single"/>
              </w:rPr>
              <w:tab/>
            </w:r>
            <w:r>
              <w:rPr>
                <w:color w:val="auto"/>
                <w:spacing w:val="-10"/>
                <w:sz w:val="21"/>
                <w:u w:val="none"/>
              </w:rPr>
              <w:t>。</w:t>
            </w:r>
          </w:p>
        </w:tc>
      </w:tr>
      <w:tr w14:paraId="440A5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8" w:hRule="atLeast"/>
        </w:trPr>
        <w:tc>
          <w:tcPr>
            <w:tcW w:w="992" w:type="dxa"/>
          </w:tcPr>
          <w:p w14:paraId="36DD39E7">
            <w:pPr>
              <w:pStyle w:val="22"/>
              <w:rPr>
                <w:b/>
                <w:color w:val="auto"/>
                <w:sz w:val="21"/>
              </w:rPr>
            </w:pPr>
          </w:p>
          <w:p w14:paraId="2301ED1C">
            <w:pPr>
              <w:pStyle w:val="22"/>
              <w:rPr>
                <w:b/>
                <w:color w:val="auto"/>
                <w:sz w:val="21"/>
              </w:rPr>
            </w:pPr>
          </w:p>
          <w:p w14:paraId="6196D06D">
            <w:pPr>
              <w:pStyle w:val="22"/>
              <w:rPr>
                <w:b/>
                <w:color w:val="auto"/>
                <w:sz w:val="21"/>
              </w:rPr>
            </w:pPr>
          </w:p>
          <w:p w14:paraId="29E8140A">
            <w:pPr>
              <w:pStyle w:val="22"/>
              <w:rPr>
                <w:b/>
                <w:color w:val="auto"/>
                <w:sz w:val="21"/>
              </w:rPr>
            </w:pPr>
          </w:p>
          <w:p w14:paraId="469034F4">
            <w:pPr>
              <w:pStyle w:val="22"/>
              <w:rPr>
                <w:b/>
                <w:color w:val="auto"/>
                <w:sz w:val="21"/>
              </w:rPr>
            </w:pPr>
          </w:p>
          <w:p w14:paraId="61852688">
            <w:pPr>
              <w:pStyle w:val="22"/>
              <w:rPr>
                <w:b/>
                <w:color w:val="auto"/>
                <w:sz w:val="21"/>
              </w:rPr>
            </w:pPr>
          </w:p>
          <w:p w14:paraId="6AB316CE">
            <w:pPr>
              <w:pStyle w:val="22"/>
              <w:rPr>
                <w:b/>
                <w:color w:val="auto"/>
                <w:sz w:val="21"/>
              </w:rPr>
            </w:pPr>
          </w:p>
          <w:p w14:paraId="0290B7E5">
            <w:pPr>
              <w:pStyle w:val="22"/>
              <w:rPr>
                <w:b/>
                <w:color w:val="auto"/>
                <w:sz w:val="21"/>
              </w:rPr>
            </w:pPr>
          </w:p>
          <w:p w14:paraId="43C2C96A">
            <w:pPr>
              <w:pStyle w:val="22"/>
              <w:rPr>
                <w:b/>
                <w:color w:val="auto"/>
                <w:sz w:val="21"/>
              </w:rPr>
            </w:pPr>
          </w:p>
          <w:p w14:paraId="0AE2A7FE">
            <w:pPr>
              <w:pStyle w:val="22"/>
              <w:rPr>
                <w:b/>
                <w:color w:val="auto"/>
                <w:sz w:val="21"/>
              </w:rPr>
            </w:pPr>
          </w:p>
          <w:p w14:paraId="6EDE4E3C">
            <w:pPr>
              <w:pStyle w:val="22"/>
              <w:rPr>
                <w:b/>
                <w:color w:val="auto"/>
                <w:sz w:val="21"/>
              </w:rPr>
            </w:pPr>
          </w:p>
          <w:p w14:paraId="152CFACD">
            <w:pPr>
              <w:pStyle w:val="22"/>
              <w:rPr>
                <w:b/>
                <w:color w:val="auto"/>
                <w:sz w:val="21"/>
              </w:rPr>
            </w:pPr>
          </w:p>
          <w:p w14:paraId="41231F3B">
            <w:pPr>
              <w:pStyle w:val="22"/>
              <w:rPr>
                <w:b/>
                <w:color w:val="auto"/>
                <w:sz w:val="21"/>
              </w:rPr>
            </w:pPr>
          </w:p>
          <w:p w14:paraId="587327E5">
            <w:pPr>
              <w:pStyle w:val="22"/>
              <w:spacing w:before="54"/>
              <w:rPr>
                <w:b/>
                <w:color w:val="auto"/>
                <w:sz w:val="21"/>
              </w:rPr>
            </w:pPr>
          </w:p>
          <w:p w14:paraId="14CDD094">
            <w:pPr>
              <w:pStyle w:val="22"/>
              <w:ind w:left="11" w:right="4"/>
              <w:jc w:val="center"/>
              <w:rPr>
                <w:color w:val="auto"/>
                <w:sz w:val="21"/>
              </w:rPr>
            </w:pPr>
            <w:r>
              <w:rPr>
                <w:color w:val="auto"/>
                <w:spacing w:val="-2"/>
                <w:sz w:val="21"/>
              </w:rPr>
              <w:t>12.1.1</w:t>
            </w:r>
          </w:p>
        </w:tc>
        <w:tc>
          <w:tcPr>
            <w:tcW w:w="7912" w:type="dxa"/>
          </w:tcPr>
          <w:p w14:paraId="62BE76F7">
            <w:pPr>
              <w:pStyle w:val="22"/>
              <w:spacing w:line="269" w:lineRule="exact"/>
              <w:ind w:left="106"/>
              <w:rPr>
                <w:b/>
                <w:color w:val="auto"/>
                <w:sz w:val="21"/>
              </w:rPr>
            </w:pPr>
            <w:r>
              <w:rPr>
                <w:b/>
                <w:color w:val="auto"/>
                <w:spacing w:val="-4"/>
                <w:sz w:val="21"/>
              </w:rPr>
              <w:t>资格证明文件</w:t>
            </w:r>
          </w:p>
          <w:p w14:paraId="04D2AB27">
            <w:pPr>
              <w:pStyle w:val="22"/>
              <w:numPr>
                <w:ilvl w:val="0"/>
                <w:numId w:val="4"/>
              </w:numPr>
              <w:tabs>
                <w:tab w:val="left" w:pos="317"/>
              </w:tabs>
              <w:spacing w:before="135" w:after="0" w:line="240" w:lineRule="auto"/>
              <w:ind w:left="317" w:right="0" w:hanging="211"/>
              <w:jc w:val="left"/>
              <w:rPr>
                <w:color w:val="auto"/>
                <w:sz w:val="21"/>
              </w:rPr>
            </w:pPr>
            <w:r>
              <w:rPr>
                <w:color w:val="auto"/>
                <w:spacing w:val="-2"/>
                <w:sz w:val="21"/>
              </w:rPr>
              <w:t>供应商有效的营业执照复印件；（</w:t>
            </w:r>
            <w:r>
              <w:rPr>
                <w:b/>
                <w:color w:val="auto"/>
                <w:spacing w:val="-2"/>
                <w:sz w:val="21"/>
              </w:rPr>
              <w:t>必须提供，否则响应文件按无效处理</w:t>
            </w:r>
            <w:r>
              <w:rPr>
                <w:color w:val="auto"/>
                <w:spacing w:val="-10"/>
                <w:sz w:val="21"/>
              </w:rPr>
              <w:t>）</w:t>
            </w:r>
          </w:p>
          <w:p w14:paraId="3A6288C5">
            <w:pPr>
              <w:pStyle w:val="22"/>
              <w:numPr>
                <w:ilvl w:val="0"/>
                <w:numId w:val="4"/>
              </w:numPr>
              <w:tabs>
                <w:tab w:val="left" w:pos="317"/>
              </w:tabs>
              <w:spacing w:before="137" w:after="0" w:line="240" w:lineRule="auto"/>
              <w:ind w:left="317" w:right="0" w:hanging="211"/>
              <w:jc w:val="left"/>
              <w:rPr>
                <w:b/>
                <w:color w:val="auto"/>
                <w:sz w:val="21"/>
              </w:rPr>
            </w:pPr>
            <w:r>
              <w:rPr>
                <w:color w:val="auto"/>
                <w:spacing w:val="-2"/>
                <w:sz w:val="21"/>
              </w:rPr>
              <w:t>本项目的特定资格要求：</w:t>
            </w:r>
            <w:r>
              <w:rPr>
                <w:b/>
                <w:color w:val="auto"/>
                <w:spacing w:val="-2"/>
                <w:sz w:val="21"/>
              </w:rPr>
              <w:t>（必须提供，否则响应文件按无效响应处理</w:t>
            </w:r>
            <w:r>
              <w:rPr>
                <w:b/>
                <w:color w:val="auto"/>
                <w:spacing w:val="-10"/>
                <w:sz w:val="21"/>
              </w:rPr>
              <w:t>）</w:t>
            </w:r>
          </w:p>
          <w:p w14:paraId="764B6C55">
            <w:pPr>
              <w:pStyle w:val="22"/>
              <w:numPr>
                <w:ilvl w:val="1"/>
                <w:numId w:val="4"/>
              </w:numPr>
              <w:tabs>
                <w:tab w:val="left" w:pos="472"/>
              </w:tabs>
              <w:spacing w:before="135" w:after="0" w:line="357" w:lineRule="auto"/>
              <w:ind w:left="106" w:right="288" w:firstLine="0"/>
              <w:jc w:val="both"/>
              <w:rPr>
                <w:color w:val="auto"/>
                <w:sz w:val="21"/>
              </w:rPr>
            </w:pPr>
            <w:r>
              <w:rPr>
                <w:color w:val="auto"/>
                <w:spacing w:val="-2"/>
                <w:sz w:val="21"/>
              </w:rPr>
              <w:t>供应商有效的建筑工程施工总承包三级以上（含三级）资质证书复印件，有效的省级及以上建设行政主管部门颁发的安全生产许可证复印件；</w:t>
            </w:r>
          </w:p>
          <w:p w14:paraId="3E93B78E">
            <w:pPr>
              <w:pStyle w:val="22"/>
              <w:numPr>
                <w:ilvl w:val="1"/>
                <w:numId w:val="4"/>
              </w:numPr>
              <w:tabs>
                <w:tab w:val="left" w:pos="472"/>
              </w:tabs>
              <w:spacing w:before="3" w:after="0" w:line="360" w:lineRule="auto"/>
              <w:ind w:left="106" w:right="235" w:firstLine="0"/>
              <w:jc w:val="both"/>
              <w:rPr>
                <w:color w:val="auto"/>
                <w:sz w:val="21"/>
              </w:rPr>
            </w:pPr>
            <w:r>
              <w:rPr>
                <w:color w:val="auto"/>
                <w:spacing w:val="-2"/>
                <w:sz w:val="21"/>
              </w:rPr>
              <w:t>项目经理有效的建筑工程专业二级以上（含二级）注册建造师执业资格证书复</w:t>
            </w:r>
            <w:r>
              <w:rPr>
                <w:color w:val="auto"/>
                <w:sz w:val="21"/>
              </w:rPr>
              <w:t>印件，有效的安全生产考核合格证书（B</w:t>
            </w:r>
            <w:r>
              <w:rPr>
                <w:color w:val="auto"/>
                <w:spacing w:val="-14"/>
                <w:sz w:val="21"/>
              </w:rPr>
              <w:t xml:space="preserve"> 类</w:t>
            </w:r>
            <w:r>
              <w:rPr>
                <w:color w:val="auto"/>
                <w:sz w:val="21"/>
              </w:rPr>
              <w:t>）证书复印件，且为本单位在职职工，</w:t>
            </w:r>
            <w:r>
              <w:rPr>
                <w:color w:val="auto"/>
                <w:spacing w:val="-2"/>
                <w:sz w:val="21"/>
              </w:rPr>
              <w:t>并未在其他在施建设工程项目中任职，提供未在其他在施建设工程项目中任职的承</w:t>
            </w:r>
            <w:r>
              <w:rPr>
                <w:color w:val="auto"/>
                <w:spacing w:val="-4"/>
                <w:sz w:val="21"/>
              </w:rPr>
              <w:t>诺函；</w:t>
            </w:r>
          </w:p>
          <w:p w14:paraId="2FD4ED31">
            <w:pPr>
              <w:pStyle w:val="22"/>
              <w:numPr>
                <w:ilvl w:val="1"/>
                <w:numId w:val="4"/>
              </w:numPr>
              <w:tabs>
                <w:tab w:val="left" w:pos="472"/>
              </w:tabs>
              <w:spacing w:before="0" w:after="0" w:line="269" w:lineRule="exact"/>
              <w:ind w:left="472" w:right="0" w:hanging="366"/>
              <w:jc w:val="both"/>
              <w:rPr>
                <w:color w:val="auto"/>
                <w:sz w:val="21"/>
              </w:rPr>
            </w:pPr>
            <w:r>
              <w:rPr>
                <w:color w:val="auto"/>
                <w:spacing w:val="-2"/>
                <w:sz w:val="21"/>
              </w:rPr>
              <w:t>专职安全员具备安全生产考核合格证书（C</w:t>
            </w:r>
            <w:r>
              <w:rPr>
                <w:color w:val="auto"/>
                <w:spacing w:val="-24"/>
                <w:sz w:val="21"/>
              </w:rPr>
              <w:t xml:space="preserve"> 类</w:t>
            </w:r>
            <w:r>
              <w:rPr>
                <w:color w:val="auto"/>
                <w:spacing w:val="-2"/>
                <w:sz w:val="21"/>
              </w:rPr>
              <w:t>）</w:t>
            </w:r>
            <w:r>
              <w:rPr>
                <w:color w:val="auto"/>
                <w:spacing w:val="-4"/>
                <w:sz w:val="21"/>
              </w:rPr>
              <w:t>复印件。</w:t>
            </w:r>
          </w:p>
          <w:p w14:paraId="23E8D6C9">
            <w:pPr>
              <w:pStyle w:val="22"/>
              <w:spacing w:before="135" w:line="360" w:lineRule="auto"/>
              <w:ind w:left="106" w:right="120"/>
              <w:rPr>
                <w:b/>
                <w:color w:val="auto"/>
                <w:sz w:val="21"/>
              </w:rPr>
            </w:pPr>
            <w:r>
              <w:rPr>
                <w:color w:val="auto"/>
                <w:sz w:val="21"/>
              </w:rPr>
              <w:t>3.供应商依法缴纳税收的相关材料（</w:t>
            </w:r>
            <w:r>
              <w:rPr>
                <w:color w:val="auto"/>
                <w:sz w:val="21"/>
                <w:u w:val="single"/>
              </w:rPr>
              <w:t>202</w:t>
            </w:r>
            <w:r>
              <w:rPr>
                <w:rFonts w:hint="eastAsia"/>
                <w:color w:val="auto"/>
                <w:sz w:val="21"/>
                <w:u w:val="single"/>
                <w:lang w:val="en-US" w:eastAsia="zh-CN"/>
              </w:rPr>
              <w:t>6</w:t>
            </w:r>
            <w:r>
              <w:rPr>
                <w:color w:val="auto"/>
                <w:spacing w:val="-35"/>
                <w:sz w:val="21"/>
                <w:u w:val="none"/>
              </w:rPr>
              <w:t xml:space="preserve"> 年 </w:t>
            </w:r>
            <w:r>
              <w:rPr>
                <w:rFonts w:hint="eastAsia"/>
                <w:color w:val="auto"/>
                <w:sz w:val="21"/>
                <w:u w:val="single"/>
                <w:lang w:val="en-US" w:eastAsia="zh-CN"/>
              </w:rPr>
              <w:t>1</w:t>
            </w:r>
            <w:r>
              <w:rPr>
                <w:color w:val="auto"/>
                <w:spacing w:val="-11"/>
                <w:sz w:val="21"/>
                <w:u w:val="none"/>
              </w:rPr>
              <w:t xml:space="preserve">月至响应文件递交截止时间前连续 </w:t>
            </w:r>
            <w:r>
              <w:rPr>
                <w:color w:val="auto"/>
                <w:sz w:val="21"/>
                <w:u w:val="single"/>
              </w:rPr>
              <w:t>3</w:t>
            </w:r>
            <w:r>
              <w:rPr>
                <w:color w:val="auto"/>
                <w:spacing w:val="-2"/>
                <w:sz w:val="21"/>
                <w:u w:val="none"/>
              </w:rPr>
              <w:t>个月的依法缴纳税收的凭据复印件；依法免税的，必须提供相应文件证明其依法免税。从成立之日起到响应文件提交截止时间止不足要求月数的，只需提供从成立之日起的依法缴纳税收相应证明文件）；（</w:t>
            </w:r>
            <w:r>
              <w:rPr>
                <w:b/>
                <w:color w:val="auto"/>
                <w:spacing w:val="-2"/>
                <w:sz w:val="21"/>
                <w:u w:val="none"/>
              </w:rPr>
              <w:t>必须提供，否则响应文件按无效处理</w:t>
            </w:r>
            <w:r>
              <w:rPr>
                <w:color w:val="auto"/>
                <w:spacing w:val="-2"/>
                <w:sz w:val="21"/>
                <w:u w:val="none"/>
              </w:rPr>
              <w:t>）</w:t>
            </w:r>
            <w:r>
              <w:rPr>
                <w:color w:val="auto"/>
                <w:spacing w:val="80"/>
                <w:w w:val="150"/>
                <w:sz w:val="21"/>
                <w:u w:val="none"/>
              </w:rPr>
              <w:t xml:space="preserve"> </w:t>
            </w:r>
            <w:r>
              <w:rPr>
                <w:color w:val="auto"/>
                <w:sz w:val="21"/>
                <w:u w:val="none"/>
              </w:rPr>
              <w:t>4.供应商依法缴纳社会保障资金的相关材料[</w:t>
            </w:r>
            <w:r>
              <w:rPr>
                <w:color w:val="auto"/>
                <w:sz w:val="21"/>
                <w:u w:val="single"/>
              </w:rPr>
              <w:t>202</w:t>
            </w:r>
            <w:r>
              <w:rPr>
                <w:rFonts w:hint="eastAsia"/>
                <w:color w:val="auto"/>
                <w:sz w:val="21"/>
                <w:u w:val="single"/>
                <w:lang w:val="en-US" w:eastAsia="zh-CN"/>
              </w:rPr>
              <w:t>6</w:t>
            </w:r>
            <w:r>
              <w:rPr>
                <w:color w:val="auto"/>
                <w:spacing w:val="-30"/>
                <w:sz w:val="21"/>
                <w:u w:val="none"/>
              </w:rPr>
              <w:t xml:space="preserve"> 年 </w:t>
            </w:r>
            <w:r>
              <w:rPr>
                <w:rFonts w:hint="eastAsia"/>
                <w:color w:val="auto"/>
                <w:sz w:val="21"/>
                <w:u w:val="single"/>
                <w:lang w:val="en-US" w:eastAsia="zh-CN"/>
              </w:rPr>
              <w:t>1</w:t>
            </w:r>
            <w:r>
              <w:rPr>
                <w:color w:val="auto"/>
                <w:spacing w:val="-7"/>
                <w:sz w:val="21"/>
                <w:u w:val="none"/>
              </w:rPr>
              <w:t xml:space="preserve"> 月至响应文件递交截止时间</w:t>
            </w:r>
            <w:r>
              <w:rPr>
                <w:color w:val="auto"/>
                <w:spacing w:val="-4"/>
                <w:sz w:val="21"/>
                <w:u w:val="none"/>
              </w:rPr>
              <w:t xml:space="preserve">前连续 </w:t>
            </w:r>
            <w:r>
              <w:rPr>
                <w:color w:val="auto"/>
                <w:sz w:val="21"/>
                <w:u w:val="single"/>
              </w:rPr>
              <w:t>3</w:t>
            </w:r>
            <w:r>
              <w:rPr>
                <w:color w:val="auto"/>
                <w:spacing w:val="-5"/>
                <w:sz w:val="21"/>
                <w:u w:val="none"/>
              </w:rPr>
              <w:t xml:space="preserve"> 个月的依法缴纳社会保障资金的缴费凭证</w:t>
            </w:r>
            <w:r>
              <w:rPr>
                <w:color w:val="auto"/>
                <w:sz w:val="21"/>
                <w:u w:val="none"/>
              </w:rPr>
              <w:t>（专用收据或者社会保险缴纳清</w:t>
            </w:r>
            <w:r>
              <w:rPr>
                <w:color w:val="auto"/>
                <w:spacing w:val="-2"/>
                <w:sz w:val="21"/>
                <w:u w:val="none"/>
              </w:rPr>
              <w:t>单等）复印件；依法不需要缴纳社会保障资金的，必须提供相应文件证明不需要缴纳社会保障资金。从成立之日起到响应文件提交截止时间止不足要求月数的只需提供从成立之日起的依法缴纳社会保障资金的相应证明文件]；（</w:t>
            </w:r>
            <w:r>
              <w:rPr>
                <w:b/>
                <w:color w:val="auto"/>
                <w:spacing w:val="-2"/>
                <w:sz w:val="21"/>
                <w:u w:val="none"/>
              </w:rPr>
              <w:t>必须提供，否则响应</w:t>
            </w:r>
          </w:p>
          <w:p w14:paraId="75D42E05">
            <w:pPr>
              <w:pStyle w:val="22"/>
              <w:spacing w:line="264" w:lineRule="exact"/>
              <w:ind w:left="106"/>
              <w:rPr>
                <w:color w:val="auto"/>
                <w:sz w:val="21"/>
              </w:rPr>
            </w:pPr>
            <w:r>
              <w:rPr>
                <w:b/>
                <w:color w:val="auto"/>
                <w:spacing w:val="-2"/>
                <w:sz w:val="21"/>
              </w:rPr>
              <w:t>文件按无效处理</w:t>
            </w:r>
            <w:r>
              <w:rPr>
                <w:color w:val="auto"/>
                <w:spacing w:val="-10"/>
                <w:sz w:val="21"/>
              </w:rPr>
              <w:t>）</w:t>
            </w:r>
          </w:p>
        </w:tc>
      </w:tr>
    </w:tbl>
    <w:p w14:paraId="6974E119">
      <w:pPr>
        <w:spacing w:after="0" w:line="264" w:lineRule="exact"/>
        <w:rPr>
          <w:color w:val="auto"/>
          <w:sz w:val="21"/>
        </w:rPr>
        <w:sectPr>
          <w:pgSz w:w="11910" w:h="16840"/>
          <w:pgMar w:top="1400" w:right="740" w:bottom="1180" w:left="800" w:header="0" w:footer="989" w:gutter="0"/>
          <w:cols w:space="720" w:num="1"/>
        </w:sectPr>
      </w:pPr>
    </w:p>
    <w:tbl>
      <w:tblPr>
        <w:tblStyle w:val="16"/>
        <w:tblW w:w="0" w:type="auto"/>
        <w:tblInd w:w="7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2"/>
        <w:gridCol w:w="7912"/>
      </w:tblGrid>
      <w:tr w14:paraId="44E79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79" w:hRule="atLeast"/>
        </w:trPr>
        <w:tc>
          <w:tcPr>
            <w:tcW w:w="992" w:type="dxa"/>
          </w:tcPr>
          <w:p w14:paraId="78BAC33B">
            <w:pPr>
              <w:pStyle w:val="22"/>
              <w:rPr>
                <w:rFonts w:ascii="Times New Roman"/>
                <w:color w:val="auto"/>
                <w:sz w:val="20"/>
              </w:rPr>
            </w:pPr>
          </w:p>
        </w:tc>
        <w:tc>
          <w:tcPr>
            <w:tcW w:w="7912" w:type="dxa"/>
          </w:tcPr>
          <w:p w14:paraId="48A3569C">
            <w:pPr>
              <w:pStyle w:val="22"/>
              <w:numPr>
                <w:ilvl w:val="0"/>
                <w:numId w:val="5"/>
              </w:numPr>
              <w:tabs>
                <w:tab w:val="left" w:pos="317"/>
              </w:tabs>
              <w:spacing w:before="0" w:after="0" w:line="357" w:lineRule="auto"/>
              <w:ind w:left="106" w:right="233" w:firstLine="0"/>
              <w:jc w:val="both"/>
              <w:rPr>
                <w:color w:val="auto"/>
                <w:sz w:val="21"/>
              </w:rPr>
            </w:pPr>
            <w:r>
              <w:rPr>
                <w:color w:val="auto"/>
                <w:sz w:val="21"/>
              </w:rPr>
              <w:t>供应商财务状况报告（</w:t>
            </w:r>
            <w:r>
              <w:rPr>
                <w:rFonts w:ascii="Times New Roman" w:eastAsia="Times New Roman"/>
                <w:color w:val="auto"/>
                <w:sz w:val="21"/>
                <w:u w:val="single"/>
              </w:rPr>
              <w:t>2024</w:t>
            </w:r>
            <w:r>
              <w:rPr>
                <w:rFonts w:ascii="Times New Roman" w:eastAsia="Times New Roman"/>
                <w:color w:val="auto"/>
                <w:spacing w:val="-14"/>
                <w:sz w:val="21"/>
                <w:u w:val="single"/>
              </w:rPr>
              <w:t xml:space="preserve"> </w:t>
            </w:r>
            <w:r>
              <w:rPr>
                <w:color w:val="auto"/>
                <w:spacing w:val="-9"/>
                <w:sz w:val="21"/>
                <w:u w:val="single"/>
              </w:rPr>
              <w:t xml:space="preserve">年或 </w:t>
            </w:r>
            <w:r>
              <w:rPr>
                <w:rFonts w:ascii="Times New Roman" w:eastAsia="Times New Roman"/>
                <w:color w:val="auto"/>
                <w:sz w:val="21"/>
                <w:u w:val="single"/>
              </w:rPr>
              <w:t xml:space="preserve">2025 </w:t>
            </w:r>
            <w:r>
              <w:rPr>
                <w:color w:val="auto"/>
                <w:sz w:val="21"/>
                <w:u w:val="single"/>
              </w:rPr>
              <w:t>年</w:t>
            </w:r>
            <w:r>
              <w:rPr>
                <w:color w:val="auto"/>
                <w:sz w:val="21"/>
                <w:u w:val="none"/>
              </w:rPr>
              <w:t>度财务报表复印件，或者银行出具的资</w:t>
            </w:r>
            <w:r>
              <w:rPr>
                <w:color w:val="auto"/>
                <w:spacing w:val="-2"/>
                <w:sz w:val="21"/>
                <w:u w:val="none"/>
              </w:rPr>
              <w:t>信证明，或者中国人民银行征信中心出具的信用报告；供应商属于成立时间在规定年度之后的法人或其他组织，需提供成立之日起至响应文件提交截止时间前的月报表或银行出具的资信证明或者中国人民银行征信中心出具的企业信用报告；资信证明应在有效期内，未注明有效期的，银行出具时间至响应文件提交截止时间不得超过一年）；（</w:t>
            </w:r>
            <w:r>
              <w:rPr>
                <w:b/>
                <w:color w:val="auto"/>
                <w:spacing w:val="-2"/>
                <w:sz w:val="21"/>
                <w:u w:val="none"/>
              </w:rPr>
              <w:t>必须提供，否则响应文件按无效处理</w:t>
            </w:r>
            <w:r>
              <w:rPr>
                <w:color w:val="auto"/>
                <w:spacing w:val="-2"/>
                <w:sz w:val="21"/>
                <w:u w:val="none"/>
              </w:rPr>
              <w:t>）</w:t>
            </w:r>
          </w:p>
          <w:p w14:paraId="73A68885">
            <w:pPr>
              <w:pStyle w:val="22"/>
              <w:numPr>
                <w:ilvl w:val="0"/>
                <w:numId w:val="5"/>
              </w:numPr>
              <w:tabs>
                <w:tab w:val="left" w:pos="317"/>
              </w:tabs>
              <w:spacing w:before="8" w:after="0" w:line="357" w:lineRule="auto"/>
              <w:ind w:left="106" w:right="225" w:firstLine="0"/>
              <w:jc w:val="left"/>
              <w:rPr>
                <w:color w:val="auto"/>
                <w:sz w:val="21"/>
              </w:rPr>
            </w:pPr>
            <w:r>
              <w:rPr>
                <w:color w:val="auto"/>
                <w:spacing w:val="-2"/>
                <w:sz w:val="21"/>
              </w:rPr>
              <w:t>供应商直接控股、管理关系信息表（格式后附）；（</w:t>
            </w:r>
            <w:r>
              <w:rPr>
                <w:b/>
                <w:color w:val="auto"/>
                <w:spacing w:val="-2"/>
                <w:sz w:val="21"/>
              </w:rPr>
              <w:t>必须提供，否则响应文件按无效处理</w:t>
            </w:r>
            <w:r>
              <w:rPr>
                <w:color w:val="auto"/>
                <w:spacing w:val="-2"/>
                <w:sz w:val="21"/>
              </w:rPr>
              <w:t>）</w:t>
            </w:r>
          </w:p>
          <w:p w14:paraId="24B77FBA">
            <w:pPr>
              <w:pStyle w:val="22"/>
              <w:numPr>
                <w:ilvl w:val="0"/>
                <w:numId w:val="5"/>
              </w:numPr>
              <w:tabs>
                <w:tab w:val="left" w:pos="317"/>
              </w:tabs>
              <w:spacing w:before="2" w:after="0" w:line="240" w:lineRule="auto"/>
              <w:ind w:left="317" w:right="0" w:hanging="211"/>
              <w:jc w:val="left"/>
              <w:rPr>
                <w:color w:val="auto"/>
                <w:sz w:val="21"/>
              </w:rPr>
            </w:pPr>
            <w:r>
              <w:rPr>
                <w:color w:val="auto"/>
                <w:spacing w:val="-2"/>
                <w:sz w:val="21"/>
              </w:rPr>
              <w:t>竞标声明（格式后附）；（</w:t>
            </w:r>
            <w:r>
              <w:rPr>
                <w:b/>
                <w:color w:val="auto"/>
                <w:spacing w:val="-2"/>
                <w:sz w:val="21"/>
              </w:rPr>
              <w:t>必须提供，否则响应文件按无效处理</w:t>
            </w:r>
            <w:r>
              <w:rPr>
                <w:color w:val="auto"/>
                <w:spacing w:val="-10"/>
                <w:sz w:val="21"/>
              </w:rPr>
              <w:t>）</w:t>
            </w:r>
          </w:p>
          <w:p w14:paraId="794EEBA6">
            <w:pPr>
              <w:pStyle w:val="22"/>
              <w:numPr>
                <w:ilvl w:val="0"/>
                <w:numId w:val="5"/>
              </w:numPr>
              <w:tabs>
                <w:tab w:val="left" w:pos="317"/>
              </w:tabs>
              <w:spacing w:before="135" w:after="0" w:line="360" w:lineRule="auto"/>
              <w:ind w:left="106" w:right="233" w:firstLine="0"/>
              <w:jc w:val="left"/>
              <w:rPr>
                <w:color w:val="auto"/>
                <w:sz w:val="21"/>
              </w:rPr>
            </w:pPr>
            <w:r>
              <w:rPr>
                <w:color w:val="auto"/>
                <w:spacing w:val="-2"/>
                <w:sz w:val="21"/>
              </w:rPr>
              <w:t>施工单位为小微企业或者监狱企业或者残疾人福利性单位的资格证明材料【供应商为小微企业的应当提供《中小企业声明函》；供应商为残疾人福利性单位的应当提供《残疾人福利性单位声明函》；供应商为监狱企业的应当提供由省级以上监狱管理局、戒毒管理局（含新疆生产建设兵团）出具的属于监狱企业的证明文</w:t>
            </w:r>
            <w:r>
              <w:rPr>
                <w:color w:val="auto"/>
                <w:spacing w:val="40"/>
                <w:sz w:val="21"/>
              </w:rPr>
              <w:t xml:space="preserve"> </w:t>
            </w:r>
            <w:r>
              <w:rPr>
                <w:color w:val="auto"/>
                <w:spacing w:val="-2"/>
                <w:sz w:val="21"/>
              </w:rPr>
              <w:t>件】（声明函格式后附）；（</w:t>
            </w:r>
            <w:r>
              <w:rPr>
                <w:b/>
                <w:color w:val="auto"/>
                <w:spacing w:val="-2"/>
                <w:sz w:val="21"/>
              </w:rPr>
              <w:t>必须提供，否则响应文件按无效处理</w:t>
            </w:r>
            <w:r>
              <w:rPr>
                <w:color w:val="auto"/>
                <w:spacing w:val="-2"/>
                <w:sz w:val="21"/>
              </w:rPr>
              <w:t>）</w:t>
            </w:r>
          </w:p>
          <w:p w14:paraId="731388FE">
            <w:pPr>
              <w:pStyle w:val="22"/>
              <w:numPr>
                <w:ilvl w:val="0"/>
                <w:numId w:val="5"/>
              </w:numPr>
              <w:tabs>
                <w:tab w:val="left" w:pos="317"/>
              </w:tabs>
              <w:spacing w:before="0" w:after="0" w:line="357" w:lineRule="auto"/>
              <w:ind w:left="106" w:right="1073" w:firstLine="0"/>
              <w:jc w:val="left"/>
              <w:rPr>
                <w:b/>
                <w:color w:val="auto"/>
                <w:sz w:val="21"/>
              </w:rPr>
            </w:pPr>
            <w:r>
              <w:rPr>
                <w:color w:val="auto"/>
                <w:spacing w:val="-2"/>
                <w:sz w:val="21"/>
              </w:rPr>
              <w:t>除磋商文件规定必须提供以外，供应商认为需要提供的其他证明材料。</w:t>
            </w:r>
            <w:r>
              <w:rPr>
                <w:b/>
                <w:color w:val="auto"/>
                <w:spacing w:val="-6"/>
                <w:sz w:val="21"/>
              </w:rPr>
              <w:t>注：</w:t>
            </w:r>
          </w:p>
          <w:p w14:paraId="5A824440">
            <w:pPr>
              <w:pStyle w:val="22"/>
              <w:numPr>
                <w:ilvl w:val="1"/>
                <w:numId w:val="5"/>
              </w:numPr>
              <w:tabs>
                <w:tab w:val="left" w:pos="729"/>
              </w:tabs>
              <w:spacing w:before="0" w:after="0" w:line="357" w:lineRule="auto"/>
              <w:ind w:left="106" w:right="211" w:firstLine="412"/>
              <w:jc w:val="left"/>
              <w:rPr>
                <w:b/>
                <w:color w:val="auto"/>
                <w:sz w:val="21"/>
              </w:rPr>
            </w:pPr>
            <w:r>
              <w:rPr>
                <w:b/>
                <w:color w:val="auto"/>
                <w:spacing w:val="-2"/>
                <w:sz w:val="21"/>
              </w:rPr>
              <w:t>以上标明“必须提供”的材料属于复印件的，必须加盖供应商电子签章，否则响应文件按无效处理。</w:t>
            </w:r>
          </w:p>
          <w:p w14:paraId="65E53ABA">
            <w:pPr>
              <w:pStyle w:val="22"/>
              <w:numPr>
                <w:ilvl w:val="1"/>
                <w:numId w:val="5"/>
              </w:numPr>
              <w:tabs>
                <w:tab w:val="left" w:pos="739"/>
              </w:tabs>
              <w:spacing w:before="2" w:after="0" w:line="357" w:lineRule="auto"/>
              <w:ind w:left="106" w:right="204" w:firstLine="422"/>
              <w:jc w:val="left"/>
              <w:rPr>
                <w:b/>
                <w:color w:val="auto"/>
                <w:sz w:val="21"/>
              </w:rPr>
            </w:pPr>
            <w:r>
              <w:rPr>
                <w:b/>
                <w:color w:val="auto"/>
                <w:spacing w:val="-7"/>
                <w:sz w:val="21"/>
              </w:rPr>
              <w:t xml:space="preserve">联合体竞标时，第 </w:t>
            </w:r>
            <w:r>
              <w:rPr>
                <w:b/>
                <w:color w:val="auto"/>
                <w:spacing w:val="-2"/>
                <w:sz w:val="21"/>
              </w:rPr>
              <w:t>1-6</w:t>
            </w:r>
            <w:r>
              <w:rPr>
                <w:b/>
                <w:color w:val="auto"/>
                <w:spacing w:val="-8"/>
                <w:sz w:val="21"/>
              </w:rPr>
              <w:t xml:space="preserve"> 项资格证明文件联合体各方均必须分别提供，并由联</w:t>
            </w:r>
            <w:r>
              <w:rPr>
                <w:b/>
                <w:color w:val="auto"/>
                <w:spacing w:val="-2"/>
                <w:sz w:val="21"/>
              </w:rPr>
              <w:t>合体牵头人加盖电子签章，规定签字处签字（或者电子签名），否则响应文件按无</w:t>
            </w:r>
          </w:p>
          <w:p w14:paraId="3FEEF65B">
            <w:pPr>
              <w:pStyle w:val="22"/>
              <w:spacing w:before="5"/>
              <w:ind w:left="106"/>
              <w:rPr>
                <w:b/>
                <w:color w:val="auto"/>
                <w:sz w:val="21"/>
              </w:rPr>
            </w:pPr>
            <w:r>
              <w:rPr>
                <w:b/>
                <w:color w:val="auto"/>
                <w:spacing w:val="-4"/>
                <w:sz w:val="21"/>
              </w:rPr>
              <w:t>效处理。</w:t>
            </w:r>
          </w:p>
        </w:tc>
      </w:tr>
      <w:tr w14:paraId="04A59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1" w:hRule="atLeast"/>
        </w:trPr>
        <w:tc>
          <w:tcPr>
            <w:tcW w:w="992" w:type="dxa"/>
          </w:tcPr>
          <w:p w14:paraId="56A763A5">
            <w:pPr>
              <w:pStyle w:val="22"/>
              <w:rPr>
                <w:b/>
                <w:color w:val="auto"/>
                <w:sz w:val="21"/>
              </w:rPr>
            </w:pPr>
          </w:p>
          <w:p w14:paraId="0CEE3A7A">
            <w:pPr>
              <w:pStyle w:val="22"/>
              <w:spacing w:before="266"/>
              <w:rPr>
                <w:b/>
                <w:color w:val="auto"/>
                <w:sz w:val="21"/>
              </w:rPr>
            </w:pPr>
          </w:p>
          <w:p w14:paraId="48B243BB">
            <w:pPr>
              <w:pStyle w:val="22"/>
              <w:ind w:left="11" w:right="4"/>
              <w:jc w:val="center"/>
              <w:rPr>
                <w:color w:val="auto"/>
                <w:sz w:val="21"/>
              </w:rPr>
            </w:pPr>
            <w:r>
              <w:rPr>
                <w:color w:val="auto"/>
                <w:spacing w:val="-2"/>
                <w:sz w:val="21"/>
              </w:rPr>
              <w:t>12.1.2</w:t>
            </w:r>
          </w:p>
        </w:tc>
        <w:tc>
          <w:tcPr>
            <w:tcW w:w="7912" w:type="dxa"/>
          </w:tcPr>
          <w:p w14:paraId="4D2FDEAA">
            <w:pPr>
              <w:pStyle w:val="22"/>
              <w:spacing w:line="269" w:lineRule="exact"/>
              <w:ind w:left="106"/>
              <w:rPr>
                <w:color w:val="auto"/>
                <w:sz w:val="21"/>
              </w:rPr>
            </w:pPr>
            <w:r>
              <w:rPr>
                <w:color w:val="auto"/>
                <w:spacing w:val="-7"/>
                <w:sz w:val="21"/>
              </w:rPr>
              <w:t>报价文件</w:t>
            </w:r>
          </w:p>
          <w:p w14:paraId="78B52830">
            <w:pPr>
              <w:pStyle w:val="22"/>
              <w:numPr>
                <w:ilvl w:val="0"/>
                <w:numId w:val="6"/>
              </w:numPr>
              <w:tabs>
                <w:tab w:val="left" w:pos="317"/>
              </w:tabs>
              <w:spacing w:before="135" w:after="0" w:line="240" w:lineRule="auto"/>
              <w:ind w:left="317" w:right="0" w:hanging="211"/>
              <w:jc w:val="left"/>
              <w:rPr>
                <w:color w:val="auto"/>
                <w:sz w:val="21"/>
              </w:rPr>
            </w:pPr>
            <w:r>
              <w:rPr>
                <w:color w:val="auto"/>
                <w:spacing w:val="-2"/>
                <w:sz w:val="21"/>
              </w:rPr>
              <w:t>竞标函及竞标函附录（格式后附）；（</w:t>
            </w:r>
            <w:r>
              <w:rPr>
                <w:b/>
                <w:color w:val="auto"/>
                <w:spacing w:val="-2"/>
                <w:sz w:val="21"/>
              </w:rPr>
              <w:t>必须提供，否则响应文件按无效处理</w:t>
            </w:r>
            <w:r>
              <w:rPr>
                <w:color w:val="auto"/>
                <w:spacing w:val="-10"/>
                <w:sz w:val="21"/>
              </w:rPr>
              <w:t>）</w:t>
            </w:r>
          </w:p>
          <w:p w14:paraId="44227026">
            <w:pPr>
              <w:pStyle w:val="22"/>
              <w:numPr>
                <w:ilvl w:val="0"/>
                <w:numId w:val="6"/>
              </w:numPr>
              <w:tabs>
                <w:tab w:val="left" w:pos="317"/>
              </w:tabs>
              <w:spacing w:before="135" w:after="0" w:line="240" w:lineRule="auto"/>
              <w:ind w:left="317" w:right="0" w:hanging="211"/>
              <w:jc w:val="left"/>
              <w:rPr>
                <w:color w:val="auto"/>
                <w:sz w:val="21"/>
              </w:rPr>
            </w:pPr>
            <w:r>
              <w:rPr>
                <w:color w:val="auto"/>
                <w:spacing w:val="-2"/>
                <w:sz w:val="21"/>
              </w:rPr>
              <w:t>竞标报价表（格式后附）；（</w:t>
            </w:r>
            <w:r>
              <w:rPr>
                <w:b/>
                <w:color w:val="auto"/>
                <w:spacing w:val="-2"/>
                <w:sz w:val="21"/>
              </w:rPr>
              <w:t>必须提供，否则响应文件按无效处理</w:t>
            </w:r>
            <w:r>
              <w:rPr>
                <w:color w:val="auto"/>
                <w:spacing w:val="-10"/>
                <w:sz w:val="21"/>
              </w:rPr>
              <w:t>）</w:t>
            </w:r>
          </w:p>
          <w:p w14:paraId="7A87E1A0">
            <w:pPr>
              <w:pStyle w:val="22"/>
              <w:numPr>
                <w:ilvl w:val="0"/>
                <w:numId w:val="6"/>
              </w:numPr>
              <w:tabs>
                <w:tab w:val="left" w:pos="317"/>
              </w:tabs>
              <w:spacing w:before="135" w:after="0" w:line="240" w:lineRule="auto"/>
              <w:ind w:left="317" w:right="0" w:hanging="211"/>
              <w:jc w:val="left"/>
              <w:rPr>
                <w:color w:val="auto"/>
                <w:sz w:val="21"/>
              </w:rPr>
            </w:pPr>
            <w:r>
              <w:rPr>
                <w:color w:val="auto"/>
                <w:spacing w:val="-2"/>
                <w:sz w:val="21"/>
              </w:rPr>
              <w:t>已标价工程量清单；（</w:t>
            </w:r>
            <w:r>
              <w:rPr>
                <w:b/>
                <w:color w:val="auto"/>
                <w:spacing w:val="-2"/>
                <w:sz w:val="21"/>
              </w:rPr>
              <w:t>必须提供，否则响应文件按无效处理</w:t>
            </w:r>
            <w:r>
              <w:rPr>
                <w:color w:val="auto"/>
                <w:spacing w:val="-10"/>
                <w:sz w:val="21"/>
              </w:rPr>
              <w:t>）</w:t>
            </w:r>
          </w:p>
          <w:p w14:paraId="7AE144BB">
            <w:pPr>
              <w:pStyle w:val="22"/>
              <w:numPr>
                <w:ilvl w:val="0"/>
                <w:numId w:val="6"/>
              </w:numPr>
              <w:tabs>
                <w:tab w:val="left" w:pos="317"/>
              </w:tabs>
              <w:spacing w:before="137" w:after="0" w:line="240" w:lineRule="auto"/>
              <w:ind w:left="317" w:right="0" w:hanging="211"/>
              <w:jc w:val="left"/>
              <w:rPr>
                <w:color w:val="auto"/>
                <w:sz w:val="21"/>
              </w:rPr>
            </w:pPr>
            <w:r>
              <w:rPr>
                <w:color w:val="auto"/>
                <w:spacing w:val="-3"/>
                <w:sz w:val="21"/>
              </w:rPr>
              <w:t>供应商认为需要提供的其他有关资料。</w:t>
            </w:r>
          </w:p>
        </w:tc>
      </w:tr>
      <w:tr w14:paraId="42FC4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7" w:hRule="atLeast"/>
        </w:trPr>
        <w:tc>
          <w:tcPr>
            <w:tcW w:w="992" w:type="dxa"/>
          </w:tcPr>
          <w:p w14:paraId="4AF06BA0">
            <w:pPr>
              <w:pStyle w:val="22"/>
              <w:rPr>
                <w:b/>
                <w:color w:val="auto"/>
                <w:sz w:val="21"/>
              </w:rPr>
            </w:pPr>
          </w:p>
          <w:p w14:paraId="5B758CEC">
            <w:pPr>
              <w:pStyle w:val="22"/>
              <w:rPr>
                <w:b/>
                <w:color w:val="auto"/>
                <w:sz w:val="21"/>
              </w:rPr>
            </w:pPr>
          </w:p>
          <w:p w14:paraId="608660C9">
            <w:pPr>
              <w:pStyle w:val="22"/>
              <w:rPr>
                <w:b/>
                <w:color w:val="auto"/>
                <w:sz w:val="21"/>
              </w:rPr>
            </w:pPr>
          </w:p>
          <w:p w14:paraId="3C65D16F">
            <w:pPr>
              <w:pStyle w:val="22"/>
              <w:rPr>
                <w:b/>
                <w:color w:val="auto"/>
                <w:sz w:val="21"/>
              </w:rPr>
            </w:pPr>
          </w:p>
          <w:p w14:paraId="5207A636">
            <w:pPr>
              <w:pStyle w:val="22"/>
              <w:spacing w:before="61"/>
              <w:rPr>
                <w:b/>
                <w:color w:val="auto"/>
                <w:sz w:val="21"/>
              </w:rPr>
            </w:pPr>
          </w:p>
          <w:p w14:paraId="6DE90B67">
            <w:pPr>
              <w:pStyle w:val="22"/>
              <w:ind w:left="11" w:right="4"/>
              <w:jc w:val="center"/>
              <w:rPr>
                <w:color w:val="auto"/>
                <w:sz w:val="21"/>
              </w:rPr>
            </w:pPr>
            <w:r>
              <w:rPr>
                <w:color w:val="auto"/>
                <w:spacing w:val="-2"/>
                <w:sz w:val="21"/>
              </w:rPr>
              <w:t>12.1.3</w:t>
            </w:r>
          </w:p>
        </w:tc>
        <w:tc>
          <w:tcPr>
            <w:tcW w:w="7912" w:type="dxa"/>
          </w:tcPr>
          <w:p w14:paraId="2A0065E7">
            <w:pPr>
              <w:pStyle w:val="22"/>
              <w:spacing w:line="269" w:lineRule="exact"/>
              <w:ind w:left="106"/>
              <w:rPr>
                <w:b/>
                <w:color w:val="auto"/>
                <w:sz w:val="21"/>
              </w:rPr>
            </w:pPr>
            <w:r>
              <w:rPr>
                <w:b/>
                <w:color w:val="auto"/>
                <w:spacing w:val="-4"/>
                <w:sz w:val="21"/>
              </w:rPr>
              <w:t>商务技术文件</w:t>
            </w:r>
          </w:p>
          <w:p w14:paraId="34069363">
            <w:pPr>
              <w:pStyle w:val="22"/>
              <w:numPr>
                <w:ilvl w:val="0"/>
                <w:numId w:val="7"/>
              </w:numPr>
              <w:tabs>
                <w:tab w:val="left" w:pos="326"/>
              </w:tabs>
              <w:spacing w:before="135" w:after="0" w:line="360" w:lineRule="auto"/>
              <w:ind w:left="106" w:right="98" w:firstLine="0"/>
              <w:jc w:val="left"/>
              <w:rPr>
                <w:color w:val="auto"/>
                <w:sz w:val="21"/>
              </w:rPr>
            </w:pPr>
            <w:r>
              <w:rPr>
                <w:color w:val="auto"/>
                <w:spacing w:val="9"/>
                <w:w w:val="99"/>
                <w:sz w:val="21"/>
              </w:rPr>
              <w:t>无串通竞标行为的承诺函（格式后附</w:t>
            </w:r>
            <w:r>
              <w:rPr>
                <w:color w:val="auto"/>
                <w:spacing w:val="11"/>
                <w:w w:val="99"/>
                <w:sz w:val="21"/>
              </w:rPr>
              <w:t>）；</w:t>
            </w:r>
            <w:r>
              <w:rPr>
                <w:color w:val="auto"/>
                <w:spacing w:val="9"/>
                <w:w w:val="99"/>
                <w:sz w:val="21"/>
              </w:rPr>
              <w:t>（</w:t>
            </w:r>
            <w:r>
              <w:rPr>
                <w:b/>
                <w:color w:val="auto"/>
                <w:spacing w:val="9"/>
                <w:w w:val="99"/>
                <w:sz w:val="21"/>
              </w:rPr>
              <w:t>必须提供，否则响应文件按无效处</w:t>
            </w:r>
            <w:r>
              <w:rPr>
                <w:b/>
                <w:color w:val="auto"/>
                <w:spacing w:val="2"/>
                <w:w w:val="99"/>
                <w:sz w:val="21"/>
              </w:rPr>
              <w:t>理</w:t>
            </w:r>
            <w:r>
              <w:rPr>
                <w:color w:val="auto"/>
                <w:w w:val="99"/>
                <w:sz w:val="21"/>
              </w:rPr>
              <w:t>）</w:t>
            </w:r>
          </w:p>
          <w:p w14:paraId="2C0F6E2E">
            <w:pPr>
              <w:pStyle w:val="22"/>
              <w:numPr>
                <w:ilvl w:val="0"/>
                <w:numId w:val="7"/>
              </w:numPr>
              <w:tabs>
                <w:tab w:val="left" w:pos="317"/>
              </w:tabs>
              <w:spacing w:before="0" w:after="0" w:line="272" w:lineRule="exact"/>
              <w:ind w:left="317" w:right="0" w:hanging="211"/>
              <w:jc w:val="left"/>
              <w:rPr>
                <w:color w:val="auto"/>
                <w:sz w:val="21"/>
              </w:rPr>
            </w:pPr>
            <w:r>
              <w:rPr>
                <w:color w:val="auto"/>
                <w:spacing w:val="-2"/>
                <w:sz w:val="21"/>
              </w:rPr>
              <w:t>法定代表人身份证明书及法定代表人有效身份证正反面复印件（格式后附</w:t>
            </w:r>
            <w:r>
              <w:rPr>
                <w:color w:val="auto"/>
                <w:spacing w:val="-5"/>
                <w:sz w:val="21"/>
              </w:rPr>
              <w:t>）；</w:t>
            </w:r>
          </w:p>
          <w:p w14:paraId="0F7FBCD1">
            <w:pPr>
              <w:pStyle w:val="22"/>
              <w:spacing w:before="135"/>
              <w:ind w:left="106"/>
              <w:rPr>
                <w:color w:val="auto"/>
                <w:sz w:val="21"/>
              </w:rPr>
            </w:pPr>
            <w:r>
              <w:rPr>
                <w:color w:val="auto"/>
                <w:spacing w:val="-2"/>
                <w:sz w:val="21"/>
              </w:rPr>
              <w:t>（</w:t>
            </w:r>
            <w:r>
              <w:rPr>
                <w:b/>
                <w:color w:val="auto"/>
                <w:spacing w:val="-2"/>
                <w:sz w:val="21"/>
              </w:rPr>
              <w:t>必须提供，否则响应文件按无效处理</w:t>
            </w:r>
            <w:r>
              <w:rPr>
                <w:color w:val="auto"/>
                <w:spacing w:val="-10"/>
                <w:sz w:val="21"/>
              </w:rPr>
              <w:t>）</w:t>
            </w:r>
          </w:p>
          <w:p w14:paraId="4EFAFAE6">
            <w:pPr>
              <w:pStyle w:val="22"/>
              <w:numPr>
                <w:ilvl w:val="0"/>
                <w:numId w:val="7"/>
              </w:numPr>
              <w:tabs>
                <w:tab w:val="left" w:pos="319"/>
              </w:tabs>
              <w:spacing w:before="135" w:after="0" w:line="360" w:lineRule="auto"/>
              <w:ind w:left="106" w:right="98" w:firstLine="0"/>
              <w:jc w:val="left"/>
              <w:rPr>
                <w:color w:val="auto"/>
                <w:sz w:val="21"/>
              </w:rPr>
            </w:pPr>
            <w:r>
              <w:rPr>
                <w:color w:val="auto"/>
                <w:spacing w:val="-2"/>
                <w:sz w:val="21"/>
              </w:rPr>
              <w:t>授权委托书及委托代理人有效身份证正反面复印件（格式后附）；（</w:t>
            </w:r>
            <w:r>
              <w:rPr>
                <w:b/>
                <w:color w:val="auto"/>
                <w:spacing w:val="-2"/>
                <w:sz w:val="21"/>
              </w:rPr>
              <w:t>委托时必须提供，否则响应文件按无效处理</w:t>
            </w:r>
            <w:r>
              <w:rPr>
                <w:color w:val="auto"/>
                <w:spacing w:val="-2"/>
                <w:sz w:val="21"/>
              </w:rPr>
              <w:t>）</w:t>
            </w:r>
          </w:p>
          <w:p w14:paraId="3D9319C7">
            <w:pPr>
              <w:pStyle w:val="22"/>
              <w:numPr>
                <w:ilvl w:val="0"/>
                <w:numId w:val="7"/>
              </w:numPr>
              <w:tabs>
                <w:tab w:val="left" w:pos="319"/>
              </w:tabs>
              <w:spacing w:before="0" w:after="0" w:line="272" w:lineRule="exact"/>
              <w:ind w:left="319" w:right="0" w:hanging="213"/>
              <w:jc w:val="left"/>
              <w:rPr>
                <w:b/>
                <w:color w:val="auto"/>
                <w:sz w:val="21"/>
              </w:rPr>
            </w:pPr>
            <w:r>
              <w:rPr>
                <w:color w:val="auto"/>
                <w:sz w:val="21"/>
              </w:rPr>
              <w:t>建筑材料和设备节能环保要求承诺书（格式后附）；（</w:t>
            </w:r>
            <w:r>
              <w:rPr>
                <w:b/>
                <w:color w:val="auto"/>
                <w:spacing w:val="-1"/>
                <w:sz w:val="21"/>
              </w:rPr>
              <w:t>必须提供，否则响应文件</w:t>
            </w:r>
          </w:p>
        </w:tc>
      </w:tr>
    </w:tbl>
    <w:p w14:paraId="1FFF4281">
      <w:pPr>
        <w:spacing w:after="0" w:line="272" w:lineRule="exact"/>
        <w:jc w:val="left"/>
        <w:rPr>
          <w:color w:val="auto"/>
          <w:sz w:val="21"/>
        </w:rPr>
        <w:sectPr>
          <w:type w:val="continuous"/>
          <w:pgSz w:w="11910" w:h="16840"/>
          <w:pgMar w:top="1400" w:right="740" w:bottom="1180" w:left="800" w:header="0" w:footer="989" w:gutter="0"/>
          <w:cols w:space="720" w:num="1"/>
        </w:sectPr>
      </w:pPr>
    </w:p>
    <w:tbl>
      <w:tblPr>
        <w:tblStyle w:val="16"/>
        <w:tblW w:w="0" w:type="auto"/>
        <w:tblInd w:w="7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2"/>
        <w:gridCol w:w="7912"/>
      </w:tblGrid>
      <w:tr w14:paraId="78F07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1" w:hRule="atLeast"/>
        </w:trPr>
        <w:tc>
          <w:tcPr>
            <w:tcW w:w="992" w:type="dxa"/>
          </w:tcPr>
          <w:p w14:paraId="607FA22A">
            <w:pPr>
              <w:pStyle w:val="22"/>
              <w:rPr>
                <w:rFonts w:ascii="Times New Roman"/>
                <w:color w:val="auto"/>
                <w:sz w:val="20"/>
              </w:rPr>
            </w:pPr>
          </w:p>
        </w:tc>
        <w:tc>
          <w:tcPr>
            <w:tcW w:w="7912" w:type="dxa"/>
          </w:tcPr>
          <w:p w14:paraId="05F5DE6D">
            <w:pPr>
              <w:pStyle w:val="22"/>
              <w:spacing w:line="271" w:lineRule="exact"/>
              <w:ind w:left="106"/>
              <w:rPr>
                <w:color w:val="auto"/>
                <w:sz w:val="21"/>
              </w:rPr>
            </w:pPr>
            <w:r>
              <w:rPr>
                <w:b/>
                <w:color w:val="auto"/>
                <w:spacing w:val="-2"/>
                <w:sz w:val="21"/>
              </w:rPr>
              <w:t>按无效处理</w:t>
            </w:r>
            <w:r>
              <w:rPr>
                <w:color w:val="auto"/>
                <w:spacing w:val="-10"/>
                <w:sz w:val="21"/>
              </w:rPr>
              <w:t>）</w:t>
            </w:r>
          </w:p>
          <w:p w14:paraId="43737550">
            <w:pPr>
              <w:pStyle w:val="22"/>
              <w:numPr>
                <w:ilvl w:val="0"/>
                <w:numId w:val="8"/>
              </w:numPr>
              <w:tabs>
                <w:tab w:val="left" w:pos="317"/>
              </w:tabs>
              <w:spacing w:before="135" w:after="0" w:line="240" w:lineRule="auto"/>
              <w:ind w:left="317" w:right="0" w:hanging="211"/>
              <w:jc w:val="left"/>
              <w:rPr>
                <w:color w:val="auto"/>
                <w:sz w:val="21"/>
              </w:rPr>
            </w:pPr>
            <w:r>
              <w:rPr>
                <w:color w:val="auto"/>
                <w:spacing w:val="-2"/>
                <w:sz w:val="21"/>
              </w:rPr>
              <w:t>代理服务费承诺书（格式后附</w:t>
            </w:r>
            <w:r>
              <w:rPr>
                <w:color w:val="auto"/>
                <w:spacing w:val="-5"/>
                <w:sz w:val="21"/>
              </w:rPr>
              <w:t>）；</w:t>
            </w:r>
          </w:p>
          <w:p w14:paraId="0464376F">
            <w:pPr>
              <w:pStyle w:val="22"/>
              <w:numPr>
                <w:ilvl w:val="0"/>
                <w:numId w:val="8"/>
              </w:numPr>
              <w:tabs>
                <w:tab w:val="left" w:pos="319"/>
              </w:tabs>
              <w:spacing w:before="135" w:after="0" w:line="360" w:lineRule="auto"/>
              <w:ind w:left="106" w:right="98" w:firstLine="0"/>
              <w:jc w:val="both"/>
              <w:rPr>
                <w:color w:val="auto"/>
                <w:sz w:val="21"/>
              </w:rPr>
            </w:pPr>
            <w:r>
              <w:rPr>
                <w:color w:val="auto"/>
                <w:spacing w:val="4"/>
                <w:w w:val="99"/>
                <w:sz w:val="21"/>
              </w:rPr>
              <w:t>施工组织设计（</w:t>
            </w:r>
            <w:r>
              <w:rPr>
                <w:color w:val="auto"/>
                <w:spacing w:val="3"/>
                <w:w w:val="99"/>
                <w:sz w:val="21"/>
              </w:rPr>
              <w:t>包含但不限于主要施工方法、拟投入的主要物资计划、劳动力安排计划、确保工程质量的技术组织措施、确保安全生产的技术组织措施、确保工期的技术组织措施、确保文明施工的技术组织措施、工程施工的重点和难点及保证措</w:t>
            </w:r>
            <w:r>
              <w:rPr>
                <w:color w:val="auto"/>
                <w:spacing w:val="9"/>
                <w:w w:val="99"/>
                <w:sz w:val="21"/>
              </w:rPr>
              <w:t>施、施工总平面布置图等）</w:t>
            </w:r>
            <w:r>
              <w:rPr>
                <w:color w:val="auto"/>
                <w:spacing w:val="11"/>
                <w:w w:val="99"/>
                <w:sz w:val="21"/>
              </w:rPr>
              <w:t>（</w:t>
            </w:r>
            <w:r>
              <w:rPr>
                <w:color w:val="auto"/>
                <w:spacing w:val="9"/>
                <w:w w:val="99"/>
                <w:sz w:val="21"/>
              </w:rPr>
              <w:t>格式自拟</w:t>
            </w:r>
            <w:r>
              <w:rPr>
                <w:color w:val="auto"/>
                <w:spacing w:val="11"/>
                <w:w w:val="99"/>
                <w:sz w:val="21"/>
              </w:rPr>
              <w:t>）</w:t>
            </w:r>
            <w:r>
              <w:rPr>
                <w:color w:val="auto"/>
                <w:spacing w:val="9"/>
                <w:w w:val="99"/>
                <w:sz w:val="21"/>
              </w:rPr>
              <w:t>；</w:t>
            </w:r>
            <w:r>
              <w:rPr>
                <w:color w:val="auto"/>
                <w:spacing w:val="11"/>
                <w:w w:val="99"/>
                <w:sz w:val="21"/>
              </w:rPr>
              <w:t>（</w:t>
            </w:r>
            <w:r>
              <w:rPr>
                <w:b/>
                <w:color w:val="auto"/>
                <w:spacing w:val="9"/>
                <w:w w:val="99"/>
                <w:sz w:val="21"/>
              </w:rPr>
              <w:t>必须提供，否则响应文件按无效处</w:t>
            </w:r>
            <w:r>
              <w:rPr>
                <w:b/>
                <w:color w:val="auto"/>
                <w:spacing w:val="2"/>
                <w:w w:val="99"/>
                <w:sz w:val="21"/>
              </w:rPr>
              <w:t>理</w:t>
            </w:r>
            <w:r>
              <w:rPr>
                <w:color w:val="auto"/>
                <w:w w:val="99"/>
                <w:sz w:val="21"/>
              </w:rPr>
              <w:t>）</w:t>
            </w:r>
          </w:p>
          <w:p w14:paraId="271BD7D5">
            <w:pPr>
              <w:pStyle w:val="22"/>
              <w:numPr>
                <w:ilvl w:val="0"/>
                <w:numId w:val="8"/>
              </w:numPr>
              <w:tabs>
                <w:tab w:val="left" w:pos="319"/>
              </w:tabs>
              <w:spacing w:before="0" w:after="0" w:line="357" w:lineRule="auto"/>
              <w:ind w:left="106" w:right="98" w:firstLine="0"/>
              <w:jc w:val="left"/>
              <w:rPr>
                <w:color w:val="auto"/>
                <w:sz w:val="21"/>
              </w:rPr>
            </w:pPr>
            <w:r>
              <w:rPr>
                <w:color w:val="auto"/>
                <w:spacing w:val="-2"/>
                <w:sz w:val="21"/>
              </w:rPr>
              <w:t>项目管理机构配备情况表及主要人员简历表（格式后附）；（</w:t>
            </w:r>
            <w:r>
              <w:rPr>
                <w:b/>
                <w:color w:val="auto"/>
                <w:spacing w:val="-2"/>
                <w:sz w:val="21"/>
              </w:rPr>
              <w:t>必须提供，否则响应文件按无效处理</w:t>
            </w:r>
            <w:r>
              <w:rPr>
                <w:color w:val="auto"/>
                <w:spacing w:val="-2"/>
                <w:sz w:val="21"/>
              </w:rPr>
              <w:t>）</w:t>
            </w:r>
          </w:p>
          <w:p w14:paraId="0B2805A4">
            <w:pPr>
              <w:pStyle w:val="22"/>
              <w:numPr>
                <w:ilvl w:val="0"/>
                <w:numId w:val="8"/>
              </w:numPr>
              <w:tabs>
                <w:tab w:val="left" w:pos="317"/>
              </w:tabs>
              <w:spacing w:before="0" w:after="0" w:line="240" w:lineRule="auto"/>
              <w:ind w:left="317" w:right="0" w:hanging="211"/>
              <w:jc w:val="left"/>
              <w:rPr>
                <w:color w:val="auto"/>
                <w:sz w:val="21"/>
              </w:rPr>
            </w:pPr>
            <w:r>
              <w:rPr>
                <w:color w:val="auto"/>
                <w:spacing w:val="-2"/>
                <w:sz w:val="21"/>
              </w:rPr>
              <w:t>拟分包项目情况表（格式后附）；（如有</w:t>
            </w:r>
            <w:r>
              <w:rPr>
                <w:color w:val="auto"/>
                <w:spacing w:val="-10"/>
                <w:sz w:val="21"/>
              </w:rPr>
              <w:t>）</w:t>
            </w:r>
          </w:p>
          <w:p w14:paraId="65532B84">
            <w:pPr>
              <w:pStyle w:val="22"/>
              <w:numPr>
                <w:ilvl w:val="0"/>
                <w:numId w:val="8"/>
              </w:numPr>
              <w:tabs>
                <w:tab w:val="left" w:pos="317"/>
              </w:tabs>
              <w:spacing w:before="134" w:after="0" w:line="240" w:lineRule="auto"/>
              <w:ind w:left="317" w:right="0" w:hanging="211"/>
              <w:jc w:val="left"/>
              <w:rPr>
                <w:color w:val="auto"/>
                <w:sz w:val="21"/>
              </w:rPr>
            </w:pPr>
            <w:r>
              <w:rPr>
                <w:color w:val="auto"/>
                <w:spacing w:val="-3"/>
                <w:sz w:val="21"/>
              </w:rPr>
              <w:t>供应商认为需要提供的其他有关资料。</w:t>
            </w:r>
          </w:p>
          <w:p w14:paraId="0DE2FA38">
            <w:pPr>
              <w:pStyle w:val="22"/>
              <w:spacing w:before="8" w:line="400" w:lineRule="atLeast"/>
              <w:ind w:left="106" w:right="98"/>
              <w:rPr>
                <w:b/>
                <w:color w:val="auto"/>
                <w:sz w:val="21"/>
              </w:rPr>
            </w:pPr>
            <w:r>
              <w:rPr>
                <w:b/>
                <w:color w:val="auto"/>
                <w:spacing w:val="-2"/>
                <w:sz w:val="21"/>
              </w:rPr>
              <w:t>注：以上标明“必须提供”的材料属于复印件的，必须加盖供应商电子签章，否则响应文件按无效处理。</w:t>
            </w:r>
          </w:p>
        </w:tc>
      </w:tr>
      <w:tr w14:paraId="0BB45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5" w:hRule="atLeast"/>
        </w:trPr>
        <w:tc>
          <w:tcPr>
            <w:tcW w:w="992" w:type="dxa"/>
          </w:tcPr>
          <w:p w14:paraId="2BB20E88">
            <w:pPr>
              <w:pStyle w:val="22"/>
              <w:spacing w:before="130"/>
              <w:rPr>
                <w:b/>
                <w:color w:val="auto"/>
                <w:sz w:val="21"/>
              </w:rPr>
            </w:pPr>
          </w:p>
          <w:p w14:paraId="747FBDAE">
            <w:pPr>
              <w:pStyle w:val="22"/>
              <w:ind w:left="11" w:right="2"/>
              <w:jc w:val="center"/>
              <w:rPr>
                <w:color w:val="auto"/>
                <w:sz w:val="21"/>
              </w:rPr>
            </w:pPr>
            <w:r>
              <w:rPr>
                <w:color w:val="auto"/>
                <w:spacing w:val="-4"/>
                <w:sz w:val="21"/>
              </w:rPr>
              <w:t>15.2</w:t>
            </w:r>
          </w:p>
        </w:tc>
        <w:tc>
          <w:tcPr>
            <w:tcW w:w="7912" w:type="dxa"/>
          </w:tcPr>
          <w:p w14:paraId="657933B7">
            <w:pPr>
              <w:pStyle w:val="22"/>
              <w:spacing w:line="357" w:lineRule="auto"/>
              <w:ind w:left="106" w:right="96"/>
              <w:rPr>
                <w:color w:val="auto"/>
                <w:sz w:val="21"/>
              </w:rPr>
            </w:pPr>
            <w:r>
              <w:rPr>
                <w:color w:val="auto"/>
                <w:spacing w:val="8"/>
                <w:w w:val="99"/>
                <w:sz w:val="21"/>
              </w:rPr>
              <w:t>竞标报价是履行合同的最终价格，包括了为实施和完成合同工程所需的劳务、材</w:t>
            </w:r>
            <w:r>
              <w:rPr>
                <w:color w:val="auto"/>
                <w:spacing w:val="4"/>
                <w:w w:val="99"/>
                <w:sz w:val="21"/>
              </w:rPr>
              <w:t>料、机械、质检（自检）</w:t>
            </w:r>
            <w:r>
              <w:rPr>
                <w:color w:val="auto"/>
                <w:spacing w:val="3"/>
                <w:w w:val="99"/>
                <w:sz w:val="21"/>
              </w:rPr>
              <w:t>、安装、缺陷修复、管理、保险、税费、利润等费用，以</w:t>
            </w:r>
          </w:p>
          <w:p w14:paraId="452BC2B1">
            <w:pPr>
              <w:pStyle w:val="22"/>
              <w:ind w:left="106"/>
              <w:rPr>
                <w:color w:val="auto"/>
                <w:sz w:val="21"/>
              </w:rPr>
            </w:pPr>
            <w:r>
              <w:rPr>
                <w:color w:val="auto"/>
                <w:spacing w:val="-3"/>
                <w:sz w:val="21"/>
              </w:rPr>
              <w:t>及合同明示或暗示的所有责任、义务和一般风险。</w:t>
            </w:r>
          </w:p>
        </w:tc>
      </w:tr>
      <w:tr w14:paraId="24CE0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992" w:type="dxa"/>
          </w:tcPr>
          <w:p w14:paraId="37976564">
            <w:pPr>
              <w:pStyle w:val="22"/>
              <w:spacing w:line="269" w:lineRule="exact"/>
              <w:ind w:left="11" w:right="2"/>
              <w:jc w:val="center"/>
              <w:rPr>
                <w:color w:val="auto"/>
                <w:sz w:val="21"/>
              </w:rPr>
            </w:pPr>
            <w:r>
              <w:rPr>
                <w:color w:val="auto"/>
                <w:spacing w:val="-4"/>
                <w:sz w:val="21"/>
              </w:rPr>
              <w:t>15.3</w:t>
            </w:r>
          </w:p>
        </w:tc>
        <w:tc>
          <w:tcPr>
            <w:tcW w:w="7912" w:type="dxa"/>
          </w:tcPr>
          <w:p w14:paraId="02AFD581">
            <w:pPr>
              <w:pStyle w:val="22"/>
              <w:spacing w:line="269" w:lineRule="exact"/>
              <w:ind w:left="106"/>
              <w:rPr>
                <w:color w:val="auto"/>
                <w:sz w:val="21"/>
              </w:rPr>
            </w:pPr>
            <w:r>
              <w:rPr>
                <w:color w:val="auto"/>
                <w:sz w:val="21"/>
              </w:rPr>
              <w:t>本工程增值税计税方法：</w:t>
            </w:r>
            <w:r>
              <w:rPr>
                <w:rFonts w:ascii="Segoe UI Symbol" w:hAnsi="Segoe UI Symbol" w:eastAsia="Segoe UI Symbol"/>
                <w:color w:val="auto"/>
                <w:sz w:val="21"/>
              </w:rPr>
              <w:t>☑</w:t>
            </w:r>
            <w:r>
              <w:rPr>
                <w:color w:val="auto"/>
                <w:spacing w:val="-2"/>
                <w:sz w:val="21"/>
              </w:rPr>
              <w:t>一般计税法； □简易计税法</w:t>
            </w:r>
          </w:p>
        </w:tc>
      </w:tr>
      <w:tr w14:paraId="16916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992" w:type="dxa"/>
          </w:tcPr>
          <w:p w14:paraId="7663870B">
            <w:pPr>
              <w:pStyle w:val="22"/>
              <w:spacing w:before="19"/>
              <w:ind w:left="11" w:right="4"/>
              <w:jc w:val="center"/>
              <w:rPr>
                <w:color w:val="auto"/>
                <w:sz w:val="21"/>
              </w:rPr>
            </w:pPr>
            <w:r>
              <w:rPr>
                <w:color w:val="auto"/>
                <w:spacing w:val="-4"/>
                <w:sz w:val="21"/>
              </w:rPr>
              <w:t>16.2</w:t>
            </w:r>
          </w:p>
        </w:tc>
        <w:tc>
          <w:tcPr>
            <w:tcW w:w="7912" w:type="dxa"/>
          </w:tcPr>
          <w:p w14:paraId="3E6872DF">
            <w:pPr>
              <w:pStyle w:val="22"/>
              <w:spacing w:line="268" w:lineRule="exact"/>
              <w:ind w:left="106"/>
              <w:rPr>
                <w:color w:val="auto"/>
                <w:sz w:val="21"/>
              </w:rPr>
            </w:pPr>
            <w:r>
              <w:rPr>
                <w:color w:val="auto"/>
                <w:spacing w:val="-5"/>
                <w:sz w:val="21"/>
              </w:rPr>
              <w:t xml:space="preserve">竞标有效期：自首次响应文件提交截止之日起 </w:t>
            </w:r>
            <w:r>
              <w:rPr>
                <w:color w:val="auto"/>
                <w:spacing w:val="-2"/>
                <w:sz w:val="21"/>
                <w:u w:val="single"/>
              </w:rPr>
              <w:t>90</w:t>
            </w:r>
            <w:r>
              <w:rPr>
                <w:color w:val="auto"/>
                <w:spacing w:val="-20"/>
                <w:sz w:val="21"/>
                <w:u w:val="none"/>
              </w:rPr>
              <w:t xml:space="preserve"> 日。</w:t>
            </w:r>
          </w:p>
        </w:tc>
      </w:tr>
      <w:tr w14:paraId="16FFEA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992" w:type="dxa"/>
          </w:tcPr>
          <w:p w14:paraId="7C619BA3">
            <w:pPr>
              <w:pStyle w:val="22"/>
              <w:spacing w:line="270" w:lineRule="exact"/>
              <w:ind w:left="11" w:right="2"/>
              <w:jc w:val="center"/>
              <w:rPr>
                <w:color w:val="auto"/>
                <w:sz w:val="21"/>
              </w:rPr>
            </w:pPr>
            <w:r>
              <w:rPr>
                <w:color w:val="auto"/>
                <w:spacing w:val="-4"/>
                <w:sz w:val="21"/>
              </w:rPr>
              <w:t>17.1</w:t>
            </w:r>
          </w:p>
        </w:tc>
        <w:tc>
          <w:tcPr>
            <w:tcW w:w="7912" w:type="dxa"/>
          </w:tcPr>
          <w:p w14:paraId="3D0F8F95">
            <w:pPr>
              <w:pStyle w:val="22"/>
              <w:spacing w:line="270" w:lineRule="exact"/>
              <w:ind w:left="106"/>
              <w:rPr>
                <w:color w:val="auto"/>
                <w:sz w:val="21"/>
              </w:rPr>
            </w:pPr>
            <w:r>
              <w:rPr>
                <w:color w:val="auto"/>
                <w:spacing w:val="-3"/>
                <w:sz w:val="21"/>
              </w:rPr>
              <w:t>本项目不收取磋商保证金。</w:t>
            </w:r>
          </w:p>
        </w:tc>
      </w:tr>
      <w:tr w14:paraId="572A2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992" w:type="dxa"/>
          </w:tcPr>
          <w:p w14:paraId="68729A57">
            <w:pPr>
              <w:pStyle w:val="22"/>
              <w:spacing w:line="269" w:lineRule="exact"/>
              <w:ind w:left="11" w:right="2"/>
              <w:jc w:val="center"/>
              <w:rPr>
                <w:color w:val="auto"/>
                <w:sz w:val="21"/>
              </w:rPr>
            </w:pPr>
            <w:r>
              <w:rPr>
                <w:color w:val="auto"/>
                <w:spacing w:val="-5"/>
                <w:sz w:val="21"/>
              </w:rPr>
              <w:t>19</w:t>
            </w:r>
          </w:p>
        </w:tc>
        <w:tc>
          <w:tcPr>
            <w:tcW w:w="7912" w:type="dxa"/>
          </w:tcPr>
          <w:p w14:paraId="0DD5AFF9">
            <w:pPr>
              <w:pStyle w:val="22"/>
              <w:spacing w:line="269" w:lineRule="exact"/>
              <w:ind w:left="106"/>
              <w:rPr>
                <w:color w:val="auto"/>
                <w:sz w:val="21"/>
              </w:rPr>
            </w:pPr>
            <w:r>
              <w:rPr>
                <w:color w:val="auto"/>
                <w:spacing w:val="-3"/>
                <w:sz w:val="21"/>
              </w:rPr>
              <w:t>本项目不接受电子备份响应文件</w:t>
            </w:r>
          </w:p>
        </w:tc>
      </w:tr>
      <w:tr w14:paraId="551C7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992" w:type="dxa"/>
          </w:tcPr>
          <w:p w14:paraId="1E916738">
            <w:pPr>
              <w:pStyle w:val="22"/>
              <w:spacing w:before="202"/>
              <w:ind w:left="11" w:right="2"/>
              <w:jc w:val="center"/>
              <w:rPr>
                <w:color w:val="auto"/>
                <w:sz w:val="21"/>
              </w:rPr>
            </w:pPr>
            <w:r>
              <w:rPr>
                <w:color w:val="auto"/>
                <w:spacing w:val="-4"/>
                <w:sz w:val="21"/>
              </w:rPr>
              <w:t>20.1</w:t>
            </w:r>
          </w:p>
        </w:tc>
        <w:tc>
          <w:tcPr>
            <w:tcW w:w="7912" w:type="dxa"/>
          </w:tcPr>
          <w:p w14:paraId="1933F5F4">
            <w:pPr>
              <w:pStyle w:val="22"/>
              <w:spacing w:line="271" w:lineRule="exact"/>
              <w:ind w:left="106"/>
              <w:rPr>
                <w:color w:val="auto"/>
                <w:sz w:val="21"/>
              </w:rPr>
            </w:pPr>
            <w:r>
              <w:rPr>
                <w:color w:val="auto"/>
                <w:spacing w:val="-3"/>
                <w:sz w:val="21"/>
              </w:rPr>
              <w:t>响应文件提交截止时间：详见竞争性磋商公告。</w:t>
            </w:r>
          </w:p>
          <w:p w14:paraId="79FB7353">
            <w:pPr>
              <w:pStyle w:val="22"/>
              <w:spacing w:before="135"/>
              <w:ind w:left="106"/>
              <w:rPr>
                <w:color w:val="auto"/>
                <w:sz w:val="21"/>
              </w:rPr>
            </w:pPr>
            <w:r>
              <w:rPr>
                <w:color w:val="auto"/>
                <w:spacing w:val="-3"/>
                <w:sz w:val="21"/>
              </w:rPr>
              <w:t>响应文件提交地点：详见竞争性磋商公告。</w:t>
            </w:r>
          </w:p>
        </w:tc>
      </w:tr>
      <w:tr w14:paraId="429684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992" w:type="dxa"/>
          </w:tcPr>
          <w:p w14:paraId="4EF699CC">
            <w:pPr>
              <w:pStyle w:val="22"/>
              <w:spacing w:line="270" w:lineRule="exact"/>
              <w:ind w:left="11" w:right="2"/>
              <w:jc w:val="center"/>
              <w:rPr>
                <w:color w:val="auto"/>
                <w:sz w:val="21"/>
              </w:rPr>
            </w:pPr>
            <w:r>
              <w:rPr>
                <w:color w:val="auto"/>
                <w:spacing w:val="-4"/>
                <w:sz w:val="21"/>
              </w:rPr>
              <w:t>24.1</w:t>
            </w:r>
          </w:p>
        </w:tc>
        <w:tc>
          <w:tcPr>
            <w:tcW w:w="7912" w:type="dxa"/>
          </w:tcPr>
          <w:p w14:paraId="27CCB1F4">
            <w:pPr>
              <w:pStyle w:val="22"/>
              <w:spacing w:line="270" w:lineRule="exact"/>
              <w:ind w:left="106"/>
              <w:rPr>
                <w:color w:val="auto"/>
                <w:sz w:val="21"/>
              </w:rPr>
            </w:pPr>
            <w:r>
              <w:rPr>
                <w:color w:val="auto"/>
                <w:sz w:val="21"/>
              </w:rPr>
              <w:t>磋商小组的人数：</w:t>
            </w:r>
            <w:r>
              <w:rPr>
                <w:rFonts w:ascii="Times New Roman" w:eastAsia="Times New Roman"/>
                <w:color w:val="auto"/>
                <w:spacing w:val="42"/>
                <w:sz w:val="21"/>
                <w:u w:val="single"/>
              </w:rPr>
              <w:t xml:space="preserve"> </w:t>
            </w:r>
            <w:r>
              <w:rPr>
                <w:color w:val="auto"/>
                <w:sz w:val="21"/>
                <w:u w:val="single"/>
              </w:rPr>
              <w:t>3</w:t>
            </w:r>
            <w:r>
              <w:rPr>
                <w:color w:val="auto"/>
                <w:spacing w:val="-8"/>
                <w:sz w:val="21"/>
                <w:u w:val="single"/>
              </w:rPr>
              <w:t xml:space="preserve"> </w:t>
            </w:r>
            <w:r>
              <w:rPr>
                <w:color w:val="auto"/>
                <w:spacing w:val="-5"/>
                <w:sz w:val="21"/>
                <w:u w:val="none"/>
              </w:rPr>
              <w:t>人。</w:t>
            </w:r>
          </w:p>
        </w:tc>
      </w:tr>
      <w:tr w14:paraId="620C7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992" w:type="dxa"/>
          </w:tcPr>
          <w:p w14:paraId="3399072A">
            <w:pPr>
              <w:pStyle w:val="22"/>
              <w:spacing w:before="199"/>
              <w:ind w:left="11" w:right="2"/>
              <w:jc w:val="center"/>
              <w:rPr>
                <w:color w:val="auto"/>
                <w:sz w:val="21"/>
              </w:rPr>
            </w:pPr>
            <w:r>
              <w:rPr>
                <w:color w:val="auto"/>
                <w:spacing w:val="-5"/>
                <w:sz w:val="21"/>
              </w:rPr>
              <w:t>25</w:t>
            </w:r>
          </w:p>
        </w:tc>
        <w:tc>
          <w:tcPr>
            <w:tcW w:w="7912" w:type="dxa"/>
          </w:tcPr>
          <w:p w14:paraId="7B0C3B10">
            <w:pPr>
              <w:pStyle w:val="22"/>
              <w:spacing w:line="268" w:lineRule="exact"/>
              <w:ind w:left="106"/>
              <w:rPr>
                <w:color w:val="auto"/>
                <w:sz w:val="21"/>
              </w:rPr>
            </w:pPr>
            <w:r>
              <w:rPr>
                <w:color w:val="auto"/>
                <w:spacing w:val="-3"/>
                <w:sz w:val="21"/>
              </w:rPr>
              <w:t>首次响应文件开启时间详见“竞争性磋商公告”</w:t>
            </w:r>
          </w:p>
          <w:p w14:paraId="5F8EC702">
            <w:pPr>
              <w:pStyle w:val="22"/>
              <w:spacing w:before="135"/>
              <w:ind w:left="106"/>
              <w:rPr>
                <w:color w:val="auto"/>
                <w:sz w:val="21"/>
              </w:rPr>
            </w:pPr>
            <w:r>
              <w:rPr>
                <w:color w:val="auto"/>
                <w:spacing w:val="-2"/>
                <w:sz w:val="21"/>
              </w:rPr>
              <w:t>首次响应文件解密时间：</w:t>
            </w:r>
            <w:r>
              <w:rPr>
                <w:rFonts w:ascii="Times New Roman" w:eastAsia="Times New Roman"/>
                <w:color w:val="auto"/>
                <w:spacing w:val="-2"/>
                <w:sz w:val="21"/>
                <w:u w:val="single"/>
              </w:rPr>
              <w:t>30</w:t>
            </w:r>
            <w:r>
              <w:rPr>
                <w:rFonts w:ascii="Times New Roman" w:eastAsia="Times New Roman"/>
                <w:color w:val="auto"/>
                <w:spacing w:val="6"/>
                <w:sz w:val="21"/>
                <w:u w:val="none"/>
              </w:rPr>
              <w:t xml:space="preserve"> </w:t>
            </w:r>
            <w:r>
              <w:rPr>
                <w:color w:val="auto"/>
                <w:spacing w:val="-6"/>
                <w:sz w:val="21"/>
                <w:u w:val="none"/>
              </w:rPr>
              <w:t>分钟</w:t>
            </w:r>
          </w:p>
        </w:tc>
      </w:tr>
      <w:tr w14:paraId="115BE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992" w:type="dxa"/>
          </w:tcPr>
          <w:p w14:paraId="2FE62408">
            <w:pPr>
              <w:pStyle w:val="22"/>
              <w:spacing w:line="269" w:lineRule="exact"/>
              <w:ind w:left="11" w:right="2"/>
              <w:jc w:val="center"/>
              <w:rPr>
                <w:color w:val="auto"/>
                <w:sz w:val="21"/>
              </w:rPr>
            </w:pPr>
            <w:r>
              <w:rPr>
                <w:color w:val="auto"/>
                <w:spacing w:val="-4"/>
                <w:sz w:val="21"/>
              </w:rPr>
              <w:t>28.1</w:t>
            </w:r>
          </w:p>
        </w:tc>
        <w:tc>
          <w:tcPr>
            <w:tcW w:w="7912" w:type="dxa"/>
          </w:tcPr>
          <w:p w14:paraId="6C0F30F6">
            <w:pPr>
              <w:pStyle w:val="22"/>
              <w:spacing w:line="269" w:lineRule="exact"/>
              <w:ind w:left="106"/>
              <w:rPr>
                <w:color w:val="auto"/>
                <w:sz w:val="21"/>
              </w:rPr>
            </w:pPr>
            <w:r>
              <w:rPr>
                <w:color w:val="auto"/>
                <w:spacing w:val="-3"/>
                <w:sz w:val="21"/>
              </w:rPr>
              <w:t>本项目不收取履约保证金。</w:t>
            </w:r>
          </w:p>
        </w:tc>
      </w:tr>
      <w:tr w14:paraId="49777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3" w:hRule="atLeast"/>
        </w:trPr>
        <w:tc>
          <w:tcPr>
            <w:tcW w:w="992" w:type="dxa"/>
          </w:tcPr>
          <w:p w14:paraId="52854826">
            <w:pPr>
              <w:pStyle w:val="22"/>
              <w:rPr>
                <w:b/>
                <w:color w:val="auto"/>
                <w:sz w:val="21"/>
              </w:rPr>
            </w:pPr>
          </w:p>
          <w:p w14:paraId="59AAE29A">
            <w:pPr>
              <w:pStyle w:val="22"/>
              <w:spacing w:before="268"/>
              <w:rPr>
                <w:b/>
                <w:color w:val="auto"/>
                <w:sz w:val="21"/>
              </w:rPr>
            </w:pPr>
          </w:p>
          <w:p w14:paraId="0C7FC1EC">
            <w:pPr>
              <w:pStyle w:val="22"/>
              <w:ind w:left="11" w:right="2"/>
              <w:jc w:val="center"/>
              <w:rPr>
                <w:color w:val="auto"/>
                <w:sz w:val="21"/>
              </w:rPr>
            </w:pPr>
            <w:r>
              <w:rPr>
                <w:color w:val="auto"/>
                <w:spacing w:val="-4"/>
                <w:sz w:val="21"/>
              </w:rPr>
              <w:t>29.1</w:t>
            </w:r>
          </w:p>
        </w:tc>
        <w:tc>
          <w:tcPr>
            <w:tcW w:w="7912" w:type="dxa"/>
          </w:tcPr>
          <w:p w14:paraId="5A80B0ED">
            <w:pPr>
              <w:pStyle w:val="22"/>
              <w:spacing w:line="271" w:lineRule="exact"/>
              <w:ind w:left="106"/>
              <w:rPr>
                <w:color w:val="auto"/>
                <w:sz w:val="21"/>
              </w:rPr>
            </w:pPr>
            <w:r>
              <w:rPr>
                <w:color w:val="auto"/>
                <w:spacing w:val="-3"/>
                <w:sz w:val="21"/>
              </w:rPr>
              <w:t>签订合同携带的证明材料：</w:t>
            </w:r>
          </w:p>
          <w:p w14:paraId="0D531F3A">
            <w:pPr>
              <w:pStyle w:val="22"/>
              <w:spacing w:before="135" w:line="357" w:lineRule="auto"/>
              <w:ind w:left="106" w:right="98"/>
              <w:rPr>
                <w:color w:val="auto"/>
                <w:sz w:val="21"/>
              </w:rPr>
            </w:pPr>
            <w:r>
              <w:rPr>
                <w:color w:val="auto"/>
                <w:spacing w:val="3"/>
                <w:w w:val="99"/>
                <w:sz w:val="21"/>
              </w:rPr>
              <w:t>委托代理人负责签订合同的，须携带授权委托书及委托代理人身份证原件等其他资</w:t>
            </w:r>
            <w:r>
              <w:rPr>
                <w:color w:val="auto"/>
                <w:spacing w:val="-1"/>
                <w:w w:val="99"/>
                <w:sz w:val="21"/>
              </w:rPr>
              <w:t>格证件。</w:t>
            </w:r>
          </w:p>
          <w:p w14:paraId="65F2F03F">
            <w:pPr>
              <w:pStyle w:val="22"/>
              <w:spacing w:before="2"/>
              <w:ind w:left="106"/>
              <w:rPr>
                <w:color w:val="auto"/>
                <w:sz w:val="21"/>
              </w:rPr>
            </w:pPr>
            <w:r>
              <w:rPr>
                <w:color w:val="auto"/>
                <w:spacing w:val="-1"/>
                <w:sz w:val="21"/>
              </w:rPr>
              <w:t>法定代表人负责签订合同的，须携带法定代表人身份证明原件及身份证原件等其他</w:t>
            </w:r>
          </w:p>
          <w:p w14:paraId="6C7371F3">
            <w:pPr>
              <w:pStyle w:val="22"/>
              <w:spacing w:before="135"/>
              <w:ind w:left="106"/>
              <w:rPr>
                <w:color w:val="auto"/>
                <w:sz w:val="21"/>
              </w:rPr>
            </w:pPr>
            <w:r>
              <w:rPr>
                <w:color w:val="auto"/>
                <w:spacing w:val="-4"/>
                <w:sz w:val="21"/>
              </w:rPr>
              <w:t>证明材料。</w:t>
            </w:r>
          </w:p>
        </w:tc>
      </w:tr>
      <w:tr w14:paraId="5ECBB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trPr>
        <w:tc>
          <w:tcPr>
            <w:tcW w:w="992" w:type="dxa"/>
          </w:tcPr>
          <w:p w14:paraId="52F1AE05">
            <w:pPr>
              <w:pStyle w:val="22"/>
              <w:spacing w:before="201"/>
              <w:ind w:left="11" w:right="2"/>
              <w:jc w:val="center"/>
              <w:rPr>
                <w:color w:val="auto"/>
                <w:sz w:val="21"/>
              </w:rPr>
            </w:pPr>
            <w:r>
              <w:rPr>
                <w:color w:val="auto"/>
                <w:spacing w:val="-4"/>
                <w:sz w:val="21"/>
              </w:rPr>
              <w:t>31.2</w:t>
            </w:r>
          </w:p>
        </w:tc>
        <w:tc>
          <w:tcPr>
            <w:tcW w:w="7912" w:type="dxa"/>
          </w:tcPr>
          <w:p w14:paraId="59E8F127">
            <w:pPr>
              <w:pStyle w:val="22"/>
              <w:spacing w:line="270" w:lineRule="exact"/>
              <w:ind w:left="106"/>
              <w:rPr>
                <w:color w:val="auto"/>
                <w:sz w:val="21"/>
              </w:rPr>
            </w:pPr>
            <w:r>
              <w:rPr>
                <w:color w:val="auto"/>
                <w:spacing w:val="-3"/>
                <w:sz w:val="21"/>
              </w:rPr>
              <w:t>接收质疑函方式：书面形式</w:t>
            </w:r>
          </w:p>
          <w:p w14:paraId="52175DFF">
            <w:pPr>
              <w:pStyle w:val="22"/>
              <w:spacing w:before="135"/>
              <w:ind w:left="106"/>
              <w:rPr>
                <w:color w:val="auto"/>
                <w:sz w:val="21"/>
              </w:rPr>
            </w:pPr>
            <w:r>
              <w:rPr>
                <w:color w:val="auto"/>
                <w:spacing w:val="-1"/>
                <w:sz w:val="21"/>
              </w:rPr>
              <w:t>质疑联系部门及联系方式：</w:t>
            </w:r>
            <w:r>
              <w:rPr>
                <w:rFonts w:hint="eastAsia"/>
                <w:color w:val="auto"/>
                <w:spacing w:val="-1"/>
                <w:sz w:val="21"/>
                <w:lang w:eastAsia="zh-CN"/>
              </w:rPr>
              <w:t>广西冠宁工程咨询有限公司</w:t>
            </w:r>
            <w:r>
              <w:rPr>
                <w:color w:val="auto"/>
                <w:spacing w:val="-1"/>
                <w:sz w:val="21"/>
              </w:rPr>
              <w:t>招标部门，联系电</w:t>
            </w:r>
          </w:p>
        </w:tc>
      </w:tr>
    </w:tbl>
    <w:p w14:paraId="1410874A">
      <w:pPr>
        <w:spacing w:after="0"/>
        <w:rPr>
          <w:color w:val="auto"/>
          <w:sz w:val="21"/>
        </w:rPr>
        <w:sectPr>
          <w:type w:val="continuous"/>
          <w:pgSz w:w="11910" w:h="16840"/>
          <w:pgMar w:top="1400" w:right="740" w:bottom="1180" w:left="800" w:header="0" w:footer="989" w:gutter="0"/>
          <w:cols w:space="720" w:num="1"/>
        </w:sectPr>
      </w:pPr>
    </w:p>
    <w:tbl>
      <w:tblPr>
        <w:tblStyle w:val="16"/>
        <w:tblW w:w="0" w:type="auto"/>
        <w:tblInd w:w="7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2"/>
        <w:gridCol w:w="7912"/>
      </w:tblGrid>
      <w:tr w14:paraId="63A66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992" w:type="dxa"/>
          </w:tcPr>
          <w:p w14:paraId="2D95A1EE">
            <w:pPr>
              <w:pStyle w:val="22"/>
              <w:rPr>
                <w:rFonts w:ascii="Times New Roman"/>
                <w:color w:val="auto"/>
                <w:sz w:val="20"/>
              </w:rPr>
            </w:pPr>
          </w:p>
        </w:tc>
        <w:tc>
          <w:tcPr>
            <w:tcW w:w="7912" w:type="dxa"/>
          </w:tcPr>
          <w:p w14:paraId="137C69BC">
            <w:pPr>
              <w:pStyle w:val="22"/>
              <w:spacing w:line="271" w:lineRule="exact"/>
              <w:ind w:left="106"/>
              <w:rPr>
                <w:color w:val="auto"/>
                <w:sz w:val="21"/>
              </w:rPr>
            </w:pPr>
            <w:r>
              <w:rPr>
                <w:color w:val="auto"/>
                <w:spacing w:val="-2"/>
                <w:sz w:val="21"/>
              </w:rPr>
              <w:t>话：</w:t>
            </w:r>
            <w:r>
              <w:rPr>
                <w:rFonts w:hint="eastAsia" w:ascii="Times New Roman" w:eastAsia="Times New Roman"/>
                <w:color w:val="auto"/>
                <w:spacing w:val="-2"/>
                <w:sz w:val="21"/>
              </w:rPr>
              <w:t>0771-5725583</w:t>
            </w:r>
            <w:r>
              <w:rPr>
                <w:color w:val="auto"/>
                <w:spacing w:val="-4"/>
                <w:sz w:val="21"/>
              </w:rPr>
              <w:t>，通讯地址：</w:t>
            </w:r>
            <w:r>
              <w:rPr>
                <w:rFonts w:hint="eastAsia"/>
                <w:color w:val="auto"/>
                <w:spacing w:val="-4"/>
                <w:sz w:val="21"/>
              </w:rPr>
              <w:t>南宁市青秀区茶花园路6-1号南湖翠苑4层0431A号、0431B号、0431C号</w:t>
            </w:r>
            <w:r>
              <w:rPr>
                <w:color w:val="auto"/>
                <w:spacing w:val="-4"/>
                <w:sz w:val="21"/>
              </w:rPr>
              <w:t>。</w:t>
            </w:r>
          </w:p>
          <w:p w14:paraId="5B2E45EC">
            <w:pPr>
              <w:pStyle w:val="22"/>
              <w:spacing w:before="135"/>
              <w:ind w:left="106"/>
              <w:rPr>
                <w:color w:val="auto"/>
                <w:sz w:val="21"/>
              </w:rPr>
            </w:pPr>
            <w:r>
              <w:rPr>
                <w:color w:val="auto"/>
                <w:spacing w:val="-6"/>
                <w:sz w:val="21"/>
              </w:rPr>
              <w:t xml:space="preserve">业务时间：工作日每天上午 </w:t>
            </w:r>
            <w:r>
              <w:rPr>
                <w:color w:val="auto"/>
                <w:spacing w:val="-2"/>
                <w:sz w:val="21"/>
              </w:rPr>
              <w:t>8</w:t>
            </w:r>
            <w:r>
              <w:rPr>
                <w:color w:val="auto"/>
                <w:spacing w:val="-36"/>
                <w:sz w:val="21"/>
              </w:rPr>
              <w:t xml:space="preserve"> 时 </w:t>
            </w:r>
            <w:r>
              <w:rPr>
                <w:color w:val="auto"/>
                <w:spacing w:val="-2"/>
                <w:sz w:val="21"/>
              </w:rPr>
              <w:t>00</w:t>
            </w:r>
            <w:r>
              <w:rPr>
                <w:color w:val="auto"/>
                <w:spacing w:val="-28"/>
                <w:sz w:val="21"/>
              </w:rPr>
              <w:t xml:space="preserve"> 分到 </w:t>
            </w:r>
            <w:r>
              <w:rPr>
                <w:color w:val="auto"/>
                <w:spacing w:val="-2"/>
                <w:sz w:val="21"/>
              </w:rPr>
              <w:t>12</w:t>
            </w:r>
            <w:r>
              <w:rPr>
                <w:color w:val="auto"/>
                <w:spacing w:val="-35"/>
                <w:sz w:val="21"/>
              </w:rPr>
              <w:t xml:space="preserve"> 时 </w:t>
            </w:r>
            <w:r>
              <w:rPr>
                <w:color w:val="auto"/>
                <w:spacing w:val="-2"/>
                <w:sz w:val="21"/>
              </w:rPr>
              <w:t>00</w:t>
            </w:r>
            <w:r>
              <w:rPr>
                <w:color w:val="auto"/>
                <w:spacing w:val="-20"/>
                <w:sz w:val="21"/>
              </w:rPr>
              <w:t xml:space="preserve"> 分，下午 </w:t>
            </w:r>
            <w:r>
              <w:rPr>
                <w:color w:val="auto"/>
                <w:spacing w:val="-2"/>
                <w:sz w:val="21"/>
              </w:rPr>
              <w:t>3</w:t>
            </w:r>
            <w:r>
              <w:rPr>
                <w:color w:val="auto"/>
                <w:spacing w:val="-36"/>
                <w:sz w:val="21"/>
              </w:rPr>
              <w:t xml:space="preserve"> 时 </w:t>
            </w:r>
            <w:r>
              <w:rPr>
                <w:color w:val="auto"/>
                <w:spacing w:val="-2"/>
                <w:sz w:val="21"/>
              </w:rPr>
              <w:t>00</w:t>
            </w:r>
            <w:r>
              <w:rPr>
                <w:color w:val="auto"/>
                <w:spacing w:val="-26"/>
                <w:sz w:val="21"/>
              </w:rPr>
              <w:t xml:space="preserve"> 分到 </w:t>
            </w:r>
            <w:r>
              <w:rPr>
                <w:color w:val="auto"/>
                <w:spacing w:val="-2"/>
                <w:sz w:val="21"/>
              </w:rPr>
              <w:t>6</w:t>
            </w:r>
            <w:r>
              <w:rPr>
                <w:color w:val="auto"/>
                <w:spacing w:val="-35"/>
                <w:sz w:val="21"/>
              </w:rPr>
              <w:t xml:space="preserve"> 时 </w:t>
            </w:r>
            <w:r>
              <w:rPr>
                <w:color w:val="auto"/>
                <w:spacing w:val="-2"/>
                <w:sz w:val="21"/>
              </w:rPr>
              <w:t>00</w:t>
            </w:r>
            <w:r>
              <w:rPr>
                <w:color w:val="auto"/>
                <w:spacing w:val="-22"/>
                <w:sz w:val="21"/>
              </w:rPr>
              <w:t xml:space="preserve"> 分。</w:t>
            </w:r>
          </w:p>
        </w:tc>
      </w:tr>
      <w:tr w14:paraId="73810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7" w:hRule="atLeast"/>
        </w:trPr>
        <w:tc>
          <w:tcPr>
            <w:tcW w:w="992" w:type="dxa"/>
          </w:tcPr>
          <w:p w14:paraId="6F948DF4">
            <w:pPr>
              <w:pStyle w:val="22"/>
              <w:rPr>
                <w:b/>
                <w:color w:val="auto"/>
                <w:sz w:val="21"/>
              </w:rPr>
            </w:pPr>
          </w:p>
          <w:p w14:paraId="48C228CF">
            <w:pPr>
              <w:pStyle w:val="22"/>
              <w:rPr>
                <w:b/>
                <w:color w:val="auto"/>
                <w:sz w:val="21"/>
              </w:rPr>
            </w:pPr>
          </w:p>
          <w:p w14:paraId="26C13F29">
            <w:pPr>
              <w:pStyle w:val="22"/>
              <w:rPr>
                <w:b/>
                <w:color w:val="auto"/>
                <w:sz w:val="21"/>
              </w:rPr>
            </w:pPr>
          </w:p>
          <w:p w14:paraId="2B6B228B">
            <w:pPr>
              <w:pStyle w:val="22"/>
              <w:rPr>
                <w:b/>
                <w:color w:val="auto"/>
                <w:sz w:val="21"/>
              </w:rPr>
            </w:pPr>
          </w:p>
          <w:p w14:paraId="467584AF">
            <w:pPr>
              <w:pStyle w:val="22"/>
              <w:spacing w:before="62"/>
              <w:rPr>
                <w:b/>
                <w:color w:val="auto"/>
                <w:sz w:val="21"/>
              </w:rPr>
            </w:pPr>
          </w:p>
          <w:p w14:paraId="5893F99A">
            <w:pPr>
              <w:pStyle w:val="22"/>
              <w:ind w:left="11" w:right="2"/>
              <w:jc w:val="center"/>
              <w:rPr>
                <w:color w:val="auto"/>
                <w:sz w:val="21"/>
              </w:rPr>
            </w:pPr>
            <w:r>
              <w:rPr>
                <w:color w:val="auto"/>
                <w:spacing w:val="-4"/>
                <w:sz w:val="21"/>
              </w:rPr>
              <w:t>32.1</w:t>
            </w:r>
          </w:p>
        </w:tc>
        <w:tc>
          <w:tcPr>
            <w:tcW w:w="7912" w:type="dxa"/>
          </w:tcPr>
          <w:p w14:paraId="3CBB5650">
            <w:pPr>
              <w:pStyle w:val="22"/>
              <w:spacing w:line="270" w:lineRule="exact"/>
              <w:ind w:left="106"/>
              <w:rPr>
                <w:color w:val="auto"/>
                <w:sz w:val="21"/>
              </w:rPr>
            </w:pPr>
            <w:r>
              <w:rPr>
                <w:color w:val="auto"/>
                <w:sz w:val="21"/>
              </w:rPr>
              <w:t>1</w:t>
            </w:r>
            <w:r>
              <w:rPr>
                <w:color w:val="auto"/>
                <w:spacing w:val="-6"/>
                <w:sz w:val="21"/>
              </w:rPr>
              <w:t>. 采购代理费支付方式：</w:t>
            </w:r>
          </w:p>
          <w:p w14:paraId="0C6CEA95">
            <w:pPr>
              <w:pStyle w:val="22"/>
              <w:spacing w:before="135" w:line="360" w:lineRule="auto"/>
              <w:ind w:left="106" w:right="2124"/>
              <w:rPr>
                <w:color w:val="auto"/>
                <w:sz w:val="21"/>
              </w:rPr>
            </w:pPr>
            <w:r>
              <w:rPr>
                <w:color w:val="auto"/>
                <w:spacing w:val="-2"/>
                <w:sz w:val="21"/>
              </w:rPr>
              <w:t>本项目代理服务费由</w:t>
            </w:r>
            <w:r>
              <w:rPr>
                <w:color w:val="auto"/>
                <w:spacing w:val="-2"/>
                <w:sz w:val="21"/>
                <w:u w:val="single"/>
              </w:rPr>
              <w:t>成交供应商</w:t>
            </w:r>
            <w:r>
              <w:rPr>
                <w:color w:val="auto"/>
                <w:spacing w:val="-2"/>
                <w:sz w:val="21"/>
                <w:u w:val="none"/>
              </w:rPr>
              <w:t>一次性向采购代理机构支付。 2.采购代理费收取标准：</w:t>
            </w:r>
          </w:p>
          <w:p w14:paraId="406FFFD2">
            <w:pPr>
              <w:pStyle w:val="22"/>
              <w:spacing w:line="272" w:lineRule="exact"/>
              <w:ind w:left="106"/>
              <w:rPr>
                <w:color w:val="auto"/>
                <w:sz w:val="21"/>
              </w:rPr>
            </w:pPr>
            <w:r>
              <w:rPr>
                <w:color w:val="auto"/>
                <w:spacing w:val="-2"/>
                <w:sz w:val="21"/>
              </w:rPr>
              <w:t>以成交金额为计费额，按桂价费</w:t>
            </w:r>
            <w:r>
              <w:rPr>
                <w:color w:val="auto"/>
                <w:spacing w:val="-2"/>
                <w:sz w:val="20"/>
              </w:rPr>
              <w:t>〔2011〕</w:t>
            </w:r>
            <w:r>
              <w:rPr>
                <w:color w:val="auto"/>
                <w:spacing w:val="-2"/>
                <w:sz w:val="21"/>
              </w:rPr>
              <w:t>55</w:t>
            </w:r>
            <w:r>
              <w:rPr>
                <w:color w:val="auto"/>
                <w:spacing w:val="-9"/>
                <w:sz w:val="21"/>
              </w:rPr>
              <w:t xml:space="preserve"> 号文“工程类”收费标准收取。</w:t>
            </w:r>
          </w:p>
          <w:p w14:paraId="6B7C32BD">
            <w:pPr>
              <w:pStyle w:val="22"/>
              <w:spacing w:before="135"/>
              <w:ind w:left="106"/>
              <w:rPr>
                <w:color w:val="auto"/>
                <w:sz w:val="21"/>
              </w:rPr>
            </w:pPr>
            <w:r>
              <w:rPr>
                <w:color w:val="auto"/>
                <w:sz w:val="21"/>
              </w:rPr>
              <w:t>3</w:t>
            </w:r>
            <w:r>
              <w:rPr>
                <w:color w:val="auto"/>
                <w:spacing w:val="-5"/>
                <w:sz w:val="21"/>
              </w:rPr>
              <w:t>. 采购代理费收取银行账户</w:t>
            </w:r>
          </w:p>
          <w:p w14:paraId="74D67217">
            <w:pPr>
              <w:pStyle w:val="22"/>
              <w:spacing w:before="8" w:line="400" w:lineRule="atLeast"/>
              <w:ind w:left="106" w:right="3384"/>
              <w:jc w:val="both"/>
              <w:rPr>
                <w:color w:val="auto"/>
                <w:spacing w:val="-2"/>
                <w:sz w:val="21"/>
              </w:rPr>
            </w:pPr>
            <w:r>
              <w:rPr>
                <w:color w:val="auto"/>
                <w:spacing w:val="-2"/>
                <w:sz w:val="21"/>
              </w:rPr>
              <w:t>开户名称：</w:t>
            </w:r>
            <w:r>
              <w:rPr>
                <w:rFonts w:hint="eastAsia"/>
                <w:color w:val="auto"/>
                <w:spacing w:val="-2"/>
                <w:sz w:val="21"/>
                <w:lang w:eastAsia="zh-CN"/>
              </w:rPr>
              <w:t>广西冠宁工程咨询有限公司第一分公司</w:t>
            </w:r>
          </w:p>
          <w:p w14:paraId="49A005D4">
            <w:pPr>
              <w:pStyle w:val="22"/>
              <w:spacing w:before="8" w:line="400" w:lineRule="atLeast"/>
              <w:ind w:left="106" w:right="3384"/>
              <w:jc w:val="both"/>
              <w:rPr>
                <w:rFonts w:hint="eastAsia"/>
                <w:color w:val="auto"/>
                <w:spacing w:val="-2"/>
                <w:sz w:val="21"/>
              </w:rPr>
            </w:pPr>
            <w:r>
              <w:rPr>
                <w:color w:val="auto"/>
                <w:spacing w:val="-2"/>
                <w:sz w:val="21"/>
              </w:rPr>
              <w:t>开户银行：</w:t>
            </w:r>
            <w:r>
              <w:rPr>
                <w:rFonts w:hint="eastAsia"/>
                <w:color w:val="auto"/>
                <w:spacing w:val="-2"/>
                <w:sz w:val="21"/>
              </w:rPr>
              <w:t>华夏银行南宁分行金湖支行</w:t>
            </w:r>
          </w:p>
          <w:p w14:paraId="39E6B084">
            <w:pPr>
              <w:pStyle w:val="22"/>
              <w:spacing w:before="8" w:line="400" w:lineRule="atLeast"/>
              <w:ind w:left="106" w:right="3384"/>
              <w:jc w:val="both"/>
              <w:rPr>
                <w:color w:val="auto"/>
                <w:sz w:val="21"/>
              </w:rPr>
            </w:pPr>
            <w:r>
              <w:rPr>
                <w:color w:val="auto"/>
                <w:spacing w:val="-2"/>
                <w:sz w:val="21"/>
              </w:rPr>
              <w:t>银行账号：</w:t>
            </w:r>
            <w:r>
              <w:rPr>
                <w:rFonts w:hint="eastAsia"/>
                <w:color w:val="auto"/>
                <w:spacing w:val="-2"/>
                <w:sz w:val="21"/>
              </w:rPr>
              <w:t>1305 6000 0002 6104 6</w:t>
            </w:r>
          </w:p>
        </w:tc>
      </w:tr>
      <w:tr w14:paraId="70190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7" w:hRule="atLeast"/>
        </w:trPr>
        <w:tc>
          <w:tcPr>
            <w:tcW w:w="992" w:type="dxa"/>
          </w:tcPr>
          <w:p w14:paraId="757A365C">
            <w:pPr>
              <w:pStyle w:val="22"/>
              <w:rPr>
                <w:b/>
                <w:color w:val="auto"/>
                <w:sz w:val="21"/>
              </w:rPr>
            </w:pPr>
          </w:p>
          <w:p w14:paraId="71660764">
            <w:pPr>
              <w:pStyle w:val="22"/>
              <w:rPr>
                <w:b/>
                <w:color w:val="auto"/>
                <w:sz w:val="21"/>
              </w:rPr>
            </w:pPr>
          </w:p>
          <w:p w14:paraId="159345E0">
            <w:pPr>
              <w:pStyle w:val="22"/>
              <w:rPr>
                <w:b/>
                <w:color w:val="auto"/>
                <w:sz w:val="21"/>
              </w:rPr>
            </w:pPr>
          </w:p>
          <w:p w14:paraId="71419B2A">
            <w:pPr>
              <w:pStyle w:val="22"/>
              <w:rPr>
                <w:b/>
                <w:color w:val="auto"/>
                <w:sz w:val="21"/>
              </w:rPr>
            </w:pPr>
          </w:p>
          <w:p w14:paraId="5B6D53DF">
            <w:pPr>
              <w:pStyle w:val="22"/>
              <w:spacing w:before="60"/>
              <w:rPr>
                <w:b/>
                <w:color w:val="auto"/>
                <w:sz w:val="21"/>
              </w:rPr>
            </w:pPr>
          </w:p>
          <w:p w14:paraId="3192A59E">
            <w:pPr>
              <w:pStyle w:val="22"/>
              <w:ind w:left="11" w:right="2"/>
              <w:jc w:val="center"/>
              <w:rPr>
                <w:color w:val="auto"/>
                <w:sz w:val="21"/>
              </w:rPr>
            </w:pPr>
            <w:r>
              <w:rPr>
                <w:color w:val="auto"/>
                <w:spacing w:val="-4"/>
                <w:sz w:val="21"/>
              </w:rPr>
              <w:t>33.1</w:t>
            </w:r>
          </w:p>
        </w:tc>
        <w:tc>
          <w:tcPr>
            <w:tcW w:w="7912" w:type="dxa"/>
          </w:tcPr>
          <w:p w14:paraId="74D7AF74">
            <w:pPr>
              <w:pStyle w:val="22"/>
              <w:spacing w:line="360" w:lineRule="auto"/>
              <w:ind w:left="106" w:right="98"/>
              <w:jc w:val="both"/>
              <w:rPr>
                <w:color w:val="auto"/>
                <w:sz w:val="21"/>
              </w:rPr>
            </w:pPr>
            <w:r>
              <w:rPr>
                <w:color w:val="auto"/>
                <w:spacing w:val="3"/>
                <w:w w:val="99"/>
                <w:sz w:val="21"/>
              </w:rPr>
              <w:t>解释：构成本磋商文件的各个组成文件应互为解释，互为说明；除磋商文件中有特</w:t>
            </w:r>
            <w:r>
              <w:rPr>
                <w:color w:val="auto"/>
                <w:spacing w:val="9"/>
                <w:w w:val="99"/>
                <w:sz w:val="21"/>
              </w:rPr>
              <w:t>别规定外，仅适用于竞标阶段的规定，按更正公告</w:t>
            </w:r>
            <w:r>
              <w:rPr>
                <w:color w:val="auto"/>
                <w:spacing w:val="11"/>
                <w:w w:val="99"/>
                <w:sz w:val="21"/>
              </w:rPr>
              <w:t>（</w:t>
            </w:r>
            <w:r>
              <w:rPr>
                <w:color w:val="auto"/>
                <w:spacing w:val="10"/>
                <w:w w:val="99"/>
                <w:sz w:val="21"/>
              </w:rPr>
              <w:t>澄清公告</w:t>
            </w:r>
            <w:r>
              <w:rPr>
                <w:color w:val="auto"/>
                <w:spacing w:val="9"/>
                <w:w w:val="99"/>
                <w:sz w:val="21"/>
              </w:rPr>
              <w:t>）</w:t>
            </w:r>
            <w:r>
              <w:rPr>
                <w:color w:val="auto"/>
                <w:spacing w:val="7"/>
                <w:w w:val="99"/>
                <w:sz w:val="21"/>
              </w:rPr>
              <w:t>、竞争性磋商公</w:t>
            </w:r>
            <w:r>
              <w:rPr>
                <w:color w:val="auto"/>
                <w:spacing w:val="2"/>
                <w:w w:val="99"/>
                <w:sz w:val="21"/>
              </w:rPr>
              <w:t>告、供应商须知、采购需求、评审程序、评审方法和评审标准、响应文件格式、合</w:t>
            </w:r>
            <w:r>
              <w:rPr>
                <w:color w:val="auto"/>
                <w:spacing w:val="3"/>
                <w:w w:val="99"/>
                <w:sz w:val="21"/>
              </w:rPr>
              <w:t>同文本的先后顺序解释；同一组成文件中就同一事项的规定或者约定不一致的，以编排顺序在后者为准；同一组成文件不同版本之间有不一致的，以形成时间在后者</w:t>
            </w:r>
            <w:r>
              <w:rPr>
                <w:color w:val="auto"/>
                <w:spacing w:val="4"/>
                <w:w w:val="99"/>
                <w:sz w:val="21"/>
              </w:rPr>
              <w:t>为准；更正公告</w:t>
            </w:r>
            <w:r>
              <w:rPr>
                <w:color w:val="auto"/>
                <w:spacing w:val="7"/>
                <w:w w:val="99"/>
                <w:sz w:val="21"/>
              </w:rPr>
              <w:t>（</w:t>
            </w:r>
            <w:r>
              <w:rPr>
                <w:color w:val="auto"/>
                <w:spacing w:val="4"/>
                <w:w w:val="99"/>
                <w:sz w:val="21"/>
              </w:rPr>
              <w:t>澄清公告</w:t>
            </w:r>
            <w:r>
              <w:rPr>
                <w:color w:val="auto"/>
                <w:spacing w:val="7"/>
                <w:w w:val="99"/>
                <w:sz w:val="21"/>
              </w:rPr>
              <w:t>）</w:t>
            </w:r>
            <w:r>
              <w:rPr>
                <w:color w:val="auto"/>
                <w:spacing w:val="3"/>
                <w:w w:val="99"/>
                <w:sz w:val="21"/>
              </w:rPr>
              <w:t>与同步更新的磋商文件不一致时以更正公告</w:t>
            </w:r>
            <w:r>
              <w:rPr>
                <w:color w:val="auto"/>
                <w:spacing w:val="7"/>
                <w:w w:val="99"/>
                <w:sz w:val="21"/>
              </w:rPr>
              <w:t>（</w:t>
            </w:r>
            <w:r>
              <w:rPr>
                <w:color w:val="auto"/>
                <w:spacing w:val="2"/>
                <w:w w:val="99"/>
                <w:sz w:val="21"/>
              </w:rPr>
              <w:t>澄清公</w:t>
            </w:r>
            <w:r>
              <w:rPr>
                <w:color w:val="auto"/>
                <w:spacing w:val="4"/>
                <w:w w:val="99"/>
                <w:sz w:val="21"/>
              </w:rPr>
              <w:t>告）</w:t>
            </w:r>
            <w:r>
              <w:rPr>
                <w:color w:val="auto"/>
                <w:spacing w:val="3"/>
                <w:w w:val="99"/>
                <w:sz w:val="21"/>
              </w:rPr>
              <w:t>为准。按本款前述规定仍不能形成结论的，由采购人或者采购代理机构负责解</w:t>
            </w:r>
          </w:p>
          <w:p w14:paraId="61486AD6">
            <w:pPr>
              <w:pStyle w:val="22"/>
              <w:spacing w:line="265" w:lineRule="exact"/>
              <w:ind w:left="106"/>
              <w:rPr>
                <w:color w:val="auto"/>
                <w:sz w:val="21"/>
              </w:rPr>
            </w:pPr>
            <w:r>
              <w:rPr>
                <w:color w:val="auto"/>
                <w:spacing w:val="-8"/>
                <w:sz w:val="21"/>
              </w:rPr>
              <w:t>释。</w:t>
            </w:r>
          </w:p>
        </w:tc>
      </w:tr>
      <w:tr w14:paraId="3FB1B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1" w:hRule="atLeast"/>
        </w:trPr>
        <w:tc>
          <w:tcPr>
            <w:tcW w:w="992" w:type="dxa"/>
          </w:tcPr>
          <w:p w14:paraId="66334AE7">
            <w:pPr>
              <w:pStyle w:val="22"/>
              <w:rPr>
                <w:b/>
                <w:color w:val="auto"/>
                <w:sz w:val="21"/>
              </w:rPr>
            </w:pPr>
          </w:p>
          <w:p w14:paraId="0C78A280">
            <w:pPr>
              <w:pStyle w:val="22"/>
              <w:rPr>
                <w:b/>
                <w:color w:val="auto"/>
                <w:sz w:val="21"/>
              </w:rPr>
            </w:pPr>
          </w:p>
          <w:p w14:paraId="038F4EBC">
            <w:pPr>
              <w:pStyle w:val="22"/>
              <w:spacing w:before="198"/>
              <w:rPr>
                <w:b/>
                <w:color w:val="auto"/>
                <w:sz w:val="21"/>
              </w:rPr>
            </w:pPr>
          </w:p>
          <w:p w14:paraId="334F1450">
            <w:pPr>
              <w:pStyle w:val="22"/>
              <w:ind w:left="11" w:right="2"/>
              <w:jc w:val="center"/>
              <w:rPr>
                <w:color w:val="auto"/>
                <w:sz w:val="21"/>
              </w:rPr>
            </w:pPr>
            <w:r>
              <w:rPr>
                <w:color w:val="auto"/>
                <w:spacing w:val="-4"/>
                <w:sz w:val="21"/>
              </w:rPr>
              <w:t>33.2</w:t>
            </w:r>
          </w:p>
        </w:tc>
        <w:tc>
          <w:tcPr>
            <w:tcW w:w="7912" w:type="dxa"/>
          </w:tcPr>
          <w:p w14:paraId="7659CC19">
            <w:pPr>
              <w:pStyle w:val="22"/>
              <w:spacing w:line="360" w:lineRule="auto"/>
              <w:ind w:left="106" w:right="98"/>
              <w:jc w:val="both"/>
              <w:rPr>
                <w:color w:val="auto"/>
                <w:sz w:val="21"/>
              </w:rPr>
            </w:pPr>
            <w:r>
              <w:rPr>
                <w:color w:val="auto"/>
                <w:spacing w:val="3"/>
                <w:w w:val="99"/>
                <w:sz w:val="21"/>
              </w:rPr>
              <w:t>农民工工资保证金：按照《保障农民工工资支付条例》及《广西壮族自治区人力资源和社会保障厅等</w:t>
            </w:r>
            <w:r>
              <w:rPr>
                <w:color w:val="auto"/>
                <w:spacing w:val="-48"/>
                <w:sz w:val="21"/>
              </w:rPr>
              <w:t xml:space="preserve"> </w:t>
            </w:r>
            <w:r>
              <w:rPr>
                <w:color w:val="auto"/>
                <w:w w:val="99"/>
                <w:sz w:val="21"/>
              </w:rPr>
              <w:t>8</w:t>
            </w:r>
            <w:r>
              <w:rPr>
                <w:color w:val="auto"/>
                <w:spacing w:val="-49"/>
                <w:sz w:val="21"/>
              </w:rPr>
              <w:t xml:space="preserve"> </w:t>
            </w:r>
            <w:r>
              <w:rPr>
                <w:color w:val="auto"/>
                <w:spacing w:val="3"/>
                <w:w w:val="99"/>
                <w:sz w:val="21"/>
              </w:rPr>
              <w:t>部门关于印发广西壮族自治区工程建设领域农民工工资专用账</w:t>
            </w:r>
            <w:r>
              <w:rPr>
                <w:color w:val="auto"/>
                <w:spacing w:val="-1"/>
                <w:w w:val="99"/>
                <w:sz w:val="21"/>
              </w:rPr>
              <w:t>户管理暂行办法实施细则的通知》</w:t>
            </w:r>
            <w:r>
              <w:rPr>
                <w:color w:val="auto"/>
                <w:spacing w:val="2"/>
                <w:w w:val="99"/>
                <w:sz w:val="21"/>
              </w:rPr>
              <w:t>（</w:t>
            </w:r>
            <w:r>
              <w:rPr>
                <w:color w:val="auto"/>
                <w:spacing w:val="-1"/>
                <w:w w:val="99"/>
                <w:sz w:val="21"/>
              </w:rPr>
              <w:t>桂人社规〔</w:t>
            </w:r>
            <w:r>
              <w:rPr>
                <w:color w:val="auto"/>
                <w:spacing w:val="1"/>
                <w:w w:val="99"/>
                <w:sz w:val="21"/>
              </w:rPr>
              <w:t>202</w:t>
            </w:r>
            <w:r>
              <w:rPr>
                <w:color w:val="auto"/>
                <w:spacing w:val="-2"/>
                <w:w w:val="99"/>
                <w:sz w:val="21"/>
              </w:rPr>
              <w:t>2</w:t>
            </w:r>
            <w:r>
              <w:rPr>
                <w:color w:val="auto"/>
                <w:spacing w:val="-1"/>
                <w:w w:val="99"/>
                <w:sz w:val="21"/>
              </w:rPr>
              <w:t>〕</w:t>
            </w:r>
            <w:r>
              <w:rPr>
                <w:color w:val="auto"/>
                <w:w w:val="99"/>
                <w:sz w:val="21"/>
              </w:rPr>
              <w:t>5</w:t>
            </w:r>
            <w:r>
              <w:rPr>
                <w:color w:val="auto"/>
                <w:spacing w:val="-73"/>
                <w:sz w:val="21"/>
              </w:rPr>
              <w:t xml:space="preserve"> </w:t>
            </w:r>
            <w:r>
              <w:rPr>
                <w:color w:val="auto"/>
                <w:spacing w:val="-1"/>
                <w:w w:val="99"/>
                <w:sz w:val="21"/>
              </w:rPr>
              <w:t>号</w:t>
            </w:r>
            <w:r>
              <w:rPr>
                <w:color w:val="auto"/>
                <w:spacing w:val="2"/>
                <w:w w:val="99"/>
                <w:sz w:val="21"/>
              </w:rPr>
              <w:t>）</w:t>
            </w:r>
            <w:r>
              <w:rPr>
                <w:color w:val="auto"/>
                <w:spacing w:val="-1"/>
                <w:w w:val="99"/>
                <w:sz w:val="21"/>
              </w:rPr>
              <w:t>有关规定执行。如开设</w:t>
            </w:r>
            <w:r>
              <w:rPr>
                <w:color w:val="auto"/>
                <w:spacing w:val="3"/>
                <w:w w:val="99"/>
                <w:sz w:val="21"/>
              </w:rPr>
              <w:t>了农民工工资专用账户的，应按规定比例足额将农民工工资保证金存入账户，也可以使用银行保函。工程竣工验收结算经审定后，按照规定程序，将农民工工资保证</w:t>
            </w:r>
          </w:p>
          <w:p w14:paraId="1C0E5F7F">
            <w:pPr>
              <w:pStyle w:val="22"/>
              <w:spacing w:line="268" w:lineRule="exact"/>
              <w:ind w:left="106"/>
              <w:rPr>
                <w:color w:val="auto"/>
                <w:sz w:val="21"/>
              </w:rPr>
            </w:pPr>
            <w:r>
              <w:rPr>
                <w:color w:val="auto"/>
                <w:spacing w:val="-3"/>
                <w:sz w:val="21"/>
              </w:rPr>
              <w:t>金没有使用或剩余的金额退还给承包人。</w:t>
            </w:r>
          </w:p>
        </w:tc>
      </w:tr>
      <w:tr w14:paraId="6805D4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3" w:hRule="atLeast"/>
        </w:trPr>
        <w:tc>
          <w:tcPr>
            <w:tcW w:w="992" w:type="dxa"/>
          </w:tcPr>
          <w:p w14:paraId="7B7586F8">
            <w:pPr>
              <w:pStyle w:val="22"/>
              <w:rPr>
                <w:b/>
                <w:color w:val="auto"/>
                <w:sz w:val="21"/>
              </w:rPr>
            </w:pPr>
          </w:p>
          <w:p w14:paraId="298E9C69">
            <w:pPr>
              <w:pStyle w:val="22"/>
              <w:rPr>
                <w:b/>
                <w:color w:val="auto"/>
                <w:sz w:val="21"/>
              </w:rPr>
            </w:pPr>
          </w:p>
          <w:p w14:paraId="01BC29FE">
            <w:pPr>
              <w:pStyle w:val="22"/>
              <w:rPr>
                <w:b/>
                <w:color w:val="auto"/>
                <w:sz w:val="21"/>
              </w:rPr>
            </w:pPr>
          </w:p>
          <w:p w14:paraId="2FE409B8">
            <w:pPr>
              <w:pStyle w:val="22"/>
              <w:rPr>
                <w:b/>
                <w:color w:val="auto"/>
                <w:sz w:val="21"/>
              </w:rPr>
            </w:pPr>
          </w:p>
          <w:p w14:paraId="18AB7A0C">
            <w:pPr>
              <w:pStyle w:val="22"/>
              <w:rPr>
                <w:b/>
                <w:color w:val="auto"/>
                <w:sz w:val="21"/>
              </w:rPr>
            </w:pPr>
          </w:p>
          <w:p w14:paraId="0AB705A5">
            <w:pPr>
              <w:pStyle w:val="22"/>
              <w:spacing w:before="196"/>
              <w:rPr>
                <w:b/>
                <w:color w:val="auto"/>
                <w:sz w:val="21"/>
              </w:rPr>
            </w:pPr>
          </w:p>
          <w:p w14:paraId="2A45BB17">
            <w:pPr>
              <w:pStyle w:val="22"/>
              <w:spacing w:before="1"/>
              <w:ind w:left="11" w:right="4"/>
              <w:jc w:val="center"/>
              <w:rPr>
                <w:color w:val="auto"/>
                <w:sz w:val="21"/>
              </w:rPr>
            </w:pPr>
            <w:r>
              <w:rPr>
                <w:color w:val="auto"/>
                <w:spacing w:val="-4"/>
                <w:sz w:val="21"/>
              </w:rPr>
              <w:t>33.3</w:t>
            </w:r>
          </w:p>
        </w:tc>
        <w:tc>
          <w:tcPr>
            <w:tcW w:w="7912" w:type="dxa"/>
          </w:tcPr>
          <w:p w14:paraId="77DF1BF9">
            <w:pPr>
              <w:pStyle w:val="22"/>
              <w:numPr>
                <w:ilvl w:val="0"/>
                <w:numId w:val="9"/>
              </w:numPr>
              <w:tabs>
                <w:tab w:val="left" w:pos="319"/>
              </w:tabs>
              <w:spacing w:before="0" w:after="0" w:line="360" w:lineRule="auto"/>
              <w:ind w:left="106" w:right="98" w:firstLine="0"/>
              <w:jc w:val="both"/>
              <w:rPr>
                <w:color w:val="auto"/>
                <w:sz w:val="21"/>
              </w:rPr>
            </w:pPr>
            <w:r>
              <w:rPr>
                <w:color w:val="auto"/>
                <w:spacing w:val="3"/>
                <w:w w:val="99"/>
                <w:sz w:val="21"/>
              </w:rPr>
              <w:t>本磋商文件中描述供应商的“公章”是指根据我国对公章的管理规定，用供应商法定主体行为名称制作的印章，除本磋商文件有特殊规定外，供应商的财务章、部</w:t>
            </w:r>
            <w:r>
              <w:rPr>
                <w:color w:val="auto"/>
                <w:spacing w:val="5"/>
                <w:w w:val="99"/>
                <w:sz w:val="21"/>
              </w:rPr>
              <w:t>门章、分公司章、工会章、合同章、竞标/投标专用章、业务专用章及银行的转账</w:t>
            </w:r>
            <w:r>
              <w:rPr>
                <w:color w:val="auto"/>
                <w:spacing w:val="-1"/>
                <w:w w:val="99"/>
                <w:sz w:val="21"/>
              </w:rPr>
              <w:t>章、现金收讫章、现金付讫章等其他形式印章均不能代替公章。</w:t>
            </w:r>
          </w:p>
          <w:p w14:paraId="1AF4541C">
            <w:pPr>
              <w:pStyle w:val="22"/>
              <w:numPr>
                <w:ilvl w:val="0"/>
                <w:numId w:val="9"/>
              </w:numPr>
              <w:tabs>
                <w:tab w:val="left" w:pos="319"/>
              </w:tabs>
              <w:spacing w:before="0" w:after="0" w:line="360" w:lineRule="auto"/>
              <w:ind w:left="106" w:right="96" w:firstLine="0"/>
              <w:jc w:val="left"/>
              <w:rPr>
                <w:color w:val="auto"/>
                <w:sz w:val="21"/>
              </w:rPr>
            </w:pPr>
            <w:r>
              <w:rPr>
                <w:color w:val="auto"/>
                <w:spacing w:val="3"/>
                <w:w w:val="99"/>
                <w:sz w:val="21"/>
              </w:rPr>
              <w:t>本磋商文件所称的“电子签章”、“电子签名”，是指经广西政府采购云平台认</w:t>
            </w:r>
            <w:r>
              <w:rPr>
                <w:color w:val="auto"/>
                <w:spacing w:val="1"/>
                <w:w w:val="99"/>
                <w:sz w:val="21"/>
              </w:rPr>
              <w:t>可的</w:t>
            </w:r>
            <w:r>
              <w:rPr>
                <w:color w:val="auto"/>
                <w:spacing w:val="-50"/>
                <w:sz w:val="21"/>
              </w:rPr>
              <w:t xml:space="preserve"> </w:t>
            </w:r>
            <w:r>
              <w:rPr>
                <w:color w:val="auto"/>
                <w:spacing w:val="1"/>
                <w:w w:val="99"/>
                <w:sz w:val="21"/>
              </w:rPr>
              <w:t>C</w:t>
            </w:r>
            <w:r>
              <w:rPr>
                <w:color w:val="auto"/>
                <w:w w:val="99"/>
                <w:sz w:val="21"/>
              </w:rPr>
              <w:t>A</w:t>
            </w:r>
            <w:r>
              <w:rPr>
                <w:color w:val="auto"/>
                <w:spacing w:val="-54"/>
                <w:sz w:val="21"/>
              </w:rPr>
              <w:t xml:space="preserve"> </w:t>
            </w:r>
            <w:r>
              <w:rPr>
                <w:color w:val="auto"/>
                <w:spacing w:val="-1"/>
                <w:w w:val="99"/>
                <w:sz w:val="21"/>
              </w:rPr>
              <w:t xml:space="preserve">认证的电子签名数据为表现形式的印章，可用于签署电子响应文件，电子印章与实物印章具有同等法律效力，不因其采用电子化表现形式而否定其法律效力。 </w:t>
            </w:r>
            <w:r>
              <w:rPr>
                <w:color w:val="auto"/>
                <w:spacing w:val="1"/>
                <w:w w:val="99"/>
                <w:sz w:val="21"/>
              </w:rPr>
              <w:t>3</w:t>
            </w:r>
            <w:r>
              <w:rPr>
                <w:color w:val="auto"/>
                <w:spacing w:val="2"/>
                <w:w w:val="99"/>
                <w:sz w:val="21"/>
              </w:rPr>
              <w:t>.供应商为其他组织时，本磋商文件规定的法定代表人指负责人。本磋商文件所称</w:t>
            </w:r>
            <w:r>
              <w:rPr>
                <w:color w:val="auto"/>
                <w:spacing w:val="-1"/>
                <w:w w:val="99"/>
                <w:sz w:val="21"/>
              </w:rPr>
              <w:t>负责人是指参加竞标的其他组织营业执照或者执业许可证等证照上的负责人。</w:t>
            </w:r>
          </w:p>
          <w:p w14:paraId="17E47579">
            <w:pPr>
              <w:pStyle w:val="22"/>
              <w:spacing w:line="268" w:lineRule="exact"/>
              <w:ind w:left="106"/>
              <w:rPr>
                <w:color w:val="auto"/>
                <w:sz w:val="21"/>
              </w:rPr>
            </w:pPr>
            <w:r>
              <w:rPr>
                <w:color w:val="auto"/>
                <w:sz w:val="21"/>
              </w:rPr>
              <w:t>4</w:t>
            </w:r>
            <w:r>
              <w:rPr>
                <w:color w:val="auto"/>
                <w:spacing w:val="-1"/>
                <w:sz w:val="21"/>
              </w:rPr>
              <w:t>.本磋商文件中描述供应商的“签字”是指供应商的法定代表人或者委托代理人亲</w:t>
            </w:r>
          </w:p>
        </w:tc>
      </w:tr>
    </w:tbl>
    <w:p w14:paraId="600ADED1">
      <w:pPr>
        <w:spacing w:after="0" w:line="268" w:lineRule="exact"/>
        <w:rPr>
          <w:color w:val="auto"/>
          <w:sz w:val="21"/>
        </w:rPr>
        <w:sectPr>
          <w:type w:val="continuous"/>
          <w:pgSz w:w="11910" w:h="16840"/>
          <w:pgMar w:top="1400" w:right="740" w:bottom="1180" w:left="800" w:header="0" w:footer="989" w:gutter="0"/>
          <w:cols w:space="720" w:num="1"/>
        </w:sectPr>
      </w:pPr>
    </w:p>
    <w:tbl>
      <w:tblPr>
        <w:tblStyle w:val="16"/>
        <w:tblW w:w="0" w:type="auto"/>
        <w:tblInd w:w="7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2"/>
        <w:gridCol w:w="7912"/>
      </w:tblGrid>
      <w:tr w14:paraId="2ACE9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3" w:hRule="atLeast"/>
        </w:trPr>
        <w:tc>
          <w:tcPr>
            <w:tcW w:w="992" w:type="dxa"/>
          </w:tcPr>
          <w:p w14:paraId="53F3E77A">
            <w:pPr>
              <w:pStyle w:val="22"/>
              <w:rPr>
                <w:rFonts w:ascii="Times New Roman"/>
                <w:color w:val="auto"/>
                <w:sz w:val="20"/>
              </w:rPr>
            </w:pPr>
          </w:p>
        </w:tc>
        <w:tc>
          <w:tcPr>
            <w:tcW w:w="7912" w:type="dxa"/>
          </w:tcPr>
          <w:p w14:paraId="2BA6E62E">
            <w:pPr>
              <w:pStyle w:val="22"/>
              <w:spacing w:line="357" w:lineRule="auto"/>
              <w:ind w:left="106" w:right="98"/>
              <w:rPr>
                <w:color w:val="auto"/>
                <w:sz w:val="21"/>
              </w:rPr>
            </w:pPr>
            <w:r>
              <w:rPr>
                <w:color w:val="auto"/>
                <w:spacing w:val="3"/>
                <w:w w:val="99"/>
                <w:sz w:val="21"/>
              </w:rPr>
              <w:t>自在文件规定签署处亲笔写上个人的名字的行为，私章、签字章、印鉴、影印等其</w:t>
            </w:r>
            <w:r>
              <w:rPr>
                <w:color w:val="auto"/>
                <w:spacing w:val="-1"/>
                <w:w w:val="99"/>
                <w:sz w:val="21"/>
              </w:rPr>
              <w:t>他形式均不能代替亲笔签字。</w:t>
            </w:r>
          </w:p>
          <w:p w14:paraId="1A620F73">
            <w:pPr>
              <w:pStyle w:val="22"/>
              <w:ind w:left="106"/>
              <w:rPr>
                <w:color w:val="auto"/>
                <w:sz w:val="21"/>
              </w:rPr>
            </w:pPr>
            <w:r>
              <w:rPr>
                <w:color w:val="auto"/>
                <w:sz w:val="21"/>
              </w:rPr>
              <w:t>5</w:t>
            </w:r>
            <w:r>
              <w:rPr>
                <w:color w:val="auto"/>
                <w:spacing w:val="-1"/>
                <w:sz w:val="21"/>
              </w:rPr>
              <w:t>.本磋商文件所称的“以上”“以下”“以内”“届满”，包括本数；所称的“不</w:t>
            </w:r>
          </w:p>
          <w:p w14:paraId="05CA9BEA">
            <w:pPr>
              <w:pStyle w:val="22"/>
              <w:spacing w:before="135"/>
              <w:ind w:left="106"/>
              <w:rPr>
                <w:color w:val="auto"/>
                <w:sz w:val="21"/>
              </w:rPr>
            </w:pPr>
            <w:r>
              <w:rPr>
                <w:color w:val="auto"/>
                <w:spacing w:val="-3"/>
                <w:sz w:val="21"/>
              </w:rPr>
              <w:t>满”“超过”“以外”，不包括本数。</w:t>
            </w:r>
          </w:p>
        </w:tc>
      </w:tr>
      <w:tr w14:paraId="20945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2" w:hRule="atLeast"/>
        </w:trPr>
        <w:tc>
          <w:tcPr>
            <w:tcW w:w="992" w:type="dxa"/>
          </w:tcPr>
          <w:p w14:paraId="1C832987">
            <w:pPr>
              <w:pStyle w:val="22"/>
              <w:rPr>
                <w:rFonts w:ascii="Times New Roman"/>
                <w:color w:val="auto"/>
                <w:sz w:val="20"/>
              </w:rPr>
            </w:pPr>
          </w:p>
        </w:tc>
        <w:tc>
          <w:tcPr>
            <w:tcW w:w="7912" w:type="dxa"/>
          </w:tcPr>
          <w:p w14:paraId="2F06304C">
            <w:pPr>
              <w:pStyle w:val="22"/>
              <w:spacing w:line="271" w:lineRule="exact"/>
              <w:ind w:left="106"/>
              <w:rPr>
                <w:color w:val="auto"/>
                <w:sz w:val="21"/>
              </w:rPr>
            </w:pPr>
            <w:r>
              <w:rPr>
                <w:color w:val="auto"/>
                <w:spacing w:val="-3"/>
                <w:sz w:val="21"/>
              </w:rPr>
              <w:t>本采购项目涉及中小企业采购，现明确以下内容：</w:t>
            </w:r>
          </w:p>
          <w:p w14:paraId="08B1573D">
            <w:pPr>
              <w:pStyle w:val="22"/>
              <w:numPr>
                <w:ilvl w:val="0"/>
                <w:numId w:val="10"/>
              </w:numPr>
              <w:tabs>
                <w:tab w:val="left" w:pos="319"/>
              </w:tabs>
              <w:spacing w:before="135" w:after="0" w:line="357" w:lineRule="auto"/>
              <w:ind w:left="106" w:right="96" w:firstLine="0"/>
              <w:jc w:val="both"/>
              <w:rPr>
                <w:color w:val="auto"/>
                <w:sz w:val="21"/>
              </w:rPr>
            </w:pPr>
            <w:r>
              <w:rPr>
                <w:color w:val="auto"/>
                <w:spacing w:val="-2"/>
                <w:sz w:val="21"/>
              </w:rPr>
              <w:t>本项目属于专门面向小微企业采购的项目，施工单位应为中小微企业或监狱企</w:t>
            </w:r>
            <w:r>
              <w:rPr>
                <w:color w:val="auto"/>
                <w:spacing w:val="10"/>
                <w:sz w:val="21"/>
              </w:rPr>
              <w:t>业或残疾人福利性单位， 相关标的详见本竞争性磋商文件“ 第三章《采购需</w:t>
            </w:r>
            <w:r>
              <w:rPr>
                <w:color w:val="auto"/>
                <w:spacing w:val="-4"/>
                <w:sz w:val="21"/>
              </w:rPr>
              <w:t>求》”；</w:t>
            </w:r>
          </w:p>
          <w:p w14:paraId="093D55DA">
            <w:pPr>
              <w:pStyle w:val="22"/>
              <w:numPr>
                <w:ilvl w:val="0"/>
                <w:numId w:val="10"/>
              </w:numPr>
              <w:tabs>
                <w:tab w:val="left" w:pos="317"/>
              </w:tabs>
              <w:spacing w:before="3" w:after="0" w:line="240" w:lineRule="auto"/>
              <w:ind w:left="317" w:right="0" w:hanging="211"/>
              <w:jc w:val="left"/>
              <w:rPr>
                <w:color w:val="auto"/>
                <w:sz w:val="21"/>
              </w:rPr>
            </w:pPr>
            <w:r>
              <w:rPr>
                <w:color w:val="auto"/>
                <w:spacing w:val="-2"/>
                <w:sz w:val="21"/>
              </w:rPr>
              <w:t>中小微企业预留预算金额：</w:t>
            </w:r>
            <w:r>
              <w:rPr>
                <w:rFonts w:hint="eastAsia" w:ascii="宋体" w:hAnsi="宋体" w:eastAsia="宋体" w:cs="宋体"/>
                <w:color w:val="auto"/>
                <w:spacing w:val="-2"/>
                <w:sz w:val="21"/>
                <w:szCs w:val="21"/>
                <w:lang w:val="en-US" w:eastAsia="zh-CN" w:bidi="ar-SA"/>
              </w:rPr>
              <w:t>2032313.95</w:t>
            </w:r>
            <w:r>
              <w:rPr>
                <w:color w:val="auto"/>
                <w:spacing w:val="-8"/>
                <w:sz w:val="21"/>
              </w:rPr>
              <w:t>元；小微企业预留份额：</w:t>
            </w:r>
            <w:r>
              <w:rPr>
                <w:color w:val="auto"/>
                <w:spacing w:val="-2"/>
                <w:sz w:val="21"/>
              </w:rPr>
              <w:t>100%；</w:t>
            </w:r>
          </w:p>
          <w:p w14:paraId="52E3EAD5">
            <w:pPr>
              <w:pStyle w:val="22"/>
              <w:numPr>
                <w:ilvl w:val="0"/>
                <w:numId w:val="10"/>
              </w:numPr>
              <w:tabs>
                <w:tab w:val="left" w:pos="317"/>
              </w:tabs>
              <w:spacing w:before="135" w:after="0" w:line="240" w:lineRule="auto"/>
              <w:ind w:left="317" w:right="0" w:hanging="211"/>
              <w:jc w:val="left"/>
              <w:rPr>
                <w:color w:val="auto"/>
                <w:sz w:val="21"/>
              </w:rPr>
            </w:pPr>
            <w:r>
              <w:rPr>
                <w:color w:val="auto"/>
                <w:spacing w:val="-3"/>
                <w:sz w:val="21"/>
              </w:rPr>
              <w:t>本项目不接受联合体；本项目不允许分包；</w:t>
            </w:r>
          </w:p>
          <w:p w14:paraId="70824CB9">
            <w:pPr>
              <w:pStyle w:val="22"/>
              <w:numPr>
                <w:ilvl w:val="0"/>
                <w:numId w:val="10"/>
              </w:numPr>
              <w:tabs>
                <w:tab w:val="left" w:pos="319"/>
              </w:tabs>
              <w:spacing w:before="138" w:after="0" w:line="357" w:lineRule="auto"/>
              <w:ind w:left="106" w:right="98" w:firstLine="0"/>
              <w:jc w:val="left"/>
              <w:rPr>
                <w:color w:val="auto"/>
                <w:sz w:val="21"/>
              </w:rPr>
            </w:pPr>
            <w:r>
              <w:rPr>
                <w:color w:val="auto"/>
                <w:spacing w:val="-2"/>
                <w:sz w:val="21"/>
              </w:rPr>
              <w:t>本项目属于专门面向小微企业采购的项目，不再进行价格扣除及用扣除后的价格参加评审；</w:t>
            </w:r>
          </w:p>
          <w:p w14:paraId="4CD80921">
            <w:pPr>
              <w:pStyle w:val="22"/>
              <w:numPr>
                <w:ilvl w:val="0"/>
                <w:numId w:val="10"/>
              </w:numPr>
              <w:tabs>
                <w:tab w:val="left" w:pos="319"/>
              </w:tabs>
              <w:spacing w:before="2" w:after="0" w:line="360" w:lineRule="auto"/>
              <w:ind w:left="106" w:right="98" w:firstLine="0"/>
              <w:jc w:val="both"/>
              <w:rPr>
                <w:color w:val="auto"/>
                <w:sz w:val="21"/>
              </w:rPr>
            </w:pPr>
            <w:r>
              <w:rPr>
                <w:color w:val="auto"/>
                <w:spacing w:val="3"/>
                <w:w w:val="99"/>
                <w:sz w:val="21"/>
              </w:rPr>
              <w:t>因本项目属于专门面向小微企业采购的项目，规定依据《政府采购促进中小企业发展管理办法》规定享受扶持政策获得政府采购合同的，小微企业不得将合同分</w:t>
            </w:r>
            <w:r>
              <w:rPr>
                <w:color w:val="auto"/>
                <w:spacing w:val="-1"/>
                <w:w w:val="99"/>
                <w:sz w:val="21"/>
              </w:rPr>
              <w:t>包给大中型企业，中型企业不得将合同分包给大型企业；</w:t>
            </w:r>
          </w:p>
          <w:p w14:paraId="240BE368">
            <w:pPr>
              <w:pStyle w:val="22"/>
              <w:numPr>
                <w:ilvl w:val="0"/>
                <w:numId w:val="10"/>
              </w:numPr>
              <w:tabs>
                <w:tab w:val="left" w:pos="263"/>
              </w:tabs>
              <w:spacing w:before="0" w:after="0" w:line="271" w:lineRule="exact"/>
              <w:ind w:left="263" w:right="0" w:hanging="157"/>
              <w:jc w:val="left"/>
              <w:rPr>
                <w:color w:val="auto"/>
                <w:sz w:val="21"/>
              </w:rPr>
            </w:pPr>
            <w:r>
              <w:rPr>
                <w:color w:val="auto"/>
                <w:spacing w:val="-3"/>
                <w:sz w:val="21"/>
              </w:rPr>
              <w:t>本项目采购标的对应的中小企业划分标准所属行业：建筑业。</w:t>
            </w:r>
          </w:p>
        </w:tc>
      </w:tr>
    </w:tbl>
    <w:p w14:paraId="706490F2">
      <w:pPr>
        <w:spacing w:after="0" w:line="271" w:lineRule="exact"/>
        <w:jc w:val="left"/>
        <w:rPr>
          <w:color w:val="auto"/>
          <w:sz w:val="21"/>
        </w:rPr>
        <w:sectPr>
          <w:type w:val="continuous"/>
          <w:pgSz w:w="11910" w:h="16840"/>
          <w:pgMar w:top="1400" w:right="740" w:bottom="1180" w:left="800" w:header="0" w:footer="989" w:gutter="0"/>
          <w:cols w:space="720" w:num="1"/>
        </w:sectPr>
      </w:pPr>
    </w:p>
    <w:p w14:paraId="5739F96B">
      <w:pPr>
        <w:pStyle w:val="5"/>
        <w:spacing w:before="22"/>
        <w:rPr>
          <w:color w:val="auto"/>
        </w:rPr>
      </w:pPr>
      <w:r>
        <w:rPr>
          <w:color w:val="auto"/>
          <w:spacing w:val="-4"/>
        </w:rPr>
        <w:t>供应商须知正文</w:t>
      </w:r>
    </w:p>
    <w:p w14:paraId="677FED5B">
      <w:pPr>
        <w:pStyle w:val="5"/>
        <w:spacing w:before="342"/>
        <w:ind w:right="835"/>
        <w:rPr>
          <w:color w:val="auto"/>
        </w:rPr>
      </w:pPr>
      <w:r>
        <w:rPr>
          <w:color w:val="auto"/>
          <w:spacing w:val="-4"/>
        </w:rPr>
        <w:t>一、总则</w:t>
      </w:r>
    </w:p>
    <w:p w14:paraId="7F708609">
      <w:pPr>
        <w:pStyle w:val="10"/>
        <w:numPr>
          <w:ilvl w:val="0"/>
          <w:numId w:val="11"/>
        </w:numPr>
        <w:tabs>
          <w:tab w:val="left" w:pos="1510"/>
        </w:tabs>
        <w:spacing w:before="47" w:after="0" w:line="240" w:lineRule="auto"/>
        <w:ind w:left="1510" w:right="0" w:hanging="242"/>
        <w:jc w:val="left"/>
        <w:rPr>
          <w:rFonts w:hint="eastAsia" w:ascii="黑体" w:eastAsia="黑体"/>
          <w:color w:val="auto"/>
        </w:rPr>
      </w:pPr>
      <w:r>
        <w:rPr>
          <w:rFonts w:hint="eastAsia" w:ascii="黑体" w:eastAsia="黑体"/>
          <w:color w:val="auto"/>
          <w:spacing w:val="-3"/>
        </w:rPr>
        <w:t>适用范围</w:t>
      </w:r>
    </w:p>
    <w:p w14:paraId="713C01F7">
      <w:pPr>
        <w:pStyle w:val="21"/>
        <w:numPr>
          <w:ilvl w:val="1"/>
          <w:numId w:val="11"/>
        </w:numPr>
        <w:tabs>
          <w:tab w:val="left" w:pos="1574"/>
        </w:tabs>
        <w:spacing w:before="146" w:after="0" w:line="386" w:lineRule="auto"/>
        <w:ind w:left="788" w:right="788" w:firstLine="420"/>
        <w:jc w:val="both"/>
        <w:rPr>
          <w:color w:val="auto"/>
          <w:sz w:val="21"/>
        </w:rPr>
      </w:pPr>
      <w:r>
        <w:rPr>
          <w:color w:val="auto"/>
          <w:spacing w:val="-1"/>
          <w:w w:val="99"/>
          <w:sz w:val="21"/>
        </w:rPr>
        <w:t>本项目采购人、采购代理机构、供应商、磋商小组的相关行为均受《中华人民共和国政</w:t>
      </w:r>
      <w:r>
        <w:rPr>
          <w:color w:val="auto"/>
          <w:spacing w:val="2"/>
          <w:w w:val="99"/>
          <w:sz w:val="21"/>
        </w:rPr>
        <w:t>府采购法》《中华人民共和国政府采购法实施条例》《政府采购竞争性磋商采购方式管理暂行</w:t>
      </w:r>
      <w:r>
        <w:rPr>
          <w:color w:val="auto"/>
          <w:spacing w:val="3"/>
          <w:w w:val="99"/>
          <w:sz w:val="21"/>
        </w:rPr>
        <w:t>办法》《财政部关于政府采购竞争性磋商采购方式管理暂行办法有关问题的补充通知》及本项</w:t>
      </w:r>
      <w:r>
        <w:rPr>
          <w:color w:val="auto"/>
          <w:spacing w:val="-1"/>
          <w:w w:val="99"/>
          <w:sz w:val="21"/>
        </w:rPr>
        <w:t>目本级和上级财政部门政府采购有关规定的约束和保护。</w:t>
      </w:r>
    </w:p>
    <w:p w14:paraId="358755B7">
      <w:pPr>
        <w:pStyle w:val="21"/>
        <w:numPr>
          <w:ilvl w:val="1"/>
          <w:numId w:val="11"/>
        </w:numPr>
        <w:tabs>
          <w:tab w:val="left" w:pos="1574"/>
        </w:tabs>
        <w:spacing w:before="1" w:after="0" w:line="386" w:lineRule="auto"/>
        <w:ind w:left="788" w:right="791" w:firstLine="420"/>
        <w:jc w:val="both"/>
        <w:rPr>
          <w:color w:val="auto"/>
          <w:sz w:val="21"/>
        </w:rPr>
      </w:pPr>
      <w:r>
        <w:rPr>
          <w:color w:val="auto"/>
          <w:spacing w:val="-2"/>
          <w:sz w:val="21"/>
        </w:rPr>
        <w:t>本竞争性磋商文件（以下简称磋商文件）适用于本项目的所有采购程序和环节（法律、法规另有规定的，从其规定）。</w:t>
      </w:r>
    </w:p>
    <w:p w14:paraId="43D9EA95">
      <w:pPr>
        <w:pStyle w:val="10"/>
        <w:numPr>
          <w:ilvl w:val="0"/>
          <w:numId w:val="11"/>
        </w:numPr>
        <w:tabs>
          <w:tab w:val="left" w:pos="1510"/>
        </w:tabs>
        <w:spacing w:before="0" w:after="0" w:line="283" w:lineRule="exact"/>
        <w:ind w:left="1510" w:right="0" w:hanging="242"/>
        <w:jc w:val="left"/>
        <w:rPr>
          <w:rFonts w:hint="eastAsia" w:ascii="黑体" w:eastAsia="黑体"/>
          <w:color w:val="auto"/>
        </w:rPr>
      </w:pPr>
      <w:r>
        <w:rPr>
          <w:rFonts w:hint="eastAsia" w:ascii="黑体" w:eastAsia="黑体"/>
          <w:color w:val="auto"/>
          <w:spacing w:val="-5"/>
        </w:rPr>
        <w:t>定义</w:t>
      </w:r>
    </w:p>
    <w:p w14:paraId="147BA4F7">
      <w:pPr>
        <w:pStyle w:val="21"/>
        <w:numPr>
          <w:ilvl w:val="1"/>
          <w:numId w:val="11"/>
        </w:numPr>
        <w:tabs>
          <w:tab w:val="left" w:pos="1521"/>
        </w:tabs>
        <w:spacing w:before="158" w:after="0" w:line="240" w:lineRule="auto"/>
        <w:ind w:left="1521" w:right="0" w:hanging="313"/>
        <w:jc w:val="left"/>
        <w:rPr>
          <w:color w:val="auto"/>
          <w:sz w:val="19"/>
        </w:rPr>
      </w:pPr>
      <w:r>
        <w:rPr>
          <w:color w:val="auto"/>
          <w:spacing w:val="-3"/>
          <w:sz w:val="21"/>
        </w:rPr>
        <w:t>“采购人”是指依法进行政府采购的国家机关、事业单位、团体组织。</w:t>
      </w:r>
    </w:p>
    <w:p w14:paraId="1ABF1A23">
      <w:pPr>
        <w:pStyle w:val="21"/>
        <w:numPr>
          <w:ilvl w:val="1"/>
          <w:numId w:val="11"/>
        </w:numPr>
        <w:tabs>
          <w:tab w:val="left" w:pos="1521"/>
        </w:tabs>
        <w:spacing w:before="166" w:after="0" w:line="240" w:lineRule="auto"/>
        <w:ind w:left="1521" w:right="0" w:hanging="313"/>
        <w:jc w:val="left"/>
        <w:rPr>
          <w:color w:val="auto"/>
          <w:sz w:val="19"/>
        </w:rPr>
      </w:pPr>
      <w:r>
        <w:rPr>
          <w:color w:val="auto"/>
          <w:spacing w:val="-3"/>
          <w:sz w:val="21"/>
        </w:rPr>
        <w:t>“采购代理机构”是指政府采购集中采购机构和集中采购机构以外的采购代理机构。</w:t>
      </w:r>
    </w:p>
    <w:p w14:paraId="0BFAC5E0">
      <w:pPr>
        <w:pStyle w:val="21"/>
        <w:numPr>
          <w:ilvl w:val="1"/>
          <w:numId w:val="11"/>
        </w:numPr>
        <w:tabs>
          <w:tab w:val="left" w:pos="1521"/>
        </w:tabs>
        <w:spacing w:before="168" w:after="0" w:line="240" w:lineRule="auto"/>
        <w:ind w:left="1521" w:right="0" w:hanging="313"/>
        <w:jc w:val="left"/>
        <w:rPr>
          <w:color w:val="auto"/>
          <w:sz w:val="19"/>
        </w:rPr>
      </w:pPr>
      <w:r>
        <w:rPr>
          <w:color w:val="auto"/>
          <w:spacing w:val="-3"/>
          <w:sz w:val="21"/>
        </w:rPr>
        <w:t>“供应商”是指向采购人提供货物、工程或者服务的法人、其他组织或者自然人。</w:t>
      </w:r>
    </w:p>
    <w:p w14:paraId="2A8A44E4">
      <w:pPr>
        <w:pStyle w:val="21"/>
        <w:numPr>
          <w:ilvl w:val="1"/>
          <w:numId w:val="11"/>
        </w:numPr>
        <w:tabs>
          <w:tab w:val="left" w:pos="1521"/>
        </w:tabs>
        <w:spacing w:before="167" w:after="0" w:line="240" w:lineRule="auto"/>
        <w:ind w:left="1521" w:right="0" w:hanging="313"/>
        <w:jc w:val="left"/>
        <w:rPr>
          <w:color w:val="auto"/>
          <w:sz w:val="19"/>
        </w:rPr>
      </w:pPr>
      <w:r>
        <w:rPr>
          <w:color w:val="auto"/>
          <w:spacing w:val="-1"/>
          <w:sz w:val="21"/>
        </w:rPr>
        <w:t>“工程”是指建设工程，包括建筑物和构筑物的新建、改建、扩建、装修、拆除、修缮</w:t>
      </w:r>
    </w:p>
    <w:p w14:paraId="1C61B6EC">
      <w:pPr>
        <w:pStyle w:val="12"/>
        <w:spacing w:before="166"/>
        <w:rPr>
          <w:color w:val="auto"/>
        </w:rPr>
      </w:pPr>
      <w:r>
        <w:rPr>
          <w:color w:val="auto"/>
          <w:spacing w:val="-8"/>
        </w:rPr>
        <w:t>等。</w:t>
      </w:r>
    </w:p>
    <w:p w14:paraId="28280383">
      <w:pPr>
        <w:pStyle w:val="21"/>
        <w:numPr>
          <w:ilvl w:val="1"/>
          <w:numId w:val="11"/>
        </w:numPr>
        <w:tabs>
          <w:tab w:val="left" w:pos="1521"/>
        </w:tabs>
        <w:spacing w:before="168" w:after="0" w:line="386" w:lineRule="auto"/>
        <w:ind w:left="788" w:right="788" w:firstLine="420"/>
        <w:jc w:val="left"/>
        <w:rPr>
          <w:color w:val="auto"/>
          <w:sz w:val="19"/>
        </w:rPr>
      </w:pPr>
      <w:r>
        <w:rPr>
          <w:color w:val="auto"/>
          <w:spacing w:val="-2"/>
          <w:sz w:val="21"/>
        </w:rPr>
        <w:t>“竞标”是指供应商按照本项目竞争性磋商公告或者邀请函规定的方式获取磋商文件、提交响应文件并希望获得标的的行为。</w:t>
      </w:r>
    </w:p>
    <w:p w14:paraId="7A90A04F">
      <w:pPr>
        <w:pStyle w:val="21"/>
        <w:numPr>
          <w:ilvl w:val="1"/>
          <w:numId w:val="11"/>
        </w:numPr>
        <w:tabs>
          <w:tab w:val="left" w:pos="1521"/>
        </w:tabs>
        <w:spacing w:before="0" w:after="0" w:line="388" w:lineRule="auto"/>
        <w:ind w:left="788" w:right="791" w:firstLine="420"/>
        <w:jc w:val="left"/>
        <w:rPr>
          <w:color w:val="auto"/>
          <w:sz w:val="19"/>
        </w:rPr>
      </w:pPr>
      <w:r>
        <w:rPr>
          <w:color w:val="auto"/>
          <w:spacing w:val="-2"/>
          <w:sz w:val="21"/>
        </w:rPr>
        <w:t>“书面形式”是指合同书、信件和数据电文（包括电报、电传、传真、电子数据交换和电子邮件）等可以有形地表现所载内容的形式。</w:t>
      </w:r>
    </w:p>
    <w:p w14:paraId="7D6A72CD">
      <w:pPr>
        <w:pStyle w:val="21"/>
        <w:numPr>
          <w:ilvl w:val="1"/>
          <w:numId w:val="11"/>
        </w:numPr>
        <w:tabs>
          <w:tab w:val="left" w:pos="1521"/>
        </w:tabs>
        <w:spacing w:before="0" w:after="0" w:line="386" w:lineRule="auto"/>
        <w:ind w:left="788" w:right="791" w:firstLine="420"/>
        <w:jc w:val="left"/>
        <w:rPr>
          <w:color w:val="auto"/>
          <w:sz w:val="19"/>
        </w:rPr>
      </w:pPr>
      <w:r>
        <w:rPr>
          <w:color w:val="auto"/>
          <w:spacing w:val="-2"/>
          <w:sz w:val="21"/>
        </w:rPr>
        <w:t>“响应文件”是指：供应商根据本磋商文件要求，编制包含资格证明、报价、商务技术等所有内容的文件。</w:t>
      </w:r>
    </w:p>
    <w:p w14:paraId="2913440A">
      <w:pPr>
        <w:pStyle w:val="21"/>
        <w:numPr>
          <w:ilvl w:val="1"/>
          <w:numId w:val="11"/>
        </w:numPr>
        <w:tabs>
          <w:tab w:val="left" w:pos="1521"/>
        </w:tabs>
        <w:spacing w:before="0" w:after="0" w:line="386" w:lineRule="auto"/>
        <w:ind w:left="788" w:right="788" w:firstLine="420"/>
        <w:jc w:val="left"/>
        <w:rPr>
          <w:color w:val="auto"/>
          <w:sz w:val="19"/>
        </w:rPr>
      </w:pPr>
      <w:r>
        <w:rPr>
          <w:color w:val="auto"/>
          <w:spacing w:val="-2"/>
          <w:sz w:val="21"/>
        </w:rPr>
        <w:t>“实质性要求”是指磋商文件中已经指明不满足则响应文件按无效处理的条款，或者不能负偏离的条款，或者采购需求中带“▲”的条款。</w:t>
      </w:r>
    </w:p>
    <w:p w14:paraId="2BDB1435">
      <w:pPr>
        <w:pStyle w:val="21"/>
        <w:numPr>
          <w:ilvl w:val="1"/>
          <w:numId w:val="11"/>
        </w:numPr>
        <w:tabs>
          <w:tab w:val="left" w:pos="1521"/>
        </w:tabs>
        <w:spacing w:before="0" w:after="0" w:line="388" w:lineRule="auto"/>
        <w:ind w:left="788" w:right="791" w:firstLine="420"/>
        <w:jc w:val="left"/>
        <w:rPr>
          <w:color w:val="auto"/>
          <w:sz w:val="19"/>
        </w:rPr>
      </w:pPr>
      <w:r>
        <w:rPr>
          <w:color w:val="auto"/>
          <w:spacing w:val="-2"/>
          <w:sz w:val="21"/>
        </w:rPr>
        <w:t>“正偏离”，是指响应文件对磋商文件“采购需求”中有关条款作出的响应优于条款要求并有利于采购人的情形。</w:t>
      </w:r>
    </w:p>
    <w:p w14:paraId="3DC7B59C">
      <w:pPr>
        <w:pStyle w:val="21"/>
        <w:numPr>
          <w:ilvl w:val="1"/>
          <w:numId w:val="11"/>
        </w:numPr>
        <w:tabs>
          <w:tab w:val="left" w:pos="1629"/>
        </w:tabs>
        <w:spacing w:before="0" w:after="0" w:line="386" w:lineRule="auto"/>
        <w:ind w:left="788" w:right="791" w:firstLine="420"/>
        <w:jc w:val="left"/>
        <w:rPr>
          <w:color w:val="auto"/>
          <w:sz w:val="19"/>
        </w:rPr>
      </w:pPr>
      <w:r>
        <w:rPr>
          <w:color w:val="auto"/>
          <w:spacing w:val="3"/>
          <w:w w:val="99"/>
          <w:sz w:val="21"/>
        </w:rPr>
        <w:t>“负偏离”，是指响应文件对磋商文件“采购需求”中有关条款作出的响应不满足条</w:t>
      </w:r>
      <w:r>
        <w:rPr>
          <w:color w:val="auto"/>
          <w:spacing w:val="-1"/>
          <w:w w:val="99"/>
          <w:sz w:val="21"/>
        </w:rPr>
        <w:t>款要求，导致采购人要求不能得到满足的情形。</w:t>
      </w:r>
    </w:p>
    <w:p w14:paraId="0B3D732C">
      <w:pPr>
        <w:pStyle w:val="21"/>
        <w:numPr>
          <w:ilvl w:val="1"/>
          <w:numId w:val="11"/>
        </w:numPr>
        <w:tabs>
          <w:tab w:val="left" w:pos="1627"/>
        </w:tabs>
        <w:spacing w:before="0" w:after="0" w:line="240" w:lineRule="auto"/>
        <w:ind w:left="1627" w:right="0" w:hanging="419"/>
        <w:jc w:val="left"/>
        <w:rPr>
          <w:color w:val="auto"/>
          <w:sz w:val="19"/>
        </w:rPr>
      </w:pPr>
      <w:r>
        <w:rPr>
          <w:color w:val="auto"/>
          <w:spacing w:val="-3"/>
          <w:sz w:val="21"/>
        </w:rPr>
        <w:t>“允许负偏离的条款”是指采购需求中的不属于“实质性要求”的条款。</w:t>
      </w:r>
    </w:p>
    <w:p w14:paraId="0D3B8A18">
      <w:pPr>
        <w:pStyle w:val="21"/>
        <w:numPr>
          <w:ilvl w:val="1"/>
          <w:numId w:val="11"/>
        </w:numPr>
        <w:tabs>
          <w:tab w:val="left" w:pos="1627"/>
        </w:tabs>
        <w:spacing w:before="161" w:after="0" w:line="240" w:lineRule="auto"/>
        <w:ind w:left="1627" w:right="0" w:hanging="419"/>
        <w:jc w:val="left"/>
        <w:rPr>
          <w:color w:val="auto"/>
          <w:sz w:val="19"/>
        </w:rPr>
      </w:pPr>
      <w:r>
        <w:rPr>
          <w:color w:val="auto"/>
          <w:spacing w:val="-3"/>
          <w:sz w:val="21"/>
        </w:rPr>
        <w:t>“首次报价”是指供应商提交的首次响应文件中的报价。</w:t>
      </w:r>
    </w:p>
    <w:p w14:paraId="6922CD07">
      <w:pPr>
        <w:pStyle w:val="10"/>
        <w:numPr>
          <w:ilvl w:val="0"/>
          <w:numId w:val="11"/>
        </w:numPr>
        <w:tabs>
          <w:tab w:val="left" w:pos="1510"/>
        </w:tabs>
        <w:spacing w:before="138" w:after="0" w:line="240" w:lineRule="auto"/>
        <w:ind w:left="1510" w:right="0" w:hanging="242"/>
        <w:jc w:val="left"/>
        <w:rPr>
          <w:rFonts w:hint="eastAsia" w:ascii="黑体" w:eastAsia="黑体"/>
          <w:color w:val="auto"/>
        </w:rPr>
      </w:pPr>
      <w:r>
        <w:rPr>
          <w:rFonts w:hint="eastAsia" w:ascii="黑体" w:eastAsia="黑体"/>
          <w:color w:val="auto"/>
          <w:spacing w:val="-2"/>
        </w:rPr>
        <w:t>供应商的资格条件</w:t>
      </w:r>
    </w:p>
    <w:p w14:paraId="5A9F3DDB">
      <w:pPr>
        <w:pStyle w:val="21"/>
        <w:numPr>
          <w:ilvl w:val="1"/>
          <w:numId w:val="11"/>
        </w:numPr>
        <w:tabs>
          <w:tab w:val="left" w:pos="1574"/>
        </w:tabs>
        <w:spacing w:before="158" w:after="0" w:line="240" w:lineRule="auto"/>
        <w:ind w:left="1574" w:right="0" w:hanging="366"/>
        <w:jc w:val="left"/>
        <w:rPr>
          <w:color w:val="auto"/>
          <w:sz w:val="21"/>
        </w:rPr>
      </w:pPr>
      <w:r>
        <w:rPr>
          <w:color w:val="auto"/>
          <w:spacing w:val="-3"/>
          <w:sz w:val="21"/>
        </w:rPr>
        <w:t>供应商的资格条件详见“供应商须知前附表”。</w:t>
      </w:r>
    </w:p>
    <w:p w14:paraId="42052AB4">
      <w:pPr>
        <w:spacing w:after="0" w:line="240" w:lineRule="auto"/>
        <w:jc w:val="left"/>
        <w:rPr>
          <w:color w:val="auto"/>
          <w:sz w:val="21"/>
        </w:rPr>
        <w:sectPr>
          <w:pgSz w:w="11910" w:h="16840"/>
          <w:pgMar w:top="1380" w:right="740" w:bottom="1180" w:left="800" w:header="0" w:footer="989" w:gutter="0"/>
          <w:cols w:space="720" w:num="1"/>
        </w:sectPr>
      </w:pPr>
    </w:p>
    <w:p w14:paraId="35247E6F">
      <w:pPr>
        <w:pStyle w:val="21"/>
        <w:numPr>
          <w:ilvl w:val="1"/>
          <w:numId w:val="11"/>
        </w:numPr>
        <w:tabs>
          <w:tab w:val="left" w:pos="1574"/>
        </w:tabs>
        <w:spacing w:before="39" w:after="0" w:line="240" w:lineRule="auto"/>
        <w:ind w:left="1574" w:right="0" w:hanging="366"/>
        <w:jc w:val="left"/>
        <w:rPr>
          <w:color w:val="auto"/>
          <w:sz w:val="21"/>
        </w:rPr>
      </w:pPr>
      <w:r>
        <w:rPr>
          <w:color w:val="auto"/>
          <w:spacing w:val="-3"/>
          <w:sz w:val="21"/>
        </w:rPr>
        <w:t>供应商不得存在下列情形之一：</w:t>
      </w:r>
    </w:p>
    <w:p w14:paraId="31E4D92C">
      <w:pPr>
        <w:pStyle w:val="21"/>
        <w:numPr>
          <w:ilvl w:val="0"/>
          <w:numId w:val="12"/>
        </w:numPr>
        <w:tabs>
          <w:tab w:val="left" w:pos="1735"/>
        </w:tabs>
        <w:spacing w:before="169" w:after="0" w:line="386" w:lineRule="auto"/>
        <w:ind w:left="788" w:right="791" w:firstLine="420"/>
        <w:jc w:val="left"/>
        <w:rPr>
          <w:color w:val="auto"/>
          <w:sz w:val="21"/>
        </w:rPr>
      </w:pPr>
      <w:r>
        <w:rPr>
          <w:color w:val="auto"/>
          <w:spacing w:val="-2"/>
          <w:sz w:val="21"/>
        </w:rPr>
        <w:t>单位负责人为同一人或者存在直接控股、管理关系的不同供应商，不得参加同一合同项下的政府采购活动；</w:t>
      </w:r>
    </w:p>
    <w:p w14:paraId="6A5BB4B7">
      <w:pPr>
        <w:pStyle w:val="21"/>
        <w:numPr>
          <w:ilvl w:val="0"/>
          <w:numId w:val="12"/>
        </w:numPr>
        <w:tabs>
          <w:tab w:val="left" w:pos="1735"/>
        </w:tabs>
        <w:spacing w:before="0" w:after="0" w:line="388" w:lineRule="auto"/>
        <w:ind w:left="788" w:right="791" w:firstLine="420"/>
        <w:jc w:val="left"/>
        <w:rPr>
          <w:color w:val="auto"/>
          <w:sz w:val="21"/>
        </w:rPr>
      </w:pPr>
      <w:r>
        <w:rPr>
          <w:color w:val="auto"/>
          <w:spacing w:val="-2"/>
          <w:sz w:val="21"/>
        </w:rPr>
        <w:t>为本项目提供过整体设计、规范编制或者项目管理、监理、检测等服务的供应商，不得再参加本项目上述服务以外的其他采购活动；</w:t>
      </w:r>
    </w:p>
    <w:p w14:paraId="706D5FF1">
      <w:pPr>
        <w:pStyle w:val="21"/>
        <w:numPr>
          <w:ilvl w:val="0"/>
          <w:numId w:val="12"/>
        </w:numPr>
        <w:tabs>
          <w:tab w:val="left" w:pos="1729"/>
        </w:tabs>
        <w:spacing w:before="0" w:after="0" w:line="269" w:lineRule="exact"/>
        <w:ind w:left="1729" w:right="0" w:hanging="521"/>
        <w:jc w:val="left"/>
        <w:rPr>
          <w:color w:val="auto"/>
          <w:sz w:val="21"/>
        </w:rPr>
      </w:pPr>
      <w:r>
        <w:rPr>
          <w:color w:val="auto"/>
          <w:spacing w:val="-3"/>
          <w:sz w:val="21"/>
        </w:rPr>
        <w:t>为本分标的代建人；</w:t>
      </w:r>
    </w:p>
    <w:p w14:paraId="1D3BC335">
      <w:pPr>
        <w:pStyle w:val="21"/>
        <w:numPr>
          <w:ilvl w:val="0"/>
          <w:numId w:val="12"/>
        </w:numPr>
        <w:tabs>
          <w:tab w:val="left" w:pos="1729"/>
        </w:tabs>
        <w:spacing w:before="165" w:after="0" w:line="240" w:lineRule="auto"/>
        <w:ind w:left="1729" w:right="0" w:hanging="521"/>
        <w:jc w:val="left"/>
        <w:rPr>
          <w:color w:val="auto"/>
          <w:sz w:val="21"/>
        </w:rPr>
      </w:pPr>
      <w:r>
        <w:rPr>
          <w:color w:val="auto"/>
          <w:spacing w:val="-3"/>
          <w:sz w:val="21"/>
        </w:rPr>
        <w:t>为本分标提供采购代理服务的；</w:t>
      </w:r>
    </w:p>
    <w:p w14:paraId="6E953D1C">
      <w:pPr>
        <w:pStyle w:val="21"/>
        <w:numPr>
          <w:ilvl w:val="0"/>
          <w:numId w:val="12"/>
        </w:numPr>
        <w:tabs>
          <w:tab w:val="left" w:pos="1729"/>
        </w:tabs>
        <w:spacing w:before="169" w:after="0" w:line="240" w:lineRule="auto"/>
        <w:ind w:left="1729" w:right="0" w:hanging="521"/>
        <w:jc w:val="left"/>
        <w:rPr>
          <w:color w:val="auto"/>
          <w:sz w:val="21"/>
        </w:rPr>
      </w:pPr>
      <w:r>
        <w:rPr>
          <w:color w:val="auto"/>
          <w:spacing w:val="-3"/>
          <w:sz w:val="21"/>
        </w:rPr>
        <w:t>与本分标的监理人或代建人或采购代理机构同为一个法定代表人的；</w:t>
      </w:r>
    </w:p>
    <w:p w14:paraId="617E8B6D">
      <w:pPr>
        <w:pStyle w:val="21"/>
        <w:numPr>
          <w:ilvl w:val="0"/>
          <w:numId w:val="12"/>
        </w:numPr>
        <w:tabs>
          <w:tab w:val="left" w:pos="1729"/>
        </w:tabs>
        <w:spacing w:before="166" w:after="0" w:line="240" w:lineRule="auto"/>
        <w:ind w:left="1729" w:right="0" w:hanging="521"/>
        <w:jc w:val="left"/>
        <w:rPr>
          <w:color w:val="auto"/>
          <w:sz w:val="21"/>
        </w:rPr>
      </w:pPr>
      <w:r>
        <w:rPr>
          <w:color w:val="auto"/>
          <w:spacing w:val="-3"/>
          <w:sz w:val="21"/>
        </w:rPr>
        <w:t>与本分标的监理人或代建人或采购代理机构相互控股或参股的；</w:t>
      </w:r>
    </w:p>
    <w:p w14:paraId="6DB47629">
      <w:pPr>
        <w:pStyle w:val="21"/>
        <w:numPr>
          <w:ilvl w:val="0"/>
          <w:numId w:val="12"/>
        </w:numPr>
        <w:tabs>
          <w:tab w:val="left" w:pos="1729"/>
        </w:tabs>
        <w:spacing w:before="166" w:after="0" w:line="240" w:lineRule="auto"/>
        <w:ind w:left="1729" w:right="0" w:hanging="521"/>
        <w:jc w:val="left"/>
        <w:rPr>
          <w:color w:val="auto"/>
          <w:sz w:val="21"/>
        </w:rPr>
      </w:pPr>
      <w:r>
        <w:rPr>
          <w:color w:val="auto"/>
          <w:spacing w:val="-3"/>
          <w:sz w:val="21"/>
        </w:rPr>
        <w:t>与本分标的监理人或代建人或采购代理机构相互任职或工作的；</w:t>
      </w:r>
    </w:p>
    <w:p w14:paraId="1A60EE79">
      <w:pPr>
        <w:pStyle w:val="12"/>
        <w:spacing w:before="169"/>
        <w:ind w:left="1208"/>
        <w:rPr>
          <w:color w:val="auto"/>
        </w:rPr>
      </w:pPr>
      <w:r>
        <w:rPr>
          <w:color w:val="auto"/>
        </w:rPr>
        <w:t>（</w:t>
      </w:r>
      <w:r>
        <w:rPr>
          <w:color w:val="auto"/>
          <w:spacing w:val="-31"/>
        </w:rPr>
        <w:t xml:space="preserve"> </w:t>
      </w:r>
      <w:r>
        <w:rPr>
          <w:rFonts w:ascii="Times New Roman" w:hAnsi="Times New Roman" w:eastAsia="Times New Roman"/>
          <w:color w:val="auto"/>
        </w:rPr>
        <w:t>8</w:t>
      </w:r>
      <w:r>
        <w:rPr>
          <w:rFonts w:ascii="Times New Roman" w:hAnsi="Times New Roman" w:eastAsia="Times New Roman"/>
          <w:color w:val="auto"/>
          <w:spacing w:val="-6"/>
        </w:rPr>
        <w:t xml:space="preserve"> </w:t>
      </w:r>
      <w:r>
        <w:rPr>
          <w:color w:val="auto"/>
        </w:rPr>
        <w:t>）</w:t>
      </w:r>
      <w:r>
        <w:rPr>
          <w:color w:val="auto"/>
          <w:spacing w:val="-20"/>
        </w:rPr>
        <w:t xml:space="preserve"> 在 “ 信 用 中 国 ” 网 站 </w:t>
      </w:r>
      <w:r>
        <w:rPr>
          <w:color w:val="auto"/>
        </w:rPr>
        <w:t>（</w:t>
      </w:r>
      <w:r>
        <w:rPr>
          <w:color w:val="auto"/>
          <w:spacing w:val="-31"/>
        </w:rPr>
        <w:t xml:space="preserve"> </w:t>
      </w:r>
      <w:r>
        <w:rPr>
          <w:color w:val="auto"/>
        </w:rPr>
        <w:fldChar w:fldCharType="begin"/>
      </w:r>
      <w:r>
        <w:rPr>
          <w:color w:val="auto"/>
        </w:rPr>
        <w:instrText xml:space="preserve"> HYPERLINK "http://www.creditchina.gov.cn/" \h </w:instrText>
      </w:r>
      <w:r>
        <w:rPr>
          <w:color w:val="auto"/>
        </w:rPr>
        <w:fldChar w:fldCharType="separate"/>
      </w:r>
      <w:r>
        <w:rPr>
          <w:rFonts w:ascii="Times New Roman" w:hAnsi="Times New Roman" w:eastAsia="Times New Roman"/>
          <w:color w:val="auto"/>
        </w:rPr>
        <w:t>www.creditchina.gov.cn</w:t>
      </w:r>
      <w:r>
        <w:rPr>
          <w:rFonts w:ascii="Times New Roman" w:hAnsi="Times New Roman" w:eastAsia="Times New Roman"/>
          <w:color w:val="auto"/>
        </w:rPr>
        <w:fldChar w:fldCharType="end"/>
      </w:r>
      <w:r>
        <w:rPr>
          <w:rFonts w:ascii="Times New Roman" w:hAnsi="Times New Roman" w:eastAsia="Times New Roman"/>
          <w:color w:val="auto"/>
          <w:spacing w:val="-5"/>
        </w:rPr>
        <w:t xml:space="preserve"> </w:t>
      </w:r>
      <w:r>
        <w:rPr>
          <w:color w:val="auto"/>
        </w:rPr>
        <w:t>）</w:t>
      </w:r>
      <w:r>
        <w:rPr>
          <w:color w:val="auto"/>
          <w:spacing w:val="-16"/>
        </w:rPr>
        <w:t xml:space="preserve">  、 中 国 政 府 采 购 网</w:t>
      </w:r>
    </w:p>
    <w:p w14:paraId="50B1C891">
      <w:pPr>
        <w:pStyle w:val="12"/>
        <w:spacing w:before="166" w:line="386" w:lineRule="auto"/>
        <w:ind w:right="791"/>
        <w:rPr>
          <w:color w:val="auto"/>
        </w:rPr>
      </w:pPr>
      <w:r>
        <w:rPr>
          <w:color w:val="auto"/>
          <w:spacing w:val="2"/>
          <w:w w:val="99"/>
        </w:rPr>
        <w:t>（</w:t>
      </w:r>
      <w:r>
        <w:rPr>
          <w:color w:val="auto"/>
        </w:rPr>
        <w:fldChar w:fldCharType="begin"/>
      </w:r>
      <w:r>
        <w:rPr>
          <w:color w:val="auto"/>
        </w:rPr>
        <w:instrText xml:space="preserve"> HYPERLINK "http://www.ccgp.gov.cn/" \h </w:instrText>
      </w:r>
      <w:r>
        <w:rPr>
          <w:color w:val="auto"/>
        </w:rPr>
        <w:fldChar w:fldCharType="separate"/>
      </w:r>
      <w:r>
        <w:rPr>
          <w:rFonts w:ascii="Times New Roman" w:eastAsia="Times New Roman"/>
          <w:color w:val="auto"/>
          <w:w w:val="99"/>
        </w:rPr>
        <w:t>www.cc</w:t>
      </w:r>
      <w:r>
        <w:rPr>
          <w:rFonts w:ascii="Times New Roman" w:eastAsia="Times New Roman"/>
          <w:color w:val="auto"/>
          <w:spacing w:val="-2"/>
          <w:w w:val="99"/>
        </w:rPr>
        <w:t>g</w:t>
      </w:r>
      <w:r>
        <w:rPr>
          <w:rFonts w:ascii="Times New Roman" w:eastAsia="Times New Roman"/>
          <w:color w:val="auto"/>
          <w:spacing w:val="1"/>
          <w:w w:val="99"/>
        </w:rPr>
        <w:t>p</w:t>
      </w:r>
      <w:r>
        <w:rPr>
          <w:rFonts w:ascii="Times New Roman" w:eastAsia="Times New Roman"/>
          <w:color w:val="auto"/>
          <w:w w:val="99"/>
        </w:rPr>
        <w:t>.</w:t>
      </w:r>
      <w:r>
        <w:rPr>
          <w:rFonts w:ascii="Times New Roman" w:eastAsia="Times New Roman"/>
          <w:color w:val="auto"/>
          <w:spacing w:val="-2"/>
          <w:w w:val="99"/>
        </w:rPr>
        <w:t>g</w:t>
      </w:r>
      <w:r>
        <w:rPr>
          <w:rFonts w:ascii="Times New Roman" w:eastAsia="Times New Roman"/>
          <w:color w:val="auto"/>
          <w:spacing w:val="1"/>
          <w:w w:val="99"/>
        </w:rPr>
        <w:t>ov</w:t>
      </w:r>
      <w:r>
        <w:rPr>
          <w:rFonts w:ascii="Times New Roman" w:eastAsia="Times New Roman"/>
          <w:color w:val="auto"/>
          <w:w w:val="99"/>
        </w:rPr>
        <w:t>.c</w:t>
      </w:r>
      <w:r>
        <w:rPr>
          <w:rFonts w:ascii="Times New Roman" w:eastAsia="Times New Roman"/>
          <w:color w:val="auto"/>
          <w:spacing w:val="6"/>
          <w:w w:val="99"/>
        </w:rPr>
        <w:t>n</w:t>
      </w:r>
      <w:r>
        <w:rPr>
          <w:rFonts w:ascii="Times New Roman" w:eastAsia="Times New Roman"/>
          <w:color w:val="auto"/>
          <w:spacing w:val="6"/>
          <w:w w:val="99"/>
        </w:rPr>
        <w:fldChar w:fldCharType="end"/>
      </w:r>
      <w:r>
        <w:rPr>
          <w:color w:val="auto"/>
          <w:spacing w:val="4"/>
          <w:w w:val="99"/>
        </w:rPr>
        <w:t>）</w:t>
      </w:r>
      <w:r>
        <w:rPr>
          <w:color w:val="auto"/>
          <w:spacing w:val="3"/>
          <w:w w:val="99"/>
        </w:rPr>
        <w:t>被列入失信被执行人、重大税收违法失信主体、政府采购严重违法失信行</w:t>
      </w:r>
      <w:r>
        <w:rPr>
          <w:color w:val="auto"/>
          <w:spacing w:val="-1"/>
          <w:w w:val="99"/>
        </w:rPr>
        <w:t>为记录名单及其他不符合《中华人民共和国政府采购法》第二十二条规定条件的。</w:t>
      </w:r>
    </w:p>
    <w:p w14:paraId="45A422A7">
      <w:pPr>
        <w:pStyle w:val="10"/>
        <w:numPr>
          <w:ilvl w:val="0"/>
          <w:numId w:val="11"/>
        </w:numPr>
        <w:tabs>
          <w:tab w:val="left" w:pos="1510"/>
        </w:tabs>
        <w:spacing w:before="0" w:after="0" w:line="283" w:lineRule="exact"/>
        <w:ind w:left="1510" w:right="0" w:hanging="242"/>
        <w:jc w:val="left"/>
        <w:rPr>
          <w:rFonts w:hint="eastAsia" w:ascii="黑体" w:eastAsia="黑体"/>
          <w:color w:val="auto"/>
        </w:rPr>
      </w:pPr>
      <w:r>
        <w:rPr>
          <w:rFonts w:hint="eastAsia" w:ascii="黑体" w:eastAsia="黑体"/>
          <w:color w:val="auto"/>
          <w:spacing w:val="-3"/>
        </w:rPr>
        <w:t>竞标费用</w:t>
      </w:r>
    </w:p>
    <w:p w14:paraId="32D9A7E7">
      <w:pPr>
        <w:pStyle w:val="12"/>
        <w:spacing w:before="158" w:line="386" w:lineRule="auto"/>
        <w:ind w:right="757" w:firstLine="420"/>
        <w:rPr>
          <w:color w:val="auto"/>
        </w:rPr>
      </w:pPr>
      <w:r>
        <w:rPr>
          <w:color w:val="auto"/>
          <w:spacing w:val="-2"/>
        </w:rPr>
        <w:t>供应商应承担参与本次采购活动有关的所有费用，包括但不限于获取磋商文件、勘查现场、编制和提交响应文件、参加磋商与应答、签订合同等，不论竞标结果如何，均应自行承担。</w:t>
      </w:r>
    </w:p>
    <w:p w14:paraId="35C5AB62">
      <w:pPr>
        <w:pStyle w:val="10"/>
        <w:numPr>
          <w:ilvl w:val="0"/>
          <w:numId w:val="11"/>
        </w:numPr>
        <w:tabs>
          <w:tab w:val="left" w:pos="1510"/>
        </w:tabs>
        <w:spacing w:before="0" w:after="0" w:line="283" w:lineRule="exact"/>
        <w:ind w:left="1510" w:right="0" w:hanging="242"/>
        <w:jc w:val="left"/>
        <w:rPr>
          <w:rFonts w:hint="eastAsia" w:ascii="黑体" w:eastAsia="黑体"/>
          <w:color w:val="auto"/>
        </w:rPr>
      </w:pPr>
      <w:r>
        <w:rPr>
          <w:rFonts w:hint="eastAsia" w:ascii="黑体" w:eastAsia="黑体"/>
          <w:color w:val="auto"/>
          <w:spacing w:val="-2"/>
        </w:rPr>
        <w:t>联合体竞标</w:t>
      </w:r>
    </w:p>
    <w:p w14:paraId="75D3D62C">
      <w:pPr>
        <w:pStyle w:val="21"/>
        <w:numPr>
          <w:ilvl w:val="1"/>
          <w:numId w:val="11"/>
        </w:numPr>
        <w:tabs>
          <w:tab w:val="left" w:pos="1574"/>
        </w:tabs>
        <w:spacing w:before="158" w:after="0" w:line="240" w:lineRule="auto"/>
        <w:ind w:left="1574" w:right="0" w:hanging="366"/>
        <w:jc w:val="left"/>
        <w:rPr>
          <w:color w:val="auto"/>
          <w:sz w:val="21"/>
        </w:rPr>
      </w:pPr>
      <w:r>
        <w:rPr>
          <w:color w:val="auto"/>
          <w:spacing w:val="-3"/>
          <w:sz w:val="21"/>
        </w:rPr>
        <w:t>本项目是否接受联合体竞标，详见“供应商须知前附表”。</w:t>
      </w:r>
    </w:p>
    <w:p w14:paraId="7BA849FA">
      <w:pPr>
        <w:pStyle w:val="21"/>
        <w:numPr>
          <w:ilvl w:val="1"/>
          <w:numId w:val="11"/>
        </w:numPr>
        <w:tabs>
          <w:tab w:val="left" w:pos="1574"/>
        </w:tabs>
        <w:spacing w:before="166" w:after="0" w:line="240" w:lineRule="auto"/>
        <w:ind w:left="1574" w:right="0" w:hanging="366"/>
        <w:jc w:val="both"/>
        <w:rPr>
          <w:color w:val="auto"/>
          <w:sz w:val="21"/>
        </w:rPr>
      </w:pPr>
      <w:r>
        <w:rPr>
          <w:color w:val="auto"/>
          <w:spacing w:val="-3"/>
          <w:sz w:val="21"/>
        </w:rPr>
        <w:t>如接受联合体竞标，联合体竞标要求详见“供应商须知前附表”。</w:t>
      </w:r>
    </w:p>
    <w:p w14:paraId="076E966B">
      <w:pPr>
        <w:pStyle w:val="21"/>
        <w:numPr>
          <w:ilvl w:val="1"/>
          <w:numId w:val="11"/>
        </w:numPr>
        <w:tabs>
          <w:tab w:val="left" w:pos="1557"/>
        </w:tabs>
        <w:spacing w:before="168" w:after="0" w:line="386" w:lineRule="auto"/>
        <w:ind w:left="788" w:right="788" w:firstLine="420"/>
        <w:jc w:val="both"/>
        <w:rPr>
          <w:color w:val="auto"/>
          <w:sz w:val="21"/>
        </w:rPr>
      </w:pPr>
      <w:r>
        <w:rPr>
          <w:color w:val="auto"/>
          <w:spacing w:val="-1"/>
          <w:w w:val="99"/>
          <w:sz w:val="21"/>
        </w:rPr>
        <w:t>根据《政府采购促进中小企业发展管理办法》（</w:t>
      </w:r>
      <w:r>
        <w:rPr>
          <w:color w:val="auto"/>
          <w:w w:val="99"/>
          <w:sz w:val="21"/>
        </w:rPr>
        <w:t>财库〔</w:t>
      </w:r>
      <w:r>
        <w:rPr>
          <w:color w:val="auto"/>
          <w:spacing w:val="1"/>
          <w:w w:val="99"/>
          <w:sz w:val="21"/>
        </w:rPr>
        <w:t>202</w:t>
      </w:r>
      <w:r>
        <w:rPr>
          <w:color w:val="auto"/>
          <w:spacing w:val="-2"/>
          <w:w w:val="99"/>
          <w:sz w:val="21"/>
        </w:rPr>
        <w:t>0</w:t>
      </w:r>
      <w:r>
        <w:rPr>
          <w:color w:val="auto"/>
          <w:spacing w:val="-1"/>
          <w:w w:val="99"/>
          <w:sz w:val="21"/>
        </w:rPr>
        <w:t>〕</w:t>
      </w:r>
      <w:r>
        <w:rPr>
          <w:color w:val="auto"/>
          <w:spacing w:val="1"/>
          <w:w w:val="99"/>
          <w:sz w:val="21"/>
        </w:rPr>
        <w:t>4</w:t>
      </w:r>
      <w:r>
        <w:rPr>
          <w:color w:val="auto"/>
          <w:w w:val="99"/>
          <w:sz w:val="21"/>
        </w:rPr>
        <w:t>6</w:t>
      </w:r>
      <w:r>
        <w:rPr>
          <w:color w:val="auto"/>
          <w:spacing w:val="-68"/>
          <w:sz w:val="21"/>
        </w:rPr>
        <w:t xml:space="preserve"> </w:t>
      </w:r>
      <w:r>
        <w:rPr>
          <w:color w:val="auto"/>
          <w:spacing w:val="-1"/>
          <w:w w:val="99"/>
          <w:sz w:val="21"/>
        </w:rPr>
        <w:t>号</w:t>
      </w:r>
      <w:r>
        <w:rPr>
          <w:color w:val="auto"/>
          <w:spacing w:val="2"/>
          <w:w w:val="99"/>
          <w:sz w:val="21"/>
        </w:rPr>
        <w:t>）</w:t>
      </w:r>
      <w:r>
        <w:rPr>
          <w:color w:val="auto"/>
          <w:spacing w:val="-1"/>
          <w:w w:val="99"/>
          <w:sz w:val="21"/>
        </w:rPr>
        <w:t>第九条第二款的规</w:t>
      </w:r>
      <w:r>
        <w:rPr>
          <w:color w:val="auto"/>
          <w:spacing w:val="3"/>
          <w:w w:val="99"/>
          <w:sz w:val="21"/>
        </w:rPr>
        <w:t>定，接受大中型企业与小微企业组成联合体或者允许大中型企业向一家或者多家小微企业分包</w:t>
      </w:r>
      <w:r>
        <w:rPr>
          <w:color w:val="auto"/>
          <w:spacing w:val="-1"/>
          <w:w w:val="99"/>
          <w:sz w:val="21"/>
        </w:rPr>
        <w:t>的采购项目，对于联合协议或者分包意向协议约定小微企业的合同份额占到合同总金额</w:t>
      </w:r>
      <w:r>
        <w:rPr>
          <w:color w:val="auto"/>
          <w:spacing w:val="-53"/>
          <w:sz w:val="21"/>
        </w:rPr>
        <w:t xml:space="preserve"> </w:t>
      </w:r>
      <w:r>
        <w:rPr>
          <w:color w:val="auto"/>
          <w:spacing w:val="1"/>
          <w:w w:val="99"/>
          <w:sz w:val="21"/>
        </w:rPr>
        <w:t>30</w:t>
      </w:r>
      <w:r>
        <w:rPr>
          <w:color w:val="auto"/>
          <w:w w:val="99"/>
          <w:sz w:val="21"/>
        </w:rPr>
        <w:t>%以上</w:t>
      </w:r>
      <w:r>
        <w:rPr>
          <w:color w:val="auto"/>
          <w:spacing w:val="-1"/>
          <w:w w:val="99"/>
          <w:sz w:val="21"/>
        </w:rPr>
        <w:t>的，采购人、采购代理机构应当对联合体或者大中型企业的报价给予</w:t>
      </w:r>
      <w:r>
        <w:rPr>
          <w:color w:val="auto"/>
          <w:spacing w:val="-50"/>
          <w:sz w:val="21"/>
        </w:rPr>
        <w:t xml:space="preserve"> </w:t>
      </w:r>
      <w:r>
        <w:rPr>
          <w:color w:val="auto"/>
          <w:spacing w:val="1"/>
          <w:w w:val="99"/>
          <w:sz w:val="21"/>
        </w:rPr>
        <w:t>1%</w:t>
      </w:r>
      <w:r>
        <w:rPr>
          <w:color w:val="auto"/>
          <w:spacing w:val="-2"/>
          <w:w w:val="99"/>
          <w:sz w:val="21"/>
        </w:rPr>
        <w:t>-</w:t>
      </w:r>
      <w:r>
        <w:rPr>
          <w:color w:val="auto"/>
          <w:spacing w:val="1"/>
          <w:w w:val="99"/>
          <w:sz w:val="21"/>
        </w:rPr>
        <w:t>2</w:t>
      </w:r>
      <w:r>
        <w:rPr>
          <w:color w:val="auto"/>
          <w:spacing w:val="-1"/>
          <w:w w:val="99"/>
          <w:sz w:val="21"/>
        </w:rPr>
        <w:t>%的扣除，用扣除后的价格参加评审。</w:t>
      </w:r>
    </w:p>
    <w:p w14:paraId="22D5E8A1">
      <w:pPr>
        <w:pStyle w:val="10"/>
        <w:numPr>
          <w:ilvl w:val="0"/>
          <w:numId w:val="11"/>
        </w:numPr>
        <w:tabs>
          <w:tab w:val="left" w:pos="1510"/>
        </w:tabs>
        <w:spacing w:before="0" w:after="0" w:line="285" w:lineRule="exact"/>
        <w:ind w:left="1510" w:right="0" w:hanging="242"/>
        <w:jc w:val="left"/>
        <w:rPr>
          <w:rFonts w:hint="eastAsia" w:ascii="黑体" w:eastAsia="黑体"/>
          <w:color w:val="auto"/>
        </w:rPr>
      </w:pPr>
      <w:r>
        <w:rPr>
          <w:rFonts w:hint="eastAsia" w:ascii="黑体" w:eastAsia="黑体"/>
          <w:color w:val="auto"/>
          <w:spacing w:val="-2"/>
        </w:rPr>
        <w:t>转包与分包</w:t>
      </w:r>
    </w:p>
    <w:p w14:paraId="163CD675">
      <w:pPr>
        <w:pStyle w:val="21"/>
        <w:numPr>
          <w:ilvl w:val="1"/>
          <w:numId w:val="11"/>
        </w:numPr>
        <w:tabs>
          <w:tab w:val="left" w:pos="1574"/>
        </w:tabs>
        <w:spacing w:before="158" w:after="0" w:line="240" w:lineRule="auto"/>
        <w:ind w:left="1574" w:right="0" w:hanging="366"/>
        <w:jc w:val="both"/>
        <w:rPr>
          <w:color w:val="auto"/>
          <w:sz w:val="21"/>
        </w:rPr>
      </w:pPr>
      <w:bookmarkStart w:id="3" w:name="6.1本项目不允许转包。"/>
      <w:bookmarkEnd w:id="3"/>
      <w:r>
        <w:rPr>
          <w:color w:val="auto"/>
          <w:spacing w:val="-3"/>
          <w:sz w:val="21"/>
        </w:rPr>
        <w:t>本项目不允许转包。</w:t>
      </w:r>
    </w:p>
    <w:p w14:paraId="25E33701">
      <w:pPr>
        <w:pStyle w:val="21"/>
        <w:numPr>
          <w:ilvl w:val="1"/>
          <w:numId w:val="11"/>
        </w:numPr>
        <w:tabs>
          <w:tab w:val="left" w:pos="1574"/>
        </w:tabs>
        <w:spacing w:before="166" w:after="0" w:line="386" w:lineRule="auto"/>
        <w:ind w:left="788" w:right="788" w:firstLine="420"/>
        <w:jc w:val="both"/>
        <w:rPr>
          <w:color w:val="auto"/>
          <w:sz w:val="21"/>
        </w:rPr>
      </w:pPr>
      <w:bookmarkStart w:id="4" w:name=" 6.2本项目是否允许分包详见“供应商须知前附表”，本项目不允许违法分包。允许分"/>
      <w:bookmarkEnd w:id="4"/>
      <w:r>
        <w:rPr>
          <w:color w:val="auto"/>
          <w:spacing w:val="-1"/>
          <w:w w:val="99"/>
          <w:sz w:val="21"/>
        </w:rPr>
        <w:t>本项目是否允许分包详见“供应商须知前附表”，本项目不允许违法分包。允许分包的</w:t>
      </w:r>
      <w:r>
        <w:rPr>
          <w:color w:val="auto"/>
          <w:spacing w:val="3"/>
          <w:w w:val="99"/>
          <w:sz w:val="21"/>
        </w:rPr>
        <w:t>非主体、非关键性工作，根据法律法规规定承担该工作需要资质或者行政许可的，如该工作由供应商自行承担，供应商应具备相应的资质或者行政许可，如供应商不具备相应的资质或者行</w:t>
      </w:r>
      <w:r>
        <w:rPr>
          <w:color w:val="auto"/>
          <w:spacing w:val="-1"/>
          <w:w w:val="99"/>
          <w:sz w:val="21"/>
        </w:rPr>
        <w:t>政许可必须采用分包的方式，但分包供应商应具备相应资质或者行政许可。</w:t>
      </w:r>
    </w:p>
    <w:p w14:paraId="78946DC7">
      <w:pPr>
        <w:pStyle w:val="21"/>
        <w:numPr>
          <w:ilvl w:val="1"/>
          <w:numId w:val="11"/>
        </w:numPr>
        <w:tabs>
          <w:tab w:val="left" w:pos="1574"/>
        </w:tabs>
        <w:spacing w:before="1" w:after="0" w:line="240" w:lineRule="auto"/>
        <w:ind w:left="1574" w:right="0" w:hanging="366"/>
        <w:jc w:val="both"/>
        <w:rPr>
          <w:color w:val="auto"/>
          <w:sz w:val="21"/>
        </w:rPr>
      </w:pPr>
      <w:bookmarkStart w:id="5" w:name=" 6.3供应商根据磋商文件的规定和采购项目的实际情况，拟在成交后将成交项目的非主"/>
      <w:bookmarkEnd w:id="5"/>
      <w:r>
        <w:rPr>
          <w:color w:val="auto"/>
          <w:spacing w:val="-3"/>
          <w:sz w:val="21"/>
        </w:rPr>
        <w:t>供应商根据磋商文件的规定和采购项目的实际情况，拟在成交后将成交项目的非主体、</w:t>
      </w:r>
    </w:p>
    <w:p w14:paraId="14DB696B">
      <w:pPr>
        <w:spacing w:after="0" w:line="240" w:lineRule="auto"/>
        <w:jc w:val="both"/>
        <w:rPr>
          <w:color w:val="auto"/>
          <w:sz w:val="21"/>
        </w:rPr>
        <w:sectPr>
          <w:pgSz w:w="11910" w:h="16840"/>
          <w:pgMar w:top="1520" w:right="740" w:bottom="1180" w:left="800" w:header="0" w:footer="989" w:gutter="0"/>
          <w:cols w:space="720" w:num="1"/>
        </w:sectPr>
      </w:pPr>
    </w:p>
    <w:p w14:paraId="4D1AE993">
      <w:pPr>
        <w:pStyle w:val="12"/>
        <w:spacing w:before="39" w:line="388" w:lineRule="auto"/>
        <w:ind w:right="788"/>
        <w:rPr>
          <w:color w:val="auto"/>
        </w:rPr>
      </w:pPr>
      <w:r>
        <w:rPr>
          <w:color w:val="auto"/>
          <w:spacing w:val="3"/>
          <w:w w:val="99"/>
        </w:rPr>
        <w:t>非关键性工作分包的，应当在响应文件中载明分包承担主体，分包承担主体应当具备相应资质</w:t>
      </w:r>
      <w:r>
        <w:rPr>
          <w:color w:val="auto"/>
          <w:spacing w:val="-1"/>
          <w:w w:val="99"/>
        </w:rPr>
        <w:t>条件且不得再次分包。</w:t>
      </w:r>
    </w:p>
    <w:p w14:paraId="4AE4BA87">
      <w:pPr>
        <w:pStyle w:val="10"/>
        <w:numPr>
          <w:ilvl w:val="0"/>
          <w:numId w:val="11"/>
        </w:numPr>
        <w:tabs>
          <w:tab w:val="left" w:pos="1510"/>
        </w:tabs>
        <w:spacing w:before="0" w:after="0" w:line="278" w:lineRule="exact"/>
        <w:ind w:left="1510" w:right="0" w:hanging="242"/>
        <w:jc w:val="left"/>
        <w:rPr>
          <w:rFonts w:hint="eastAsia" w:ascii="黑体" w:eastAsia="黑体"/>
          <w:color w:val="auto"/>
        </w:rPr>
      </w:pPr>
      <w:r>
        <w:rPr>
          <w:rFonts w:hint="eastAsia" w:ascii="黑体" w:eastAsia="黑体"/>
          <w:color w:val="auto"/>
          <w:spacing w:val="-3"/>
        </w:rPr>
        <w:t>特别说明</w:t>
      </w:r>
    </w:p>
    <w:p w14:paraId="1854BEBA">
      <w:pPr>
        <w:pStyle w:val="21"/>
        <w:numPr>
          <w:ilvl w:val="1"/>
          <w:numId w:val="11"/>
        </w:numPr>
        <w:tabs>
          <w:tab w:val="left" w:pos="1573"/>
        </w:tabs>
        <w:spacing w:before="158" w:after="0" w:line="388" w:lineRule="auto"/>
        <w:ind w:left="788" w:right="791" w:firstLine="420"/>
        <w:jc w:val="both"/>
        <w:rPr>
          <w:color w:val="auto"/>
          <w:sz w:val="21"/>
        </w:rPr>
      </w:pPr>
      <w:r>
        <w:rPr>
          <w:color w:val="auto"/>
          <w:spacing w:val="-2"/>
          <w:sz w:val="21"/>
        </w:rPr>
        <w:t>如果本磋商文件要求提供供应商或制造商的资格、信誉、荣誉、业绩与企业认证等材料</w:t>
      </w:r>
      <w:r>
        <w:rPr>
          <w:color w:val="auto"/>
          <w:sz w:val="21"/>
        </w:rPr>
        <w:t>的，资格、信誉、荣誉、业绩与企业认证等必须为供应商或者制造商所拥有或自身获得 。</w:t>
      </w:r>
    </w:p>
    <w:p w14:paraId="02676B00">
      <w:pPr>
        <w:pStyle w:val="21"/>
        <w:numPr>
          <w:ilvl w:val="1"/>
          <w:numId w:val="11"/>
        </w:numPr>
        <w:tabs>
          <w:tab w:val="left" w:pos="1573"/>
        </w:tabs>
        <w:spacing w:before="0" w:after="0" w:line="386" w:lineRule="auto"/>
        <w:ind w:left="788" w:right="791" w:firstLine="420"/>
        <w:jc w:val="both"/>
        <w:rPr>
          <w:color w:val="auto"/>
          <w:sz w:val="21"/>
        </w:rPr>
      </w:pPr>
      <w:r>
        <w:rPr>
          <w:color w:val="auto"/>
          <w:spacing w:val="-2"/>
          <w:sz w:val="21"/>
        </w:rPr>
        <w:t>供应商应仔细阅读磋商文件的所有内容，按照磋商文件的要求提交响应文件，并对所提供的全部资料的真实性承担法律责任。</w:t>
      </w:r>
    </w:p>
    <w:p w14:paraId="06392407">
      <w:pPr>
        <w:pStyle w:val="21"/>
        <w:numPr>
          <w:ilvl w:val="1"/>
          <w:numId w:val="11"/>
        </w:numPr>
        <w:tabs>
          <w:tab w:val="left" w:pos="1573"/>
        </w:tabs>
        <w:spacing w:before="0" w:after="0" w:line="386" w:lineRule="auto"/>
        <w:ind w:left="788" w:right="788" w:firstLine="420"/>
        <w:jc w:val="both"/>
        <w:rPr>
          <w:color w:val="auto"/>
          <w:sz w:val="21"/>
        </w:rPr>
      </w:pPr>
      <w:r>
        <w:rPr>
          <w:color w:val="auto"/>
          <w:spacing w:val="-1"/>
          <w:w w:val="99"/>
          <w:sz w:val="21"/>
        </w:rPr>
        <w:t>供应商在竞标活动中提供任何虚假材料谋取成交的，将报财政部门查处；签订合同后发</w:t>
      </w:r>
      <w:r>
        <w:rPr>
          <w:color w:val="auto"/>
          <w:spacing w:val="3"/>
          <w:w w:val="99"/>
          <w:sz w:val="21"/>
        </w:rPr>
        <w:t>现的，成交供应商须依照有关法律法规规定赔偿采购人，且民事赔偿并不免除违法供应商的行</w:t>
      </w:r>
      <w:r>
        <w:rPr>
          <w:color w:val="auto"/>
          <w:spacing w:val="-1"/>
          <w:w w:val="99"/>
          <w:sz w:val="21"/>
        </w:rPr>
        <w:t>政与刑事责任。</w:t>
      </w:r>
    </w:p>
    <w:p w14:paraId="362B63B9">
      <w:pPr>
        <w:pStyle w:val="21"/>
        <w:numPr>
          <w:ilvl w:val="1"/>
          <w:numId w:val="11"/>
        </w:numPr>
        <w:tabs>
          <w:tab w:val="left" w:pos="1573"/>
        </w:tabs>
        <w:spacing w:before="0" w:after="0" w:line="240" w:lineRule="auto"/>
        <w:ind w:left="1573" w:right="0" w:hanging="365"/>
        <w:jc w:val="both"/>
        <w:rPr>
          <w:color w:val="auto"/>
          <w:sz w:val="21"/>
        </w:rPr>
      </w:pPr>
      <w:r>
        <w:rPr>
          <w:color w:val="auto"/>
          <w:spacing w:val="-3"/>
          <w:sz w:val="21"/>
        </w:rPr>
        <w:t>在政府采购活动中，采购人员及相关人员与供应商有下列利害关系之一的，应当回避：</w:t>
      </w:r>
    </w:p>
    <w:p w14:paraId="04F987A5">
      <w:pPr>
        <w:pStyle w:val="21"/>
        <w:numPr>
          <w:ilvl w:val="0"/>
          <w:numId w:val="13"/>
        </w:numPr>
        <w:tabs>
          <w:tab w:val="left" w:pos="1729"/>
        </w:tabs>
        <w:spacing w:before="166" w:after="0" w:line="240" w:lineRule="auto"/>
        <w:ind w:left="1729" w:right="0" w:hanging="521"/>
        <w:jc w:val="left"/>
        <w:rPr>
          <w:color w:val="auto"/>
          <w:sz w:val="21"/>
        </w:rPr>
      </w:pPr>
      <w:r>
        <w:rPr>
          <w:color w:val="auto"/>
          <w:spacing w:val="-8"/>
          <w:sz w:val="21"/>
        </w:rPr>
        <w:t xml:space="preserve">参加采购活动前 </w:t>
      </w:r>
      <w:r>
        <w:rPr>
          <w:color w:val="auto"/>
          <w:spacing w:val="-2"/>
          <w:sz w:val="21"/>
        </w:rPr>
        <w:t>3</w:t>
      </w:r>
      <w:r>
        <w:rPr>
          <w:color w:val="auto"/>
          <w:spacing w:val="-10"/>
          <w:sz w:val="21"/>
        </w:rPr>
        <w:t xml:space="preserve"> 年内与供应商存在劳动关系；</w:t>
      </w:r>
    </w:p>
    <w:p w14:paraId="01F8E92F">
      <w:pPr>
        <w:pStyle w:val="21"/>
        <w:numPr>
          <w:ilvl w:val="0"/>
          <w:numId w:val="13"/>
        </w:numPr>
        <w:tabs>
          <w:tab w:val="left" w:pos="1729"/>
        </w:tabs>
        <w:spacing w:before="166" w:after="0" w:line="240" w:lineRule="auto"/>
        <w:ind w:left="1729" w:right="0" w:hanging="521"/>
        <w:jc w:val="left"/>
        <w:rPr>
          <w:color w:val="auto"/>
          <w:sz w:val="21"/>
        </w:rPr>
      </w:pPr>
      <w:r>
        <w:rPr>
          <w:color w:val="auto"/>
          <w:spacing w:val="-8"/>
          <w:sz w:val="21"/>
        </w:rPr>
        <w:t xml:space="preserve">参加采购活动前 </w:t>
      </w:r>
      <w:r>
        <w:rPr>
          <w:color w:val="auto"/>
          <w:spacing w:val="-2"/>
          <w:sz w:val="21"/>
        </w:rPr>
        <w:t>3</w:t>
      </w:r>
      <w:r>
        <w:rPr>
          <w:color w:val="auto"/>
          <w:spacing w:val="-10"/>
          <w:sz w:val="21"/>
        </w:rPr>
        <w:t xml:space="preserve"> 年内担任供应商的董事、监事；</w:t>
      </w:r>
    </w:p>
    <w:p w14:paraId="0E27F232">
      <w:pPr>
        <w:pStyle w:val="21"/>
        <w:numPr>
          <w:ilvl w:val="0"/>
          <w:numId w:val="13"/>
        </w:numPr>
        <w:tabs>
          <w:tab w:val="left" w:pos="1729"/>
        </w:tabs>
        <w:spacing w:before="168" w:after="0" w:line="240" w:lineRule="auto"/>
        <w:ind w:left="1729" w:right="0" w:hanging="521"/>
        <w:jc w:val="left"/>
        <w:rPr>
          <w:color w:val="auto"/>
          <w:sz w:val="21"/>
        </w:rPr>
      </w:pPr>
      <w:r>
        <w:rPr>
          <w:color w:val="auto"/>
          <w:spacing w:val="-8"/>
          <w:sz w:val="21"/>
        </w:rPr>
        <w:t xml:space="preserve">参加采购活动前 </w:t>
      </w:r>
      <w:r>
        <w:rPr>
          <w:color w:val="auto"/>
          <w:spacing w:val="-2"/>
          <w:sz w:val="21"/>
        </w:rPr>
        <w:t>3</w:t>
      </w:r>
      <w:r>
        <w:rPr>
          <w:color w:val="auto"/>
          <w:spacing w:val="-10"/>
          <w:sz w:val="21"/>
        </w:rPr>
        <w:t xml:space="preserve"> 年内是供应商的控股股东或者实际控制人；</w:t>
      </w:r>
    </w:p>
    <w:p w14:paraId="5B9A3471">
      <w:pPr>
        <w:pStyle w:val="21"/>
        <w:numPr>
          <w:ilvl w:val="0"/>
          <w:numId w:val="13"/>
        </w:numPr>
        <w:tabs>
          <w:tab w:val="left" w:pos="1693"/>
        </w:tabs>
        <w:spacing w:before="167" w:after="0" w:line="240" w:lineRule="auto"/>
        <w:ind w:left="1693" w:right="0" w:hanging="502"/>
        <w:jc w:val="left"/>
        <w:rPr>
          <w:color w:val="auto"/>
          <w:sz w:val="21"/>
        </w:rPr>
      </w:pPr>
      <w:r>
        <w:rPr>
          <w:color w:val="auto"/>
          <w:spacing w:val="-10"/>
          <w:sz w:val="21"/>
        </w:rPr>
        <w:t>与供应商的法定代表人或者负责人有夫妻、直系血亲、三代以内旁系血亲或者近姻亲关系；</w:t>
      </w:r>
    </w:p>
    <w:p w14:paraId="7031BF77">
      <w:pPr>
        <w:pStyle w:val="21"/>
        <w:numPr>
          <w:ilvl w:val="0"/>
          <w:numId w:val="13"/>
        </w:numPr>
        <w:tabs>
          <w:tab w:val="left" w:pos="1729"/>
        </w:tabs>
        <w:spacing w:before="166" w:after="0" w:line="240" w:lineRule="auto"/>
        <w:ind w:left="1729" w:right="0" w:hanging="521"/>
        <w:jc w:val="left"/>
        <w:rPr>
          <w:color w:val="auto"/>
          <w:sz w:val="21"/>
        </w:rPr>
      </w:pPr>
      <w:r>
        <w:rPr>
          <w:color w:val="auto"/>
          <w:spacing w:val="-3"/>
          <w:sz w:val="21"/>
        </w:rPr>
        <w:t>与供应商有其他可能影响政府采购活动公平、公正进行的关系。</w:t>
      </w:r>
    </w:p>
    <w:p w14:paraId="6CD4C4B6">
      <w:pPr>
        <w:pStyle w:val="12"/>
        <w:spacing w:before="168" w:line="386" w:lineRule="auto"/>
        <w:ind w:right="757" w:firstLine="420"/>
        <w:jc w:val="both"/>
        <w:rPr>
          <w:color w:val="auto"/>
        </w:rPr>
      </w:pPr>
      <w:r>
        <w:rPr>
          <w:color w:val="auto"/>
          <w:spacing w:val="3"/>
          <w:w w:val="99"/>
        </w:rPr>
        <w:t>供应商认为采购人员及相关人员与其他供应商有利害关系的，可以向采购人或者采购代理</w:t>
      </w:r>
      <w:r>
        <w:rPr>
          <w:color w:val="auto"/>
          <w:spacing w:val="-1"/>
          <w:w w:val="99"/>
        </w:rPr>
        <w:t>机构书面提出回避申请，并说明理由。采购人或者采购代理机构应当及时询问被申请回避人员，有利害关系的被申请回避人员应当回避。</w:t>
      </w:r>
    </w:p>
    <w:p w14:paraId="482416CE">
      <w:pPr>
        <w:pStyle w:val="21"/>
        <w:numPr>
          <w:ilvl w:val="1"/>
          <w:numId w:val="11"/>
        </w:numPr>
        <w:tabs>
          <w:tab w:val="left" w:pos="1573"/>
        </w:tabs>
        <w:spacing w:before="2" w:after="0" w:line="240" w:lineRule="auto"/>
        <w:ind w:left="1573" w:right="0" w:hanging="365"/>
        <w:jc w:val="both"/>
        <w:rPr>
          <w:color w:val="auto"/>
          <w:sz w:val="21"/>
        </w:rPr>
      </w:pPr>
      <w:r>
        <w:rPr>
          <w:color w:val="auto"/>
          <w:spacing w:val="-3"/>
          <w:sz w:val="21"/>
        </w:rPr>
        <w:t>有下列情形之一的视为供应商相互串通竞标，响应文件将被视为无效：</w:t>
      </w:r>
    </w:p>
    <w:p w14:paraId="4838563E">
      <w:pPr>
        <w:pStyle w:val="21"/>
        <w:numPr>
          <w:ilvl w:val="0"/>
          <w:numId w:val="14"/>
        </w:numPr>
        <w:tabs>
          <w:tab w:val="left" w:pos="1729"/>
        </w:tabs>
        <w:spacing w:before="166" w:after="0" w:line="240" w:lineRule="auto"/>
        <w:ind w:left="1729" w:right="0" w:hanging="521"/>
        <w:jc w:val="left"/>
        <w:rPr>
          <w:color w:val="auto"/>
          <w:sz w:val="21"/>
        </w:rPr>
      </w:pPr>
      <w:r>
        <w:rPr>
          <w:color w:val="auto"/>
          <w:spacing w:val="-3"/>
          <w:sz w:val="21"/>
        </w:rPr>
        <w:t>不同供应商的响应文件由同一单位或者个人编制；</w:t>
      </w:r>
    </w:p>
    <w:p w14:paraId="3DFDD083">
      <w:pPr>
        <w:pStyle w:val="21"/>
        <w:numPr>
          <w:ilvl w:val="0"/>
          <w:numId w:val="14"/>
        </w:numPr>
        <w:tabs>
          <w:tab w:val="left" w:pos="1729"/>
        </w:tabs>
        <w:spacing w:before="166" w:after="0" w:line="240" w:lineRule="auto"/>
        <w:ind w:left="1729" w:right="0" w:hanging="521"/>
        <w:jc w:val="left"/>
        <w:rPr>
          <w:color w:val="auto"/>
          <w:sz w:val="21"/>
        </w:rPr>
      </w:pPr>
      <w:r>
        <w:rPr>
          <w:color w:val="auto"/>
          <w:spacing w:val="-3"/>
          <w:sz w:val="21"/>
        </w:rPr>
        <w:t>不同供应商委托同一单位或者个人办理竞标事宜；</w:t>
      </w:r>
    </w:p>
    <w:p w14:paraId="318DF797">
      <w:pPr>
        <w:pStyle w:val="21"/>
        <w:numPr>
          <w:ilvl w:val="0"/>
          <w:numId w:val="14"/>
        </w:numPr>
        <w:tabs>
          <w:tab w:val="left" w:pos="1729"/>
        </w:tabs>
        <w:spacing w:before="169" w:after="0" w:line="240" w:lineRule="auto"/>
        <w:ind w:left="1729" w:right="0" w:hanging="521"/>
        <w:jc w:val="left"/>
        <w:rPr>
          <w:color w:val="auto"/>
          <w:sz w:val="21"/>
        </w:rPr>
      </w:pPr>
      <w:r>
        <w:rPr>
          <w:color w:val="auto"/>
          <w:spacing w:val="-3"/>
          <w:sz w:val="21"/>
        </w:rPr>
        <w:t>不同的供应商的响应文件载明的项目管理员为同一个人；</w:t>
      </w:r>
    </w:p>
    <w:p w14:paraId="62278698">
      <w:pPr>
        <w:pStyle w:val="21"/>
        <w:numPr>
          <w:ilvl w:val="0"/>
          <w:numId w:val="14"/>
        </w:numPr>
        <w:tabs>
          <w:tab w:val="left" w:pos="1729"/>
        </w:tabs>
        <w:spacing w:before="166" w:after="0" w:line="240" w:lineRule="auto"/>
        <w:ind w:left="1729" w:right="0" w:hanging="521"/>
        <w:jc w:val="left"/>
        <w:rPr>
          <w:color w:val="auto"/>
          <w:sz w:val="21"/>
        </w:rPr>
      </w:pPr>
      <w:r>
        <w:rPr>
          <w:color w:val="auto"/>
          <w:spacing w:val="-3"/>
          <w:sz w:val="21"/>
        </w:rPr>
        <w:t>不同供应商的响应文件异常一致或者报价呈规律性差异；</w:t>
      </w:r>
    </w:p>
    <w:p w14:paraId="1BF91717">
      <w:pPr>
        <w:pStyle w:val="21"/>
        <w:numPr>
          <w:ilvl w:val="0"/>
          <w:numId w:val="14"/>
        </w:numPr>
        <w:tabs>
          <w:tab w:val="left" w:pos="1729"/>
        </w:tabs>
        <w:spacing w:before="166" w:after="0" w:line="240" w:lineRule="auto"/>
        <w:ind w:left="1729" w:right="0" w:hanging="521"/>
        <w:jc w:val="left"/>
        <w:rPr>
          <w:color w:val="auto"/>
          <w:sz w:val="21"/>
        </w:rPr>
      </w:pPr>
      <w:r>
        <w:rPr>
          <w:color w:val="auto"/>
          <w:spacing w:val="-3"/>
          <w:sz w:val="21"/>
        </w:rPr>
        <w:t>不同供应商的响应文件相互混装；</w:t>
      </w:r>
    </w:p>
    <w:p w14:paraId="531A13C5">
      <w:pPr>
        <w:pStyle w:val="21"/>
        <w:numPr>
          <w:ilvl w:val="0"/>
          <w:numId w:val="14"/>
        </w:numPr>
        <w:tabs>
          <w:tab w:val="left" w:pos="1729"/>
        </w:tabs>
        <w:spacing w:before="169" w:after="0" w:line="240" w:lineRule="auto"/>
        <w:ind w:left="1729" w:right="0" w:hanging="521"/>
        <w:jc w:val="left"/>
        <w:rPr>
          <w:color w:val="auto"/>
          <w:sz w:val="21"/>
        </w:rPr>
      </w:pPr>
      <w:r>
        <w:rPr>
          <w:color w:val="auto"/>
          <w:spacing w:val="-3"/>
          <w:sz w:val="21"/>
        </w:rPr>
        <w:t>不同供应商的磋商保证金从同一单位或者个人账户转出。</w:t>
      </w:r>
    </w:p>
    <w:p w14:paraId="1E85A8D9">
      <w:pPr>
        <w:pStyle w:val="21"/>
        <w:numPr>
          <w:ilvl w:val="1"/>
          <w:numId w:val="11"/>
        </w:numPr>
        <w:tabs>
          <w:tab w:val="left" w:pos="1573"/>
        </w:tabs>
        <w:spacing w:before="166" w:after="0" w:line="240" w:lineRule="auto"/>
        <w:ind w:left="1573" w:right="0" w:hanging="365"/>
        <w:jc w:val="left"/>
        <w:rPr>
          <w:color w:val="auto"/>
          <w:sz w:val="21"/>
        </w:rPr>
      </w:pPr>
      <w:r>
        <w:rPr>
          <w:color w:val="auto"/>
          <w:spacing w:val="-3"/>
          <w:sz w:val="21"/>
        </w:rPr>
        <w:t>供应商有下列情形之一的，属于恶意串通行为，将报同级监督管理部门：</w:t>
      </w:r>
    </w:p>
    <w:p w14:paraId="628ADA85">
      <w:pPr>
        <w:pStyle w:val="21"/>
        <w:numPr>
          <w:ilvl w:val="0"/>
          <w:numId w:val="15"/>
        </w:numPr>
        <w:tabs>
          <w:tab w:val="left" w:pos="1735"/>
        </w:tabs>
        <w:spacing w:before="166" w:after="0" w:line="388" w:lineRule="auto"/>
        <w:ind w:left="788" w:right="791" w:firstLine="420"/>
        <w:jc w:val="left"/>
        <w:rPr>
          <w:color w:val="auto"/>
          <w:sz w:val="21"/>
        </w:rPr>
      </w:pPr>
      <w:r>
        <w:rPr>
          <w:color w:val="auto"/>
          <w:spacing w:val="-2"/>
          <w:sz w:val="21"/>
        </w:rPr>
        <w:t>供应商直接或者间接从采购人或者采购代理机构处获得其他供应商的相关信息并修改其响应文件；</w:t>
      </w:r>
    </w:p>
    <w:p w14:paraId="113B7819">
      <w:pPr>
        <w:pStyle w:val="21"/>
        <w:numPr>
          <w:ilvl w:val="0"/>
          <w:numId w:val="15"/>
        </w:numPr>
        <w:tabs>
          <w:tab w:val="left" w:pos="1729"/>
        </w:tabs>
        <w:spacing w:before="0" w:after="0" w:line="269" w:lineRule="exact"/>
        <w:ind w:left="1729" w:right="0" w:hanging="521"/>
        <w:jc w:val="left"/>
        <w:rPr>
          <w:color w:val="auto"/>
          <w:sz w:val="21"/>
        </w:rPr>
      </w:pPr>
      <w:r>
        <w:rPr>
          <w:color w:val="auto"/>
          <w:spacing w:val="-3"/>
          <w:sz w:val="21"/>
        </w:rPr>
        <w:t>供应商按照采购人或者采购代理机构的授意撤换、修改响应文件；</w:t>
      </w:r>
    </w:p>
    <w:p w14:paraId="2C3DE9DB">
      <w:pPr>
        <w:pStyle w:val="21"/>
        <w:numPr>
          <w:ilvl w:val="0"/>
          <w:numId w:val="15"/>
        </w:numPr>
        <w:tabs>
          <w:tab w:val="left" w:pos="1729"/>
        </w:tabs>
        <w:spacing w:before="166" w:after="0" w:line="240" w:lineRule="auto"/>
        <w:ind w:left="1729" w:right="0" w:hanging="521"/>
        <w:jc w:val="left"/>
        <w:rPr>
          <w:color w:val="auto"/>
          <w:sz w:val="21"/>
        </w:rPr>
      </w:pPr>
      <w:r>
        <w:rPr>
          <w:color w:val="auto"/>
          <w:spacing w:val="-3"/>
          <w:sz w:val="21"/>
        </w:rPr>
        <w:t>供应商之间协商报价、技术方案等响应文件或者响应文件的实质性内容；</w:t>
      </w:r>
    </w:p>
    <w:p w14:paraId="39A951C1">
      <w:pPr>
        <w:spacing w:after="0" w:line="240" w:lineRule="auto"/>
        <w:jc w:val="left"/>
        <w:rPr>
          <w:color w:val="auto"/>
          <w:sz w:val="21"/>
        </w:rPr>
        <w:sectPr>
          <w:pgSz w:w="11910" w:h="16840"/>
          <w:pgMar w:top="1520" w:right="740" w:bottom="1180" w:left="800" w:header="0" w:footer="989" w:gutter="0"/>
          <w:cols w:space="720" w:num="1"/>
        </w:sectPr>
      </w:pPr>
    </w:p>
    <w:p w14:paraId="58145818">
      <w:pPr>
        <w:pStyle w:val="21"/>
        <w:numPr>
          <w:ilvl w:val="0"/>
          <w:numId w:val="15"/>
        </w:numPr>
        <w:tabs>
          <w:tab w:val="left" w:pos="1735"/>
        </w:tabs>
        <w:spacing w:before="39" w:after="0" w:line="240" w:lineRule="auto"/>
        <w:ind w:left="1735" w:right="0" w:hanging="527"/>
        <w:jc w:val="left"/>
        <w:rPr>
          <w:color w:val="auto"/>
          <w:sz w:val="21"/>
        </w:rPr>
      </w:pPr>
      <w:r>
        <w:rPr>
          <w:color w:val="auto"/>
          <w:spacing w:val="-1"/>
          <w:sz w:val="21"/>
        </w:rPr>
        <w:t>属于同一集团、协会、商会等组织成员的供应商按照该组织要求协同参加政府采购活</w:t>
      </w:r>
    </w:p>
    <w:p w14:paraId="0308F6FC">
      <w:pPr>
        <w:pStyle w:val="12"/>
        <w:spacing w:before="169"/>
        <w:rPr>
          <w:color w:val="auto"/>
        </w:rPr>
      </w:pPr>
      <w:r>
        <w:rPr>
          <w:color w:val="auto"/>
          <w:spacing w:val="-8"/>
        </w:rPr>
        <w:t>动；</w:t>
      </w:r>
    </w:p>
    <w:p w14:paraId="349D612D">
      <w:pPr>
        <w:pStyle w:val="21"/>
        <w:numPr>
          <w:ilvl w:val="0"/>
          <w:numId w:val="15"/>
        </w:numPr>
        <w:tabs>
          <w:tab w:val="left" w:pos="1735"/>
        </w:tabs>
        <w:spacing w:before="166" w:after="0" w:line="386" w:lineRule="auto"/>
        <w:ind w:left="788" w:right="791" w:firstLine="420"/>
        <w:jc w:val="left"/>
        <w:rPr>
          <w:color w:val="auto"/>
          <w:sz w:val="21"/>
        </w:rPr>
      </w:pPr>
      <w:r>
        <w:rPr>
          <w:color w:val="auto"/>
          <w:spacing w:val="-2"/>
          <w:sz w:val="21"/>
        </w:rPr>
        <w:t>供应商之间事先约定一致抬高或者压低报价，或者在政府采购活动中事先约定轮流以高价位或者低价位成交，或者事先约定由某一特定供应商成交，然后再参加竞标；</w:t>
      </w:r>
    </w:p>
    <w:p w14:paraId="11F4FC1D">
      <w:pPr>
        <w:pStyle w:val="21"/>
        <w:numPr>
          <w:ilvl w:val="0"/>
          <w:numId w:val="15"/>
        </w:numPr>
        <w:tabs>
          <w:tab w:val="left" w:pos="1729"/>
        </w:tabs>
        <w:spacing w:before="2" w:after="0" w:line="240" w:lineRule="auto"/>
        <w:ind w:left="1729" w:right="0" w:hanging="521"/>
        <w:jc w:val="left"/>
        <w:rPr>
          <w:color w:val="auto"/>
          <w:sz w:val="21"/>
        </w:rPr>
      </w:pPr>
      <w:r>
        <w:rPr>
          <w:color w:val="auto"/>
          <w:spacing w:val="-3"/>
          <w:sz w:val="21"/>
        </w:rPr>
        <w:t>供应商之间商定部分供应商放弃参加政府采购活动或者放弃成交；</w:t>
      </w:r>
    </w:p>
    <w:p w14:paraId="4ED68A29">
      <w:pPr>
        <w:pStyle w:val="21"/>
        <w:numPr>
          <w:ilvl w:val="0"/>
          <w:numId w:val="15"/>
        </w:numPr>
        <w:tabs>
          <w:tab w:val="left" w:pos="1735"/>
        </w:tabs>
        <w:spacing w:before="166" w:after="0" w:line="240" w:lineRule="auto"/>
        <w:ind w:left="1735" w:right="0" w:hanging="527"/>
        <w:jc w:val="left"/>
        <w:rPr>
          <w:color w:val="auto"/>
          <w:sz w:val="21"/>
        </w:rPr>
      </w:pPr>
      <w:r>
        <w:rPr>
          <w:color w:val="auto"/>
          <w:spacing w:val="-1"/>
          <w:sz w:val="21"/>
        </w:rPr>
        <w:t>供应商与采购人或者采购代理机构之间、供应商相互之间，为谋求特定供应商成交或</w:t>
      </w:r>
    </w:p>
    <w:p w14:paraId="65D99A0B">
      <w:pPr>
        <w:pStyle w:val="12"/>
        <w:spacing w:before="166"/>
        <w:rPr>
          <w:color w:val="auto"/>
        </w:rPr>
      </w:pPr>
      <w:r>
        <w:rPr>
          <w:color w:val="auto"/>
          <w:spacing w:val="-3"/>
        </w:rPr>
        <w:t>者排斥其他供应商的其他串通行为。</w:t>
      </w:r>
    </w:p>
    <w:p w14:paraId="1D8B0D28">
      <w:pPr>
        <w:pStyle w:val="5"/>
        <w:spacing w:before="57"/>
        <w:ind w:right="842"/>
        <w:rPr>
          <w:color w:val="auto"/>
        </w:rPr>
      </w:pPr>
      <w:r>
        <w:rPr>
          <w:color w:val="auto"/>
          <w:spacing w:val="-4"/>
        </w:rPr>
        <w:t>二、磋商文件</w:t>
      </w:r>
    </w:p>
    <w:p w14:paraId="3258D581">
      <w:pPr>
        <w:pStyle w:val="12"/>
        <w:spacing w:before="234"/>
        <w:ind w:left="0"/>
        <w:rPr>
          <w:b/>
          <w:color w:val="auto"/>
          <w:sz w:val="24"/>
        </w:rPr>
      </w:pPr>
    </w:p>
    <w:p w14:paraId="736F52EA">
      <w:pPr>
        <w:pStyle w:val="10"/>
        <w:numPr>
          <w:ilvl w:val="0"/>
          <w:numId w:val="11"/>
        </w:numPr>
        <w:tabs>
          <w:tab w:val="left" w:pos="1510"/>
        </w:tabs>
        <w:spacing w:before="0" w:after="0" w:line="240" w:lineRule="auto"/>
        <w:ind w:left="1510" w:right="0" w:hanging="242"/>
        <w:jc w:val="left"/>
        <w:rPr>
          <w:rFonts w:hint="eastAsia" w:ascii="黑体" w:eastAsia="黑体"/>
          <w:color w:val="auto"/>
        </w:rPr>
      </w:pPr>
      <w:r>
        <w:rPr>
          <w:rFonts w:hint="eastAsia" w:ascii="黑体" w:eastAsia="黑体"/>
          <w:color w:val="auto"/>
          <w:spacing w:val="-2"/>
        </w:rPr>
        <w:t>磋商文件的构成</w:t>
      </w:r>
    </w:p>
    <w:p w14:paraId="74ED6036">
      <w:pPr>
        <w:pStyle w:val="12"/>
        <w:spacing w:before="158" w:line="386" w:lineRule="auto"/>
        <w:ind w:left="1208" w:right="6637"/>
        <w:rPr>
          <w:color w:val="auto"/>
        </w:rPr>
      </w:pPr>
      <w:r>
        <w:rPr>
          <w:color w:val="auto"/>
        </w:rPr>
        <w:t>第一章 竞争性磋商公告；</w:t>
      </w:r>
      <w:r>
        <w:rPr>
          <w:color w:val="auto"/>
          <w:spacing w:val="2"/>
        </w:rPr>
        <w:t>第二章 供应商须知；</w:t>
      </w:r>
    </w:p>
    <w:p w14:paraId="75488744">
      <w:pPr>
        <w:pStyle w:val="12"/>
        <w:spacing w:before="0" w:line="272" w:lineRule="exact"/>
        <w:ind w:left="1208"/>
        <w:rPr>
          <w:color w:val="auto"/>
        </w:rPr>
      </w:pPr>
      <w:r>
        <w:rPr>
          <w:color w:val="auto"/>
        </w:rPr>
        <w:t>第三章</w:t>
      </w:r>
      <w:r>
        <w:rPr>
          <w:color w:val="auto"/>
          <w:spacing w:val="41"/>
          <w:w w:val="150"/>
        </w:rPr>
        <w:t xml:space="preserve"> </w:t>
      </w:r>
      <w:r>
        <w:rPr>
          <w:color w:val="auto"/>
          <w:spacing w:val="-2"/>
        </w:rPr>
        <w:t>采购需求；</w:t>
      </w:r>
    </w:p>
    <w:p w14:paraId="393FD217">
      <w:pPr>
        <w:pStyle w:val="12"/>
        <w:spacing w:before="168" w:line="386" w:lineRule="auto"/>
        <w:ind w:left="1208" w:right="5166"/>
        <w:rPr>
          <w:color w:val="auto"/>
        </w:rPr>
      </w:pPr>
      <w:r>
        <w:rPr>
          <w:color w:val="auto"/>
        </w:rPr>
        <w:t>第四章 评审程序、评审方法和评审标准；第五章 工程量清单及图纸；</w:t>
      </w:r>
    </w:p>
    <w:p w14:paraId="1B856284">
      <w:pPr>
        <w:pStyle w:val="12"/>
        <w:spacing w:before="0" w:line="388" w:lineRule="auto"/>
        <w:ind w:left="1208" w:right="6846"/>
        <w:rPr>
          <w:color w:val="auto"/>
        </w:rPr>
      </w:pPr>
      <w:r>
        <w:rPr>
          <w:color w:val="auto"/>
          <w:spacing w:val="1"/>
        </w:rPr>
        <w:t>第六章 响应文件格式；</w:t>
      </w:r>
      <w:r>
        <w:rPr>
          <w:color w:val="auto"/>
          <w:spacing w:val="3"/>
        </w:rPr>
        <w:t>第七章 合同文本。</w:t>
      </w:r>
    </w:p>
    <w:p w14:paraId="01B5F174">
      <w:pPr>
        <w:pStyle w:val="10"/>
        <w:numPr>
          <w:ilvl w:val="0"/>
          <w:numId w:val="11"/>
        </w:numPr>
        <w:tabs>
          <w:tab w:val="left" w:pos="1510"/>
        </w:tabs>
        <w:spacing w:before="0" w:after="0" w:line="278" w:lineRule="exact"/>
        <w:ind w:left="1510" w:right="0" w:hanging="242"/>
        <w:jc w:val="left"/>
        <w:rPr>
          <w:rFonts w:hint="eastAsia" w:ascii="黑体" w:eastAsia="黑体"/>
          <w:color w:val="auto"/>
        </w:rPr>
      </w:pPr>
      <w:r>
        <w:rPr>
          <w:rFonts w:hint="eastAsia" w:ascii="黑体" w:eastAsia="黑体"/>
          <w:color w:val="auto"/>
          <w:spacing w:val="-2"/>
        </w:rPr>
        <w:t>供应商的询问</w:t>
      </w:r>
    </w:p>
    <w:p w14:paraId="22FE7B1B">
      <w:pPr>
        <w:pStyle w:val="12"/>
        <w:spacing w:before="157" w:line="386" w:lineRule="auto"/>
        <w:ind w:right="788" w:firstLine="420"/>
        <w:jc w:val="both"/>
        <w:rPr>
          <w:color w:val="auto"/>
        </w:rPr>
      </w:pPr>
      <w:r>
        <w:rPr>
          <w:color w:val="auto"/>
          <w:spacing w:val="3"/>
          <w:w w:val="99"/>
        </w:rPr>
        <w:t>供应商应认真阅读磋商文件的采购需求，如供应商对磋商文件有疑问的，如要求采购人作出澄清或者修改的，供应商尽可能在提交首次响应文件截止之日前，以书面形式向采购人、采</w:t>
      </w:r>
      <w:r>
        <w:rPr>
          <w:color w:val="auto"/>
          <w:spacing w:val="-1"/>
          <w:w w:val="99"/>
        </w:rPr>
        <w:t>购代理机构提出。</w:t>
      </w:r>
    </w:p>
    <w:p w14:paraId="7E72C399">
      <w:pPr>
        <w:pStyle w:val="10"/>
        <w:numPr>
          <w:ilvl w:val="0"/>
          <w:numId w:val="11"/>
        </w:numPr>
        <w:tabs>
          <w:tab w:val="left" w:pos="1631"/>
        </w:tabs>
        <w:spacing w:before="0" w:after="0" w:line="285" w:lineRule="exact"/>
        <w:ind w:left="1631" w:right="0" w:hanging="363"/>
        <w:jc w:val="left"/>
        <w:rPr>
          <w:rFonts w:hint="eastAsia" w:ascii="黑体" w:eastAsia="黑体"/>
          <w:color w:val="auto"/>
        </w:rPr>
      </w:pPr>
      <w:r>
        <w:rPr>
          <w:rFonts w:hint="eastAsia" w:ascii="黑体" w:eastAsia="黑体"/>
          <w:color w:val="auto"/>
          <w:spacing w:val="-1"/>
        </w:rPr>
        <w:t>磋商文件的澄清和修改</w:t>
      </w:r>
    </w:p>
    <w:p w14:paraId="5A26DC57">
      <w:pPr>
        <w:pStyle w:val="12"/>
        <w:spacing w:before="158" w:line="386" w:lineRule="auto"/>
        <w:ind w:right="788" w:firstLine="420"/>
        <w:jc w:val="both"/>
        <w:rPr>
          <w:color w:val="auto"/>
        </w:rPr>
      </w:pPr>
      <w:r>
        <w:rPr>
          <w:color w:val="auto"/>
          <w:spacing w:val="3"/>
          <w:w w:val="99"/>
        </w:rPr>
        <w:t>提交首次响应文件截止之日前，采购人或者采购代理机构可以对已发出的磋商文件进行必要的澄清或者修改，澄清或者修改的内容作为磋商文件的组成部分。澄清或者修改的内容可能影响响应文件编制的，采购人或者采购代理机构应当在提交首次响应文件截止之日</w:t>
      </w:r>
      <w:r>
        <w:rPr>
          <w:color w:val="auto"/>
          <w:spacing w:val="-46"/>
        </w:rPr>
        <w:t xml:space="preserve"> </w:t>
      </w:r>
      <w:r>
        <w:rPr>
          <w:color w:val="auto"/>
          <w:w w:val="99"/>
        </w:rPr>
        <w:t>3</w:t>
      </w:r>
      <w:r>
        <w:rPr>
          <w:color w:val="auto"/>
          <w:spacing w:val="-49"/>
        </w:rPr>
        <w:t xml:space="preserve"> </w:t>
      </w:r>
      <w:r>
        <w:rPr>
          <w:color w:val="auto"/>
          <w:spacing w:val="3"/>
          <w:w w:val="99"/>
        </w:rPr>
        <w:t>个工作日</w:t>
      </w:r>
    </w:p>
    <w:p w14:paraId="6884A939">
      <w:pPr>
        <w:pStyle w:val="12"/>
        <w:spacing w:before="2" w:line="386" w:lineRule="auto"/>
        <w:ind w:right="791"/>
        <w:jc w:val="both"/>
        <w:rPr>
          <w:color w:val="auto"/>
        </w:rPr>
      </w:pPr>
      <w:r>
        <w:rPr>
          <w:color w:val="auto"/>
          <w:spacing w:val="-4"/>
        </w:rPr>
        <w:t>前，以书面形式通知所有获取磋商文件的供应商，不足 3</w:t>
      </w:r>
      <w:r>
        <w:rPr>
          <w:color w:val="auto"/>
          <w:spacing w:val="-6"/>
        </w:rPr>
        <w:t xml:space="preserve"> 个工作日的，应当顺延提交首次响应文</w:t>
      </w:r>
      <w:r>
        <w:rPr>
          <w:color w:val="auto"/>
          <w:spacing w:val="-2"/>
        </w:rPr>
        <w:t>件截止之日。</w:t>
      </w:r>
    </w:p>
    <w:p w14:paraId="3994C126">
      <w:pPr>
        <w:pStyle w:val="12"/>
        <w:spacing w:before="55"/>
        <w:ind w:left="0"/>
        <w:rPr>
          <w:color w:val="auto"/>
        </w:rPr>
      </w:pPr>
    </w:p>
    <w:p w14:paraId="5CC9DADD">
      <w:pPr>
        <w:pStyle w:val="5"/>
        <w:spacing w:before="0"/>
        <w:rPr>
          <w:color w:val="auto"/>
        </w:rPr>
      </w:pPr>
      <w:r>
        <w:rPr>
          <w:color w:val="auto"/>
          <w:spacing w:val="-3"/>
        </w:rPr>
        <w:t>三、响应文件的编制</w:t>
      </w:r>
    </w:p>
    <w:p w14:paraId="49DF5975">
      <w:pPr>
        <w:pStyle w:val="10"/>
        <w:numPr>
          <w:ilvl w:val="0"/>
          <w:numId w:val="11"/>
        </w:numPr>
        <w:tabs>
          <w:tab w:val="left" w:pos="1631"/>
        </w:tabs>
        <w:spacing w:before="105" w:after="0" w:line="240" w:lineRule="auto"/>
        <w:ind w:left="1631" w:right="0" w:hanging="363"/>
        <w:jc w:val="left"/>
        <w:rPr>
          <w:rFonts w:hint="eastAsia" w:ascii="黑体" w:eastAsia="黑体"/>
          <w:color w:val="auto"/>
        </w:rPr>
      </w:pPr>
      <w:r>
        <w:rPr>
          <w:rFonts w:hint="eastAsia" w:ascii="黑体" w:eastAsia="黑体"/>
          <w:color w:val="auto"/>
          <w:spacing w:val="-2"/>
        </w:rPr>
        <w:t>响应文件的编制原则</w:t>
      </w:r>
    </w:p>
    <w:p w14:paraId="054CD98E">
      <w:pPr>
        <w:pStyle w:val="12"/>
        <w:spacing w:before="158"/>
        <w:ind w:left="1208"/>
        <w:rPr>
          <w:color w:val="auto"/>
        </w:rPr>
      </w:pPr>
      <w:r>
        <w:rPr>
          <w:color w:val="auto"/>
          <w:spacing w:val="-1"/>
        </w:rPr>
        <w:t>供应商必须按照磋商文件的要求编制响应文件，并对其提交的响应文件的真实性、合法性</w:t>
      </w:r>
    </w:p>
    <w:p w14:paraId="38DEF527">
      <w:pPr>
        <w:spacing w:after="0"/>
        <w:rPr>
          <w:color w:val="auto"/>
        </w:rPr>
        <w:sectPr>
          <w:pgSz w:w="11910" w:h="16840"/>
          <w:pgMar w:top="1520" w:right="740" w:bottom="1180" w:left="800" w:header="0" w:footer="989" w:gutter="0"/>
          <w:cols w:space="720" w:num="1"/>
        </w:sectPr>
      </w:pPr>
    </w:p>
    <w:p w14:paraId="6BDE7EF1">
      <w:pPr>
        <w:pStyle w:val="12"/>
        <w:spacing w:before="39"/>
        <w:rPr>
          <w:color w:val="auto"/>
        </w:rPr>
      </w:pPr>
      <w:r>
        <w:rPr>
          <w:color w:val="auto"/>
          <w:spacing w:val="-3"/>
        </w:rPr>
        <w:t>承担法律责任。响应文件必须对磋商文件作出实质性响应。</w:t>
      </w:r>
    </w:p>
    <w:p w14:paraId="75C671D9">
      <w:pPr>
        <w:pStyle w:val="10"/>
        <w:numPr>
          <w:ilvl w:val="0"/>
          <w:numId w:val="11"/>
        </w:numPr>
        <w:tabs>
          <w:tab w:val="left" w:pos="1631"/>
        </w:tabs>
        <w:spacing w:before="138" w:after="0" w:line="240" w:lineRule="auto"/>
        <w:ind w:left="1631" w:right="0" w:hanging="363"/>
        <w:jc w:val="left"/>
        <w:rPr>
          <w:rFonts w:hint="eastAsia" w:ascii="黑体" w:eastAsia="黑体"/>
          <w:color w:val="auto"/>
        </w:rPr>
      </w:pPr>
      <w:r>
        <w:rPr>
          <w:rFonts w:hint="eastAsia" w:ascii="黑体" w:eastAsia="黑体"/>
          <w:color w:val="auto"/>
          <w:spacing w:val="-2"/>
        </w:rPr>
        <w:t>响应文件的组成</w:t>
      </w:r>
    </w:p>
    <w:p w14:paraId="272EA8CA">
      <w:pPr>
        <w:pStyle w:val="21"/>
        <w:numPr>
          <w:ilvl w:val="1"/>
          <w:numId w:val="11"/>
        </w:numPr>
        <w:tabs>
          <w:tab w:val="left" w:pos="1677"/>
        </w:tabs>
        <w:spacing w:before="158" w:after="0" w:line="240" w:lineRule="auto"/>
        <w:ind w:left="1677" w:right="0" w:hanging="469"/>
        <w:jc w:val="left"/>
        <w:rPr>
          <w:color w:val="auto"/>
          <w:sz w:val="21"/>
        </w:rPr>
      </w:pPr>
      <w:r>
        <w:rPr>
          <w:color w:val="auto"/>
          <w:spacing w:val="-3"/>
          <w:sz w:val="21"/>
        </w:rPr>
        <w:t>响应文件由资格证明文件、报价文件、商务技术文件三部分组成。</w:t>
      </w:r>
    </w:p>
    <w:p w14:paraId="68CAC125">
      <w:pPr>
        <w:pStyle w:val="21"/>
        <w:numPr>
          <w:ilvl w:val="2"/>
          <w:numId w:val="11"/>
        </w:numPr>
        <w:tabs>
          <w:tab w:val="left" w:pos="1888"/>
        </w:tabs>
        <w:spacing w:before="166" w:after="0" w:line="240" w:lineRule="auto"/>
        <w:ind w:left="1888" w:right="0" w:hanging="680"/>
        <w:jc w:val="left"/>
        <w:rPr>
          <w:color w:val="auto"/>
          <w:sz w:val="21"/>
        </w:rPr>
      </w:pPr>
      <w:r>
        <w:rPr>
          <w:color w:val="auto"/>
          <w:spacing w:val="-3"/>
          <w:sz w:val="21"/>
        </w:rPr>
        <w:t>资格证明文件：详见“供应商须知前附表”</w:t>
      </w:r>
    </w:p>
    <w:p w14:paraId="40552F4A">
      <w:pPr>
        <w:pStyle w:val="21"/>
        <w:numPr>
          <w:ilvl w:val="2"/>
          <w:numId w:val="11"/>
        </w:numPr>
        <w:tabs>
          <w:tab w:val="left" w:pos="1888"/>
        </w:tabs>
        <w:spacing w:before="169" w:after="0" w:line="240" w:lineRule="auto"/>
        <w:ind w:left="1888" w:right="0" w:hanging="680"/>
        <w:jc w:val="left"/>
        <w:rPr>
          <w:color w:val="auto"/>
          <w:sz w:val="21"/>
        </w:rPr>
      </w:pPr>
      <w:r>
        <w:rPr>
          <w:color w:val="auto"/>
          <w:spacing w:val="-3"/>
          <w:sz w:val="21"/>
        </w:rPr>
        <w:t>报价文件：详见“供应商须知前附表”</w:t>
      </w:r>
    </w:p>
    <w:p w14:paraId="67D07AA4">
      <w:pPr>
        <w:pStyle w:val="21"/>
        <w:numPr>
          <w:ilvl w:val="2"/>
          <w:numId w:val="11"/>
        </w:numPr>
        <w:tabs>
          <w:tab w:val="left" w:pos="1888"/>
        </w:tabs>
        <w:spacing w:before="166" w:after="0" w:line="240" w:lineRule="auto"/>
        <w:ind w:left="1888" w:right="0" w:hanging="680"/>
        <w:jc w:val="left"/>
        <w:rPr>
          <w:color w:val="auto"/>
          <w:sz w:val="21"/>
        </w:rPr>
      </w:pPr>
      <w:r>
        <w:rPr>
          <w:color w:val="auto"/>
          <w:spacing w:val="-3"/>
          <w:sz w:val="21"/>
        </w:rPr>
        <w:t>商务技术文件：详见“供应商须知前附表”</w:t>
      </w:r>
    </w:p>
    <w:p w14:paraId="63BF23DC">
      <w:pPr>
        <w:pStyle w:val="10"/>
        <w:numPr>
          <w:ilvl w:val="0"/>
          <w:numId w:val="11"/>
        </w:numPr>
        <w:tabs>
          <w:tab w:val="left" w:pos="1631"/>
        </w:tabs>
        <w:spacing w:before="138" w:after="0" w:line="240" w:lineRule="auto"/>
        <w:ind w:left="1631" w:right="0" w:hanging="363"/>
        <w:jc w:val="left"/>
        <w:rPr>
          <w:rFonts w:hint="eastAsia" w:ascii="黑体" w:eastAsia="黑体"/>
          <w:color w:val="auto"/>
        </w:rPr>
      </w:pPr>
      <w:r>
        <w:rPr>
          <w:rFonts w:hint="eastAsia" w:ascii="黑体" w:eastAsia="黑体"/>
          <w:color w:val="auto"/>
          <w:spacing w:val="-3"/>
        </w:rPr>
        <w:t>计量单位</w:t>
      </w:r>
    </w:p>
    <w:p w14:paraId="15F6A3C3">
      <w:pPr>
        <w:pStyle w:val="12"/>
        <w:spacing w:before="158" w:line="386" w:lineRule="auto"/>
        <w:ind w:right="788" w:firstLine="420"/>
        <w:rPr>
          <w:color w:val="auto"/>
        </w:rPr>
      </w:pPr>
      <w:r>
        <w:rPr>
          <w:color w:val="auto"/>
          <w:spacing w:val="3"/>
          <w:w w:val="99"/>
        </w:rPr>
        <w:t>磋商文件已有明确规定的，使用磋商文件规定的计量单位；磋商文件没有规定的，应采用</w:t>
      </w:r>
      <w:r>
        <w:rPr>
          <w:color w:val="auto"/>
          <w:spacing w:val="-1"/>
          <w:w w:val="99"/>
        </w:rPr>
        <w:t>中华人民共和国法定计量单位，货币种类为人民币，否则视同未响应。</w:t>
      </w:r>
    </w:p>
    <w:p w14:paraId="65969A62">
      <w:pPr>
        <w:pStyle w:val="10"/>
        <w:numPr>
          <w:ilvl w:val="0"/>
          <w:numId w:val="11"/>
        </w:numPr>
        <w:tabs>
          <w:tab w:val="left" w:pos="1631"/>
        </w:tabs>
        <w:spacing w:before="0" w:after="0" w:line="283" w:lineRule="exact"/>
        <w:ind w:left="1631" w:right="0" w:hanging="363"/>
        <w:jc w:val="left"/>
        <w:rPr>
          <w:rFonts w:hint="eastAsia" w:ascii="黑体" w:eastAsia="黑体"/>
          <w:color w:val="auto"/>
        </w:rPr>
      </w:pPr>
      <w:r>
        <w:rPr>
          <w:rFonts w:hint="eastAsia" w:ascii="黑体" w:eastAsia="黑体"/>
          <w:color w:val="auto"/>
          <w:spacing w:val="-2"/>
        </w:rPr>
        <w:t>竞标的风险</w:t>
      </w:r>
    </w:p>
    <w:p w14:paraId="607C8E36">
      <w:pPr>
        <w:pStyle w:val="12"/>
        <w:spacing w:before="158" w:line="386" w:lineRule="auto"/>
        <w:ind w:right="788" w:firstLine="420"/>
        <w:rPr>
          <w:color w:val="auto"/>
        </w:rPr>
      </w:pPr>
      <w:r>
        <w:rPr>
          <w:color w:val="auto"/>
          <w:spacing w:val="3"/>
          <w:w w:val="99"/>
        </w:rPr>
        <w:t>供应商没有按照磋商文件要求提供全部资料，或者供应商没有对磋商文件在各方面作出实</w:t>
      </w:r>
      <w:r>
        <w:rPr>
          <w:color w:val="auto"/>
          <w:spacing w:val="-1"/>
          <w:w w:val="99"/>
        </w:rPr>
        <w:t>质性响应可能导致其响应无效，是供应商应当考虑的风险。</w:t>
      </w:r>
    </w:p>
    <w:p w14:paraId="4AE04691">
      <w:pPr>
        <w:pStyle w:val="10"/>
        <w:numPr>
          <w:ilvl w:val="0"/>
          <w:numId w:val="11"/>
        </w:numPr>
        <w:tabs>
          <w:tab w:val="left" w:pos="1631"/>
        </w:tabs>
        <w:spacing w:before="0" w:after="0" w:line="283" w:lineRule="exact"/>
        <w:ind w:left="1631" w:right="0" w:hanging="363"/>
        <w:jc w:val="left"/>
        <w:rPr>
          <w:rFonts w:hint="eastAsia" w:ascii="黑体" w:eastAsia="黑体"/>
          <w:color w:val="auto"/>
        </w:rPr>
      </w:pPr>
      <w:r>
        <w:rPr>
          <w:rFonts w:hint="eastAsia" w:ascii="黑体" w:eastAsia="黑体"/>
          <w:color w:val="auto"/>
          <w:spacing w:val="-3"/>
        </w:rPr>
        <w:t>竞标报价</w:t>
      </w:r>
    </w:p>
    <w:p w14:paraId="74B29633">
      <w:pPr>
        <w:pStyle w:val="21"/>
        <w:numPr>
          <w:ilvl w:val="1"/>
          <w:numId w:val="11"/>
        </w:numPr>
        <w:tabs>
          <w:tab w:val="left" w:pos="1677"/>
        </w:tabs>
        <w:spacing w:before="157" w:after="0" w:line="386" w:lineRule="auto"/>
        <w:ind w:left="788" w:right="704" w:firstLine="420"/>
        <w:jc w:val="left"/>
        <w:rPr>
          <w:color w:val="auto"/>
          <w:sz w:val="21"/>
        </w:rPr>
      </w:pPr>
      <w:r>
        <w:rPr>
          <w:color w:val="auto"/>
          <w:spacing w:val="-2"/>
          <w:sz w:val="21"/>
        </w:rPr>
        <w:t>竞标报价应按磋商文件第五章“工程量清单及图纸”的要求及第六章“响应文件格式”填写相应表格。</w:t>
      </w:r>
    </w:p>
    <w:p w14:paraId="79834193">
      <w:pPr>
        <w:pStyle w:val="21"/>
        <w:numPr>
          <w:ilvl w:val="1"/>
          <w:numId w:val="11"/>
        </w:numPr>
        <w:tabs>
          <w:tab w:val="left" w:pos="1677"/>
        </w:tabs>
        <w:spacing w:before="0" w:after="0" w:line="272" w:lineRule="exact"/>
        <w:ind w:left="1677" w:right="0" w:hanging="469"/>
        <w:jc w:val="left"/>
        <w:rPr>
          <w:color w:val="auto"/>
          <w:sz w:val="21"/>
        </w:rPr>
      </w:pPr>
      <w:r>
        <w:rPr>
          <w:color w:val="auto"/>
          <w:spacing w:val="-3"/>
          <w:sz w:val="21"/>
        </w:rPr>
        <w:t>竞标报价的内容见“供应商须知前附表”。</w:t>
      </w:r>
    </w:p>
    <w:p w14:paraId="2F3DF22A">
      <w:pPr>
        <w:pStyle w:val="21"/>
        <w:numPr>
          <w:ilvl w:val="1"/>
          <w:numId w:val="11"/>
        </w:numPr>
        <w:tabs>
          <w:tab w:val="left" w:pos="1677"/>
        </w:tabs>
        <w:spacing w:before="169" w:after="0" w:line="240" w:lineRule="auto"/>
        <w:ind w:left="1677" w:right="0" w:hanging="469"/>
        <w:jc w:val="left"/>
        <w:rPr>
          <w:color w:val="auto"/>
          <w:sz w:val="21"/>
        </w:rPr>
      </w:pPr>
      <w:r>
        <w:rPr>
          <w:color w:val="auto"/>
          <w:spacing w:val="-3"/>
          <w:sz w:val="21"/>
        </w:rPr>
        <w:t>本项目的增值税计税方法见“供应商须知前附表”。</w:t>
      </w:r>
    </w:p>
    <w:p w14:paraId="0CF61E31">
      <w:pPr>
        <w:pStyle w:val="21"/>
        <w:numPr>
          <w:ilvl w:val="1"/>
          <w:numId w:val="11"/>
        </w:numPr>
        <w:tabs>
          <w:tab w:val="left" w:pos="1685"/>
        </w:tabs>
        <w:spacing w:before="166" w:after="0" w:line="240" w:lineRule="auto"/>
        <w:ind w:left="1685" w:right="0" w:hanging="472"/>
        <w:jc w:val="left"/>
        <w:rPr>
          <w:color w:val="auto"/>
          <w:sz w:val="21"/>
        </w:rPr>
      </w:pPr>
      <w:r>
        <w:rPr>
          <w:color w:val="auto"/>
          <w:spacing w:val="-4"/>
          <w:sz w:val="21"/>
        </w:rPr>
        <w:t>竞标报价要求</w:t>
      </w:r>
    </w:p>
    <w:p w14:paraId="7A5B2D52">
      <w:pPr>
        <w:pStyle w:val="21"/>
        <w:numPr>
          <w:ilvl w:val="2"/>
          <w:numId w:val="11"/>
        </w:numPr>
        <w:tabs>
          <w:tab w:val="left" w:pos="1888"/>
        </w:tabs>
        <w:spacing w:before="166" w:after="0" w:line="240" w:lineRule="auto"/>
        <w:ind w:left="1888" w:right="0" w:hanging="680"/>
        <w:jc w:val="left"/>
        <w:rPr>
          <w:color w:val="auto"/>
          <w:sz w:val="21"/>
        </w:rPr>
      </w:pPr>
      <w:r>
        <w:rPr>
          <w:color w:val="auto"/>
          <w:spacing w:val="-3"/>
          <w:sz w:val="21"/>
        </w:rPr>
        <w:t>供应商的竞标报价应符合以下要求，否则响应文件按无效处理：</w:t>
      </w:r>
    </w:p>
    <w:p w14:paraId="5BCE14CF">
      <w:pPr>
        <w:pStyle w:val="21"/>
        <w:numPr>
          <w:ilvl w:val="0"/>
          <w:numId w:val="16"/>
        </w:numPr>
        <w:tabs>
          <w:tab w:val="left" w:pos="1729"/>
        </w:tabs>
        <w:spacing w:before="169" w:after="0" w:line="386" w:lineRule="auto"/>
        <w:ind w:left="788" w:right="654" w:firstLine="420"/>
        <w:jc w:val="left"/>
        <w:rPr>
          <w:color w:val="auto"/>
          <w:sz w:val="21"/>
        </w:rPr>
      </w:pPr>
      <w:r>
        <w:rPr>
          <w:color w:val="auto"/>
          <w:spacing w:val="-2"/>
          <w:sz w:val="21"/>
        </w:rPr>
        <w:t>供应商必须就“采购需求”中所竞标的每个分标的全部内容分别作完整唯一总价报价，不得存在漏项报价；</w:t>
      </w:r>
    </w:p>
    <w:p w14:paraId="425922B1">
      <w:pPr>
        <w:pStyle w:val="21"/>
        <w:numPr>
          <w:ilvl w:val="0"/>
          <w:numId w:val="16"/>
        </w:numPr>
        <w:tabs>
          <w:tab w:val="left" w:pos="1729"/>
        </w:tabs>
        <w:spacing w:before="0" w:after="0" w:line="272" w:lineRule="exact"/>
        <w:ind w:left="1729" w:right="0" w:hanging="521"/>
        <w:jc w:val="left"/>
        <w:rPr>
          <w:color w:val="auto"/>
          <w:sz w:val="21"/>
        </w:rPr>
      </w:pPr>
      <w:r>
        <w:rPr>
          <w:color w:val="auto"/>
          <w:spacing w:val="-3"/>
          <w:sz w:val="21"/>
        </w:rPr>
        <w:t>供应商必须就所竞标的分标的单项内容作唯一报价。</w:t>
      </w:r>
    </w:p>
    <w:p w14:paraId="7CE036B1">
      <w:pPr>
        <w:pStyle w:val="21"/>
        <w:numPr>
          <w:ilvl w:val="2"/>
          <w:numId w:val="11"/>
        </w:numPr>
        <w:tabs>
          <w:tab w:val="left" w:pos="1890"/>
        </w:tabs>
        <w:spacing w:before="169" w:after="0" w:line="386" w:lineRule="auto"/>
        <w:ind w:left="788" w:right="791" w:firstLine="420"/>
        <w:jc w:val="left"/>
        <w:rPr>
          <w:color w:val="auto"/>
          <w:sz w:val="21"/>
        </w:rPr>
      </w:pPr>
      <w:r>
        <w:rPr>
          <w:color w:val="auto"/>
          <w:spacing w:val="-2"/>
          <w:sz w:val="21"/>
        </w:rPr>
        <w:t>竞标报价（包含首次报价、最后报价）超过所竞标分标规定的采购预算金额或者最高限价的，其响应文件将按无效处理。</w:t>
      </w:r>
    </w:p>
    <w:p w14:paraId="7A6ACFC5">
      <w:pPr>
        <w:pStyle w:val="21"/>
        <w:numPr>
          <w:ilvl w:val="2"/>
          <w:numId w:val="11"/>
        </w:numPr>
        <w:tabs>
          <w:tab w:val="left" w:pos="1890"/>
        </w:tabs>
        <w:spacing w:before="0" w:after="0" w:line="272" w:lineRule="exact"/>
        <w:ind w:left="1890" w:right="0" w:hanging="682"/>
        <w:jc w:val="left"/>
        <w:rPr>
          <w:color w:val="auto"/>
          <w:sz w:val="21"/>
        </w:rPr>
      </w:pPr>
      <w:r>
        <w:rPr>
          <w:color w:val="auto"/>
          <w:sz w:val="21"/>
        </w:rPr>
        <w:t>竞标报价（包含首次报价、最后报价）</w:t>
      </w:r>
      <w:r>
        <w:rPr>
          <w:color w:val="auto"/>
          <w:spacing w:val="-1"/>
          <w:sz w:val="21"/>
        </w:rPr>
        <w:t>超过分项采购预算金额或者单价最高限价的</w:t>
      </w:r>
    </w:p>
    <w:p w14:paraId="025F50EC">
      <w:pPr>
        <w:pStyle w:val="12"/>
        <w:spacing w:before="168"/>
        <w:rPr>
          <w:color w:val="auto"/>
        </w:rPr>
      </w:pPr>
      <w:r>
        <w:rPr>
          <w:color w:val="auto"/>
          <w:spacing w:val="-2"/>
        </w:rPr>
        <w:t>（如有要求）</w:t>
      </w:r>
      <w:r>
        <w:rPr>
          <w:color w:val="auto"/>
          <w:spacing w:val="-3"/>
        </w:rPr>
        <w:t>，其响应文件将按无效处理。</w:t>
      </w:r>
    </w:p>
    <w:p w14:paraId="754A6CAD">
      <w:pPr>
        <w:pStyle w:val="21"/>
        <w:numPr>
          <w:ilvl w:val="2"/>
          <w:numId w:val="11"/>
        </w:numPr>
        <w:tabs>
          <w:tab w:val="left" w:pos="1890"/>
        </w:tabs>
        <w:spacing w:before="166" w:after="0" w:line="240" w:lineRule="auto"/>
        <w:ind w:left="1890" w:right="0" w:hanging="682"/>
        <w:jc w:val="left"/>
        <w:rPr>
          <w:color w:val="auto"/>
          <w:sz w:val="21"/>
        </w:rPr>
      </w:pPr>
      <w:r>
        <w:rPr>
          <w:color w:val="auto"/>
          <w:spacing w:val="-1"/>
          <w:sz w:val="21"/>
        </w:rPr>
        <w:t>供应商在提交响应文件截止时间前修改竞标函中的竞标总报价，应同时修改响应文</w:t>
      </w:r>
    </w:p>
    <w:p w14:paraId="5C47994B">
      <w:pPr>
        <w:pStyle w:val="12"/>
        <w:spacing w:before="167"/>
        <w:rPr>
          <w:color w:val="auto"/>
        </w:rPr>
      </w:pPr>
      <w:r>
        <w:rPr>
          <w:color w:val="auto"/>
          <w:spacing w:val="-1"/>
        </w:rPr>
        <w:t xml:space="preserve">件“已标价工程量清单”中的相应报价。此修改须符合本须知正文第 </w:t>
      </w:r>
      <w:r>
        <w:rPr>
          <w:color w:val="auto"/>
        </w:rPr>
        <w:t>20</w:t>
      </w:r>
      <w:r>
        <w:rPr>
          <w:color w:val="auto"/>
          <w:spacing w:val="-10"/>
        </w:rPr>
        <w:t xml:space="preserve"> 条、第 </w:t>
      </w:r>
      <w:r>
        <w:rPr>
          <w:color w:val="auto"/>
        </w:rPr>
        <w:t>21</w:t>
      </w:r>
      <w:r>
        <w:rPr>
          <w:color w:val="auto"/>
          <w:spacing w:val="-6"/>
        </w:rPr>
        <w:t xml:space="preserve"> 条的有关要</w:t>
      </w:r>
    </w:p>
    <w:p w14:paraId="3F898157">
      <w:pPr>
        <w:pStyle w:val="12"/>
        <w:spacing w:before="168"/>
        <w:rPr>
          <w:color w:val="auto"/>
        </w:rPr>
      </w:pPr>
      <w:r>
        <w:rPr>
          <w:color w:val="auto"/>
          <w:spacing w:val="-8"/>
        </w:rPr>
        <w:t>求。</w:t>
      </w:r>
    </w:p>
    <w:p w14:paraId="674E65A0">
      <w:pPr>
        <w:pStyle w:val="10"/>
        <w:numPr>
          <w:ilvl w:val="0"/>
          <w:numId w:val="11"/>
        </w:numPr>
        <w:tabs>
          <w:tab w:val="left" w:pos="1631"/>
        </w:tabs>
        <w:spacing w:before="136" w:after="0" w:line="240" w:lineRule="auto"/>
        <w:ind w:left="1631" w:right="0" w:hanging="363"/>
        <w:jc w:val="left"/>
        <w:rPr>
          <w:rFonts w:hint="eastAsia" w:ascii="黑体" w:eastAsia="黑体"/>
          <w:color w:val="auto"/>
        </w:rPr>
      </w:pPr>
      <w:r>
        <w:rPr>
          <w:rFonts w:hint="eastAsia" w:ascii="黑体" w:eastAsia="黑体"/>
          <w:color w:val="auto"/>
          <w:spacing w:val="-2"/>
        </w:rPr>
        <w:t>竞标有效期</w:t>
      </w:r>
    </w:p>
    <w:p w14:paraId="7C379172">
      <w:pPr>
        <w:pStyle w:val="21"/>
        <w:numPr>
          <w:ilvl w:val="1"/>
          <w:numId w:val="11"/>
        </w:numPr>
        <w:tabs>
          <w:tab w:val="left" w:pos="1682"/>
        </w:tabs>
        <w:spacing w:before="158" w:after="0" w:line="240" w:lineRule="auto"/>
        <w:ind w:left="1682" w:right="0" w:hanging="474"/>
        <w:jc w:val="left"/>
        <w:rPr>
          <w:color w:val="auto"/>
          <w:sz w:val="21"/>
        </w:rPr>
      </w:pPr>
      <w:r>
        <w:rPr>
          <w:color w:val="auto"/>
          <w:spacing w:val="-1"/>
          <w:sz w:val="21"/>
        </w:rPr>
        <w:t>竞标有效期是指为保证采购人有足够的时间在提交响应文件后完成评审、确定成交供</w:t>
      </w:r>
    </w:p>
    <w:p w14:paraId="324A018A">
      <w:pPr>
        <w:spacing w:after="0" w:line="240" w:lineRule="auto"/>
        <w:jc w:val="left"/>
        <w:rPr>
          <w:color w:val="auto"/>
          <w:sz w:val="21"/>
        </w:rPr>
        <w:sectPr>
          <w:pgSz w:w="11910" w:h="16840"/>
          <w:pgMar w:top="1520" w:right="740" w:bottom="1180" w:left="800" w:header="0" w:footer="989" w:gutter="0"/>
          <w:cols w:space="720" w:num="1"/>
        </w:sectPr>
      </w:pPr>
    </w:p>
    <w:p w14:paraId="74EBE34F">
      <w:pPr>
        <w:pStyle w:val="12"/>
        <w:spacing w:before="39"/>
        <w:rPr>
          <w:color w:val="auto"/>
        </w:rPr>
      </w:pPr>
      <w:r>
        <w:rPr>
          <w:color w:val="auto"/>
          <w:spacing w:val="-3"/>
        </w:rPr>
        <w:t>应商、合同签订等工作而要求供应商提交的响应文件在一定时间内保持有效的期限。</w:t>
      </w:r>
    </w:p>
    <w:p w14:paraId="640F6268">
      <w:pPr>
        <w:pStyle w:val="21"/>
        <w:numPr>
          <w:ilvl w:val="1"/>
          <w:numId w:val="11"/>
        </w:numPr>
        <w:tabs>
          <w:tab w:val="left" w:pos="1730"/>
        </w:tabs>
        <w:spacing w:before="169" w:after="0" w:line="240" w:lineRule="auto"/>
        <w:ind w:left="1730" w:right="0" w:hanging="522"/>
        <w:jc w:val="left"/>
        <w:rPr>
          <w:color w:val="auto"/>
          <w:sz w:val="21"/>
        </w:rPr>
      </w:pPr>
      <w:r>
        <w:rPr>
          <w:color w:val="auto"/>
          <w:spacing w:val="-3"/>
          <w:sz w:val="21"/>
        </w:rPr>
        <w:t>竞标有效期应由供应商按“供应商须知前附表”规定的期限作出响应。</w:t>
      </w:r>
    </w:p>
    <w:p w14:paraId="5D7D1D4D">
      <w:pPr>
        <w:pStyle w:val="21"/>
        <w:numPr>
          <w:ilvl w:val="1"/>
          <w:numId w:val="11"/>
        </w:numPr>
        <w:tabs>
          <w:tab w:val="left" w:pos="1677"/>
        </w:tabs>
        <w:spacing w:before="166" w:after="0" w:line="240" w:lineRule="auto"/>
        <w:ind w:left="1677" w:right="0" w:hanging="469"/>
        <w:jc w:val="left"/>
        <w:rPr>
          <w:color w:val="auto"/>
          <w:sz w:val="21"/>
        </w:rPr>
      </w:pPr>
      <w:r>
        <w:rPr>
          <w:color w:val="auto"/>
          <w:spacing w:val="-3"/>
          <w:sz w:val="21"/>
        </w:rPr>
        <w:t>供应商的响应文件在竞标有效期内均保持有效。</w:t>
      </w:r>
    </w:p>
    <w:p w14:paraId="6071D3E4">
      <w:pPr>
        <w:pStyle w:val="10"/>
        <w:numPr>
          <w:ilvl w:val="0"/>
          <w:numId w:val="11"/>
        </w:numPr>
        <w:tabs>
          <w:tab w:val="left" w:pos="1631"/>
        </w:tabs>
        <w:spacing w:before="138" w:after="0" w:line="240" w:lineRule="auto"/>
        <w:ind w:left="1631" w:right="0" w:hanging="363"/>
        <w:jc w:val="left"/>
        <w:rPr>
          <w:rFonts w:hint="eastAsia" w:ascii="黑体" w:eastAsia="黑体"/>
          <w:color w:val="auto"/>
        </w:rPr>
      </w:pPr>
      <w:r>
        <w:rPr>
          <w:rFonts w:hint="eastAsia" w:ascii="黑体" w:eastAsia="黑体"/>
          <w:color w:val="auto"/>
          <w:spacing w:val="-2"/>
        </w:rPr>
        <w:t>磋商保证金</w:t>
      </w:r>
    </w:p>
    <w:p w14:paraId="5B150010">
      <w:pPr>
        <w:pStyle w:val="21"/>
        <w:numPr>
          <w:ilvl w:val="1"/>
          <w:numId w:val="11"/>
        </w:numPr>
        <w:tabs>
          <w:tab w:val="left" w:pos="1677"/>
        </w:tabs>
        <w:spacing w:before="158" w:after="0" w:line="240" w:lineRule="auto"/>
        <w:ind w:left="1677" w:right="0" w:hanging="469"/>
        <w:jc w:val="left"/>
        <w:rPr>
          <w:color w:val="auto"/>
          <w:sz w:val="21"/>
        </w:rPr>
      </w:pPr>
      <w:r>
        <w:rPr>
          <w:color w:val="auto"/>
          <w:spacing w:val="-3"/>
          <w:sz w:val="21"/>
        </w:rPr>
        <w:t>供应商须按“供应商须知前附表”的规定提交磋商保证金。</w:t>
      </w:r>
    </w:p>
    <w:p w14:paraId="264B50DF">
      <w:pPr>
        <w:pStyle w:val="21"/>
        <w:numPr>
          <w:ilvl w:val="1"/>
          <w:numId w:val="11"/>
        </w:numPr>
        <w:tabs>
          <w:tab w:val="left" w:pos="1677"/>
        </w:tabs>
        <w:spacing w:before="166" w:after="0" w:line="240" w:lineRule="auto"/>
        <w:ind w:left="1677" w:right="0" w:hanging="469"/>
        <w:jc w:val="left"/>
        <w:rPr>
          <w:color w:val="auto"/>
          <w:sz w:val="21"/>
        </w:rPr>
      </w:pPr>
      <w:r>
        <w:rPr>
          <w:color w:val="auto"/>
          <w:spacing w:val="-4"/>
          <w:sz w:val="21"/>
        </w:rPr>
        <w:t>磋商保证金的退还</w:t>
      </w:r>
    </w:p>
    <w:p w14:paraId="28E55DEC">
      <w:pPr>
        <w:pStyle w:val="12"/>
        <w:spacing w:before="166"/>
        <w:ind w:left="1208"/>
        <w:rPr>
          <w:color w:val="auto"/>
        </w:rPr>
      </w:pPr>
      <w:r>
        <w:rPr>
          <w:color w:val="auto"/>
          <w:spacing w:val="-2"/>
        </w:rPr>
        <w:t>未成交供应商的磋商保证金自成交通知书发出之日起5</w:t>
      </w:r>
      <w:r>
        <w:rPr>
          <w:color w:val="auto"/>
          <w:spacing w:val="-7"/>
        </w:rPr>
        <w:t xml:space="preserve"> 个工作日内退还；成交供应商的磋商</w:t>
      </w:r>
    </w:p>
    <w:p w14:paraId="3BB96ADE">
      <w:pPr>
        <w:pStyle w:val="12"/>
        <w:spacing w:before="169"/>
        <w:rPr>
          <w:color w:val="auto"/>
        </w:rPr>
      </w:pPr>
      <w:r>
        <w:rPr>
          <w:color w:val="auto"/>
          <w:spacing w:val="-6"/>
        </w:rPr>
        <w:t xml:space="preserve">保证金自签订合同之日起 </w:t>
      </w:r>
      <w:r>
        <w:rPr>
          <w:color w:val="auto"/>
          <w:spacing w:val="-2"/>
        </w:rPr>
        <w:t>5</w:t>
      </w:r>
      <w:r>
        <w:rPr>
          <w:color w:val="auto"/>
          <w:spacing w:val="-10"/>
        </w:rPr>
        <w:t xml:space="preserve"> 个工作日内退还或者转为成交供应商的履约保证金。</w:t>
      </w:r>
    </w:p>
    <w:p w14:paraId="49C264EF">
      <w:pPr>
        <w:pStyle w:val="21"/>
        <w:numPr>
          <w:ilvl w:val="1"/>
          <w:numId w:val="11"/>
        </w:numPr>
        <w:tabs>
          <w:tab w:val="left" w:pos="1677"/>
        </w:tabs>
        <w:spacing w:before="166" w:after="0" w:line="240" w:lineRule="auto"/>
        <w:ind w:left="1677" w:right="0" w:hanging="469"/>
        <w:jc w:val="left"/>
        <w:rPr>
          <w:color w:val="auto"/>
          <w:sz w:val="21"/>
        </w:rPr>
      </w:pPr>
      <w:r>
        <w:rPr>
          <w:color w:val="auto"/>
          <w:spacing w:val="-3"/>
          <w:sz w:val="21"/>
        </w:rPr>
        <w:t>磋商保证金不计息。</w:t>
      </w:r>
    </w:p>
    <w:p w14:paraId="6E1FE9CF">
      <w:pPr>
        <w:pStyle w:val="21"/>
        <w:numPr>
          <w:ilvl w:val="1"/>
          <w:numId w:val="11"/>
        </w:numPr>
        <w:tabs>
          <w:tab w:val="left" w:pos="1677"/>
        </w:tabs>
        <w:spacing w:before="166" w:after="0" w:line="240" w:lineRule="auto"/>
        <w:ind w:left="1677" w:right="0" w:hanging="469"/>
        <w:jc w:val="left"/>
        <w:rPr>
          <w:color w:val="auto"/>
          <w:sz w:val="21"/>
        </w:rPr>
      </w:pPr>
      <w:r>
        <w:rPr>
          <w:color w:val="auto"/>
          <w:spacing w:val="-3"/>
          <w:sz w:val="21"/>
        </w:rPr>
        <w:t>供应商有下列情形之一的，磋商保证金将不予退还：</w:t>
      </w:r>
    </w:p>
    <w:p w14:paraId="7D6F692A">
      <w:pPr>
        <w:pStyle w:val="21"/>
        <w:numPr>
          <w:ilvl w:val="0"/>
          <w:numId w:val="17"/>
        </w:numPr>
        <w:tabs>
          <w:tab w:val="left" w:pos="1729"/>
        </w:tabs>
        <w:spacing w:before="169" w:after="0" w:line="240" w:lineRule="auto"/>
        <w:ind w:left="1729" w:right="0" w:hanging="521"/>
        <w:jc w:val="left"/>
        <w:rPr>
          <w:color w:val="auto"/>
          <w:sz w:val="21"/>
        </w:rPr>
      </w:pPr>
      <w:r>
        <w:rPr>
          <w:color w:val="auto"/>
          <w:spacing w:val="-3"/>
          <w:sz w:val="21"/>
        </w:rPr>
        <w:t>供应商在提交响应文件截止时间后撤回响应文件的；</w:t>
      </w:r>
    </w:p>
    <w:p w14:paraId="2A60ABEE">
      <w:pPr>
        <w:pStyle w:val="21"/>
        <w:numPr>
          <w:ilvl w:val="0"/>
          <w:numId w:val="17"/>
        </w:numPr>
        <w:tabs>
          <w:tab w:val="left" w:pos="1729"/>
        </w:tabs>
        <w:spacing w:before="166" w:after="0" w:line="240" w:lineRule="auto"/>
        <w:ind w:left="1729" w:right="0" w:hanging="521"/>
        <w:jc w:val="left"/>
        <w:rPr>
          <w:color w:val="auto"/>
          <w:sz w:val="21"/>
        </w:rPr>
      </w:pPr>
      <w:r>
        <w:rPr>
          <w:color w:val="auto"/>
          <w:spacing w:val="-3"/>
          <w:sz w:val="21"/>
        </w:rPr>
        <w:t>未按规定提交履约保证金的；</w:t>
      </w:r>
    </w:p>
    <w:p w14:paraId="57AAA2B1">
      <w:pPr>
        <w:pStyle w:val="21"/>
        <w:numPr>
          <w:ilvl w:val="0"/>
          <w:numId w:val="17"/>
        </w:numPr>
        <w:tabs>
          <w:tab w:val="left" w:pos="1729"/>
        </w:tabs>
        <w:spacing w:before="166" w:after="0" w:line="240" w:lineRule="auto"/>
        <w:ind w:left="1729" w:right="0" w:hanging="521"/>
        <w:jc w:val="left"/>
        <w:rPr>
          <w:color w:val="auto"/>
          <w:sz w:val="21"/>
        </w:rPr>
      </w:pPr>
      <w:r>
        <w:rPr>
          <w:color w:val="auto"/>
          <w:spacing w:val="-3"/>
          <w:sz w:val="21"/>
        </w:rPr>
        <w:t>供应商在响应文件中提供虚假材料的；</w:t>
      </w:r>
    </w:p>
    <w:p w14:paraId="1A2C4112">
      <w:pPr>
        <w:pStyle w:val="21"/>
        <w:numPr>
          <w:ilvl w:val="0"/>
          <w:numId w:val="17"/>
        </w:numPr>
        <w:tabs>
          <w:tab w:val="left" w:pos="1729"/>
        </w:tabs>
        <w:spacing w:before="169" w:after="0" w:line="240" w:lineRule="auto"/>
        <w:ind w:left="1729" w:right="0" w:hanging="521"/>
        <w:jc w:val="left"/>
        <w:rPr>
          <w:color w:val="auto"/>
          <w:sz w:val="21"/>
        </w:rPr>
      </w:pPr>
      <w:r>
        <w:rPr>
          <w:color w:val="auto"/>
          <w:spacing w:val="-3"/>
          <w:sz w:val="21"/>
        </w:rPr>
        <w:t>除因不可抗力或者磋商文件认可的情形以外，成交供应商不与采购人签订合同的；</w:t>
      </w:r>
    </w:p>
    <w:p w14:paraId="72106FB4">
      <w:pPr>
        <w:pStyle w:val="21"/>
        <w:numPr>
          <w:ilvl w:val="0"/>
          <w:numId w:val="17"/>
        </w:numPr>
        <w:tabs>
          <w:tab w:val="left" w:pos="1729"/>
        </w:tabs>
        <w:spacing w:before="166" w:after="0" w:line="240" w:lineRule="auto"/>
        <w:ind w:left="1729" w:right="0" w:hanging="521"/>
        <w:jc w:val="left"/>
        <w:rPr>
          <w:color w:val="auto"/>
          <w:sz w:val="21"/>
        </w:rPr>
      </w:pPr>
      <w:r>
        <w:rPr>
          <w:color w:val="auto"/>
          <w:spacing w:val="-3"/>
          <w:sz w:val="21"/>
        </w:rPr>
        <w:t>供应商与采购人、其他供应商或者采购代理机构恶意串通的；</w:t>
      </w:r>
    </w:p>
    <w:p w14:paraId="08995E14">
      <w:pPr>
        <w:pStyle w:val="21"/>
        <w:numPr>
          <w:ilvl w:val="0"/>
          <w:numId w:val="17"/>
        </w:numPr>
        <w:tabs>
          <w:tab w:val="left" w:pos="1729"/>
        </w:tabs>
        <w:spacing w:before="166" w:after="0" w:line="240" w:lineRule="auto"/>
        <w:ind w:left="1729" w:right="0" w:hanging="521"/>
        <w:jc w:val="left"/>
        <w:rPr>
          <w:color w:val="auto"/>
          <w:sz w:val="21"/>
        </w:rPr>
      </w:pPr>
      <w:r>
        <w:rPr>
          <w:color w:val="auto"/>
          <w:spacing w:val="-3"/>
          <w:sz w:val="21"/>
        </w:rPr>
        <w:t>法律法规规定的其他情形。</w:t>
      </w:r>
    </w:p>
    <w:p w14:paraId="4ED2AE44">
      <w:pPr>
        <w:pStyle w:val="10"/>
        <w:numPr>
          <w:ilvl w:val="0"/>
          <w:numId w:val="11"/>
        </w:numPr>
        <w:tabs>
          <w:tab w:val="left" w:pos="1631"/>
        </w:tabs>
        <w:spacing w:before="138" w:after="0" w:line="240" w:lineRule="auto"/>
        <w:ind w:left="1631" w:right="0" w:hanging="363"/>
        <w:jc w:val="left"/>
        <w:rPr>
          <w:rFonts w:hint="eastAsia" w:ascii="黑体" w:eastAsia="黑体"/>
          <w:color w:val="auto"/>
        </w:rPr>
      </w:pPr>
      <w:r>
        <w:rPr>
          <w:rFonts w:hint="eastAsia" w:ascii="黑体" w:eastAsia="黑体"/>
          <w:color w:val="auto"/>
          <w:spacing w:val="-2"/>
        </w:rPr>
        <w:t>响应文件编制的要求</w:t>
      </w:r>
    </w:p>
    <w:p w14:paraId="1725FC6C">
      <w:pPr>
        <w:pStyle w:val="21"/>
        <w:numPr>
          <w:ilvl w:val="1"/>
          <w:numId w:val="11"/>
        </w:numPr>
        <w:tabs>
          <w:tab w:val="left" w:pos="1682"/>
        </w:tabs>
        <w:spacing w:before="158" w:after="0" w:line="386" w:lineRule="auto"/>
        <w:ind w:left="788" w:right="788" w:firstLine="420"/>
        <w:jc w:val="both"/>
        <w:rPr>
          <w:color w:val="auto"/>
          <w:sz w:val="21"/>
        </w:rPr>
      </w:pPr>
      <w:r>
        <w:rPr>
          <w:color w:val="auto"/>
          <w:spacing w:val="2"/>
          <w:w w:val="99"/>
          <w:sz w:val="21"/>
        </w:rPr>
        <w:t>供应商应先安装“广西政府采购云平台新版客户端</w:t>
      </w:r>
      <w:r>
        <w:rPr>
          <w:color w:val="auto"/>
          <w:spacing w:val="4"/>
          <w:w w:val="99"/>
          <w:sz w:val="21"/>
        </w:rPr>
        <w:t>”（</w:t>
      </w:r>
      <w:r>
        <w:rPr>
          <w:color w:val="auto"/>
          <w:spacing w:val="2"/>
          <w:w w:val="99"/>
          <w:sz w:val="21"/>
        </w:rPr>
        <w:t>请自行前往广西政府采购云平</w:t>
      </w:r>
      <w:r>
        <w:rPr>
          <w:color w:val="auto"/>
          <w:spacing w:val="4"/>
          <w:w w:val="99"/>
          <w:sz w:val="21"/>
        </w:rPr>
        <w:t>台进行下载），</w:t>
      </w:r>
      <w:r>
        <w:rPr>
          <w:color w:val="auto"/>
          <w:spacing w:val="3"/>
          <w:w w:val="99"/>
          <w:sz w:val="21"/>
        </w:rPr>
        <w:t>并按照本项目磋商文件规定的格式和顺序和广西政府采购云平台的要求编制并加密。响应文件内容不完整、编排混乱导致响应文件被误读、漏读或者查找不到相关内容的，</w:t>
      </w:r>
      <w:r>
        <w:rPr>
          <w:color w:val="auto"/>
          <w:spacing w:val="-1"/>
          <w:w w:val="99"/>
          <w:sz w:val="21"/>
        </w:rPr>
        <w:t>由此引发的后果由供应商承担。</w:t>
      </w:r>
    </w:p>
    <w:p w14:paraId="4B825A4B">
      <w:pPr>
        <w:pStyle w:val="21"/>
        <w:numPr>
          <w:ilvl w:val="1"/>
          <w:numId w:val="11"/>
        </w:numPr>
        <w:tabs>
          <w:tab w:val="left" w:pos="1682"/>
        </w:tabs>
        <w:spacing w:before="1" w:after="0" w:line="386" w:lineRule="auto"/>
        <w:ind w:left="788" w:right="788" w:firstLine="420"/>
        <w:jc w:val="both"/>
        <w:rPr>
          <w:color w:val="auto"/>
          <w:sz w:val="21"/>
        </w:rPr>
      </w:pPr>
      <w:r>
        <w:rPr>
          <w:color w:val="auto"/>
          <w:spacing w:val="1"/>
          <w:w w:val="99"/>
          <w:sz w:val="21"/>
        </w:rPr>
        <w:t>为确保网上操作合法、有效和安全，供应商应当在提交响应文件截止时间前完成在广</w:t>
      </w:r>
      <w:r>
        <w:rPr>
          <w:color w:val="auto"/>
          <w:spacing w:val="3"/>
          <w:w w:val="99"/>
          <w:sz w:val="21"/>
        </w:rPr>
        <w:t>西政府采购云平台的身份认证，确保在电子竞标过程中能够对相关数据电文进行加密和使用电</w:t>
      </w:r>
      <w:r>
        <w:rPr>
          <w:color w:val="auto"/>
          <w:spacing w:val="-1"/>
          <w:w w:val="99"/>
          <w:sz w:val="21"/>
        </w:rPr>
        <w:t>子签章。</w:t>
      </w:r>
    </w:p>
    <w:p w14:paraId="24BA8077">
      <w:pPr>
        <w:pStyle w:val="21"/>
        <w:numPr>
          <w:ilvl w:val="1"/>
          <w:numId w:val="11"/>
        </w:numPr>
        <w:tabs>
          <w:tab w:val="left" w:pos="1682"/>
        </w:tabs>
        <w:spacing w:before="1" w:after="0" w:line="388" w:lineRule="auto"/>
        <w:ind w:left="788" w:right="791" w:firstLine="420"/>
        <w:jc w:val="both"/>
        <w:rPr>
          <w:color w:val="auto"/>
          <w:sz w:val="21"/>
        </w:rPr>
      </w:pPr>
      <w:r>
        <w:rPr>
          <w:color w:val="auto"/>
          <w:spacing w:val="-2"/>
          <w:sz w:val="21"/>
        </w:rPr>
        <w:t>响应文件须由供应商在规定位置签字、盖章（具体以供应商须知前附表或响应文件格式规定为准），否则按无效响应处理。</w:t>
      </w:r>
    </w:p>
    <w:p w14:paraId="26F98F52">
      <w:pPr>
        <w:pStyle w:val="21"/>
        <w:numPr>
          <w:ilvl w:val="1"/>
          <w:numId w:val="11"/>
        </w:numPr>
        <w:tabs>
          <w:tab w:val="left" w:pos="1682"/>
        </w:tabs>
        <w:spacing w:before="0" w:after="0" w:line="386" w:lineRule="auto"/>
        <w:ind w:left="788" w:right="791" w:firstLine="420"/>
        <w:jc w:val="both"/>
        <w:rPr>
          <w:color w:val="auto"/>
          <w:sz w:val="21"/>
        </w:rPr>
      </w:pPr>
      <w:r>
        <w:rPr>
          <w:color w:val="auto"/>
          <w:spacing w:val="2"/>
          <w:w w:val="99"/>
          <w:sz w:val="21"/>
        </w:rPr>
        <w:t>响应文件中标注的供应商名称应与主体资格证明</w:t>
      </w:r>
      <w:r>
        <w:rPr>
          <w:color w:val="auto"/>
          <w:spacing w:val="4"/>
          <w:w w:val="99"/>
          <w:sz w:val="21"/>
        </w:rPr>
        <w:t>（</w:t>
      </w:r>
      <w:r>
        <w:rPr>
          <w:color w:val="auto"/>
          <w:spacing w:val="1"/>
          <w:w w:val="99"/>
          <w:sz w:val="21"/>
        </w:rPr>
        <w:t>如营业执照或者事业单位法人证书</w:t>
      </w:r>
      <w:r>
        <w:rPr>
          <w:color w:val="auto"/>
          <w:spacing w:val="4"/>
          <w:w w:val="99"/>
          <w:sz w:val="21"/>
        </w:rPr>
        <w:t>或者执业许可证或者登记证书等）</w:t>
      </w:r>
      <w:r>
        <w:rPr>
          <w:color w:val="auto"/>
          <w:spacing w:val="2"/>
          <w:w w:val="99"/>
          <w:sz w:val="21"/>
        </w:rPr>
        <w:t>及公章一致，并与广西政府采购云平台中获取磋商文件的供</w:t>
      </w:r>
      <w:r>
        <w:rPr>
          <w:color w:val="auto"/>
          <w:spacing w:val="-1"/>
          <w:w w:val="99"/>
          <w:sz w:val="21"/>
        </w:rPr>
        <w:t>应商名称一致，否则其响应文件按无效处理。</w:t>
      </w:r>
    </w:p>
    <w:p w14:paraId="5180C214">
      <w:pPr>
        <w:pStyle w:val="21"/>
        <w:numPr>
          <w:ilvl w:val="1"/>
          <w:numId w:val="11"/>
        </w:numPr>
        <w:tabs>
          <w:tab w:val="left" w:pos="1682"/>
        </w:tabs>
        <w:spacing w:before="0" w:after="0" w:line="386" w:lineRule="auto"/>
        <w:ind w:left="788" w:right="788" w:firstLine="420"/>
        <w:jc w:val="both"/>
        <w:rPr>
          <w:color w:val="auto"/>
          <w:sz w:val="21"/>
        </w:rPr>
      </w:pPr>
      <w:r>
        <w:rPr>
          <w:color w:val="auto"/>
          <w:spacing w:val="-2"/>
          <w:sz w:val="21"/>
        </w:rPr>
        <w:t>响应文件应尽量避免涂改、行间插字或者删除。如果出现上述情况，改动之处应由供应商的法定代表人或者其委托代理人签字（或者电子签名）或者加盖公章或者加盖电子签章。</w:t>
      </w:r>
    </w:p>
    <w:p w14:paraId="3C8FA9B5">
      <w:pPr>
        <w:spacing w:after="0" w:line="386" w:lineRule="auto"/>
        <w:jc w:val="both"/>
        <w:rPr>
          <w:color w:val="auto"/>
          <w:sz w:val="21"/>
        </w:rPr>
        <w:sectPr>
          <w:pgSz w:w="11910" w:h="16840"/>
          <w:pgMar w:top="1520" w:right="740" w:bottom="1180" w:left="800" w:header="0" w:footer="989" w:gutter="0"/>
          <w:cols w:space="720" w:num="1"/>
        </w:sectPr>
      </w:pPr>
    </w:p>
    <w:p w14:paraId="2B458BA3">
      <w:pPr>
        <w:pStyle w:val="12"/>
        <w:spacing w:before="39"/>
        <w:rPr>
          <w:color w:val="auto"/>
        </w:rPr>
      </w:pPr>
      <w:r>
        <w:rPr>
          <w:color w:val="auto"/>
          <w:spacing w:val="-3"/>
        </w:rPr>
        <w:t>响应文件因涂改、行间插字或者删除导致字迹潦草或者表达不清所引起的后果由供应商承担。</w:t>
      </w:r>
    </w:p>
    <w:p w14:paraId="6C0DC956">
      <w:pPr>
        <w:pStyle w:val="10"/>
        <w:numPr>
          <w:ilvl w:val="0"/>
          <w:numId w:val="11"/>
        </w:numPr>
        <w:tabs>
          <w:tab w:val="left" w:pos="1631"/>
        </w:tabs>
        <w:spacing w:before="138" w:after="0" w:line="240" w:lineRule="auto"/>
        <w:ind w:left="1631" w:right="0" w:hanging="363"/>
        <w:jc w:val="left"/>
        <w:rPr>
          <w:rFonts w:hint="eastAsia" w:ascii="黑体" w:eastAsia="黑体"/>
          <w:color w:val="auto"/>
        </w:rPr>
      </w:pPr>
      <w:r>
        <w:rPr>
          <w:rFonts w:hint="eastAsia" w:ascii="黑体" w:eastAsia="黑体"/>
          <w:color w:val="auto"/>
          <w:spacing w:val="-2"/>
        </w:rPr>
        <w:t>电子备份响应文件</w:t>
      </w:r>
    </w:p>
    <w:p w14:paraId="650A463A">
      <w:pPr>
        <w:pStyle w:val="12"/>
        <w:spacing w:before="158" w:line="386" w:lineRule="auto"/>
        <w:ind w:right="791" w:firstLine="420"/>
        <w:rPr>
          <w:color w:val="auto"/>
        </w:rPr>
      </w:pPr>
      <w:r>
        <w:rPr>
          <w:color w:val="auto"/>
          <w:spacing w:val="-2"/>
        </w:rPr>
        <w:t>电子备份响应文件是指通过“广西政府采购云平台新版客户端”在线编制生成且后缀名为 “</w:t>
      </w:r>
      <w:r>
        <w:rPr>
          <w:rFonts w:ascii="Times New Roman" w:hAnsi="Times New Roman" w:eastAsia="Times New Roman"/>
          <w:color w:val="auto"/>
          <w:spacing w:val="-2"/>
        </w:rPr>
        <w:t>bfbs</w:t>
      </w:r>
      <w:r>
        <w:rPr>
          <w:color w:val="auto"/>
          <w:spacing w:val="-2"/>
        </w:rPr>
        <w:t>”的文件，是否接受电子备份响应文件详见“供应商须知前附表”。</w:t>
      </w:r>
    </w:p>
    <w:p w14:paraId="6A8ABF8F">
      <w:pPr>
        <w:pStyle w:val="10"/>
        <w:numPr>
          <w:ilvl w:val="0"/>
          <w:numId w:val="11"/>
        </w:numPr>
        <w:tabs>
          <w:tab w:val="left" w:pos="1631"/>
        </w:tabs>
        <w:spacing w:before="0" w:after="0" w:line="283" w:lineRule="exact"/>
        <w:ind w:left="1631" w:right="0" w:hanging="363"/>
        <w:jc w:val="left"/>
        <w:rPr>
          <w:rFonts w:hint="eastAsia" w:ascii="黑体" w:eastAsia="黑体"/>
          <w:color w:val="auto"/>
        </w:rPr>
      </w:pPr>
      <w:r>
        <w:rPr>
          <w:rFonts w:hint="eastAsia" w:ascii="黑体" w:eastAsia="黑体"/>
          <w:color w:val="auto"/>
          <w:spacing w:val="-2"/>
        </w:rPr>
        <w:t>响应文件的提交</w:t>
      </w:r>
    </w:p>
    <w:p w14:paraId="014F718F">
      <w:pPr>
        <w:pStyle w:val="21"/>
        <w:numPr>
          <w:ilvl w:val="1"/>
          <w:numId w:val="11"/>
        </w:numPr>
        <w:tabs>
          <w:tab w:val="left" w:pos="1629"/>
        </w:tabs>
        <w:spacing w:before="158" w:after="0" w:line="386" w:lineRule="auto"/>
        <w:ind w:left="788" w:right="791" w:firstLine="420"/>
        <w:jc w:val="both"/>
        <w:rPr>
          <w:rFonts w:ascii="Times New Roman" w:hAnsi="Times New Roman" w:eastAsia="Times New Roman"/>
          <w:color w:val="auto"/>
          <w:sz w:val="21"/>
        </w:rPr>
      </w:pPr>
      <w:r>
        <w:rPr>
          <w:color w:val="auto"/>
          <w:spacing w:val="3"/>
          <w:w w:val="99"/>
          <w:sz w:val="21"/>
        </w:rPr>
        <w:t>供应商必须按“供应商须知前附表”规定的时间及地点提交响应文件。电子响应文件</w:t>
      </w:r>
      <w:r>
        <w:rPr>
          <w:color w:val="auto"/>
          <w:w w:val="99"/>
          <w:sz w:val="21"/>
        </w:rPr>
        <w:t>应在制作完成后，在提交响应文件截止时间前通过有效数字证书</w:t>
      </w:r>
      <w:r>
        <w:rPr>
          <w:color w:val="auto"/>
          <w:spacing w:val="2"/>
          <w:w w:val="99"/>
          <w:sz w:val="21"/>
        </w:rPr>
        <w:t>（</w:t>
      </w:r>
      <w:r>
        <w:rPr>
          <w:rFonts w:ascii="Times New Roman" w:hAnsi="Times New Roman" w:eastAsia="Times New Roman"/>
          <w:color w:val="auto"/>
          <w:spacing w:val="-1"/>
          <w:w w:val="99"/>
          <w:sz w:val="21"/>
        </w:rPr>
        <w:t>C</w:t>
      </w:r>
      <w:r>
        <w:rPr>
          <w:rFonts w:ascii="Times New Roman" w:hAnsi="Times New Roman" w:eastAsia="Times New Roman"/>
          <w:color w:val="auto"/>
          <w:w w:val="99"/>
          <w:sz w:val="21"/>
        </w:rPr>
        <w:t>A</w:t>
      </w:r>
      <w:r>
        <w:rPr>
          <w:rFonts w:ascii="Times New Roman" w:hAnsi="Times New Roman" w:eastAsia="Times New Roman"/>
          <w:color w:val="auto"/>
          <w:spacing w:val="2"/>
          <w:sz w:val="21"/>
        </w:rPr>
        <w:t xml:space="preserve"> </w:t>
      </w:r>
      <w:r>
        <w:rPr>
          <w:color w:val="auto"/>
          <w:spacing w:val="2"/>
          <w:w w:val="99"/>
          <w:sz w:val="21"/>
        </w:rPr>
        <w:t>认证锁）</w:t>
      </w:r>
      <w:r>
        <w:rPr>
          <w:color w:val="auto"/>
          <w:w w:val="99"/>
          <w:sz w:val="21"/>
        </w:rPr>
        <w:t>进行电子签章、</w:t>
      </w:r>
      <w:r>
        <w:rPr>
          <w:color w:val="auto"/>
          <w:spacing w:val="-1"/>
          <w:w w:val="99"/>
          <w:sz w:val="21"/>
        </w:rPr>
        <w:t>加密，然后通过网络将加密的电子响应文件提交至广西政府采购云平台。</w:t>
      </w:r>
    </w:p>
    <w:p w14:paraId="107F489D">
      <w:pPr>
        <w:pStyle w:val="21"/>
        <w:numPr>
          <w:ilvl w:val="1"/>
          <w:numId w:val="11"/>
        </w:numPr>
        <w:tabs>
          <w:tab w:val="left" w:pos="1682"/>
        </w:tabs>
        <w:spacing w:before="1" w:after="0" w:line="386" w:lineRule="auto"/>
        <w:ind w:left="788" w:right="791" w:firstLine="420"/>
        <w:jc w:val="both"/>
        <w:rPr>
          <w:color w:val="auto"/>
          <w:sz w:val="21"/>
        </w:rPr>
      </w:pPr>
      <w:r>
        <w:rPr>
          <w:color w:val="auto"/>
          <w:spacing w:val="-2"/>
          <w:sz w:val="21"/>
        </w:rPr>
        <w:t>未在规定时间内提交或者未按照磋商文件要求加密的电子响应文件，广西政府采购云平台将拒收。</w:t>
      </w:r>
    </w:p>
    <w:p w14:paraId="55D16793">
      <w:pPr>
        <w:pStyle w:val="10"/>
        <w:numPr>
          <w:ilvl w:val="0"/>
          <w:numId w:val="11"/>
        </w:numPr>
        <w:tabs>
          <w:tab w:val="left" w:pos="1631"/>
        </w:tabs>
        <w:spacing w:before="0" w:after="0" w:line="283" w:lineRule="exact"/>
        <w:ind w:left="1631" w:right="0" w:hanging="363"/>
        <w:jc w:val="left"/>
        <w:rPr>
          <w:rFonts w:hint="eastAsia" w:ascii="黑体" w:eastAsia="黑体"/>
          <w:color w:val="auto"/>
        </w:rPr>
      </w:pPr>
      <w:r>
        <w:rPr>
          <w:rFonts w:hint="eastAsia" w:ascii="黑体" w:eastAsia="黑体"/>
          <w:color w:val="auto"/>
          <w:spacing w:val="-1"/>
        </w:rPr>
        <w:t>首次响应文件的补充、修改与撤回</w:t>
      </w:r>
    </w:p>
    <w:p w14:paraId="066D8CEC">
      <w:pPr>
        <w:pStyle w:val="21"/>
        <w:numPr>
          <w:ilvl w:val="1"/>
          <w:numId w:val="11"/>
        </w:numPr>
        <w:tabs>
          <w:tab w:val="left" w:pos="1628"/>
        </w:tabs>
        <w:spacing w:before="158" w:after="0" w:line="386" w:lineRule="auto"/>
        <w:ind w:left="788" w:right="791" w:firstLine="420"/>
        <w:jc w:val="both"/>
        <w:rPr>
          <w:rFonts w:ascii="Times New Roman" w:hAnsi="Times New Roman" w:eastAsia="Times New Roman"/>
          <w:color w:val="auto"/>
          <w:sz w:val="21"/>
        </w:rPr>
      </w:pPr>
      <w:r>
        <w:rPr>
          <w:color w:val="auto"/>
          <w:spacing w:val="4"/>
          <w:w w:val="99"/>
          <w:sz w:val="21"/>
        </w:rPr>
        <w:t>供应商应当在提交响应文件截止时间前完成电子响应文件的提交（</w:t>
      </w:r>
      <w:r>
        <w:rPr>
          <w:color w:val="auto"/>
          <w:spacing w:val="5"/>
          <w:w w:val="99"/>
          <w:sz w:val="21"/>
        </w:rPr>
        <w:t>上传</w:t>
      </w:r>
      <w:r>
        <w:rPr>
          <w:color w:val="auto"/>
          <w:spacing w:val="7"/>
          <w:w w:val="99"/>
          <w:sz w:val="21"/>
        </w:rPr>
        <w:t>）</w:t>
      </w:r>
      <w:r>
        <w:rPr>
          <w:color w:val="auto"/>
          <w:spacing w:val="3"/>
          <w:w w:val="99"/>
          <w:sz w:val="21"/>
        </w:rPr>
        <w:t>，提交响应文件截止时间前可以补充、修改或者撤回响应文件。补充或者修改响应文件的，应当先行撤回</w:t>
      </w:r>
      <w:r>
        <w:rPr>
          <w:color w:val="auto"/>
          <w:spacing w:val="4"/>
          <w:w w:val="99"/>
          <w:sz w:val="21"/>
        </w:rPr>
        <w:t>原响应文件，补充、修改后重新提交</w:t>
      </w:r>
      <w:r>
        <w:rPr>
          <w:color w:val="auto"/>
          <w:spacing w:val="7"/>
          <w:w w:val="99"/>
          <w:sz w:val="21"/>
        </w:rPr>
        <w:t>（</w:t>
      </w:r>
      <w:r>
        <w:rPr>
          <w:color w:val="auto"/>
          <w:spacing w:val="5"/>
          <w:w w:val="99"/>
          <w:sz w:val="21"/>
        </w:rPr>
        <w:t>上传</w:t>
      </w:r>
      <w:r>
        <w:rPr>
          <w:color w:val="auto"/>
          <w:spacing w:val="4"/>
          <w:w w:val="99"/>
          <w:sz w:val="21"/>
        </w:rPr>
        <w:t>），</w:t>
      </w:r>
      <w:r>
        <w:rPr>
          <w:color w:val="auto"/>
          <w:spacing w:val="3"/>
          <w:w w:val="99"/>
          <w:sz w:val="21"/>
        </w:rPr>
        <w:t>提交响应文件截止时间前未完成提交</w:t>
      </w:r>
      <w:r>
        <w:rPr>
          <w:color w:val="auto"/>
          <w:spacing w:val="4"/>
          <w:w w:val="99"/>
          <w:sz w:val="21"/>
        </w:rPr>
        <w:t>（</w:t>
      </w:r>
      <w:r>
        <w:rPr>
          <w:color w:val="auto"/>
          <w:spacing w:val="5"/>
          <w:w w:val="99"/>
          <w:sz w:val="21"/>
        </w:rPr>
        <w:t>上传</w:t>
      </w:r>
      <w:r>
        <w:rPr>
          <w:color w:val="auto"/>
          <w:w w:val="99"/>
          <w:sz w:val="21"/>
        </w:rPr>
        <w:t>）</w:t>
      </w:r>
      <w:r>
        <w:rPr>
          <w:color w:val="auto"/>
          <w:spacing w:val="4"/>
          <w:w w:val="99"/>
          <w:sz w:val="21"/>
        </w:rPr>
        <w:t>的，视为撤回响应文件。提交响应文件截止时间以后提交</w:t>
      </w:r>
      <w:r>
        <w:rPr>
          <w:color w:val="auto"/>
          <w:spacing w:val="7"/>
          <w:w w:val="99"/>
          <w:sz w:val="21"/>
        </w:rPr>
        <w:t>（</w:t>
      </w:r>
      <w:r>
        <w:rPr>
          <w:color w:val="auto"/>
          <w:spacing w:val="4"/>
          <w:w w:val="99"/>
          <w:sz w:val="21"/>
        </w:rPr>
        <w:t>上传</w:t>
      </w:r>
      <w:r>
        <w:rPr>
          <w:color w:val="auto"/>
          <w:spacing w:val="7"/>
          <w:w w:val="99"/>
          <w:sz w:val="21"/>
        </w:rPr>
        <w:t>）</w:t>
      </w:r>
      <w:r>
        <w:rPr>
          <w:color w:val="auto"/>
          <w:spacing w:val="3"/>
          <w:w w:val="99"/>
          <w:sz w:val="21"/>
        </w:rPr>
        <w:t>的响应文件，广西政府采购</w:t>
      </w:r>
      <w:r>
        <w:rPr>
          <w:color w:val="auto"/>
          <w:spacing w:val="4"/>
          <w:w w:val="99"/>
          <w:sz w:val="21"/>
        </w:rPr>
        <w:t>云平台将予以拒收。（</w:t>
      </w:r>
      <w:r>
        <w:rPr>
          <w:color w:val="auto"/>
          <w:spacing w:val="3"/>
          <w:w w:val="99"/>
          <w:sz w:val="21"/>
        </w:rPr>
        <w:t>注：补充、修改或者撤回方式可登录广西政府采购云平台，进入“服务</w:t>
      </w:r>
      <w:r>
        <w:rPr>
          <w:color w:val="auto"/>
          <w:spacing w:val="-1"/>
          <w:w w:val="99"/>
          <w:sz w:val="21"/>
        </w:rPr>
        <w:t>中心”中查看</w:t>
      </w:r>
      <w:r>
        <w:rPr>
          <w:color w:val="auto"/>
          <w:sz w:val="21"/>
        </w:rPr>
        <w:t xml:space="preserve"> </w:t>
      </w:r>
      <w:r>
        <w:rPr>
          <w:color w:val="auto"/>
          <w:spacing w:val="-1"/>
          <w:w w:val="99"/>
          <w:sz w:val="21"/>
        </w:rPr>
        <w:t>“电子投标文件制作与投送教程”</w:t>
      </w:r>
      <w:r>
        <w:rPr>
          <w:color w:val="auto"/>
          <w:w w:val="99"/>
          <w:sz w:val="21"/>
        </w:rPr>
        <w:t>）</w:t>
      </w:r>
    </w:p>
    <w:p w14:paraId="484FAC39">
      <w:pPr>
        <w:pStyle w:val="21"/>
        <w:numPr>
          <w:ilvl w:val="1"/>
          <w:numId w:val="11"/>
        </w:numPr>
        <w:tabs>
          <w:tab w:val="left" w:pos="1682"/>
        </w:tabs>
        <w:spacing w:before="3" w:after="0" w:line="386" w:lineRule="auto"/>
        <w:ind w:left="788" w:right="791" w:firstLine="420"/>
        <w:jc w:val="both"/>
        <w:rPr>
          <w:color w:val="auto"/>
          <w:sz w:val="21"/>
        </w:rPr>
      </w:pPr>
      <w:r>
        <w:rPr>
          <w:color w:val="auto"/>
          <w:spacing w:val="-2"/>
          <w:sz w:val="21"/>
        </w:rPr>
        <w:t>在提交响应文件截止时间前，除供应商补充、修改或者撤回响应文件外，任何单位和个人不得解密或提取响应文件。</w:t>
      </w:r>
    </w:p>
    <w:p w14:paraId="10E93842">
      <w:pPr>
        <w:pStyle w:val="10"/>
        <w:numPr>
          <w:ilvl w:val="0"/>
          <w:numId w:val="11"/>
        </w:numPr>
        <w:tabs>
          <w:tab w:val="left" w:pos="1631"/>
        </w:tabs>
        <w:spacing w:before="0" w:after="0" w:line="283" w:lineRule="exact"/>
        <w:ind w:left="1631" w:right="0" w:hanging="363"/>
        <w:jc w:val="left"/>
        <w:rPr>
          <w:rFonts w:hint="eastAsia" w:ascii="黑体" w:eastAsia="黑体"/>
          <w:color w:val="auto"/>
        </w:rPr>
      </w:pPr>
      <w:r>
        <w:rPr>
          <w:rFonts w:hint="eastAsia" w:ascii="黑体" w:eastAsia="黑体"/>
          <w:color w:val="auto"/>
          <w:spacing w:val="-2"/>
        </w:rPr>
        <w:t>响应文件的退回</w:t>
      </w:r>
    </w:p>
    <w:p w14:paraId="03B4326D">
      <w:pPr>
        <w:pStyle w:val="12"/>
        <w:spacing w:before="157"/>
        <w:ind w:left="1208"/>
        <w:rPr>
          <w:color w:val="auto"/>
        </w:rPr>
      </w:pPr>
      <w:r>
        <w:rPr>
          <w:color w:val="auto"/>
          <w:spacing w:val="-3"/>
        </w:rPr>
        <w:t>采购人和采购代理机构对已提交的响应文件概不退回。</w:t>
      </w:r>
    </w:p>
    <w:p w14:paraId="5D46B897">
      <w:pPr>
        <w:pStyle w:val="10"/>
        <w:numPr>
          <w:ilvl w:val="0"/>
          <w:numId w:val="11"/>
        </w:numPr>
        <w:tabs>
          <w:tab w:val="left" w:pos="1631"/>
        </w:tabs>
        <w:spacing w:before="138" w:after="0" w:line="240" w:lineRule="auto"/>
        <w:ind w:left="1631" w:right="0" w:hanging="363"/>
        <w:jc w:val="left"/>
        <w:rPr>
          <w:rFonts w:hint="eastAsia" w:ascii="黑体" w:eastAsia="黑体"/>
          <w:color w:val="auto"/>
        </w:rPr>
      </w:pPr>
      <w:r>
        <w:rPr>
          <w:rFonts w:hint="eastAsia" w:ascii="黑体" w:eastAsia="黑体"/>
          <w:color w:val="auto"/>
          <w:spacing w:val="-2"/>
        </w:rPr>
        <w:t>截止时间后的撤回</w:t>
      </w:r>
    </w:p>
    <w:p w14:paraId="3143BFA9">
      <w:pPr>
        <w:pStyle w:val="12"/>
        <w:spacing w:before="158" w:line="386" w:lineRule="auto"/>
        <w:ind w:right="788" w:firstLine="420"/>
        <w:rPr>
          <w:color w:val="auto"/>
        </w:rPr>
      </w:pPr>
      <w:r>
        <w:rPr>
          <w:color w:val="auto"/>
          <w:spacing w:val="3"/>
          <w:w w:val="99"/>
        </w:rPr>
        <w:t>供应商在响应文件提交截止时间后向采购人、采购代理机构书面申请撤回响应文件的，将</w:t>
      </w:r>
      <w:r>
        <w:rPr>
          <w:color w:val="auto"/>
          <w:spacing w:val="-1"/>
          <w:w w:val="99"/>
        </w:rPr>
        <w:t>根据本须知正文第</w:t>
      </w:r>
      <w:r>
        <w:rPr>
          <w:color w:val="auto"/>
          <w:spacing w:val="-53"/>
        </w:rPr>
        <w:t xml:space="preserve"> </w:t>
      </w:r>
      <w:r>
        <w:rPr>
          <w:color w:val="auto"/>
          <w:spacing w:val="1"/>
          <w:w w:val="99"/>
        </w:rPr>
        <w:t>17.</w:t>
      </w:r>
      <w:r>
        <w:rPr>
          <w:color w:val="auto"/>
          <w:w w:val="99"/>
        </w:rPr>
        <w:t>4</w:t>
      </w:r>
      <w:r>
        <w:rPr>
          <w:color w:val="auto"/>
          <w:spacing w:val="-54"/>
        </w:rPr>
        <w:t xml:space="preserve"> </w:t>
      </w:r>
      <w:r>
        <w:rPr>
          <w:color w:val="auto"/>
          <w:spacing w:val="-1"/>
          <w:w w:val="99"/>
        </w:rPr>
        <w:t>条的规定不予退还其磋商保证金。</w:t>
      </w:r>
    </w:p>
    <w:p w14:paraId="260D5AA0">
      <w:pPr>
        <w:pStyle w:val="5"/>
        <w:spacing w:before="329"/>
        <w:ind w:right="0"/>
        <w:rPr>
          <w:color w:val="auto"/>
        </w:rPr>
      </w:pPr>
      <w:r>
        <w:rPr>
          <w:color w:val="auto"/>
          <w:spacing w:val="-4"/>
        </w:rPr>
        <w:t>四、评审及磋商</w:t>
      </w:r>
    </w:p>
    <w:p w14:paraId="1D5106C8">
      <w:pPr>
        <w:pStyle w:val="10"/>
        <w:numPr>
          <w:ilvl w:val="0"/>
          <w:numId w:val="11"/>
        </w:numPr>
        <w:tabs>
          <w:tab w:val="left" w:pos="1631"/>
        </w:tabs>
        <w:spacing w:before="105" w:after="0" w:line="240" w:lineRule="auto"/>
        <w:ind w:left="1631" w:right="0" w:hanging="363"/>
        <w:jc w:val="left"/>
        <w:rPr>
          <w:rFonts w:hint="eastAsia" w:ascii="黑体" w:eastAsia="黑体"/>
          <w:color w:val="auto"/>
        </w:rPr>
      </w:pPr>
      <w:r>
        <w:rPr>
          <w:rFonts w:hint="eastAsia" w:ascii="黑体" w:eastAsia="黑体"/>
          <w:color w:val="auto"/>
          <w:spacing w:val="-2"/>
        </w:rPr>
        <w:t>磋商小组成立</w:t>
      </w:r>
    </w:p>
    <w:p w14:paraId="6579EBC9">
      <w:pPr>
        <w:pStyle w:val="21"/>
        <w:numPr>
          <w:ilvl w:val="1"/>
          <w:numId w:val="11"/>
        </w:numPr>
        <w:tabs>
          <w:tab w:val="left" w:pos="1682"/>
        </w:tabs>
        <w:spacing w:before="158" w:after="0" w:line="386" w:lineRule="auto"/>
        <w:ind w:left="788" w:right="788" w:firstLine="420"/>
        <w:jc w:val="both"/>
        <w:rPr>
          <w:color w:val="auto"/>
          <w:sz w:val="21"/>
        </w:rPr>
      </w:pPr>
      <w:r>
        <w:rPr>
          <w:color w:val="auto"/>
          <w:spacing w:val="1"/>
          <w:w w:val="99"/>
          <w:sz w:val="21"/>
        </w:rPr>
        <w:t>磋商小组由采购人代表和评审专家共</w:t>
      </w:r>
      <w:r>
        <w:rPr>
          <w:color w:val="auto"/>
          <w:spacing w:val="-48"/>
          <w:sz w:val="21"/>
        </w:rPr>
        <w:t xml:space="preserve"> </w:t>
      </w:r>
      <w:r>
        <w:rPr>
          <w:color w:val="auto"/>
          <w:w w:val="99"/>
          <w:sz w:val="21"/>
        </w:rPr>
        <w:t>3</w:t>
      </w:r>
      <w:r>
        <w:rPr>
          <w:color w:val="auto"/>
          <w:spacing w:val="-49"/>
          <w:sz w:val="21"/>
        </w:rPr>
        <w:t xml:space="preserve"> </w:t>
      </w:r>
      <w:r>
        <w:rPr>
          <w:color w:val="auto"/>
          <w:spacing w:val="1"/>
          <w:w w:val="99"/>
          <w:sz w:val="21"/>
        </w:rPr>
        <w:t>人以上单数组成，具体人数见“供应商须知前</w:t>
      </w:r>
      <w:r>
        <w:rPr>
          <w:color w:val="auto"/>
          <w:spacing w:val="-1"/>
          <w:w w:val="99"/>
          <w:sz w:val="21"/>
        </w:rPr>
        <w:t>附表”，其中评审专家人数不得少于磋商小组成员总数的</w:t>
      </w:r>
      <w:r>
        <w:rPr>
          <w:color w:val="auto"/>
          <w:spacing w:val="-53"/>
          <w:sz w:val="21"/>
        </w:rPr>
        <w:t xml:space="preserve"> </w:t>
      </w:r>
      <w:r>
        <w:rPr>
          <w:color w:val="auto"/>
          <w:spacing w:val="1"/>
          <w:w w:val="99"/>
          <w:sz w:val="21"/>
        </w:rPr>
        <w:t>2/</w:t>
      </w:r>
      <w:r>
        <w:rPr>
          <w:color w:val="auto"/>
          <w:spacing w:val="-2"/>
          <w:w w:val="99"/>
          <w:sz w:val="21"/>
        </w:rPr>
        <w:t>3</w:t>
      </w:r>
      <w:r>
        <w:rPr>
          <w:color w:val="auto"/>
          <w:spacing w:val="-1"/>
          <w:w w:val="99"/>
          <w:sz w:val="21"/>
        </w:rPr>
        <w:t>。采购人代表不得以评审专家身份</w:t>
      </w:r>
      <w:r>
        <w:rPr>
          <w:color w:val="auto"/>
          <w:spacing w:val="3"/>
          <w:w w:val="99"/>
          <w:sz w:val="21"/>
        </w:rPr>
        <w:t>参加本部门或者本单位采购项目的评审。采购代理机构人员不得参加本机构代理的采购项目的</w:t>
      </w:r>
      <w:r>
        <w:rPr>
          <w:color w:val="auto"/>
          <w:w w:val="99"/>
          <w:sz w:val="21"/>
        </w:rPr>
        <w:t>评审。</w:t>
      </w:r>
    </w:p>
    <w:p w14:paraId="12EA47C6">
      <w:pPr>
        <w:spacing w:after="0" w:line="386" w:lineRule="auto"/>
        <w:jc w:val="both"/>
        <w:rPr>
          <w:color w:val="auto"/>
          <w:sz w:val="21"/>
        </w:rPr>
        <w:sectPr>
          <w:pgSz w:w="11910" w:h="16840"/>
          <w:pgMar w:top="1520" w:right="740" w:bottom="1180" w:left="800" w:header="0" w:footer="989" w:gutter="0"/>
          <w:cols w:space="720" w:num="1"/>
        </w:sectPr>
      </w:pPr>
    </w:p>
    <w:p w14:paraId="595CDCE2">
      <w:pPr>
        <w:pStyle w:val="21"/>
        <w:numPr>
          <w:ilvl w:val="1"/>
          <w:numId w:val="11"/>
        </w:numPr>
        <w:tabs>
          <w:tab w:val="left" w:pos="1682"/>
        </w:tabs>
        <w:spacing w:before="39" w:after="0" w:line="386" w:lineRule="auto"/>
        <w:ind w:left="788" w:right="788" w:firstLine="420"/>
        <w:jc w:val="both"/>
        <w:rPr>
          <w:color w:val="auto"/>
          <w:sz w:val="21"/>
        </w:rPr>
      </w:pPr>
      <w:r>
        <w:rPr>
          <w:color w:val="auto"/>
          <w:spacing w:val="1"/>
          <w:w w:val="99"/>
          <w:sz w:val="21"/>
        </w:rPr>
        <w:t>评审专家应当从政府采购评审专家库内相关专业的专家名单中随机抽取。市场竞争不</w:t>
      </w:r>
      <w:r>
        <w:rPr>
          <w:color w:val="auto"/>
          <w:spacing w:val="3"/>
          <w:w w:val="99"/>
          <w:sz w:val="21"/>
        </w:rPr>
        <w:t>充分的科研项目，以及需要扶持的科技成果转化项目，以及情况特殊、通过随机方式难以确定合适的评审专家的项目，经主管预算单位同意，可以自行选定评审专家。技术复杂、专业性强</w:t>
      </w:r>
      <w:r>
        <w:rPr>
          <w:color w:val="auto"/>
          <w:spacing w:val="-1"/>
          <w:w w:val="99"/>
          <w:sz w:val="21"/>
        </w:rPr>
        <w:t>的采购项目，评审专家中应当包含</w:t>
      </w:r>
      <w:r>
        <w:rPr>
          <w:color w:val="auto"/>
          <w:spacing w:val="-53"/>
          <w:sz w:val="21"/>
        </w:rPr>
        <w:t xml:space="preserve"> </w:t>
      </w:r>
      <w:r>
        <w:rPr>
          <w:color w:val="auto"/>
          <w:w w:val="99"/>
          <w:sz w:val="21"/>
        </w:rPr>
        <w:t>1</w:t>
      </w:r>
      <w:r>
        <w:rPr>
          <w:color w:val="auto"/>
          <w:spacing w:val="-52"/>
          <w:sz w:val="21"/>
        </w:rPr>
        <w:t xml:space="preserve"> </w:t>
      </w:r>
      <w:r>
        <w:rPr>
          <w:color w:val="auto"/>
          <w:spacing w:val="-1"/>
          <w:w w:val="99"/>
          <w:sz w:val="21"/>
        </w:rPr>
        <w:t>名法律专家。</w:t>
      </w:r>
    </w:p>
    <w:p w14:paraId="5358AE5A">
      <w:pPr>
        <w:pStyle w:val="21"/>
        <w:numPr>
          <w:ilvl w:val="1"/>
          <w:numId w:val="11"/>
        </w:numPr>
        <w:tabs>
          <w:tab w:val="left" w:pos="1677"/>
        </w:tabs>
        <w:spacing w:before="4" w:after="0" w:line="240" w:lineRule="auto"/>
        <w:ind w:left="1677" w:right="0" w:hanging="469"/>
        <w:jc w:val="both"/>
        <w:rPr>
          <w:color w:val="auto"/>
          <w:sz w:val="21"/>
        </w:rPr>
      </w:pPr>
      <w:r>
        <w:rPr>
          <w:color w:val="auto"/>
          <w:spacing w:val="-2"/>
          <w:sz w:val="21"/>
        </w:rPr>
        <w:t>采购代理机构应当基于广西政府采购云平台抽（选）</w:t>
      </w:r>
      <w:r>
        <w:rPr>
          <w:color w:val="auto"/>
          <w:spacing w:val="-4"/>
          <w:sz w:val="21"/>
        </w:rPr>
        <w:t>取评审专家。</w:t>
      </w:r>
    </w:p>
    <w:p w14:paraId="4EC868B4">
      <w:pPr>
        <w:pStyle w:val="21"/>
        <w:numPr>
          <w:ilvl w:val="1"/>
          <w:numId w:val="11"/>
        </w:numPr>
        <w:tabs>
          <w:tab w:val="left" w:pos="1677"/>
        </w:tabs>
        <w:spacing w:before="166" w:after="0" w:line="240" w:lineRule="auto"/>
        <w:ind w:left="1677" w:right="0" w:hanging="469"/>
        <w:jc w:val="both"/>
        <w:rPr>
          <w:color w:val="auto"/>
          <w:sz w:val="21"/>
        </w:rPr>
      </w:pPr>
      <w:r>
        <w:rPr>
          <w:color w:val="auto"/>
          <w:spacing w:val="-3"/>
          <w:sz w:val="21"/>
        </w:rPr>
        <w:t>参加过采购项目前期咨询论证的专家，不得参加该采购项目的评审活动。</w:t>
      </w:r>
    </w:p>
    <w:p w14:paraId="6884D4C3">
      <w:pPr>
        <w:pStyle w:val="10"/>
        <w:numPr>
          <w:ilvl w:val="0"/>
          <w:numId w:val="11"/>
        </w:numPr>
        <w:tabs>
          <w:tab w:val="left" w:pos="1631"/>
        </w:tabs>
        <w:spacing w:before="138" w:after="0" w:line="240" w:lineRule="auto"/>
        <w:ind w:left="1631" w:right="0" w:hanging="363"/>
        <w:jc w:val="left"/>
        <w:rPr>
          <w:rFonts w:hint="eastAsia" w:ascii="黑体" w:eastAsia="黑体"/>
          <w:color w:val="auto"/>
        </w:rPr>
      </w:pPr>
      <w:r>
        <w:rPr>
          <w:rFonts w:hint="eastAsia" w:ascii="黑体" w:eastAsia="黑体"/>
          <w:color w:val="auto"/>
          <w:spacing w:val="-1"/>
        </w:rPr>
        <w:t>首次响应文件的开启和解密</w:t>
      </w:r>
    </w:p>
    <w:p w14:paraId="6D430A9E">
      <w:pPr>
        <w:pStyle w:val="12"/>
        <w:spacing w:before="158" w:line="386" w:lineRule="auto"/>
        <w:ind w:right="757" w:firstLine="420"/>
        <w:jc w:val="both"/>
        <w:rPr>
          <w:b/>
          <w:color w:val="auto"/>
        </w:rPr>
      </w:pPr>
      <w:r>
        <w:rPr>
          <w:color w:val="auto"/>
          <w:spacing w:val="-1"/>
          <w:w w:val="99"/>
        </w:rPr>
        <w:t>采购代理机构将在“供应商须知前附表”规定的时间通过电子交易平台组织响应文件开启，</w:t>
      </w:r>
      <w:r>
        <w:rPr>
          <w:color w:val="auto"/>
          <w:w w:val="99"/>
        </w:rPr>
        <w:t>供应商的法定代表人或其委托代理人须携带加密时所用的</w:t>
      </w:r>
      <w:r>
        <w:rPr>
          <w:rFonts w:ascii="Times New Roman" w:hAnsi="Times New Roman" w:eastAsia="Times New Roman"/>
          <w:color w:val="auto"/>
          <w:spacing w:val="-1"/>
          <w:w w:val="99"/>
        </w:rPr>
        <w:t>C</w:t>
      </w:r>
      <w:r>
        <w:rPr>
          <w:rFonts w:ascii="Times New Roman" w:hAnsi="Times New Roman" w:eastAsia="Times New Roman"/>
          <w:color w:val="auto"/>
          <w:w w:val="99"/>
        </w:rPr>
        <w:t>A</w:t>
      </w:r>
      <w:r>
        <w:rPr>
          <w:rFonts w:ascii="Times New Roman" w:hAnsi="Times New Roman" w:eastAsia="Times New Roman"/>
          <w:color w:val="auto"/>
          <w:spacing w:val="-5"/>
        </w:rPr>
        <w:t xml:space="preserve"> </w:t>
      </w:r>
      <w:r>
        <w:rPr>
          <w:color w:val="auto"/>
          <w:spacing w:val="-1"/>
          <w:w w:val="99"/>
        </w:rPr>
        <w:t>锁，按平台提示和磋商文件的规定</w:t>
      </w:r>
      <w:r>
        <w:rPr>
          <w:color w:val="auto"/>
          <w:spacing w:val="2"/>
          <w:w w:val="99"/>
        </w:rPr>
        <w:t>登录到广西政府采购云平台电子开标大厅签到，采购代理机构依托广西政府采购云平台向各供</w:t>
      </w:r>
      <w:r>
        <w:rPr>
          <w:color w:val="auto"/>
          <w:spacing w:val="3"/>
          <w:w w:val="99"/>
        </w:rPr>
        <w:t>应商发出电子加密响应文件【开始解密】通知，由供应商按“供应商须知前附表”规定的时间内自行进行响应文件解密。</w:t>
      </w:r>
      <w:r>
        <w:rPr>
          <w:b/>
          <w:color w:val="auto"/>
          <w:spacing w:val="3"/>
          <w:w w:val="99"/>
        </w:rPr>
        <w:t>供应商未在规定的时间内解密响应文件或者解密失败的，供应商的</w:t>
      </w:r>
      <w:r>
        <w:rPr>
          <w:b/>
          <w:color w:val="auto"/>
          <w:w w:val="99"/>
        </w:rPr>
        <w:t>响应文件按无效处理。</w:t>
      </w:r>
    </w:p>
    <w:p w14:paraId="67A5D3F9">
      <w:pPr>
        <w:pStyle w:val="10"/>
        <w:numPr>
          <w:ilvl w:val="0"/>
          <w:numId w:val="11"/>
        </w:numPr>
        <w:tabs>
          <w:tab w:val="left" w:pos="1631"/>
        </w:tabs>
        <w:spacing w:before="0" w:after="0" w:line="284" w:lineRule="exact"/>
        <w:ind w:left="1631" w:right="0" w:hanging="363"/>
        <w:jc w:val="left"/>
        <w:rPr>
          <w:rFonts w:hint="eastAsia" w:ascii="黑体" w:eastAsia="黑体"/>
          <w:color w:val="auto"/>
        </w:rPr>
      </w:pPr>
      <w:r>
        <w:rPr>
          <w:rFonts w:hint="eastAsia" w:ascii="黑体" w:eastAsia="黑体"/>
          <w:color w:val="auto"/>
          <w:spacing w:val="-1"/>
        </w:rPr>
        <w:t>评审程序、评审方法和评审标准</w:t>
      </w:r>
    </w:p>
    <w:p w14:paraId="6C4A77E4">
      <w:pPr>
        <w:pStyle w:val="21"/>
        <w:numPr>
          <w:ilvl w:val="1"/>
          <w:numId w:val="11"/>
        </w:numPr>
        <w:tabs>
          <w:tab w:val="left" w:pos="1677"/>
        </w:tabs>
        <w:spacing w:before="157" w:after="0" w:line="240" w:lineRule="auto"/>
        <w:ind w:left="1677" w:right="0" w:hanging="469"/>
        <w:jc w:val="both"/>
        <w:rPr>
          <w:color w:val="auto"/>
          <w:sz w:val="21"/>
        </w:rPr>
      </w:pPr>
      <w:r>
        <w:rPr>
          <w:color w:val="auto"/>
          <w:spacing w:val="-3"/>
          <w:sz w:val="21"/>
        </w:rPr>
        <w:t>本项目的评审方法为综合评分法。</w:t>
      </w:r>
    </w:p>
    <w:p w14:paraId="349CD136">
      <w:pPr>
        <w:pStyle w:val="21"/>
        <w:numPr>
          <w:ilvl w:val="1"/>
          <w:numId w:val="11"/>
        </w:numPr>
        <w:tabs>
          <w:tab w:val="left" w:pos="1679"/>
        </w:tabs>
        <w:spacing w:before="167" w:after="0" w:line="388" w:lineRule="auto"/>
        <w:ind w:left="788" w:right="791" w:firstLine="420"/>
        <w:jc w:val="both"/>
        <w:rPr>
          <w:color w:val="auto"/>
          <w:sz w:val="21"/>
        </w:rPr>
      </w:pPr>
      <w:r>
        <w:rPr>
          <w:color w:val="auto"/>
          <w:spacing w:val="-2"/>
          <w:sz w:val="21"/>
        </w:rPr>
        <w:t>磋商小组按照“第四章 评审程序、评审方法和评审标准”规定的方法、评审因素、标准和程序对响应文件进行评审并推荐成交候选供应商。</w:t>
      </w:r>
    </w:p>
    <w:p w14:paraId="706D3065">
      <w:pPr>
        <w:pStyle w:val="21"/>
        <w:numPr>
          <w:ilvl w:val="1"/>
          <w:numId w:val="11"/>
        </w:numPr>
        <w:tabs>
          <w:tab w:val="left" w:pos="1682"/>
        </w:tabs>
        <w:spacing w:before="0" w:after="0" w:line="386" w:lineRule="auto"/>
        <w:ind w:left="788" w:right="788" w:firstLine="420"/>
        <w:jc w:val="both"/>
        <w:rPr>
          <w:color w:val="auto"/>
          <w:sz w:val="21"/>
        </w:rPr>
      </w:pPr>
      <w:r>
        <w:rPr>
          <w:color w:val="auto"/>
          <w:spacing w:val="1"/>
          <w:w w:val="99"/>
          <w:sz w:val="21"/>
        </w:rPr>
        <w:t>磋商小组成员要依法独立评审，并对评审意见承担个人责任。磋商小组成员对需要共</w:t>
      </w:r>
      <w:r>
        <w:rPr>
          <w:color w:val="auto"/>
          <w:spacing w:val="3"/>
          <w:w w:val="99"/>
          <w:sz w:val="21"/>
        </w:rPr>
        <w:t>同认定的事项存在争议的，按照少数服从多数的原则做出结论。持不同意见的磋商小组成员应</w:t>
      </w:r>
      <w:r>
        <w:rPr>
          <w:color w:val="auto"/>
          <w:spacing w:val="-1"/>
          <w:w w:val="99"/>
          <w:sz w:val="21"/>
        </w:rPr>
        <w:t>当在评审报告上签署不同意见并说明理由，否则视为同意。</w:t>
      </w:r>
    </w:p>
    <w:p w14:paraId="21F7F2A3">
      <w:pPr>
        <w:pStyle w:val="21"/>
        <w:numPr>
          <w:ilvl w:val="1"/>
          <w:numId w:val="11"/>
        </w:numPr>
        <w:tabs>
          <w:tab w:val="left" w:pos="1682"/>
        </w:tabs>
        <w:spacing w:before="0" w:after="0" w:line="386" w:lineRule="auto"/>
        <w:ind w:left="788" w:right="791" w:firstLine="420"/>
        <w:jc w:val="both"/>
        <w:rPr>
          <w:color w:val="auto"/>
          <w:sz w:val="21"/>
        </w:rPr>
      </w:pPr>
      <w:r>
        <w:rPr>
          <w:color w:val="auto"/>
          <w:spacing w:val="-2"/>
          <w:sz w:val="21"/>
        </w:rPr>
        <w:t>电子交易活动的中止。采购过程中出现以下情形，导致电子交易平台无法正常运行，或者无法保证电子交易的公平、公正和安全时，采购机构可中止电子交易活动：</w:t>
      </w:r>
    </w:p>
    <w:p w14:paraId="5431D66E">
      <w:pPr>
        <w:pStyle w:val="21"/>
        <w:numPr>
          <w:ilvl w:val="0"/>
          <w:numId w:val="18"/>
        </w:numPr>
        <w:tabs>
          <w:tab w:val="left" w:pos="1729"/>
        </w:tabs>
        <w:spacing w:before="0" w:after="0" w:line="240" w:lineRule="auto"/>
        <w:ind w:left="1729" w:right="0" w:hanging="521"/>
        <w:jc w:val="left"/>
        <w:rPr>
          <w:color w:val="auto"/>
          <w:sz w:val="21"/>
        </w:rPr>
      </w:pPr>
      <w:r>
        <w:rPr>
          <w:color w:val="auto"/>
          <w:spacing w:val="-3"/>
          <w:sz w:val="21"/>
        </w:rPr>
        <w:t>电子交易平台发生故障而无法登录访问的；</w:t>
      </w:r>
    </w:p>
    <w:p w14:paraId="1FF24FC3">
      <w:pPr>
        <w:pStyle w:val="21"/>
        <w:numPr>
          <w:ilvl w:val="0"/>
          <w:numId w:val="18"/>
        </w:numPr>
        <w:tabs>
          <w:tab w:val="left" w:pos="1729"/>
        </w:tabs>
        <w:spacing w:before="165" w:after="0" w:line="240" w:lineRule="auto"/>
        <w:ind w:left="1729" w:right="0" w:hanging="521"/>
        <w:jc w:val="left"/>
        <w:rPr>
          <w:color w:val="auto"/>
          <w:sz w:val="21"/>
        </w:rPr>
      </w:pPr>
      <w:r>
        <w:rPr>
          <w:color w:val="auto"/>
          <w:spacing w:val="-3"/>
          <w:sz w:val="21"/>
        </w:rPr>
        <w:t>电子交易平台应用或数据库出现错误，不能进行正常操作的；</w:t>
      </w:r>
    </w:p>
    <w:p w14:paraId="2992926B">
      <w:pPr>
        <w:pStyle w:val="21"/>
        <w:numPr>
          <w:ilvl w:val="0"/>
          <w:numId w:val="18"/>
        </w:numPr>
        <w:tabs>
          <w:tab w:val="left" w:pos="1729"/>
        </w:tabs>
        <w:spacing w:before="166" w:after="0" w:line="240" w:lineRule="auto"/>
        <w:ind w:left="1729" w:right="0" w:hanging="521"/>
        <w:jc w:val="left"/>
        <w:rPr>
          <w:color w:val="auto"/>
          <w:sz w:val="21"/>
        </w:rPr>
      </w:pPr>
      <w:r>
        <w:rPr>
          <w:color w:val="auto"/>
          <w:spacing w:val="-3"/>
          <w:sz w:val="21"/>
        </w:rPr>
        <w:t>电子交易平台发现严重安全漏洞，有潜在泄密危险的；</w:t>
      </w:r>
    </w:p>
    <w:p w14:paraId="7C38D395">
      <w:pPr>
        <w:pStyle w:val="21"/>
        <w:numPr>
          <w:ilvl w:val="0"/>
          <w:numId w:val="18"/>
        </w:numPr>
        <w:tabs>
          <w:tab w:val="left" w:pos="1729"/>
        </w:tabs>
        <w:spacing w:before="169" w:after="0" w:line="240" w:lineRule="auto"/>
        <w:ind w:left="1729" w:right="0" w:hanging="521"/>
        <w:jc w:val="left"/>
        <w:rPr>
          <w:color w:val="auto"/>
          <w:sz w:val="21"/>
        </w:rPr>
      </w:pPr>
      <w:r>
        <w:rPr>
          <w:color w:val="auto"/>
          <w:spacing w:val="-3"/>
          <w:sz w:val="21"/>
        </w:rPr>
        <w:t>病毒发作导致不能进行正常操作的；</w:t>
      </w:r>
    </w:p>
    <w:p w14:paraId="34D4777E">
      <w:pPr>
        <w:pStyle w:val="21"/>
        <w:numPr>
          <w:ilvl w:val="0"/>
          <w:numId w:val="18"/>
        </w:numPr>
        <w:tabs>
          <w:tab w:val="left" w:pos="1729"/>
        </w:tabs>
        <w:spacing w:before="166" w:after="0" w:line="240" w:lineRule="auto"/>
        <w:ind w:left="1729" w:right="0" w:hanging="521"/>
        <w:jc w:val="left"/>
        <w:rPr>
          <w:color w:val="auto"/>
          <w:sz w:val="21"/>
        </w:rPr>
      </w:pPr>
      <w:r>
        <w:rPr>
          <w:color w:val="auto"/>
          <w:spacing w:val="-3"/>
          <w:sz w:val="21"/>
        </w:rPr>
        <w:t>其他无法保证电子交易的公平、公正和安全的情况。</w:t>
      </w:r>
    </w:p>
    <w:p w14:paraId="34B9AA5C">
      <w:pPr>
        <w:pStyle w:val="21"/>
        <w:numPr>
          <w:ilvl w:val="1"/>
          <w:numId w:val="11"/>
        </w:numPr>
        <w:tabs>
          <w:tab w:val="left" w:pos="1682"/>
        </w:tabs>
        <w:spacing w:before="166" w:after="0" w:line="386" w:lineRule="auto"/>
        <w:ind w:left="788" w:right="788" w:firstLine="420"/>
        <w:jc w:val="both"/>
        <w:rPr>
          <w:color w:val="auto"/>
          <w:sz w:val="21"/>
        </w:rPr>
      </w:pPr>
      <w:r>
        <w:rPr>
          <w:color w:val="auto"/>
          <w:spacing w:val="1"/>
          <w:w w:val="99"/>
          <w:sz w:val="21"/>
        </w:rPr>
        <w:t>出现以上情形，不影响采购公平、公正性的，采购组织机构可以待上述情形消除后继</w:t>
      </w:r>
      <w:r>
        <w:rPr>
          <w:color w:val="auto"/>
          <w:spacing w:val="3"/>
          <w:w w:val="99"/>
          <w:sz w:val="21"/>
        </w:rPr>
        <w:t>续组织电子交易活动；影响或可能影响采购公平、公正性的，经采购代理机构确认，报采购人同意后，应当重新采购。采购代理机构必须对原有的资料及信息作出妥善保密处理，并报财政</w:t>
      </w:r>
      <w:r>
        <w:rPr>
          <w:color w:val="auto"/>
          <w:spacing w:val="-1"/>
          <w:w w:val="99"/>
          <w:sz w:val="21"/>
        </w:rPr>
        <w:t>部门备案。</w:t>
      </w:r>
    </w:p>
    <w:p w14:paraId="4CC0A628">
      <w:pPr>
        <w:spacing w:after="0" w:line="386" w:lineRule="auto"/>
        <w:jc w:val="both"/>
        <w:rPr>
          <w:color w:val="auto"/>
          <w:sz w:val="21"/>
        </w:rPr>
        <w:sectPr>
          <w:pgSz w:w="11910" w:h="16840"/>
          <w:pgMar w:top="1520" w:right="740" w:bottom="1180" w:left="800" w:header="0" w:footer="989" w:gutter="0"/>
          <w:cols w:space="720" w:num="1"/>
        </w:sectPr>
      </w:pPr>
    </w:p>
    <w:p w14:paraId="3AD66397">
      <w:pPr>
        <w:pStyle w:val="10"/>
        <w:numPr>
          <w:ilvl w:val="0"/>
          <w:numId w:val="11"/>
        </w:numPr>
        <w:tabs>
          <w:tab w:val="left" w:pos="1631"/>
        </w:tabs>
        <w:spacing w:before="51" w:after="0" w:line="240" w:lineRule="auto"/>
        <w:ind w:left="1631" w:right="0" w:hanging="363"/>
        <w:jc w:val="left"/>
        <w:rPr>
          <w:rFonts w:hint="eastAsia" w:ascii="黑体" w:eastAsia="黑体"/>
          <w:color w:val="auto"/>
        </w:rPr>
      </w:pPr>
      <w:r>
        <w:rPr>
          <w:rFonts w:hint="eastAsia" w:ascii="黑体" w:eastAsia="黑体"/>
          <w:color w:val="auto"/>
          <w:spacing w:val="-1"/>
        </w:rPr>
        <w:t>确定成交供应商及结果公告</w:t>
      </w:r>
    </w:p>
    <w:p w14:paraId="5D99429B">
      <w:pPr>
        <w:pStyle w:val="21"/>
        <w:numPr>
          <w:ilvl w:val="1"/>
          <w:numId w:val="11"/>
        </w:numPr>
        <w:tabs>
          <w:tab w:val="left" w:pos="1732"/>
        </w:tabs>
        <w:spacing w:before="158" w:after="0" w:line="240" w:lineRule="auto"/>
        <w:ind w:left="1732" w:right="0" w:hanging="524"/>
        <w:jc w:val="both"/>
        <w:rPr>
          <w:color w:val="auto"/>
          <w:sz w:val="21"/>
        </w:rPr>
      </w:pPr>
      <w:r>
        <w:rPr>
          <w:color w:val="auto"/>
          <w:spacing w:val="-3"/>
          <w:sz w:val="21"/>
        </w:rPr>
        <w:t xml:space="preserve">采购代理机构应当在评审结束后 </w:t>
      </w:r>
      <w:r>
        <w:rPr>
          <w:color w:val="auto"/>
          <w:sz w:val="21"/>
        </w:rPr>
        <w:t>2</w:t>
      </w:r>
      <w:r>
        <w:rPr>
          <w:color w:val="auto"/>
          <w:spacing w:val="-8"/>
          <w:sz w:val="21"/>
        </w:rPr>
        <w:t xml:space="preserve"> 个工作日内将评审报告送采购人确认。采购人应当</w:t>
      </w:r>
    </w:p>
    <w:p w14:paraId="001B4FAE">
      <w:pPr>
        <w:pStyle w:val="12"/>
        <w:spacing w:before="166" w:line="386" w:lineRule="auto"/>
        <w:ind w:right="788"/>
        <w:jc w:val="both"/>
        <w:rPr>
          <w:color w:val="auto"/>
        </w:rPr>
      </w:pPr>
      <w:r>
        <w:rPr>
          <w:color w:val="auto"/>
          <w:spacing w:val="-1"/>
          <w:w w:val="99"/>
        </w:rPr>
        <w:t>在收到评审报告后</w:t>
      </w:r>
      <w:r>
        <w:rPr>
          <w:color w:val="auto"/>
          <w:spacing w:val="-67"/>
        </w:rPr>
        <w:t xml:space="preserve"> </w:t>
      </w:r>
      <w:r>
        <w:rPr>
          <w:color w:val="auto"/>
          <w:w w:val="99"/>
        </w:rPr>
        <w:t>5</w:t>
      </w:r>
      <w:r>
        <w:rPr>
          <w:color w:val="auto"/>
          <w:spacing w:val="-71"/>
        </w:rPr>
        <w:t xml:space="preserve"> </w:t>
      </w:r>
      <w:r>
        <w:rPr>
          <w:color w:val="auto"/>
          <w:spacing w:val="-1"/>
          <w:w w:val="99"/>
        </w:rPr>
        <w:t>个工作日内，从评审报告提出的成交候选供应商中，按照排序由高到低的原</w:t>
      </w:r>
      <w:r>
        <w:rPr>
          <w:color w:val="auto"/>
          <w:spacing w:val="3"/>
          <w:w w:val="99"/>
        </w:rPr>
        <w:t>则确定成交供应商，也可以书面授权磋商小组直接确定成交供应商。采购人逾期未确定成交供</w:t>
      </w:r>
      <w:r>
        <w:rPr>
          <w:color w:val="auto"/>
          <w:spacing w:val="-1"/>
          <w:w w:val="99"/>
        </w:rPr>
        <w:t>应商且不提出异议的，视为确定评审报告提出的排序第一的供应商为成交供应商。</w:t>
      </w:r>
    </w:p>
    <w:p w14:paraId="4415410A">
      <w:pPr>
        <w:pStyle w:val="21"/>
        <w:numPr>
          <w:ilvl w:val="1"/>
          <w:numId w:val="11"/>
        </w:numPr>
        <w:tabs>
          <w:tab w:val="left" w:pos="1682"/>
        </w:tabs>
        <w:spacing w:before="1" w:after="0" w:line="386" w:lineRule="auto"/>
        <w:ind w:left="788" w:right="707" w:firstLine="420"/>
        <w:jc w:val="left"/>
        <w:rPr>
          <w:color w:val="auto"/>
          <w:sz w:val="21"/>
        </w:rPr>
      </w:pPr>
      <w:r>
        <w:rPr>
          <w:color w:val="auto"/>
          <w:spacing w:val="1"/>
          <w:w w:val="99"/>
          <w:sz w:val="21"/>
        </w:rPr>
        <w:t>采购代理机构应当在成交供应商确定后</w:t>
      </w:r>
      <w:r>
        <w:rPr>
          <w:color w:val="auto"/>
          <w:spacing w:val="-48"/>
          <w:sz w:val="21"/>
        </w:rPr>
        <w:t xml:space="preserve"> </w:t>
      </w:r>
      <w:r>
        <w:rPr>
          <w:color w:val="auto"/>
          <w:w w:val="99"/>
          <w:sz w:val="21"/>
        </w:rPr>
        <w:t>2</w:t>
      </w:r>
      <w:r>
        <w:rPr>
          <w:color w:val="auto"/>
          <w:spacing w:val="-49"/>
          <w:sz w:val="21"/>
        </w:rPr>
        <w:t xml:space="preserve"> </w:t>
      </w:r>
      <w:r>
        <w:rPr>
          <w:color w:val="auto"/>
          <w:spacing w:val="1"/>
          <w:w w:val="99"/>
          <w:sz w:val="21"/>
        </w:rPr>
        <w:t>个工作日内，在省级以上财政部门指定的媒</w:t>
      </w:r>
      <w:r>
        <w:rPr>
          <w:color w:val="auto"/>
          <w:spacing w:val="3"/>
          <w:w w:val="99"/>
          <w:sz w:val="21"/>
        </w:rPr>
        <w:t>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w:t>
      </w:r>
      <w:r>
        <w:rPr>
          <w:color w:val="auto"/>
          <w:spacing w:val="2"/>
          <w:w w:val="99"/>
          <w:sz w:val="21"/>
        </w:rPr>
        <w:t>为成交供应商，以此类推。以上信息查询记录及相关证据与磋商文件一并保存。成交供应商享</w:t>
      </w:r>
      <w:r>
        <w:rPr>
          <w:color w:val="auto"/>
          <w:spacing w:val="-1"/>
          <w:w w:val="99"/>
          <w:sz w:val="21"/>
        </w:rPr>
        <w:t>受《政府采购促进中小企业发展管理办法》（</w:t>
      </w:r>
      <w:r>
        <w:rPr>
          <w:color w:val="auto"/>
          <w:w w:val="99"/>
          <w:sz w:val="21"/>
        </w:rPr>
        <w:t>财库〔</w:t>
      </w:r>
      <w:r>
        <w:rPr>
          <w:color w:val="auto"/>
          <w:spacing w:val="1"/>
          <w:w w:val="99"/>
          <w:sz w:val="21"/>
        </w:rPr>
        <w:t>202</w:t>
      </w:r>
      <w:r>
        <w:rPr>
          <w:color w:val="auto"/>
          <w:spacing w:val="-2"/>
          <w:w w:val="99"/>
          <w:sz w:val="21"/>
        </w:rPr>
        <w:t>0</w:t>
      </w:r>
      <w:r>
        <w:rPr>
          <w:color w:val="auto"/>
          <w:spacing w:val="2"/>
          <w:w w:val="99"/>
          <w:sz w:val="21"/>
        </w:rPr>
        <w:t>〕</w:t>
      </w:r>
      <w:r>
        <w:rPr>
          <w:color w:val="auto"/>
          <w:spacing w:val="1"/>
          <w:w w:val="99"/>
          <w:sz w:val="21"/>
        </w:rPr>
        <w:t>4</w:t>
      </w:r>
      <w:r>
        <w:rPr>
          <w:color w:val="auto"/>
          <w:w w:val="99"/>
          <w:sz w:val="21"/>
        </w:rPr>
        <w:t>6</w:t>
      </w:r>
      <w:r>
        <w:rPr>
          <w:color w:val="auto"/>
          <w:spacing w:val="-54"/>
          <w:sz w:val="21"/>
        </w:rPr>
        <w:t xml:space="preserve"> </w:t>
      </w:r>
      <w:r>
        <w:rPr>
          <w:color w:val="auto"/>
          <w:spacing w:val="-1"/>
          <w:w w:val="99"/>
          <w:sz w:val="21"/>
        </w:rPr>
        <w:t>号</w:t>
      </w:r>
      <w:r>
        <w:rPr>
          <w:color w:val="auto"/>
          <w:spacing w:val="2"/>
          <w:w w:val="99"/>
          <w:sz w:val="21"/>
        </w:rPr>
        <w:t>）</w:t>
      </w:r>
      <w:r>
        <w:rPr>
          <w:color w:val="auto"/>
          <w:spacing w:val="-1"/>
          <w:w w:val="99"/>
          <w:sz w:val="21"/>
        </w:rPr>
        <w:t>规定的中小企业扶持政策的，采购人、采购代理机构应当随成交结果公开成交供应商的《中小企业声明函》。</w:t>
      </w:r>
    </w:p>
    <w:p w14:paraId="08670191">
      <w:pPr>
        <w:pStyle w:val="21"/>
        <w:numPr>
          <w:ilvl w:val="1"/>
          <w:numId w:val="11"/>
        </w:numPr>
        <w:tabs>
          <w:tab w:val="left" w:pos="1682"/>
        </w:tabs>
        <w:spacing w:before="5" w:after="0" w:line="386" w:lineRule="auto"/>
        <w:ind w:left="788" w:right="791" w:firstLine="420"/>
        <w:jc w:val="left"/>
        <w:rPr>
          <w:color w:val="auto"/>
          <w:sz w:val="21"/>
        </w:rPr>
      </w:pPr>
      <w:r>
        <w:rPr>
          <w:color w:val="auto"/>
          <w:spacing w:val="-2"/>
          <w:sz w:val="21"/>
        </w:rPr>
        <w:t>出现下列情形之一的，采购人或者采购代理机构应当终止竞争性磋商采购活动，发布项目终止公告并说明原因，重新开展采购活动：</w:t>
      </w:r>
    </w:p>
    <w:p w14:paraId="79A206FC">
      <w:pPr>
        <w:pStyle w:val="21"/>
        <w:numPr>
          <w:ilvl w:val="0"/>
          <w:numId w:val="19"/>
        </w:numPr>
        <w:tabs>
          <w:tab w:val="left" w:pos="1729"/>
        </w:tabs>
        <w:spacing w:before="1" w:after="0" w:line="240" w:lineRule="auto"/>
        <w:ind w:left="1729" w:right="0" w:hanging="521"/>
        <w:jc w:val="left"/>
        <w:rPr>
          <w:color w:val="auto"/>
          <w:sz w:val="21"/>
        </w:rPr>
      </w:pPr>
      <w:r>
        <w:rPr>
          <w:color w:val="auto"/>
          <w:spacing w:val="-3"/>
          <w:sz w:val="21"/>
        </w:rPr>
        <w:t>因情况变化，不再符合规定的竞争性磋商采购方式适用情形的；</w:t>
      </w:r>
    </w:p>
    <w:p w14:paraId="1F1AF747">
      <w:pPr>
        <w:pStyle w:val="21"/>
        <w:numPr>
          <w:ilvl w:val="0"/>
          <w:numId w:val="19"/>
        </w:numPr>
        <w:tabs>
          <w:tab w:val="left" w:pos="1729"/>
        </w:tabs>
        <w:spacing w:before="167" w:after="0" w:line="240" w:lineRule="auto"/>
        <w:ind w:left="1729" w:right="0" w:hanging="521"/>
        <w:jc w:val="left"/>
        <w:rPr>
          <w:color w:val="auto"/>
          <w:sz w:val="21"/>
        </w:rPr>
      </w:pPr>
      <w:r>
        <w:rPr>
          <w:color w:val="auto"/>
          <w:spacing w:val="-3"/>
          <w:sz w:val="21"/>
        </w:rPr>
        <w:t>出现影响采购公正的违法、违规行为的；</w:t>
      </w:r>
    </w:p>
    <w:p w14:paraId="7F6C12D4">
      <w:pPr>
        <w:pStyle w:val="21"/>
        <w:numPr>
          <w:ilvl w:val="0"/>
          <w:numId w:val="19"/>
        </w:numPr>
        <w:tabs>
          <w:tab w:val="left" w:pos="1729"/>
        </w:tabs>
        <w:spacing w:before="166" w:after="0" w:line="388" w:lineRule="auto"/>
        <w:ind w:left="788" w:right="791" w:firstLine="420"/>
        <w:jc w:val="left"/>
        <w:rPr>
          <w:color w:val="auto"/>
          <w:sz w:val="21"/>
        </w:rPr>
      </w:pPr>
      <w:r>
        <w:rPr>
          <w:color w:val="auto"/>
          <w:spacing w:val="-8"/>
          <w:sz w:val="21"/>
        </w:rPr>
        <w:t xml:space="preserve">除“第四章 评审程序、评审方法和评审标准”第 </w:t>
      </w:r>
      <w:r>
        <w:rPr>
          <w:color w:val="auto"/>
          <w:sz w:val="21"/>
        </w:rPr>
        <w:t>4.3</w:t>
      </w:r>
      <w:r>
        <w:rPr>
          <w:color w:val="auto"/>
          <w:spacing w:val="-9"/>
          <w:sz w:val="21"/>
        </w:rPr>
        <w:t xml:space="preserve"> 条规定的情形外，在采购过程中</w:t>
      </w:r>
      <w:r>
        <w:rPr>
          <w:color w:val="auto"/>
          <w:spacing w:val="-1"/>
          <w:sz w:val="21"/>
        </w:rPr>
        <w:t xml:space="preserve">符合要求的供应商或者报价未超过采购预算的供应商不足 </w:t>
      </w:r>
      <w:r>
        <w:rPr>
          <w:color w:val="auto"/>
          <w:sz w:val="21"/>
        </w:rPr>
        <w:t>3</w:t>
      </w:r>
      <w:r>
        <w:rPr>
          <w:color w:val="auto"/>
          <w:spacing w:val="-6"/>
          <w:sz w:val="21"/>
        </w:rPr>
        <w:t xml:space="preserve"> 家的。</w:t>
      </w:r>
    </w:p>
    <w:p w14:paraId="72847706">
      <w:pPr>
        <w:pStyle w:val="21"/>
        <w:numPr>
          <w:ilvl w:val="1"/>
          <w:numId w:val="11"/>
        </w:numPr>
        <w:tabs>
          <w:tab w:val="left" w:pos="1732"/>
        </w:tabs>
        <w:spacing w:before="0" w:after="0" w:line="386" w:lineRule="auto"/>
        <w:ind w:left="788" w:right="788" w:firstLine="420"/>
        <w:jc w:val="both"/>
        <w:rPr>
          <w:color w:val="auto"/>
          <w:sz w:val="21"/>
        </w:rPr>
      </w:pPr>
      <w:r>
        <w:rPr>
          <w:color w:val="auto"/>
          <w:spacing w:val="1"/>
          <w:w w:val="99"/>
          <w:sz w:val="21"/>
        </w:rPr>
        <w:t>在采购活动中因重大变故，采购任务取消的，采购人或者采购代理机构应当终止采购</w:t>
      </w:r>
      <w:r>
        <w:rPr>
          <w:color w:val="auto"/>
          <w:spacing w:val="3"/>
          <w:w w:val="99"/>
          <w:sz w:val="21"/>
        </w:rPr>
        <w:t>活动，通知所有参加采购活动的供应商，并将项目实施情况和采购任务取消原因报送本级财政</w:t>
      </w:r>
      <w:r>
        <w:rPr>
          <w:color w:val="auto"/>
          <w:w w:val="99"/>
          <w:sz w:val="21"/>
        </w:rPr>
        <w:t>部门。</w:t>
      </w:r>
    </w:p>
    <w:p w14:paraId="453F8059">
      <w:pPr>
        <w:pStyle w:val="10"/>
        <w:numPr>
          <w:ilvl w:val="0"/>
          <w:numId w:val="11"/>
        </w:numPr>
        <w:tabs>
          <w:tab w:val="left" w:pos="1631"/>
        </w:tabs>
        <w:spacing w:before="0" w:after="0" w:line="283" w:lineRule="exact"/>
        <w:ind w:left="1631" w:right="0" w:hanging="363"/>
        <w:jc w:val="left"/>
        <w:rPr>
          <w:rFonts w:hint="eastAsia" w:ascii="黑体" w:eastAsia="黑体"/>
          <w:color w:val="auto"/>
        </w:rPr>
      </w:pPr>
      <w:r>
        <w:rPr>
          <w:rFonts w:hint="eastAsia" w:ascii="黑体" w:eastAsia="黑体"/>
          <w:color w:val="auto"/>
          <w:spacing w:val="-2"/>
        </w:rPr>
        <w:t>履约保证金</w:t>
      </w:r>
    </w:p>
    <w:p w14:paraId="79662511">
      <w:pPr>
        <w:pStyle w:val="21"/>
        <w:numPr>
          <w:ilvl w:val="1"/>
          <w:numId w:val="11"/>
        </w:numPr>
        <w:tabs>
          <w:tab w:val="left" w:pos="1740"/>
        </w:tabs>
        <w:spacing w:before="154" w:after="0" w:line="388" w:lineRule="auto"/>
        <w:ind w:left="788" w:right="791" w:firstLine="422"/>
        <w:jc w:val="both"/>
        <w:rPr>
          <w:color w:val="auto"/>
          <w:sz w:val="21"/>
        </w:rPr>
      </w:pPr>
      <w:r>
        <w:rPr>
          <w:color w:val="auto"/>
          <w:sz w:val="21"/>
        </w:rPr>
        <w:t>履约保证金的金额、提交方式、退付的时间和条件详见 “供应商须知前附表”。成</w:t>
      </w:r>
      <w:r>
        <w:rPr>
          <w:color w:val="auto"/>
          <w:spacing w:val="-2"/>
          <w:sz w:val="21"/>
        </w:rPr>
        <w:t>交供应商未按规定提交履约保证金的，视为拒绝与采购人签订合同。</w:t>
      </w:r>
    </w:p>
    <w:p w14:paraId="6D3B7567">
      <w:pPr>
        <w:pStyle w:val="21"/>
        <w:numPr>
          <w:ilvl w:val="1"/>
          <w:numId w:val="11"/>
        </w:numPr>
        <w:tabs>
          <w:tab w:val="left" w:pos="1684"/>
        </w:tabs>
        <w:spacing w:before="0" w:after="0" w:line="386" w:lineRule="auto"/>
        <w:ind w:left="788" w:right="791" w:firstLine="422"/>
        <w:jc w:val="both"/>
        <w:rPr>
          <w:color w:val="auto"/>
          <w:sz w:val="21"/>
        </w:rPr>
      </w:pPr>
      <w:r>
        <w:rPr>
          <w:color w:val="auto"/>
          <w:spacing w:val="-2"/>
          <w:sz w:val="21"/>
        </w:rPr>
        <w:t>在履约保证金退还日期前，若成交供应商的开户名称、开户银行、账号有变动的，请以书面形式通知履约保证金收取单位，否则由此产生的后果由成交供应商自行承担。</w:t>
      </w:r>
    </w:p>
    <w:p w14:paraId="220A5CD7">
      <w:pPr>
        <w:pStyle w:val="10"/>
        <w:numPr>
          <w:ilvl w:val="0"/>
          <w:numId w:val="11"/>
        </w:numPr>
        <w:tabs>
          <w:tab w:val="left" w:pos="1631"/>
        </w:tabs>
        <w:spacing w:before="0" w:after="0" w:line="283" w:lineRule="exact"/>
        <w:ind w:left="1631" w:right="0" w:hanging="363"/>
        <w:jc w:val="left"/>
        <w:rPr>
          <w:rFonts w:hint="eastAsia" w:ascii="黑体" w:eastAsia="黑体"/>
          <w:color w:val="auto"/>
        </w:rPr>
      </w:pPr>
      <w:r>
        <w:rPr>
          <w:rFonts w:hint="eastAsia" w:ascii="黑体" w:eastAsia="黑体"/>
          <w:color w:val="auto"/>
          <w:spacing w:val="-3"/>
        </w:rPr>
        <w:t>签订合同</w:t>
      </w:r>
    </w:p>
    <w:p w14:paraId="7DB3465A">
      <w:pPr>
        <w:pStyle w:val="21"/>
        <w:numPr>
          <w:ilvl w:val="1"/>
          <w:numId w:val="11"/>
        </w:numPr>
        <w:tabs>
          <w:tab w:val="left" w:pos="1682"/>
        </w:tabs>
        <w:spacing w:before="154" w:after="0" w:line="386" w:lineRule="auto"/>
        <w:ind w:left="788" w:right="702" w:firstLine="422"/>
        <w:jc w:val="both"/>
        <w:rPr>
          <w:color w:val="auto"/>
          <w:sz w:val="21"/>
        </w:rPr>
      </w:pPr>
      <w:r>
        <w:rPr>
          <w:color w:val="auto"/>
          <w:spacing w:val="-2"/>
          <w:sz w:val="21"/>
        </w:rPr>
        <w:t>签订电子采购合同：成交供应商领取电子成交通知书后，在规定的日期、时间、地点，由法定代表人或其授权代表与采购人代表签订电子采购合同。如成交供应商为联合体的，由联</w:t>
      </w:r>
    </w:p>
    <w:p w14:paraId="5636AC0A">
      <w:pPr>
        <w:spacing w:after="0" w:line="386" w:lineRule="auto"/>
        <w:jc w:val="both"/>
        <w:rPr>
          <w:color w:val="auto"/>
          <w:sz w:val="21"/>
        </w:rPr>
        <w:sectPr>
          <w:pgSz w:w="11910" w:h="16840"/>
          <w:pgMar w:top="1480" w:right="740" w:bottom="1180" w:left="800" w:header="0" w:footer="989" w:gutter="0"/>
          <w:cols w:space="720" w:num="1"/>
        </w:sectPr>
      </w:pPr>
    </w:p>
    <w:p w14:paraId="6CAE1ECE">
      <w:pPr>
        <w:pStyle w:val="12"/>
        <w:spacing w:before="39"/>
        <w:rPr>
          <w:color w:val="auto"/>
        </w:rPr>
      </w:pPr>
      <w:r>
        <w:rPr>
          <w:color w:val="auto"/>
          <w:spacing w:val="-3"/>
        </w:rPr>
        <w:t>合体成员各方法定代表人或其授权代表与采购人代表签订合同。</w:t>
      </w:r>
    </w:p>
    <w:p w14:paraId="23C98C3A">
      <w:pPr>
        <w:pStyle w:val="12"/>
        <w:spacing w:before="169" w:line="386" w:lineRule="auto"/>
        <w:ind w:right="791" w:firstLine="422"/>
        <w:rPr>
          <w:color w:val="auto"/>
        </w:rPr>
      </w:pPr>
      <w:r>
        <w:rPr>
          <w:color w:val="auto"/>
          <w:spacing w:val="3"/>
          <w:w w:val="99"/>
        </w:rPr>
        <w:t>线下签订纸质合同：供应商领取成交通知书后，按“供应商须知前附表”规定向采购人出</w:t>
      </w:r>
      <w:r>
        <w:rPr>
          <w:color w:val="auto"/>
          <w:spacing w:val="-1"/>
          <w:w w:val="99"/>
        </w:rPr>
        <w:t>示相关证明材料，经采购人核验合格后方可签订合同。</w:t>
      </w:r>
    </w:p>
    <w:p w14:paraId="3225C004">
      <w:pPr>
        <w:pStyle w:val="21"/>
        <w:numPr>
          <w:ilvl w:val="1"/>
          <w:numId w:val="11"/>
        </w:numPr>
        <w:tabs>
          <w:tab w:val="left" w:pos="1683"/>
        </w:tabs>
        <w:spacing w:before="0" w:after="0" w:line="272" w:lineRule="exact"/>
        <w:ind w:left="1683" w:right="0" w:hanging="472"/>
        <w:jc w:val="both"/>
        <w:rPr>
          <w:color w:val="auto"/>
          <w:sz w:val="21"/>
        </w:rPr>
      </w:pPr>
      <w:r>
        <w:rPr>
          <w:color w:val="auto"/>
          <w:spacing w:val="-3"/>
          <w:sz w:val="21"/>
        </w:rPr>
        <w:t>签订合同时间：按成交通知书规定的时间与采购人签订合同。</w:t>
      </w:r>
    </w:p>
    <w:p w14:paraId="5C2AA26F">
      <w:pPr>
        <w:pStyle w:val="21"/>
        <w:numPr>
          <w:ilvl w:val="1"/>
          <w:numId w:val="11"/>
        </w:numPr>
        <w:tabs>
          <w:tab w:val="left" w:pos="1684"/>
        </w:tabs>
        <w:spacing w:before="168" w:after="0" w:line="386" w:lineRule="auto"/>
        <w:ind w:left="788" w:right="788" w:firstLine="422"/>
        <w:jc w:val="both"/>
        <w:rPr>
          <w:color w:val="auto"/>
          <w:sz w:val="21"/>
        </w:rPr>
      </w:pPr>
      <w:r>
        <w:rPr>
          <w:color w:val="auto"/>
          <w:spacing w:val="2"/>
          <w:w w:val="99"/>
          <w:sz w:val="21"/>
        </w:rPr>
        <w:t>成交供应商拒绝签订政府采购合同</w:t>
      </w:r>
      <w:r>
        <w:rPr>
          <w:color w:val="auto"/>
          <w:spacing w:val="4"/>
          <w:w w:val="99"/>
          <w:sz w:val="21"/>
        </w:rPr>
        <w:t>（</w:t>
      </w:r>
      <w:r>
        <w:rPr>
          <w:color w:val="auto"/>
          <w:spacing w:val="1"/>
          <w:w w:val="99"/>
          <w:sz w:val="21"/>
        </w:rPr>
        <w:t>包括但不限于放弃成交、因不可抗力不能履行合</w:t>
      </w:r>
      <w:r>
        <w:rPr>
          <w:color w:val="auto"/>
          <w:spacing w:val="4"/>
          <w:w w:val="99"/>
          <w:sz w:val="21"/>
        </w:rPr>
        <w:t>同而放弃签订合同），</w:t>
      </w:r>
      <w:r>
        <w:rPr>
          <w:color w:val="auto"/>
          <w:spacing w:val="3"/>
          <w:w w:val="99"/>
          <w:sz w:val="21"/>
        </w:rPr>
        <w:t>采购人可以按照评审报告推荐的成交候选人名单排序，确定下一候选人为成交供应商，也可以重新开展政府采购活动。如采购人无正当理由拒签合同的，给成交供应</w:t>
      </w:r>
      <w:r>
        <w:rPr>
          <w:color w:val="auto"/>
          <w:spacing w:val="-1"/>
          <w:w w:val="99"/>
          <w:sz w:val="21"/>
        </w:rPr>
        <w:t>商造成损失的，成交供应商可追究采购人承担相应的法律责任。</w:t>
      </w:r>
    </w:p>
    <w:p w14:paraId="211332F8">
      <w:pPr>
        <w:pStyle w:val="21"/>
        <w:numPr>
          <w:ilvl w:val="1"/>
          <w:numId w:val="11"/>
        </w:numPr>
        <w:tabs>
          <w:tab w:val="left" w:pos="1684"/>
        </w:tabs>
        <w:spacing w:before="1" w:after="0" w:line="386" w:lineRule="auto"/>
        <w:ind w:left="788" w:right="788" w:firstLine="422"/>
        <w:jc w:val="both"/>
        <w:rPr>
          <w:color w:val="auto"/>
          <w:sz w:val="21"/>
        </w:rPr>
      </w:pPr>
      <w:r>
        <w:rPr>
          <w:color w:val="auto"/>
          <w:spacing w:val="1"/>
          <w:w w:val="99"/>
          <w:sz w:val="21"/>
        </w:rPr>
        <w:t>政府采购合同是政府采购项目验收的依据，成交供应商和采购人应当按照采购合同约</w:t>
      </w:r>
      <w:r>
        <w:rPr>
          <w:color w:val="auto"/>
          <w:spacing w:val="3"/>
          <w:w w:val="99"/>
          <w:sz w:val="21"/>
        </w:rPr>
        <w:t>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w:t>
      </w:r>
      <w:r>
        <w:rPr>
          <w:color w:val="auto"/>
          <w:spacing w:val="-1"/>
          <w:w w:val="99"/>
          <w:sz w:val="21"/>
        </w:rPr>
        <w:t>任。</w:t>
      </w:r>
    </w:p>
    <w:p w14:paraId="03ABBE54">
      <w:pPr>
        <w:pStyle w:val="21"/>
        <w:numPr>
          <w:ilvl w:val="1"/>
          <w:numId w:val="11"/>
        </w:numPr>
        <w:tabs>
          <w:tab w:val="left" w:pos="1684"/>
        </w:tabs>
        <w:spacing w:before="4" w:after="0" w:line="386" w:lineRule="auto"/>
        <w:ind w:left="788" w:right="788" w:firstLine="422"/>
        <w:jc w:val="both"/>
        <w:rPr>
          <w:color w:val="auto"/>
          <w:sz w:val="21"/>
        </w:rPr>
      </w:pPr>
      <w:r>
        <w:rPr>
          <w:color w:val="auto"/>
          <w:spacing w:val="1"/>
          <w:w w:val="99"/>
          <w:sz w:val="21"/>
        </w:rPr>
        <w:t>采购人或成交供应商不得单方面向合同另一方提出任何磋商文件没有约定的条件或不</w:t>
      </w:r>
      <w:r>
        <w:rPr>
          <w:color w:val="auto"/>
          <w:spacing w:val="3"/>
          <w:w w:val="99"/>
          <w:sz w:val="21"/>
        </w:rPr>
        <w:t>合理的要求，作为签订合同的条件；也不得协商另行订立背离磋商文件和合同实质性内容的协</w:t>
      </w:r>
      <w:r>
        <w:rPr>
          <w:color w:val="auto"/>
          <w:spacing w:val="-1"/>
          <w:w w:val="99"/>
          <w:sz w:val="21"/>
        </w:rPr>
        <w:t>议。</w:t>
      </w:r>
    </w:p>
    <w:p w14:paraId="15D8E9AE">
      <w:pPr>
        <w:pStyle w:val="21"/>
        <w:numPr>
          <w:ilvl w:val="1"/>
          <w:numId w:val="11"/>
        </w:numPr>
        <w:tabs>
          <w:tab w:val="left" w:pos="1684"/>
        </w:tabs>
        <w:spacing w:before="1" w:after="0" w:line="386" w:lineRule="auto"/>
        <w:ind w:left="788" w:right="791" w:firstLine="422"/>
        <w:jc w:val="both"/>
        <w:rPr>
          <w:color w:val="auto"/>
          <w:sz w:val="21"/>
        </w:rPr>
      </w:pPr>
      <w:r>
        <w:rPr>
          <w:color w:val="auto"/>
          <w:spacing w:val="-2"/>
          <w:sz w:val="21"/>
        </w:rPr>
        <w:t>如签订合同并生效后，供应商无故拒绝或延期，除按照合同条款处理外，将承担相应的法律责任。</w:t>
      </w:r>
    </w:p>
    <w:p w14:paraId="683B0BE4">
      <w:pPr>
        <w:pStyle w:val="21"/>
        <w:numPr>
          <w:ilvl w:val="1"/>
          <w:numId w:val="11"/>
        </w:numPr>
        <w:tabs>
          <w:tab w:val="left" w:pos="1684"/>
        </w:tabs>
        <w:spacing w:before="0" w:after="0" w:line="386" w:lineRule="auto"/>
        <w:ind w:left="788" w:right="788" w:firstLine="422"/>
        <w:jc w:val="both"/>
        <w:rPr>
          <w:color w:val="auto"/>
          <w:sz w:val="21"/>
        </w:rPr>
      </w:pPr>
      <w:r>
        <w:rPr>
          <w:color w:val="auto"/>
          <w:spacing w:val="1"/>
          <w:w w:val="99"/>
          <w:sz w:val="21"/>
        </w:rPr>
        <w:t>政府采购合同履行中，采购人需追加与合同标的相同的货物、工程或者服务的，在不</w:t>
      </w:r>
      <w:r>
        <w:rPr>
          <w:color w:val="auto"/>
          <w:spacing w:val="3"/>
          <w:w w:val="99"/>
          <w:sz w:val="21"/>
        </w:rPr>
        <w:t>改变合同其他条款的前提下，可以与供应商协商签订补充合同，但所有补充合同的采购金额不</w:t>
      </w:r>
      <w:r>
        <w:rPr>
          <w:color w:val="auto"/>
          <w:spacing w:val="-1"/>
          <w:w w:val="99"/>
          <w:sz w:val="21"/>
        </w:rPr>
        <w:t>得超过原合同采购金额的</w:t>
      </w:r>
      <w:r>
        <w:rPr>
          <w:color w:val="auto"/>
          <w:spacing w:val="-53"/>
          <w:sz w:val="21"/>
        </w:rPr>
        <w:t xml:space="preserve"> </w:t>
      </w:r>
      <w:r>
        <w:rPr>
          <w:color w:val="auto"/>
          <w:spacing w:val="1"/>
          <w:w w:val="99"/>
          <w:sz w:val="21"/>
        </w:rPr>
        <w:t>10</w:t>
      </w:r>
      <w:r>
        <w:rPr>
          <w:color w:val="auto"/>
          <w:spacing w:val="-1"/>
          <w:w w:val="99"/>
          <w:sz w:val="21"/>
        </w:rPr>
        <w:t>%。</w:t>
      </w:r>
    </w:p>
    <w:p w14:paraId="7687735E">
      <w:pPr>
        <w:pStyle w:val="10"/>
        <w:numPr>
          <w:ilvl w:val="0"/>
          <w:numId w:val="11"/>
        </w:numPr>
        <w:tabs>
          <w:tab w:val="left" w:pos="1631"/>
        </w:tabs>
        <w:spacing w:before="0" w:after="0" w:line="285" w:lineRule="exact"/>
        <w:ind w:left="1631" w:right="0" w:hanging="363"/>
        <w:jc w:val="left"/>
        <w:rPr>
          <w:rFonts w:hint="eastAsia" w:ascii="黑体" w:eastAsia="黑体"/>
          <w:color w:val="auto"/>
        </w:rPr>
      </w:pPr>
      <w:r>
        <w:rPr>
          <w:rFonts w:hint="eastAsia" w:ascii="黑体" w:eastAsia="黑体"/>
          <w:color w:val="auto"/>
          <w:spacing w:val="-2"/>
        </w:rPr>
        <w:t>政府采购合同公告</w:t>
      </w:r>
    </w:p>
    <w:p w14:paraId="635D2E67">
      <w:pPr>
        <w:pStyle w:val="12"/>
        <w:spacing w:before="157" w:line="386" w:lineRule="auto"/>
        <w:ind w:right="788" w:firstLine="420"/>
        <w:jc w:val="both"/>
        <w:rPr>
          <w:color w:val="auto"/>
        </w:rPr>
      </w:pPr>
      <w:r>
        <w:rPr>
          <w:color w:val="auto"/>
          <w:spacing w:val="3"/>
          <w:w w:val="99"/>
        </w:rPr>
        <w:t>根据《中华人民共和国政府采购法实施条例》第五十条规定，采购人应当自政府采购合同</w:t>
      </w:r>
      <w:r>
        <w:rPr>
          <w:color w:val="auto"/>
          <w:spacing w:val="6"/>
          <w:w w:val="99"/>
        </w:rPr>
        <w:t>签订之日起</w:t>
      </w:r>
      <w:r>
        <w:rPr>
          <w:color w:val="auto"/>
          <w:w w:val="99"/>
        </w:rPr>
        <w:t>2</w:t>
      </w:r>
      <w:r>
        <w:rPr>
          <w:color w:val="auto"/>
          <w:spacing w:val="-68"/>
        </w:rPr>
        <w:t xml:space="preserve"> </w:t>
      </w:r>
      <w:r>
        <w:rPr>
          <w:color w:val="auto"/>
          <w:spacing w:val="-1"/>
          <w:w w:val="99"/>
        </w:rPr>
        <w:t>个工作日内，将政府采购合同在省级以上人民政府财政部门指定的媒体上公告，但政府采购合同中涉及国家秘密、商业秘密的内容除外。</w:t>
      </w:r>
    </w:p>
    <w:p w14:paraId="710A8B0A">
      <w:pPr>
        <w:pStyle w:val="10"/>
        <w:numPr>
          <w:ilvl w:val="0"/>
          <w:numId w:val="11"/>
        </w:numPr>
        <w:tabs>
          <w:tab w:val="left" w:pos="1754"/>
        </w:tabs>
        <w:spacing w:before="0" w:after="0" w:line="283" w:lineRule="exact"/>
        <w:ind w:left="1754" w:right="0" w:hanging="486"/>
        <w:jc w:val="both"/>
        <w:rPr>
          <w:rFonts w:hint="eastAsia" w:ascii="黑体" w:eastAsia="黑体"/>
          <w:color w:val="auto"/>
        </w:rPr>
      </w:pPr>
      <w:r>
        <w:rPr>
          <w:rFonts w:hint="eastAsia" w:ascii="黑体" w:eastAsia="黑体"/>
          <w:color w:val="auto"/>
          <w:spacing w:val="-2"/>
        </w:rPr>
        <w:t>询问、质疑和投诉</w:t>
      </w:r>
    </w:p>
    <w:p w14:paraId="7F08D244">
      <w:pPr>
        <w:pStyle w:val="21"/>
        <w:numPr>
          <w:ilvl w:val="1"/>
          <w:numId w:val="11"/>
        </w:numPr>
        <w:tabs>
          <w:tab w:val="left" w:pos="1682"/>
        </w:tabs>
        <w:spacing w:before="158" w:after="0" w:line="240" w:lineRule="auto"/>
        <w:ind w:left="1682" w:right="0" w:hanging="474"/>
        <w:jc w:val="left"/>
        <w:rPr>
          <w:color w:val="auto"/>
          <w:sz w:val="21"/>
        </w:rPr>
      </w:pPr>
      <w:r>
        <w:rPr>
          <w:color w:val="auto"/>
          <w:spacing w:val="-1"/>
          <w:sz w:val="21"/>
        </w:rPr>
        <w:t>供应商对政府采购活动事项有疑问的，可以向采购人、采购代理机构提出询问，采购</w:t>
      </w:r>
    </w:p>
    <w:p w14:paraId="16F9EA5A">
      <w:pPr>
        <w:pStyle w:val="12"/>
        <w:spacing w:before="166" w:line="388" w:lineRule="auto"/>
        <w:ind w:right="791"/>
        <w:rPr>
          <w:color w:val="auto"/>
        </w:rPr>
      </w:pPr>
      <w:r>
        <w:rPr>
          <w:color w:val="auto"/>
          <w:spacing w:val="-6"/>
        </w:rPr>
        <w:t xml:space="preserve">人或者采购代理机构应当在 </w:t>
      </w:r>
      <w:r>
        <w:rPr>
          <w:color w:val="auto"/>
          <w:spacing w:val="-2"/>
        </w:rPr>
        <w:t>3</w:t>
      </w:r>
      <w:r>
        <w:rPr>
          <w:color w:val="auto"/>
          <w:spacing w:val="-10"/>
        </w:rPr>
        <w:t xml:space="preserve"> 个工作日内对供应商依法提出的询问作出答复，但答复的内容不得</w:t>
      </w:r>
      <w:r>
        <w:rPr>
          <w:color w:val="auto"/>
          <w:spacing w:val="-2"/>
        </w:rPr>
        <w:t>涉及商业秘密。</w:t>
      </w:r>
    </w:p>
    <w:p w14:paraId="69BC858C">
      <w:pPr>
        <w:pStyle w:val="21"/>
        <w:numPr>
          <w:ilvl w:val="1"/>
          <w:numId w:val="11"/>
        </w:numPr>
        <w:tabs>
          <w:tab w:val="left" w:pos="1682"/>
        </w:tabs>
        <w:spacing w:before="0" w:after="0" w:line="269" w:lineRule="exact"/>
        <w:ind w:left="1682" w:right="0" w:hanging="474"/>
        <w:jc w:val="left"/>
        <w:rPr>
          <w:color w:val="auto"/>
          <w:sz w:val="21"/>
        </w:rPr>
      </w:pPr>
      <w:r>
        <w:rPr>
          <w:color w:val="auto"/>
          <w:spacing w:val="-1"/>
          <w:sz w:val="21"/>
        </w:rPr>
        <w:t>供应商认为磋商文件、采购过程或者成交结果使自己的合法权益受到损害的，应当在</w:t>
      </w:r>
    </w:p>
    <w:p w14:paraId="0A5D4FD7">
      <w:pPr>
        <w:pStyle w:val="12"/>
        <w:spacing w:before="166"/>
        <w:rPr>
          <w:color w:val="auto"/>
        </w:rPr>
      </w:pPr>
      <w:r>
        <w:rPr>
          <w:color w:val="auto"/>
          <w:spacing w:val="-6"/>
        </w:rPr>
        <w:t xml:space="preserve">知道或者应知其权益受到损害之日起 </w:t>
      </w:r>
      <w:r>
        <w:rPr>
          <w:color w:val="auto"/>
          <w:spacing w:val="-2"/>
        </w:rPr>
        <w:t>7</w:t>
      </w:r>
      <w:r>
        <w:rPr>
          <w:color w:val="auto"/>
          <w:spacing w:val="-10"/>
        </w:rPr>
        <w:t xml:space="preserve"> 个工作日内，以书面形式向采购人、采购代理机构提出质</w:t>
      </w:r>
    </w:p>
    <w:p w14:paraId="2A64DD3F">
      <w:pPr>
        <w:spacing w:after="0"/>
        <w:rPr>
          <w:color w:val="auto"/>
        </w:rPr>
        <w:sectPr>
          <w:pgSz w:w="11910" w:h="16840"/>
          <w:pgMar w:top="1520" w:right="740" w:bottom="1180" w:left="800" w:header="0" w:footer="989" w:gutter="0"/>
          <w:cols w:space="720" w:num="1"/>
        </w:sectPr>
      </w:pPr>
    </w:p>
    <w:p w14:paraId="72ADFF2B">
      <w:pPr>
        <w:pStyle w:val="12"/>
        <w:spacing w:before="39" w:line="388" w:lineRule="auto"/>
        <w:ind w:right="792"/>
        <w:rPr>
          <w:color w:val="auto"/>
        </w:rPr>
      </w:pPr>
      <w:r>
        <w:rPr>
          <w:color w:val="auto"/>
          <w:spacing w:val="3"/>
          <w:w w:val="99"/>
        </w:rPr>
        <w:t>疑，接收质疑函的方式、联系部门、联系电话和通讯地址等信息详见“供应商须知前附表”。</w:t>
      </w:r>
      <w:r>
        <w:rPr>
          <w:color w:val="auto"/>
          <w:spacing w:val="-1"/>
          <w:w w:val="99"/>
        </w:rPr>
        <w:t>具体质疑起算时间如下：</w:t>
      </w:r>
    </w:p>
    <w:p w14:paraId="3C6AD80B">
      <w:pPr>
        <w:pStyle w:val="21"/>
        <w:numPr>
          <w:ilvl w:val="0"/>
          <w:numId w:val="20"/>
        </w:numPr>
        <w:tabs>
          <w:tab w:val="left" w:pos="1735"/>
        </w:tabs>
        <w:spacing w:before="0" w:after="0" w:line="386" w:lineRule="auto"/>
        <w:ind w:left="788" w:right="791" w:firstLine="420"/>
        <w:jc w:val="left"/>
        <w:rPr>
          <w:color w:val="auto"/>
          <w:sz w:val="21"/>
        </w:rPr>
      </w:pPr>
      <w:r>
        <w:rPr>
          <w:color w:val="auto"/>
          <w:spacing w:val="-2"/>
          <w:sz w:val="21"/>
        </w:rPr>
        <w:t>对可以质疑的磋商文件提出质疑的，为获取磋商文件之日或者竞争性磋商公告期限届</w:t>
      </w:r>
      <w:r>
        <w:rPr>
          <w:color w:val="auto"/>
          <w:spacing w:val="-4"/>
          <w:sz w:val="21"/>
        </w:rPr>
        <w:t>满之日；</w:t>
      </w:r>
    </w:p>
    <w:p w14:paraId="35B6FA4E">
      <w:pPr>
        <w:pStyle w:val="21"/>
        <w:numPr>
          <w:ilvl w:val="0"/>
          <w:numId w:val="20"/>
        </w:numPr>
        <w:tabs>
          <w:tab w:val="left" w:pos="1729"/>
        </w:tabs>
        <w:spacing w:before="0" w:after="0" w:line="240" w:lineRule="auto"/>
        <w:ind w:left="1729" w:right="0" w:hanging="521"/>
        <w:jc w:val="left"/>
        <w:rPr>
          <w:color w:val="auto"/>
          <w:sz w:val="21"/>
        </w:rPr>
      </w:pPr>
      <w:r>
        <w:rPr>
          <w:color w:val="auto"/>
          <w:spacing w:val="-3"/>
          <w:sz w:val="21"/>
        </w:rPr>
        <w:t>对采购过程提出质疑的，为各采购程序环节结束之日；</w:t>
      </w:r>
    </w:p>
    <w:p w14:paraId="149AC017">
      <w:pPr>
        <w:pStyle w:val="21"/>
        <w:numPr>
          <w:ilvl w:val="0"/>
          <w:numId w:val="20"/>
        </w:numPr>
        <w:tabs>
          <w:tab w:val="left" w:pos="1729"/>
        </w:tabs>
        <w:spacing w:before="164" w:after="0" w:line="240" w:lineRule="auto"/>
        <w:ind w:left="1729" w:right="0" w:hanging="521"/>
        <w:jc w:val="left"/>
        <w:rPr>
          <w:color w:val="auto"/>
          <w:sz w:val="21"/>
        </w:rPr>
      </w:pPr>
      <w:r>
        <w:rPr>
          <w:color w:val="auto"/>
          <w:spacing w:val="-3"/>
          <w:sz w:val="21"/>
        </w:rPr>
        <w:t>对成交结果提出质疑的，为成交结果公告期限届满之日。</w:t>
      </w:r>
    </w:p>
    <w:p w14:paraId="687DA91B">
      <w:pPr>
        <w:pStyle w:val="21"/>
        <w:numPr>
          <w:ilvl w:val="1"/>
          <w:numId w:val="11"/>
        </w:numPr>
        <w:tabs>
          <w:tab w:val="left" w:pos="1682"/>
        </w:tabs>
        <w:spacing w:before="167" w:after="0" w:line="386" w:lineRule="auto"/>
        <w:ind w:left="788" w:right="788" w:firstLine="420"/>
        <w:jc w:val="both"/>
        <w:rPr>
          <w:color w:val="auto"/>
          <w:sz w:val="21"/>
        </w:rPr>
      </w:pPr>
      <w:r>
        <w:rPr>
          <w:color w:val="auto"/>
          <w:spacing w:val="1"/>
          <w:w w:val="99"/>
          <w:sz w:val="21"/>
        </w:rPr>
        <w:t>供应商提出的询问或者质疑超出采购人对采购代理机构委托授权范围的，采购代理机</w:t>
      </w:r>
      <w:r>
        <w:rPr>
          <w:color w:val="auto"/>
          <w:spacing w:val="3"/>
          <w:w w:val="99"/>
          <w:sz w:val="21"/>
        </w:rPr>
        <w:t>构应当告知供应商向采购人提出。政府采购评审专家应当配合采购人或者采购代理机构答复供</w:t>
      </w:r>
      <w:r>
        <w:rPr>
          <w:color w:val="auto"/>
          <w:spacing w:val="-1"/>
          <w:w w:val="99"/>
          <w:sz w:val="21"/>
        </w:rPr>
        <w:t>应商的询问和质疑。</w:t>
      </w:r>
    </w:p>
    <w:p w14:paraId="690011CF">
      <w:pPr>
        <w:pStyle w:val="21"/>
        <w:numPr>
          <w:ilvl w:val="1"/>
          <w:numId w:val="11"/>
        </w:numPr>
        <w:tabs>
          <w:tab w:val="left" w:pos="1732"/>
        </w:tabs>
        <w:spacing w:before="1" w:after="0" w:line="388" w:lineRule="auto"/>
        <w:ind w:left="788" w:right="791" w:firstLine="420"/>
        <w:jc w:val="both"/>
        <w:rPr>
          <w:color w:val="auto"/>
          <w:sz w:val="21"/>
        </w:rPr>
      </w:pPr>
      <w:r>
        <w:rPr>
          <w:color w:val="auto"/>
          <w:spacing w:val="-2"/>
          <w:sz w:val="21"/>
        </w:rPr>
        <w:t>供应商提出质疑应当提交质疑函和必要的证明材料，针对同一采购程序环节的质疑必须在法定质疑期内一次性提出。质疑函应当包括下列内容（质疑函格式后附）：</w:t>
      </w:r>
    </w:p>
    <w:p w14:paraId="32FD4B78">
      <w:pPr>
        <w:pStyle w:val="21"/>
        <w:numPr>
          <w:ilvl w:val="0"/>
          <w:numId w:val="21"/>
        </w:numPr>
        <w:tabs>
          <w:tab w:val="left" w:pos="1729"/>
        </w:tabs>
        <w:spacing w:before="0" w:after="0" w:line="269" w:lineRule="exact"/>
        <w:ind w:left="1729" w:right="0" w:hanging="521"/>
        <w:jc w:val="left"/>
        <w:rPr>
          <w:color w:val="auto"/>
          <w:sz w:val="21"/>
        </w:rPr>
      </w:pPr>
      <w:r>
        <w:rPr>
          <w:color w:val="auto"/>
          <w:spacing w:val="-3"/>
          <w:sz w:val="21"/>
        </w:rPr>
        <w:t>供应商的姓名或者名称、地址、邮编、联系人及联系电话；</w:t>
      </w:r>
    </w:p>
    <w:p w14:paraId="76E61E51">
      <w:pPr>
        <w:pStyle w:val="21"/>
        <w:numPr>
          <w:ilvl w:val="0"/>
          <w:numId w:val="21"/>
        </w:numPr>
        <w:tabs>
          <w:tab w:val="left" w:pos="1729"/>
        </w:tabs>
        <w:spacing w:before="166" w:after="0" w:line="240" w:lineRule="auto"/>
        <w:ind w:left="1729" w:right="0" w:hanging="521"/>
        <w:jc w:val="left"/>
        <w:rPr>
          <w:color w:val="auto"/>
          <w:sz w:val="21"/>
        </w:rPr>
      </w:pPr>
      <w:r>
        <w:rPr>
          <w:color w:val="auto"/>
          <w:spacing w:val="-3"/>
          <w:sz w:val="21"/>
        </w:rPr>
        <w:t>质疑项目的名称、编号；</w:t>
      </w:r>
    </w:p>
    <w:p w14:paraId="78E6EC8B">
      <w:pPr>
        <w:pStyle w:val="21"/>
        <w:numPr>
          <w:ilvl w:val="0"/>
          <w:numId w:val="21"/>
        </w:numPr>
        <w:tabs>
          <w:tab w:val="left" w:pos="1729"/>
        </w:tabs>
        <w:spacing w:before="169" w:after="0" w:line="240" w:lineRule="auto"/>
        <w:ind w:left="1729" w:right="0" w:hanging="521"/>
        <w:jc w:val="left"/>
        <w:rPr>
          <w:color w:val="auto"/>
          <w:sz w:val="21"/>
        </w:rPr>
      </w:pPr>
      <w:r>
        <w:rPr>
          <w:color w:val="auto"/>
          <w:spacing w:val="-3"/>
          <w:sz w:val="21"/>
        </w:rPr>
        <w:t>具体、明确的质疑事项和与质疑事项相关的请求；</w:t>
      </w:r>
    </w:p>
    <w:p w14:paraId="776C485F">
      <w:pPr>
        <w:pStyle w:val="21"/>
        <w:numPr>
          <w:ilvl w:val="0"/>
          <w:numId w:val="21"/>
        </w:numPr>
        <w:tabs>
          <w:tab w:val="left" w:pos="1729"/>
        </w:tabs>
        <w:spacing w:before="166" w:after="0" w:line="240" w:lineRule="auto"/>
        <w:ind w:left="1729" w:right="0" w:hanging="521"/>
        <w:jc w:val="left"/>
        <w:rPr>
          <w:color w:val="auto"/>
          <w:sz w:val="21"/>
        </w:rPr>
      </w:pPr>
      <w:r>
        <w:rPr>
          <w:color w:val="auto"/>
          <w:spacing w:val="-4"/>
          <w:sz w:val="21"/>
        </w:rPr>
        <w:t>事实依据；</w:t>
      </w:r>
    </w:p>
    <w:p w14:paraId="47ADFCD6">
      <w:pPr>
        <w:pStyle w:val="21"/>
        <w:numPr>
          <w:ilvl w:val="0"/>
          <w:numId w:val="21"/>
        </w:numPr>
        <w:tabs>
          <w:tab w:val="left" w:pos="1729"/>
        </w:tabs>
        <w:spacing w:before="166" w:after="0" w:line="240" w:lineRule="auto"/>
        <w:ind w:left="1729" w:right="0" w:hanging="521"/>
        <w:jc w:val="left"/>
        <w:rPr>
          <w:color w:val="auto"/>
          <w:sz w:val="21"/>
        </w:rPr>
      </w:pPr>
      <w:r>
        <w:rPr>
          <w:color w:val="auto"/>
          <w:spacing w:val="-4"/>
          <w:sz w:val="21"/>
        </w:rPr>
        <w:t>必要的法律依据；</w:t>
      </w:r>
    </w:p>
    <w:p w14:paraId="0D990A50">
      <w:pPr>
        <w:pStyle w:val="21"/>
        <w:numPr>
          <w:ilvl w:val="0"/>
          <w:numId w:val="21"/>
        </w:numPr>
        <w:tabs>
          <w:tab w:val="left" w:pos="1729"/>
        </w:tabs>
        <w:spacing w:before="169" w:after="0" w:line="240" w:lineRule="auto"/>
        <w:ind w:left="1729" w:right="0" w:hanging="521"/>
        <w:jc w:val="left"/>
        <w:rPr>
          <w:color w:val="auto"/>
          <w:sz w:val="21"/>
        </w:rPr>
      </w:pPr>
      <w:r>
        <w:rPr>
          <w:color w:val="auto"/>
          <w:spacing w:val="-4"/>
          <w:sz w:val="21"/>
        </w:rPr>
        <w:t>提出质疑的日期。</w:t>
      </w:r>
    </w:p>
    <w:p w14:paraId="41204FCE">
      <w:pPr>
        <w:pStyle w:val="12"/>
        <w:spacing w:before="166" w:line="386" w:lineRule="auto"/>
        <w:ind w:right="757" w:firstLine="420"/>
        <w:rPr>
          <w:color w:val="auto"/>
        </w:rPr>
      </w:pPr>
      <w:r>
        <w:rPr>
          <w:color w:val="auto"/>
          <w:spacing w:val="-2"/>
        </w:rPr>
        <w:t>供应商为自然人的，应当由本人签字；供应商为法人或者其他组织的，应当由法定代表人、主要负责人，或者其委托代理人签字或者盖章，并加盖公章。</w:t>
      </w:r>
    </w:p>
    <w:p w14:paraId="2653BC8F">
      <w:pPr>
        <w:pStyle w:val="21"/>
        <w:numPr>
          <w:ilvl w:val="1"/>
          <w:numId w:val="11"/>
        </w:numPr>
        <w:tabs>
          <w:tab w:val="left" w:pos="1677"/>
        </w:tabs>
        <w:spacing w:before="2" w:after="0" w:line="386" w:lineRule="auto"/>
        <w:ind w:left="788" w:right="707" w:firstLine="420"/>
        <w:jc w:val="left"/>
        <w:rPr>
          <w:color w:val="auto"/>
          <w:sz w:val="21"/>
        </w:rPr>
      </w:pPr>
      <w:r>
        <w:rPr>
          <w:color w:val="auto"/>
          <w:spacing w:val="-2"/>
          <w:sz w:val="21"/>
        </w:rPr>
        <w:t>采购人、采购代理机构认为供应商质疑不成立，或者成立但未对成交结果构成影响的，继续开展采购活动；认为供应商质疑成立且影响或者可能影响成交结果的，按照下列情况处理：</w:t>
      </w:r>
    </w:p>
    <w:p w14:paraId="60D0D4A7">
      <w:pPr>
        <w:pStyle w:val="12"/>
        <w:spacing w:before="0" w:line="388" w:lineRule="auto"/>
        <w:ind w:right="788" w:firstLine="420"/>
        <w:rPr>
          <w:color w:val="auto"/>
        </w:rPr>
      </w:pPr>
      <w:r>
        <w:rPr>
          <w:color w:val="auto"/>
          <w:spacing w:val="4"/>
          <w:w w:val="99"/>
        </w:rPr>
        <w:t>（</w:t>
      </w:r>
      <w:r>
        <w:rPr>
          <w:color w:val="auto"/>
          <w:spacing w:val="7"/>
          <w:w w:val="99"/>
        </w:rPr>
        <w:t>一</w:t>
      </w:r>
      <w:r>
        <w:rPr>
          <w:color w:val="auto"/>
          <w:spacing w:val="4"/>
          <w:w w:val="99"/>
        </w:rPr>
        <w:t>）</w:t>
      </w:r>
      <w:r>
        <w:rPr>
          <w:color w:val="auto"/>
          <w:spacing w:val="3"/>
          <w:w w:val="99"/>
        </w:rPr>
        <w:t>对采购文件提出的质疑，依法通过澄清或者修改可以继续开展采购活动的，澄清或</w:t>
      </w:r>
      <w:r>
        <w:rPr>
          <w:color w:val="auto"/>
          <w:spacing w:val="-1"/>
          <w:w w:val="99"/>
        </w:rPr>
        <w:t>者修改采购文件后继续开展采购活动；否则应当修改采购文件后重新开展采购活动。</w:t>
      </w:r>
    </w:p>
    <w:p w14:paraId="33361E0C">
      <w:pPr>
        <w:pStyle w:val="12"/>
        <w:spacing w:before="0" w:line="386" w:lineRule="auto"/>
        <w:ind w:right="788" w:firstLine="420"/>
        <w:jc w:val="both"/>
        <w:rPr>
          <w:color w:val="auto"/>
        </w:rPr>
      </w:pPr>
      <w:r>
        <w:rPr>
          <w:color w:val="auto"/>
          <w:spacing w:val="4"/>
          <w:w w:val="99"/>
        </w:rPr>
        <w:t>（</w:t>
      </w:r>
      <w:r>
        <w:rPr>
          <w:color w:val="auto"/>
          <w:spacing w:val="7"/>
          <w:w w:val="99"/>
        </w:rPr>
        <w:t>二</w:t>
      </w:r>
      <w:r>
        <w:rPr>
          <w:color w:val="auto"/>
          <w:spacing w:val="4"/>
          <w:w w:val="99"/>
        </w:rPr>
        <w:t>）</w:t>
      </w:r>
      <w:r>
        <w:rPr>
          <w:color w:val="auto"/>
          <w:spacing w:val="3"/>
          <w:w w:val="99"/>
        </w:rPr>
        <w:t>对采购过程或者成交结果提出的质疑，合格供应商符合法定数量时，可以从合格的成交候选人中另行确定成交供应商的，应当依法另行确定成交供应商；否则应当重新开展采购</w:t>
      </w:r>
      <w:r>
        <w:rPr>
          <w:color w:val="auto"/>
          <w:w w:val="99"/>
        </w:rPr>
        <w:t>活动。</w:t>
      </w:r>
    </w:p>
    <w:p w14:paraId="0CB7B19D">
      <w:pPr>
        <w:pStyle w:val="12"/>
        <w:spacing w:before="0" w:line="386" w:lineRule="auto"/>
        <w:ind w:right="788" w:firstLine="420"/>
        <w:rPr>
          <w:color w:val="auto"/>
        </w:rPr>
      </w:pPr>
      <w:r>
        <w:rPr>
          <w:color w:val="auto"/>
          <w:spacing w:val="3"/>
          <w:w w:val="99"/>
        </w:rPr>
        <w:t>质疑答复导致成交结果改变的，采购人或者采购代理机构应当将有关情况书面报告本级财</w:t>
      </w:r>
      <w:r>
        <w:rPr>
          <w:color w:val="auto"/>
          <w:spacing w:val="-1"/>
          <w:w w:val="99"/>
        </w:rPr>
        <w:t>政部门。</w:t>
      </w:r>
    </w:p>
    <w:p w14:paraId="76F937D9">
      <w:pPr>
        <w:pStyle w:val="21"/>
        <w:numPr>
          <w:ilvl w:val="1"/>
          <w:numId w:val="11"/>
        </w:numPr>
        <w:tabs>
          <w:tab w:val="left" w:pos="1682"/>
        </w:tabs>
        <w:spacing w:before="0" w:after="0" w:line="240" w:lineRule="auto"/>
        <w:ind w:left="1682" w:right="0" w:hanging="474"/>
        <w:jc w:val="left"/>
        <w:rPr>
          <w:color w:val="auto"/>
          <w:sz w:val="21"/>
        </w:rPr>
      </w:pPr>
      <w:r>
        <w:rPr>
          <w:color w:val="auto"/>
          <w:spacing w:val="-1"/>
          <w:sz w:val="21"/>
        </w:rPr>
        <w:t>质疑供应商对采购人、采购代理机构的答复不满意，或者采购人、采购代理机构未在</w:t>
      </w:r>
    </w:p>
    <w:p w14:paraId="407FC501">
      <w:pPr>
        <w:pStyle w:val="12"/>
        <w:spacing w:before="165"/>
        <w:rPr>
          <w:color w:val="auto"/>
        </w:rPr>
      </w:pPr>
      <w:r>
        <w:rPr>
          <w:color w:val="auto"/>
          <w:spacing w:val="-3"/>
        </w:rPr>
        <w:t xml:space="preserve">规定时间内作出答复的，可以在答复期满后 </w:t>
      </w:r>
      <w:r>
        <w:rPr>
          <w:color w:val="auto"/>
        </w:rPr>
        <w:t>15</w:t>
      </w:r>
      <w:r>
        <w:rPr>
          <w:color w:val="auto"/>
          <w:spacing w:val="-7"/>
        </w:rPr>
        <w:t xml:space="preserve"> 个工作日内向《政府采购质疑和投诉办法》</w:t>
      </w:r>
      <w:r>
        <w:rPr>
          <w:color w:val="auto"/>
        </w:rPr>
        <w:t>（</w:t>
      </w:r>
      <w:r>
        <w:rPr>
          <w:color w:val="auto"/>
          <w:spacing w:val="-10"/>
        </w:rPr>
        <w:t>财</w:t>
      </w:r>
    </w:p>
    <w:p w14:paraId="4FD12159">
      <w:pPr>
        <w:pStyle w:val="12"/>
        <w:spacing w:before="166"/>
        <w:rPr>
          <w:color w:val="auto"/>
        </w:rPr>
      </w:pPr>
      <w:r>
        <w:rPr>
          <w:color w:val="auto"/>
          <w:spacing w:val="-12"/>
        </w:rPr>
        <w:t xml:space="preserve">政部令第 </w:t>
      </w:r>
      <w:r>
        <w:rPr>
          <w:color w:val="auto"/>
          <w:spacing w:val="-2"/>
        </w:rPr>
        <w:t>94</w:t>
      </w:r>
      <w:r>
        <w:rPr>
          <w:color w:val="auto"/>
          <w:spacing w:val="-24"/>
        </w:rPr>
        <w:t xml:space="preserve"> 号</w:t>
      </w:r>
      <w:r>
        <w:rPr>
          <w:color w:val="auto"/>
          <w:spacing w:val="-2"/>
        </w:rPr>
        <w:t>）第六条规定的财政部门提起投诉（投诉书格式后附）</w:t>
      </w:r>
      <w:r>
        <w:rPr>
          <w:color w:val="auto"/>
          <w:spacing w:val="-10"/>
        </w:rPr>
        <w:t>。</w:t>
      </w:r>
    </w:p>
    <w:p w14:paraId="4DBCB09B">
      <w:pPr>
        <w:spacing w:after="0"/>
        <w:rPr>
          <w:color w:val="auto"/>
        </w:rPr>
        <w:sectPr>
          <w:pgSz w:w="11910" w:h="16840"/>
          <w:pgMar w:top="1520" w:right="740" w:bottom="1180" w:left="800" w:header="0" w:footer="989" w:gutter="0"/>
          <w:cols w:space="720" w:num="1"/>
        </w:sectPr>
      </w:pPr>
    </w:p>
    <w:p w14:paraId="7AAB69EC">
      <w:pPr>
        <w:pStyle w:val="10"/>
        <w:numPr>
          <w:ilvl w:val="0"/>
          <w:numId w:val="11"/>
        </w:numPr>
        <w:tabs>
          <w:tab w:val="left" w:pos="1631"/>
        </w:tabs>
        <w:spacing w:before="51" w:after="0" w:line="240" w:lineRule="auto"/>
        <w:ind w:left="1631" w:right="0" w:hanging="363"/>
        <w:jc w:val="left"/>
        <w:rPr>
          <w:rFonts w:hint="eastAsia" w:ascii="黑体" w:eastAsia="黑体"/>
          <w:color w:val="auto"/>
        </w:rPr>
      </w:pPr>
      <w:r>
        <w:rPr>
          <w:rFonts w:hint="eastAsia" w:ascii="黑体" w:eastAsia="黑体"/>
          <w:color w:val="auto"/>
          <w:spacing w:val="-3"/>
        </w:rPr>
        <w:t>其他内容</w:t>
      </w:r>
    </w:p>
    <w:p w14:paraId="3397AD98">
      <w:pPr>
        <w:pStyle w:val="21"/>
        <w:numPr>
          <w:ilvl w:val="1"/>
          <w:numId w:val="11"/>
        </w:numPr>
        <w:tabs>
          <w:tab w:val="left" w:pos="1682"/>
        </w:tabs>
        <w:spacing w:before="158" w:after="0" w:line="386" w:lineRule="auto"/>
        <w:ind w:left="788" w:right="791" w:firstLine="420"/>
        <w:jc w:val="both"/>
        <w:rPr>
          <w:color w:val="auto"/>
          <w:sz w:val="21"/>
        </w:rPr>
      </w:pPr>
      <w:r>
        <w:rPr>
          <w:color w:val="auto"/>
          <w:spacing w:val="-2"/>
          <w:sz w:val="21"/>
        </w:rPr>
        <w:t>代理服务费收取标准及缴费账户详见“供应商须知前附表”，供应商为联合体的，可以由联合体中的一方或者多方共同交纳代理服务费。</w:t>
      </w:r>
    </w:p>
    <w:p w14:paraId="04DE1E9D">
      <w:pPr>
        <w:pStyle w:val="10"/>
        <w:numPr>
          <w:ilvl w:val="0"/>
          <w:numId w:val="11"/>
        </w:numPr>
        <w:tabs>
          <w:tab w:val="left" w:pos="1631"/>
        </w:tabs>
        <w:spacing w:before="0" w:after="0" w:line="283" w:lineRule="exact"/>
        <w:ind w:left="1631" w:right="0" w:hanging="363"/>
        <w:jc w:val="left"/>
        <w:rPr>
          <w:rFonts w:hint="eastAsia" w:ascii="黑体" w:eastAsia="黑体"/>
          <w:color w:val="auto"/>
        </w:rPr>
      </w:pPr>
      <w:r>
        <w:rPr>
          <w:rFonts w:hint="eastAsia" w:ascii="黑体" w:eastAsia="黑体"/>
          <w:color w:val="auto"/>
          <w:spacing w:val="-2"/>
        </w:rPr>
        <w:t>需要补充的其他内容</w:t>
      </w:r>
    </w:p>
    <w:p w14:paraId="38B6DB8A">
      <w:pPr>
        <w:pStyle w:val="21"/>
        <w:numPr>
          <w:ilvl w:val="1"/>
          <w:numId w:val="11"/>
        </w:numPr>
        <w:tabs>
          <w:tab w:val="left" w:pos="1677"/>
        </w:tabs>
        <w:spacing w:before="158" w:after="0" w:line="240" w:lineRule="auto"/>
        <w:ind w:left="1677" w:right="0" w:hanging="469"/>
        <w:jc w:val="both"/>
        <w:rPr>
          <w:color w:val="auto"/>
          <w:sz w:val="21"/>
        </w:rPr>
      </w:pPr>
      <w:r>
        <w:rPr>
          <w:color w:val="auto"/>
          <w:spacing w:val="-3"/>
          <w:sz w:val="21"/>
        </w:rPr>
        <w:t>本磋商文件解释规则详见“供应商须知前附表”。</w:t>
      </w:r>
    </w:p>
    <w:p w14:paraId="59F70104">
      <w:pPr>
        <w:pStyle w:val="21"/>
        <w:numPr>
          <w:ilvl w:val="1"/>
          <w:numId w:val="11"/>
        </w:numPr>
        <w:tabs>
          <w:tab w:val="left" w:pos="1677"/>
        </w:tabs>
        <w:spacing w:before="166" w:after="0" w:line="240" w:lineRule="auto"/>
        <w:ind w:left="1677" w:right="0" w:hanging="469"/>
        <w:jc w:val="both"/>
        <w:rPr>
          <w:color w:val="auto"/>
          <w:sz w:val="21"/>
        </w:rPr>
      </w:pPr>
      <w:r>
        <w:rPr>
          <w:color w:val="auto"/>
          <w:spacing w:val="-3"/>
          <w:sz w:val="21"/>
        </w:rPr>
        <w:t>农民工工资保证金见“供应商须知前附表”。</w:t>
      </w:r>
    </w:p>
    <w:p w14:paraId="17B5C2F1">
      <w:pPr>
        <w:pStyle w:val="21"/>
        <w:numPr>
          <w:ilvl w:val="1"/>
          <w:numId w:val="11"/>
        </w:numPr>
        <w:tabs>
          <w:tab w:val="left" w:pos="1730"/>
        </w:tabs>
        <w:spacing w:before="166" w:after="0" w:line="240" w:lineRule="auto"/>
        <w:ind w:left="1730" w:right="0" w:hanging="522"/>
        <w:jc w:val="both"/>
        <w:rPr>
          <w:color w:val="auto"/>
          <w:sz w:val="21"/>
        </w:rPr>
      </w:pPr>
      <w:r>
        <w:rPr>
          <w:color w:val="auto"/>
          <w:spacing w:val="-3"/>
          <w:sz w:val="21"/>
        </w:rPr>
        <w:t>其他事项详见“供应商须知前附表”。</w:t>
      </w:r>
    </w:p>
    <w:p w14:paraId="2A7E3F80">
      <w:pPr>
        <w:pStyle w:val="21"/>
        <w:numPr>
          <w:ilvl w:val="1"/>
          <w:numId w:val="11"/>
        </w:numPr>
        <w:tabs>
          <w:tab w:val="left" w:pos="1682"/>
        </w:tabs>
        <w:spacing w:before="169" w:after="0" w:line="386" w:lineRule="auto"/>
        <w:ind w:left="788" w:right="788" w:firstLine="420"/>
        <w:jc w:val="both"/>
        <w:rPr>
          <w:color w:val="auto"/>
          <w:sz w:val="21"/>
        </w:rPr>
      </w:pPr>
      <w:r>
        <w:rPr>
          <w:color w:val="auto"/>
          <w:spacing w:val="1"/>
          <w:w w:val="99"/>
          <w:sz w:val="21"/>
        </w:rPr>
        <w:t>本磋商文件所称中小企业，是指在中华人民共和国境内依法设立，依据国务院批准的</w:t>
      </w:r>
      <w:r>
        <w:rPr>
          <w:color w:val="auto"/>
          <w:spacing w:val="3"/>
          <w:w w:val="99"/>
          <w:sz w:val="21"/>
        </w:rPr>
        <w:t>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w:t>
      </w:r>
      <w:r>
        <w:rPr>
          <w:color w:val="auto"/>
          <w:spacing w:val="-1"/>
          <w:w w:val="99"/>
          <w:sz w:val="21"/>
        </w:rPr>
        <w:t>的，享受本磋商文件规定的中小企业扶持政策：</w:t>
      </w:r>
    </w:p>
    <w:p w14:paraId="27E01807">
      <w:pPr>
        <w:pStyle w:val="21"/>
        <w:numPr>
          <w:ilvl w:val="0"/>
          <w:numId w:val="22"/>
        </w:numPr>
        <w:tabs>
          <w:tab w:val="left" w:pos="1735"/>
        </w:tabs>
        <w:spacing w:before="0" w:after="0" w:line="388" w:lineRule="auto"/>
        <w:ind w:left="788" w:right="791" w:firstLine="420"/>
        <w:jc w:val="left"/>
        <w:rPr>
          <w:color w:val="auto"/>
          <w:sz w:val="21"/>
        </w:rPr>
      </w:pPr>
      <w:r>
        <w:rPr>
          <w:color w:val="auto"/>
          <w:spacing w:val="-2"/>
          <w:sz w:val="21"/>
        </w:rPr>
        <w:t>在货物采购项目中，货物由中小企业制造，即货物由中小企业生产且使用该中小企业商号或者注册商标，不对其中涉及的工程承建商和服务的承接商作出要求；</w:t>
      </w:r>
    </w:p>
    <w:p w14:paraId="33333381">
      <w:pPr>
        <w:pStyle w:val="21"/>
        <w:numPr>
          <w:ilvl w:val="0"/>
          <w:numId w:val="22"/>
        </w:numPr>
        <w:tabs>
          <w:tab w:val="left" w:pos="1735"/>
        </w:tabs>
        <w:spacing w:before="0" w:after="0" w:line="386" w:lineRule="auto"/>
        <w:ind w:left="788" w:right="791" w:firstLine="420"/>
        <w:jc w:val="left"/>
        <w:rPr>
          <w:color w:val="auto"/>
          <w:sz w:val="21"/>
        </w:rPr>
      </w:pPr>
      <w:r>
        <w:rPr>
          <w:color w:val="auto"/>
          <w:spacing w:val="-2"/>
          <w:sz w:val="21"/>
        </w:rPr>
        <w:t>在工程采购项目中，工程由中小企业承建，即工程施工单位为中小企业，不对其中涉及的货物的制造商和服务的承接商作出要求；</w:t>
      </w:r>
    </w:p>
    <w:p w14:paraId="13FC2FC9">
      <w:pPr>
        <w:pStyle w:val="21"/>
        <w:numPr>
          <w:ilvl w:val="0"/>
          <w:numId w:val="22"/>
        </w:numPr>
        <w:tabs>
          <w:tab w:val="left" w:pos="1735"/>
        </w:tabs>
        <w:spacing w:before="0" w:after="0" w:line="386" w:lineRule="auto"/>
        <w:ind w:left="788" w:right="788" w:firstLine="420"/>
        <w:jc w:val="both"/>
        <w:rPr>
          <w:color w:val="auto"/>
          <w:sz w:val="21"/>
        </w:rPr>
      </w:pPr>
      <w:r>
        <w:rPr>
          <w:color w:val="auto"/>
          <w:spacing w:val="1"/>
          <w:w w:val="99"/>
          <w:sz w:val="21"/>
        </w:rPr>
        <w:t>在服务采购项目中，服务由中小企业承接，即提供服务的人员为中小企业依照《中华</w:t>
      </w:r>
      <w:r>
        <w:rPr>
          <w:color w:val="auto"/>
          <w:spacing w:val="3"/>
          <w:w w:val="99"/>
          <w:sz w:val="21"/>
        </w:rPr>
        <w:t>人民共和国劳动合同法》订立劳动合同的从业人员，不对其中涉及的货物的制造商和工程承建</w:t>
      </w:r>
      <w:r>
        <w:rPr>
          <w:color w:val="auto"/>
          <w:spacing w:val="-1"/>
          <w:w w:val="99"/>
          <w:sz w:val="21"/>
        </w:rPr>
        <w:t>商作出要求。</w:t>
      </w:r>
    </w:p>
    <w:p w14:paraId="4D56B90F">
      <w:pPr>
        <w:pStyle w:val="12"/>
        <w:spacing w:before="0" w:line="386" w:lineRule="auto"/>
        <w:ind w:right="757" w:firstLine="420"/>
        <w:jc w:val="both"/>
        <w:rPr>
          <w:color w:val="auto"/>
        </w:rPr>
      </w:pPr>
      <w:r>
        <w:rPr>
          <w:color w:val="auto"/>
          <w:spacing w:val="-1"/>
          <w:w w:val="99"/>
        </w:rPr>
        <w:t>在货物采购项目中，供应商提供的货物既有中小企业制造货物，也有大型企业制造货物的，</w:t>
      </w:r>
      <w:r>
        <w:rPr>
          <w:color w:val="auto"/>
          <w:spacing w:val="3"/>
          <w:w w:val="99"/>
        </w:rPr>
        <w:t>不享受本磋商文件规定的中小企业扶持政策。以联合体形式参加政府采购活动，联合体各方均为中小企业的，联合体视同中小企业。其中，联合体各方均为小微企业的，联合体视同小微企</w:t>
      </w:r>
      <w:r>
        <w:rPr>
          <w:color w:val="auto"/>
          <w:spacing w:val="-1"/>
          <w:w w:val="99"/>
        </w:rPr>
        <w:t>业。</w:t>
      </w:r>
    </w:p>
    <w:p w14:paraId="3879F3AD">
      <w:pPr>
        <w:pStyle w:val="12"/>
        <w:spacing w:before="1" w:line="386" w:lineRule="auto"/>
        <w:ind w:right="788" w:firstLine="420"/>
        <w:rPr>
          <w:color w:val="auto"/>
        </w:rPr>
      </w:pPr>
      <w:r>
        <w:rPr>
          <w:color w:val="auto"/>
          <w:spacing w:val="3"/>
          <w:w w:val="99"/>
        </w:rPr>
        <w:t>依据本磋商文件规定享受扶持政策获得政府采购合同的，小微企业不得将合同分包给大中</w:t>
      </w:r>
      <w:r>
        <w:rPr>
          <w:color w:val="auto"/>
          <w:spacing w:val="-1"/>
          <w:w w:val="99"/>
        </w:rPr>
        <w:t>型企业，中型企业不得将合同分包给大型企业。</w:t>
      </w:r>
    </w:p>
    <w:p w14:paraId="1E49A60A">
      <w:pPr>
        <w:spacing w:after="0" w:line="386" w:lineRule="auto"/>
        <w:rPr>
          <w:color w:val="auto"/>
        </w:rPr>
        <w:sectPr>
          <w:pgSz w:w="11910" w:h="16840"/>
          <w:pgMar w:top="1480" w:right="740" w:bottom="1180" w:left="800" w:header="0" w:footer="989" w:gutter="0"/>
          <w:cols w:space="720" w:num="1"/>
        </w:sectPr>
      </w:pPr>
    </w:p>
    <w:p w14:paraId="12A1E40E">
      <w:pPr>
        <w:rPr>
          <w:color w:val="auto"/>
          <w:spacing w:val="-5"/>
        </w:rPr>
      </w:pPr>
      <w:bookmarkStart w:id="6" w:name="_bookmark2"/>
      <w:bookmarkEnd w:id="6"/>
      <w:bookmarkStart w:id="7" w:name="第三章 采购需求"/>
      <w:bookmarkEnd w:id="7"/>
      <w:r>
        <w:rPr>
          <w:color w:val="auto"/>
          <w:spacing w:val="-5"/>
        </w:rPr>
        <w:br w:type="page"/>
      </w:r>
    </w:p>
    <w:p w14:paraId="1807E71C">
      <w:pPr>
        <w:pStyle w:val="3"/>
        <w:spacing w:before="15"/>
        <w:rPr>
          <w:color w:val="auto"/>
        </w:rPr>
      </w:pPr>
      <w:r>
        <w:rPr>
          <w:color w:val="auto"/>
          <w:spacing w:val="-5"/>
        </w:rPr>
        <w:t>第三章 采购需求</w:t>
      </w:r>
    </w:p>
    <w:p w14:paraId="23642AAB">
      <w:pPr>
        <w:pStyle w:val="12"/>
        <w:spacing w:before="287"/>
        <w:rPr>
          <w:color w:val="auto"/>
        </w:rPr>
      </w:pPr>
      <w:r>
        <w:rPr>
          <w:color w:val="auto"/>
          <w:spacing w:val="-5"/>
        </w:rPr>
        <w:t>说明：</w:t>
      </w:r>
    </w:p>
    <w:p w14:paraId="754EC817">
      <w:pPr>
        <w:pStyle w:val="21"/>
        <w:numPr>
          <w:ilvl w:val="0"/>
          <w:numId w:val="23"/>
        </w:numPr>
        <w:tabs>
          <w:tab w:val="left" w:pos="1468"/>
        </w:tabs>
        <w:spacing w:before="135" w:after="0" w:line="240" w:lineRule="auto"/>
        <w:ind w:left="1468" w:right="0" w:hanging="260"/>
        <w:jc w:val="left"/>
        <w:rPr>
          <w:color w:val="auto"/>
          <w:sz w:val="21"/>
        </w:rPr>
      </w:pPr>
      <w:r>
        <w:rPr>
          <w:color w:val="auto"/>
          <w:spacing w:val="-3"/>
          <w:sz w:val="21"/>
        </w:rPr>
        <w:t>为落实政府采购政策需满足的要求</w:t>
      </w:r>
    </w:p>
    <w:p w14:paraId="629E2B74">
      <w:pPr>
        <w:pStyle w:val="12"/>
        <w:ind w:left="1211"/>
        <w:rPr>
          <w:color w:val="auto"/>
        </w:rPr>
      </w:pPr>
      <w:r>
        <w:rPr>
          <w:color w:val="auto"/>
          <w:spacing w:val="-2"/>
        </w:rPr>
        <w:t>本磋商文件所称中小企业必须符合《政府采购促进中小企业发展管理办法》（</w:t>
      </w:r>
      <w:r>
        <w:rPr>
          <w:color w:val="auto"/>
          <w:spacing w:val="-6"/>
        </w:rPr>
        <w:t>财库</w:t>
      </w:r>
    </w:p>
    <w:p w14:paraId="515F7F51">
      <w:pPr>
        <w:pStyle w:val="12"/>
        <w:spacing w:before="137"/>
        <w:rPr>
          <w:color w:val="auto"/>
        </w:rPr>
      </w:pPr>
      <w:r>
        <w:rPr>
          <w:color w:val="auto"/>
          <w:spacing w:val="-2"/>
        </w:rPr>
        <w:t>〔2020〕46</w:t>
      </w:r>
      <w:r>
        <w:rPr>
          <w:color w:val="auto"/>
          <w:spacing w:val="-25"/>
        </w:rPr>
        <w:t xml:space="preserve"> 号</w:t>
      </w:r>
      <w:r>
        <w:rPr>
          <w:color w:val="auto"/>
          <w:spacing w:val="-2"/>
        </w:rPr>
        <w:t>）</w:t>
      </w:r>
      <w:r>
        <w:rPr>
          <w:color w:val="auto"/>
          <w:spacing w:val="-4"/>
        </w:rPr>
        <w:t>的规定。</w:t>
      </w:r>
    </w:p>
    <w:p w14:paraId="679D7837">
      <w:pPr>
        <w:pStyle w:val="21"/>
        <w:numPr>
          <w:ilvl w:val="0"/>
          <w:numId w:val="23"/>
        </w:numPr>
        <w:tabs>
          <w:tab w:val="left" w:pos="1526"/>
        </w:tabs>
        <w:spacing w:before="135" w:after="0" w:line="357" w:lineRule="auto"/>
        <w:ind w:left="788" w:right="858" w:firstLine="422"/>
        <w:jc w:val="left"/>
        <w:rPr>
          <w:color w:val="auto"/>
          <w:sz w:val="21"/>
        </w:rPr>
      </w:pPr>
      <w:r>
        <w:rPr>
          <w:color w:val="auto"/>
          <w:spacing w:val="-2"/>
          <w:sz w:val="21"/>
        </w:rPr>
        <w:t>“实质性要求”是指采购需求中带“▲”的条款或者不能负偏离的条款或者已经指明不满足响应文件按无效处理的条款。</w:t>
      </w:r>
    </w:p>
    <w:p w14:paraId="2D0BCE9B">
      <w:pPr>
        <w:pStyle w:val="21"/>
        <w:numPr>
          <w:ilvl w:val="0"/>
          <w:numId w:val="23"/>
        </w:numPr>
        <w:tabs>
          <w:tab w:val="left" w:pos="1411"/>
        </w:tabs>
        <w:spacing w:before="5" w:after="0" w:line="357" w:lineRule="auto"/>
        <w:ind w:left="788" w:right="1182" w:firstLine="415"/>
        <w:jc w:val="left"/>
        <w:rPr>
          <w:color w:val="auto"/>
          <w:sz w:val="21"/>
        </w:rPr>
      </w:pPr>
      <w:r>
        <w:rPr>
          <w:color w:val="auto"/>
          <w:spacing w:val="-2"/>
          <w:sz w:val="21"/>
        </w:rPr>
        <w:t>供应商必须自行承担因其竞标产品侵犯他人知识产权或专利成果而产生的相应法律责</w:t>
      </w:r>
      <w:r>
        <w:rPr>
          <w:color w:val="auto"/>
          <w:spacing w:val="-6"/>
          <w:sz w:val="21"/>
        </w:rPr>
        <w:t>任。</w:t>
      </w:r>
    </w:p>
    <w:p w14:paraId="52C636D7">
      <w:pPr>
        <w:spacing w:before="2"/>
        <w:ind w:left="1204" w:right="0" w:firstLine="0"/>
        <w:jc w:val="left"/>
        <w:rPr>
          <w:color w:val="auto"/>
          <w:sz w:val="21"/>
        </w:rPr>
      </w:pPr>
      <w:r>
        <w:rPr>
          <w:b/>
          <w:color w:val="auto"/>
          <w:spacing w:val="-2"/>
          <w:sz w:val="21"/>
        </w:rPr>
        <w:t>采购预算：</w:t>
      </w:r>
      <w:r>
        <w:rPr>
          <w:rFonts w:hint="eastAsia"/>
          <w:color w:val="auto"/>
          <w:spacing w:val="-2"/>
          <w:sz w:val="21"/>
          <w:u w:val="single"/>
          <w:lang w:val="en-US" w:eastAsia="zh-CN"/>
        </w:rPr>
        <w:t>2032313.95</w:t>
      </w:r>
      <w:r>
        <w:rPr>
          <w:color w:val="auto"/>
          <w:spacing w:val="-23"/>
          <w:sz w:val="21"/>
          <w:u w:val="single"/>
        </w:rPr>
        <w:t xml:space="preserve"> 元</w:t>
      </w:r>
      <w:r>
        <w:rPr>
          <w:color w:val="auto"/>
          <w:spacing w:val="40"/>
          <w:sz w:val="21"/>
          <w:u w:val="single"/>
        </w:rPr>
        <w:t xml:space="preserve"> </w:t>
      </w:r>
    </w:p>
    <w:p w14:paraId="35C0A591">
      <w:pPr>
        <w:pStyle w:val="12"/>
        <w:spacing w:before="9" w:after="1"/>
        <w:ind w:left="0"/>
        <w:rPr>
          <w:color w:val="auto"/>
          <w:sz w:val="10"/>
        </w:rPr>
      </w:pPr>
    </w:p>
    <w:tbl>
      <w:tblPr>
        <w:tblStyle w:val="16"/>
        <w:tblW w:w="0" w:type="auto"/>
        <w:tblInd w:w="4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1134"/>
        <w:gridCol w:w="943"/>
        <w:gridCol w:w="758"/>
        <w:gridCol w:w="5529"/>
        <w:gridCol w:w="567"/>
      </w:tblGrid>
      <w:tr w14:paraId="3E90C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3" w:hRule="atLeast"/>
        </w:trPr>
        <w:tc>
          <w:tcPr>
            <w:tcW w:w="562" w:type="dxa"/>
          </w:tcPr>
          <w:p w14:paraId="78970EDB">
            <w:pPr>
              <w:pStyle w:val="22"/>
              <w:spacing w:before="13" w:line="380" w:lineRule="atLeast"/>
              <w:ind w:left="175" w:right="165"/>
              <w:rPr>
                <w:color w:val="auto"/>
                <w:sz w:val="21"/>
              </w:rPr>
            </w:pPr>
            <w:r>
              <w:rPr>
                <w:color w:val="auto"/>
                <w:spacing w:val="-10"/>
                <w:sz w:val="21"/>
              </w:rPr>
              <w:t>序号</w:t>
            </w:r>
          </w:p>
        </w:tc>
        <w:tc>
          <w:tcPr>
            <w:tcW w:w="1134" w:type="dxa"/>
          </w:tcPr>
          <w:p w14:paraId="0CF35B80">
            <w:pPr>
              <w:pStyle w:val="22"/>
              <w:spacing w:before="13" w:line="380" w:lineRule="atLeast"/>
              <w:ind w:left="355" w:right="348"/>
              <w:rPr>
                <w:color w:val="auto"/>
                <w:sz w:val="21"/>
              </w:rPr>
            </w:pPr>
            <w:r>
              <w:rPr>
                <w:color w:val="auto"/>
                <w:spacing w:val="-6"/>
                <w:sz w:val="21"/>
              </w:rPr>
              <w:t>标的</w:t>
            </w:r>
            <w:r>
              <w:rPr>
                <w:color w:val="auto"/>
                <w:spacing w:val="-8"/>
                <w:sz w:val="21"/>
              </w:rPr>
              <w:t>名称</w:t>
            </w:r>
          </w:p>
        </w:tc>
        <w:tc>
          <w:tcPr>
            <w:tcW w:w="943" w:type="dxa"/>
          </w:tcPr>
          <w:p w14:paraId="58BE66F1">
            <w:pPr>
              <w:pStyle w:val="22"/>
              <w:spacing w:before="13" w:line="380" w:lineRule="atLeast"/>
              <w:ind w:left="260" w:right="146" w:hanging="106"/>
              <w:rPr>
                <w:color w:val="auto"/>
                <w:sz w:val="21"/>
              </w:rPr>
            </w:pPr>
            <w:r>
              <w:rPr>
                <w:color w:val="auto"/>
                <w:spacing w:val="-4"/>
                <w:sz w:val="21"/>
              </w:rPr>
              <w:t>数量及</w:t>
            </w:r>
            <w:r>
              <w:rPr>
                <w:color w:val="auto"/>
                <w:spacing w:val="-6"/>
                <w:sz w:val="21"/>
              </w:rPr>
              <w:t>单位</w:t>
            </w:r>
          </w:p>
        </w:tc>
        <w:tc>
          <w:tcPr>
            <w:tcW w:w="758" w:type="dxa"/>
          </w:tcPr>
          <w:p w14:paraId="7F27024E">
            <w:pPr>
              <w:pStyle w:val="22"/>
              <w:spacing w:before="13" w:line="380" w:lineRule="atLeast"/>
              <w:ind w:left="169" w:right="158"/>
              <w:rPr>
                <w:color w:val="auto"/>
                <w:sz w:val="21"/>
              </w:rPr>
            </w:pPr>
            <w:r>
              <w:rPr>
                <w:color w:val="auto"/>
                <w:spacing w:val="-6"/>
                <w:sz w:val="21"/>
              </w:rPr>
              <w:t>所属</w:t>
            </w:r>
            <w:r>
              <w:rPr>
                <w:color w:val="auto"/>
                <w:spacing w:val="-8"/>
                <w:sz w:val="21"/>
              </w:rPr>
              <w:t>行业</w:t>
            </w:r>
          </w:p>
        </w:tc>
        <w:tc>
          <w:tcPr>
            <w:tcW w:w="5529" w:type="dxa"/>
          </w:tcPr>
          <w:p w14:paraId="4AAED606">
            <w:pPr>
              <w:pStyle w:val="22"/>
              <w:spacing w:before="89"/>
              <w:ind w:left="7"/>
              <w:jc w:val="center"/>
              <w:rPr>
                <w:color w:val="auto"/>
                <w:sz w:val="21"/>
              </w:rPr>
            </w:pPr>
            <w:r>
              <w:rPr>
                <w:color w:val="auto"/>
                <w:spacing w:val="-7"/>
                <w:sz w:val="21"/>
              </w:rPr>
              <w:t>技术要求</w:t>
            </w:r>
          </w:p>
        </w:tc>
        <w:tc>
          <w:tcPr>
            <w:tcW w:w="567" w:type="dxa"/>
          </w:tcPr>
          <w:p w14:paraId="55CE73C2">
            <w:pPr>
              <w:pStyle w:val="22"/>
              <w:spacing w:before="89"/>
              <w:ind w:left="177"/>
              <w:rPr>
                <w:color w:val="auto"/>
                <w:sz w:val="21"/>
              </w:rPr>
            </w:pPr>
            <w:r>
              <w:rPr>
                <w:color w:val="auto"/>
                <w:spacing w:val="-10"/>
                <w:sz w:val="21"/>
              </w:rPr>
              <w:t>备</w:t>
            </w:r>
          </w:p>
          <w:p w14:paraId="7EFCA547">
            <w:pPr>
              <w:pStyle w:val="22"/>
              <w:spacing w:before="106"/>
              <w:ind w:left="177"/>
              <w:rPr>
                <w:color w:val="auto"/>
                <w:sz w:val="21"/>
              </w:rPr>
            </w:pPr>
            <w:r>
              <w:rPr>
                <w:color w:val="auto"/>
                <w:spacing w:val="-10"/>
                <w:sz w:val="21"/>
              </w:rPr>
              <w:t>注</w:t>
            </w:r>
          </w:p>
        </w:tc>
      </w:tr>
      <w:tr w14:paraId="210A7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0" w:hRule="atLeast"/>
        </w:trPr>
        <w:tc>
          <w:tcPr>
            <w:tcW w:w="562" w:type="dxa"/>
          </w:tcPr>
          <w:p w14:paraId="5316A222">
            <w:pPr>
              <w:pStyle w:val="22"/>
              <w:rPr>
                <w:color w:val="auto"/>
                <w:sz w:val="21"/>
              </w:rPr>
            </w:pPr>
          </w:p>
          <w:p w14:paraId="3F43C8B0">
            <w:pPr>
              <w:pStyle w:val="22"/>
              <w:rPr>
                <w:color w:val="auto"/>
                <w:sz w:val="21"/>
              </w:rPr>
            </w:pPr>
          </w:p>
          <w:p w14:paraId="3EA1E3A7">
            <w:pPr>
              <w:pStyle w:val="22"/>
              <w:rPr>
                <w:color w:val="auto"/>
                <w:sz w:val="21"/>
              </w:rPr>
            </w:pPr>
          </w:p>
          <w:p w14:paraId="515177EE">
            <w:pPr>
              <w:pStyle w:val="22"/>
              <w:rPr>
                <w:color w:val="auto"/>
                <w:sz w:val="21"/>
              </w:rPr>
            </w:pPr>
          </w:p>
          <w:p w14:paraId="5574B920">
            <w:pPr>
              <w:pStyle w:val="22"/>
              <w:spacing w:before="54"/>
              <w:rPr>
                <w:color w:val="auto"/>
                <w:sz w:val="21"/>
              </w:rPr>
            </w:pPr>
          </w:p>
          <w:p w14:paraId="5540B5F5">
            <w:pPr>
              <w:pStyle w:val="22"/>
              <w:spacing w:before="1"/>
              <w:ind w:left="10"/>
              <w:jc w:val="center"/>
              <w:rPr>
                <w:color w:val="auto"/>
                <w:sz w:val="21"/>
              </w:rPr>
            </w:pPr>
            <w:r>
              <w:rPr>
                <w:color w:val="auto"/>
                <w:spacing w:val="-10"/>
                <w:sz w:val="21"/>
              </w:rPr>
              <w:t>1</w:t>
            </w:r>
          </w:p>
        </w:tc>
        <w:tc>
          <w:tcPr>
            <w:tcW w:w="1134" w:type="dxa"/>
          </w:tcPr>
          <w:p w14:paraId="6974AA39">
            <w:pPr>
              <w:pStyle w:val="22"/>
              <w:rPr>
                <w:color w:val="auto"/>
                <w:sz w:val="21"/>
              </w:rPr>
            </w:pPr>
          </w:p>
          <w:p w14:paraId="1CAC9AD6">
            <w:pPr>
              <w:pStyle w:val="22"/>
              <w:spacing w:before="113"/>
              <w:rPr>
                <w:color w:val="auto"/>
                <w:sz w:val="21"/>
              </w:rPr>
            </w:pPr>
          </w:p>
          <w:p w14:paraId="730140ED">
            <w:pPr>
              <w:pStyle w:val="22"/>
              <w:spacing w:line="333" w:lineRule="auto"/>
              <w:ind w:left="146" w:right="137"/>
              <w:jc w:val="center"/>
              <w:rPr>
                <w:rFonts w:hint="eastAsia" w:eastAsia="宋体"/>
                <w:color w:val="auto"/>
                <w:sz w:val="21"/>
                <w:lang w:eastAsia="zh-CN"/>
              </w:rPr>
            </w:pPr>
            <w:r>
              <w:rPr>
                <w:rFonts w:hint="eastAsia"/>
                <w:color w:val="auto"/>
                <w:spacing w:val="-4"/>
                <w:sz w:val="21"/>
                <w:lang w:eastAsia="zh-CN"/>
              </w:rPr>
              <w:t>里当鸡现代化产业育种孵化厂配套设施项目</w:t>
            </w:r>
          </w:p>
        </w:tc>
        <w:tc>
          <w:tcPr>
            <w:tcW w:w="943" w:type="dxa"/>
          </w:tcPr>
          <w:p w14:paraId="72C5B78B">
            <w:pPr>
              <w:pStyle w:val="22"/>
              <w:rPr>
                <w:color w:val="auto"/>
                <w:sz w:val="21"/>
              </w:rPr>
            </w:pPr>
          </w:p>
          <w:p w14:paraId="35C50C2D">
            <w:pPr>
              <w:pStyle w:val="22"/>
              <w:rPr>
                <w:color w:val="auto"/>
                <w:sz w:val="21"/>
              </w:rPr>
            </w:pPr>
          </w:p>
          <w:p w14:paraId="6A55284B">
            <w:pPr>
              <w:pStyle w:val="22"/>
              <w:rPr>
                <w:color w:val="auto"/>
                <w:sz w:val="21"/>
              </w:rPr>
            </w:pPr>
          </w:p>
          <w:p w14:paraId="79D9BFEB">
            <w:pPr>
              <w:pStyle w:val="22"/>
              <w:rPr>
                <w:color w:val="auto"/>
                <w:sz w:val="21"/>
              </w:rPr>
            </w:pPr>
          </w:p>
          <w:p w14:paraId="38EF2119">
            <w:pPr>
              <w:pStyle w:val="22"/>
              <w:spacing w:before="54"/>
              <w:rPr>
                <w:color w:val="auto"/>
                <w:sz w:val="21"/>
              </w:rPr>
            </w:pPr>
          </w:p>
          <w:p w14:paraId="36F6BF6E">
            <w:pPr>
              <w:pStyle w:val="22"/>
              <w:spacing w:before="1"/>
              <w:ind w:left="287"/>
              <w:rPr>
                <w:color w:val="auto"/>
                <w:sz w:val="21"/>
              </w:rPr>
            </w:pPr>
            <w:r>
              <w:rPr>
                <w:color w:val="auto"/>
                <w:spacing w:val="-2"/>
                <w:sz w:val="21"/>
              </w:rPr>
              <w:t>1</w:t>
            </w:r>
            <w:r>
              <w:rPr>
                <w:color w:val="auto"/>
                <w:spacing w:val="-32"/>
                <w:sz w:val="21"/>
              </w:rPr>
              <w:t xml:space="preserve"> 项</w:t>
            </w:r>
          </w:p>
        </w:tc>
        <w:tc>
          <w:tcPr>
            <w:tcW w:w="758" w:type="dxa"/>
          </w:tcPr>
          <w:p w14:paraId="7002961B">
            <w:pPr>
              <w:pStyle w:val="22"/>
              <w:rPr>
                <w:color w:val="auto"/>
                <w:sz w:val="21"/>
              </w:rPr>
            </w:pPr>
          </w:p>
          <w:p w14:paraId="217935A9">
            <w:pPr>
              <w:pStyle w:val="22"/>
              <w:rPr>
                <w:color w:val="auto"/>
                <w:sz w:val="21"/>
              </w:rPr>
            </w:pPr>
          </w:p>
          <w:p w14:paraId="6F0DB409">
            <w:pPr>
              <w:pStyle w:val="22"/>
              <w:rPr>
                <w:color w:val="auto"/>
                <w:sz w:val="21"/>
              </w:rPr>
            </w:pPr>
          </w:p>
          <w:p w14:paraId="07AF0580">
            <w:pPr>
              <w:pStyle w:val="22"/>
              <w:spacing w:before="138"/>
              <w:rPr>
                <w:color w:val="auto"/>
                <w:sz w:val="21"/>
              </w:rPr>
            </w:pPr>
          </w:p>
          <w:p w14:paraId="7F9B6DF6">
            <w:pPr>
              <w:pStyle w:val="22"/>
              <w:spacing w:line="333" w:lineRule="auto"/>
              <w:ind w:left="272" w:right="158" w:hanging="104"/>
              <w:rPr>
                <w:color w:val="auto"/>
                <w:sz w:val="21"/>
              </w:rPr>
            </w:pPr>
            <w:r>
              <w:rPr>
                <w:color w:val="auto"/>
                <w:spacing w:val="-6"/>
                <w:sz w:val="21"/>
              </w:rPr>
              <w:t>建筑</w:t>
            </w:r>
            <w:r>
              <w:rPr>
                <w:color w:val="auto"/>
                <w:spacing w:val="-10"/>
                <w:sz w:val="21"/>
              </w:rPr>
              <w:t>业</w:t>
            </w:r>
          </w:p>
        </w:tc>
        <w:tc>
          <w:tcPr>
            <w:tcW w:w="5529" w:type="dxa"/>
          </w:tcPr>
          <w:p w14:paraId="6DF2DE90">
            <w:pPr>
              <w:pStyle w:val="22"/>
              <w:spacing w:line="380" w:lineRule="atLeast"/>
              <w:ind w:left="107" w:right="98"/>
              <w:rPr>
                <w:color w:val="auto"/>
                <w:sz w:val="21"/>
              </w:rPr>
            </w:pPr>
            <w:r>
              <w:rPr>
                <w:rFonts w:hint="eastAsia"/>
                <w:color w:val="auto"/>
                <w:sz w:val="21"/>
              </w:rPr>
              <w:t>建设混凝土路面1600平方米及排水等;二层门式刚架轻钢结构3517平方米孵化厂房的电气、给排水等工程建设；建设一层门式刚架轻钢结构附属用房125平方米等，具体内容详见施工图纸及工程量清单。</w:t>
            </w:r>
          </w:p>
        </w:tc>
        <w:tc>
          <w:tcPr>
            <w:tcW w:w="567" w:type="dxa"/>
          </w:tcPr>
          <w:p w14:paraId="16D6A377">
            <w:pPr>
              <w:pStyle w:val="22"/>
              <w:rPr>
                <w:rFonts w:ascii="Times New Roman"/>
                <w:color w:val="auto"/>
                <w:sz w:val="20"/>
              </w:rPr>
            </w:pPr>
          </w:p>
        </w:tc>
      </w:tr>
      <w:tr w14:paraId="2F51A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9493" w:type="dxa"/>
            <w:gridSpan w:val="6"/>
          </w:tcPr>
          <w:p w14:paraId="4F6F37E3">
            <w:pPr>
              <w:pStyle w:val="22"/>
              <w:spacing w:before="88" w:line="272" w:lineRule="exact"/>
              <w:ind w:left="108"/>
              <w:rPr>
                <w:b/>
                <w:color w:val="auto"/>
                <w:sz w:val="21"/>
              </w:rPr>
            </w:pPr>
            <w:r>
              <w:rPr>
                <w:b/>
                <w:color w:val="auto"/>
                <w:spacing w:val="-4"/>
                <w:sz w:val="21"/>
              </w:rPr>
              <w:t>一、商务要求</w:t>
            </w:r>
          </w:p>
        </w:tc>
      </w:tr>
      <w:tr w14:paraId="519EB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0" w:hRule="atLeast"/>
        </w:trPr>
        <w:tc>
          <w:tcPr>
            <w:tcW w:w="1696" w:type="dxa"/>
            <w:gridSpan w:val="2"/>
          </w:tcPr>
          <w:p w14:paraId="4883D838">
            <w:pPr>
              <w:pStyle w:val="22"/>
              <w:spacing w:before="195"/>
              <w:rPr>
                <w:color w:val="auto"/>
                <w:sz w:val="21"/>
              </w:rPr>
            </w:pPr>
          </w:p>
          <w:p w14:paraId="5A77F09F">
            <w:pPr>
              <w:pStyle w:val="22"/>
              <w:ind w:left="427"/>
              <w:rPr>
                <w:color w:val="auto"/>
                <w:sz w:val="21"/>
              </w:rPr>
            </w:pPr>
            <w:r>
              <w:rPr>
                <w:color w:val="auto"/>
                <w:spacing w:val="-7"/>
                <w:sz w:val="21"/>
              </w:rPr>
              <w:t>计划工期</w:t>
            </w:r>
          </w:p>
        </w:tc>
        <w:tc>
          <w:tcPr>
            <w:tcW w:w="7797" w:type="dxa"/>
            <w:gridSpan w:val="4"/>
          </w:tcPr>
          <w:p w14:paraId="1F10617D">
            <w:pPr>
              <w:pStyle w:val="22"/>
              <w:spacing w:before="2" w:line="270" w:lineRule="exact"/>
              <w:ind w:left="107"/>
              <w:rPr>
                <w:color w:val="auto"/>
                <w:sz w:val="21"/>
              </w:rPr>
            </w:pPr>
          </w:p>
          <w:p w14:paraId="7C655C52">
            <w:pPr>
              <w:pStyle w:val="22"/>
              <w:spacing w:before="2" w:line="270" w:lineRule="exact"/>
              <w:ind w:left="107"/>
              <w:rPr>
                <w:color w:val="auto"/>
                <w:sz w:val="21"/>
              </w:rPr>
            </w:pPr>
            <w:r>
              <w:rPr>
                <w:color w:val="auto"/>
                <w:sz w:val="21"/>
              </w:rPr>
              <w:t>计划工期：</w:t>
            </w:r>
            <w:r>
              <w:rPr>
                <w:rFonts w:hint="eastAsia"/>
                <w:color w:val="auto"/>
                <w:sz w:val="21"/>
                <w:lang w:val="en-US" w:eastAsia="zh-CN"/>
              </w:rPr>
              <w:t>180</w:t>
            </w:r>
            <w:r>
              <w:rPr>
                <w:color w:val="auto"/>
                <w:spacing w:val="-22"/>
                <w:sz w:val="21"/>
              </w:rPr>
              <w:t xml:space="preserve"> 天</w:t>
            </w:r>
            <w:r>
              <w:rPr>
                <w:color w:val="auto"/>
                <w:sz w:val="21"/>
              </w:rPr>
              <w:t>（日历天）。</w:t>
            </w:r>
          </w:p>
        </w:tc>
      </w:tr>
      <w:tr w14:paraId="695BA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696" w:type="dxa"/>
            <w:gridSpan w:val="2"/>
            <w:vAlign w:val="center"/>
          </w:tcPr>
          <w:p w14:paraId="0CD401DE">
            <w:pPr>
              <w:keepNext w:val="0"/>
              <w:keepLines w:val="0"/>
              <w:pageBreakBefore w:val="0"/>
              <w:widowControl/>
              <w:kinsoku w:val="0"/>
              <w:wordWrap/>
              <w:overflowPunct/>
              <w:topLinePunct w:val="0"/>
              <w:autoSpaceDE w:val="0"/>
              <w:autoSpaceDN w:val="0"/>
              <w:bidi w:val="0"/>
              <w:adjustRightInd w:val="0"/>
              <w:snapToGrid w:val="0"/>
              <w:spacing w:line="480" w:lineRule="auto"/>
              <w:jc w:val="center"/>
              <w:textAlignment w:val="baseline"/>
              <w:rPr>
                <w:rFonts w:hint="eastAsia" w:ascii="宋体" w:hAnsi="宋体" w:eastAsia="宋体" w:cs="宋体"/>
                <w:color w:val="auto"/>
                <w:spacing w:val="-7"/>
                <w:sz w:val="21"/>
                <w:szCs w:val="22"/>
                <w:lang w:val="en-US" w:eastAsia="zh-CN" w:bidi="ar-SA"/>
              </w:rPr>
            </w:pPr>
          </w:p>
          <w:p w14:paraId="29DBED4F">
            <w:pPr>
              <w:keepNext w:val="0"/>
              <w:keepLines w:val="0"/>
              <w:pageBreakBefore w:val="0"/>
              <w:widowControl/>
              <w:kinsoku w:val="0"/>
              <w:wordWrap/>
              <w:overflowPunct/>
              <w:topLinePunct w:val="0"/>
              <w:autoSpaceDE w:val="0"/>
              <w:autoSpaceDN w:val="0"/>
              <w:bidi w:val="0"/>
              <w:adjustRightInd w:val="0"/>
              <w:snapToGrid w:val="0"/>
              <w:spacing w:line="480" w:lineRule="auto"/>
              <w:jc w:val="center"/>
              <w:textAlignment w:val="baseline"/>
              <w:rPr>
                <w:rFonts w:hint="eastAsia" w:ascii="宋体" w:hAnsi="宋体" w:eastAsia="宋体" w:cs="宋体"/>
                <w:color w:val="auto"/>
                <w:spacing w:val="-7"/>
                <w:sz w:val="21"/>
                <w:szCs w:val="22"/>
                <w:lang w:val="en-US" w:eastAsia="zh-CN" w:bidi="ar-SA"/>
              </w:rPr>
            </w:pPr>
            <w:r>
              <w:rPr>
                <w:rFonts w:hint="eastAsia" w:ascii="宋体" w:hAnsi="宋体" w:eastAsia="宋体" w:cs="宋体"/>
                <w:color w:val="auto"/>
                <w:spacing w:val="-7"/>
                <w:sz w:val="21"/>
                <w:szCs w:val="22"/>
                <w:lang w:val="en-US" w:eastAsia="zh-CN" w:bidi="ar-SA"/>
              </w:rPr>
              <w:t>质量标准</w:t>
            </w:r>
          </w:p>
          <w:p w14:paraId="3276F381">
            <w:pPr>
              <w:pStyle w:val="22"/>
              <w:ind w:left="427"/>
              <w:jc w:val="center"/>
              <w:rPr>
                <w:rFonts w:ascii="宋体" w:hAnsi="宋体" w:eastAsia="宋体" w:cs="宋体"/>
                <w:color w:val="auto"/>
                <w:spacing w:val="-7"/>
                <w:sz w:val="21"/>
                <w:szCs w:val="22"/>
                <w:lang w:val="en-US" w:eastAsia="zh-CN" w:bidi="ar-SA"/>
              </w:rPr>
            </w:pPr>
          </w:p>
        </w:tc>
        <w:tc>
          <w:tcPr>
            <w:tcW w:w="7797" w:type="dxa"/>
            <w:gridSpan w:val="4"/>
            <w:vAlign w:val="center"/>
          </w:tcPr>
          <w:p w14:paraId="19451063">
            <w:pPr>
              <w:pStyle w:val="22"/>
              <w:spacing w:before="2" w:line="270" w:lineRule="exact"/>
              <w:jc w:val="center"/>
              <w:rPr>
                <w:rFonts w:ascii="宋体" w:hAnsi="宋体" w:eastAsia="宋体" w:cs="宋体"/>
                <w:color w:val="auto"/>
                <w:spacing w:val="-7"/>
                <w:sz w:val="21"/>
                <w:szCs w:val="22"/>
                <w:lang w:val="en-US" w:eastAsia="zh-CN" w:bidi="ar-SA"/>
              </w:rPr>
            </w:pPr>
            <w:r>
              <w:rPr>
                <w:rFonts w:hint="eastAsia" w:ascii="宋体" w:hAnsi="宋体" w:eastAsia="宋体" w:cs="宋体"/>
                <w:color w:val="auto"/>
                <w:spacing w:val="-7"/>
                <w:sz w:val="21"/>
                <w:szCs w:val="22"/>
                <w:lang w:val="en-US" w:eastAsia="zh-CN" w:bidi="ar-SA"/>
              </w:rPr>
              <w:t>工程质量符合</w:t>
            </w:r>
            <w:r>
              <w:rPr>
                <w:rFonts w:hint="eastAsia" w:ascii="宋体" w:hAnsi="宋体" w:eastAsia="宋体" w:cs="宋体"/>
                <w:color w:val="auto"/>
                <w:spacing w:val="-7"/>
                <w:sz w:val="21"/>
                <w:szCs w:val="22"/>
                <w:u w:val="single"/>
                <w:lang w:val="en-US" w:eastAsia="zh-CN" w:bidi="ar-SA"/>
              </w:rPr>
              <w:t xml:space="preserve">合格 </w:t>
            </w:r>
            <w:r>
              <w:rPr>
                <w:rFonts w:hint="eastAsia" w:ascii="宋体" w:hAnsi="宋体" w:eastAsia="宋体" w:cs="宋体"/>
                <w:color w:val="auto"/>
                <w:spacing w:val="-7"/>
                <w:sz w:val="21"/>
                <w:szCs w:val="22"/>
                <w:lang w:val="en-US" w:eastAsia="zh-CN" w:bidi="ar-SA"/>
              </w:rPr>
              <w:t>标准</w:t>
            </w:r>
          </w:p>
        </w:tc>
      </w:tr>
      <w:tr w14:paraId="65751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1696" w:type="dxa"/>
            <w:gridSpan w:val="2"/>
          </w:tcPr>
          <w:p w14:paraId="3D9E20F9">
            <w:pPr>
              <w:pStyle w:val="22"/>
              <w:spacing w:before="89" w:line="271" w:lineRule="exact"/>
              <w:ind w:left="216"/>
              <w:rPr>
                <w:color w:val="auto"/>
                <w:sz w:val="21"/>
              </w:rPr>
            </w:pPr>
            <w:r>
              <w:rPr>
                <w:color w:val="auto"/>
                <w:spacing w:val="-4"/>
                <w:sz w:val="21"/>
              </w:rPr>
              <w:t>合同签订时间</w:t>
            </w:r>
          </w:p>
        </w:tc>
        <w:tc>
          <w:tcPr>
            <w:tcW w:w="7797" w:type="dxa"/>
            <w:gridSpan w:val="4"/>
          </w:tcPr>
          <w:p w14:paraId="5D67E9FB">
            <w:pPr>
              <w:pStyle w:val="22"/>
              <w:spacing w:before="89" w:line="271" w:lineRule="exact"/>
              <w:ind w:left="107"/>
              <w:rPr>
                <w:color w:val="auto"/>
                <w:sz w:val="21"/>
              </w:rPr>
            </w:pPr>
            <w:r>
              <w:rPr>
                <w:color w:val="auto"/>
                <w:spacing w:val="-7"/>
                <w:sz w:val="21"/>
              </w:rPr>
              <w:t xml:space="preserve">自成交通知书发出之日起 </w:t>
            </w:r>
            <w:r>
              <w:rPr>
                <w:color w:val="auto"/>
                <w:spacing w:val="-2"/>
                <w:sz w:val="21"/>
                <w:u w:val="single"/>
              </w:rPr>
              <w:t>25</w:t>
            </w:r>
            <w:r>
              <w:rPr>
                <w:color w:val="auto"/>
                <w:spacing w:val="-21"/>
                <w:sz w:val="21"/>
                <w:u w:val="none"/>
              </w:rPr>
              <w:t xml:space="preserve"> 日内</w:t>
            </w:r>
          </w:p>
        </w:tc>
      </w:tr>
      <w:tr w14:paraId="50A50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7" w:hRule="atLeast"/>
        </w:trPr>
        <w:tc>
          <w:tcPr>
            <w:tcW w:w="1696" w:type="dxa"/>
            <w:gridSpan w:val="2"/>
          </w:tcPr>
          <w:p w14:paraId="148400B4">
            <w:pPr>
              <w:pStyle w:val="22"/>
              <w:rPr>
                <w:color w:val="auto"/>
                <w:sz w:val="21"/>
              </w:rPr>
            </w:pPr>
          </w:p>
          <w:p w14:paraId="49396591">
            <w:pPr>
              <w:pStyle w:val="22"/>
              <w:rPr>
                <w:color w:val="auto"/>
                <w:sz w:val="21"/>
              </w:rPr>
            </w:pPr>
          </w:p>
          <w:p w14:paraId="4953D27F">
            <w:pPr>
              <w:pStyle w:val="22"/>
              <w:rPr>
                <w:color w:val="auto"/>
                <w:sz w:val="21"/>
              </w:rPr>
            </w:pPr>
          </w:p>
          <w:p w14:paraId="27302B2F">
            <w:pPr>
              <w:pStyle w:val="22"/>
              <w:spacing w:before="138"/>
              <w:rPr>
                <w:color w:val="auto"/>
                <w:sz w:val="21"/>
              </w:rPr>
            </w:pPr>
          </w:p>
          <w:p w14:paraId="5A9B01AB">
            <w:pPr>
              <w:pStyle w:val="22"/>
              <w:spacing w:line="333" w:lineRule="auto"/>
              <w:ind w:left="427" w:right="101" w:hanging="315"/>
              <w:rPr>
                <w:color w:val="auto"/>
                <w:sz w:val="21"/>
              </w:rPr>
            </w:pPr>
            <w:r>
              <w:rPr>
                <w:color w:val="auto"/>
                <w:spacing w:val="-2"/>
                <w:sz w:val="21"/>
              </w:rPr>
              <w:t>付款条件（进度</w:t>
            </w:r>
            <w:r>
              <w:rPr>
                <w:color w:val="auto"/>
                <w:spacing w:val="-4"/>
                <w:sz w:val="21"/>
              </w:rPr>
              <w:t>和方式）</w:t>
            </w:r>
          </w:p>
        </w:tc>
        <w:tc>
          <w:tcPr>
            <w:tcW w:w="7797" w:type="dxa"/>
            <w:gridSpan w:val="4"/>
          </w:tcPr>
          <w:p w14:paraId="47C7477A">
            <w:pPr>
              <w:pStyle w:val="22"/>
              <w:spacing w:before="90"/>
              <w:ind w:left="107"/>
              <w:jc w:val="both"/>
              <w:rPr>
                <w:rFonts w:hint="eastAsia"/>
                <w:color w:val="auto"/>
                <w:spacing w:val="-2"/>
                <w:sz w:val="21"/>
              </w:rPr>
            </w:pPr>
            <w:r>
              <w:rPr>
                <w:rFonts w:hint="eastAsia"/>
                <w:color w:val="auto"/>
                <w:spacing w:val="-2"/>
                <w:sz w:val="21"/>
                <w:lang w:eastAsia="zh-CN"/>
              </w:rPr>
              <w:t>（</w:t>
            </w:r>
            <w:r>
              <w:rPr>
                <w:rFonts w:hint="eastAsia"/>
                <w:color w:val="auto"/>
                <w:spacing w:val="-2"/>
                <w:sz w:val="21"/>
                <w:lang w:val="en-US" w:eastAsia="zh-CN"/>
              </w:rPr>
              <w:t>1</w:t>
            </w:r>
            <w:r>
              <w:rPr>
                <w:rFonts w:hint="eastAsia"/>
                <w:color w:val="auto"/>
                <w:spacing w:val="-2"/>
                <w:sz w:val="21"/>
                <w:lang w:eastAsia="zh-CN"/>
              </w:rPr>
              <w:t>）</w:t>
            </w:r>
            <w:r>
              <w:rPr>
                <w:rFonts w:hint="eastAsia"/>
                <w:color w:val="auto"/>
                <w:spacing w:val="-2"/>
                <w:sz w:val="21"/>
              </w:rPr>
              <w:t>预付款支付比例或金额：工程合同造价（扣除暂列金额、甲供材料款）后的30%作为该工程的预付款（按相关文件执行支付预付款）。预付款支付期限：经相关部门审批通过准许开工，达到工程开工条件达标的，可申请预付款支付，按南宁市财政局相关文件执行。</w:t>
            </w:r>
          </w:p>
          <w:p w14:paraId="047CC75D">
            <w:pPr>
              <w:pStyle w:val="22"/>
              <w:spacing w:before="90"/>
              <w:ind w:left="107"/>
              <w:jc w:val="both"/>
              <w:rPr>
                <w:rFonts w:hint="eastAsia"/>
                <w:color w:val="auto"/>
                <w:spacing w:val="-2"/>
                <w:sz w:val="21"/>
              </w:rPr>
            </w:pPr>
            <w:r>
              <w:rPr>
                <w:rFonts w:hint="eastAsia"/>
                <w:color w:val="auto"/>
                <w:spacing w:val="-2"/>
                <w:sz w:val="21"/>
              </w:rPr>
              <w:t>预付款扣回的方式：在每次进度款中按预付款支付比例扣回，每次抵扣的比例为每次进度款付款金额的30%，直至扣完预付款为止。</w:t>
            </w:r>
          </w:p>
          <w:p w14:paraId="283CC526">
            <w:pPr>
              <w:pStyle w:val="22"/>
              <w:spacing w:before="90"/>
              <w:ind w:left="107"/>
              <w:jc w:val="both"/>
              <w:rPr>
                <w:rFonts w:hint="eastAsia"/>
                <w:color w:val="auto"/>
                <w:spacing w:val="-2"/>
                <w:sz w:val="21"/>
              </w:rPr>
            </w:pPr>
            <w:r>
              <w:rPr>
                <w:rFonts w:hint="eastAsia"/>
                <w:color w:val="auto"/>
                <w:spacing w:val="-2"/>
                <w:sz w:val="21"/>
                <w:lang w:eastAsia="zh-CN"/>
              </w:rPr>
              <w:t>（</w:t>
            </w:r>
            <w:r>
              <w:rPr>
                <w:rFonts w:hint="eastAsia"/>
                <w:color w:val="auto"/>
                <w:spacing w:val="-2"/>
                <w:sz w:val="21"/>
                <w:lang w:val="en-US" w:eastAsia="zh-CN"/>
              </w:rPr>
              <w:t>2</w:t>
            </w:r>
            <w:r>
              <w:rPr>
                <w:rFonts w:hint="eastAsia"/>
                <w:color w:val="auto"/>
                <w:spacing w:val="-2"/>
                <w:sz w:val="21"/>
                <w:lang w:eastAsia="zh-CN"/>
              </w:rPr>
              <w:t>）</w:t>
            </w:r>
            <w:r>
              <w:rPr>
                <w:rFonts w:hint="eastAsia"/>
                <w:color w:val="auto"/>
                <w:spacing w:val="-2"/>
                <w:sz w:val="21"/>
              </w:rPr>
              <w:t xml:space="preserve">承包人提交预付款担保的期限：按通用合同条款执行。 </w:t>
            </w:r>
          </w:p>
          <w:p w14:paraId="3867A9D4">
            <w:pPr>
              <w:pStyle w:val="22"/>
              <w:spacing w:before="90"/>
              <w:ind w:left="107"/>
              <w:jc w:val="both"/>
              <w:rPr>
                <w:rFonts w:hint="eastAsia"/>
                <w:color w:val="auto"/>
                <w:spacing w:val="-2"/>
                <w:sz w:val="21"/>
              </w:rPr>
            </w:pPr>
            <w:r>
              <w:rPr>
                <w:rFonts w:hint="eastAsia"/>
                <w:color w:val="auto"/>
                <w:spacing w:val="-2"/>
                <w:sz w:val="21"/>
              </w:rPr>
              <w:t>预付款担保的形式为：采用发包人承认的形式提供预付款担保。</w:t>
            </w:r>
          </w:p>
          <w:p w14:paraId="3B08703F">
            <w:pPr>
              <w:pStyle w:val="22"/>
              <w:spacing w:before="90"/>
              <w:ind w:left="107"/>
              <w:jc w:val="both"/>
              <w:rPr>
                <w:rFonts w:hint="eastAsia"/>
                <w:color w:val="auto"/>
                <w:spacing w:val="-2"/>
                <w:sz w:val="21"/>
              </w:rPr>
            </w:pPr>
          </w:p>
          <w:p w14:paraId="13093FAB">
            <w:pPr>
              <w:pStyle w:val="22"/>
              <w:spacing w:line="380" w:lineRule="atLeast"/>
              <w:ind w:left="107" w:right="98"/>
              <w:rPr>
                <w:rFonts w:hint="eastAsia"/>
                <w:color w:val="auto"/>
                <w:spacing w:val="-2"/>
                <w:sz w:val="21"/>
              </w:rPr>
            </w:pPr>
            <w:r>
              <w:rPr>
                <w:rFonts w:hint="eastAsia"/>
                <w:color w:val="auto"/>
                <w:spacing w:val="-2"/>
                <w:sz w:val="21"/>
              </w:rPr>
              <w:t>（</w:t>
            </w:r>
            <w:r>
              <w:rPr>
                <w:rFonts w:hint="eastAsia"/>
                <w:color w:val="auto"/>
                <w:spacing w:val="-2"/>
                <w:sz w:val="21"/>
                <w:lang w:val="en-US" w:eastAsia="zh-CN"/>
              </w:rPr>
              <w:t>3</w:t>
            </w:r>
            <w:r>
              <w:rPr>
                <w:rFonts w:hint="eastAsia"/>
                <w:color w:val="auto"/>
                <w:spacing w:val="-2"/>
                <w:sz w:val="21"/>
              </w:rPr>
              <w:t>）工程款原则上按月支付，工程进度款支付限额为合同内按照当期计量的80%支付，累计不超过合同价的80%；工程变更部分（设计变更）累计增加的变更金额在合同价的10%以内（含10%），按照计量的60%支付，累计增加的变更金额超出合同价的10%，不进行进度款计量支付，留待工程结算时一并研究后支付。</w:t>
            </w:r>
          </w:p>
          <w:p w14:paraId="50C6AEBC">
            <w:pPr>
              <w:pStyle w:val="22"/>
              <w:spacing w:line="380" w:lineRule="atLeast"/>
              <w:ind w:left="107" w:right="98"/>
              <w:rPr>
                <w:rFonts w:hint="eastAsia"/>
                <w:color w:val="auto"/>
                <w:spacing w:val="-2"/>
                <w:sz w:val="21"/>
              </w:rPr>
            </w:pPr>
            <w:r>
              <w:rPr>
                <w:rFonts w:hint="eastAsia"/>
                <w:color w:val="auto"/>
                <w:spacing w:val="-2"/>
                <w:sz w:val="21"/>
              </w:rPr>
              <w:t>（</w:t>
            </w:r>
            <w:r>
              <w:rPr>
                <w:rFonts w:hint="eastAsia"/>
                <w:color w:val="auto"/>
                <w:spacing w:val="-2"/>
                <w:sz w:val="21"/>
                <w:lang w:val="en-US" w:eastAsia="zh-CN"/>
              </w:rPr>
              <w:t>4</w:t>
            </w:r>
            <w:r>
              <w:rPr>
                <w:rFonts w:hint="eastAsia"/>
                <w:color w:val="auto"/>
                <w:spacing w:val="-2"/>
                <w:sz w:val="21"/>
              </w:rPr>
              <w:t>）工程完工验收达到质量要求，支付至累计计量的90%。结算按国家及南宁市相关规定执行后支付，工程款支付至合同总价的100%。在工程竣工结算前，承包方按合同总价的3%预存工程质量保证金至发包方指定账户。工程质保期满，发包方复验无质量问题后向承包方返还缴存的工程质量保证金。</w:t>
            </w:r>
          </w:p>
          <w:p w14:paraId="029D285C">
            <w:pPr>
              <w:pStyle w:val="22"/>
              <w:spacing w:line="380" w:lineRule="atLeast"/>
              <w:ind w:left="107" w:right="98"/>
              <w:rPr>
                <w:color w:val="auto"/>
                <w:sz w:val="21"/>
              </w:rPr>
            </w:pPr>
            <w:r>
              <w:rPr>
                <w:rFonts w:hint="eastAsia"/>
                <w:color w:val="auto"/>
                <w:spacing w:val="-2"/>
                <w:sz w:val="21"/>
              </w:rPr>
              <w:t>（</w:t>
            </w:r>
            <w:r>
              <w:rPr>
                <w:rFonts w:hint="eastAsia"/>
                <w:color w:val="auto"/>
                <w:spacing w:val="-2"/>
                <w:sz w:val="21"/>
                <w:lang w:val="en-US" w:eastAsia="zh-CN"/>
              </w:rPr>
              <w:t>5</w:t>
            </w:r>
            <w:r>
              <w:rPr>
                <w:rFonts w:hint="eastAsia"/>
                <w:color w:val="auto"/>
                <w:spacing w:val="-2"/>
                <w:sz w:val="21"/>
              </w:rPr>
              <w:t>）合同约定的工程质量缺陷责任期（最长不超过2年）满后由承包人向发包人提出返还保证金的申请，发包人在接到承包人返还保证金申请后，于14天内会同承包人按照合同约定的内容进行核实。如无异议，发包人在核实后14天内将保证金返还承包人，逾期未返还的，依法承担违约责任。发包人在接到承包人返还保证金申请后14天内不予答复，经催告后14天内仍不予答复，视同认可承包人的返还保证金申请。</w:t>
            </w:r>
          </w:p>
        </w:tc>
      </w:tr>
    </w:tbl>
    <w:p w14:paraId="243F55B1">
      <w:pPr>
        <w:spacing w:after="0" w:line="380" w:lineRule="atLeast"/>
        <w:rPr>
          <w:color w:val="auto"/>
          <w:sz w:val="21"/>
        </w:rPr>
        <w:sectPr>
          <w:type w:val="continuous"/>
          <w:pgSz w:w="11910" w:h="16840"/>
          <w:pgMar w:top="1840" w:right="740" w:bottom="1384" w:left="800" w:header="0" w:footer="989" w:gutter="0"/>
          <w:cols w:space="720" w:num="1"/>
        </w:sectPr>
      </w:pPr>
    </w:p>
    <w:tbl>
      <w:tblPr>
        <w:tblStyle w:val="16"/>
        <w:tblW w:w="0" w:type="auto"/>
        <w:tblInd w:w="4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6"/>
        <w:gridCol w:w="7797"/>
      </w:tblGrid>
      <w:tr w14:paraId="539E27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1696" w:type="dxa"/>
          </w:tcPr>
          <w:p w14:paraId="1F43E5CC">
            <w:pPr>
              <w:pStyle w:val="22"/>
              <w:spacing w:before="89" w:line="271" w:lineRule="exact"/>
              <w:ind w:left="7"/>
              <w:jc w:val="center"/>
              <w:rPr>
                <w:color w:val="auto"/>
                <w:sz w:val="21"/>
              </w:rPr>
            </w:pPr>
            <w:r>
              <w:rPr>
                <w:color w:val="auto"/>
                <w:spacing w:val="-4"/>
                <w:sz w:val="21"/>
              </w:rPr>
              <w:t>包装和运输</w:t>
            </w:r>
          </w:p>
        </w:tc>
        <w:tc>
          <w:tcPr>
            <w:tcW w:w="7797" w:type="dxa"/>
          </w:tcPr>
          <w:p w14:paraId="4DD247C8">
            <w:pPr>
              <w:pStyle w:val="22"/>
              <w:spacing w:before="89" w:line="271" w:lineRule="exact"/>
              <w:ind w:left="107"/>
              <w:rPr>
                <w:color w:val="auto"/>
                <w:sz w:val="21"/>
              </w:rPr>
            </w:pPr>
            <w:r>
              <w:rPr>
                <w:color w:val="auto"/>
                <w:spacing w:val="-3"/>
                <w:sz w:val="21"/>
              </w:rPr>
              <w:t>符合现行国家相关标准、行业标准、地方标准或者其他强制性标准、规范。</w:t>
            </w:r>
          </w:p>
        </w:tc>
      </w:tr>
      <w:tr w14:paraId="79D0C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9493" w:type="dxa"/>
            <w:gridSpan w:val="2"/>
          </w:tcPr>
          <w:p w14:paraId="11BED875">
            <w:pPr>
              <w:pStyle w:val="22"/>
              <w:spacing w:before="90" w:line="270" w:lineRule="exact"/>
              <w:ind w:left="108"/>
              <w:rPr>
                <w:b/>
                <w:color w:val="auto"/>
                <w:sz w:val="21"/>
              </w:rPr>
            </w:pPr>
            <w:r>
              <w:rPr>
                <w:b/>
                <w:color w:val="auto"/>
                <w:spacing w:val="-3"/>
                <w:sz w:val="21"/>
              </w:rPr>
              <w:t>二、与实现项目目标相关的其他要求</w:t>
            </w:r>
          </w:p>
        </w:tc>
      </w:tr>
      <w:tr w14:paraId="134348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0" w:hRule="atLeast"/>
        </w:trPr>
        <w:tc>
          <w:tcPr>
            <w:tcW w:w="1696" w:type="dxa"/>
          </w:tcPr>
          <w:p w14:paraId="25C19041">
            <w:pPr>
              <w:pStyle w:val="22"/>
              <w:rPr>
                <w:color w:val="auto"/>
                <w:sz w:val="21"/>
              </w:rPr>
            </w:pPr>
          </w:p>
          <w:p w14:paraId="409803A0">
            <w:pPr>
              <w:pStyle w:val="22"/>
              <w:spacing w:before="114"/>
              <w:rPr>
                <w:color w:val="auto"/>
                <w:sz w:val="21"/>
              </w:rPr>
            </w:pPr>
          </w:p>
          <w:p w14:paraId="7100F4C6">
            <w:pPr>
              <w:pStyle w:val="22"/>
              <w:ind w:left="7"/>
              <w:jc w:val="center"/>
              <w:rPr>
                <w:color w:val="auto"/>
                <w:sz w:val="21"/>
              </w:rPr>
            </w:pPr>
            <w:r>
              <w:rPr>
                <w:color w:val="auto"/>
                <w:spacing w:val="-7"/>
                <w:sz w:val="21"/>
              </w:rPr>
              <w:t>验收标准</w:t>
            </w:r>
          </w:p>
        </w:tc>
        <w:tc>
          <w:tcPr>
            <w:tcW w:w="7797" w:type="dxa"/>
          </w:tcPr>
          <w:p w14:paraId="4D72EDB6">
            <w:pPr>
              <w:pStyle w:val="22"/>
              <w:numPr>
                <w:ilvl w:val="0"/>
                <w:numId w:val="24"/>
              </w:numPr>
              <w:tabs>
                <w:tab w:val="left" w:pos="318"/>
              </w:tabs>
              <w:spacing w:before="89" w:after="0" w:line="240" w:lineRule="auto"/>
              <w:ind w:left="318" w:right="0" w:hanging="211"/>
              <w:jc w:val="left"/>
              <w:rPr>
                <w:color w:val="auto"/>
                <w:sz w:val="21"/>
              </w:rPr>
            </w:pPr>
            <w:r>
              <w:rPr>
                <w:color w:val="auto"/>
                <w:spacing w:val="-3"/>
                <w:sz w:val="21"/>
              </w:rPr>
              <w:t>验收由采购人与成交供应商及相关人员按国家有关的规定、规范进行。</w:t>
            </w:r>
          </w:p>
          <w:p w14:paraId="128DA46C">
            <w:pPr>
              <w:pStyle w:val="22"/>
              <w:numPr>
                <w:ilvl w:val="0"/>
                <w:numId w:val="24"/>
              </w:numPr>
              <w:tabs>
                <w:tab w:val="left" w:pos="330"/>
              </w:tabs>
              <w:spacing w:before="109" w:after="0" w:line="240" w:lineRule="auto"/>
              <w:ind w:left="330" w:right="0" w:hanging="223"/>
              <w:jc w:val="left"/>
              <w:rPr>
                <w:color w:val="auto"/>
                <w:sz w:val="21"/>
              </w:rPr>
            </w:pPr>
            <w:r>
              <w:rPr>
                <w:color w:val="auto"/>
                <w:spacing w:val="12"/>
                <w:sz w:val="21"/>
              </w:rPr>
              <w:t>未尽事宜按照《广西壮族自治区政府采购项目履约验收管理办法》（</w:t>
            </w:r>
            <w:r>
              <w:rPr>
                <w:color w:val="auto"/>
                <w:spacing w:val="4"/>
                <w:sz w:val="21"/>
              </w:rPr>
              <w:t>桂财规</w:t>
            </w:r>
          </w:p>
          <w:p w14:paraId="488D719E">
            <w:pPr>
              <w:pStyle w:val="22"/>
              <w:spacing w:line="380" w:lineRule="atLeast"/>
              <w:ind w:left="107" w:right="98"/>
              <w:rPr>
                <w:color w:val="auto"/>
                <w:sz w:val="21"/>
              </w:rPr>
            </w:pPr>
            <w:r>
              <w:rPr>
                <w:color w:val="auto"/>
                <w:sz w:val="21"/>
              </w:rPr>
              <w:t>〔</w:t>
            </w:r>
            <w:r>
              <w:rPr>
                <w:rFonts w:ascii="Times New Roman" w:eastAsia="Times New Roman"/>
                <w:color w:val="auto"/>
                <w:sz w:val="21"/>
              </w:rPr>
              <w:t>2022</w:t>
            </w:r>
            <w:r>
              <w:rPr>
                <w:color w:val="auto"/>
                <w:sz w:val="21"/>
              </w:rPr>
              <w:t>〕</w:t>
            </w:r>
            <w:r>
              <w:rPr>
                <w:rFonts w:ascii="Times New Roman" w:eastAsia="Times New Roman"/>
                <w:color w:val="auto"/>
                <w:sz w:val="21"/>
              </w:rPr>
              <w:t xml:space="preserve">12 </w:t>
            </w:r>
            <w:r>
              <w:rPr>
                <w:color w:val="auto"/>
                <w:sz w:val="21"/>
              </w:rPr>
              <w:t>号）以及《财政部关于进一步加强政府采购需求和履约验收管理的指导意见》(财库〔2016〕205</w:t>
            </w:r>
            <w:r>
              <w:rPr>
                <w:color w:val="auto"/>
                <w:spacing w:val="-7"/>
                <w:sz w:val="21"/>
              </w:rPr>
              <w:t xml:space="preserve"> 号)规定执行。</w:t>
            </w:r>
          </w:p>
        </w:tc>
      </w:tr>
      <w:tr w14:paraId="1B1B8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0" w:hRule="atLeast"/>
        </w:trPr>
        <w:tc>
          <w:tcPr>
            <w:tcW w:w="1696" w:type="dxa"/>
          </w:tcPr>
          <w:p w14:paraId="35E41A55">
            <w:pPr>
              <w:pStyle w:val="22"/>
              <w:rPr>
                <w:color w:val="auto"/>
                <w:sz w:val="21"/>
              </w:rPr>
            </w:pPr>
          </w:p>
          <w:p w14:paraId="4AC0BFB6">
            <w:pPr>
              <w:pStyle w:val="22"/>
              <w:spacing w:before="113"/>
              <w:rPr>
                <w:color w:val="auto"/>
                <w:sz w:val="21"/>
              </w:rPr>
            </w:pPr>
          </w:p>
          <w:p w14:paraId="22DE7487">
            <w:pPr>
              <w:pStyle w:val="22"/>
              <w:ind w:left="7"/>
              <w:jc w:val="center"/>
              <w:rPr>
                <w:color w:val="auto"/>
                <w:sz w:val="21"/>
              </w:rPr>
            </w:pPr>
            <w:r>
              <w:rPr>
                <w:color w:val="auto"/>
                <w:spacing w:val="-7"/>
                <w:sz w:val="21"/>
              </w:rPr>
              <w:t>其他要求</w:t>
            </w:r>
          </w:p>
        </w:tc>
        <w:tc>
          <w:tcPr>
            <w:tcW w:w="7797" w:type="dxa"/>
          </w:tcPr>
          <w:p w14:paraId="4567DD52">
            <w:pPr>
              <w:pStyle w:val="22"/>
              <w:spacing w:before="90" w:line="333" w:lineRule="auto"/>
              <w:ind w:left="107" w:right="98"/>
              <w:jc w:val="both"/>
              <w:rPr>
                <w:b/>
                <w:color w:val="auto"/>
                <w:sz w:val="21"/>
              </w:rPr>
            </w:pPr>
            <w:r>
              <w:rPr>
                <w:b/>
                <w:color w:val="auto"/>
                <w:spacing w:val="7"/>
                <w:w w:val="99"/>
                <w:sz w:val="21"/>
              </w:rPr>
              <w:t>供应商必须在响应文件中提供施工组织设计（</w:t>
            </w:r>
            <w:r>
              <w:rPr>
                <w:b/>
                <w:color w:val="auto"/>
                <w:spacing w:val="3"/>
                <w:w w:val="99"/>
                <w:sz w:val="21"/>
              </w:rPr>
              <w:t>内容不限于主要施工方法、拟投入</w:t>
            </w:r>
            <w:r>
              <w:rPr>
                <w:b/>
                <w:color w:val="auto"/>
                <w:spacing w:val="5"/>
                <w:w w:val="99"/>
                <w:sz w:val="21"/>
              </w:rPr>
              <w:t>的主要物资计划、劳动力安排计划、确保工程质量的技术组织措施、确保安全生产的技术组织措施、确保工期的技术组织措施、确保文明施工的技术组织措施、</w:t>
            </w:r>
          </w:p>
          <w:p w14:paraId="1AC44F35">
            <w:pPr>
              <w:pStyle w:val="22"/>
              <w:spacing w:before="2" w:line="270" w:lineRule="exact"/>
              <w:ind w:left="107"/>
              <w:rPr>
                <w:b/>
                <w:color w:val="auto"/>
                <w:sz w:val="21"/>
              </w:rPr>
            </w:pPr>
            <w:r>
              <w:rPr>
                <w:b/>
                <w:color w:val="auto"/>
                <w:spacing w:val="-2"/>
                <w:sz w:val="21"/>
              </w:rPr>
              <w:t>工程施工的重点和难点及保证措施、施工总平面布置图）</w:t>
            </w:r>
            <w:r>
              <w:rPr>
                <w:b/>
                <w:color w:val="auto"/>
                <w:spacing w:val="-10"/>
                <w:sz w:val="21"/>
              </w:rPr>
              <w:t>。</w:t>
            </w:r>
          </w:p>
        </w:tc>
      </w:tr>
    </w:tbl>
    <w:p w14:paraId="3CC045E7">
      <w:pPr>
        <w:rPr>
          <w:color w:val="auto"/>
        </w:rPr>
      </w:pPr>
    </w:p>
    <w:p w14:paraId="51A7CAA2">
      <w:pPr>
        <w:spacing w:after="0" w:line="270" w:lineRule="exact"/>
        <w:rPr>
          <w:color w:val="auto"/>
          <w:sz w:val="21"/>
        </w:rPr>
        <w:sectPr>
          <w:type w:val="continuous"/>
          <w:pgSz w:w="11910" w:h="16840"/>
          <w:pgMar w:top="1400" w:right="740" w:bottom="1180" w:left="800" w:header="0" w:footer="989" w:gutter="0"/>
          <w:cols w:space="720" w:num="1"/>
        </w:sectPr>
      </w:pPr>
    </w:p>
    <w:p w14:paraId="0E148B41">
      <w:pPr>
        <w:pStyle w:val="3"/>
        <w:ind w:right="837"/>
        <w:rPr>
          <w:color w:val="auto"/>
        </w:rPr>
      </w:pPr>
      <w:bookmarkStart w:id="8" w:name="_bookmark3"/>
      <w:bookmarkEnd w:id="8"/>
      <w:bookmarkStart w:id="9" w:name="第四章  评审程序、评审方法和评审标准"/>
      <w:bookmarkEnd w:id="9"/>
      <w:r>
        <w:rPr>
          <w:color w:val="auto"/>
        </w:rPr>
        <w:t>第四章</w:t>
      </w:r>
      <w:r>
        <w:rPr>
          <w:color w:val="auto"/>
          <w:spacing w:val="73"/>
          <w:w w:val="150"/>
        </w:rPr>
        <w:t xml:space="preserve"> </w:t>
      </w:r>
      <w:r>
        <w:rPr>
          <w:color w:val="auto"/>
          <w:spacing w:val="-1"/>
        </w:rPr>
        <w:t>评审程序、评审方法和评审标准</w:t>
      </w:r>
    </w:p>
    <w:p w14:paraId="0B741125">
      <w:pPr>
        <w:pStyle w:val="5"/>
        <w:spacing w:before="285"/>
        <w:rPr>
          <w:color w:val="auto"/>
        </w:rPr>
      </w:pPr>
      <w:r>
        <w:rPr>
          <w:color w:val="auto"/>
          <w:spacing w:val="-3"/>
        </w:rPr>
        <w:t>一、评审程序和评审方法</w:t>
      </w:r>
    </w:p>
    <w:p w14:paraId="07CF0628">
      <w:pPr>
        <w:pStyle w:val="10"/>
        <w:numPr>
          <w:ilvl w:val="0"/>
          <w:numId w:val="25"/>
        </w:numPr>
        <w:tabs>
          <w:tab w:val="left" w:pos="1511"/>
        </w:tabs>
        <w:spacing w:before="304" w:after="0" w:line="240" w:lineRule="auto"/>
        <w:ind w:left="1511" w:right="0" w:hanging="243"/>
        <w:jc w:val="left"/>
        <w:rPr>
          <w:rFonts w:hint="eastAsia" w:ascii="黑体" w:eastAsia="黑体"/>
          <w:color w:val="auto"/>
          <w:sz w:val="22"/>
        </w:rPr>
      </w:pPr>
      <w:r>
        <w:rPr>
          <w:rFonts w:hint="eastAsia" w:ascii="黑体" w:eastAsia="黑体"/>
          <w:color w:val="auto"/>
          <w:spacing w:val="-3"/>
        </w:rPr>
        <w:t>资格审查</w:t>
      </w:r>
    </w:p>
    <w:p w14:paraId="78905469">
      <w:pPr>
        <w:pStyle w:val="21"/>
        <w:numPr>
          <w:ilvl w:val="1"/>
          <w:numId w:val="25"/>
        </w:numPr>
        <w:tabs>
          <w:tab w:val="left" w:pos="1573"/>
        </w:tabs>
        <w:spacing w:before="136" w:after="0" w:line="369" w:lineRule="auto"/>
        <w:ind w:left="1208" w:right="2490" w:firstLine="0"/>
        <w:jc w:val="left"/>
        <w:rPr>
          <w:color w:val="auto"/>
          <w:sz w:val="21"/>
        </w:rPr>
      </w:pPr>
      <w:r>
        <w:rPr>
          <w:color w:val="auto"/>
          <w:spacing w:val="-2"/>
          <w:sz w:val="21"/>
        </w:rPr>
        <w:t>响应文件开启后，磋商小组依法对供应商的资格证明文件进行审查。注：磋商小组在资格审查结束前，对供应商进行信用查询。</w:t>
      </w:r>
    </w:p>
    <w:p w14:paraId="311A0447">
      <w:pPr>
        <w:pStyle w:val="21"/>
        <w:numPr>
          <w:ilvl w:val="0"/>
          <w:numId w:val="26"/>
        </w:numPr>
        <w:tabs>
          <w:tab w:val="left" w:pos="1739"/>
        </w:tabs>
        <w:spacing w:before="0" w:after="0" w:line="369" w:lineRule="auto"/>
        <w:ind w:left="788" w:right="791" w:firstLine="420"/>
        <w:jc w:val="left"/>
        <w:rPr>
          <w:color w:val="auto"/>
          <w:sz w:val="21"/>
        </w:rPr>
      </w:pPr>
      <w:r>
        <w:rPr>
          <w:color w:val="auto"/>
          <w:spacing w:val="-2"/>
          <w:sz w:val="21"/>
        </w:rPr>
        <w:t>查询渠道：广西政府采购云平台“信用中国”网站（</w:t>
      </w:r>
      <w:r>
        <w:rPr>
          <w:color w:val="auto"/>
        </w:rPr>
        <w:fldChar w:fldCharType="begin"/>
      </w:r>
      <w:r>
        <w:rPr>
          <w:color w:val="auto"/>
        </w:rPr>
        <w:instrText xml:space="preserve"> HYPERLINK "http://www.creditchina.gov.cn/" \h </w:instrText>
      </w:r>
      <w:r>
        <w:rPr>
          <w:color w:val="auto"/>
        </w:rPr>
        <w:fldChar w:fldCharType="separate"/>
      </w:r>
      <w:r>
        <w:rPr>
          <w:color w:val="auto"/>
          <w:spacing w:val="-2"/>
          <w:sz w:val="21"/>
        </w:rPr>
        <w:t>www.creditchina.gov.cn</w:t>
      </w:r>
      <w:r>
        <w:rPr>
          <w:color w:val="auto"/>
          <w:spacing w:val="-2"/>
          <w:sz w:val="21"/>
        </w:rPr>
        <w:fldChar w:fldCharType="end"/>
      </w:r>
      <w:r>
        <w:rPr>
          <w:color w:val="auto"/>
          <w:spacing w:val="-2"/>
          <w:sz w:val="21"/>
        </w:rPr>
        <w:t>）、中国政府采购网（</w:t>
      </w:r>
      <w:r>
        <w:rPr>
          <w:color w:val="auto"/>
        </w:rPr>
        <w:fldChar w:fldCharType="begin"/>
      </w:r>
      <w:r>
        <w:rPr>
          <w:color w:val="auto"/>
        </w:rPr>
        <w:instrText xml:space="preserve"> HYPERLINK "http://www.ccgp.gov.cn/" \h </w:instrText>
      </w:r>
      <w:r>
        <w:rPr>
          <w:color w:val="auto"/>
        </w:rPr>
        <w:fldChar w:fldCharType="separate"/>
      </w:r>
      <w:r>
        <w:rPr>
          <w:color w:val="auto"/>
          <w:spacing w:val="-2"/>
          <w:sz w:val="21"/>
        </w:rPr>
        <w:t>www.ccgp.gov.cn</w:t>
      </w:r>
      <w:r>
        <w:rPr>
          <w:color w:val="auto"/>
          <w:spacing w:val="-2"/>
          <w:sz w:val="21"/>
        </w:rPr>
        <w:fldChar w:fldCharType="end"/>
      </w:r>
      <w:r>
        <w:rPr>
          <w:color w:val="auto"/>
          <w:spacing w:val="-2"/>
          <w:sz w:val="21"/>
        </w:rPr>
        <w:t>）链接入口。</w:t>
      </w:r>
    </w:p>
    <w:p w14:paraId="1595CDC0">
      <w:pPr>
        <w:pStyle w:val="21"/>
        <w:numPr>
          <w:ilvl w:val="0"/>
          <w:numId w:val="26"/>
        </w:numPr>
        <w:tabs>
          <w:tab w:val="left" w:pos="1729"/>
        </w:tabs>
        <w:spacing w:before="0" w:after="0" w:line="272" w:lineRule="exact"/>
        <w:ind w:left="1729" w:right="0" w:hanging="521"/>
        <w:jc w:val="left"/>
        <w:rPr>
          <w:color w:val="auto"/>
          <w:sz w:val="21"/>
        </w:rPr>
      </w:pPr>
      <w:r>
        <w:rPr>
          <w:color w:val="auto"/>
          <w:spacing w:val="-3"/>
          <w:sz w:val="21"/>
        </w:rPr>
        <w:t>信用查询截止时点：资格审查结束前。</w:t>
      </w:r>
    </w:p>
    <w:p w14:paraId="7B7E1530">
      <w:pPr>
        <w:pStyle w:val="21"/>
        <w:numPr>
          <w:ilvl w:val="0"/>
          <w:numId w:val="26"/>
        </w:numPr>
        <w:tabs>
          <w:tab w:val="left" w:pos="1735"/>
        </w:tabs>
        <w:spacing w:before="146" w:after="0" w:line="369" w:lineRule="auto"/>
        <w:ind w:left="788" w:right="791" w:firstLine="420"/>
        <w:jc w:val="left"/>
        <w:rPr>
          <w:color w:val="auto"/>
          <w:sz w:val="21"/>
        </w:rPr>
      </w:pPr>
      <w:r>
        <w:rPr>
          <w:color w:val="auto"/>
          <w:spacing w:val="-2"/>
          <w:sz w:val="21"/>
        </w:rPr>
        <w:t>查询记录和证据留存方式：在查询网站中直接查询，截图另存为电子文档作为评审资</w:t>
      </w:r>
      <w:r>
        <w:rPr>
          <w:color w:val="auto"/>
          <w:spacing w:val="-4"/>
          <w:sz w:val="21"/>
        </w:rPr>
        <w:t>料保存。</w:t>
      </w:r>
    </w:p>
    <w:p w14:paraId="1ACCB40A">
      <w:pPr>
        <w:pStyle w:val="21"/>
        <w:numPr>
          <w:ilvl w:val="0"/>
          <w:numId w:val="26"/>
        </w:numPr>
        <w:tabs>
          <w:tab w:val="left" w:pos="1749"/>
        </w:tabs>
        <w:spacing w:before="0" w:after="0" w:line="369" w:lineRule="auto"/>
        <w:ind w:left="788" w:right="788" w:firstLine="420"/>
        <w:jc w:val="both"/>
        <w:rPr>
          <w:color w:val="auto"/>
          <w:sz w:val="21"/>
        </w:rPr>
      </w:pPr>
      <w:r>
        <w:rPr>
          <w:color w:val="auto"/>
          <w:spacing w:val="7"/>
          <w:w w:val="99"/>
          <w:sz w:val="21"/>
        </w:rPr>
        <w:t>信用信息使用规则：对在“信用中国”网站（</w:t>
      </w:r>
      <w:r>
        <w:rPr>
          <w:color w:val="auto"/>
        </w:rPr>
        <w:fldChar w:fldCharType="begin"/>
      </w:r>
      <w:r>
        <w:rPr>
          <w:color w:val="auto"/>
        </w:rPr>
        <w:instrText xml:space="preserve"> HYPERLINK "http://www.creditchina.gov.cn/" \h </w:instrText>
      </w:r>
      <w:r>
        <w:rPr>
          <w:color w:val="auto"/>
        </w:rPr>
        <w:fldChar w:fldCharType="separate"/>
      </w:r>
      <w:r>
        <w:rPr>
          <w:color w:val="auto"/>
          <w:spacing w:val="1"/>
          <w:w w:val="99"/>
          <w:sz w:val="21"/>
        </w:rPr>
        <w:t>ww</w:t>
      </w:r>
      <w:r>
        <w:rPr>
          <w:color w:val="auto"/>
          <w:spacing w:val="-2"/>
          <w:w w:val="99"/>
          <w:sz w:val="21"/>
        </w:rPr>
        <w:t>w</w:t>
      </w:r>
      <w:r>
        <w:rPr>
          <w:color w:val="auto"/>
          <w:spacing w:val="1"/>
          <w:w w:val="99"/>
          <w:sz w:val="21"/>
        </w:rPr>
        <w:t>.cr</w:t>
      </w:r>
      <w:r>
        <w:rPr>
          <w:color w:val="auto"/>
          <w:spacing w:val="-2"/>
          <w:w w:val="99"/>
          <w:sz w:val="21"/>
        </w:rPr>
        <w:t>e</w:t>
      </w:r>
      <w:r>
        <w:rPr>
          <w:color w:val="auto"/>
          <w:spacing w:val="1"/>
          <w:w w:val="99"/>
          <w:sz w:val="21"/>
        </w:rPr>
        <w:t>dit</w:t>
      </w:r>
      <w:r>
        <w:rPr>
          <w:color w:val="auto"/>
          <w:spacing w:val="-2"/>
          <w:w w:val="99"/>
          <w:sz w:val="21"/>
        </w:rPr>
        <w:t>c</w:t>
      </w:r>
      <w:r>
        <w:rPr>
          <w:color w:val="auto"/>
          <w:spacing w:val="1"/>
          <w:w w:val="99"/>
          <w:sz w:val="21"/>
        </w:rPr>
        <w:t>hin</w:t>
      </w:r>
      <w:r>
        <w:rPr>
          <w:color w:val="auto"/>
          <w:spacing w:val="-2"/>
          <w:w w:val="99"/>
          <w:sz w:val="21"/>
        </w:rPr>
        <w:t>a</w:t>
      </w:r>
      <w:r>
        <w:rPr>
          <w:color w:val="auto"/>
          <w:spacing w:val="1"/>
          <w:w w:val="99"/>
          <w:sz w:val="21"/>
        </w:rPr>
        <w:t>.go</w:t>
      </w:r>
      <w:r>
        <w:rPr>
          <w:color w:val="auto"/>
          <w:spacing w:val="-2"/>
          <w:w w:val="99"/>
          <w:sz w:val="21"/>
        </w:rPr>
        <w:t>v</w:t>
      </w:r>
      <w:r>
        <w:rPr>
          <w:color w:val="auto"/>
          <w:spacing w:val="1"/>
          <w:w w:val="99"/>
          <w:sz w:val="21"/>
        </w:rPr>
        <w:t>.c</w:t>
      </w:r>
      <w:r>
        <w:rPr>
          <w:color w:val="auto"/>
          <w:spacing w:val="6"/>
          <w:w w:val="99"/>
          <w:sz w:val="21"/>
        </w:rPr>
        <w:t>n</w:t>
      </w:r>
      <w:r>
        <w:rPr>
          <w:color w:val="auto"/>
          <w:spacing w:val="6"/>
          <w:w w:val="99"/>
          <w:sz w:val="21"/>
        </w:rPr>
        <w:fldChar w:fldCharType="end"/>
      </w:r>
      <w:r>
        <w:rPr>
          <w:color w:val="auto"/>
          <w:w w:val="99"/>
          <w:sz w:val="21"/>
        </w:rPr>
        <w:t>）</w:t>
      </w:r>
      <w:r>
        <w:rPr>
          <w:color w:val="auto"/>
          <w:spacing w:val="12"/>
          <w:sz w:val="21"/>
        </w:rPr>
        <w:t xml:space="preserve"> </w:t>
      </w:r>
      <w:r>
        <w:rPr>
          <w:color w:val="auto"/>
          <w:spacing w:val="5"/>
          <w:w w:val="99"/>
          <w:sz w:val="21"/>
        </w:rPr>
        <w:t>、中国政</w:t>
      </w:r>
      <w:r>
        <w:rPr>
          <w:color w:val="auto"/>
          <w:spacing w:val="2"/>
          <w:w w:val="99"/>
          <w:sz w:val="21"/>
        </w:rPr>
        <w:t>府采购网</w:t>
      </w:r>
      <w:r>
        <w:rPr>
          <w:color w:val="auto"/>
          <w:spacing w:val="-1"/>
          <w:w w:val="99"/>
          <w:sz w:val="21"/>
        </w:rPr>
        <w:t>（</w:t>
      </w:r>
      <w:r>
        <w:rPr>
          <w:color w:val="auto"/>
        </w:rPr>
        <w:fldChar w:fldCharType="begin"/>
      </w:r>
      <w:r>
        <w:rPr>
          <w:color w:val="auto"/>
        </w:rPr>
        <w:instrText xml:space="preserve"> HYPERLINK "http://www.ccgp.gov.cn/" \h </w:instrText>
      </w:r>
      <w:r>
        <w:rPr>
          <w:color w:val="auto"/>
        </w:rPr>
        <w:fldChar w:fldCharType="separate"/>
      </w:r>
      <w:r>
        <w:rPr>
          <w:color w:val="auto"/>
          <w:spacing w:val="1"/>
          <w:w w:val="99"/>
          <w:sz w:val="21"/>
        </w:rPr>
        <w:t>www</w:t>
      </w:r>
      <w:r>
        <w:rPr>
          <w:color w:val="auto"/>
          <w:spacing w:val="-2"/>
          <w:w w:val="99"/>
          <w:sz w:val="21"/>
        </w:rPr>
        <w:t>.</w:t>
      </w:r>
      <w:r>
        <w:rPr>
          <w:color w:val="auto"/>
          <w:spacing w:val="1"/>
          <w:w w:val="99"/>
          <w:sz w:val="21"/>
        </w:rPr>
        <w:t>ccg</w:t>
      </w:r>
      <w:r>
        <w:rPr>
          <w:color w:val="auto"/>
          <w:spacing w:val="-2"/>
          <w:w w:val="99"/>
          <w:sz w:val="21"/>
        </w:rPr>
        <w:t>p</w:t>
      </w:r>
      <w:r>
        <w:rPr>
          <w:color w:val="auto"/>
          <w:spacing w:val="1"/>
          <w:w w:val="99"/>
          <w:sz w:val="21"/>
        </w:rPr>
        <w:t>.go</w:t>
      </w:r>
      <w:r>
        <w:rPr>
          <w:color w:val="auto"/>
          <w:spacing w:val="-2"/>
          <w:w w:val="99"/>
          <w:sz w:val="21"/>
        </w:rPr>
        <w:t>v</w:t>
      </w:r>
      <w:r>
        <w:rPr>
          <w:color w:val="auto"/>
          <w:spacing w:val="1"/>
          <w:w w:val="99"/>
          <w:sz w:val="21"/>
        </w:rPr>
        <w:t>.cn</w:t>
      </w:r>
      <w:r>
        <w:rPr>
          <w:color w:val="auto"/>
          <w:spacing w:val="1"/>
          <w:w w:val="99"/>
          <w:sz w:val="21"/>
        </w:rPr>
        <w:fldChar w:fldCharType="end"/>
      </w:r>
      <w:r>
        <w:rPr>
          <w:color w:val="auto"/>
          <w:spacing w:val="2"/>
          <w:w w:val="99"/>
          <w:sz w:val="21"/>
        </w:rPr>
        <w:t>）</w:t>
      </w:r>
      <w:r>
        <w:rPr>
          <w:color w:val="auto"/>
          <w:spacing w:val="1"/>
          <w:w w:val="99"/>
          <w:sz w:val="21"/>
        </w:rPr>
        <w:t>被列入失信被执行人、重大税收违法失信主体、政府采购严重违</w:t>
      </w:r>
      <w:r>
        <w:rPr>
          <w:color w:val="auto"/>
          <w:spacing w:val="3"/>
          <w:w w:val="99"/>
          <w:sz w:val="21"/>
        </w:rPr>
        <w:t>法失信行为记录名单及其他不符合《中华人民共和国政府采购法》第二十二条规定条件的供应</w:t>
      </w:r>
      <w:r>
        <w:rPr>
          <w:color w:val="auto"/>
          <w:spacing w:val="2"/>
          <w:w w:val="99"/>
          <w:sz w:val="21"/>
        </w:rPr>
        <w:t>商，资格审查不通过，不得参与政府采购活动。两个以上的自然人、法人或者其他组织组成一</w:t>
      </w:r>
      <w:r>
        <w:rPr>
          <w:color w:val="auto"/>
          <w:spacing w:val="3"/>
          <w:w w:val="99"/>
          <w:sz w:val="21"/>
        </w:rPr>
        <w:t>个联合体，以一个供应商的身份共同参加政府采购活动的，应当对所有联合体成员进行信用记</w:t>
      </w:r>
      <w:r>
        <w:rPr>
          <w:color w:val="auto"/>
          <w:spacing w:val="4"/>
          <w:w w:val="99"/>
          <w:sz w:val="21"/>
        </w:rPr>
        <w:t>录查询，联合体成员存在不良信用记录（</w:t>
      </w:r>
      <w:r>
        <w:rPr>
          <w:color w:val="auto"/>
          <w:spacing w:val="3"/>
          <w:w w:val="99"/>
          <w:sz w:val="21"/>
        </w:rPr>
        <w:t>被列入失信被执行人、重大税收违法失信主体、政府采购严重违法失信行为记录名单及其他不符合《中华人民共和国政府采购法》第二十二条规定</w:t>
      </w:r>
      <w:r>
        <w:rPr>
          <w:color w:val="auto"/>
          <w:spacing w:val="-1"/>
          <w:w w:val="99"/>
          <w:sz w:val="21"/>
        </w:rPr>
        <w:t>条件的供应商）的，视同联合体存在不良信用记录。</w:t>
      </w:r>
    </w:p>
    <w:p w14:paraId="6925FBB3">
      <w:pPr>
        <w:pStyle w:val="21"/>
        <w:numPr>
          <w:ilvl w:val="1"/>
          <w:numId w:val="25"/>
        </w:numPr>
        <w:tabs>
          <w:tab w:val="left" w:pos="1573"/>
        </w:tabs>
        <w:spacing w:before="0" w:after="0" w:line="369" w:lineRule="auto"/>
        <w:ind w:left="788" w:right="791" w:firstLine="420"/>
        <w:jc w:val="both"/>
        <w:rPr>
          <w:color w:val="auto"/>
          <w:sz w:val="21"/>
        </w:rPr>
      </w:pPr>
      <w:r>
        <w:rPr>
          <w:color w:val="auto"/>
          <w:spacing w:val="-2"/>
          <w:sz w:val="21"/>
        </w:rPr>
        <w:t>资格审查标准为本磋商文件中载明对供应商资格要求的条件。资格审查采用合格制，凡符合磋商文件规定的供应商资格要求的响应文件均通过资格审查。</w:t>
      </w:r>
    </w:p>
    <w:p w14:paraId="3D21FDFD">
      <w:pPr>
        <w:pStyle w:val="21"/>
        <w:numPr>
          <w:ilvl w:val="1"/>
          <w:numId w:val="25"/>
        </w:numPr>
        <w:tabs>
          <w:tab w:val="left" w:pos="1573"/>
        </w:tabs>
        <w:spacing w:before="0" w:after="0" w:line="272" w:lineRule="exact"/>
        <w:ind w:left="1573" w:right="0" w:hanging="365"/>
        <w:jc w:val="both"/>
        <w:rPr>
          <w:color w:val="auto"/>
          <w:sz w:val="21"/>
        </w:rPr>
      </w:pPr>
      <w:r>
        <w:rPr>
          <w:color w:val="auto"/>
          <w:spacing w:val="-3"/>
          <w:sz w:val="21"/>
        </w:rPr>
        <w:t>供应商有下列情形之一的，资格审查不通过，其响应文件按无效处理：</w:t>
      </w:r>
    </w:p>
    <w:p w14:paraId="7B17C72A">
      <w:pPr>
        <w:pStyle w:val="21"/>
        <w:numPr>
          <w:ilvl w:val="0"/>
          <w:numId w:val="27"/>
        </w:numPr>
        <w:tabs>
          <w:tab w:val="left" w:pos="1729"/>
        </w:tabs>
        <w:spacing w:before="143" w:after="0" w:line="240" w:lineRule="auto"/>
        <w:ind w:left="1729" w:right="0" w:hanging="521"/>
        <w:jc w:val="left"/>
        <w:rPr>
          <w:color w:val="auto"/>
          <w:sz w:val="21"/>
        </w:rPr>
      </w:pPr>
      <w:r>
        <w:rPr>
          <w:color w:val="auto"/>
          <w:spacing w:val="-3"/>
          <w:sz w:val="21"/>
        </w:rPr>
        <w:t>不具备磋商文件中规定的资格要求的；</w:t>
      </w:r>
    </w:p>
    <w:p w14:paraId="7E323A72">
      <w:pPr>
        <w:pStyle w:val="21"/>
        <w:numPr>
          <w:ilvl w:val="0"/>
          <w:numId w:val="27"/>
        </w:numPr>
        <w:tabs>
          <w:tab w:val="left" w:pos="1729"/>
        </w:tabs>
        <w:spacing w:before="147" w:after="0" w:line="240" w:lineRule="auto"/>
        <w:ind w:left="1729" w:right="0" w:hanging="521"/>
        <w:jc w:val="left"/>
        <w:rPr>
          <w:color w:val="auto"/>
          <w:sz w:val="21"/>
        </w:rPr>
      </w:pPr>
      <w:r>
        <w:rPr>
          <w:color w:val="auto"/>
          <w:spacing w:val="-3"/>
          <w:sz w:val="21"/>
        </w:rPr>
        <w:t>未按磋商文件规定的方式获取本磋商文件的供应商；</w:t>
      </w:r>
    </w:p>
    <w:p w14:paraId="00157850">
      <w:pPr>
        <w:pStyle w:val="21"/>
        <w:numPr>
          <w:ilvl w:val="0"/>
          <w:numId w:val="27"/>
        </w:numPr>
        <w:tabs>
          <w:tab w:val="left" w:pos="1735"/>
        </w:tabs>
        <w:spacing w:before="147" w:after="0" w:line="369" w:lineRule="auto"/>
        <w:ind w:left="788" w:right="792" w:firstLine="420"/>
        <w:jc w:val="left"/>
        <w:rPr>
          <w:color w:val="auto"/>
          <w:sz w:val="21"/>
        </w:rPr>
      </w:pPr>
      <w:r>
        <w:rPr>
          <w:color w:val="auto"/>
          <w:spacing w:val="-2"/>
          <w:sz w:val="21"/>
        </w:rPr>
        <w:t>响应文件的资格证明文件缺少任一项“供应商须知前附表”资格证明文件规定的“必须提供”的文件资料的；</w:t>
      </w:r>
    </w:p>
    <w:p w14:paraId="27758576">
      <w:pPr>
        <w:pStyle w:val="21"/>
        <w:numPr>
          <w:ilvl w:val="0"/>
          <w:numId w:val="27"/>
        </w:numPr>
        <w:tabs>
          <w:tab w:val="left" w:pos="1735"/>
        </w:tabs>
        <w:spacing w:before="0" w:after="0" w:line="369" w:lineRule="auto"/>
        <w:ind w:left="788" w:right="791" w:firstLine="420"/>
        <w:jc w:val="left"/>
        <w:rPr>
          <w:color w:val="auto"/>
          <w:sz w:val="21"/>
        </w:rPr>
      </w:pPr>
      <w:r>
        <w:rPr>
          <w:color w:val="auto"/>
          <w:spacing w:val="-2"/>
          <w:sz w:val="21"/>
        </w:rPr>
        <w:t>响应文件中的资格证明文件出现任一项不符合“供应商须知前附表”资格证明文件规定的“必须提供”的文件资料要求或者无效的；</w:t>
      </w:r>
    </w:p>
    <w:p w14:paraId="64C48385">
      <w:pPr>
        <w:pStyle w:val="21"/>
        <w:numPr>
          <w:ilvl w:val="0"/>
          <w:numId w:val="27"/>
        </w:numPr>
        <w:tabs>
          <w:tab w:val="left" w:pos="1729"/>
        </w:tabs>
        <w:spacing w:before="0" w:after="0" w:line="272" w:lineRule="exact"/>
        <w:ind w:left="1729" w:right="0" w:hanging="521"/>
        <w:jc w:val="left"/>
        <w:rPr>
          <w:color w:val="auto"/>
          <w:sz w:val="21"/>
        </w:rPr>
      </w:pPr>
      <w:r>
        <w:rPr>
          <w:color w:val="auto"/>
          <w:spacing w:val="-6"/>
          <w:sz w:val="21"/>
        </w:rPr>
        <w:t xml:space="preserve">有第二章“供应商须知”第 </w:t>
      </w:r>
      <w:r>
        <w:rPr>
          <w:color w:val="auto"/>
          <w:spacing w:val="-2"/>
          <w:sz w:val="21"/>
        </w:rPr>
        <w:t>3.2</w:t>
      </w:r>
      <w:r>
        <w:rPr>
          <w:color w:val="auto"/>
          <w:spacing w:val="-10"/>
          <w:sz w:val="21"/>
        </w:rPr>
        <w:t xml:space="preserve"> 项规定的任何一种情形的。</w:t>
      </w:r>
    </w:p>
    <w:p w14:paraId="0FC951EF">
      <w:pPr>
        <w:pStyle w:val="21"/>
        <w:numPr>
          <w:ilvl w:val="1"/>
          <w:numId w:val="25"/>
        </w:numPr>
        <w:tabs>
          <w:tab w:val="left" w:pos="1552"/>
        </w:tabs>
        <w:spacing w:before="146" w:after="0" w:line="240" w:lineRule="auto"/>
        <w:ind w:left="1552" w:right="0" w:hanging="353"/>
        <w:jc w:val="both"/>
        <w:rPr>
          <w:color w:val="auto"/>
          <w:sz w:val="21"/>
        </w:rPr>
      </w:pPr>
      <w:r>
        <w:rPr>
          <w:color w:val="auto"/>
          <w:spacing w:val="-10"/>
          <w:sz w:val="21"/>
        </w:rPr>
        <w:t xml:space="preserve">通过资格审查的合格供应商不足 </w:t>
      </w:r>
      <w:r>
        <w:rPr>
          <w:color w:val="auto"/>
          <w:spacing w:val="-6"/>
          <w:sz w:val="21"/>
        </w:rPr>
        <w:t>3</w:t>
      </w:r>
      <w:r>
        <w:rPr>
          <w:color w:val="auto"/>
          <w:spacing w:val="-13"/>
          <w:sz w:val="21"/>
        </w:rPr>
        <w:t xml:space="preserve"> 家的，不得进入符合性审查环节，应当重新开展采购活</w:t>
      </w:r>
    </w:p>
    <w:p w14:paraId="171282AA">
      <w:pPr>
        <w:pStyle w:val="12"/>
        <w:spacing w:before="147"/>
        <w:rPr>
          <w:color w:val="auto"/>
        </w:rPr>
      </w:pPr>
      <w:r>
        <w:rPr>
          <w:color w:val="auto"/>
          <w:spacing w:val="-9"/>
        </w:rPr>
        <w:t>动。</w:t>
      </w:r>
    </w:p>
    <w:p w14:paraId="37CB9C4E">
      <w:pPr>
        <w:pStyle w:val="10"/>
        <w:numPr>
          <w:ilvl w:val="0"/>
          <w:numId w:val="25"/>
        </w:numPr>
        <w:tabs>
          <w:tab w:val="left" w:pos="1511"/>
        </w:tabs>
        <w:spacing w:before="119" w:after="0" w:line="240" w:lineRule="auto"/>
        <w:ind w:left="1511" w:right="0" w:hanging="243"/>
        <w:jc w:val="left"/>
        <w:rPr>
          <w:rFonts w:hint="eastAsia" w:ascii="黑体" w:eastAsia="黑体"/>
          <w:color w:val="auto"/>
          <w:sz w:val="22"/>
        </w:rPr>
      </w:pPr>
      <w:r>
        <w:rPr>
          <w:rFonts w:hint="eastAsia" w:ascii="黑体" w:eastAsia="黑体"/>
          <w:color w:val="auto"/>
          <w:spacing w:val="-2"/>
        </w:rPr>
        <w:t>符合性审查</w:t>
      </w:r>
    </w:p>
    <w:p w14:paraId="5F1A1D2D">
      <w:pPr>
        <w:spacing w:after="0" w:line="240" w:lineRule="auto"/>
        <w:jc w:val="left"/>
        <w:rPr>
          <w:rFonts w:hint="eastAsia" w:ascii="黑体" w:eastAsia="黑体"/>
          <w:color w:val="auto"/>
          <w:sz w:val="22"/>
        </w:rPr>
        <w:sectPr>
          <w:pgSz w:w="11910" w:h="16840"/>
          <w:pgMar w:top="1400" w:right="740" w:bottom="1180" w:left="800" w:header="0" w:footer="989" w:gutter="0"/>
          <w:cols w:space="720" w:num="1"/>
        </w:sectPr>
      </w:pPr>
    </w:p>
    <w:p w14:paraId="5BB04B3A">
      <w:pPr>
        <w:pStyle w:val="21"/>
        <w:numPr>
          <w:ilvl w:val="1"/>
          <w:numId w:val="25"/>
        </w:numPr>
        <w:tabs>
          <w:tab w:val="left" w:pos="1574"/>
        </w:tabs>
        <w:spacing w:before="45" w:after="0" w:line="369" w:lineRule="auto"/>
        <w:ind w:left="788" w:right="791" w:firstLine="420"/>
        <w:jc w:val="both"/>
        <w:rPr>
          <w:color w:val="auto"/>
          <w:sz w:val="21"/>
        </w:rPr>
      </w:pPr>
      <w:r>
        <w:rPr>
          <w:color w:val="auto"/>
          <w:spacing w:val="-2"/>
          <w:sz w:val="21"/>
        </w:rPr>
        <w:t>磋商小组对通过资格审查的合格供应商的响应文件的竞标报价、商务、技术等实质性要求进行符合性审查，以确定其是否满足磋商文件的实质性要求。</w:t>
      </w:r>
    </w:p>
    <w:p w14:paraId="62CB83D3">
      <w:pPr>
        <w:pStyle w:val="21"/>
        <w:numPr>
          <w:ilvl w:val="1"/>
          <w:numId w:val="25"/>
        </w:numPr>
        <w:tabs>
          <w:tab w:val="left" w:pos="1574"/>
        </w:tabs>
        <w:spacing w:before="0" w:after="0" w:line="369" w:lineRule="auto"/>
        <w:ind w:left="788" w:right="788" w:firstLine="420"/>
        <w:jc w:val="both"/>
        <w:rPr>
          <w:color w:val="auto"/>
          <w:sz w:val="21"/>
        </w:rPr>
      </w:pPr>
      <w:r>
        <w:rPr>
          <w:color w:val="auto"/>
          <w:spacing w:val="-1"/>
          <w:w w:val="99"/>
          <w:sz w:val="21"/>
        </w:rPr>
        <w:t>磋商小组在对响应文件进行符合性审查时，可以要求供应商对响应文件中含义不明确、</w:t>
      </w:r>
      <w:r>
        <w:rPr>
          <w:color w:val="auto"/>
          <w:spacing w:val="3"/>
          <w:w w:val="99"/>
          <w:sz w:val="21"/>
        </w:rPr>
        <w:t>同类问题表述不一致或者有明显文字和计算错误的内容等作出必要的澄清、说明或者更正。供</w:t>
      </w:r>
      <w:r>
        <w:rPr>
          <w:color w:val="auto"/>
          <w:spacing w:val="-1"/>
          <w:w w:val="99"/>
          <w:sz w:val="21"/>
        </w:rPr>
        <w:t>应商的澄清、说明或者更正不得超出响应文件的范围或者改变响应文件的实质性内容。</w:t>
      </w:r>
    </w:p>
    <w:p w14:paraId="43F52B68">
      <w:pPr>
        <w:pStyle w:val="21"/>
        <w:numPr>
          <w:ilvl w:val="1"/>
          <w:numId w:val="25"/>
        </w:numPr>
        <w:tabs>
          <w:tab w:val="left" w:pos="1573"/>
        </w:tabs>
        <w:spacing w:before="0" w:after="0" w:line="369" w:lineRule="auto"/>
        <w:ind w:left="788" w:right="788" w:firstLine="420"/>
        <w:jc w:val="both"/>
        <w:rPr>
          <w:color w:val="auto"/>
          <w:sz w:val="21"/>
        </w:rPr>
      </w:pPr>
      <w:r>
        <w:rPr>
          <w:color w:val="auto"/>
          <w:spacing w:val="-1"/>
          <w:w w:val="99"/>
          <w:sz w:val="21"/>
        </w:rPr>
        <w:t>磋商小组要求供应商澄清、说明或者更正响应文件应当以电子澄清函形式作出。供应商</w:t>
      </w:r>
      <w:r>
        <w:rPr>
          <w:color w:val="auto"/>
          <w:spacing w:val="3"/>
          <w:w w:val="99"/>
          <w:sz w:val="21"/>
        </w:rPr>
        <w:t>的澄清、说明或者更正应当以电子回函形式按照磋商小组的要求作出明确的澄清、说明或者更正，未按磋商小组的要求作出明确澄清、说明或者更正的供应商的响应文件将按照有利于采购</w:t>
      </w:r>
      <w:r>
        <w:rPr>
          <w:color w:val="auto"/>
          <w:spacing w:val="-1"/>
          <w:w w:val="99"/>
          <w:sz w:val="21"/>
        </w:rPr>
        <w:t>人的原则由磋商小组进行判定。供应商的澄清、说明或者更正必须加盖电子签章。</w:t>
      </w:r>
    </w:p>
    <w:p w14:paraId="528EC62F">
      <w:pPr>
        <w:pStyle w:val="12"/>
        <w:spacing w:before="0" w:line="369" w:lineRule="auto"/>
        <w:ind w:right="788" w:firstLine="420"/>
        <w:jc w:val="both"/>
        <w:rPr>
          <w:color w:val="auto"/>
        </w:rPr>
      </w:pPr>
      <w:r>
        <w:rPr>
          <w:color w:val="auto"/>
          <w:spacing w:val="3"/>
          <w:w w:val="99"/>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w:t>
      </w:r>
      <w:r>
        <w:rPr>
          <w:color w:val="auto"/>
          <w:spacing w:val="-1"/>
          <w:w w:val="99"/>
        </w:rPr>
        <w:t>者其授权的代表签字。</w:t>
      </w:r>
    </w:p>
    <w:p w14:paraId="40D77BF8">
      <w:pPr>
        <w:pStyle w:val="21"/>
        <w:numPr>
          <w:ilvl w:val="1"/>
          <w:numId w:val="25"/>
        </w:numPr>
        <w:tabs>
          <w:tab w:val="left" w:pos="1528"/>
        </w:tabs>
        <w:spacing w:before="0" w:after="0" w:line="271" w:lineRule="exact"/>
        <w:ind w:left="1528" w:right="0" w:hanging="344"/>
        <w:jc w:val="both"/>
        <w:rPr>
          <w:color w:val="auto"/>
          <w:sz w:val="21"/>
        </w:rPr>
      </w:pPr>
      <w:r>
        <w:rPr>
          <w:color w:val="auto"/>
          <w:spacing w:val="-3"/>
          <w:sz w:val="21"/>
        </w:rPr>
        <w:t>首次响应文件报价出现前后不一致的，按照下列规定修正：</w:t>
      </w:r>
    </w:p>
    <w:p w14:paraId="5510CF6C">
      <w:pPr>
        <w:pStyle w:val="21"/>
        <w:numPr>
          <w:ilvl w:val="0"/>
          <w:numId w:val="28"/>
        </w:numPr>
        <w:tabs>
          <w:tab w:val="left" w:pos="1729"/>
        </w:tabs>
        <w:spacing w:before="143" w:after="0" w:line="240" w:lineRule="auto"/>
        <w:ind w:left="1729" w:right="0" w:hanging="521"/>
        <w:jc w:val="left"/>
        <w:rPr>
          <w:color w:val="auto"/>
          <w:sz w:val="21"/>
        </w:rPr>
      </w:pPr>
      <w:r>
        <w:rPr>
          <w:color w:val="auto"/>
          <w:spacing w:val="-3"/>
          <w:sz w:val="21"/>
        </w:rPr>
        <w:t>响应文件中报价表内容与响应文件中相应内容不一致的，以报价表为准；</w:t>
      </w:r>
    </w:p>
    <w:p w14:paraId="2057FCA2">
      <w:pPr>
        <w:pStyle w:val="21"/>
        <w:numPr>
          <w:ilvl w:val="0"/>
          <w:numId w:val="28"/>
        </w:numPr>
        <w:tabs>
          <w:tab w:val="left" w:pos="1729"/>
        </w:tabs>
        <w:spacing w:before="147" w:after="0" w:line="240" w:lineRule="auto"/>
        <w:ind w:left="1729" w:right="0" w:hanging="521"/>
        <w:jc w:val="left"/>
        <w:rPr>
          <w:color w:val="auto"/>
          <w:sz w:val="21"/>
        </w:rPr>
      </w:pPr>
      <w:r>
        <w:rPr>
          <w:color w:val="auto"/>
          <w:spacing w:val="-3"/>
          <w:sz w:val="21"/>
        </w:rPr>
        <w:t>大写金额和小写金额不一致的，以大写金额为准；</w:t>
      </w:r>
    </w:p>
    <w:p w14:paraId="25E474A6">
      <w:pPr>
        <w:pStyle w:val="21"/>
        <w:numPr>
          <w:ilvl w:val="0"/>
          <w:numId w:val="28"/>
        </w:numPr>
        <w:tabs>
          <w:tab w:val="left" w:pos="1729"/>
        </w:tabs>
        <w:spacing w:before="147" w:after="0" w:line="240" w:lineRule="auto"/>
        <w:ind w:left="1729" w:right="0" w:hanging="521"/>
        <w:jc w:val="left"/>
        <w:rPr>
          <w:color w:val="auto"/>
          <w:sz w:val="21"/>
        </w:rPr>
      </w:pPr>
      <w:r>
        <w:rPr>
          <w:color w:val="auto"/>
          <w:spacing w:val="-3"/>
          <w:sz w:val="21"/>
        </w:rPr>
        <w:t>单价金额小数点或者百分比有明显错位的，以报价表的总价为准，并修改单价；</w:t>
      </w:r>
    </w:p>
    <w:p w14:paraId="646444F9">
      <w:pPr>
        <w:pStyle w:val="21"/>
        <w:numPr>
          <w:ilvl w:val="0"/>
          <w:numId w:val="28"/>
        </w:numPr>
        <w:tabs>
          <w:tab w:val="left" w:pos="1729"/>
        </w:tabs>
        <w:spacing w:before="147" w:after="0" w:line="240" w:lineRule="auto"/>
        <w:ind w:left="1729" w:right="0" w:hanging="521"/>
        <w:jc w:val="left"/>
        <w:rPr>
          <w:color w:val="auto"/>
          <w:sz w:val="21"/>
        </w:rPr>
      </w:pPr>
      <w:r>
        <w:rPr>
          <w:color w:val="auto"/>
          <w:spacing w:val="-3"/>
          <w:sz w:val="21"/>
        </w:rPr>
        <w:t>总价金额与按单价汇总金额不一致的，以单价金额计算结果为准。</w:t>
      </w:r>
    </w:p>
    <w:p w14:paraId="352E6416">
      <w:pPr>
        <w:pStyle w:val="12"/>
        <w:spacing w:before="147" w:line="369" w:lineRule="auto"/>
        <w:ind w:right="791" w:firstLine="420"/>
        <w:rPr>
          <w:color w:val="auto"/>
        </w:rPr>
      </w:pPr>
      <w:r>
        <w:rPr>
          <w:color w:val="auto"/>
          <w:spacing w:val="-2"/>
        </w:rPr>
        <w:t>同时出现两种以上不一致的，按照以上（1）-（4）规定的顺序逐条进行修正。修正后的报价经供应商确认后产生约束力，供应商不确认的，其响应文件按无效处理。</w:t>
      </w:r>
    </w:p>
    <w:p w14:paraId="75E4BC02">
      <w:pPr>
        <w:pStyle w:val="21"/>
        <w:numPr>
          <w:ilvl w:val="1"/>
          <w:numId w:val="25"/>
        </w:numPr>
        <w:tabs>
          <w:tab w:val="left" w:pos="1573"/>
        </w:tabs>
        <w:spacing w:before="0" w:after="0" w:line="272" w:lineRule="exact"/>
        <w:ind w:left="1573" w:right="0" w:hanging="365"/>
        <w:jc w:val="left"/>
        <w:rPr>
          <w:color w:val="auto"/>
          <w:sz w:val="21"/>
        </w:rPr>
      </w:pPr>
      <w:r>
        <w:rPr>
          <w:color w:val="auto"/>
          <w:spacing w:val="-4"/>
          <w:sz w:val="21"/>
        </w:rPr>
        <w:t>商务技术报价评审</w:t>
      </w:r>
    </w:p>
    <w:p w14:paraId="16828E96">
      <w:pPr>
        <w:spacing w:before="147"/>
        <w:ind w:left="1208" w:right="0" w:firstLine="0"/>
        <w:jc w:val="left"/>
        <w:rPr>
          <w:b/>
          <w:color w:val="auto"/>
          <w:sz w:val="21"/>
        </w:rPr>
      </w:pPr>
      <w:r>
        <w:rPr>
          <w:b/>
          <w:color w:val="auto"/>
          <w:spacing w:val="-3"/>
          <w:sz w:val="21"/>
        </w:rPr>
        <w:t>在评审时，如发现下列情形之一的，将被视为响应文件无效处理：</w:t>
      </w:r>
    </w:p>
    <w:p w14:paraId="1649CD94">
      <w:pPr>
        <w:numPr>
          <w:ilvl w:val="0"/>
          <w:numId w:val="29"/>
        </w:numPr>
        <w:tabs>
          <w:tab w:val="left" w:pos="1737"/>
        </w:tabs>
        <w:spacing w:before="147"/>
        <w:ind w:left="1737" w:right="0" w:hanging="529"/>
        <w:jc w:val="left"/>
        <w:rPr>
          <w:b/>
          <w:color w:val="auto"/>
          <w:sz w:val="21"/>
        </w:rPr>
      </w:pPr>
      <w:r>
        <w:rPr>
          <w:b/>
          <w:color w:val="auto"/>
          <w:spacing w:val="-4"/>
          <w:sz w:val="21"/>
        </w:rPr>
        <w:t>商务技术评审</w:t>
      </w:r>
    </w:p>
    <w:p w14:paraId="185A045A">
      <w:pPr>
        <w:numPr>
          <w:ilvl w:val="0"/>
          <w:numId w:val="30"/>
        </w:numPr>
        <w:tabs>
          <w:tab w:val="left" w:pos="1526"/>
        </w:tabs>
        <w:spacing w:before="147"/>
        <w:ind w:left="1526" w:right="0" w:hanging="318"/>
        <w:jc w:val="left"/>
        <w:rPr>
          <w:b/>
          <w:color w:val="auto"/>
          <w:sz w:val="21"/>
        </w:rPr>
      </w:pPr>
      <w:r>
        <w:rPr>
          <w:b/>
          <w:color w:val="auto"/>
          <w:spacing w:val="-3"/>
          <w:sz w:val="21"/>
        </w:rPr>
        <w:t>响应文件未按磋商文件要求签署、盖章的；</w:t>
      </w:r>
    </w:p>
    <w:p w14:paraId="6E8313E2">
      <w:pPr>
        <w:numPr>
          <w:ilvl w:val="0"/>
          <w:numId w:val="30"/>
        </w:numPr>
        <w:tabs>
          <w:tab w:val="left" w:pos="1526"/>
        </w:tabs>
        <w:spacing w:before="147"/>
        <w:ind w:left="1526" w:right="0" w:hanging="318"/>
        <w:jc w:val="left"/>
        <w:rPr>
          <w:b/>
          <w:color w:val="auto"/>
          <w:sz w:val="21"/>
        </w:rPr>
      </w:pPr>
      <w:r>
        <w:rPr>
          <w:b/>
          <w:color w:val="auto"/>
          <w:spacing w:val="-3"/>
          <w:sz w:val="21"/>
        </w:rPr>
        <w:t>委托代理人未能出具有效身份证或者出具的身份证与授权委托书中的信息不符的；</w:t>
      </w:r>
    </w:p>
    <w:p w14:paraId="21C6A556">
      <w:pPr>
        <w:numPr>
          <w:ilvl w:val="0"/>
          <w:numId w:val="30"/>
        </w:numPr>
        <w:tabs>
          <w:tab w:val="left" w:pos="1526"/>
        </w:tabs>
        <w:spacing w:before="147"/>
        <w:ind w:left="1526" w:right="0" w:hanging="318"/>
        <w:jc w:val="left"/>
        <w:rPr>
          <w:b/>
          <w:color w:val="auto"/>
          <w:sz w:val="21"/>
        </w:rPr>
      </w:pPr>
      <w:r>
        <w:rPr>
          <w:b/>
          <w:color w:val="auto"/>
          <w:spacing w:val="-3"/>
          <w:sz w:val="21"/>
        </w:rPr>
        <w:t>提交的磋商保证金无效的或者未按照磋商文件的规定提交磋商保证金的；</w:t>
      </w:r>
    </w:p>
    <w:p w14:paraId="14CC87EB">
      <w:pPr>
        <w:numPr>
          <w:ilvl w:val="0"/>
          <w:numId w:val="30"/>
        </w:numPr>
        <w:tabs>
          <w:tab w:val="left" w:pos="1532"/>
        </w:tabs>
        <w:spacing w:before="147" w:line="369" w:lineRule="auto"/>
        <w:ind w:left="788" w:right="792" w:firstLine="420"/>
        <w:jc w:val="both"/>
        <w:rPr>
          <w:b/>
          <w:color w:val="auto"/>
          <w:sz w:val="21"/>
        </w:rPr>
      </w:pPr>
      <w:r>
        <w:rPr>
          <w:b/>
          <w:color w:val="auto"/>
          <w:spacing w:val="3"/>
          <w:w w:val="99"/>
          <w:sz w:val="21"/>
        </w:rPr>
        <w:t>响应文件未提供任一项“供应商须知前附表”商务技术文件中</w:t>
      </w:r>
      <w:r>
        <w:rPr>
          <w:b/>
          <w:color w:val="auto"/>
          <w:spacing w:val="9"/>
          <w:w w:val="100"/>
          <w:sz w:val="21"/>
        </w:rPr>
        <w:t xml:space="preserve"> </w:t>
      </w:r>
      <w:r>
        <w:rPr>
          <w:b/>
          <w:color w:val="auto"/>
          <w:w w:val="99"/>
          <w:sz w:val="21"/>
        </w:rPr>
        <w:t>“必须提供”或者“委</w:t>
      </w:r>
      <w:r>
        <w:rPr>
          <w:b/>
          <w:color w:val="auto"/>
          <w:spacing w:val="2"/>
          <w:w w:val="99"/>
          <w:sz w:val="21"/>
        </w:rPr>
        <w:t>托时必须提供”的文件资料；响应文件提供的商务技术文件出现任一项不符合“供应商须知前</w:t>
      </w:r>
      <w:r>
        <w:rPr>
          <w:b/>
          <w:color w:val="auto"/>
          <w:spacing w:val="1"/>
          <w:w w:val="99"/>
          <w:sz w:val="21"/>
        </w:rPr>
        <w:t>附表”商务技术文件中</w:t>
      </w:r>
      <w:r>
        <w:rPr>
          <w:b/>
          <w:color w:val="auto"/>
          <w:spacing w:val="4"/>
          <w:w w:val="100"/>
          <w:sz w:val="21"/>
        </w:rPr>
        <w:t xml:space="preserve"> </w:t>
      </w:r>
      <w:r>
        <w:rPr>
          <w:b/>
          <w:color w:val="auto"/>
          <w:w w:val="99"/>
          <w:sz w:val="21"/>
        </w:rPr>
        <w:t>“必须提供”或者“委托时必须提供”文件资料要求的规定或者提供的商务技术文件无效的。</w:t>
      </w:r>
    </w:p>
    <w:p w14:paraId="25D25A1F">
      <w:pPr>
        <w:numPr>
          <w:ilvl w:val="0"/>
          <w:numId w:val="30"/>
        </w:numPr>
        <w:tabs>
          <w:tab w:val="left" w:pos="1526"/>
        </w:tabs>
        <w:spacing w:before="0" w:line="271" w:lineRule="exact"/>
        <w:ind w:left="1526" w:right="0" w:hanging="318"/>
        <w:jc w:val="left"/>
        <w:rPr>
          <w:b/>
          <w:color w:val="auto"/>
          <w:sz w:val="21"/>
        </w:rPr>
      </w:pPr>
      <w:r>
        <w:rPr>
          <w:b/>
          <w:color w:val="auto"/>
          <w:spacing w:val="-3"/>
          <w:sz w:val="21"/>
        </w:rPr>
        <w:t>响应文件的实质性内容未使用中文表述、使用计量单位不符合磋商文件要求的；</w:t>
      </w:r>
    </w:p>
    <w:p w14:paraId="173194C0">
      <w:pPr>
        <w:numPr>
          <w:ilvl w:val="0"/>
          <w:numId w:val="30"/>
        </w:numPr>
        <w:tabs>
          <w:tab w:val="left" w:pos="1528"/>
        </w:tabs>
        <w:spacing w:before="147" w:line="369" w:lineRule="auto"/>
        <w:ind w:left="788" w:right="791" w:firstLine="420"/>
        <w:jc w:val="left"/>
        <w:rPr>
          <w:b/>
          <w:color w:val="auto"/>
          <w:sz w:val="21"/>
        </w:rPr>
      </w:pPr>
      <w:r>
        <w:rPr>
          <w:b/>
          <w:color w:val="auto"/>
          <w:spacing w:val="-2"/>
          <w:sz w:val="21"/>
        </w:rPr>
        <w:t>响应文件中的文件资料因填写不齐全或者内容虚假或者出现其他情形而导致被磋商小组认定无效的；</w:t>
      </w:r>
    </w:p>
    <w:p w14:paraId="72846C51">
      <w:pPr>
        <w:spacing w:after="0" w:line="369" w:lineRule="auto"/>
        <w:jc w:val="left"/>
        <w:rPr>
          <w:color w:val="auto"/>
          <w:sz w:val="21"/>
        </w:rPr>
        <w:sectPr>
          <w:pgSz w:w="11910" w:h="16840"/>
          <w:pgMar w:top="1500" w:right="740" w:bottom="1180" w:left="800" w:header="0" w:footer="989" w:gutter="0"/>
          <w:cols w:space="720" w:num="1"/>
        </w:sectPr>
      </w:pPr>
    </w:p>
    <w:p w14:paraId="5E14F0C4">
      <w:pPr>
        <w:numPr>
          <w:ilvl w:val="0"/>
          <w:numId w:val="30"/>
        </w:numPr>
        <w:tabs>
          <w:tab w:val="left" w:pos="1526"/>
        </w:tabs>
        <w:spacing w:before="45"/>
        <w:ind w:left="1526" w:right="0" w:hanging="318"/>
        <w:jc w:val="left"/>
        <w:rPr>
          <w:b/>
          <w:color w:val="auto"/>
          <w:sz w:val="21"/>
        </w:rPr>
      </w:pPr>
      <w:r>
        <w:rPr>
          <w:b/>
          <w:color w:val="auto"/>
          <w:spacing w:val="-3"/>
          <w:sz w:val="21"/>
        </w:rPr>
        <w:t>响应文件含有采购人不能接受的附加条件的；</w:t>
      </w:r>
    </w:p>
    <w:p w14:paraId="62346259">
      <w:pPr>
        <w:numPr>
          <w:ilvl w:val="0"/>
          <w:numId w:val="30"/>
        </w:numPr>
        <w:tabs>
          <w:tab w:val="left" w:pos="1526"/>
        </w:tabs>
        <w:spacing w:before="147"/>
        <w:ind w:left="1526" w:right="0" w:hanging="318"/>
        <w:jc w:val="left"/>
        <w:rPr>
          <w:b/>
          <w:color w:val="auto"/>
          <w:sz w:val="21"/>
        </w:rPr>
      </w:pPr>
      <w:r>
        <w:rPr>
          <w:b/>
          <w:color w:val="auto"/>
          <w:spacing w:val="-5"/>
          <w:sz w:val="21"/>
        </w:rPr>
        <w:t xml:space="preserve">属于“供应商须知正文”第 </w:t>
      </w:r>
      <w:r>
        <w:rPr>
          <w:b/>
          <w:color w:val="auto"/>
          <w:spacing w:val="-2"/>
          <w:sz w:val="21"/>
        </w:rPr>
        <w:t>7.5</w:t>
      </w:r>
      <w:r>
        <w:rPr>
          <w:b/>
          <w:color w:val="auto"/>
          <w:spacing w:val="-9"/>
          <w:sz w:val="21"/>
        </w:rPr>
        <w:t xml:space="preserve"> 条供应商相互串通竞标情形的；</w:t>
      </w:r>
    </w:p>
    <w:p w14:paraId="5F334C3C">
      <w:pPr>
        <w:numPr>
          <w:ilvl w:val="0"/>
          <w:numId w:val="30"/>
        </w:numPr>
        <w:tabs>
          <w:tab w:val="left" w:pos="1526"/>
        </w:tabs>
        <w:spacing w:before="147"/>
        <w:ind w:left="1526" w:right="0" w:hanging="318"/>
        <w:jc w:val="left"/>
        <w:rPr>
          <w:b/>
          <w:color w:val="auto"/>
          <w:sz w:val="21"/>
        </w:rPr>
      </w:pPr>
      <w:r>
        <w:rPr>
          <w:b/>
          <w:color w:val="auto"/>
          <w:spacing w:val="-3"/>
          <w:sz w:val="21"/>
        </w:rPr>
        <w:t>虚假竞标，或者出现其他情形而导致被磋商小组认定无效的；</w:t>
      </w:r>
    </w:p>
    <w:p w14:paraId="7B0BC407">
      <w:pPr>
        <w:numPr>
          <w:ilvl w:val="0"/>
          <w:numId w:val="30"/>
        </w:numPr>
        <w:tabs>
          <w:tab w:val="left" w:pos="1638"/>
        </w:tabs>
        <w:spacing w:before="147" w:line="369" w:lineRule="auto"/>
        <w:ind w:left="788" w:right="791" w:firstLine="420"/>
        <w:jc w:val="left"/>
        <w:rPr>
          <w:b/>
          <w:color w:val="auto"/>
          <w:sz w:val="21"/>
        </w:rPr>
      </w:pPr>
      <w:r>
        <w:rPr>
          <w:b/>
          <w:color w:val="auto"/>
          <w:spacing w:val="4"/>
          <w:w w:val="99"/>
          <w:sz w:val="21"/>
        </w:rPr>
        <w:t>磋商文件未载明允许提供备选（</w:t>
      </w:r>
      <w:r>
        <w:rPr>
          <w:b/>
          <w:color w:val="auto"/>
          <w:spacing w:val="5"/>
          <w:w w:val="99"/>
          <w:sz w:val="21"/>
        </w:rPr>
        <w:t>替代</w:t>
      </w:r>
      <w:r>
        <w:rPr>
          <w:b/>
          <w:color w:val="auto"/>
          <w:spacing w:val="4"/>
          <w:w w:val="99"/>
          <w:sz w:val="21"/>
        </w:rPr>
        <w:t>）竞标方案或明确不允许提供备选（</w:t>
      </w:r>
      <w:r>
        <w:rPr>
          <w:b/>
          <w:color w:val="auto"/>
          <w:spacing w:val="5"/>
          <w:w w:val="99"/>
          <w:sz w:val="21"/>
        </w:rPr>
        <w:t>替代</w:t>
      </w:r>
      <w:r>
        <w:rPr>
          <w:b/>
          <w:color w:val="auto"/>
          <w:spacing w:val="4"/>
          <w:w w:val="99"/>
          <w:sz w:val="21"/>
        </w:rPr>
        <w:t>）</w:t>
      </w:r>
      <w:r>
        <w:rPr>
          <w:b/>
          <w:color w:val="auto"/>
          <w:spacing w:val="-15"/>
          <w:w w:val="99"/>
          <w:sz w:val="21"/>
        </w:rPr>
        <w:t>竞标</w:t>
      </w:r>
      <w:r>
        <w:rPr>
          <w:b/>
          <w:color w:val="auto"/>
          <w:w w:val="99"/>
          <w:sz w:val="21"/>
        </w:rPr>
        <w:t>方案时，供应商提供了备选</w:t>
      </w:r>
      <w:r>
        <w:rPr>
          <w:b/>
          <w:color w:val="auto"/>
          <w:spacing w:val="2"/>
          <w:w w:val="99"/>
          <w:sz w:val="21"/>
        </w:rPr>
        <w:t>（替代</w:t>
      </w:r>
      <w:r>
        <w:rPr>
          <w:b/>
          <w:color w:val="auto"/>
          <w:spacing w:val="-1"/>
          <w:w w:val="99"/>
          <w:sz w:val="21"/>
        </w:rPr>
        <w:t>）</w:t>
      </w:r>
      <w:r>
        <w:rPr>
          <w:b/>
          <w:color w:val="auto"/>
          <w:spacing w:val="1"/>
          <w:w w:val="99"/>
          <w:sz w:val="21"/>
        </w:rPr>
        <w:t>竞标方案的；</w:t>
      </w:r>
    </w:p>
    <w:p w14:paraId="76ACB081">
      <w:pPr>
        <w:numPr>
          <w:ilvl w:val="0"/>
          <w:numId w:val="30"/>
        </w:numPr>
        <w:tabs>
          <w:tab w:val="left" w:pos="1638"/>
        </w:tabs>
        <w:spacing w:before="0" w:line="369" w:lineRule="auto"/>
        <w:ind w:left="788" w:right="791" w:firstLine="420"/>
        <w:jc w:val="left"/>
        <w:rPr>
          <w:b/>
          <w:color w:val="auto"/>
          <w:sz w:val="21"/>
        </w:rPr>
      </w:pPr>
      <w:r>
        <w:rPr>
          <w:b/>
          <w:color w:val="auto"/>
          <w:spacing w:val="2"/>
          <w:w w:val="99"/>
          <w:sz w:val="21"/>
        </w:rPr>
        <w:t>响应文件标注的项目名称或者项目编号与磋商文件标注的项目名称或者项目编号不一</w:t>
      </w:r>
      <w:r>
        <w:rPr>
          <w:b/>
          <w:color w:val="auto"/>
          <w:spacing w:val="1"/>
          <w:w w:val="99"/>
          <w:sz w:val="21"/>
        </w:rPr>
        <w:t>致的；</w:t>
      </w:r>
    </w:p>
    <w:p w14:paraId="3608CD69">
      <w:pPr>
        <w:numPr>
          <w:ilvl w:val="0"/>
          <w:numId w:val="30"/>
        </w:numPr>
        <w:tabs>
          <w:tab w:val="left" w:pos="1631"/>
        </w:tabs>
        <w:spacing w:before="0" w:line="272" w:lineRule="exact"/>
        <w:ind w:left="1631" w:right="0" w:hanging="423"/>
        <w:jc w:val="left"/>
        <w:rPr>
          <w:b/>
          <w:color w:val="auto"/>
          <w:sz w:val="21"/>
        </w:rPr>
      </w:pPr>
      <w:r>
        <w:rPr>
          <w:b/>
          <w:color w:val="auto"/>
          <w:spacing w:val="-3"/>
          <w:sz w:val="21"/>
        </w:rPr>
        <w:t>竞争性磋商文件明确不允许分包，响应文件拟分包的；</w:t>
      </w:r>
    </w:p>
    <w:p w14:paraId="00FC6BC8">
      <w:pPr>
        <w:numPr>
          <w:ilvl w:val="0"/>
          <w:numId w:val="30"/>
        </w:numPr>
        <w:tabs>
          <w:tab w:val="left" w:pos="1632"/>
        </w:tabs>
        <w:spacing w:before="146"/>
        <w:ind w:left="1632" w:right="0" w:hanging="424"/>
        <w:jc w:val="left"/>
        <w:rPr>
          <w:b/>
          <w:color w:val="auto"/>
          <w:sz w:val="21"/>
        </w:rPr>
      </w:pPr>
      <w:r>
        <w:rPr>
          <w:b/>
          <w:color w:val="auto"/>
          <w:spacing w:val="-3"/>
          <w:sz w:val="21"/>
        </w:rPr>
        <w:t>未响应磋商文件实质性要求的；</w:t>
      </w:r>
    </w:p>
    <w:p w14:paraId="290BABDF">
      <w:pPr>
        <w:numPr>
          <w:ilvl w:val="0"/>
          <w:numId w:val="30"/>
        </w:numPr>
        <w:tabs>
          <w:tab w:val="left" w:pos="1631"/>
        </w:tabs>
        <w:spacing w:before="147"/>
        <w:ind w:left="1631" w:right="0" w:hanging="423"/>
        <w:jc w:val="left"/>
        <w:rPr>
          <w:b/>
          <w:color w:val="auto"/>
          <w:sz w:val="21"/>
        </w:rPr>
      </w:pPr>
      <w:r>
        <w:rPr>
          <w:b/>
          <w:color w:val="auto"/>
          <w:spacing w:val="-3"/>
          <w:sz w:val="21"/>
        </w:rPr>
        <w:t>法律、法规和磋商文件规定的其他无效情形。</w:t>
      </w:r>
    </w:p>
    <w:p w14:paraId="43CDD11F">
      <w:pPr>
        <w:numPr>
          <w:ilvl w:val="0"/>
          <w:numId w:val="29"/>
        </w:numPr>
        <w:tabs>
          <w:tab w:val="left" w:pos="1737"/>
        </w:tabs>
        <w:spacing w:before="147"/>
        <w:ind w:left="1737" w:right="0" w:hanging="529"/>
        <w:jc w:val="left"/>
        <w:rPr>
          <w:b/>
          <w:color w:val="auto"/>
          <w:sz w:val="21"/>
        </w:rPr>
      </w:pPr>
      <w:r>
        <w:rPr>
          <w:b/>
          <w:color w:val="auto"/>
          <w:spacing w:val="-4"/>
          <w:sz w:val="21"/>
        </w:rPr>
        <w:t>报价评审</w:t>
      </w:r>
    </w:p>
    <w:p w14:paraId="744D5A1F">
      <w:pPr>
        <w:numPr>
          <w:ilvl w:val="0"/>
          <w:numId w:val="31"/>
        </w:numPr>
        <w:tabs>
          <w:tab w:val="left" w:pos="1631"/>
        </w:tabs>
        <w:spacing w:before="147"/>
        <w:ind w:left="1631" w:right="0" w:hanging="423"/>
        <w:jc w:val="left"/>
        <w:rPr>
          <w:b/>
          <w:color w:val="auto"/>
          <w:sz w:val="21"/>
        </w:rPr>
      </w:pPr>
      <w:r>
        <w:rPr>
          <w:b/>
          <w:color w:val="auto"/>
          <w:spacing w:val="-3"/>
          <w:sz w:val="21"/>
        </w:rPr>
        <w:t>响应文件未提供“供应商须知前附表” 报价文件中规定的“竞标报价表”的；</w:t>
      </w:r>
    </w:p>
    <w:p w14:paraId="1A393B1D">
      <w:pPr>
        <w:numPr>
          <w:ilvl w:val="0"/>
          <w:numId w:val="31"/>
        </w:numPr>
        <w:tabs>
          <w:tab w:val="left" w:pos="1526"/>
        </w:tabs>
        <w:spacing w:before="147"/>
        <w:ind w:left="1526" w:right="0" w:hanging="318"/>
        <w:jc w:val="left"/>
        <w:rPr>
          <w:b/>
          <w:color w:val="auto"/>
          <w:sz w:val="21"/>
        </w:rPr>
      </w:pPr>
      <w:r>
        <w:rPr>
          <w:b/>
          <w:color w:val="auto"/>
          <w:spacing w:val="-3"/>
          <w:sz w:val="21"/>
        </w:rPr>
        <w:t>未采用人民币报价或者未按照磋商文件标明的币种报价的；</w:t>
      </w:r>
    </w:p>
    <w:p w14:paraId="043BA0D3">
      <w:pPr>
        <w:numPr>
          <w:ilvl w:val="0"/>
          <w:numId w:val="31"/>
        </w:numPr>
        <w:tabs>
          <w:tab w:val="left" w:pos="1528"/>
        </w:tabs>
        <w:spacing w:before="147" w:line="369" w:lineRule="auto"/>
        <w:ind w:left="788" w:right="791" w:firstLine="420"/>
        <w:jc w:val="both"/>
        <w:rPr>
          <w:b/>
          <w:color w:val="auto"/>
          <w:sz w:val="21"/>
        </w:rPr>
      </w:pPr>
      <w:r>
        <w:rPr>
          <w:b/>
          <w:color w:val="auto"/>
          <w:w w:val="99"/>
          <w:sz w:val="21"/>
        </w:rPr>
        <w:t>供应商未就所竞标分标进行报价或者存在漏项报价；供应商未就所竞标分标的单项内容</w:t>
      </w:r>
      <w:r>
        <w:rPr>
          <w:b/>
          <w:color w:val="auto"/>
          <w:spacing w:val="3"/>
          <w:w w:val="99"/>
          <w:sz w:val="21"/>
        </w:rPr>
        <w:t>作唯一报价；供应商未就所竞标分标的全部内容作完整唯一总价报价；供应商响应文件中存在</w:t>
      </w:r>
      <w:r>
        <w:rPr>
          <w:b/>
          <w:color w:val="auto"/>
          <w:w w:val="99"/>
          <w:sz w:val="21"/>
        </w:rPr>
        <w:t>有选择、有条件报价的</w:t>
      </w:r>
      <w:r>
        <w:rPr>
          <w:b/>
          <w:color w:val="auto"/>
          <w:spacing w:val="2"/>
          <w:w w:val="99"/>
          <w:sz w:val="21"/>
        </w:rPr>
        <w:t>（</w:t>
      </w:r>
      <w:r>
        <w:rPr>
          <w:b/>
          <w:color w:val="auto"/>
          <w:spacing w:val="-1"/>
          <w:w w:val="99"/>
          <w:sz w:val="21"/>
        </w:rPr>
        <w:t>磋商文件允许有备选方案或者其他约定的除外</w:t>
      </w:r>
      <w:r>
        <w:rPr>
          <w:b/>
          <w:color w:val="auto"/>
          <w:spacing w:val="2"/>
          <w:w w:val="99"/>
          <w:sz w:val="21"/>
        </w:rPr>
        <w:t>）</w:t>
      </w:r>
      <w:r>
        <w:rPr>
          <w:b/>
          <w:color w:val="auto"/>
          <w:w w:val="99"/>
          <w:sz w:val="21"/>
        </w:rPr>
        <w:t>；</w:t>
      </w:r>
    </w:p>
    <w:p w14:paraId="51062560">
      <w:pPr>
        <w:numPr>
          <w:ilvl w:val="0"/>
          <w:numId w:val="31"/>
        </w:numPr>
        <w:tabs>
          <w:tab w:val="left" w:pos="1528"/>
        </w:tabs>
        <w:spacing w:before="0" w:line="369" w:lineRule="auto"/>
        <w:ind w:left="788" w:right="791" w:firstLine="420"/>
        <w:jc w:val="both"/>
        <w:rPr>
          <w:b/>
          <w:color w:val="auto"/>
          <w:sz w:val="21"/>
        </w:rPr>
      </w:pPr>
      <w:r>
        <w:rPr>
          <w:b/>
          <w:color w:val="auto"/>
          <w:spacing w:val="2"/>
          <w:w w:val="99"/>
          <w:sz w:val="21"/>
        </w:rPr>
        <w:t>竞标报价（包含首次报价、最后报价）</w:t>
      </w:r>
      <w:r>
        <w:rPr>
          <w:b/>
          <w:color w:val="auto"/>
          <w:w w:val="99"/>
          <w:sz w:val="21"/>
        </w:rPr>
        <w:t>超过所竞标分标规定的采购预算金额或者最高限</w:t>
      </w:r>
      <w:r>
        <w:rPr>
          <w:b/>
          <w:color w:val="auto"/>
          <w:spacing w:val="5"/>
          <w:w w:val="99"/>
          <w:sz w:val="21"/>
        </w:rPr>
        <w:t>价的</w:t>
      </w:r>
      <w:r>
        <w:rPr>
          <w:b/>
          <w:color w:val="auto"/>
          <w:spacing w:val="4"/>
          <w:w w:val="99"/>
          <w:sz w:val="21"/>
        </w:rPr>
        <w:t>（如本项目公布了最高限价）；竞标报价（包含首次报价、最后报价）</w:t>
      </w:r>
      <w:r>
        <w:rPr>
          <w:b/>
          <w:color w:val="auto"/>
          <w:spacing w:val="-1"/>
          <w:w w:val="99"/>
          <w:sz w:val="21"/>
        </w:rPr>
        <w:t>超过磋商文件分项</w:t>
      </w:r>
      <w:r>
        <w:rPr>
          <w:b/>
          <w:color w:val="auto"/>
          <w:spacing w:val="4"/>
          <w:w w:val="99"/>
          <w:sz w:val="21"/>
        </w:rPr>
        <w:t>采购预算金额或者单价最高限价的（</w:t>
      </w:r>
      <w:r>
        <w:rPr>
          <w:b/>
          <w:color w:val="auto"/>
          <w:spacing w:val="2"/>
          <w:w w:val="99"/>
          <w:sz w:val="21"/>
        </w:rPr>
        <w:t>如项目有要求并公布了分项采购预算金额或者单价最高限价）</w:t>
      </w:r>
      <w:r>
        <w:rPr>
          <w:b/>
          <w:color w:val="auto"/>
          <w:w w:val="99"/>
          <w:sz w:val="21"/>
        </w:rPr>
        <w:t>；</w:t>
      </w:r>
    </w:p>
    <w:p w14:paraId="2AB3300E">
      <w:pPr>
        <w:numPr>
          <w:ilvl w:val="0"/>
          <w:numId w:val="31"/>
        </w:numPr>
        <w:tabs>
          <w:tab w:val="left" w:pos="1526"/>
        </w:tabs>
        <w:spacing w:before="0" w:line="369" w:lineRule="auto"/>
        <w:ind w:left="788" w:right="618" w:firstLine="420"/>
        <w:jc w:val="left"/>
        <w:rPr>
          <w:b/>
          <w:color w:val="auto"/>
          <w:sz w:val="21"/>
        </w:rPr>
      </w:pPr>
      <w:r>
        <w:rPr>
          <w:b/>
          <w:color w:val="auto"/>
          <w:spacing w:val="-1"/>
          <w:w w:val="99"/>
          <w:sz w:val="21"/>
        </w:rPr>
        <w:t>修正后的报价，供应商不确认的；或者经供应商确认修正后的竞标报价</w:t>
      </w:r>
      <w:r>
        <w:rPr>
          <w:b/>
          <w:color w:val="auto"/>
          <w:spacing w:val="2"/>
          <w:w w:val="99"/>
          <w:sz w:val="21"/>
        </w:rPr>
        <w:t>（</w:t>
      </w:r>
      <w:r>
        <w:rPr>
          <w:b/>
          <w:color w:val="auto"/>
          <w:spacing w:val="-6"/>
          <w:w w:val="99"/>
          <w:sz w:val="21"/>
        </w:rPr>
        <w:t>包含首次报价、</w:t>
      </w:r>
      <w:r>
        <w:rPr>
          <w:b/>
          <w:color w:val="auto"/>
          <w:spacing w:val="4"/>
          <w:w w:val="99"/>
          <w:sz w:val="21"/>
        </w:rPr>
        <w:t>最后报价</w:t>
      </w:r>
      <w:r>
        <w:rPr>
          <w:b/>
          <w:color w:val="auto"/>
          <w:spacing w:val="7"/>
          <w:w w:val="99"/>
          <w:sz w:val="21"/>
        </w:rPr>
        <w:t>）</w:t>
      </w:r>
      <w:r>
        <w:rPr>
          <w:b/>
          <w:color w:val="auto"/>
          <w:spacing w:val="4"/>
          <w:w w:val="99"/>
          <w:sz w:val="21"/>
        </w:rPr>
        <w:t>超过所竞标分标规定的采购预算金额或者最高限价（如本项目公布了最高限价）</w:t>
      </w:r>
      <w:r>
        <w:rPr>
          <w:b/>
          <w:color w:val="auto"/>
          <w:w w:val="99"/>
          <w:sz w:val="21"/>
        </w:rPr>
        <w:t>；</w:t>
      </w:r>
      <w:r>
        <w:rPr>
          <w:b/>
          <w:color w:val="auto"/>
          <w:spacing w:val="4"/>
          <w:w w:val="99"/>
          <w:sz w:val="21"/>
        </w:rPr>
        <w:t>或者经供应商确认修正后竞标报价（包含首次报价、最后报价）</w:t>
      </w:r>
      <w:r>
        <w:rPr>
          <w:b/>
          <w:color w:val="auto"/>
          <w:spacing w:val="3"/>
          <w:w w:val="99"/>
          <w:sz w:val="21"/>
        </w:rPr>
        <w:t>超过磋商文件分项采购预算金</w:t>
      </w:r>
      <w:r>
        <w:rPr>
          <w:b/>
          <w:color w:val="auto"/>
          <w:spacing w:val="1"/>
          <w:w w:val="99"/>
          <w:sz w:val="21"/>
        </w:rPr>
        <w:t>额或者最高限价的</w:t>
      </w:r>
      <w:r>
        <w:rPr>
          <w:b/>
          <w:color w:val="auto"/>
          <w:spacing w:val="2"/>
          <w:w w:val="99"/>
          <w:sz w:val="21"/>
        </w:rPr>
        <w:t>（</w:t>
      </w:r>
      <w:r>
        <w:rPr>
          <w:b/>
          <w:color w:val="auto"/>
          <w:spacing w:val="-1"/>
          <w:w w:val="99"/>
          <w:sz w:val="21"/>
        </w:rPr>
        <w:t>如本项目有要求并公布了分项采购预算金额或者最高限价）</w:t>
      </w:r>
      <w:r>
        <w:rPr>
          <w:b/>
          <w:color w:val="auto"/>
          <w:w w:val="99"/>
          <w:sz w:val="21"/>
        </w:rPr>
        <w:t>；</w:t>
      </w:r>
    </w:p>
    <w:p w14:paraId="016DE79C">
      <w:pPr>
        <w:numPr>
          <w:ilvl w:val="0"/>
          <w:numId w:val="31"/>
        </w:numPr>
        <w:tabs>
          <w:tab w:val="left" w:pos="1526"/>
        </w:tabs>
        <w:spacing w:before="0" w:line="271" w:lineRule="exact"/>
        <w:ind w:left="1526" w:right="0" w:hanging="318"/>
        <w:jc w:val="left"/>
        <w:rPr>
          <w:b/>
          <w:color w:val="auto"/>
          <w:sz w:val="21"/>
        </w:rPr>
      </w:pPr>
      <w:r>
        <w:rPr>
          <w:b/>
          <w:color w:val="auto"/>
          <w:spacing w:val="-3"/>
          <w:sz w:val="21"/>
        </w:rPr>
        <w:t>在单价合同工程中供应商采用总价优惠或以总价百分比优惠的方式进行竞标报价的；</w:t>
      </w:r>
    </w:p>
    <w:p w14:paraId="0AC56752">
      <w:pPr>
        <w:numPr>
          <w:ilvl w:val="0"/>
          <w:numId w:val="31"/>
        </w:numPr>
        <w:tabs>
          <w:tab w:val="left" w:pos="1526"/>
        </w:tabs>
        <w:spacing w:before="144"/>
        <w:ind w:left="1526" w:right="0" w:hanging="318"/>
        <w:jc w:val="left"/>
        <w:rPr>
          <w:b/>
          <w:color w:val="auto"/>
          <w:sz w:val="21"/>
        </w:rPr>
      </w:pPr>
      <w:r>
        <w:rPr>
          <w:b/>
          <w:color w:val="auto"/>
          <w:spacing w:val="-3"/>
          <w:sz w:val="21"/>
        </w:rPr>
        <w:t>竞标总报价与已标价工程量清单汇总表不一致的；</w:t>
      </w:r>
    </w:p>
    <w:p w14:paraId="7CB4BF99">
      <w:pPr>
        <w:numPr>
          <w:ilvl w:val="0"/>
          <w:numId w:val="31"/>
        </w:numPr>
        <w:tabs>
          <w:tab w:val="left" w:pos="1540"/>
        </w:tabs>
        <w:spacing w:before="147"/>
        <w:ind w:left="1540" w:right="0" w:hanging="332"/>
        <w:jc w:val="left"/>
        <w:rPr>
          <w:b/>
          <w:color w:val="auto"/>
          <w:sz w:val="21"/>
        </w:rPr>
      </w:pPr>
      <w:r>
        <w:rPr>
          <w:b/>
          <w:color w:val="auto"/>
          <w:spacing w:val="-1"/>
          <w:sz w:val="21"/>
        </w:rPr>
        <w:t>安全文明施工费和规费、增值税不按广西区费用定额及造价管理相关文件规定报价的</w:t>
      </w:r>
    </w:p>
    <w:p w14:paraId="6E00F3B2">
      <w:pPr>
        <w:spacing w:before="147"/>
        <w:ind w:left="788" w:right="0" w:firstLine="0"/>
        <w:jc w:val="left"/>
        <w:rPr>
          <w:b/>
          <w:color w:val="auto"/>
          <w:sz w:val="21"/>
        </w:rPr>
      </w:pPr>
      <w:r>
        <w:rPr>
          <w:b/>
          <w:color w:val="auto"/>
          <w:spacing w:val="-2"/>
          <w:sz w:val="21"/>
        </w:rPr>
        <w:t>（园林绿化及仿古建筑工程除外</w:t>
      </w:r>
      <w:r>
        <w:rPr>
          <w:b/>
          <w:color w:val="auto"/>
          <w:spacing w:val="-5"/>
          <w:sz w:val="21"/>
        </w:rPr>
        <w:t>）；</w:t>
      </w:r>
    </w:p>
    <w:p w14:paraId="062227BE">
      <w:pPr>
        <w:numPr>
          <w:ilvl w:val="0"/>
          <w:numId w:val="31"/>
        </w:numPr>
        <w:tabs>
          <w:tab w:val="left" w:pos="1526"/>
        </w:tabs>
        <w:spacing w:before="147" w:line="369" w:lineRule="auto"/>
        <w:ind w:left="788" w:right="791" w:firstLine="420"/>
        <w:jc w:val="left"/>
        <w:rPr>
          <w:b/>
          <w:color w:val="auto"/>
          <w:sz w:val="21"/>
        </w:rPr>
      </w:pPr>
      <w:r>
        <w:rPr>
          <w:b/>
          <w:color w:val="auto"/>
          <w:spacing w:val="-2"/>
          <w:sz w:val="21"/>
        </w:rPr>
        <w:t>供应商已标价工程量清单的项目编码（12</w:t>
      </w:r>
      <w:r>
        <w:rPr>
          <w:b/>
          <w:color w:val="auto"/>
          <w:spacing w:val="-36"/>
          <w:sz w:val="21"/>
        </w:rPr>
        <w:t xml:space="preserve"> 位</w:t>
      </w:r>
      <w:r>
        <w:rPr>
          <w:b/>
          <w:color w:val="auto"/>
          <w:spacing w:val="-2"/>
          <w:sz w:val="21"/>
        </w:rPr>
        <w:t>）、计量单位、工程量任何一处与工程量清单不一致的；</w:t>
      </w:r>
    </w:p>
    <w:p w14:paraId="2F70E068">
      <w:pPr>
        <w:numPr>
          <w:ilvl w:val="0"/>
          <w:numId w:val="31"/>
        </w:numPr>
        <w:tabs>
          <w:tab w:val="left" w:pos="1638"/>
        </w:tabs>
        <w:spacing w:before="0" w:line="369" w:lineRule="auto"/>
        <w:ind w:left="788" w:right="791" w:firstLine="420"/>
        <w:jc w:val="left"/>
        <w:rPr>
          <w:b/>
          <w:color w:val="auto"/>
          <w:sz w:val="21"/>
        </w:rPr>
      </w:pPr>
      <w:r>
        <w:rPr>
          <w:b/>
          <w:color w:val="auto"/>
          <w:spacing w:val="2"/>
          <w:w w:val="99"/>
          <w:sz w:val="21"/>
        </w:rPr>
        <w:t>供应商已标价工程量清单的项目名称或项目特征与工程量清单不一致，磋商小组要求</w:t>
      </w:r>
      <w:r>
        <w:rPr>
          <w:b/>
          <w:color w:val="auto"/>
          <w:spacing w:val="-1"/>
          <w:w w:val="99"/>
          <w:sz w:val="21"/>
        </w:rPr>
        <w:t>澄清、说明或补正，但供应商拒绝澄清、说明或补正的；</w:t>
      </w:r>
    </w:p>
    <w:p w14:paraId="538464C6">
      <w:pPr>
        <w:numPr>
          <w:ilvl w:val="0"/>
          <w:numId w:val="31"/>
        </w:numPr>
        <w:tabs>
          <w:tab w:val="left" w:pos="1638"/>
        </w:tabs>
        <w:spacing w:before="0" w:line="272" w:lineRule="exact"/>
        <w:ind w:left="1638" w:right="0" w:hanging="430"/>
        <w:jc w:val="left"/>
        <w:rPr>
          <w:b/>
          <w:color w:val="auto"/>
          <w:sz w:val="21"/>
        </w:rPr>
      </w:pPr>
      <w:r>
        <w:rPr>
          <w:b/>
          <w:color w:val="auto"/>
          <w:spacing w:val="-1"/>
          <w:sz w:val="21"/>
        </w:rPr>
        <w:t>设有暂估价、暂列金额的，竞标时未按工程量清单给出的暂估价总价、暂列金额总价</w:t>
      </w:r>
    </w:p>
    <w:p w14:paraId="5701713C">
      <w:pPr>
        <w:spacing w:after="0" w:line="272" w:lineRule="exact"/>
        <w:jc w:val="left"/>
        <w:rPr>
          <w:color w:val="auto"/>
          <w:sz w:val="21"/>
        </w:rPr>
        <w:sectPr>
          <w:pgSz w:w="11910" w:h="16840"/>
          <w:pgMar w:top="1500" w:right="740" w:bottom="1180" w:left="800" w:header="0" w:footer="989" w:gutter="0"/>
          <w:cols w:space="720" w:num="1"/>
        </w:sectPr>
      </w:pPr>
    </w:p>
    <w:p w14:paraId="744CAA02">
      <w:pPr>
        <w:spacing w:before="45"/>
        <w:ind w:left="788" w:right="0" w:firstLine="0"/>
        <w:jc w:val="left"/>
        <w:rPr>
          <w:b/>
          <w:color w:val="auto"/>
          <w:sz w:val="21"/>
        </w:rPr>
      </w:pPr>
      <w:r>
        <w:rPr>
          <w:b/>
          <w:color w:val="auto"/>
          <w:spacing w:val="-3"/>
          <w:sz w:val="21"/>
        </w:rPr>
        <w:t>计入竞标总报价中的；</w:t>
      </w:r>
    </w:p>
    <w:p w14:paraId="009F5AEE">
      <w:pPr>
        <w:numPr>
          <w:ilvl w:val="0"/>
          <w:numId w:val="31"/>
        </w:numPr>
        <w:tabs>
          <w:tab w:val="left" w:pos="1631"/>
        </w:tabs>
        <w:spacing w:before="147"/>
        <w:ind w:left="1631" w:right="0" w:hanging="423"/>
        <w:jc w:val="left"/>
        <w:rPr>
          <w:b/>
          <w:color w:val="auto"/>
          <w:sz w:val="21"/>
        </w:rPr>
      </w:pPr>
      <w:r>
        <w:rPr>
          <w:b/>
          <w:color w:val="auto"/>
          <w:spacing w:val="-3"/>
          <w:sz w:val="21"/>
        </w:rPr>
        <w:t>供应商对工程量清单内容进行增减或对竞标范围进行调整的；</w:t>
      </w:r>
    </w:p>
    <w:p w14:paraId="292F55C9">
      <w:pPr>
        <w:numPr>
          <w:ilvl w:val="0"/>
          <w:numId w:val="31"/>
        </w:numPr>
        <w:tabs>
          <w:tab w:val="left" w:pos="1631"/>
        </w:tabs>
        <w:spacing w:before="147"/>
        <w:ind w:left="1631" w:right="0" w:hanging="423"/>
        <w:jc w:val="left"/>
        <w:rPr>
          <w:b/>
          <w:color w:val="auto"/>
          <w:sz w:val="21"/>
        </w:rPr>
      </w:pPr>
      <w:r>
        <w:rPr>
          <w:b/>
          <w:color w:val="auto"/>
          <w:spacing w:val="-3"/>
          <w:sz w:val="21"/>
        </w:rPr>
        <w:t>响应文件响应的标的数量及单位与竞争性磋商采购文件要求实质性不一致的；</w:t>
      </w:r>
    </w:p>
    <w:p w14:paraId="32530454">
      <w:pPr>
        <w:numPr>
          <w:ilvl w:val="0"/>
          <w:numId w:val="31"/>
        </w:numPr>
        <w:tabs>
          <w:tab w:val="left" w:pos="1631"/>
        </w:tabs>
        <w:spacing w:before="147"/>
        <w:ind w:left="1631" w:right="0" w:hanging="423"/>
        <w:jc w:val="left"/>
        <w:rPr>
          <w:b/>
          <w:color w:val="auto"/>
          <w:sz w:val="21"/>
        </w:rPr>
      </w:pPr>
      <w:r>
        <w:rPr>
          <w:b/>
          <w:color w:val="auto"/>
          <w:spacing w:val="-3"/>
          <w:sz w:val="21"/>
        </w:rPr>
        <w:t>竞标函附录的承诺不符合磋商文件规定的；</w:t>
      </w:r>
    </w:p>
    <w:p w14:paraId="7C4CAAB1">
      <w:pPr>
        <w:numPr>
          <w:ilvl w:val="0"/>
          <w:numId w:val="31"/>
        </w:numPr>
        <w:tabs>
          <w:tab w:val="left" w:pos="1638"/>
        </w:tabs>
        <w:spacing w:before="147" w:line="369" w:lineRule="auto"/>
        <w:ind w:left="788" w:right="791" w:firstLine="420"/>
        <w:jc w:val="left"/>
        <w:rPr>
          <w:b/>
          <w:color w:val="auto"/>
          <w:sz w:val="21"/>
        </w:rPr>
      </w:pPr>
      <w:r>
        <w:rPr>
          <w:b/>
          <w:color w:val="auto"/>
          <w:spacing w:val="2"/>
          <w:w w:val="99"/>
          <w:sz w:val="21"/>
        </w:rPr>
        <w:t>磋商小组启动异常低价响应审查后，供应商不能提供书面说明、证明材料，或者提供</w:t>
      </w:r>
      <w:r>
        <w:rPr>
          <w:b/>
          <w:color w:val="auto"/>
          <w:spacing w:val="-1"/>
          <w:w w:val="99"/>
          <w:sz w:val="21"/>
        </w:rPr>
        <w:t>的书面说明、证明材料不能证明其报价合理性的；</w:t>
      </w:r>
    </w:p>
    <w:p w14:paraId="1C33644B">
      <w:pPr>
        <w:numPr>
          <w:ilvl w:val="0"/>
          <w:numId w:val="31"/>
        </w:numPr>
        <w:tabs>
          <w:tab w:val="left" w:pos="1632"/>
        </w:tabs>
        <w:spacing w:before="0" w:line="272" w:lineRule="exact"/>
        <w:ind w:left="1632" w:right="0" w:hanging="424"/>
        <w:jc w:val="left"/>
        <w:rPr>
          <w:b/>
          <w:color w:val="auto"/>
          <w:sz w:val="21"/>
        </w:rPr>
      </w:pPr>
      <w:r>
        <w:rPr>
          <w:b/>
          <w:color w:val="auto"/>
          <w:spacing w:val="-3"/>
          <w:sz w:val="21"/>
        </w:rPr>
        <w:t>未响应磋商文件实质性要求的。</w:t>
      </w:r>
    </w:p>
    <w:p w14:paraId="17B88EF7">
      <w:pPr>
        <w:pStyle w:val="21"/>
        <w:numPr>
          <w:ilvl w:val="1"/>
          <w:numId w:val="25"/>
        </w:numPr>
        <w:tabs>
          <w:tab w:val="left" w:pos="1574"/>
        </w:tabs>
        <w:spacing w:before="147" w:after="0" w:line="369" w:lineRule="auto"/>
        <w:ind w:left="788" w:right="791" w:firstLine="420"/>
        <w:jc w:val="left"/>
        <w:rPr>
          <w:color w:val="auto"/>
          <w:sz w:val="21"/>
        </w:rPr>
      </w:pPr>
      <w:r>
        <w:rPr>
          <w:color w:val="auto"/>
          <w:spacing w:val="-2"/>
          <w:sz w:val="21"/>
        </w:rPr>
        <w:t>磋商小组对响应文件进行评审，未实质性响应磋商文件的响应文件按无效处理，磋商小组应当将资格和符合性不通过的情况告知有关供应商。</w:t>
      </w:r>
    </w:p>
    <w:p w14:paraId="232931BF">
      <w:pPr>
        <w:pStyle w:val="21"/>
        <w:numPr>
          <w:ilvl w:val="1"/>
          <w:numId w:val="25"/>
        </w:numPr>
        <w:tabs>
          <w:tab w:val="left" w:pos="1574"/>
        </w:tabs>
        <w:spacing w:before="0" w:after="0" w:line="272" w:lineRule="exact"/>
        <w:ind w:left="1574" w:right="0" w:hanging="366"/>
        <w:jc w:val="left"/>
        <w:rPr>
          <w:color w:val="auto"/>
          <w:sz w:val="21"/>
        </w:rPr>
      </w:pPr>
      <w:r>
        <w:rPr>
          <w:color w:val="auto"/>
          <w:spacing w:val="-5"/>
          <w:sz w:val="21"/>
        </w:rPr>
        <w:t xml:space="preserve">通过符合性审查的合格供应商不足 </w:t>
      </w:r>
      <w:r>
        <w:rPr>
          <w:color w:val="auto"/>
          <w:spacing w:val="-2"/>
          <w:sz w:val="21"/>
        </w:rPr>
        <w:t>3</w:t>
      </w:r>
      <w:r>
        <w:rPr>
          <w:color w:val="auto"/>
          <w:spacing w:val="-10"/>
          <w:sz w:val="21"/>
        </w:rPr>
        <w:t xml:space="preserve"> 家的，不得进入磋商环节，应当重新开展采购活动。</w:t>
      </w:r>
    </w:p>
    <w:p w14:paraId="08C2E86C">
      <w:pPr>
        <w:pStyle w:val="10"/>
        <w:numPr>
          <w:ilvl w:val="0"/>
          <w:numId w:val="25"/>
        </w:numPr>
        <w:tabs>
          <w:tab w:val="left" w:pos="1511"/>
        </w:tabs>
        <w:spacing w:before="116" w:after="0" w:line="240" w:lineRule="auto"/>
        <w:ind w:left="1511" w:right="0" w:hanging="243"/>
        <w:jc w:val="left"/>
        <w:rPr>
          <w:rFonts w:hint="eastAsia" w:ascii="黑体" w:eastAsia="黑体"/>
          <w:color w:val="auto"/>
          <w:sz w:val="22"/>
        </w:rPr>
      </w:pPr>
      <w:r>
        <w:rPr>
          <w:rFonts w:hint="eastAsia" w:ascii="黑体" w:eastAsia="黑体"/>
          <w:color w:val="auto"/>
          <w:spacing w:val="-3"/>
        </w:rPr>
        <w:t>磋商程序</w:t>
      </w:r>
    </w:p>
    <w:p w14:paraId="43DA52F3">
      <w:pPr>
        <w:pStyle w:val="21"/>
        <w:numPr>
          <w:ilvl w:val="1"/>
          <w:numId w:val="25"/>
        </w:numPr>
        <w:tabs>
          <w:tab w:val="left" w:pos="1573"/>
        </w:tabs>
        <w:spacing w:before="139" w:after="0" w:line="369" w:lineRule="auto"/>
        <w:ind w:left="788" w:right="788" w:firstLine="420"/>
        <w:jc w:val="both"/>
        <w:rPr>
          <w:color w:val="auto"/>
          <w:sz w:val="21"/>
        </w:rPr>
      </w:pPr>
      <w:r>
        <w:rPr>
          <w:color w:val="auto"/>
          <w:spacing w:val="-1"/>
          <w:w w:val="99"/>
          <w:sz w:val="21"/>
        </w:rPr>
        <w:t>磋商小组集中与单一供应商分别进行磋商，并给予所有参加磋商的供应商平等的磋商机</w:t>
      </w:r>
      <w:r>
        <w:rPr>
          <w:color w:val="auto"/>
          <w:spacing w:val="3"/>
          <w:w w:val="99"/>
          <w:sz w:val="21"/>
        </w:rPr>
        <w:t>会。符合磋商资格的供应商必须在接到磋商通知后规定时间内参加磋商，未在规定时间内参加</w:t>
      </w:r>
      <w:r>
        <w:rPr>
          <w:color w:val="auto"/>
          <w:spacing w:val="-1"/>
          <w:w w:val="99"/>
          <w:sz w:val="21"/>
        </w:rPr>
        <w:t>磋商的视同放弃参加磋商权利，其响应文件按无效处理。</w:t>
      </w:r>
    </w:p>
    <w:p w14:paraId="5C56923B">
      <w:pPr>
        <w:pStyle w:val="21"/>
        <w:numPr>
          <w:ilvl w:val="1"/>
          <w:numId w:val="25"/>
        </w:numPr>
        <w:tabs>
          <w:tab w:val="left" w:pos="1574"/>
        </w:tabs>
        <w:spacing w:before="0" w:after="0" w:line="369" w:lineRule="auto"/>
        <w:ind w:left="788" w:right="788" w:firstLine="420"/>
        <w:jc w:val="both"/>
        <w:rPr>
          <w:color w:val="auto"/>
          <w:sz w:val="21"/>
        </w:rPr>
      </w:pPr>
      <w:r>
        <w:rPr>
          <w:color w:val="auto"/>
          <w:spacing w:val="-1"/>
          <w:w w:val="99"/>
          <w:sz w:val="21"/>
        </w:rPr>
        <w:t>在磋商过程中，磋商小组可以根据磋商文件和磋商情况实质性变动采购需求中的技术、</w:t>
      </w:r>
      <w:r>
        <w:rPr>
          <w:color w:val="auto"/>
          <w:spacing w:val="3"/>
          <w:w w:val="99"/>
          <w:sz w:val="21"/>
        </w:rPr>
        <w:t>服务要求以及合同草案条款，但不得变动磋商文件中的其他内容。实质性变动的内容，须经采</w:t>
      </w:r>
      <w:r>
        <w:rPr>
          <w:color w:val="auto"/>
          <w:spacing w:val="-1"/>
          <w:w w:val="99"/>
          <w:sz w:val="21"/>
        </w:rPr>
        <w:t>购人代表确认。可能实质性变动的内容为采购需求中的技术、服务要求以及合同草案条款。</w:t>
      </w:r>
    </w:p>
    <w:p w14:paraId="7E0287D8">
      <w:pPr>
        <w:pStyle w:val="21"/>
        <w:numPr>
          <w:ilvl w:val="1"/>
          <w:numId w:val="25"/>
        </w:numPr>
        <w:tabs>
          <w:tab w:val="left" w:pos="1574"/>
        </w:tabs>
        <w:spacing w:before="0" w:after="0" w:line="369" w:lineRule="auto"/>
        <w:ind w:left="788" w:right="791" w:firstLine="420"/>
        <w:jc w:val="both"/>
        <w:rPr>
          <w:color w:val="auto"/>
          <w:sz w:val="21"/>
        </w:rPr>
      </w:pPr>
      <w:r>
        <w:rPr>
          <w:color w:val="auto"/>
          <w:spacing w:val="-2"/>
          <w:sz w:val="21"/>
        </w:rPr>
        <w:t>对磋商文件作出的实质性变动是磋商文件的有效组成部分，由磋商小组及时以电子澄清函形式同时通知所有参加磋商的供应商。</w:t>
      </w:r>
    </w:p>
    <w:p w14:paraId="0343C08E">
      <w:pPr>
        <w:pStyle w:val="21"/>
        <w:numPr>
          <w:ilvl w:val="1"/>
          <w:numId w:val="25"/>
        </w:numPr>
        <w:tabs>
          <w:tab w:val="left" w:pos="1574"/>
        </w:tabs>
        <w:spacing w:before="0" w:after="0" w:line="369" w:lineRule="auto"/>
        <w:ind w:left="788" w:right="599" w:firstLine="420"/>
        <w:jc w:val="left"/>
        <w:rPr>
          <w:color w:val="auto"/>
          <w:sz w:val="21"/>
        </w:rPr>
      </w:pPr>
      <w:r>
        <w:rPr>
          <w:color w:val="auto"/>
          <w:spacing w:val="-2"/>
          <w:sz w:val="21"/>
        </w:rPr>
        <w:t>供应商必须按照磋商文件的变动情况和磋商小组的要求以回函的形式重新提交响应文件，并加盖电子签章。参加磋商的供应商未在规定时间内重新提交响应文件的，视同退出磋商，其</w:t>
      </w:r>
      <w:r>
        <w:rPr>
          <w:color w:val="auto"/>
          <w:spacing w:val="40"/>
          <w:sz w:val="21"/>
        </w:rPr>
        <w:t xml:space="preserve">  </w:t>
      </w:r>
      <w:r>
        <w:rPr>
          <w:color w:val="auto"/>
          <w:spacing w:val="-2"/>
          <w:sz w:val="21"/>
        </w:rPr>
        <w:t>响应文件按无效处理。</w:t>
      </w:r>
    </w:p>
    <w:p w14:paraId="7E6EEA06">
      <w:pPr>
        <w:pStyle w:val="21"/>
        <w:numPr>
          <w:ilvl w:val="1"/>
          <w:numId w:val="25"/>
        </w:numPr>
        <w:tabs>
          <w:tab w:val="left" w:pos="1574"/>
        </w:tabs>
        <w:spacing w:before="0" w:after="0" w:line="272" w:lineRule="exact"/>
        <w:ind w:left="1574" w:right="0" w:hanging="366"/>
        <w:jc w:val="left"/>
        <w:rPr>
          <w:color w:val="auto"/>
          <w:sz w:val="21"/>
        </w:rPr>
      </w:pPr>
      <w:r>
        <w:rPr>
          <w:color w:val="auto"/>
          <w:spacing w:val="-3"/>
          <w:sz w:val="21"/>
        </w:rPr>
        <w:t>磋商中，磋商的任何一方不得透露与磋商有关的其他供应商的技术资料、价格和其他信</w:t>
      </w:r>
    </w:p>
    <w:p w14:paraId="2EECE063">
      <w:pPr>
        <w:pStyle w:val="12"/>
        <w:spacing w:before="143"/>
        <w:rPr>
          <w:color w:val="auto"/>
        </w:rPr>
      </w:pPr>
      <w:r>
        <w:rPr>
          <w:color w:val="auto"/>
          <w:spacing w:val="-8"/>
        </w:rPr>
        <w:t>息。</w:t>
      </w:r>
    </w:p>
    <w:p w14:paraId="0BE908CF">
      <w:pPr>
        <w:pStyle w:val="21"/>
        <w:numPr>
          <w:ilvl w:val="1"/>
          <w:numId w:val="25"/>
        </w:numPr>
        <w:tabs>
          <w:tab w:val="left" w:pos="1574"/>
        </w:tabs>
        <w:spacing w:before="147" w:after="0" w:line="240" w:lineRule="auto"/>
        <w:ind w:left="1574" w:right="0" w:hanging="366"/>
        <w:jc w:val="left"/>
        <w:rPr>
          <w:color w:val="auto"/>
          <w:sz w:val="21"/>
        </w:rPr>
      </w:pPr>
      <w:r>
        <w:rPr>
          <w:color w:val="auto"/>
          <w:spacing w:val="-3"/>
          <w:sz w:val="21"/>
        </w:rPr>
        <w:t>采购代理机构对磋商过程和磋商内容进行记录。</w:t>
      </w:r>
    </w:p>
    <w:p w14:paraId="66F0BA2F">
      <w:pPr>
        <w:pStyle w:val="21"/>
        <w:numPr>
          <w:ilvl w:val="1"/>
          <w:numId w:val="25"/>
        </w:numPr>
        <w:tabs>
          <w:tab w:val="left" w:pos="1573"/>
        </w:tabs>
        <w:spacing w:before="147" w:after="0" w:line="240" w:lineRule="auto"/>
        <w:ind w:left="1573" w:right="0" w:hanging="365"/>
        <w:jc w:val="left"/>
        <w:rPr>
          <w:color w:val="auto"/>
          <w:sz w:val="21"/>
        </w:rPr>
      </w:pPr>
      <w:r>
        <w:rPr>
          <w:color w:val="auto"/>
          <w:spacing w:val="-3"/>
          <w:sz w:val="21"/>
        </w:rPr>
        <w:t>根据《财政部关于政府采购竞争性磋商采购方式管理暂行办法有关问题的补充通知》</w:t>
      </w:r>
    </w:p>
    <w:p w14:paraId="67D31EA0">
      <w:pPr>
        <w:pStyle w:val="12"/>
        <w:spacing w:before="147" w:line="369" w:lineRule="auto"/>
        <w:ind w:right="810"/>
        <w:rPr>
          <w:color w:val="auto"/>
        </w:rPr>
      </w:pPr>
      <w:r>
        <w:rPr>
          <w:color w:val="auto"/>
          <w:spacing w:val="-2"/>
        </w:rPr>
        <w:t>（财库〔2015〕124</w:t>
      </w:r>
      <w:r>
        <w:rPr>
          <w:color w:val="auto"/>
          <w:spacing w:val="-24"/>
        </w:rPr>
        <w:t xml:space="preserve"> 号</w:t>
      </w:r>
      <w:r>
        <w:rPr>
          <w:color w:val="auto"/>
          <w:spacing w:val="-2"/>
        </w:rPr>
        <w:t>）的规定，采用竞争性磋商采购方式采购的政府购买服务项目（含政府和</w:t>
      </w:r>
      <w:r>
        <w:rPr>
          <w:color w:val="auto"/>
        </w:rPr>
        <w:t>社会资本合作项目），在采购过程中符合要求的供应商（社会资本）</w:t>
      </w:r>
      <w:r>
        <w:rPr>
          <w:color w:val="auto"/>
          <w:spacing w:val="-8"/>
        </w:rPr>
        <w:t xml:space="preserve">只有 </w:t>
      </w:r>
      <w:r>
        <w:rPr>
          <w:color w:val="auto"/>
        </w:rPr>
        <w:t>2</w:t>
      </w:r>
      <w:r>
        <w:rPr>
          <w:color w:val="auto"/>
          <w:spacing w:val="-5"/>
        </w:rPr>
        <w:t xml:space="preserve"> 家的，竞争性磋商</w:t>
      </w:r>
    </w:p>
    <w:p w14:paraId="0999F7AE">
      <w:pPr>
        <w:pStyle w:val="12"/>
        <w:spacing w:before="0" w:line="369" w:lineRule="auto"/>
        <w:ind w:right="968"/>
        <w:rPr>
          <w:color w:val="auto"/>
        </w:rPr>
      </w:pPr>
      <w:r>
        <w:rPr>
          <w:color w:val="auto"/>
          <w:spacing w:val="-2"/>
        </w:rPr>
        <w:t>采购活动可以继续进行。采购过程中符合要求的供应商（社会资本）</w:t>
      </w:r>
      <w:r>
        <w:rPr>
          <w:color w:val="auto"/>
          <w:spacing w:val="-12"/>
        </w:rPr>
        <w:t xml:space="preserve">只有 </w:t>
      </w:r>
      <w:r>
        <w:rPr>
          <w:color w:val="auto"/>
          <w:spacing w:val="-2"/>
        </w:rPr>
        <w:t>1</w:t>
      </w:r>
      <w:r>
        <w:rPr>
          <w:color w:val="auto"/>
          <w:spacing w:val="-8"/>
        </w:rPr>
        <w:t xml:space="preserve"> 家的，采购人</w:t>
      </w:r>
      <w:r>
        <w:rPr>
          <w:color w:val="auto"/>
          <w:spacing w:val="-2"/>
        </w:rPr>
        <w:t>（项目实施机构）或者采购代理机构应当终止竞争性磋商采购活动，发布项目终止公告并说明原</w:t>
      </w:r>
      <w:r>
        <w:rPr>
          <w:color w:val="auto"/>
          <w:spacing w:val="40"/>
        </w:rPr>
        <w:t xml:space="preserve"> </w:t>
      </w:r>
      <w:r>
        <w:rPr>
          <w:color w:val="auto"/>
          <w:spacing w:val="-2"/>
        </w:rPr>
        <w:t>因，重新开展采购活动。</w:t>
      </w:r>
    </w:p>
    <w:p w14:paraId="266895D0">
      <w:pPr>
        <w:pStyle w:val="21"/>
        <w:numPr>
          <w:ilvl w:val="1"/>
          <w:numId w:val="25"/>
        </w:numPr>
        <w:tabs>
          <w:tab w:val="left" w:pos="1574"/>
        </w:tabs>
        <w:spacing w:before="0" w:after="0" w:line="272" w:lineRule="exact"/>
        <w:ind w:left="1574" w:right="0" w:hanging="366"/>
        <w:jc w:val="left"/>
        <w:rPr>
          <w:color w:val="auto"/>
          <w:sz w:val="21"/>
        </w:rPr>
      </w:pPr>
      <w:r>
        <w:rPr>
          <w:color w:val="auto"/>
          <w:spacing w:val="-9"/>
          <w:sz w:val="21"/>
        </w:rPr>
        <w:t xml:space="preserve">除本章第 </w:t>
      </w:r>
      <w:r>
        <w:rPr>
          <w:color w:val="auto"/>
          <w:spacing w:val="-2"/>
          <w:sz w:val="21"/>
        </w:rPr>
        <w:t>3.7</w:t>
      </w:r>
      <w:r>
        <w:rPr>
          <w:color w:val="auto"/>
          <w:spacing w:val="-9"/>
          <w:sz w:val="21"/>
        </w:rPr>
        <w:t xml:space="preserve"> 条规定的情形外，对磋商过程提交的响应文件进行有效性、完整性和响应</w:t>
      </w:r>
    </w:p>
    <w:p w14:paraId="5EE888DE">
      <w:pPr>
        <w:pStyle w:val="12"/>
        <w:spacing w:before="147"/>
        <w:rPr>
          <w:color w:val="auto"/>
        </w:rPr>
      </w:pPr>
      <w:r>
        <w:rPr>
          <w:color w:val="auto"/>
          <w:spacing w:val="-5"/>
        </w:rPr>
        <w:t xml:space="preserve">程度审查，通过审查的合格供应商不足 </w:t>
      </w:r>
      <w:r>
        <w:rPr>
          <w:color w:val="auto"/>
          <w:spacing w:val="-2"/>
        </w:rPr>
        <w:t>3</w:t>
      </w:r>
      <w:r>
        <w:rPr>
          <w:color w:val="auto"/>
          <w:spacing w:val="-10"/>
        </w:rPr>
        <w:t xml:space="preserve"> 家的，应当重新开展采购活动。</w:t>
      </w:r>
    </w:p>
    <w:p w14:paraId="1400E4A6">
      <w:pPr>
        <w:spacing w:after="0"/>
        <w:rPr>
          <w:color w:val="auto"/>
        </w:rPr>
        <w:sectPr>
          <w:pgSz w:w="11910" w:h="16840"/>
          <w:pgMar w:top="1500" w:right="740" w:bottom="1180" w:left="800" w:header="0" w:footer="989" w:gutter="0"/>
          <w:cols w:space="720" w:num="1"/>
        </w:sectPr>
      </w:pPr>
    </w:p>
    <w:p w14:paraId="5924022B">
      <w:pPr>
        <w:pStyle w:val="10"/>
        <w:numPr>
          <w:ilvl w:val="0"/>
          <w:numId w:val="25"/>
        </w:numPr>
        <w:tabs>
          <w:tab w:val="left" w:pos="1632"/>
        </w:tabs>
        <w:spacing w:before="34" w:after="0" w:line="240" w:lineRule="auto"/>
        <w:ind w:left="1632" w:right="0" w:hanging="364"/>
        <w:jc w:val="both"/>
        <w:rPr>
          <w:rFonts w:hint="eastAsia" w:ascii="黑体" w:eastAsia="黑体"/>
          <w:color w:val="auto"/>
        </w:rPr>
      </w:pPr>
      <w:r>
        <w:rPr>
          <w:rFonts w:hint="eastAsia" w:ascii="黑体" w:eastAsia="黑体"/>
          <w:color w:val="auto"/>
          <w:spacing w:val="-3"/>
        </w:rPr>
        <w:t>最后报价</w:t>
      </w:r>
    </w:p>
    <w:p w14:paraId="142F4247">
      <w:pPr>
        <w:pStyle w:val="21"/>
        <w:numPr>
          <w:ilvl w:val="1"/>
          <w:numId w:val="25"/>
        </w:numPr>
        <w:tabs>
          <w:tab w:val="left" w:pos="1573"/>
        </w:tabs>
        <w:spacing w:before="139" w:after="0" w:line="369" w:lineRule="auto"/>
        <w:ind w:left="788" w:right="788" w:firstLine="420"/>
        <w:jc w:val="both"/>
        <w:rPr>
          <w:color w:val="auto"/>
          <w:sz w:val="21"/>
        </w:rPr>
      </w:pPr>
      <w:r>
        <w:rPr>
          <w:color w:val="auto"/>
          <w:spacing w:val="-1"/>
          <w:w w:val="99"/>
          <w:sz w:val="21"/>
        </w:rPr>
        <w:t>磋商文件能够详细列明采购标的的技术、服务要求的，磋商结束后，磋商小组应当要求</w:t>
      </w:r>
      <w:r>
        <w:rPr>
          <w:color w:val="auto"/>
          <w:spacing w:val="3"/>
          <w:w w:val="99"/>
          <w:sz w:val="21"/>
        </w:rPr>
        <w:t>所有继续参加磋商的供应商在规定时间内在广西政府采购云平台开标大厅提交加盖供应商电子</w:t>
      </w:r>
      <w:r>
        <w:rPr>
          <w:color w:val="auto"/>
          <w:spacing w:val="-1"/>
          <w:w w:val="99"/>
          <w:sz w:val="21"/>
        </w:rPr>
        <w:t>签章的最后报价，除本章第</w:t>
      </w:r>
      <w:r>
        <w:rPr>
          <w:color w:val="auto"/>
          <w:spacing w:val="-60"/>
          <w:sz w:val="21"/>
        </w:rPr>
        <w:t xml:space="preserve"> </w:t>
      </w:r>
      <w:r>
        <w:rPr>
          <w:color w:val="auto"/>
          <w:spacing w:val="1"/>
          <w:w w:val="99"/>
          <w:sz w:val="21"/>
        </w:rPr>
        <w:t>4</w:t>
      </w:r>
      <w:r>
        <w:rPr>
          <w:color w:val="auto"/>
          <w:spacing w:val="-2"/>
          <w:w w:val="99"/>
          <w:sz w:val="21"/>
        </w:rPr>
        <w:t>.</w:t>
      </w:r>
      <w:r>
        <w:rPr>
          <w:color w:val="auto"/>
          <w:w w:val="99"/>
          <w:sz w:val="21"/>
        </w:rPr>
        <w:t>3</w:t>
      </w:r>
      <w:r>
        <w:rPr>
          <w:color w:val="auto"/>
          <w:spacing w:val="-59"/>
          <w:sz w:val="21"/>
        </w:rPr>
        <w:t xml:space="preserve"> </w:t>
      </w:r>
      <w:r>
        <w:rPr>
          <w:color w:val="auto"/>
          <w:spacing w:val="-1"/>
          <w:w w:val="99"/>
          <w:sz w:val="21"/>
        </w:rPr>
        <w:t>条规定的情形外，提交最后报价的供应商不得少于</w:t>
      </w:r>
      <w:r>
        <w:rPr>
          <w:color w:val="auto"/>
          <w:spacing w:val="-60"/>
          <w:sz w:val="21"/>
        </w:rPr>
        <w:t xml:space="preserve"> </w:t>
      </w:r>
      <w:r>
        <w:rPr>
          <w:color w:val="auto"/>
          <w:w w:val="99"/>
          <w:sz w:val="21"/>
        </w:rPr>
        <w:t>3</w:t>
      </w:r>
      <w:r>
        <w:rPr>
          <w:color w:val="auto"/>
          <w:spacing w:val="-61"/>
          <w:sz w:val="21"/>
        </w:rPr>
        <w:t xml:space="preserve"> </w:t>
      </w:r>
      <w:r>
        <w:rPr>
          <w:color w:val="auto"/>
          <w:spacing w:val="-1"/>
          <w:w w:val="99"/>
          <w:sz w:val="21"/>
        </w:rPr>
        <w:t>家，否则应当重新开展采购活动。</w:t>
      </w:r>
    </w:p>
    <w:p w14:paraId="78C16C67">
      <w:pPr>
        <w:pStyle w:val="21"/>
        <w:numPr>
          <w:ilvl w:val="1"/>
          <w:numId w:val="25"/>
        </w:numPr>
        <w:tabs>
          <w:tab w:val="left" w:pos="1573"/>
        </w:tabs>
        <w:spacing w:before="0" w:after="0" w:line="271" w:lineRule="exact"/>
        <w:ind w:left="1573" w:right="0" w:hanging="365"/>
        <w:jc w:val="both"/>
        <w:rPr>
          <w:color w:val="auto"/>
          <w:sz w:val="21"/>
        </w:rPr>
      </w:pPr>
      <w:r>
        <w:rPr>
          <w:color w:val="auto"/>
          <w:spacing w:val="-3"/>
          <w:sz w:val="21"/>
        </w:rPr>
        <w:t>磋商文件不能详细列明采购标的的技术、服务要求，需经磋商由供应商提供最后设计方</w:t>
      </w:r>
    </w:p>
    <w:p w14:paraId="566BB589">
      <w:pPr>
        <w:spacing w:before="147" w:line="369" w:lineRule="auto"/>
        <w:ind w:left="788" w:right="788" w:firstLine="0"/>
        <w:jc w:val="both"/>
        <w:rPr>
          <w:b/>
          <w:color w:val="auto"/>
          <w:sz w:val="21"/>
        </w:rPr>
      </w:pPr>
      <w:r>
        <w:rPr>
          <w:color w:val="auto"/>
          <w:w w:val="99"/>
          <w:sz w:val="21"/>
        </w:rPr>
        <w:t>案或者解决方案的，磋商结束后，由磋商小组按照少数服从多数的原则投票推荐3</w:t>
      </w:r>
      <w:r>
        <w:rPr>
          <w:color w:val="auto"/>
          <w:spacing w:val="-68"/>
          <w:sz w:val="21"/>
        </w:rPr>
        <w:t xml:space="preserve"> </w:t>
      </w:r>
      <w:r>
        <w:rPr>
          <w:color w:val="auto"/>
          <w:spacing w:val="-1"/>
          <w:w w:val="99"/>
          <w:sz w:val="21"/>
        </w:rPr>
        <w:t>家以上供应商</w:t>
      </w:r>
      <w:r>
        <w:rPr>
          <w:color w:val="auto"/>
          <w:spacing w:val="3"/>
          <w:w w:val="99"/>
          <w:sz w:val="21"/>
        </w:rPr>
        <w:t>的设计方案或者解决方案，并要求其在规定时间内在广西政府采购云平台开标大厅提交最后报</w:t>
      </w:r>
      <w:r>
        <w:rPr>
          <w:color w:val="auto"/>
          <w:spacing w:val="4"/>
          <w:w w:val="99"/>
          <w:sz w:val="21"/>
        </w:rPr>
        <w:t>价。</w:t>
      </w:r>
      <w:r>
        <w:rPr>
          <w:b/>
          <w:color w:val="auto"/>
          <w:spacing w:val="3"/>
          <w:w w:val="99"/>
          <w:sz w:val="21"/>
        </w:rPr>
        <w:t>如果供应商的最后报价与首次报价不一致的，不能只报竞标总报价，必须同时提供“已标</w:t>
      </w:r>
      <w:r>
        <w:rPr>
          <w:b/>
          <w:color w:val="auto"/>
          <w:spacing w:val="-1"/>
          <w:w w:val="99"/>
          <w:sz w:val="21"/>
        </w:rPr>
        <w:t>价工程量清单”，否则做无效响应处理。</w:t>
      </w:r>
    </w:p>
    <w:p w14:paraId="5DBFCA14">
      <w:pPr>
        <w:pStyle w:val="21"/>
        <w:numPr>
          <w:ilvl w:val="1"/>
          <w:numId w:val="25"/>
        </w:numPr>
        <w:tabs>
          <w:tab w:val="left" w:pos="1627"/>
        </w:tabs>
        <w:spacing w:before="0" w:after="0" w:line="271" w:lineRule="exact"/>
        <w:ind w:left="1627" w:right="0" w:hanging="419"/>
        <w:jc w:val="both"/>
        <w:rPr>
          <w:color w:val="auto"/>
          <w:sz w:val="21"/>
        </w:rPr>
      </w:pPr>
      <w:r>
        <w:rPr>
          <w:color w:val="auto"/>
          <w:spacing w:val="-3"/>
          <w:sz w:val="21"/>
        </w:rPr>
        <w:t>最后报价是供应商响应文件的有效组成部分。</w:t>
      </w:r>
    </w:p>
    <w:p w14:paraId="017A96C3">
      <w:pPr>
        <w:pStyle w:val="12"/>
        <w:spacing w:before="147" w:line="369" w:lineRule="auto"/>
        <w:ind w:right="791" w:firstLine="420"/>
        <w:jc w:val="both"/>
        <w:rPr>
          <w:color w:val="auto"/>
        </w:rPr>
      </w:pPr>
      <w:r>
        <w:rPr>
          <w:color w:val="auto"/>
          <w:spacing w:val="-2"/>
        </w:rPr>
        <w:t xml:space="preserve">符合《政府采购竞争性磋商采购方式管理暂行办法》（财库〔2014〕214 号）第三条第四项 </w:t>
      </w:r>
      <w:r>
        <w:rPr>
          <w:color w:val="auto"/>
        </w:rPr>
        <w:t>“市场竞争不充分的科研项目，以及需要扶持的科技成果转化项目”和本章第 3.7</w:t>
      </w:r>
      <w:r>
        <w:rPr>
          <w:color w:val="auto"/>
          <w:spacing w:val="-2"/>
        </w:rPr>
        <w:t xml:space="preserve"> 条规定情形</w:t>
      </w:r>
    </w:p>
    <w:p w14:paraId="19699E33">
      <w:pPr>
        <w:pStyle w:val="12"/>
        <w:spacing w:before="0" w:line="272" w:lineRule="exact"/>
        <w:jc w:val="both"/>
        <w:rPr>
          <w:color w:val="auto"/>
        </w:rPr>
      </w:pPr>
      <w:r>
        <w:rPr>
          <w:color w:val="auto"/>
          <w:spacing w:val="-6"/>
        </w:rPr>
        <w:t xml:space="preserve">的，提交最后报价的供应商可以为 </w:t>
      </w:r>
      <w:r>
        <w:rPr>
          <w:color w:val="auto"/>
          <w:spacing w:val="-2"/>
        </w:rPr>
        <w:t>2</w:t>
      </w:r>
      <w:r>
        <w:rPr>
          <w:color w:val="auto"/>
          <w:spacing w:val="-21"/>
        </w:rPr>
        <w:t xml:space="preserve"> 家。</w:t>
      </w:r>
    </w:p>
    <w:p w14:paraId="24B7F3C7">
      <w:pPr>
        <w:pStyle w:val="21"/>
        <w:numPr>
          <w:ilvl w:val="1"/>
          <w:numId w:val="25"/>
        </w:numPr>
        <w:tabs>
          <w:tab w:val="left" w:pos="1574"/>
        </w:tabs>
        <w:spacing w:before="147" w:after="0" w:line="369" w:lineRule="auto"/>
        <w:ind w:left="788" w:right="788" w:firstLine="420"/>
        <w:jc w:val="both"/>
        <w:rPr>
          <w:color w:val="auto"/>
          <w:sz w:val="21"/>
        </w:rPr>
      </w:pPr>
      <w:r>
        <w:rPr>
          <w:color w:val="auto"/>
          <w:spacing w:val="-1"/>
          <w:w w:val="99"/>
          <w:sz w:val="21"/>
        </w:rPr>
        <w:t>已经提交响应文件的供应商，在提交最后报价之前，可以根据磋商情况退出磋商，退出</w:t>
      </w:r>
      <w:r>
        <w:rPr>
          <w:color w:val="auto"/>
          <w:spacing w:val="3"/>
          <w:w w:val="99"/>
          <w:sz w:val="21"/>
        </w:rPr>
        <w:t>磋商的供应商的响应文件按无效处理。采购人、采购代理机构将退还退出磋商的供应商的保证</w:t>
      </w:r>
      <w:r>
        <w:rPr>
          <w:color w:val="auto"/>
          <w:spacing w:val="-1"/>
          <w:w w:val="99"/>
          <w:sz w:val="21"/>
        </w:rPr>
        <w:t>金。</w:t>
      </w:r>
    </w:p>
    <w:p w14:paraId="7321777F">
      <w:pPr>
        <w:pStyle w:val="21"/>
        <w:numPr>
          <w:ilvl w:val="1"/>
          <w:numId w:val="25"/>
        </w:numPr>
        <w:tabs>
          <w:tab w:val="left" w:pos="1574"/>
        </w:tabs>
        <w:spacing w:before="0" w:after="0" w:line="272" w:lineRule="exact"/>
        <w:ind w:left="1574" w:right="0" w:hanging="366"/>
        <w:jc w:val="both"/>
        <w:rPr>
          <w:color w:val="auto"/>
          <w:sz w:val="21"/>
        </w:rPr>
      </w:pPr>
      <w:r>
        <w:rPr>
          <w:color w:val="auto"/>
          <w:spacing w:val="-3"/>
          <w:sz w:val="21"/>
        </w:rPr>
        <w:t>供应商未在规定时间内提交最后报价的，视同退出磋商，其响应文件按无效处理。</w:t>
      </w:r>
    </w:p>
    <w:p w14:paraId="4DED822B">
      <w:pPr>
        <w:pStyle w:val="21"/>
        <w:numPr>
          <w:ilvl w:val="1"/>
          <w:numId w:val="25"/>
        </w:numPr>
        <w:tabs>
          <w:tab w:val="left" w:pos="1574"/>
        </w:tabs>
        <w:spacing w:before="147" w:after="0" w:line="240" w:lineRule="auto"/>
        <w:ind w:left="1574" w:right="0" w:hanging="366"/>
        <w:jc w:val="left"/>
        <w:rPr>
          <w:color w:val="auto"/>
          <w:sz w:val="21"/>
        </w:rPr>
      </w:pPr>
      <w:r>
        <w:rPr>
          <w:color w:val="auto"/>
          <w:spacing w:val="-3"/>
          <w:sz w:val="21"/>
        </w:rPr>
        <w:t>最后报价统一开启后，磋商小组对最后报价进行有效性、完整性和响应程度的审查。</w:t>
      </w:r>
    </w:p>
    <w:p w14:paraId="02E4CCE9">
      <w:pPr>
        <w:pStyle w:val="21"/>
        <w:numPr>
          <w:ilvl w:val="1"/>
          <w:numId w:val="25"/>
        </w:numPr>
        <w:tabs>
          <w:tab w:val="left" w:pos="1574"/>
        </w:tabs>
        <w:spacing w:before="147" w:after="0" w:line="240" w:lineRule="auto"/>
        <w:ind w:left="1574" w:right="0" w:hanging="366"/>
        <w:jc w:val="left"/>
        <w:rPr>
          <w:color w:val="auto"/>
          <w:sz w:val="21"/>
        </w:rPr>
      </w:pPr>
      <w:r>
        <w:rPr>
          <w:color w:val="auto"/>
          <w:spacing w:val="-5"/>
          <w:sz w:val="21"/>
        </w:rPr>
        <w:t xml:space="preserve">最后报价出现前后不一致的，按照本章第 </w:t>
      </w:r>
      <w:r>
        <w:rPr>
          <w:color w:val="auto"/>
          <w:spacing w:val="-2"/>
          <w:sz w:val="21"/>
        </w:rPr>
        <w:t>2.4</w:t>
      </w:r>
      <w:r>
        <w:rPr>
          <w:color w:val="auto"/>
          <w:spacing w:val="-10"/>
          <w:sz w:val="21"/>
        </w:rPr>
        <w:t xml:space="preserve"> 条的规定修正。</w:t>
      </w:r>
    </w:p>
    <w:p w14:paraId="263AB646">
      <w:pPr>
        <w:pStyle w:val="21"/>
        <w:numPr>
          <w:ilvl w:val="1"/>
          <w:numId w:val="25"/>
        </w:numPr>
        <w:tabs>
          <w:tab w:val="left" w:pos="1574"/>
        </w:tabs>
        <w:spacing w:before="147" w:after="0" w:line="240" w:lineRule="auto"/>
        <w:ind w:left="1574" w:right="0" w:hanging="366"/>
        <w:jc w:val="left"/>
        <w:rPr>
          <w:color w:val="auto"/>
          <w:sz w:val="21"/>
        </w:rPr>
      </w:pPr>
      <w:r>
        <w:rPr>
          <w:color w:val="auto"/>
          <w:spacing w:val="-3"/>
          <w:sz w:val="21"/>
        </w:rPr>
        <w:t>修正后的报价出现下列情形的，按无效响应处理：</w:t>
      </w:r>
    </w:p>
    <w:p w14:paraId="36AE73B1">
      <w:pPr>
        <w:pStyle w:val="21"/>
        <w:numPr>
          <w:ilvl w:val="0"/>
          <w:numId w:val="32"/>
        </w:numPr>
        <w:tabs>
          <w:tab w:val="left" w:pos="1729"/>
        </w:tabs>
        <w:spacing w:before="147" w:after="0" w:line="240" w:lineRule="auto"/>
        <w:ind w:left="1729" w:right="0" w:hanging="521"/>
        <w:jc w:val="left"/>
        <w:rPr>
          <w:color w:val="auto"/>
          <w:sz w:val="21"/>
        </w:rPr>
      </w:pPr>
      <w:r>
        <w:rPr>
          <w:color w:val="auto"/>
          <w:spacing w:val="-2"/>
          <w:sz w:val="21"/>
        </w:rPr>
        <w:t>供应商不确认的（全流程电子化评标采取在线确认</w:t>
      </w:r>
      <w:r>
        <w:rPr>
          <w:color w:val="auto"/>
          <w:spacing w:val="-5"/>
          <w:sz w:val="21"/>
        </w:rPr>
        <w:t>）；</w:t>
      </w:r>
    </w:p>
    <w:p w14:paraId="1F40DE08">
      <w:pPr>
        <w:pStyle w:val="21"/>
        <w:numPr>
          <w:ilvl w:val="0"/>
          <w:numId w:val="32"/>
        </w:numPr>
        <w:tabs>
          <w:tab w:val="left" w:pos="1735"/>
        </w:tabs>
        <w:spacing w:before="147" w:after="0" w:line="369" w:lineRule="auto"/>
        <w:ind w:left="788" w:right="791" w:firstLine="420"/>
        <w:jc w:val="left"/>
        <w:rPr>
          <w:color w:val="auto"/>
          <w:sz w:val="21"/>
        </w:rPr>
      </w:pPr>
      <w:r>
        <w:rPr>
          <w:color w:val="auto"/>
          <w:spacing w:val="-2"/>
          <w:sz w:val="21"/>
        </w:rPr>
        <w:t>经供应商确认修正后的竞标报价（包含首次报价、最后报价）超过所竞标分标规定的采购预算金额或者最高限价的（如本项目公布了最高限价）；</w:t>
      </w:r>
    </w:p>
    <w:p w14:paraId="1F34265D">
      <w:pPr>
        <w:pStyle w:val="21"/>
        <w:numPr>
          <w:ilvl w:val="0"/>
          <w:numId w:val="32"/>
        </w:numPr>
        <w:tabs>
          <w:tab w:val="left" w:pos="1735"/>
        </w:tabs>
        <w:spacing w:before="0" w:after="0" w:line="369" w:lineRule="auto"/>
        <w:ind w:left="788" w:right="791" w:firstLine="420"/>
        <w:jc w:val="left"/>
        <w:rPr>
          <w:color w:val="auto"/>
          <w:sz w:val="21"/>
        </w:rPr>
      </w:pPr>
      <w:r>
        <w:rPr>
          <w:color w:val="auto"/>
          <w:spacing w:val="-2"/>
          <w:sz w:val="21"/>
        </w:rPr>
        <w:t>经供应商确认修正后的竞标报价（包含首次报价、最后报价）超过分项采购预算金额或者单价最高限价的（如项目有要求并公布了分项采购预算金额或者单价最高限价）。</w:t>
      </w:r>
    </w:p>
    <w:p w14:paraId="1BEC29FD">
      <w:pPr>
        <w:pStyle w:val="21"/>
        <w:numPr>
          <w:ilvl w:val="1"/>
          <w:numId w:val="25"/>
        </w:numPr>
        <w:tabs>
          <w:tab w:val="left" w:pos="1574"/>
        </w:tabs>
        <w:spacing w:before="0" w:after="0" w:line="272" w:lineRule="exact"/>
        <w:ind w:left="1574" w:right="0" w:hanging="366"/>
        <w:jc w:val="left"/>
        <w:rPr>
          <w:color w:val="auto"/>
          <w:sz w:val="21"/>
        </w:rPr>
      </w:pPr>
      <w:r>
        <w:rPr>
          <w:color w:val="auto"/>
          <w:spacing w:val="-3"/>
          <w:sz w:val="21"/>
        </w:rPr>
        <w:t>经供应商确认修正后的最后报价作为评审及签订合同的依据。</w:t>
      </w:r>
    </w:p>
    <w:p w14:paraId="18DE3CC2">
      <w:pPr>
        <w:pStyle w:val="21"/>
        <w:numPr>
          <w:ilvl w:val="1"/>
          <w:numId w:val="25"/>
        </w:numPr>
        <w:tabs>
          <w:tab w:val="left" w:pos="1683"/>
        </w:tabs>
        <w:spacing w:before="146" w:after="0" w:line="240" w:lineRule="auto"/>
        <w:ind w:left="1683" w:right="0" w:hanging="472"/>
        <w:jc w:val="left"/>
        <w:rPr>
          <w:color w:val="auto"/>
          <w:sz w:val="21"/>
        </w:rPr>
      </w:pPr>
      <w:r>
        <w:rPr>
          <w:color w:val="auto"/>
          <w:spacing w:val="-4"/>
          <w:sz w:val="21"/>
        </w:rPr>
        <w:t>异常低价响应审查</w:t>
      </w:r>
    </w:p>
    <w:p w14:paraId="5608F0BD">
      <w:pPr>
        <w:pStyle w:val="21"/>
        <w:numPr>
          <w:ilvl w:val="0"/>
          <w:numId w:val="33"/>
        </w:numPr>
        <w:tabs>
          <w:tab w:val="left" w:pos="1729"/>
        </w:tabs>
        <w:spacing w:before="147" w:after="0" w:line="240" w:lineRule="auto"/>
        <w:ind w:left="1729" w:right="0" w:hanging="521"/>
        <w:jc w:val="left"/>
        <w:rPr>
          <w:color w:val="auto"/>
          <w:sz w:val="21"/>
        </w:rPr>
      </w:pPr>
      <w:r>
        <w:rPr>
          <w:color w:val="auto"/>
          <w:spacing w:val="-3"/>
          <w:sz w:val="21"/>
        </w:rPr>
        <w:t>磋商小组在评审中发现下列情形之一的，应当启动异常低价响应审查程序：</w:t>
      </w:r>
    </w:p>
    <w:p w14:paraId="547D3141">
      <w:pPr>
        <w:pStyle w:val="12"/>
        <w:spacing w:before="147" w:line="369" w:lineRule="auto"/>
        <w:ind w:right="791" w:firstLine="420"/>
        <w:rPr>
          <w:color w:val="auto"/>
        </w:rPr>
      </w:pPr>
      <w:r>
        <w:rPr>
          <w:color w:val="auto"/>
        </w:rPr>
        <w:t>①响应报价低于全部通过符合性审查供应商响应报价平均值</w:t>
      </w:r>
      <w:r>
        <w:rPr>
          <w:color w:val="auto"/>
          <w:spacing w:val="-32"/>
        </w:rPr>
        <w:t xml:space="preserve"> </w:t>
      </w:r>
      <w:r>
        <w:rPr>
          <w:color w:val="auto"/>
        </w:rPr>
        <w:t>50%</w:t>
      </w:r>
      <w:r>
        <w:rPr>
          <w:color w:val="auto"/>
          <w:spacing w:val="-2"/>
          <w:position w:val="-2"/>
        </w:rPr>
        <w:drawing>
          <wp:inline distT="0" distB="0" distL="0" distR="0">
            <wp:extent cx="67945" cy="5715"/>
            <wp:effectExtent l="0" t="0" r="0" b="0"/>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68579" cy="6096"/>
                    </a:xfrm>
                    <a:prstGeom prst="rect">
                      <a:avLst/>
                    </a:prstGeom>
                  </pic:spPr>
                </pic:pic>
              </a:graphicData>
            </a:graphic>
          </wp:inline>
        </w:drawing>
      </w:r>
      <w:r>
        <w:rPr>
          <w:color w:val="auto"/>
        </w:rPr>
        <w:t>的，即响应报价＜全部通</w:t>
      </w:r>
      <w:r>
        <w:rPr>
          <w:color w:val="auto"/>
          <w:spacing w:val="-2"/>
        </w:rPr>
        <w:t>过符合性审查供应商响应报价平均值×50%</w:t>
      </w:r>
      <w:r>
        <w:rPr>
          <w:color w:val="auto"/>
          <w:spacing w:val="-2"/>
          <w:position w:val="-2"/>
        </w:rPr>
        <w:drawing>
          <wp:inline distT="0" distB="0" distL="0" distR="0">
            <wp:extent cx="66675" cy="5715"/>
            <wp:effectExtent l="0" t="0" r="0" b="0"/>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66675" cy="6095"/>
                    </a:xfrm>
                    <a:prstGeom prst="rect">
                      <a:avLst/>
                    </a:prstGeom>
                  </pic:spPr>
                </pic:pic>
              </a:graphicData>
            </a:graphic>
          </wp:inline>
        </w:drawing>
      </w:r>
      <w:r>
        <w:rPr>
          <w:color w:val="auto"/>
          <w:spacing w:val="-2"/>
        </w:rPr>
        <w:t>；</w:t>
      </w:r>
    </w:p>
    <w:p w14:paraId="4F65751E">
      <w:pPr>
        <w:pStyle w:val="12"/>
        <w:spacing w:before="0" w:line="369" w:lineRule="auto"/>
        <w:ind w:right="791" w:firstLine="420"/>
        <w:rPr>
          <w:color w:val="auto"/>
        </w:rPr>
      </w:pPr>
      <w:r>
        <w:rPr>
          <w:color w:val="auto"/>
        </w:rPr>
        <w:t>②响应报价低于通过符合性审查的次低报价供应商响应报价</w:t>
      </w:r>
      <w:r>
        <w:rPr>
          <w:rFonts w:ascii="Times New Roman" w:hAnsi="Times New Roman" w:eastAsia="Times New Roman"/>
          <w:color w:val="auto"/>
          <w:spacing w:val="40"/>
          <w:u w:val="single"/>
        </w:rPr>
        <w:t xml:space="preserve"> </w:t>
      </w:r>
      <w:r>
        <w:rPr>
          <w:color w:val="auto"/>
          <w:u w:val="single"/>
        </w:rPr>
        <w:t>50%</w:t>
      </w:r>
      <w:r>
        <w:rPr>
          <w:color w:val="auto"/>
          <w:u w:val="none"/>
        </w:rPr>
        <w:t>的，即响应报价＜通过符</w:t>
      </w:r>
      <w:r>
        <w:rPr>
          <w:color w:val="auto"/>
          <w:spacing w:val="-2"/>
          <w:u w:val="none"/>
        </w:rPr>
        <w:t>合性审查的次低报价供应商响应报价×50%；</w:t>
      </w:r>
    </w:p>
    <w:p w14:paraId="79F29BA2">
      <w:pPr>
        <w:spacing w:after="0" w:line="369" w:lineRule="auto"/>
        <w:rPr>
          <w:color w:val="auto"/>
        </w:rPr>
        <w:sectPr>
          <w:pgSz w:w="11910" w:h="16840"/>
          <w:pgMar w:top="1480" w:right="740" w:bottom="1180" w:left="800" w:header="0" w:footer="989" w:gutter="0"/>
          <w:cols w:space="720" w:num="1"/>
        </w:sectPr>
      </w:pPr>
    </w:p>
    <w:p w14:paraId="22E0575D">
      <w:pPr>
        <w:pStyle w:val="12"/>
        <w:spacing w:before="45"/>
        <w:ind w:left="1208"/>
        <w:rPr>
          <w:color w:val="auto"/>
        </w:rPr>
      </w:pPr>
      <w:r>
        <w:rPr>
          <w:color w:val="auto"/>
          <w:spacing w:val="-5"/>
        </w:rPr>
        <w:t xml:space="preserve">③响应报价低于采购项目最高限价 </w:t>
      </w:r>
      <w:r>
        <w:rPr>
          <w:color w:val="auto"/>
          <w:spacing w:val="-2"/>
        </w:rPr>
        <w:t>65%的，即响应报价＜采购项目最高限价×</w:t>
      </w:r>
      <w:r>
        <w:rPr>
          <w:color w:val="auto"/>
          <w:spacing w:val="-2"/>
          <w:u w:val="single"/>
        </w:rPr>
        <w:t>65</w:t>
      </w:r>
      <w:r>
        <w:rPr>
          <w:color w:val="auto"/>
          <w:spacing w:val="4"/>
          <w:u w:val="single"/>
        </w:rPr>
        <w:t xml:space="preserve">% </w:t>
      </w:r>
      <w:r>
        <w:rPr>
          <w:color w:val="auto"/>
          <w:spacing w:val="-10"/>
          <w:u w:val="none"/>
        </w:rPr>
        <w:t>；</w:t>
      </w:r>
    </w:p>
    <w:p w14:paraId="64E19AC0">
      <w:pPr>
        <w:pStyle w:val="12"/>
        <w:spacing w:before="147" w:line="369" w:lineRule="auto"/>
        <w:ind w:right="791" w:firstLine="420"/>
        <w:rPr>
          <w:color w:val="auto"/>
        </w:rPr>
      </w:pPr>
      <w:r>
        <w:rPr>
          <w:color w:val="auto"/>
          <w:spacing w:val="3"/>
          <w:w w:val="99"/>
        </w:rPr>
        <w:t>④磋商小组基于专业判断，认为供应商报价过低，有可能影响产品质量或者不能诚信履约</w:t>
      </w:r>
      <w:r>
        <w:rPr>
          <w:color w:val="auto"/>
          <w:spacing w:val="-1"/>
          <w:w w:val="99"/>
        </w:rPr>
        <w:t>的其他情形。</w:t>
      </w:r>
    </w:p>
    <w:p w14:paraId="4CA23908">
      <w:pPr>
        <w:pStyle w:val="21"/>
        <w:numPr>
          <w:ilvl w:val="0"/>
          <w:numId w:val="33"/>
        </w:numPr>
        <w:tabs>
          <w:tab w:val="left" w:pos="1735"/>
        </w:tabs>
        <w:spacing w:before="0" w:after="0" w:line="369" w:lineRule="auto"/>
        <w:ind w:left="788" w:right="788" w:firstLine="420"/>
        <w:jc w:val="both"/>
        <w:rPr>
          <w:color w:val="auto"/>
          <w:sz w:val="21"/>
        </w:rPr>
      </w:pPr>
      <w:r>
        <w:rPr>
          <w:color w:val="auto"/>
          <w:spacing w:val="1"/>
          <w:w w:val="99"/>
          <w:sz w:val="21"/>
        </w:rPr>
        <w:t>磋商小组启动异常低价响应审查后，属于前述第</w:t>
      </w:r>
      <w:r>
        <w:rPr>
          <w:color w:val="auto"/>
          <w:spacing w:val="-50"/>
          <w:sz w:val="21"/>
        </w:rPr>
        <w:t xml:space="preserve"> </w:t>
      </w:r>
      <w:r>
        <w:rPr>
          <w:color w:val="auto"/>
          <w:w w:val="99"/>
          <w:sz w:val="21"/>
        </w:rPr>
        <w:t>1</w:t>
      </w:r>
      <w:r>
        <w:rPr>
          <w:color w:val="auto"/>
          <w:spacing w:val="-49"/>
          <w:sz w:val="21"/>
        </w:rPr>
        <w:t xml:space="preserve"> </w:t>
      </w:r>
      <w:r>
        <w:rPr>
          <w:color w:val="auto"/>
          <w:spacing w:val="2"/>
          <w:w w:val="99"/>
          <w:sz w:val="21"/>
        </w:rPr>
        <w:t>项至第</w:t>
      </w:r>
      <w:r>
        <w:rPr>
          <w:color w:val="auto"/>
          <w:spacing w:val="-53"/>
          <w:sz w:val="21"/>
        </w:rPr>
        <w:t xml:space="preserve"> </w:t>
      </w:r>
      <w:r>
        <w:rPr>
          <w:color w:val="auto"/>
          <w:w w:val="99"/>
          <w:sz w:val="21"/>
        </w:rPr>
        <w:t>4</w:t>
      </w:r>
      <w:r>
        <w:rPr>
          <w:color w:val="auto"/>
          <w:spacing w:val="-52"/>
          <w:sz w:val="21"/>
        </w:rPr>
        <w:t xml:space="preserve"> </w:t>
      </w:r>
      <w:r>
        <w:rPr>
          <w:color w:val="auto"/>
          <w:spacing w:val="1"/>
          <w:w w:val="99"/>
          <w:sz w:val="21"/>
        </w:rPr>
        <w:t>项情形的，应当要求相关</w:t>
      </w:r>
      <w:r>
        <w:rPr>
          <w:color w:val="auto"/>
          <w:spacing w:val="3"/>
          <w:w w:val="99"/>
          <w:sz w:val="21"/>
        </w:rPr>
        <w:t>供应商在评审现场合理的时间内对响应价格作出解释，提供项目具体成本测算等与报价合理性相关的书面说明及必要的证明材料，包括但不限于原材料成本、人工成本、制造费用等，给予</w:t>
      </w:r>
      <w:r>
        <w:rPr>
          <w:color w:val="auto"/>
          <w:spacing w:val="1"/>
          <w:w w:val="99"/>
          <w:sz w:val="21"/>
        </w:rPr>
        <w:t>相关供应商的合理时间一般不少于</w:t>
      </w:r>
      <w:r>
        <w:rPr>
          <w:color w:val="auto"/>
          <w:spacing w:val="-50"/>
          <w:sz w:val="21"/>
        </w:rPr>
        <w:t xml:space="preserve"> </w:t>
      </w:r>
      <w:r>
        <w:rPr>
          <w:color w:val="auto"/>
          <w:spacing w:val="1"/>
          <w:w w:val="99"/>
          <w:sz w:val="21"/>
        </w:rPr>
        <w:t>3</w:t>
      </w:r>
      <w:r>
        <w:rPr>
          <w:color w:val="auto"/>
          <w:w w:val="99"/>
          <w:sz w:val="21"/>
        </w:rPr>
        <w:t>0</w:t>
      </w:r>
      <w:r>
        <w:rPr>
          <w:color w:val="auto"/>
          <w:spacing w:val="-52"/>
          <w:sz w:val="21"/>
        </w:rPr>
        <w:t xml:space="preserve"> </w:t>
      </w:r>
      <w:r>
        <w:rPr>
          <w:color w:val="auto"/>
          <w:spacing w:val="1"/>
          <w:w w:val="99"/>
          <w:sz w:val="21"/>
        </w:rPr>
        <w:t>分钟。其中，属于第③项情形，供应商已随响应文件一并</w:t>
      </w:r>
      <w:r>
        <w:rPr>
          <w:color w:val="auto"/>
          <w:spacing w:val="-1"/>
          <w:w w:val="99"/>
          <w:sz w:val="21"/>
        </w:rPr>
        <w:t>提交相关书面说明及必要的证明材料的，可不再重复提交。</w:t>
      </w:r>
    </w:p>
    <w:p w14:paraId="0C956772">
      <w:pPr>
        <w:spacing w:before="0" w:line="369" w:lineRule="auto"/>
        <w:ind w:left="788" w:right="788" w:firstLine="420"/>
        <w:jc w:val="both"/>
        <w:rPr>
          <w:b/>
          <w:color w:val="auto"/>
          <w:sz w:val="21"/>
        </w:rPr>
      </w:pPr>
      <w:r>
        <w:rPr>
          <w:color w:val="auto"/>
          <w:spacing w:val="3"/>
          <w:w w:val="99"/>
          <w:sz w:val="21"/>
        </w:rPr>
        <w:t>磋商小组依据专业经验，参考同类项目成交价格、类似产品市场价格水平、行业人工费用</w:t>
      </w:r>
      <w:r>
        <w:rPr>
          <w:color w:val="auto"/>
          <w:spacing w:val="4"/>
          <w:w w:val="99"/>
          <w:sz w:val="21"/>
        </w:rPr>
        <w:t>标准、国家有关部门指导行业协会发布的行业平均成本等情况，对报价合理性进行判断。</w:t>
      </w:r>
      <w:r>
        <w:rPr>
          <w:b/>
          <w:color w:val="auto"/>
          <w:spacing w:val="3"/>
          <w:w w:val="99"/>
          <w:sz w:val="21"/>
        </w:rPr>
        <w:t>相关供应商不能提供书面说明、证明材料，或者提供的书面说明、证明材料不能证明其报价合理性</w:t>
      </w:r>
      <w:r>
        <w:rPr>
          <w:b/>
          <w:color w:val="auto"/>
          <w:spacing w:val="-1"/>
          <w:w w:val="99"/>
          <w:sz w:val="21"/>
        </w:rPr>
        <w:t>的，磋商小组应当将其作为无效响应处理。</w:t>
      </w:r>
    </w:p>
    <w:p w14:paraId="6826D228">
      <w:pPr>
        <w:pStyle w:val="12"/>
        <w:spacing w:before="0" w:line="369" w:lineRule="auto"/>
        <w:ind w:right="788" w:firstLine="420"/>
        <w:jc w:val="both"/>
        <w:rPr>
          <w:color w:val="auto"/>
        </w:rPr>
      </w:pPr>
      <w:r>
        <w:rPr>
          <w:color w:val="auto"/>
          <w:spacing w:val="4"/>
          <w:w w:val="99"/>
        </w:rPr>
        <w:t>采购人、采购代理机构应当为磋商小组在评审现场及时获取同类项目中标</w:t>
      </w:r>
      <w:r>
        <w:rPr>
          <w:color w:val="auto"/>
          <w:spacing w:val="7"/>
          <w:w w:val="99"/>
        </w:rPr>
        <w:t>（</w:t>
      </w:r>
      <w:r>
        <w:rPr>
          <w:color w:val="auto"/>
          <w:spacing w:val="4"/>
          <w:w w:val="99"/>
        </w:rPr>
        <w:t>成交</w:t>
      </w:r>
      <w:r>
        <w:rPr>
          <w:color w:val="auto"/>
          <w:spacing w:val="7"/>
          <w:w w:val="99"/>
        </w:rPr>
        <w:t>）</w:t>
      </w:r>
      <w:r>
        <w:rPr>
          <w:color w:val="auto"/>
          <w:spacing w:val="3"/>
          <w:w w:val="99"/>
        </w:rPr>
        <w:t>价格、类似产品市场价格水平、行业人工费用标准、国家有关部门指导行业协会发布的行业平均成本等相关信息资料提供便利。磋商小组借助互联网等渠道查询相关信息的，应当严格遵守评审工</w:t>
      </w:r>
      <w:r>
        <w:rPr>
          <w:color w:val="auto"/>
          <w:spacing w:val="-1"/>
          <w:w w:val="99"/>
        </w:rPr>
        <w:t>作纪律，不得实施影响评审公正的行为。</w:t>
      </w:r>
    </w:p>
    <w:p w14:paraId="7E36E6CB">
      <w:pPr>
        <w:pStyle w:val="12"/>
        <w:spacing w:before="0" w:line="369" w:lineRule="auto"/>
        <w:ind w:right="788" w:firstLine="420"/>
        <w:rPr>
          <w:color w:val="auto"/>
        </w:rPr>
      </w:pPr>
      <w:r>
        <w:rPr>
          <w:color w:val="auto"/>
          <w:spacing w:val="3"/>
          <w:w w:val="99"/>
        </w:rPr>
        <w:t>异常低价响应审查的启动原因、审查意见和审查结果应当在评审报告中记录，并随供应商</w:t>
      </w:r>
      <w:r>
        <w:rPr>
          <w:color w:val="auto"/>
          <w:spacing w:val="-1"/>
          <w:w w:val="99"/>
        </w:rPr>
        <w:t>提供的相关书面说明及证明材料，以及磋商小组有关互联网浏览、查询历史一并归档。</w:t>
      </w:r>
    </w:p>
    <w:p w14:paraId="199A878E">
      <w:pPr>
        <w:pStyle w:val="21"/>
        <w:numPr>
          <w:ilvl w:val="1"/>
          <w:numId w:val="25"/>
        </w:numPr>
        <w:tabs>
          <w:tab w:val="left" w:pos="1682"/>
        </w:tabs>
        <w:spacing w:before="0" w:after="0" w:line="369" w:lineRule="auto"/>
        <w:ind w:left="788" w:right="791" w:firstLine="420"/>
        <w:jc w:val="left"/>
        <w:rPr>
          <w:color w:val="auto"/>
          <w:sz w:val="21"/>
        </w:rPr>
      </w:pPr>
      <w:r>
        <w:rPr>
          <w:color w:val="auto"/>
          <w:spacing w:val="-2"/>
          <w:sz w:val="21"/>
        </w:rPr>
        <w:t>供应商出现最后报价按无效响应处理或者响应文件按无效处理时，磋商小组应当告知有关供应商。</w:t>
      </w:r>
    </w:p>
    <w:p w14:paraId="52A52FF4">
      <w:pPr>
        <w:pStyle w:val="21"/>
        <w:numPr>
          <w:ilvl w:val="1"/>
          <w:numId w:val="25"/>
        </w:numPr>
        <w:tabs>
          <w:tab w:val="left" w:pos="1677"/>
        </w:tabs>
        <w:spacing w:before="0" w:after="0" w:line="272" w:lineRule="exact"/>
        <w:ind w:left="1677" w:right="0" w:hanging="469"/>
        <w:jc w:val="left"/>
        <w:rPr>
          <w:color w:val="auto"/>
          <w:sz w:val="21"/>
        </w:rPr>
      </w:pPr>
      <w:r>
        <w:rPr>
          <w:color w:val="auto"/>
          <w:spacing w:val="-3"/>
          <w:sz w:val="21"/>
        </w:rPr>
        <w:t>最后报价结束后，磋商小组不得再与供应商进行任何形式的商谈。</w:t>
      </w:r>
    </w:p>
    <w:p w14:paraId="2BA583F6">
      <w:pPr>
        <w:pStyle w:val="10"/>
        <w:numPr>
          <w:ilvl w:val="0"/>
          <w:numId w:val="25"/>
        </w:numPr>
        <w:tabs>
          <w:tab w:val="left" w:pos="1511"/>
        </w:tabs>
        <w:spacing w:before="109" w:after="0" w:line="240" w:lineRule="auto"/>
        <w:ind w:left="1511" w:right="0" w:hanging="243"/>
        <w:jc w:val="left"/>
        <w:rPr>
          <w:rFonts w:hint="eastAsia" w:ascii="黑体" w:eastAsia="黑体"/>
          <w:color w:val="auto"/>
          <w:sz w:val="22"/>
        </w:rPr>
      </w:pPr>
      <w:r>
        <w:rPr>
          <w:rFonts w:hint="eastAsia" w:ascii="黑体" w:eastAsia="黑体"/>
          <w:color w:val="auto"/>
          <w:spacing w:val="-2"/>
        </w:rPr>
        <w:t>比较与评价</w:t>
      </w:r>
    </w:p>
    <w:p w14:paraId="299E98DC">
      <w:pPr>
        <w:pStyle w:val="21"/>
        <w:numPr>
          <w:ilvl w:val="1"/>
          <w:numId w:val="25"/>
        </w:numPr>
        <w:tabs>
          <w:tab w:val="left" w:pos="1574"/>
        </w:tabs>
        <w:spacing w:before="139" w:after="0" w:line="240" w:lineRule="auto"/>
        <w:ind w:left="1574" w:right="0" w:hanging="366"/>
        <w:jc w:val="left"/>
        <w:rPr>
          <w:color w:val="auto"/>
          <w:sz w:val="21"/>
        </w:rPr>
      </w:pPr>
      <w:r>
        <w:rPr>
          <w:color w:val="auto"/>
          <w:spacing w:val="-3"/>
          <w:sz w:val="21"/>
        </w:rPr>
        <w:t>评审方法：综合评分法。</w:t>
      </w:r>
    </w:p>
    <w:p w14:paraId="396A01B6">
      <w:pPr>
        <w:pStyle w:val="21"/>
        <w:numPr>
          <w:ilvl w:val="1"/>
          <w:numId w:val="25"/>
        </w:numPr>
        <w:tabs>
          <w:tab w:val="left" w:pos="1574"/>
        </w:tabs>
        <w:spacing w:before="147" w:after="0" w:line="369" w:lineRule="auto"/>
        <w:ind w:left="788" w:right="791" w:firstLine="420"/>
        <w:jc w:val="left"/>
        <w:rPr>
          <w:color w:val="auto"/>
          <w:sz w:val="21"/>
        </w:rPr>
      </w:pPr>
      <w:r>
        <w:rPr>
          <w:color w:val="auto"/>
          <w:spacing w:val="-2"/>
          <w:sz w:val="21"/>
        </w:rPr>
        <w:t>经磋商确定最终采购需求和提交最后报价的供应商后，由磋商小组采用综合评分法对提交最后报价的供应商的响应文件和最后报价进行综合评分。</w:t>
      </w:r>
    </w:p>
    <w:p w14:paraId="32D54194">
      <w:pPr>
        <w:pStyle w:val="21"/>
        <w:numPr>
          <w:ilvl w:val="1"/>
          <w:numId w:val="25"/>
        </w:numPr>
        <w:tabs>
          <w:tab w:val="left" w:pos="1574"/>
        </w:tabs>
        <w:spacing w:before="0" w:after="0" w:line="369" w:lineRule="auto"/>
        <w:ind w:left="788" w:right="791" w:firstLine="420"/>
        <w:jc w:val="left"/>
        <w:rPr>
          <w:color w:val="auto"/>
          <w:sz w:val="21"/>
        </w:rPr>
      </w:pPr>
      <w:r>
        <w:rPr>
          <w:color w:val="auto"/>
          <w:spacing w:val="-2"/>
          <w:sz w:val="21"/>
        </w:rPr>
        <w:t>评审时，磋商小组各成员应当独立对每个有效响应的文件进行评价、打分，然后汇总每个供应商每项评分因素的得分。</w:t>
      </w:r>
    </w:p>
    <w:p w14:paraId="13B39D59">
      <w:pPr>
        <w:pStyle w:val="21"/>
        <w:numPr>
          <w:ilvl w:val="0"/>
          <w:numId w:val="34"/>
        </w:numPr>
        <w:tabs>
          <w:tab w:val="left" w:pos="1729"/>
        </w:tabs>
        <w:spacing w:before="0" w:after="0" w:line="369" w:lineRule="auto"/>
        <w:ind w:left="788" w:right="652" w:firstLine="420"/>
        <w:jc w:val="left"/>
        <w:rPr>
          <w:color w:val="auto"/>
          <w:sz w:val="21"/>
        </w:rPr>
      </w:pPr>
      <w:r>
        <w:rPr>
          <w:color w:val="auto"/>
          <w:spacing w:val="-2"/>
          <w:sz w:val="21"/>
        </w:rPr>
        <w:t>磋商小组按照磋商文件中规定的评审标准计算各供应商的报价得分。项目评审过程中，不得去掉最后报价中的最高报价和最低报价。</w:t>
      </w:r>
    </w:p>
    <w:p w14:paraId="32A6CA1A">
      <w:pPr>
        <w:pStyle w:val="21"/>
        <w:numPr>
          <w:ilvl w:val="0"/>
          <w:numId w:val="34"/>
        </w:numPr>
        <w:tabs>
          <w:tab w:val="left" w:pos="1729"/>
        </w:tabs>
        <w:spacing w:before="0" w:after="0" w:line="272" w:lineRule="exact"/>
        <w:ind w:left="1729" w:right="0" w:hanging="521"/>
        <w:jc w:val="left"/>
        <w:rPr>
          <w:color w:val="auto"/>
          <w:sz w:val="21"/>
        </w:rPr>
      </w:pPr>
      <w:r>
        <w:rPr>
          <w:color w:val="auto"/>
          <w:spacing w:val="-3"/>
          <w:sz w:val="21"/>
        </w:rPr>
        <w:t>各供应商的得分为磋商小组所有成员的有效评分的算术平均数。</w:t>
      </w:r>
    </w:p>
    <w:p w14:paraId="19B52541">
      <w:pPr>
        <w:pStyle w:val="21"/>
        <w:numPr>
          <w:ilvl w:val="1"/>
          <w:numId w:val="25"/>
        </w:numPr>
        <w:tabs>
          <w:tab w:val="left" w:pos="1574"/>
        </w:tabs>
        <w:spacing w:before="145" w:after="0" w:line="369" w:lineRule="auto"/>
        <w:ind w:left="788" w:right="791" w:firstLine="420"/>
        <w:jc w:val="left"/>
        <w:rPr>
          <w:color w:val="auto"/>
          <w:sz w:val="21"/>
        </w:rPr>
      </w:pPr>
      <w:r>
        <w:rPr>
          <w:color w:val="auto"/>
          <w:spacing w:val="-2"/>
          <w:sz w:val="21"/>
        </w:rPr>
        <w:t>评审价为供应商的最后报价进行政策性扣除后的价格，评审价只是作为评审时使用。最终成交供应商的成交金额等于最后报价（如有修正，以确认修正后的最后报价为准）。</w:t>
      </w:r>
    </w:p>
    <w:p w14:paraId="46C17924">
      <w:pPr>
        <w:pStyle w:val="10"/>
        <w:numPr>
          <w:ilvl w:val="0"/>
          <w:numId w:val="25"/>
        </w:numPr>
        <w:tabs>
          <w:tab w:val="left" w:pos="1632"/>
        </w:tabs>
        <w:spacing w:before="0" w:after="0" w:line="281" w:lineRule="exact"/>
        <w:ind w:left="1632" w:right="0" w:hanging="364"/>
        <w:jc w:val="left"/>
        <w:rPr>
          <w:rFonts w:hint="eastAsia" w:ascii="黑体" w:eastAsia="黑体"/>
          <w:color w:val="auto"/>
        </w:rPr>
      </w:pPr>
      <w:r>
        <w:rPr>
          <w:rFonts w:hint="eastAsia" w:ascii="黑体" w:eastAsia="黑体"/>
          <w:color w:val="auto"/>
          <w:spacing w:val="-2"/>
        </w:rPr>
        <w:t>成交供应商推荐原则</w:t>
      </w:r>
    </w:p>
    <w:p w14:paraId="2E4696DA">
      <w:pPr>
        <w:spacing w:after="0" w:line="281" w:lineRule="exact"/>
        <w:jc w:val="left"/>
        <w:rPr>
          <w:rFonts w:hint="eastAsia" w:ascii="黑体" w:eastAsia="黑体"/>
          <w:color w:val="auto"/>
        </w:rPr>
        <w:sectPr>
          <w:pgSz w:w="11910" w:h="16840"/>
          <w:pgMar w:top="1500" w:right="740" w:bottom="1180" w:left="800" w:header="0" w:footer="989" w:gutter="0"/>
          <w:cols w:space="720" w:num="1"/>
        </w:sectPr>
      </w:pPr>
    </w:p>
    <w:p w14:paraId="411E19AB">
      <w:pPr>
        <w:pStyle w:val="21"/>
        <w:numPr>
          <w:ilvl w:val="1"/>
          <w:numId w:val="25"/>
        </w:numPr>
        <w:tabs>
          <w:tab w:val="left" w:pos="1573"/>
        </w:tabs>
        <w:spacing w:before="45" w:after="0" w:line="369" w:lineRule="auto"/>
        <w:ind w:left="788" w:right="792" w:firstLine="420"/>
        <w:jc w:val="both"/>
        <w:rPr>
          <w:color w:val="auto"/>
          <w:sz w:val="21"/>
        </w:rPr>
      </w:pPr>
      <w:r>
        <w:rPr>
          <w:color w:val="auto"/>
          <w:spacing w:val="-3"/>
          <w:sz w:val="21"/>
        </w:rPr>
        <w:t xml:space="preserve">由磋商小组根据综合评分情况，按照评审得分由高到低顺序推荐 </w:t>
      </w:r>
      <w:r>
        <w:rPr>
          <w:color w:val="auto"/>
          <w:spacing w:val="-2"/>
          <w:sz w:val="21"/>
        </w:rPr>
        <w:t>3</w:t>
      </w:r>
      <w:r>
        <w:rPr>
          <w:color w:val="auto"/>
          <w:spacing w:val="-7"/>
          <w:sz w:val="21"/>
        </w:rPr>
        <w:t xml:space="preserve"> 名以上成交候选供应</w:t>
      </w:r>
      <w:r>
        <w:rPr>
          <w:color w:val="auto"/>
          <w:spacing w:val="-2"/>
          <w:sz w:val="21"/>
        </w:rPr>
        <w:t>商，并编写评审报告，评审报告通过电子交易平台向采购人、采购代理机构提交。符合本章第</w:t>
      </w:r>
    </w:p>
    <w:p w14:paraId="1B0DB2CC">
      <w:pPr>
        <w:pStyle w:val="12"/>
        <w:spacing w:before="0" w:line="369" w:lineRule="auto"/>
        <w:ind w:right="757"/>
        <w:jc w:val="both"/>
        <w:rPr>
          <w:color w:val="auto"/>
        </w:rPr>
      </w:pPr>
      <w:r>
        <w:rPr>
          <w:color w:val="auto"/>
          <w:spacing w:val="1"/>
          <w:w w:val="99"/>
        </w:rPr>
        <w:t>4.</w:t>
      </w:r>
      <w:r>
        <w:rPr>
          <w:color w:val="auto"/>
          <w:w w:val="99"/>
        </w:rPr>
        <w:t>3</w:t>
      </w:r>
      <w:r>
        <w:rPr>
          <w:color w:val="auto"/>
          <w:spacing w:val="-54"/>
        </w:rPr>
        <w:t xml:space="preserve"> </w:t>
      </w:r>
      <w:r>
        <w:rPr>
          <w:color w:val="auto"/>
          <w:spacing w:val="-1"/>
          <w:w w:val="99"/>
        </w:rPr>
        <w:t>条情形的，可以推荐</w:t>
      </w:r>
      <w:r>
        <w:rPr>
          <w:color w:val="auto"/>
          <w:spacing w:val="-53"/>
        </w:rPr>
        <w:t xml:space="preserve"> </w:t>
      </w:r>
      <w:r>
        <w:rPr>
          <w:color w:val="auto"/>
          <w:w w:val="99"/>
        </w:rPr>
        <w:t>2</w:t>
      </w:r>
      <w:r>
        <w:rPr>
          <w:color w:val="auto"/>
          <w:spacing w:val="-52"/>
        </w:rPr>
        <w:t xml:space="preserve"> </w:t>
      </w:r>
      <w:r>
        <w:rPr>
          <w:color w:val="auto"/>
          <w:spacing w:val="-1"/>
          <w:w w:val="99"/>
        </w:rPr>
        <w:t>家成交候选供应商。评审得分相同的，按照最后报价</w:t>
      </w:r>
      <w:r>
        <w:rPr>
          <w:color w:val="auto"/>
          <w:spacing w:val="2"/>
          <w:w w:val="99"/>
        </w:rPr>
        <w:t>（</w:t>
      </w:r>
      <w:r>
        <w:rPr>
          <w:color w:val="auto"/>
          <w:spacing w:val="-1"/>
          <w:w w:val="99"/>
        </w:rPr>
        <w:t>不计算价格折</w:t>
      </w:r>
      <w:r>
        <w:rPr>
          <w:color w:val="auto"/>
          <w:spacing w:val="4"/>
          <w:w w:val="99"/>
        </w:rPr>
        <w:t>扣</w:t>
      </w:r>
      <w:r>
        <w:rPr>
          <w:color w:val="auto"/>
          <w:spacing w:val="7"/>
          <w:w w:val="99"/>
        </w:rPr>
        <w:t>）</w:t>
      </w:r>
      <w:r>
        <w:rPr>
          <w:color w:val="auto"/>
          <w:spacing w:val="4"/>
          <w:w w:val="99"/>
        </w:rPr>
        <w:t>由低到高的顺序推荐。评审得分且最后报价</w:t>
      </w:r>
      <w:r>
        <w:rPr>
          <w:color w:val="auto"/>
          <w:spacing w:val="7"/>
          <w:w w:val="99"/>
        </w:rPr>
        <w:t>（</w:t>
      </w:r>
      <w:r>
        <w:rPr>
          <w:color w:val="auto"/>
          <w:spacing w:val="4"/>
          <w:w w:val="99"/>
        </w:rPr>
        <w:t>不计算价格折扣）</w:t>
      </w:r>
      <w:r>
        <w:rPr>
          <w:color w:val="auto"/>
          <w:spacing w:val="3"/>
          <w:w w:val="99"/>
        </w:rPr>
        <w:t>相同的，按照技术指标优</w:t>
      </w:r>
      <w:r>
        <w:rPr>
          <w:color w:val="auto"/>
          <w:spacing w:val="-1"/>
          <w:w w:val="99"/>
        </w:rPr>
        <w:t>劣顺序推荐</w:t>
      </w:r>
      <w:r>
        <w:rPr>
          <w:color w:val="auto"/>
          <w:spacing w:val="2"/>
          <w:w w:val="99"/>
        </w:rPr>
        <w:t>（</w:t>
      </w:r>
      <w:r>
        <w:rPr>
          <w:color w:val="auto"/>
          <w:spacing w:val="-1"/>
          <w:w w:val="99"/>
        </w:rPr>
        <w:t>按技术得分由高到低排序，技术得分相同的按照技术要求偏离分由高到低排序）</w:t>
      </w:r>
      <w:r>
        <w:rPr>
          <w:color w:val="auto"/>
          <w:w w:val="99"/>
        </w:rPr>
        <w:t>。</w:t>
      </w:r>
      <w:r>
        <w:rPr>
          <w:color w:val="auto"/>
          <w:spacing w:val="4"/>
          <w:w w:val="99"/>
        </w:rPr>
        <w:t>评审得分、最后报价（不计算价格折扣）</w:t>
      </w:r>
      <w:r>
        <w:rPr>
          <w:color w:val="auto"/>
          <w:spacing w:val="3"/>
          <w:w w:val="99"/>
        </w:rPr>
        <w:t>、技术得分、技术要求偏离分均相同的，由磋商小组</w:t>
      </w:r>
      <w:r>
        <w:rPr>
          <w:color w:val="auto"/>
          <w:spacing w:val="-1"/>
          <w:w w:val="99"/>
        </w:rPr>
        <w:t>随机抽取推荐。</w:t>
      </w:r>
    </w:p>
    <w:p w14:paraId="6735F7AF">
      <w:pPr>
        <w:pStyle w:val="21"/>
        <w:numPr>
          <w:ilvl w:val="1"/>
          <w:numId w:val="25"/>
        </w:numPr>
        <w:tabs>
          <w:tab w:val="left" w:pos="1573"/>
        </w:tabs>
        <w:spacing w:before="0" w:after="0" w:line="369" w:lineRule="auto"/>
        <w:ind w:left="788" w:right="788" w:firstLine="420"/>
        <w:jc w:val="both"/>
        <w:rPr>
          <w:color w:val="auto"/>
          <w:sz w:val="21"/>
        </w:rPr>
      </w:pPr>
      <w:r>
        <w:rPr>
          <w:color w:val="auto"/>
          <w:spacing w:val="-1"/>
          <w:w w:val="99"/>
          <w:sz w:val="21"/>
        </w:rPr>
        <w:t>评审报告应当由磋商小组全体人员签字认可。磋商小组成员对评审报告有异议的，磋商</w:t>
      </w:r>
      <w:r>
        <w:rPr>
          <w:color w:val="auto"/>
          <w:spacing w:val="3"/>
          <w:w w:val="99"/>
          <w:sz w:val="21"/>
        </w:rPr>
        <w:t>小组按照少数服从多数的原则推荐成交候选供应商，采购程序继续进行。对评审报告有异议的磋商小组成员，应当在报告上签署不同意见并说明理由，由磋商小组书面记录相关情况。磋商</w:t>
      </w:r>
      <w:r>
        <w:rPr>
          <w:color w:val="auto"/>
          <w:spacing w:val="-1"/>
          <w:w w:val="99"/>
          <w:sz w:val="21"/>
        </w:rPr>
        <w:t>小组成员拒绝在报告上签字又不书面说明其不同意见和理由的，视为同意评审报告。</w:t>
      </w:r>
    </w:p>
    <w:p w14:paraId="2D14E578">
      <w:pPr>
        <w:pStyle w:val="5"/>
        <w:spacing w:before="0" w:line="302" w:lineRule="exact"/>
        <w:ind w:right="842"/>
        <w:rPr>
          <w:color w:val="auto"/>
        </w:rPr>
      </w:pPr>
      <w:r>
        <w:rPr>
          <w:color w:val="auto"/>
          <w:spacing w:val="-4"/>
        </w:rPr>
        <w:t>二、评审标准</w:t>
      </w:r>
    </w:p>
    <w:p w14:paraId="2B6A6CA4">
      <w:pPr>
        <w:pStyle w:val="21"/>
        <w:numPr>
          <w:ilvl w:val="0"/>
          <w:numId w:val="25"/>
        </w:numPr>
        <w:tabs>
          <w:tab w:val="left" w:pos="1420"/>
        </w:tabs>
        <w:spacing w:before="113" w:after="0" w:line="369" w:lineRule="auto"/>
        <w:ind w:left="788" w:right="791" w:firstLine="420"/>
        <w:jc w:val="left"/>
        <w:rPr>
          <w:color w:val="auto"/>
          <w:sz w:val="19"/>
        </w:rPr>
      </w:pPr>
      <w:r>
        <w:rPr>
          <w:color w:val="auto"/>
        </w:rPr>
        <mc:AlternateContent>
          <mc:Choice Requires="wps">
            <w:drawing>
              <wp:anchor distT="0" distB="0" distL="0" distR="0" simplePos="0" relativeHeight="251660288" behindDoc="0" locked="0" layoutInCell="1" allowOverlap="1">
                <wp:simplePos x="0" y="0"/>
                <wp:positionH relativeFrom="page">
                  <wp:posOffset>828040</wp:posOffset>
                </wp:positionH>
                <wp:positionV relativeFrom="paragraph">
                  <wp:posOffset>527050</wp:posOffset>
                </wp:positionV>
                <wp:extent cx="5940425" cy="5097780"/>
                <wp:effectExtent l="0" t="0" r="0" b="0"/>
                <wp:wrapNone/>
                <wp:docPr id="10" name="Textbox 10"/>
                <wp:cNvGraphicFramePr/>
                <a:graphic xmlns:a="http://schemas.openxmlformats.org/drawingml/2006/main">
                  <a:graphicData uri="http://schemas.microsoft.com/office/word/2010/wordprocessingShape">
                    <wps:wsp>
                      <wps:cNvSpPr txBox="1"/>
                      <wps:spPr>
                        <a:xfrm>
                          <a:off x="0" y="0"/>
                          <a:ext cx="5940425" cy="5097780"/>
                        </a:xfrm>
                        <a:prstGeom prst="rect">
                          <a:avLst/>
                        </a:prstGeom>
                      </wps:spPr>
                      <wps:txbx>
                        <w:txbxContent>
                          <w:tbl>
                            <w:tblPr>
                              <w:tblStyle w:val="16"/>
                              <w:tblW w:w="0" w:type="auto"/>
                              <w:tblInd w:w="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76"/>
                              <w:gridCol w:w="1314"/>
                              <w:gridCol w:w="6284"/>
                              <w:gridCol w:w="851"/>
                            </w:tblGrid>
                            <w:tr w14:paraId="51B2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76" w:type="dxa"/>
                                </w:tcPr>
                                <w:p w14:paraId="585BB601">
                                  <w:pPr>
                                    <w:pStyle w:val="22"/>
                                    <w:spacing w:before="123"/>
                                    <w:ind w:left="8" w:right="2"/>
                                    <w:jc w:val="center"/>
                                    <w:rPr>
                                      <w:b/>
                                      <w:sz w:val="21"/>
                                    </w:rPr>
                                  </w:pPr>
                                  <w:r>
                                    <w:rPr>
                                      <w:b/>
                                      <w:spacing w:val="-6"/>
                                      <w:sz w:val="21"/>
                                    </w:rPr>
                                    <w:t>序号</w:t>
                                  </w:r>
                                </w:p>
                              </w:tc>
                              <w:tc>
                                <w:tcPr>
                                  <w:tcW w:w="1314" w:type="dxa"/>
                                </w:tcPr>
                                <w:p w14:paraId="35330A27">
                                  <w:pPr>
                                    <w:pStyle w:val="22"/>
                                    <w:spacing w:before="123"/>
                                    <w:ind w:left="9"/>
                                    <w:jc w:val="center"/>
                                    <w:rPr>
                                      <w:b/>
                                      <w:sz w:val="21"/>
                                    </w:rPr>
                                  </w:pPr>
                                  <w:r>
                                    <w:rPr>
                                      <w:b/>
                                      <w:spacing w:val="-4"/>
                                      <w:sz w:val="21"/>
                                    </w:rPr>
                                    <w:t>评审因素</w:t>
                                  </w:r>
                                </w:p>
                              </w:tc>
                              <w:tc>
                                <w:tcPr>
                                  <w:tcW w:w="6284" w:type="dxa"/>
                                </w:tcPr>
                                <w:p w14:paraId="1A269584">
                                  <w:pPr>
                                    <w:pStyle w:val="22"/>
                                    <w:spacing w:before="123"/>
                                    <w:ind w:left="7"/>
                                    <w:jc w:val="center"/>
                                    <w:rPr>
                                      <w:b/>
                                      <w:sz w:val="21"/>
                                    </w:rPr>
                                  </w:pPr>
                                  <w:r>
                                    <w:rPr>
                                      <w:b/>
                                      <w:spacing w:val="-4"/>
                                      <w:sz w:val="21"/>
                                    </w:rPr>
                                    <w:t>评审因素具体内容</w:t>
                                  </w:r>
                                </w:p>
                              </w:tc>
                              <w:tc>
                                <w:tcPr>
                                  <w:tcW w:w="851" w:type="dxa"/>
                                </w:tcPr>
                                <w:p w14:paraId="1FAA562D">
                                  <w:pPr>
                                    <w:pStyle w:val="22"/>
                                    <w:spacing w:before="123"/>
                                    <w:ind w:left="7"/>
                                    <w:jc w:val="center"/>
                                    <w:rPr>
                                      <w:b/>
                                      <w:sz w:val="21"/>
                                    </w:rPr>
                                  </w:pPr>
                                  <w:r>
                                    <w:rPr>
                                      <w:b/>
                                      <w:spacing w:val="-6"/>
                                      <w:sz w:val="21"/>
                                    </w:rPr>
                                    <w:t>分值</w:t>
                                  </w:r>
                                </w:p>
                              </w:tc>
                            </w:tr>
                            <w:tr w14:paraId="14118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0" w:hRule="atLeast"/>
                              </w:trPr>
                              <w:tc>
                                <w:tcPr>
                                  <w:tcW w:w="776" w:type="dxa"/>
                                </w:tcPr>
                                <w:p w14:paraId="4EEF35E8">
                                  <w:pPr>
                                    <w:pStyle w:val="22"/>
                                    <w:rPr>
                                      <w:sz w:val="21"/>
                                    </w:rPr>
                                  </w:pPr>
                                </w:p>
                                <w:p w14:paraId="630C3A1D">
                                  <w:pPr>
                                    <w:pStyle w:val="22"/>
                                    <w:spacing w:before="205"/>
                                    <w:rPr>
                                      <w:sz w:val="21"/>
                                    </w:rPr>
                                  </w:pPr>
                                </w:p>
                                <w:p w14:paraId="73E36249">
                                  <w:pPr>
                                    <w:pStyle w:val="22"/>
                                    <w:ind w:left="8"/>
                                    <w:jc w:val="center"/>
                                    <w:rPr>
                                      <w:sz w:val="21"/>
                                    </w:rPr>
                                  </w:pPr>
                                  <w:r>
                                    <w:rPr>
                                      <w:spacing w:val="-10"/>
                                      <w:sz w:val="21"/>
                                    </w:rPr>
                                    <w:t>1</w:t>
                                  </w:r>
                                </w:p>
                              </w:tc>
                              <w:tc>
                                <w:tcPr>
                                  <w:tcW w:w="1314" w:type="dxa"/>
                                </w:tcPr>
                                <w:p w14:paraId="5ACDC23A">
                                  <w:pPr>
                                    <w:pStyle w:val="22"/>
                                    <w:rPr>
                                      <w:sz w:val="21"/>
                                    </w:rPr>
                                  </w:pPr>
                                </w:p>
                                <w:p w14:paraId="091F81D5">
                                  <w:pPr>
                                    <w:pStyle w:val="22"/>
                                    <w:spacing w:before="205"/>
                                    <w:rPr>
                                      <w:sz w:val="21"/>
                                    </w:rPr>
                                  </w:pPr>
                                </w:p>
                                <w:p w14:paraId="5FCD3C64">
                                  <w:pPr>
                                    <w:pStyle w:val="22"/>
                                    <w:ind w:left="9" w:right="2"/>
                                    <w:jc w:val="center"/>
                                    <w:rPr>
                                      <w:sz w:val="21"/>
                                    </w:rPr>
                                  </w:pPr>
                                  <w:r>
                                    <w:rPr>
                                      <w:spacing w:val="-5"/>
                                      <w:sz w:val="21"/>
                                    </w:rPr>
                                    <w:t>价格分</w:t>
                                  </w:r>
                                </w:p>
                              </w:tc>
                              <w:tc>
                                <w:tcPr>
                                  <w:tcW w:w="6284" w:type="dxa"/>
                                </w:tcPr>
                                <w:p w14:paraId="395AF4D3">
                                  <w:pPr>
                                    <w:pStyle w:val="22"/>
                                    <w:numPr>
                                      <w:ilvl w:val="0"/>
                                      <w:numId w:val="35"/>
                                    </w:numPr>
                                    <w:tabs>
                                      <w:tab w:val="left" w:pos="1060"/>
                                    </w:tabs>
                                    <w:spacing w:before="122" w:after="0" w:line="369" w:lineRule="auto"/>
                                    <w:ind w:left="107" w:right="97" w:firstLine="420"/>
                                    <w:jc w:val="left"/>
                                    <w:rPr>
                                      <w:sz w:val="21"/>
                                    </w:rPr>
                                  </w:pPr>
                                  <w:r>
                                    <w:rPr>
                                      <w:spacing w:val="-2"/>
                                      <w:sz w:val="21"/>
                                    </w:rPr>
                                    <w:t>以进入比较与评价环节的最低的最后报价为基准价，基</w:t>
                                  </w:r>
                                  <w:r>
                                    <w:rPr>
                                      <w:sz w:val="21"/>
                                    </w:rPr>
                                    <w:t>准价得分为</w:t>
                                  </w:r>
                                  <w:r>
                                    <w:rPr>
                                      <w:rFonts w:ascii="Times New Roman" w:eastAsia="Times New Roman"/>
                                      <w:spacing w:val="40"/>
                                      <w:sz w:val="21"/>
                                      <w:u w:val="single"/>
                                    </w:rPr>
                                    <w:t xml:space="preserve"> </w:t>
                                  </w:r>
                                  <w:r>
                                    <w:rPr>
                                      <w:sz w:val="21"/>
                                      <w:u w:val="single"/>
                                    </w:rPr>
                                    <w:t>30</w:t>
                                  </w:r>
                                  <w:r>
                                    <w:rPr>
                                      <w:spacing w:val="-7"/>
                                      <w:sz w:val="21"/>
                                      <w:u w:val="single"/>
                                    </w:rPr>
                                    <w:t xml:space="preserve"> 分</w:t>
                                  </w:r>
                                  <w:r>
                                    <w:rPr>
                                      <w:sz w:val="21"/>
                                      <w:u w:val="none"/>
                                    </w:rPr>
                                    <w:t>。</w:t>
                                  </w:r>
                                </w:p>
                                <w:p w14:paraId="5701762B">
                                  <w:pPr>
                                    <w:pStyle w:val="22"/>
                                    <w:numPr>
                                      <w:ilvl w:val="0"/>
                                      <w:numId w:val="35"/>
                                    </w:numPr>
                                    <w:tabs>
                                      <w:tab w:val="left" w:pos="1048"/>
                                    </w:tabs>
                                    <w:spacing w:before="0" w:after="0" w:line="272" w:lineRule="exact"/>
                                    <w:ind w:left="1048" w:right="0" w:hanging="521"/>
                                    <w:jc w:val="left"/>
                                    <w:rPr>
                                      <w:sz w:val="21"/>
                                    </w:rPr>
                                  </w:pPr>
                                  <w:r>
                                    <w:rPr>
                                      <w:spacing w:val="-4"/>
                                      <w:sz w:val="21"/>
                                    </w:rPr>
                                    <w:t>价格分计算公式：</w:t>
                                  </w:r>
                                </w:p>
                                <w:p w14:paraId="44CFE62C">
                                  <w:pPr>
                                    <w:pStyle w:val="22"/>
                                    <w:spacing w:before="147"/>
                                    <w:ind w:left="527"/>
                                    <w:rPr>
                                      <w:sz w:val="21"/>
                                    </w:rPr>
                                  </w:pPr>
                                  <w:r>
                                    <w:rPr>
                                      <w:spacing w:val="-2"/>
                                      <w:sz w:val="21"/>
                                    </w:rPr>
                                    <w:t>报价得分=（基准价/最后报价）×</w:t>
                                  </w:r>
                                  <w:r>
                                    <w:rPr>
                                      <w:spacing w:val="-2"/>
                                      <w:sz w:val="21"/>
                                      <w:u w:val="single"/>
                                    </w:rPr>
                                    <w:t>30</w:t>
                                  </w:r>
                                  <w:r>
                                    <w:rPr>
                                      <w:spacing w:val="-26"/>
                                      <w:sz w:val="21"/>
                                      <w:u w:val="single"/>
                                    </w:rPr>
                                    <w:t xml:space="preserve"> 分</w:t>
                                  </w:r>
                                </w:p>
                              </w:tc>
                              <w:tc>
                                <w:tcPr>
                                  <w:tcW w:w="851" w:type="dxa"/>
                                </w:tcPr>
                                <w:p w14:paraId="6A74A354">
                                  <w:pPr>
                                    <w:pStyle w:val="22"/>
                                    <w:rPr>
                                      <w:sz w:val="21"/>
                                    </w:rPr>
                                  </w:pPr>
                                </w:p>
                                <w:p w14:paraId="15437E46">
                                  <w:pPr>
                                    <w:pStyle w:val="22"/>
                                    <w:spacing w:before="205"/>
                                    <w:rPr>
                                      <w:sz w:val="21"/>
                                    </w:rPr>
                                  </w:pPr>
                                </w:p>
                                <w:p w14:paraId="282CD74F">
                                  <w:pPr>
                                    <w:pStyle w:val="22"/>
                                    <w:ind w:left="7" w:right="2"/>
                                    <w:jc w:val="center"/>
                                    <w:rPr>
                                      <w:sz w:val="21"/>
                                    </w:rPr>
                                  </w:pPr>
                                  <w:r>
                                    <w:rPr>
                                      <w:spacing w:val="-2"/>
                                      <w:sz w:val="21"/>
                                    </w:rPr>
                                    <w:t>30</w:t>
                                  </w:r>
                                  <w:r>
                                    <w:rPr>
                                      <w:spacing w:val="-31"/>
                                      <w:sz w:val="21"/>
                                    </w:rPr>
                                    <w:t xml:space="preserve"> 分</w:t>
                                  </w:r>
                                </w:p>
                              </w:tc>
                            </w:tr>
                            <w:tr w14:paraId="2DAF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76" w:type="dxa"/>
                                </w:tcPr>
                                <w:p w14:paraId="22507570">
                                  <w:pPr>
                                    <w:pStyle w:val="22"/>
                                    <w:spacing w:before="122"/>
                                    <w:ind w:left="8"/>
                                    <w:jc w:val="center"/>
                                    <w:rPr>
                                      <w:b/>
                                      <w:sz w:val="21"/>
                                    </w:rPr>
                                  </w:pPr>
                                  <w:r>
                                    <w:rPr>
                                      <w:b/>
                                      <w:spacing w:val="-10"/>
                                      <w:sz w:val="21"/>
                                    </w:rPr>
                                    <w:t>2</w:t>
                                  </w:r>
                                </w:p>
                              </w:tc>
                              <w:tc>
                                <w:tcPr>
                                  <w:tcW w:w="1314" w:type="dxa"/>
                                </w:tcPr>
                                <w:p w14:paraId="7E227C3A">
                                  <w:pPr>
                                    <w:pStyle w:val="22"/>
                                    <w:spacing w:before="122"/>
                                    <w:ind w:left="9"/>
                                    <w:jc w:val="center"/>
                                    <w:rPr>
                                      <w:b/>
                                      <w:sz w:val="21"/>
                                    </w:rPr>
                                  </w:pPr>
                                  <w:r>
                                    <w:rPr>
                                      <w:b/>
                                      <w:spacing w:val="-5"/>
                                      <w:sz w:val="21"/>
                                    </w:rPr>
                                    <w:t>技术分</w:t>
                                  </w:r>
                                </w:p>
                              </w:tc>
                              <w:tc>
                                <w:tcPr>
                                  <w:tcW w:w="7135" w:type="dxa"/>
                                  <w:gridSpan w:val="2"/>
                                </w:tcPr>
                                <w:p w14:paraId="5E2EE6ED">
                                  <w:pPr>
                                    <w:pStyle w:val="22"/>
                                    <w:spacing w:before="122"/>
                                    <w:ind w:left="8"/>
                                    <w:jc w:val="center"/>
                                    <w:rPr>
                                      <w:b/>
                                      <w:sz w:val="21"/>
                                    </w:rPr>
                                  </w:pPr>
                                  <w:r>
                                    <w:rPr>
                                      <w:b/>
                                      <w:spacing w:val="-4"/>
                                      <w:sz w:val="21"/>
                                    </w:rPr>
                                    <w:t>评审因素</w:t>
                                  </w:r>
                                </w:p>
                              </w:tc>
                            </w:tr>
                            <w:tr w14:paraId="2B900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58" w:hRule="atLeast"/>
                              </w:trPr>
                              <w:tc>
                                <w:tcPr>
                                  <w:tcW w:w="776" w:type="dxa"/>
                                </w:tcPr>
                                <w:p w14:paraId="11B64C9B">
                                  <w:pPr>
                                    <w:pStyle w:val="22"/>
                                    <w:rPr>
                                      <w:sz w:val="21"/>
                                    </w:rPr>
                                  </w:pPr>
                                </w:p>
                                <w:p w14:paraId="0CC516E4">
                                  <w:pPr>
                                    <w:pStyle w:val="22"/>
                                    <w:rPr>
                                      <w:sz w:val="21"/>
                                    </w:rPr>
                                  </w:pPr>
                                </w:p>
                                <w:p w14:paraId="53F966A8">
                                  <w:pPr>
                                    <w:pStyle w:val="22"/>
                                    <w:rPr>
                                      <w:sz w:val="21"/>
                                    </w:rPr>
                                  </w:pPr>
                                </w:p>
                                <w:p w14:paraId="7E0D5D97">
                                  <w:pPr>
                                    <w:pStyle w:val="22"/>
                                    <w:rPr>
                                      <w:sz w:val="21"/>
                                    </w:rPr>
                                  </w:pPr>
                                </w:p>
                                <w:p w14:paraId="594AAB63">
                                  <w:pPr>
                                    <w:pStyle w:val="22"/>
                                    <w:rPr>
                                      <w:sz w:val="21"/>
                                    </w:rPr>
                                  </w:pPr>
                                </w:p>
                                <w:p w14:paraId="15AC3F41">
                                  <w:pPr>
                                    <w:pStyle w:val="22"/>
                                    <w:rPr>
                                      <w:sz w:val="21"/>
                                    </w:rPr>
                                  </w:pPr>
                                </w:p>
                                <w:p w14:paraId="2DA80057">
                                  <w:pPr>
                                    <w:pStyle w:val="22"/>
                                    <w:rPr>
                                      <w:sz w:val="21"/>
                                    </w:rPr>
                                  </w:pPr>
                                </w:p>
                                <w:p w14:paraId="2F03BB0A">
                                  <w:pPr>
                                    <w:pStyle w:val="22"/>
                                    <w:rPr>
                                      <w:sz w:val="21"/>
                                    </w:rPr>
                                  </w:pPr>
                                </w:p>
                                <w:p w14:paraId="6F42D950">
                                  <w:pPr>
                                    <w:pStyle w:val="22"/>
                                    <w:spacing w:before="184"/>
                                    <w:rPr>
                                      <w:sz w:val="21"/>
                                    </w:rPr>
                                  </w:pPr>
                                </w:p>
                                <w:p w14:paraId="11817FAC">
                                  <w:pPr>
                                    <w:pStyle w:val="22"/>
                                    <w:ind w:left="8"/>
                                    <w:jc w:val="center"/>
                                    <w:rPr>
                                      <w:sz w:val="21"/>
                                    </w:rPr>
                                  </w:pPr>
                                  <w:r>
                                    <w:rPr>
                                      <w:spacing w:val="-5"/>
                                      <w:sz w:val="21"/>
                                    </w:rPr>
                                    <w:t>2.1</w:t>
                                  </w:r>
                                </w:p>
                              </w:tc>
                              <w:tc>
                                <w:tcPr>
                                  <w:tcW w:w="1314" w:type="dxa"/>
                                </w:tcPr>
                                <w:p w14:paraId="4B7E3248">
                                  <w:pPr>
                                    <w:pStyle w:val="22"/>
                                    <w:rPr>
                                      <w:sz w:val="21"/>
                                    </w:rPr>
                                  </w:pPr>
                                </w:p>
                                <w:p w14:paraId="300B003A">
                                  <w:pPr>
                                    <w:pStyle w:val="22"/>
                                    <w:rPr>
                                      <w:sz w:val="21"/>
                                    </w:rPr>
                                  </w:pPr>
                                </w:p>
                                <w:p w14:paraId="671050FE">
                                  <w:pPr>
                                    <w:pStyle w:val="22"/>
                                    <w:rPr>
                                      <w:sz w:val="21"/>
                                    </w:rPr>
                                  </w:pPr>
                                </w:p>
                                <w:p w14:paraId="422AFA45">
                                  <w:pPr>
                                    <w:pStyle w:val="22"/>
                                    <w:rPr>
                                      <w:sz w:val="21"/>
                                    </w:rPr>
                                  </w:pPr>
                                </w:p>
                                <w:p w14:paraId="75BAA48E">
                                  <w:pPr>
                                    <w:pStyle w:val="22"/>
                                    <w:rPr>
                                      <w:sz w:val="21"/>
                                    </w:rPr>
                                  </w:pPr>
                                </w:p>
                                <w:p w14:paraId="05265C38">
                                  <w:pPr>
                                    <w:pStyle w:val="22"/>
                                    <w:rPr>
                                      <w:sz w:val="21"/>
                                    </w:rPr>
                                  </w:pPr>
                                </w:p>
                                <w:p w14:paraId="45FACA2D">
                                  <w:pPr>
                                    <w:pStyle w:val="22"/>
                                    <w:rPr>
                                      <w:sz w:val="21"/>
                                    </w:rPr>
                                  </w:pPr>
                                </w:p>
                                <w:p w14:paraId="2841820C">
                                  <w:pPr>
                                    <w:pStyle w:val="22"/>
                                    <w:spacing w:before="248"/>
                                    <w:rPr>
                                      <w:sz w:val="21"/>
                                    </w:rPr>
                                  </w:pPr>
                                </w:p>
                                <w:p w14:paraId="5F86CDB1">
                                  <w:pPr>
                                    <w:pStyle w:val="22"/>
                                    <w:spacing w:before="1" w:line="369" w:lineRule="auto"/>
                                    <w:ind w:left="552" w:right="120" w:hanging="420"/>
                                    <w:rPr>
                                      <w:sz w:val="21"/>
                                    </w:rPr>
                                  </w:pPr>
                                  <w:r>
                                    <w:rPr>
                                      <w:spacing w:val="-2"/>
                                      <w:sz w:val="21"/>
                                    </w:rPr>
                                    <w:t>施工组织设</w:t>
                                  </w:r>
                                  <w:r>
                                    <w:rPr>
                                      <w:spacing w:val="-10"/>
                                      <w:sz w:val="21"/>
                                    </w:rPr>
                                    <w:t>计</w:t>
                                  </w:r>
                                </w:p>
                              </w:tc>
                              <w:tc>
                                <w:tcPr>
                                  <w:tcW w:w="6284" w:type="dxa"/>
                                </w:tcPr>
                                <w:p w14:paraId="424AC1F9">
                                  <w:pPr>
                                    <w:pStyle w:val="22"/>
                                    <w:numPr>
                                      <w:ilvl w:val="0"/>
                                      <w:numId w:val="36"/>
                                    </w:numPr>
                                    <w:tabs>
                                      <w:tab w:val="left" w:pos="636"/>
                                    </w:tabs>
                                    <w:spacing w:before="121" w:after="0" w:line="240" w:lineRule="auto"/>
                                    <w:ind w:left="636" w:right="0" w:hanging="529"/>
                                    <w:jc w:val="left"/>
                                    <w:rPr>
                                      <w:b/>
                                      <w:sz w:val="21"/>
                                    </w:rPr>
                                  </w:pPr>
                                  <w:r>
                                    <w:rPr>
                                      <w:b/>
                                      <w:spacing w:val="-2"/>
                                      <w:sz w:val="21"/>
                                    </w:rPr>
                                    <w:t>主要施工方法（</w:t>
                                  </w:r>
                                  <w:r>
                                    <w:rPr>
                                      <w:b/>
                                      <w:spacing w:val="-18"/>
                                      <w:sz w:val="21"/>
                                    </w:rPr>
                                    <w:t xml:space="preserve">满分 </w:t>
                                  </w:r>
                                  <w:r>
                                    <w:rPr>
                                      <w:b/>
                                      <w:spacing w:val="-2"/>
                                      <w:sz w:val="21"/>
                                    </w:rPr>
                                    <w:t>7</w:t>
                                  </w:r>
                                  <w:r>
                                    <w:rPr>
                                      <w:b/>
                                      <w:spacing w:val="-24"/>
                                      <w:sz w:val="21"/>
                                    </w:rPr>
                                    <w:t xml:space="preserve"> 分</w:t>
                                  </w:r>
                                  <w:r>
                                    <w:rPr>
                                      <w:b/>
                                      <w:spacing w:val="-12"/>
                                      <w:sz w:val="21"/>
                                    </w:rPr>
                                    <w:t>）</w:t>
                                  </w:r>
                                </w:p>
                                <w:p w14:paraId="60296865">
                                  <w:pPr>
                                    <w:pStyle w:val="22"/>
                                    <w:spacing w:before="147" w:line="369" w:lineRule="auto"/>
                                    <w:ind w:left="212" w:right="109" w:firstLine="333"/>
                                    <w:rPr>
                                      <w:sz w:val="21"/>
                                    </w:rPr>
                                  </w:pPr>
                                  <w:r>
                                    <w:rPr>
                                      <w:spacing w:val="-2"/>
                                      <w:sz w:val="21"/>
                                    </w:rPr>
                                    <w:t>一档（7</w:t>
                                  </w:r>
                                  <w:r>
                                    <w:rPr>
                                      <w:spacing w:val="-21"/>
                                      <w:sz w:val="21"/>
                                    </w:rPr>
                                    <w:t xml:space="preserve"> 分</w:t>
                                  </w:r>
                                  <w:r>
                                    <w:rPr>
                                      <w:spacing w:val="-2"/>
                                      <w:sz w:val="21"/>
                                    </w:rPr>
                                    <w:t>）：各主要分部施工方法符合项目实际，须有详尽的施工技术方案，工艺优于标准、方法可行，能指导具体施工并确保安全，可行性、实用性和针对性强。</w:t>
                                  </w:r>
                                </w:p>
                                <w:p w14:paraId="35A54042">
                                  <w:pPr>
                                    <w:pStyle w:val="22"/>
                                    <w:spacing w:line="369" w:lineRule="auto"/>
                                    <w:ind w:left="212" w:right="109" w:firstLine="333"/>
                                    <w:rPr>
                                      <w:sz w:val="21"/>
                                    </w:rPr>
                                  </w:pPr>
                                  <w:r>
                                    <w:rPr>
                                      <w:spacing w:val="-2"/>
                                      <w:sz w:val="21"/>
                                    </w:rPr>
                                    <w:t>二档（5</w:t>
                                  </w:r>
                                  <w:r>
                                    <w:rPr>
                                      <w:spacing w:val="-21"/>
                                      <w:sz w:val="21"/>
                                    </w:rPr>
                                    <w:t xml:space="preserve"> 分</w:t>
                                  </w:r>
                                  <w:r>
                                    <w:rPr>
                                      <w:spacing w:val="-2"/>
                                      <w:sz w:val="21"/>
                                    </w:rPr>
                                    <w:t>）：各主要分部施工方法符合项目实际，须有详尽的施工技术方案，工艺符合标准、方法可行，能指导具体施工并确保安全，具有可行性、实用性和针对性。</w:t>
                                  </w:r>
                                </w:p>
                                <w:p w14:paraId="5B63A216">
                                  <w:pPr>
                                    <w:pStyle w:val="22"/>
                                    <w:spacing w:line="369" w:lineRule="auto"/>
                                    <w:ind w:left="212" w:right="109" w:firstLine="333"/>
                                    <w:rPr>
                                      <w:sz w:val="21"/>
                                    </w:rPr>
                                  </w:pPr>
                                  <w:r>
                                    <w:rPr>
                                      <w:spacing w:val="-2"/>
                                      <w:sz w:val="21"/>
                                    </w:rPr>
                                    <w:t>三档（3</w:t>
                                  </w:r>
                                  <w:r>
                                    <w:rPr>
                                      <w:spacing w:val="-21"/>
                                      <w:sz w:val="21"/>
                                    </w:rPr>
                                    <w:t xml:space="preserve"> 分</w:t>
                                  </w:r>
                                  <w:r>
                                    <w:rPr>
                                      <w:spacing w:val="-2"/>
                                      <w:sz w:val="21"/>
                                    </w:rPr>
                                    <w:t>）：各主要分部施工方法基本符合项目实际，有施工技术方案，工艺符合标准、方法可行，基本能指导具体施工并确保安全，但可行性、实用性、针对性有待改善。</w:t>
                                  </w:r>
                                </w:p>
                                <w:p w14:paraId="6842B9A2">
                                  <w:pPr>
                                    <w:pStyle w:val="22"/>
                                    <w:spacing w:line="369" w:lineRule="auto"/>
                                    <w:ind w:left="212" w:right="109" w:firstLine="333"/>
                                    <w:rPr>
                                      <w:sz w:val="21"/>
                                    </w:rPr>
                                  </w:pPr>
                                  <w:r>
                                    <w:rPr>
                                      <w:spacing w:val="-2"/>
                                      <w:sz w:val="21"/>
                                    </w:rPr>
                                    <w:t>四档（0</w:t>
                                  </w:r>
                                  <w:r>
                                    <w:rPr>
                                      <w:spacing w:val="-21"/>
                                      <w:sz w:val="21"/>
                                    </w:rPr>
                                    <w:t xml:space="preserve"> 分</w:t>
                                  </w:r>
                                  <w:r>
                                    <w:rPr>
                                      <w:spacing w:val="-2"/>
                                      <w:sz w:val="21"/>
                                    </w:rPr>
                                    <w:t>）：各主要分部施工方法不符合项目实际，无详尽的施工技术方案，不能指导具体施工并确保安全。</w:t>
                                  </w:r>
                                </w:p>
                                <w:p w14:paraId="42C29311">
                                  <w:pPr>
                                    <w:pStyle w:val="22"/>
                                    <w:numPr>
                                      <w:ilvl w:val="0"/>
                                      <w:numId w:val="36"/>
                                    </w:numPr>
                                    <w:tabs>
                                      <w:tab w:val="left" w:pos="636"/>
                                    </w:tabs>
                                    <w:spacing w:before="0" w:after="0" w:line="272" w:lineRule="exact"/>
                                    <w:ind w:left="636" w:right="0" w:hanging="529"/>
                                    <w:jc w:val="left"/>
                                    <w:rPr>
                                      <w:b/>
                                      <w:sz w:val="21"/>
                                    </w:rPr>
                                  </w:pPr>
                                  <w:r>
                                    <w:rPr>
                                      <w:b/>
                                      <w:spacing w:val="-2"/>
                                      <w:sz w:val="21"/>
                                    </w:rPr>
                                    <w:t>拟投入的主要物资计划（</w:t>
                                  </w:r>
                                  <w:r>
                                    <w:rPr>
                                      <w:b/>
                                      <w:spacing w:val="-15"/>
                                      <w:sz w:val="21"/>
                                    </w:rPr>
                                    <w:t xml:space="preserve">满分 </w:t>
                                  </w:r>
                                  <w:r>
                                    <w:rPr>
                                      <w:b/>
                                      <w:spacing w:val="-2"/>
                                      <w:sz w:val="21"/>
                                    </w:rPr>
                                    <w:t>7</w:t>
                                  </w:r>
                                  <w:r>
                                    <w:rPr>
                                      <w:b/>
                                      <w:spacing w:val="-24"/>
                                      <w:sz w:val="21"/>
                                    </w:rPr>
                                    <w:t xml:space="preserve"> 分</w:t>
                                  </w:r>
                                  <w:r>
                                    <w:rPr>
                                      <w:b/>
                                      <w:spacing w:val="-10"/>
                                      <w:sz w:val="21"/>
                                    </w:rPr>
                                    <w:t>）</w:t>
                                  </w:r>
                                </w:p>
                              </w:tc>
                              <w:tc>
                                <w:tcPr>
                                  <w:tcW w:w="851" w:type="dxa"/>
                                </w:tcPr>
                                <w:p w14:paraId="1528EDC0">
                                  <w:pPr>
                                    <w:pStyle w:val="22"/>
                                    <w:rPr>
                                      <w:sz w:val="21"/>
                                    </w:rPr>
                                  </w:pPr>
                                </w:p>
                                <w:p w14:paraId="1BD20952">
                                  <w:pPr>
                                    <w:pStyle w:val="22"/>
                                    <w:rPr>
                                      <w:sz w:val="21"/>
                                    </w:rPr>
                                  </w:pPr>
                                </w:p>
                                <w:p w14:paraId="7F13E303">
                                  <w:pPr>
                                    <w:pStyle w:val="22"/>
                                    <w:rPr>
                                      <w:sz w:val="21"/>
                                    </w:rPr>
                                  </w:pPr>
                                </w:p>
                                <w:p w14:paraId="17C11B8B">
                                  <w:pPr>
                                    <w:pStyle w:val="22"/>
                                    <w:rPr>
                                      <w:sz w:val="21"/>
                                    </w:rPr>
                                  </w:pPr>
                                </w:p>
                                <w:p w14:paraId="4536990A">
                                  <w:pPr>
                                    <w:pStyle w:val="22"/>
                                    <w:rPr>
                                      <w:sz w:val="21"/>
                                    </w:rPr>
                                  </w:pPr>
                                </w:p>
                                <w:p w14:paraId="09BF9E5A">
                                  <w:pPr>
                                    <w:pStyle w:val="22"/>
                                    <w:rPr>
                                      <w:sz w:val="21"/>
                                    </w:rPr>
                                  </w:pPr>
                                </w:p>
                                <w:p w14:paraId="7DBC62DA">
                                  <w:pPr>
                                    <w:pStyle w:val="22"/>
                                    <w:rPr>
                                      <w:sz w:val="21"/>
                                    </w:rPr>
                                  </w:pPr>
                                </w:p>
                                <w:p w14:paraId="10811D81">
                                  <w:pPr>
                                    <w:pStyle w:val="22"/>
                                    <w:rPr>
                                      <w:sz w:val="21"/>
                                    </w:rPr>
                                  </w:pPr>
                                </w:p>
                                <w:p w14:paraId="5A38620D">
                                  <w:pPr>
                                    <w:pStyle w:val="22"/>
                                    <w:spacing w:before="184"/>
                                    <w:rPr>
                                      <w:sz w:val="21"/>
                                    </w:rPr>
                                  </w:pPr>
                                </w:p>
                                <w:p w14:paraId="393FC3FA">
                                  <w:pPr>
                                    <w:pStyle w:val="22"/>
                                    <w:ind w:left="7" w:right="2"/>
                                    <w:jc w:val="center"/>
                                    <w:rPr>
                                      <w:sz w:val="21"/>
                                    </w:rPr>
                                  </w:pPr>
                                  <w:r>
                                    <w:rPr>
                                      <w:spacing w:val="-2"/>
                                      <w:sz w:val="21"/>
                                    </w:rPr>
                                    <w:t>64</w:t>
                                  </w:r>
                                  <w:r>
                                    <w:rPr>
                                      <w:spacing w:val="-31"/>
                                      <w:sz w:val="21"/>
                                    </w:rPr>
                                    <w:t xml:space="preserve"> 分</w:t>
                                  </w:r>
                                </w:p>
                              </w:tc>
                            </w:tr>
                          </w:tbl>
                          <w:p w14:paraId="7905C8E8">
                            <w:pPr>
                              <w:pStyle w:val="12"/>
                              <w:spacing w:before="0"/>
                              <w:ind w:left="0"/>
                            </w:pPr>
                          </w:p>
                        </w:txbxContent>
                      </wps:txbx>
                      <wps:bodyPr wrap="square" lIns="0" tIns="0" rIns="0" bIns="0" rtlCol="0">
                        <a:noAutofit/>
                      </wps:bodyPr>
                    </wps:wsp>
                  </a:graphicData>
                </a:graphic>
              </wp:anchor>
            </w:drawing>
          </mc:Choice>
          <mc:Fallback>
            <w:pict>
              <v:shape id="Textbox 10" o:spid="_x0000_s1026" o:spt="202" type="#_x0000_t202" style="position:absolute;left:0pt;margin-left:65.2pt;margin-top:41.5pt;height:401.4pt;width:467.75pt;mso-position-horizontal-relative:page;z-index:251660288;mso-width-relative:page;mso-height-relative:page;" filled="f" stroked="f" coordsize="21600,21600" o:gfxdata="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MzuP2QAAAAsBAAAPAAAAAAAAAAEAIAAAACIAAABkcnMvZG93bnJldi54bWxQSwECFAAUAAAA&#10;CACHTuJAygSKv7QBAAB3AwAADgAAAAAAAAABACAAAAAoAQAAZHJzL2Uyb0RvYy54bWxQSwUGAAAA&#10;AAYABgBZAQAATgUAAAAA&#10;">
                <v:fill on="f" focussize="0,0"/>
                <v:stroke on="f"/>
                <v:imagedata o:title=""/>
                <o:lock v:ext="edit" aspectratio="f"/>
                <v:textbox inset="0mm,0mm,0mm,0mm">
                  <w:txbxContent>
                    <w:tbl>
                      <w:tblPr>
                        <w:tblStyle w:val="16"/>
                        <w:tblW w:w="0" w:type="auto"/>
                        <w:tblInd w:w="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76"/>
                        <w:gridCol w:w="1314"/>
                        <w:gridCol w:w="6284"/>
                        <w:gridCol w:w="851"/>
                      </w:tblGrid>
                      <w:tr w14:paraId="51B2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76" w:type="dxa"/>
                          </w:tcPr>
                          <w:p w14:paraId="585BB601">
                            <w:pPr>
                              <w:pStyle w:val="22"/>
                              <w:spacing w:before="123"/>
                              <w:ind w:left="8" w:right="2"/>
                              <w:jc w:val="center"/>
                              <w:rPr>
                                <w:b/>
                                <w:sz w:val="21"/>
                              </w:rPr>
                            </w:pPr>
                            <w:r>
                              <w:rPr>
                                <w:b/>
                                <w:spacing w:val="-6"/>
                                <w:sz w:val="21"/>
                              </w:rPr>
                              <w:t>序号</w:t>
                            </w:r>
                          </w:p>
                        </w:tc>
                        <w:tc>
                          <w:tcPr>
                            <w:tcW w:w="1314" w:type="dxa"/>
                          </w:tcPr>
                          <w:p w14:paraId="35330A27">
                            <w:pPr>
                              <w:pStyle w:val="22"/>
                              <w:spacing w:before="123"/>
                              <w:ind w:left="9"/>
                              <w:jc w:val="center"/>
                              <w:rPr>
                                <w:b/>
                                <w:sz w:val="21"/>
                              </w:rPr>
                            </w:pPr>
                            <w:r>
                              <w:rPr>
                                <w:b/>
                                <w:spacing w:val="-4"/>
                                <w:sz w:val="21"/>
                              </w:rPr>
                              <w:t>评审因素</w:t>
                            </w:r>
                          </w:p>
                        </w:tc>
                        <w:tc>
                          <w:tcPr>
                            <w:tcW w:w="6284" w:type="dxa"/>
                          </w:tcPr>
                          <w:p w14:paraId="1A269584">
                            <w:pPr>
                              <w:pStyle w:val="22"/>
                              <w:spacing w:before="123"/>
                              <w:ind w:left="7"/>
                              <w:jc w:val="center"/>
                              <w:rPr>
                                <w:b/>
                                <w:sz w:val="21"/>
                              </w:rPr>
                            </w:pPr>
                            <w:r>
                              <w:rPr>
                                <w:b/>
                                <w:spacing w:val="-4"/>
                                <w:sz w:val="21"/>
                              </w:rPr>
                              <w:t>评审因素具体内容</w:t>
                            </w:r>
                          </w:p>
                        </w:tc>
                        <w:tc>
                          <w:tcPr>
                            <w:tcW w:w="851" w:type="dxa"/>
                          </w:tcPr>
                          <w:p w14:paraId="1FAA562D">
                            <w:pPr>
                              <w:pStyle w:val="22"/>
                              <w:spacing w:before="123"/>
                              <w:ind w:left="7"/>
                              <w:jc w:val="center"/>
                              <w:rPr>
                                <w:b/>
                                <w:sz w:val="21"/>
                              </w:rPr>
                            </w:pPr>
                            <w:r>
                              <w:rPr>
                                <w:b/>
                                <w:spacing w:val="-6"/>
                                <w:sz w:val="21"/>
                              </w:rPr>
                              <w:t>分值</w:t>
                            </w:r>
                          </w:p>
                        </w:tc>
                      </w:tr>
                      <w:tr w14:paraId="14118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0" w:hRule="atLeast"/>
                        </w:trPr>
                        <w:tc>
                          <w:tcPr>
                            <w:tcW w:w="776" w:type="dxa"/>
                          </w:tcPr>
                          <w:p w14:paraId="4EEF35E8">
                            <w:pPr>
                              <w:pStyle w:val="22"/>
                              <w:rPr>
                                <w:sz w:val="21"/>
                              </w:rPr>
                            </w:pPr>
                          </w:p>
                          <w:p w14:paraId="630C3A1D">
                            <w:pPr>
                              <w:pStyle w:val="22"/>
                              <w:spacing w:before="205"/>
                              <w:rPr>
                                <w:sz w:val="21"/>
                              </w:rPr>
                            </w:pPr>
                          </w:p>
                          <w:p w14:paraId="73E36249">
                            <w:pPr>
                              <w:pStyle w:val="22"/>
                              <w:ind w:left="8"/>
                              <w:jc w:val="center"/>
                              <w:rPr>
                                <w:sz w:val="21"/>
                              </w:rPr>
                            </w:pPr>
                            <w:r>
                              <w:rPr>
                                <w:spacing w:val="-10"/>
                                <w:sz w:val="21"/>
                              </w:rPr>
                              <w:t>1</w:t>
                            </w:r>
                          </w:p>
                        </w:tc>
                        <w:tc>
                          <w:tcPr>
                            <w:tcW w:w="1314" w:type="dxa"/>
                          </w:tcPr>
                          <w:p w14:paraId="5ACDC23A">
                            <w:pPr>
                              <w:pStyle w:val="22"/>
                              <w:rPr>
                                <w:sz w:val="21"/>
                              </w:rPr>
                            </w:pPr>
                          </w:p>
                          <w:p w14:paraId="091F81D5">
                            <w:pPr>
                              <w:pStyle w:val="22"/>
                              <w:spacing w:before="205"/>
                              <w:rPr>
                                <w:sz w:val="21"/>
                              </w:rPr>
                            </w:pPr>
                          </w:p>
                          <w:p w14:paraId="5FCD3C64">
                            <w:pPr>
                              <w:pStyle w:val="22"/>
                              <w:ind w:left="9" w:right="2"/>
                              <w:jc w:val="center"/>
                              <w:rPr>
                                <w:sz w:val="21"/>
                              </w:rPr>
                            </w:pPr>
                            <w:r>
                              <w:rPr>
                                <w:spacing w:val="-5"/>
                                <w:sz w:val="21"/>
                              </w:rPr>
                              <w:t>价格分</w:t>
                            </w:r>
                          </w:p>
                        </w:tc>
                        <w:tc>
                          <w:tcPr>
                            <w:tcW w:w="6284" w:type="dxa"/>
                          </w:tcPr>
                          <w:p w14:paraId="395AF4D3">
                            <w:pPr>
                              <w:pStyle w:val="22"/>
                              <w:numPr>
                                <w:ilvl w:val="0"/>
                                <w:numId w:val="35"/>
                              </w:numPr>
                              <w:tabs>
                                <w:tab w:val="left" w:pos="1060"/>
                              </w:tabs>
                              <w:spacing w:before="122" w:after="0" w:line="369" w:lineRule="auto"/>
                              <w:ind w:left="107" w:right="97" w:firstLine="420"/>
                              <w:jc w:val="left"/>
                              <w:rPr>
                                <w:sz w:val="21"/>
                              </w:rPr>
                            </w:pPr>
                            <w:r>
                              <w:rPr>
                                <w:spacing w:val="-2"/>
                                <w:sz w:val="21"/>
                              </w:rPr>
                              <w:t>以进入比较与评价环节的最低的最后报价为基准价，基</w:t>
                            </w:r>
                            <w:r>
                              <w:rPr>
                                <w:sz w:val="21"/>
                              </w:rPr>
                              <w:t>准价得分为</w:t>
                            </w:r>
                            <w:r>
                              <w:rPr>
                                <w:rFonts w:ascii="Times New Roman" w:eastAsia="Times New Roman"/>
                                <w:spacing w:val="40"/>
                                <w:sz w:val="21"/>
                                <w:u w:val="single"/>
                              </w:rPr>
                              <w:t xml:space="preserve"> </w:t>
                            </w:r>
                            <w:r>
                              <w:rPr>
                                <w:sz w:val="21"/>
                                <w:u w:val="single"/>
                              </w:rPr>
                              <w:t>30</w:t>
                            </w:r>
                            <w:r>
                              <w:rPr>
                                <w:spacing w:val="-7"/>
                                <w:sz w:val="21"/>
                                <w:u w:val="single"/>
                              </w:rPr>
                              <w:t xml:space="preserve"> 分</w:t>
                            </w:r>
                            <w:r>
                              <w:rPr>
                                <w:sz w:val="21"/>
                                <w:u w:val="none"/>
                              </w:rPr>
                              <w:t>。</w:t>
                            </w:r>
                          </w:p>
                          <w:p w14:paraId="5701762B">
                            <w:pPr>
                              <w:pStyle w:val="22"/>
                              <w:numPr>
                                <w:ilvl w:val="0"/>
                                <w:numId w:val="35"/>
                              </w:numPr>
                              <w:tabs>
                                <w:tab w:val="left" w:pos="1048"/>
                              </w:tabs>
                              <w:spacing w:before="0" w:after="0" w:line="272" w:lineRule="exact"/>
                              <w:ind w:left="1048" w:right="0" w:hanging="521"/>
                              <w:jc w:val="left"/>
                              <w:rPr>
                                <w:sz w:val="21"/>
                              </w:rPr>
                            </w:pPr>
                            <w:r>
                              <w:rPr>
                                <w:spacing w:val="-4"/>
                                <w:sz w:val="21"/>
                              </w:rPr>
                              <w:t>价格分计算公式：</w:t>
                            </w:r>
                          </w:p>
                          <w:p w14:paraId="44CFE62C">
                            <w:pPr>
                              <w:pStyle w:val="22"/>
                              <w:spacing w:before="147"/>
                              <w:ind w:left="527"/>
                              <w:rPr>
                                <w:sz w:val="21"/>
                              </w:rPr>
                            </w:pPr>
                            <w:r>
                              <w:rPr>
                                <w:spacing w:val="-2"/>
                                <w:sz w:val="21"/>
                              </w:rPr>
                              <w:t>报价得分=（基准价/最后报价）×</w:t>
                            </w:r>
                            <w:r>
                              <w:rPr>
                                <w:spacing w:val="-2"/>
                                <w:sz w:val="21"/>
                                <w:u w:val="single"/>
                              </w:rPr>
                              <w:t>30</w:t>
                            </w:r>
                            <w:r>
                              <w:rPr>
                                <w:spacing w:val="-26"/>
                                <w:sz w:val="21"/>
                                <w:u w:val="single"/>
                              </w:rPr>
                              <w:t xml:space="preserve"> 分</w:t>
                            </w:r>
                          </w:p>
                        </w:tc>
                        <w:tc>
                          <w:tcPr>
                            <w:tcW w:w="851" w:type="dxa"/>
                          </w:tcPr>
                          <w:p w14:paraId="6A74A354">
                            <w:pPr>
                              <w:pStyle w:val="22"/>
                              <w:rPr>
                                <w:sz w:val="21"/>
                              </w:rPr>
                            </w:pPr>
                          </w:p>
                          <w:p w14:paraId="15437E46">
                            <w:pPr>
                              <w:pStyle w:val="22"/>
                              <w:spacing w:before="205"/>
                              <w:rPr>
                                <w:sz w:val="21"/>
                              </w:rPr>
                            </w:pPr>
                          </w:p>
                          <w:p w14:paraId="282CD74F">
                            <w:pPr>
                              <w:pStyle w:val="22"/>
                              <w:ind w:left="7" w:right="2"/>
                              <w:jc w:val="center"/>
                              <w:rPr>
                                <w:sz w:val="21"/>
                              </w:rPr>
                            </w:pPr>
                            <w:r>
                              <w:rPr>
                                <w:spacing w:val="-2"/>
                                <w:sz w:val="21"/>
                              </w:rPr>
                              <w:t>30</w:t>
                            </w:r>
                            <w:r>
                              <w:rPr>
                                <w:spacing w:val="-31"/>
                                <w:sz w:val="21"/>
                              </w:rPr>
                              <w:t xml:space="preserve"> 分</w:t>
                            </w:r>
                          </w:p>
                        </w:tc>
                      </w:tr>
                      <w:tr w14:paraId="2DAF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76" w:type="dxa"/>
                          </w:tcPr>
                          <w:p w14:paraId="22507570">
                            <w:pPr>
                              <w:pStyle w:val="22"/>
                              <w:spacing w:before="122"/>
                              <w:ind w:left="8"/>
                              <w:jc w:val="center"/>
                              <w:rPr>
                                <w:b/>
                                <w:sz w:val="21"/>
                              </w:rPr>
                            </w:pPr>
                            <w:r>
                              <w:rPr>
                                <w:b/>
                                <w:spacing w:val="-10"/>
                                <w:sz w:val="21"/>
                              </w:rPr>
                              <w:t>2</w:t>
                            </w:r>
                          </w:p>
                        </w:tc>
                        <w:tc>
                          <w:tcPr>
                            <w:tcW w:w="1314" w:type="dxa"/>
                          </w:tcPr>
                          <w:p w14:paraId="7E227C3A">
                            <w:pPr>
                              <w:pStyle w:val="22"/>
                              <w:spacing w:before="122"/>
                              <w:ind w:left="9"/>
                              <w:jc w:val="center"/>
                              <w:rPr>
                                <w:b/>
                                <w:sz w:val="21"/>
                              </w:rPr>
                            </w:pPr>
                            <w:r>
                              <w:rPr>
                                <w:b/>
                                <w:spacing w:val="-5"/>
                                <w:sz w:val="21"/>
                              </w:rPr>
                              <w:t>技术分</w:t>
                            </w:r>
                          </w:p>
                        </w:tc>
                        <w:tc>
                          <w:tcPr>
                            <w:tcW w:w="7135" w:type="dxa"/>
                            <w:gridSpan w:val="2"/>
                          </w:tcPr>
                          <w:p w14:paraId="5E2EE6ED">
                            <w:pPr>
                              <w:pStyle w:val="22"/>
                              <w:spacing w:before="122"/>
                              <w:ind w:left="8"/>
                              <w:jc w:val="center"/>
                              <w:rPr>
                                <w:b/>
                                <w:sz w:val="21"/>
                              </w:rPr>
                            </w:pPr>
                            <w:r>
                              <w:rPr>
                                <w:b/>
                                <w:spacing w:val="-4"/>
                                <w:sz w:val="21"/>
                              </w:rPr>
                              <w:t>评审因素</w:t>
                            </w:r>
                          </w:p>
                        </w:tc>
                      </w:tr>
                      <w:tr w14:paraId="2B900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58" w:hRule="atLeast"/>
                        </w:trPr>
                        <w:tc>
                          <w:tcPr>
                            <w:tcW w:w="776" w:type="dxa"/>
                          </w:tcPr>
                          <w:p w14:paraId="11B64C9B">
                            <w:pPr>
                              <w:pStyle w:val="22"/>
                              <w:rPr>
                                <w:sz w:val="21"/>
                              </w:rPr>
                            </w:pPr>
                          </w:p>
                          <w:p w14:paraId="0CC516E4">
                            <w:pPr>
                              <w:pStyle w:val="22"/>
                              <w:rPr>
                                <w:sz w:val="21"/>
                              </w:rPr>
                            </w:pPr>
                          </w:p>
                          <w:p w14:paraId="53F966A8">
                            <w:pPr>
                              <w:pStyle w:val="22"/>
                              <w:rPr>
                                <w:sz w:val="21"/>
                              </w:rPr>
                            </w:pPr>
                          </w:p>
                          <w:p w14:paraId="7E0D5D97">
                            <w:pPr>
                              <w:pStyle w:val="22"/>
                              <w:rPr>
                                <w:sz w:val="21"/>
                              </w:rPr>
                            </w:pPr>
                          </w:p>
                          <w:p w14:paraId="594AAB63">
                            <w:pPr>
                              <w:pStyle w:val="22"/>
                              <w:rPr>
                                <w:sz w:val="21"/>
                              </w:rPr>
                            </w:pPr>
                          </w:p>
                          <w:p w14:paraId="15AC3F41">
                            <w:pPr>
                              <w:pStyle w:val="22"/>
                              <w:rPr>
                                <w:sz w:val="21"/>
                              </w:rPr>
                            </w:pPr>
                          </w:p>
                          <w:p w14:paraId="2DA80057">
                            <w:pPr>
                              <w:pStyle w:val="22"/>
                              <w:rPr>
                                <w:sz w:val="21"/>
                              </w:rPr>
                            </w:pPr>
                          </w:p>
                          <w:p w14:paraId="2F03BB0A">
                            <w:pPr>
                              <w:pStyle w:val="22"/>
                              <w:rPr>
                                <w:sz w:val="21"/>
                              </w:rPr>
                            </w:pPr>
                          </w:p>
                          <w:p w14:paraId="6F42D950">
                            <w:pPr>
                              <w:pStyle w:val="22"/>
                              <w:spacing w:before="184"/>
                              <w:rPr>
                                <w:sz w:val="21"/>
                              </w:rPr>
                            </w:pPr>
                          </w:p>
                          <w:p w14:paraId="11817FAC">
                            <w:pPr>
                              <w:pStyle w:val="22"/>
                              <w:ind w:left="8"/>
                              <w:jc w:val="center"/>
                              <w:rPr>
                                <w:sz w:val="21"/>
                              </w:rPr>
                            </w:pPr>
                            <w:r>
                              <w:rPr>
                                <w:spacing w:val="-5"/>
                                <w:sz w:val="21"/>
                              </w:rPr>
                              <w:t>2.1</w:t>
                            </w:r>
                          </w:p>
                        </w:tc>
                        <w:tc>
                          <w:tcPr>
                            <w:tcW w:w="1314" w:type="dxa"/>
                          </w:tcPr>
                          <w:p w14:paraId="4B7E3248">
                            <w:pPr>
                              <w:pStyle w:val="22"/>
                              <w:rPr>
                                <w:sz w:val="21"/>
                              </w:rPr>
                            </w:pPr>
                          </w:p>
                          <w:p w14:paraId="300B003A">
                            <w:pPr>
                              <w:pStyle w:val="22"/>
                              <w:rPr>
                                <w:sz w:val="21"/>
                              </w:rPr>
                            </w:pPr>
                          </w:p>
                          <w:p w14:paraId="671050FE">
                            <w:pPr>
                              <w:pStyle w:val="22"/>
                              <w:rPr>
                                <w:sz w:val="21"/>
                              </w:rPr>
                            </w:pPr>
                          </w:p>
                          <w:p w14:paraId="422AFA45">
                            <w:pPr>
                              <w:pStyle w:val="22"/>
                              <w:rPr>
                                <w:sz w:val="21"/>
                              </w:rPr>
                            </w:pPr>
                          </w:p>
                          <w:p w14:paraId="75BAA48E">
                            <w:pPr>
                              <w:pStyle w:val="22"/>
                              <w:rPr>
                                <w:sz w:val="21"/>
                              </w:rPr>
                            </w:pPr>
                          </w:p>
                          <w:p w14:paraId="05265C38">
                            <w:pPr>
                              <w:pStyle w:val="22"/>
                              <w:rPr>
                                <w:sz w:val="21"/>
                              </w:rPr>
                            </w:pPr>
                          </w:p>
                          <w:p w14:paraId="45FACA2D">
                            <w:pPr>
                              <w:pStyle w:val="22"/>
                              <w:rPr>
                                <w:sz w:val="21"/>
                              </w:rPr>
                            </w:pPr>
                          </w:p>
                          <w:p w14:paraId="2841820C">
                            <w:pPr>
                              <w:pStyle w:val="22"/>
                              <w:spacing w:before="248"/>
                              <w:rPr>
                                <w:sz w:val="21"/>
                              </w:rPr>
                            </w:pPr>
                          </w:p>
                          <w:p w14:paraId="5F86CDB1">
                            <w:pPr>
                              <w:pStyle w:val="22"/>
                              <w:spacing w:before="1" w:line="369" w:lineRule="auto"/>
                              <w:ind w:left="552" w:right="120" w:hanging="420"/>
                              <w:rPr>
                                <w:sz w:val="21"/>
                              </w:rPr>
                            </w:pPr>
                            <w:r>
                              <w:rPr>
                                <w:spacing w:val="-2"/>
                                <w:sz w:val="21"/>
                              </w:rPr>
                              <w:t>施工组织设</w:t>
                            </w:r>
                            <w:r>
                              <w:rPr>
                                <w:spacing w:val="-10"/>
                                <w:sz w:val="21"/>
                              </w:rPr>
                              <w:t>计</w:t>
                            </w:r>
                          </w:p>
                        </w:tc>
                        <w:tc>
                          <w:tcPr>
                            <w:tcW w:w="6284" w:type="dxa"/>
                          </w:tcPr>
                          <w:p w14:paraId="424AC1F9">
                            <w:pPr>
                              <w:pStyle w:val="22"/>
                              <w:numPr>
                                <w:ilvl w:val="0"/>
                                <w:numId w:val="36"/>
                              </w:numPr>
                              <w:tabs>
                                <w:tab w:val="left" w:pos="636"/>
                              </w:tabs>
                              <w:spacing w:before="121" w:after="0" w:line="240" w:lineRule="auto"/>
                              <w:ind w:left="636" w:right="0" w:hanging="529"/>
                              <w:jc w:val="left"/>
                              <w:rPr>
                                <w:b/>
                                <w:sz w:val="21"/>
                              </w:rPr>
                            </w:pPr>
                            <w:r>
                              <w:rPr>
                                <w:b/>
                                <w:spacing w:val="-2"/>
                                <w:sz w:val="21"/>
                              </w:rPr>
                              <w:t>主要施工方法（</w:t>
                            </w:r>
                            <w:r>
                              <w:rPr>
                                <w:b/>
                                <w:spacing w:val="-18"/>
                                <w:sz w:val="21"/>
                              </w:rPr>
                              <w:t xml:space="preserve">满分 </w:t>
                            </w:r>
                            <w:r>
                              <w:rPr>
                                <w:b/>
                                <w:spacing w:val="-2"/>
                                <w:sz w:val="21"/>
                              </w:rPr>
                              <w:t>7</w:t>
                            </w:r>
                            <w:r>
                              <w:rPr>
                                <w:b/>
                                <w:spacing w:val="-24"/>
                                <w:sz w:val="21"/>
                              </w:rPr>
                              <w:t xml:space="preserve"> 分</w:t>
                            </w:r>
                            <w:r>
                              <w:rPr>
                                <w:b/>
                                <w:spacing w:val="-12"/>
                                <w:sz w:val="21"/>
                              </w:rPr>
                              <w:t>）</w:t>
                            </w:r>
                          </w:p>
                          <w:p w14:paraId="60296865">
                            <w:pPr>
                              <w:pStyle w:val="22"/>
                              <w:spacing w:before="147" w:line="369" w:lineRule="auto"/>
                              <w:ind w:left="212" w:right="109" w:firstLine="333"/>
                              <w:rPr>
                                <w:sz w:val="21"/>
                              </w:rPr>
                            </w:pPr>
                            <w:r>
                              <w:rPr>
                                <w:spacing w:val="-2"/>
                                <w:sz w:val="21"/>
                              </w:rPr>
                              <w:t>一档（7</w:t>
                            </w:r>
                            <w:r>
                              <w:rPr>
                                <w:spacing w:val="-21"/>
                                <w:sz w:val="21"/>
                              </w:rPr>
                              <w:t xml:space="preserve"> 分</w:t>
                            </w:r>
                            <w:r>
                              <w:rPr>
                                <w:spacing w:val="-2"/>
                                <w:sz w:val="21"/>
                              </w:rPr>
                              <w:t>）：各主要分部施工方法符合项目实际，须有详尽的施工技术方案，工艺优于标准、方法可行，能指导具体施工并确保安全，可行性、实用性和针对性强。</w:t>
                            </w:r>
                          </w:p>
                          <w:p w14:paraId="35A54042">
                            <w:pPr>
                              <w:pStyle w:val="22"/>
                              <w:spacing w:line="369" w:lineRule="auto"/>
                              <w:ind w:left="212" w:right="109" w:firstLine="333"/>
                              <w:rPr>
                                <w:sz w:val="21"/>
                              </w:rPr>
                            </w:pPr>
                            <w:r>
                              <w:rPr>
                                <w:spacing w:val="-2"/>
                                <w:sz w:val="21"/>
                              </w:rPr>
                              <w:t>二档（5</w:t>
                            </w:r>
                            <w:r>
                              <w:rPr>
                                <w:spacing w:val="-21"/>
                                <w:sz w:val="21"/>
                              </w:rPr>
                              <w:t xml:space="preserve"> 分</w:t>
                            </w:r>
                            <w:r>
                              <w:rPr>
                                <w:spacing w:val="-2"/>
                                <w:sz w:val="21"/>
                              </w:rPr>
                              <w:t>）：各主要分部施工方法符合项目实际，须有详尽的施工技术方案，工艺符合标准、方法可行，能指导具体施工并确保安全，具有可行性、实用性和针对性。</w:t>
                            </w:r>
                          </w:p>
                          <w:p w14:paraId="5B63A216">
                            <w:pPr>
                              <w:pStyle w:val="22"/>
                              <w:spacing w:line="369" w:lineRule="auto"/>
                              <w:ind w:left="212" w:right="109" w:firstLine="333"/>
                              <w:rPr>
                                <w:sz w:val="21"/>
                              </w:rPr>
                            </w:pPr>
                            <w:r>
                              <w:rPr>
                                <w:spacing w:val="-2"/>
                                <w:sz w:val="21"/>
                              </w:rPr>
                              <w:t>三档（3</w:t>
                            </w:r>
                            <w:r>
                              <w:rPr>
                                <w:spacing w:val="-21"/>
                                <w:sz w:val="21"/>
                              </w:rPr>
                              <w:t xml:space="preserve"> 分</w:t>
                            </w:r>
                            <w:r>
                              <w:rPr>
                                <w:spacing w:val="-2"/>
                                <w:sz w:val="21"/>
                              </w:rPr>
                              <w:t>）：各主要分部施工方法基本符合项目实际，有施工技术方案，工艺符合标准、方法可行，基本能指导具体施工并确保安全，但可行性、实用性、针对性有待改善。</w:t>
                            </w:r>
                          </w:p>
                          <w:p w14:paraId="6842B9A2">
                            <w:pPr>
                              <w:pStyle w:val="22"/>
                              <w:spacing w:line="369" w:lineRule="auto"/>
                              <w:ind w:left="212" w:right="109" w:firstLine="333"/>
                              <w:rPr>
                                <w:sz w:val="21"/>
                              </w:rPr>
                            </w:pPr>
                            <w:r>
                              <w:rPr>
                                <w:spacing w:val="-2"/>
                                <w:sz w:val="21"/>
                              </w:rPr>
                              <w:t>四档（0</w:t>
                            </w:r>
                            <w:r>
                              <w:rPr>
                                <w:spacing w:val="-21"/>
                                <w:sz w:val="21"/>
                              </w:rPr>
                              <w:t xml:space="preserve"> 分</w:t>
                            </w:r>
                            <w:r>
                              <w:rPr>
                                <w:spacing w:val="-2"/>
                                <w:sz w:val="21"/>
                              </w:rPr>
                              <w:t>）：各主要分部施工方法不符合项目实际，无详尽的施工技术方案，不能指导具体施工并确保安全。</w:t>
                            </w:r>
                          </w:p>
                          <w:p w14:paraId="42C29311">
                            <w:pPr>
                              <w:pStyle w:val="22"/>
                              <w:numPr>
                                <w:ilvl w:val="0"/>
                                <w:numId w:val="36"/>
                              </w:numPr>
                              <w:tabs>
                                <w:tab w:val="left" w:pos="636"/>
                              </w:tabs>
                              <w:spacing w:before="0" w:after="0" w:line="272" w:lineRule="exact"/>
                              <w:ind w:left="636" w:right="0" w:hanging="529"/>
                              <w:jc w:val="left"/>
                              <w:rPr>
                                <w:b/>
                                <w:sz w:val="21"/>
                              </w:rPr>
                            </w:pPr>
                            <w:r>
                              <w:rPr>
                                <w:b/>
                                <w:spacing w:val="-2"/>
                                <w:sz w:val="21"/>
                              </w:rPr>
                              <w:t>拟投入的主要物资计划（</w:t>
                            </w:r>
                            <w:r>
                              <w:rPr>
                                <w:b/>
                                <w:spacing w:val="-15"/>
                                <w:sz w:val="21"/>
                              </w:rPr>
                              <w:t xml:space="preserve">满分 </w:t>
                            </w:r>
                            <w:r>
                              <w:rPr>
                                <w:b/>
                                <w:spacing w:val="-2"/>
                                <w:sz w:val="21"/>
                              </w:rPr>
                              <w:t>7</w:t>
                            </w:r>
                            <w:r>
                              <w:rPr>
                                <w:b/>
                                <w:spacing w:val="-24"/>
                                <w:sz w:val="21"/>
                              </w:rPr>
                              <w:t xml:space="preserve"> 分</w:t>
                            </w:r>
                            <w:r>
                              <w:rPr>
                                <w:b/>
                                <w:spacing w:val="-10"/>
                                <w:sz w:val="21"/>
                              </w:rPr>
                              <w:t>）</w:t>
                            </w:r>
                          </w:p>
                        </w:tc>
                        <w:tc>
                          <w:tcPr>
                            <w:tcW w:w="851" w:type="dxa"/>
                          </w:tcPr>
                          <w:p w14:paraId="1528EDC0">
                            <w:pPr>
                              <w:pStyle w:val="22"/>
                              <w:rPr>
                                <w:sz w:val="21"/>
                              </w:rPr>
                            </w:pPr>
                          </w:p>
                          <w:p w14:paraId="1BD20952">
                            <w:pPr>
                              <w:pStyle w:val="22"/>
                              <w:rPr>
                                <w:sz w:val="21"/>
                              </w:rPr>
                            </w:pPr>
                          </w:p>
                          <w:p w14:paraId="7F13E303">
                            <w:pPr>
                              <w:pStyle w:val="22"/>
                              <w:rPr>
                                <w:sz w:val="21"/>
                              </w:rPr>
                            </w:pPr>
                          </w:p>
                          <w:p w14:paraId="17C11B8B">
                            <w:pPr>
                              <w:pStyle w:val="22"/>
                              <w:rPr>
                                <w:sz w:val="21"/>
                              </w:rPr>
                            </w:pPr>
                          </w:p>
                          <w:p w14:paraId="4536990A">
                            <w:pPr>
                              <w:pStyle w:val="22"/>
                              <w:rPr>
                                <w:sz w:val="21"/>
                              </w:rPr>
                            </w:pPr>
                          </w:p>
                          <w:p w14:paraId="09BF9E5A">
                            <w:pPr>
                              <w:pStyle w:val="22"/>
                              <w:rPr>
                                <w:sz w:val="21"/>
                              </w:rPr>
                            </w:pPr>
                          </w:p>
                          <w:p w14:paraId="7DBC62DA">
                            <w:pPr>
                              <w:pStyle w:val="22"/>
                              <w:rPr>
                                <w:sz w:val="21"/>
                              </w:rPr>
                            </w:pPr>
                          </w:p>
                          <w:p w14:paraId="10811D81">
                            <w:pPr>
                              <w:pStyle w:val="22"/>
                              <w:rPr>
                                <w:sz w:val="21"/>
                              </w:rPr>
                            </w:pPr>
                          </w:p>
                          <w:p w14:paraId="5A38620D">
                            <w:pPr>
                              <w:pStyle w:val="22"/>
                              <w:spacing w:before="184"/>
                              <w:rPr>
                                <w:sz w:val="21"/>
                              </w:rPr>
                            </w:pPr>
                          </w:p>
                          <w:p w14:paraId="393FC3FA">
                            <w:pPr>
                              <w:pStyle w:val="22"/>
                              <w:ind w:left="7" w:right="2"/>
                              <w:jc w:val="center"/>
                              <w:rPr>
                                <w:sz w:val="21"/>
                              </w:rPr>
                            </w:pPr>
                            <w:r>
                              <w:rPr>
                                <w:spacing w:val="-2"/>
                                <w:sz w:val="21"/>
                              </w:rPr>
                              <w:t>64</w:t>
                            </w:r>
                            <w:r>
                              <w:rPr>
                                <w:spacing w:val="-31"/>
                                <w:sz w:val="21"/>
                              </w:rPr>
                              <w:t xml:space="preserve"> 分</w:t>
                            </w:r>
                          </w:p>
                        </w:tc>
                      </w:tr>
                    </w:tbl>
                    <w:p w14:paraId="7905C8E8">
                      <w:pPr>
                        <w:pStyle w:val="12"/>
                        <w:spacing w:before="0"/>
                        <w:ind w:left="0"/>
                      </w:pPr>
                    </w:p>
                  </w:txbxContent>
                </v:textbox>
              </v:shape>
            </w:pict>
          </mc:Fallback>
        </mc:AlternateContent>
      </w:r>
      <w:r>
        <w:rPr>
          <w:color w:val="auto"/>
          <w:spacing w:val="3"/>
          <w:w w:val="99"/>
          <w:sz w:val="21"/>
        </w:rPr>
        <w:t>评审依据：磋商小组以磋商文件为评审依据，对供应商的报价、技术、商务等方面内容</w:t>
      </w:r>
      <w:r>
        <w:rPr>
          <w:color w:val="auto"/>
          <w:spacing w:val="-1"/>
          <w:w w:val="99"/>
          <w:sz w:val="21"/>
        </w:rPr>
        <w:t>按百分制打分。</w:t>
      </w:r>
      <w:r>
        <w:rPr>
          <w:color w:val="auto"/>
          <w:spacing w:val="2"/>
          <w:w w:val="99"/>
          <w:sz w:val="21"/>
        </w:rPr>
        <w:t>（</w:t>
      </w:r>
      <w:r>
        <w:rPr>
          <w:color w:val="auto"/>
          <w:spacing w:val="-1"/>
          <w:w w:val="99"/>
          <w:sz w:val="21"/>
        </w:rPr>
        <w:t>计分方法按四舍五入取至小数点后两位</w:t>
      </w:r>
      <w:r>
        <w:rPr>
          <w:color w:val="auto"/>
          <w:w w:val="99"/>
          <w:sz w:val="21"/>
        </w:rPr>
        <w:t>）</w:t>
      </w:r>
    </w:p>
    <w:p w14:paraId="4A933701">
      <w:pPr>
        <w:spacing w:after="0" w:line="369" w:lineRule="auto"/>
        <w:jc w:val="left"/>
        <w:rPr>
          <w:color w:val="auto"/>
          <w:sz w:val="19"/>
        </w:rPr>
        <w:sectPr>
          <w:pgSz w:w="11910" w:h="16840"/>
          <w:pgMar w:top="1500" w:right="740" w:bottom="1180" w:left="800" w:header="0" w:footer="989" w:gutter="0"/>
          <w:cols w:space="720" w:num="1"/>
        </w:sectPr>
      </w:pPr>
    </w:p>
    <w:tbl>
      <w:tblPr>
        <w:tblStyle w:val="16"/>
        <w:tblW w:w="0" w:type="auto"/>
        <w:tblInd w:w="57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6"/>
        <w:gridCol w:w="1314"/>
        <w:gridCol w:w="6284"/>
        <w:gridCol w:w="851"/>
      </w:tblGrid>
      <w:tr w14:paraId="53740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58" w:hRule="atLeast"/>
        </w:trPr>
        <w:tc>
          <w:tcPr>
            <w:tcW w:w="776" w:type="dxa"/>
          </w:tcPr>
          <w:p w14:paraId="2EE58DDF">
            <w:pPr>
              <w:pStyle w:val="22"/>
              <w:rPr>
                <w:rFonts w:ascii="Times New Roman"/>
                <w:color w:val="auto"/>
                <w:sz w:val="20"/>
              </w:rPr>
            </w:pPr>
          </w:p>
        </w:tc>
        <w:tc>
          <w:tcPr>
            <w:tcW w:w="1314" w:type="dxa"/>
          </w:tcPr>
          <w:p w14:paraId="23C6C0C4">
            <w:pPr>
              <w:pStyle w:val="22"/>
              <w:rPr>
                <w:rFonts w:ascii="Times New Roman"/>
                <w:color w:val="auto"/>
                <w:sz w:val="20"/>
              </w:rPr>
            </w:pPr>
          </w:p>
        </w:tc>
        <w:tc>
          <w:tcPr>
            <w:tcW w:w="6284" w:type="dxa"/>
          </w:tcPr>
          <w:p w14:paraId="5F0AC1BB">
            <w:pPr>
              <w:pStyle w:val="22"/>
              <w:spacing w:before="123" w:line="369" w:lineRule="auto"/>
              <w:ind w:left="107" w:right="99" w:firstLine="420"/>
              <w:rPr>
                <w:color w:val="auto"/>
                <w:sz w:val="21"/>
              </w:rPr>
            </w:pPr>
            <w:r>
              <w:rPr>
                <w:color w:val="auto"/>
                <w:spacing w:val="5"/>
                <w:sz w:val="21"/>
              </w:rPr>
              <w:t>一档</w:t>
            </w:r>
            <w:r>
              <w:rPr>
                <w:color w:val="auto"/>
                <w:sz w:val="21"/>
              </w:rPr>
              <w:t>（7</w:t>
            </w:r>
            <w:r>
              <w:rPr>
                <w:color w:val="auto"/>
                <w:spacing w:val="-10"/>
                <w:sz w:val="21"/>
              </w:rPr>
              <w:t xml:space="preserve"> 分</w:t>
            </w:r>
            <w:r>
              <w:rPr>
                <w:color w:val="auto"/>
                <w:spacing w:val="10"/>
                <w:sz w:val="21"/>
              </w:rPr>
              <w:t>）</w:t>
            </w:r>
            <w:r>
              <w:rPr>
                <w:color w:val="auto"/>
                <w:sz w:val="21"/>
              </w:rPr>
              <w:t>：投入的施工材料有详细的组织计划且计划周</w:t>
            </w:r>
            <w:r>
              <w:rPr>
                <w:color w:val="auto"/>
                <w:spacing w:val="-2"/>
                <w:sz w:val="21"/>
              </w:rPr>
              <w:t>密，数量、选型配置、进场时间安排合理，满足施工需要。</w:t>
            </w:r>
          </w:p>
          <w:p w14:paraId="0AFF2190">
            <w:pPr>
              <w:pStyle w:val="22"/>
              <w:spacing w:line="369" w:lineRule="auto"/>
              <w:ind w:left="107" w:right="97" w:firstLine="420"/>
              <w:rPr>
                <w:color w:val="auto"/>
                <w:sz w:val="21"/>
              </w:rPr>
            </w:pPr>
            <w:r>
              <w:rPr>
                <w:color w:val="auto"/>
                <w:sz w:val="21"/>
              </w:rPr>
              <w:t>二档（5</w:t>
            </w:r>
            <w:r>
              <w:rPr>
                <w:color w:val="auto"/>
                <w:spacing w:val="-26"/>
                <w:sz w:val="21"/>
              </w:rPr>
              <w:t xml:space="preserve"> 分</w:t>
            </w:r>
            <w:r>
              <w:rPr>
                <w:color w:val="auto"/>
                <w:sz w:val="21"/>
              </w:rPr>
              <w:t>）：投入的施工材料有组织计划且计划合理可行，</w:t>
            </w:r>
            <w:r>
              <w:rPr>
                <w:color w:val="auto"/>
                <w:spacing w:val="-2"/>
                <w:sz w:val="21"/>
              </w:rPr>
              <w:t>数量、选型配置、进场时间安排合理，满足施工需要。</w:t>
            </w:r>
          </w:p>
          <w:p w14:paraId="41DFA27F">
            <w:pPr>
              <w:pStyle w:val="22"/>
              <w:spacing w:line="369" w:lineRule="auto"/>
              <w:ind w:left="107" w:right="99" w:firstLine="420"/>
              <w:rPr>
                <w:color w:val="auto"/>
                <w:sz w:val="21"/>
              </w:rPr>
            </w:pPr>
            <w:r>
              <w:rPr>
                <w:color w:val="auto"/>
                <w:spacing w:val="5"/>
                <w:sz w:val="21"/>
              </w:rPr>
              <w:t>三档</w:t>
            </w:r>
            <w:r>
              <w:rPr>
                <w:color w:val="auto"/>
                <w:sz w:val="21"/>
              </w:rPr>
              <w:t>（3</w:t>
            </w:r>
            <w:r>
              <w:rPr>
                <w:color w:val="auto"/>
                <w:spacing w:val="-10"/>
                <w:sz w:val="21"/>
              </w:rPr>
              <w:t xml:space="preserve"> 分</w:t>
            </w:r>
            <w:r>
              <w:rPr>
                <w:color w:val="auto"/>
                <w:spacing w:val="10"/>
                <w:sz w:val="21"/>
              </w:rPr>
              <w:t>）</w:t>
            </w:r>
            <w:r>
              <w:rPr>
                <w:color w:val="auto"/>
                <w:sz w:val="21"/>
              </w:rPr>
              <w:t>：投入的施工材料有组织计划且计划可行，数</w:t>
            </w:r>
            <w:r>
              <w:rPr>
                <w:color w:val="auto"/>
                <w:spacing w:val="-2"/>
                <w:sz w:val="21"/>
              </w:rPr>
              <w:t>量、选型配置、进场时间安排基本合理，基本满足施工需要。</w:t>
            </w:r>
          </w:p>
          <w:p w14:paraId="257ACB0D">
            <w:pPr>
              <w:pStyle w:val="22"/>
              <w:spacing w:line="369" w:lineRule="auto"/>
              <w:ind w:left="107" w:right="97" w:firstLine="420"/>
              <w:rPr>
                <w:color w:val="auto"/>
                <w:sz w:val="21"/>
              </w:rPr>
            </w:pPr>
            <w:r>
              <w:rPr>
                <w:color w:val="auto"/>
                <w:sz w:val="21"/>
              </w:rPr>
              <w:t>四档（0</w:t>
            </w:r>
            <w:r>
              <w:rPr>
                <w:color w:val="auto"/>
                <w:spacing w:val="-26"/>
                <w:sz w:val="21"/>
              </w:rPr>
              <w:t xml:space="preserve"> 分</w:t>
            </w:r>
            <w:r>
              <w:rPr>
                <w:color w:val="auto"/>
                <w:sz w:val="21"/>
              </w:rPr>
              <w:t>）：投入的施工材料无详细的组织计划，数量、选</w:t>
            </w:r>
            <w:r>
              <w:rPr>
                <w:color w:val="auto"/>
                <w:spacing w:val="-2"/>
                <w:sz w:val="21"/>
              </w:rPr>
              <w:t>型配置、进场时间安排不合理，不能满足施工需要。</w:t>
            </w:r>
          </w:p>
          <w:p w14:paraId="0D90C743">
            <w:pPr>
              <w:pStyle w:val="22"/>
              <w:numPr>
                <w:ilvl w:val="0"/>
                <w:numId w:val="37"/>
              </w:numPr>
              <w:tabs>
                <w:tab w:val="left" w:pos="636"/>
              </w:tabs>
              <w:spacing w:before="0" w:after="0" w:line="272" w:lineRule="exact"/>
              <w:ind w:left="636" w:right="0" w:hanging="529"/>
              <w:jc w:val="left"/>
              <w:rPr>
                <w:b/>
                <w:color w:val="auto"/>
                <w:sz w:val="21"/>
              </w:rPr>
            </w:pPr>
            <w:r>
              <w:rPr>
                <w:b/>
                <w:color w:val="auto"/>
                <w:spacing w:val="-2"/>
                <w:sz w:val="21"/>
              </w:rPr>
              <w:t>劳动力安排计划（</w:t>
            </w:r>
            <w:r>
              <w:rPr>
                <w:b/>
                <w:color w:val="auto"/>
                <w:spacing w:val="-17"/>
                <w:sz w:val="21"/>
              </w:rPr>
              <w:t xml:space="preserve">满分 </w:t>
            </w:r>
            <w:r>
              <w:rPr>
                <w:b/>
                <w:color w:val="auto"/>
                <w:spacing w:val="-2"/>
                <w:sz w:val="21"/>
              </w:rPr>
              <w:t>7</w:t>
            </w:r>
            <w:r>
              <w:rPr>
                <w:b/>
                <w:color w:val="auto"/>
                <w:spacing w:val="-24"/>
                <w:sz w:val="21"/>
              </w:rPr>
              <w:t xml:space="preserve"> 分</w:t>
            </w:r>
            <w:r>
              <w:rPr>
                <w:b/>
                <w:color w:val="auto"/>
                <w:spacing w:val="-10"/>
                <w:sz w:val="21"/>
              </w:rPr>
              <w:t>）</w:t>
            </w:r>
          </w:p>
          <w:p w14:paraId="4F2C814D">
            <w:pPr>
              <w:pStyle w:val="22"/>
              <w:spacing w:before="144" w:line="369" w:lineRule="auto"/>
              <w:ind w:left="107" w:right="97" w:firstLine="420"/>
              <w:jc w:val="both"/>
              <w:rPr>
                <w:color w:val="auto"/>
                <w:sz w:val="21"/>
              </w:rPr>
            </w:pPr>
            <w:r>
              <w:rPr>
                <w:color w:val="auto"/>
                <w:spacing w:val="5"/>
                <w:sz w:val="21"/>
              </w:rPr>
              <w:t>一档</w:t>
            </w:r>
            <w:r>
              <w:rPr>
                <w:color w:val="auto"/>
                <w:sz w:val="21"/>
              </w:rPr>
              <w:t>（7 分</w:t>
            </w:r>
            <w:r>
              <w:rPr>
                <w:color w:val="auto"/>
                <w:spacing w:val="10"/>
                <w:sz w:val="21"/>
              </w:rPr>
              <w:t>）</w:t>
            </w:r>
            <w:r>
              <w:rPr>
                <w:color w:val="auto"/>
                <w:sz w:val="21"/>
              </w:rPr>
              <w:t>：各主要施工工序有详细周密的劳动力安排计</w:t>
            </w:r>
            <w:r>
              <w:rPr>
                <w:color w:val="auto"/>
                <w:spacing w:val="11"/>
                <w:sz w:val="21"/>
              </w:rPr>
              <w:t>划，有各工种劳动力安排计划，劳动力投入合理，满足施工需</w:t>
            </w:r>
            <w:r>
              <w:rPr>
                <w:color w:val="auto"/>
                <w:spacing w:val="-6"/>
                <w:sz w:val="21"/>
              </w:rPr>
              <w:t>要。</w:t>
            </w:r>
          </w:p>
          <w:p w14:paraId="21D35FED">
            <w:pPr>
              <w:pStyle w:val="22"/>
              <w:spacing w:line="369" w:lineRule="auto"/>
              <w:ind w:left="107" w:right="97" w:firstLine="420"/>
              <w:jc w:val="both"/>
              <w:rPr>
                <w:color w:val="auto"/>
                <w:sz w:val="21"/>
              </w:rPr>
            </w:pPr>
            <w:r>
              <w:rPr>
                <w:color w:val="auto"/>
                <w:spacing w:val="-2"/>
                <w:sz w:val="21"/>
              </w:rPr>
              <w:t>二档（5</w:t>
            </w:r>
            <w:r>
              <w:rPr>
                <w:color w:val="auto"/>
                <w:spacing w:val="-5"/>
                <w:sz w:val="21"/>
              </w:rPr>
              <w:t xml:space="preserve"> 分</w:t>
            </w:r>
            <w:r>
              <w:rPr>
                <w:color w:val="auto"/>
                <w:spacing w:val="-2"/>
                <w:sz w:val="21"/>
              </w:rPr>
              <w:t>）：各主要施工工序有劳动力安排计划，有各工种劳动力安排计划，劳动力投入合理，满足施工需要。</w:t>
            </w:r>
          </w:p>
          <w:p w14:paraId="0B589F8A">
            <w:pPr>
              <w:pStyle w:val="22"/>
              <w:spacing w:line="369" w:lineRule="auto"/>
              <w:ind w:left="107" w:right="97" w:firstLine="420"/>
              <w:jc w:val="both"/>
              <w:rPr>
                <w:color w:val="auto"/>
                <w:sz w:val="21"/>
              </w:rPr>
            </w:pPr>
            <w:r>
              <w:rPr>
                <w:color w:val="auto"/>
                <w:spacing w:val="-2"/>
                <w:sz w:val="21"/>
              </w:rPr>
              <w:t>三档（3</w:t>
            </w:r>
            <w:r>
              <w:rPr>
                <w:color w:val="auto"/>
                <w:spacing w:val="-5"/>
                <w:sz w:val="21"/>
              </w:rPr>
              <w:t xml:space="preserve"> 分</w:t>
            </w:r>
            <w:r>
              <w:rPr>
                <w:color w:val="auto"/>
                <w:spacing w:val="-2"/>
                <w:sz w:val="21"/>
              </w:rPr>
              <w:t>）：各主要施工工序有劳动力安排计划，有各工种劳动力安排计划，劳动力投入基本合理，基本满足施工需要。</w:t>
            </w:r>
          </w:p>
          <w:p w14:paraId="1D05D3E4">
            <w:pPr>
              <w:pStyle w:val="22"/>
              <w:spacing w:line="369" w:lineRule="auto"/>
              <w:ind w:left="107" w:right="97" w:firstLine="420"/>
              <w:jc w:val="both"/>
              <w:rPr>
                <w:color w:val="auto"/>
                <w:sz w:val="21"/>
              </w:rPr>
            </w:pPr>
            <w:r>
              <w:rPr>
                <w:color w:val="auto"/>
                <w:spacing w:val="-2"/>
                <w:sz w:val="21"/>
              </w:rPr>
              <w:t>四档（0</w:t>
            </w:r>
            <w:r>
              <w:rPr>
                <w:color w:val="auto"/>
                <w:spacing w:val="-5"/>
                <w:sz w:val="21"/>
              </w:rPr>
              <w:t xml:space="preserve"> 分</w:t>
            </w:r>
            <w:r>
              <w:rPr>
                <w:color w:val="auto"/>
                <w:spacing w:val="-2"/>
                <w:sz w:val="21"/>
              </w:rPr>
              <w:t>）：各主要施工工序无劳动力安排计划，无各工种劳动力安排计划，劳动力投入不合理，不能满足施工需要。</w:t>
            </w:r>
          </w:p>
          <w:p w14:paraId="464838EE">
            <w:pPr>
              <w:pStyle w:val="22"/>
              <w:numPr>
                <w:ilvl w:val="0"/>
                <w:numId w:val="37"/>
              </w:numPr>
              <w:tabs>
                <w:tab w:val="left" w:pos="636"/>
              </w:tabs>
              <w:spacing w:before="0" w:after="0" w:line="272" w:lineRule="exact"/>
              <w:ind w:left="636" w:right="0" w:hanging="529"/>
              <w:jc w:val="both"/>
              <w:rPr>
                <w:b/>
                <w:color w:val="auto"/>
                <w:sz w:val="21"/>
              </w:rPr>
            </w:pPr>
            <w:r>
              <w:rPr>
                <w:b/>
                <w:color w:val="auto"/>
                <w:spacing w:val="-2"/>
                <w:sz w:val="21"/>
              </w:rPr>
              <w:t>确保工程质量的技术组织措施（</w:t>
            </w:r>
            <w:r>
              <w:rPr>
                <w:b/>
                <w:color w:val="auto"/>
                <w:spacing w:val="-15"/>
                <w:sz w:val="21"/>
              </w:rPr>
              <w:t xml:space="preserve">满分 </w:t>
            </w:r>
            <w:r>
              <w:rPr>
                <w:b/>
                <w:color w:val="auto"/>
                <w:spacing w:val="-2"/>
                <w:sz w:val="21"/>
              </w:rPr>
              <w:t>7</w:t>
            </w:r>
            <w:r>
              <w:rPr>
                <w:b/>
                <w:color w:val="auto"/>
                <w:spacing w:val="-22"/>
                <w:sz w:val="21"/>
              </w:rPr>
              <w:t xml:space="preserve"> 分</w:t>
            </w:r>
            <w:r>
              <w:rPr>
                <w:b/>
                <w:color w:val="auto"/>
                <w:spacing w:val="-10"/>
                <w:sz w:val="21"/>
              </w:rPr>
              <w:t>）</w:t>
            </w:r>
          </w:p>
          <w:p w14:paraId="5880B17A">
            <w:pPr>
              <w:pStyle w:val="22"/>
              <w:spacing w:before="144" w:line="369" w:lineRule="auto"/>
              <w:ind w:left="107" w:right="97" w:firstLine="420"/>
              <w:jc w:val="both"/>
              <w:rPr>
                <w:color w:val="auto"/>
                <w:sz w:val="21"/>
              </w:rPr>
            </w:pPr>
            <w:r>
              <w:rPr>
                <w:color w:val="auto"/>
                <w:spacing w:val="2"/>
                <w:w w:val="99"/>
                <w:sz w:val="21"/>
              </w:rPr>
              <w:t>一档（</w:t>
            </w:r>
            <w:r>
              <w:rPr>
                <w:color w:val="auto"/>
                <w:w w:val="99"/>
                <w:sz w:val="21"/>
              </w:rPr>
              <w:t>7</w:t>
            </w:r>
            <w:r>
              <w:rPr>
                <w:color w:val="auto"/>
                <w:spacing w:val="-52"/>
                <w:sz w:val="21"/>
              </w:rPr>
              <w:t xml:space="preserve"> </w:t>
            </w:r>
            <w:r>
              <w:rPr>
                <w:color w:val="auto"/>
                <w:spacing w:val="2"/>
                <w:w w:val="99"/>
                <w:sz w:val="21"/>
              </w:rPr>
              <w:t>分）：</w:t>
            </w:r>
            <w:r>
              <w:rPr>
                <w:color w:val="auto"/>
                <w:spacing w:val="1"/>
                <w:w w:val="99"/>
                <w:sz w:val="21"/>
              </w:rPr>
              <w:t>有专门的质量技术管理班子和制度，且人员配</w:t>
            </w:r>
            <w:r>
              <w:rPr>
                <w:color w:val="auto"/>
                <w:spacing w:val="6"/>
                <w:w w:val="99"/>
                <w:sz w:val="21"/>
              </w:rPr>
              <w:t>备合理，制度健全。主要工序的质量技术保证措施和手段满足要</w:t>
            </w:r>
            <w:r>
              <w:rPr>
                <w:color w:val="auto"/>
                <w:spacing w:val="13"/>
                <w:w w:val="99"/>
                <w:sz w:val="21"/>
              </w:rPr>
              <w:t>求，质控体系完整，能有效保证技术质量，达到承诺的质量标</w:t>
            </w:r>
            <w:r>
              <w:rPr>
                <w:color w:val="auto"/>
                <w:spacing w:val="-1"/>
                <w:w w:val="99"/>
                <w:sz w:val="21"/>
              </w:rPr>
              <w:t>准，可行性、实用性和针对性强。</w:t>
            </w:r>
          </w:p>
          <w:p w14:paraId="4CE11B50">
            <w:pPr>
              <w:pStyle w:val="22"/>
              <w:spacing w:line="369" w:lineRule="auto"/>
              <w:ind w:left="107" w:right="97" w:firstLine="420"/>
              <w:jc w:val="both"/>
              <w:rPr>
                <w:color w:val="auto"/>
                <w:sz w:val="21"/>
              </w:rPr>
            </w:pPr>
            <w:r>
              <w:rPr>
                <w:color w:val="auto"/>
                <w:spacing w:val="2"/>
                <w:w w:val="99"/>
                <w:sz w:val="21"/>
              </w:rPr>
              <w:t>二档（</w:t>
            </w:r>
            <w:r>
              <w:rPr>
                <w:color w:val="auto"/>
                <w:w w:val="99"/>
                <w:sz w:val="21"/>
              </w:rPr>
              <w:t>5</w:t>
            </w:r>
            <w:r>
              <w:rPr>
                <w:color w:val="auto"/>
                <w:spacing w:val="-52"/>
                <w:sz w:val="21"/>
              </w:rPr>
              <w:t xml:space="preserve"> </w:t>
            </w:r>
            <w:r>
              <w:rPr>
                <w:color w:val="auto"/>
                <w:spacing w:val="2"/>
                <w:w w:val="99"/>
                <w:sz w:val="21"/>
              </w:rPr>
              <w:t>分）：</w:t>
            </w:r>
            <w:r>
              <w:rPr>
                <w:color w:val="auto"/>
                <w:spacing w:val="1"/>
                <w:w w:val="99"/>
                <w:sz w:val="21"/>
              </w:rPr>
              <w:t>有专门的质量技术管理班子和制度，且人员配</w:t>
            </w:r>
            <w:r>
              <w:rPr>
                <w:color w:val="auto"/>
                <w:spacing w:val="6"/>
                <w:w w:val="99"/>
                <w:sz w:val="21"/>
              </w:rPr>
              <w:t>备合理，制度健全。主要工序的质量技术保证措施和手段满足要</w:t>
            </w:r>
            <w:r>
              <w:rPr>
                <w:color w:val="auto"/>
                <w:spacing w:val="13"/>
                <w:w w:val="99"/>
                <w:sz w:val="21"/>
              </w:rPr>
              <w:t>求，质控体系较完整，基本保证技术质量，达到承诺的质量标</w:t>
            </w:r>
            <w:r>
              <w:rPr>
                <w:color w:val="auto"/>
                <w:spacing w:val="-1"/>
                <w:w w:val="99"/>
                <w:sz w:val="21"/>
              </w:rPr>
              <w:t>准，具有可行性、实用性和针对性。</w:t>
            </w:r>
          </w:p>
          <w:p w14:paraId="590A62DE">
            <w:pPr>
              <w:pStyle w:val="22"/>
              <w:spacing w:line="369" w:lineRule="auto"/>
              <w:ind w:left="107" w:right="97" w:firstLine="420"/>
              <w:jc w:val="both"/>
              <w:rPr>
                <w:color w:val="auto"/>
                <w:sz w:val="21"/>
              </w:rPr>
            </w:pPr>
            <w:r>
              <w:rPr>
                <w:color w:val="auto"/>
                <w:spacing w:val="2"/>
                <w:w w:val="99"/>
                <w:sz w:val="21"/>
              </w:rPr>
              <w:t>三档（</w:t>
            </w:r>
            <w:r>
              <w:rPr>
                <w:color w:val="auto"/>
                <w:w w:val="99"/>
                <w:sz w:val="21"/>
              </w:rPr>
              <w:t>3</w:t>
            </w:r>
            <w:r>
              <w:rPr>
                <w:color w:val="auto"/>
                <w:spacing w:val="-52"/>
                <w:sz w:val="21"/>
              </w:rPr>
              <w:t xml:space="preserve"> </w:t>
            </w:r>
            <w:r>
              <w:rPr>
                <w:color w:val="auto"/>
                <w:spacing w:val="2"/>
                <w:w w:val="99"/>
                <w:sz w:val="21"/>
              </w:rPr>
              <w:t>分）：</w:t>
            </w:r>
            <w:r>
              <w:rPr>
                <w:color w:val="auto"/>
                <w:spacing w:val="1"/>
                <w:w w:val="99"/>
                <w:sz w:val="21"/>
              </w:rPr>
              <w:t>有专门的质量技术管理班子和制度，且人员配</w:t>
            </w:r>
            <w:r>
              <w:rPr>
                <w:color w:val="auto"/>
                <w:spacing w:val="6"/>
                <w:w w:val="99"/>
                <w:sz w:val="21"/>
              </w:rPr>
              <w:t>备基本合理，制度基本健全。主要工序的质量技术保证措施和手段基本满足要求，质控体系基本完整，基本保证技术质量，基本</w:t>
            </w:r>
            <w:r>
              <w:rPr>
                <w:color w:val="auto"/>
                <w:spacing w:val="-1"/>
                <w:w w:val="99"/>
                <w:sz w:val="21"/>
              </w:rPr>
              <w:t>达到承诺的质量标准，可行性、实用性和针对性有待提高。</w:t>
            </w:r>
          </w:p>
          <w:p w14:paraId="374FF206">
            <w:pPr>
              <w:pStyle w:val="22"/>
              <w:spacing w:line="271" w:lineRule="exact"/>
              <w:ind w:left="527"/>
              <w:jc w:val="both"/>
              <w:rPr>
                <w:color w:val="auto"/>
                <w:sz w:val="21"/>
              </w:rPr>
            </w:pPr>
            <w:r>
              <w:rPr>
                <w:color w:val="auto"/>
                <w:spacing w:val="-2"/>
                <w:sz w:val="21"/>
              </w:rPr>
              <w:t>四档（0</w:t>
            </w:r>
            <w:r>
              <w:rPr>
                <w:color w:val="auto"/>
                <w:spacing w:val="-4"/>
                <w:sz w:val="21"/>
              </w:rPr>
              <w:t xml:space="preserve"> 分</w:t>
            </w:r>
            <w:r>
              <w:rPr>
                <w:color w:val="auto"/>
                <w:spacing w:val="-2"/>
                <w:sz w:val="21"/>
              </w:rPr>
              <w:t>）：</w:t>
            </w:r>
            <w:r>
              <w:rPr>
                <w:color w:val="auto"/>
                <w:spacing w:val="-3"/>
                <w:sz w:val="21"/>
              </w:rPr>
              <w:t>有专门的质量技术管理班子和制度，人员配备</w:t>
            </w:r>
          </w:p>
          <w:p w14:paraId="4F8C9C01">
            <w:pPr>
              <w:pStyle w:val="22"/>
              <w:spacing w:before="144"/>
              <w:ind w:left="107"/>
              <w:rPr>
                <w:color w:val="auto"/>
                <w:sz w:val="21"/>
              </w:rPr>
            </w:pPr>
            <w:r>
              <w:rPr>
                <w:color w:val="auto"/>
                <w:spacing w:val="-1"/>
                <w:sz w:val="21"/>
              </w:rPr>
              <w:t>不合理，制度不健全。主要工序无质量技术保证措施和手段，质</w:t>
            </w:r>
          </w:p>
        </w:tc>
        <w:tc>
          <w:tcPr>
            <w:tcW w:w="851" w:type="dxa"/>
          </w:tcPr>
          <w:p w14:paraId="4E147075">
            <w:pPr>
              <w:pStyle w:val="22"/>
              <w:rPr>
                <w:rFonts w:ascii="Times New Roman"/>
                <w:color w:val="auto"/>
                <w:sz w:val="20"/>
              </w:rPr>
            </w:pPr>
          </w:p>
        </w:tc>
      </w:tr>
    </w:tbl>
    <w:p w14:paraId="7FC2DD9F">
      <w:pPr>
        <w:spacing w:after="0"/>
        <w:rPr>
          <w:rFonts w:ascii="Times New Roman"/>
          <w:color w:val="auto"/>
          <w:sz w:val="20"/>
        </w:rPr>
        <w:sectPr>
          <w:pgSz w:w="11910" w:h="16840"/>
          <w:pgMar w:top="1400" w:right="740" w:bottom="1180" w:left="800" w:header="0" w:footer="989" w:gutter="0"/>
          <w:cols w:space="720" w:num="1"/>
        </w:sectPr>
      </w:pPr>
    </w:p>
    <w:tbl>
      <w:tblPr>
        <w:tblStyle w:val="16"/>
        <w:tblW w:w="0" w:type="auto"/>
        <w:tblInd w:w="57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6"/>
        <w:gridCol w:w="1314"/>
        <w:gridCol w:w="6284"/>
        <w:gridCol w:w="851"/>
      </w:tblGrid>
      <w:tr w14:paraId="337C1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58" w:hRule="atLeast"/>
        </w:trPr>
        <w:tc>
          <w:tcPr>
            <w:tcW w:w="776" w:type="dxa"/>
          </w:tcPr>
          <w:p w14:paraId="73318156">
            <w:pPr>
              <w:pStyle w:val="22"/>
              <w:rPr>
                <w:rFonts w:ascii="Times New Roman"/>
                <w:color w:val="auto"/>
                <w:sz w:val="20"/>
              </w:rPr>
            </w:pPr>
          </w:p>
        </w:tc>
        <w:tc>
          <w:tcPr>
            <w:tcW w:w="1314" w:type="dxa"/>
          </w:tcPr>
          <w:p w14:paraId="5F8ECE82">
            <w:pPr>
              <w:pStyle w:val="22"/>
              <w:rPr>
                <w:rFonts w:ascii="Times New Roman"/>
                <w:color w:val="auto"/>
                <w:sz w:val="20"/>
              </w:rPr>
            </w:pPr>
          </w:p>
        </w:tc>
        <w:tc>
          <w:tcPr>
            <w:tcW w:w="6284" w:type="dxa"/>
          </w:tcPr>
          <w:p w14:paraId="403F29A6">
            <w:pPr>
              <w:pStyle w:val="22"/>
              <w:spacing w:before="123" w:line="369" w:lineRule="auto"/>
              <w:ind w:left="107" w:right="97"/>
              <w:rPr>
                <w:color w:val="auto"/>
                <w:sz w:val="21"/>
              </w:rPr>
            </w:pPr>
            <w:r>
              <w:rPr>
                <w:color w:val="auto"/>
                <w:spacing w:val="11"/>
                <w:sz w:val="21"/>
              </w:rPr>
              <w:t>控体系不完整，不能有效保证技术质量，达不到承诺的质量标</w:t>
            </w:r>
            <w:r>
              <w:rPr>
                <w:color w:val="auto"/>
                <w:spacing w:val="-6"/>
                <w:sz w:val="21"/>
              </w:rPr>
              <w:t>准。</w:t>
            </w:r>
          </w:p>
          <w:p w14:paraId="701B5081">
            <w:pPr>
              <w:pStyle w:val="22"/>
              <w:numPr>
                <w:ilvl w:val="0"/>
                <w:numId w:val="38"/>
              </w:numPr>
              <w:tabs>
                <w:tab w:val="left" w:pos="636"/>
              </w:tabs>
              <w:spacing w:before="0" w:after="0" w:line="272" w:lineRule="exact"/>
              <w:ind w:left="636" w:right="0" w:hanging="529"/>
              <w:jc w:val="left"/>
              <w:rPr>
                <w:b/>
                <w:color w:val="auto"/>
                <w:sz w:val="21"/>
              </w:rPr>
            </w:pPr>
            <w:r>
              <w:rPr>
                <w:b/>
                <w:color w:val="auto"/>
                <w:spacing w:val="-2"/>
                <w:sz w:val="21"/>
              </w:rPr>
              <w:t>确保安全生产的技术组织措施（</w:t>
            </w:r>
            <w:r>
              <w:rPr>
                <w:b/>
                <w:color w:val="auto"/>
                <w:spacing w:val="-15"/>
                <w:sz w:val="21"/>
              </w:rPr>
              <w:t xml:space="preserve">满分 </w:t>
            </w:r>
            <w:r>
              <w:rPr>
                <w:b/>
                <w:color w:val="auto"/>
                <w:spacing w:val="-2"/>
                <w:sz w:val="21"/>
              </w:rPr>
              <w:t>7</w:t>
            </w:r>
            <w:r>
              <w:rPr>
                <w:b/>
                <w:color w:val="auto"/>
                <w:spacing w:val="-22"/>
                <w:sz w:val="21"/>
              </w:rPr>
              <w:t xml:space="preserve"> 分</w:t>
            </w:r>
            <w:r>
              <w:rPr>
                <w:b/>
                <w:color w:val="auto"/>
                <w:spacing w:val="-10"/>
                <w:sz w:val="21"/>
              </w:rPr>
              <w:t>）</w:t>
            </w:r>
          </w:p>
          <w:p w14:paraId="65681729">
            <w:pPr>
              <w:pStyle w:val="22"/>
              <w:spacing w:before="147" w:line="369" w:lineRule="auto"/>
              <w:ind w:left="107" w:right="97" w:firstLine="420"/>
              <w:jc w:val="both"/>
              <w:rPr>
                <w:color w:val="auto"/>
                <w:sz w:val="21"/>
              </w:rPr>
            </w:pPr>
            <w:r>
              <w:rPr>
                <w:color w:val="auto"/>
                <w:spacing w:val="2"/>
                <w:w w:val="99"/>
                <w:sz w:val="21"/>
              </w:rPr>
              <w:t>一档（</w:t>
            </w:r>
            <w:r>
              <w:rPr>
                <w:color w:val="auto"/>
                <w:w w:val="99"/>
                <w:sz w:val="21"/>
              </w:rPr>
              <w:t>7</w:t>
            </w:r>
            <w:r>
              <w:rPr>
                <w:color w:val="auto"/>
                <w:spacing w:val="-52"/>
                <w:sz w:val="21"/>
              </w:rPr>
              <w:t xml:space="preserve"> </w:t>
            </w:r>
            <w:r>
              <w:rPr>
                <w:color w:val="auto"/>
                <w:spacing w:val="2"/>
                <w:w w:val="99"/>
                <w:sz w:val="21"/>
              </w:rPr>
              <w:t>分）：</w:t>
            </w:r>
            <w:r>
              <w:rPr>
                <w:color w:val="auto"/>
                <w:spacing w:val="1"/>
                <w:w w:val="99"/>
                <w:sz w:val="21"/>
              </w:rPr>
              <w:t>有专门的安全管理人员和制度，且人员配备合</w:t>
            </w:r>
            <w:r>
              <w:rPr>
                <w:color w:val="auto"/>
                <w:spacing w:val="6"/>
                <w:w w:val="99"/>
                <w:sz w:val="21"/>
              </w:rPr>
              <w:t>理，制度健全，各道工序安全技术措施针对性强，确保安全生产的技术组织措施符合实际且满足有关安全技术标准要求。现场防</w:t>
            </w:r>
            <w:r>
              <w:rPr>
                <w:color w:val="auto"/>
                <w:spacing w:val="-1"/>
                <w:w w:val="99"/>
                <w:sz w:val="21"/>
              </w:rPr>
              <w:t>火、应急救援、社会治安安全措施得力。</w:t>
            </w:r>
          </w:p>
          <w:p w14:paraId="5AA85A21">
            <w:pPr>
              <w:pStyle w:val="22"/>
              <w:spacing w:line="369" w:lineRule="auto"/>
              <w:ind w:left="107" w:right="97" w:firstLine="420"/>
              <w:jc w:val="both"/>
              <w:rPr>
                <w:color w:val="auto"/>
                <w:sz w:val="21"/>
              </w:rPr>
            </w:pPr>
            <w:r>
              <w:rPr>
                <w:color w:val="auto"/>
                <w:spacing w:val="2"/>
                <w:w w:val="99"/>
                <w:sz w:val="21"/>
              </w:rPr>
              <w:t>二档（</w:t>
            </w:r>
            <w:r>
              <w:rPr>
                <w:color w:val="auto"/>
                <w:w w:val="99"/>
                <w:sz w:val="21"/>
              </w:rPr>
              <w:t>5</w:t>
            </w:r>
            <w:r>
              <w:rPr>
                <w:color w:val="auto"/>
                <w:spacing w:val="-52"/>
                <w:sz w:val="21"/>
              </w:rPr>
              <w:t xml:space="preserve"> </w:t>
            </w:r>
            <w:r>
              <w:rPr>
                <w:color w:val="auto"/>
                <w:spacing w:val="2"/>
                <w:w w:val="99"/>
                <w:sz w:val="21"/>
              </w:rPr>
              <w:t>分）：</w:t>
            </w:r>
            <w:r>
              <w:rPr>
                <w:color w:val="auto"/>
                <w:spacing w:val="1"/>
                <w:w w:val="99"/>
                <w:sz w:val="21"/>
              </w:rPr>
              <w:t>有专门的安全管理人员和制度，且人员配备合</w:t>
            </w:r>
            <w:r>
              <w:rPr>
                <w:color w:val="auto"/>
                <w:spacing w:val="6"/>
                <w:w w:val="99"/>
                <w:sz w:val="21"/>
              </w:rPr>
              <w:t>理，制度健全，各道工序安全技术措施针对性较强，确保安全生产的技术组织措施符合实际且基本满足有关安全技术标准要求。</w:t>
            </w:r>
            <w:r>
              <w:rPr>
                <w:color w:val="auto"/>
                <w:spacing w:val="-1"/>
                <w:w w:val="99"/>
                <w:sz w:val="21"/>
              </w:rPr>
              <w:t>现场防火、应急救援、社会治安安全措施可行。</w:t>
            </w:r>
          </w:p>
          <w:p w14:paraId="3BC17B5C">
            <w:pPr>
              <w:pStyle w:val="22"/>
              <w:spacing w:line="369" w:lineRule="auto"/>
              <w:ind w:left="107" w:right="97" w:firstLine="420"/>
              <w:jc w:val="both"/>
              <w:rPr>
                <w:color w:val="auto"/>
                <w:sz w:val="21"/>
              </w:rPr>
            </w:pPr>
            <w:r>
              <w:rPr>
                <w:color w:val="auto"/>
                <w:spacing w:val="2"/>
                <w:w w:val="99"/>
                <w:sz w:val="21"/>
              </w:rPr>
              <w:t>三档（</w:t>
            </w:r>
            <w:r>
              <w:rPr>
                <w:color w:val="auto"/>
                <w:w w:val="99"/>
                <w:sz w:val="21"/>
              </w:rPr>
              <w:t>3</w:t>
            </w:r>
            <w:r>
              <w:rPr>
                <w:color w:val="auto"/>
                <w:spacing w:val="-52"/>
                <w:sz w:val="21"/>
              </w:rPr>
              <w:t xml:space="preserve"> </w:t>
            </w:r>
            <w:r>
              <w:rPr>
                <w:color w:val="auto"/>
                <w:spacing w:val="2"/>
                <w:w w:val="99"/>
                <w:sz w:val="21"/>
              </w:rPr>
              <w:t>分）：</w:t>
            </w:r>
            <w:r>
              <w:rPr>
                <w:color w:val="auto"/>
                <w:spacing w:val="1"/>
                <w:w w:val="99"/>
                <w:sz w:val="21"/>
              </w:rPr>
              <w:t>有专门的安全管理人员和制度，且人员配备基</w:t>
            </w:r>
            <w:r>
              <w:rPr>
                <w:color w:val="auto"/>
                <w:spacing w:val="6"/>
                <w:w w:val="99"/>
                <w:sz w:val="21"/>
              </w:rPr>
              <w:t>本合理，制度基本健全，各道工序安全技术措施有针对性，确保安全生产的技术组织措施符合实际且基本满足有关安全技术标准</w:t>
            </w:r>
            <w:r>
              <w:rPr>
                <w:color w:val="auto"/>
                <w:spacing w:val="-1"/>
                <w:w w:val="99"/>
                <w:sz w:val="21"/>
              </w:rPr>
              <w:t>要求。现场防火、应急救援、社会治安安全措施基本可行。</w:t>
            </w:r>
          </w:p>
          <w:p w14:paraId="3350648E">
            <w:pPr>
              <w:pStyle w:val="22"/>
              <w:spacing w:line="369" w:lineRule="auto"/>
              <w:ind w:left="107" w:right="97" w:firstLine="420"/>
              <w:jc w:val="both"/>
              <w:rPr>
                <w:color w:val="auto"/>
                <w:sz w:val="21"/>
              </w:rPr>
            </w:pPr>
            <w:r>
              <w:rPr>
                <w:color w:val="auto"/>
                <w:spacing w:val="2"/>
                <w:w w:val="99"/>
                <w:sz w:val="21"/>
              </w:rPr>
              <w:t>四档（</w:t>
            </w:r>
            <w:r>
              <w:rPr>
                <w:color w:val="auto"/>
                <w:w w:val="99"/>
                <w:sz w:val="21"/>
              </w:rPr>
              <w:t>0</w:t>
            </w:r>
            <w:r>
              <w:rPr>
                <w:color w:val="auto"/>
                <w:spacing w:val="-52"/>
                <w:sz w:val="21"/>
              </w:rPr>
              <w:t xml:space="preserve"> </w:t>
            </w:r>
            <w:r>
              <w:rPr>
                <w:color w:val="auto"/>
                <w:spacing w:val="2"/>
                <w:w w:val="99"/>
                <w:sz w:val="21"/>
              </w:rPr>
              <w:t>分）：</w:t>
            </w:r>
            <w:r>
              <w:rPr>
                <w:color w:val="auto"/>
                <w:spacing w:val="1"/>
                <w:w w:val="99"/>
                <w:sz w:val="21"/>
              </w:rPr>
              <w:t>有专门的安全管理人员和制度，人员配备不合</w:t>
            </w:r>
            <w:r>
              <w:rPr>
                <w:color w:val="auto"/>
                <w:spacing w:val="6"/>
                <w:w w:val="99"/>
                <w:sz w:val="21"/>
              </w:rPr>
              <w:t>理，制度不健全，各道工序安全技术措施无针对性，不满足有关安全技术标准要求。现场防火、应急救援、社会治安安全措施不</w:t>
            </w:r>
            <w:r>
              <w:rPr>
                <w:color w:val="auto"/>
                <w:w w:val="99"/>
                <w:sz w:val="21"/>
              </w:rPr>
              <w:t>得力。</w:t>
            </w:r>
          </w:p>
          <w:p w14:paraId="2F527A5E">
            <w:pPr>
              <w:pStyle w:val="22"/>
              <w:numPr>
                <w:ilvl w:val="0"/>
                <w:numId w:val="38"/>
              </w:numPr>
              <w:tabs>
                <w:tab w:val="left" w:pos="636"/>
              </w:tabs>
              <w:spacing w:before="0" w:after="0" w:line="271" w:lineRule="exact"/>
              <w:ind w:left="636" w:right="0" w:hanging="529"/>
              <w:jc w:val="both"/>
              <w:rPr>
                <w:b/>
                <w:color w:val="auto"/>
                <w:sz w:val="21"/>
              </w:rPr>
            </w:pPr>
            <w:r>
              <w:rPr>
                <w:b/>
                <w:color w:val="auto"/>
                <w:spacing w:val="-2"/>
                <w:sz w:val="21"/>
              </w:rPr>
              <w:t>确保工期的技术组织措施（</w:t>
            </w:r>
            <w:r>
              <w:rPr>
                <w:b/>
                <w:color w:val="auto"/>
                <w:spacing w:val="-16"/>
                <w:sz w:val="21"/>
              </w:rPr>
              <w:t xml:space="preserve">满分 </w:t>
            </w:r>
            <w:r>
              <w:rPr>
                <w:b/>
                <w:color w:val="auto"/>
                <w:spacing w:val="-2"/>
                <w:sz w:val="21"/>
              </w:rPr>
              <w:t>7</w:t>
            </w:r>
            <w:r>
              <w:rPr>
                <w:b/>
                <w:color w:val="auto"/>
                <w:spacing w:val="-22"/>
                <w:sz w:val="21"/>
              </w:rPr>
              <w:t xml:space="preserve"> 分</w:t>
            </w:r>
            <w:r>
              <w:rPr>
                <w:b/>
                <w:color w:val="auto"/>
                <w:spacing w:val="-10"/>
                <w:sz w:val="21"/>
              </w:rPr>
              <w:t>）</w:t>
            </w:r>
          </w:p>
          <w:p w14:paraId="34C66448">
            <w:pPr>
              <w:pStyle w:val="22"/>
              <w:spacing w:before="142" w:line="369" w:lineRule="auto"/>
              <w:ind w:left="107" w:right="97" w:firstLine="420"/>
              <w:jc w:val="both"/>
              <w:rPr>
                <w:color w:val="auto"/>
                <w:sz w:val="21"/>
              </w:rPr>
            </w:pPr>
            <w:r>
              <w:rPr>
                <w:color w:val="auto"/>
                <w:spacing w:val="2"/>
                <w:w w:val="99"/>
                <w:sz w:val="21"/>
              </w:rPr>
              <w:t>一档（</w:t>
            </w:r>
            <w:r>
              <w:rPr>
                <w:color w:val="auto"/>
                <w:w w:val="99"/>
                <w:sz w:val="21"/>
              </w:rPr>
              <w:t>7</w:t>
            </w:r>
            <w:r>
              <w:rPr>
                <w:color w:val="auto"/>
                <w:spacing w:val="-52"/>
                <w:sz w:val="21"/>
              </w:rPr>
              <w:t xml:space="preserve"> </w:t>
            </w:r>
            <w:r>
              <w:rPr>
                <w:color w:val="auto"/>
                <w:spacing w:val="2"/>
                <w:w w:val="99"/>
                <w:sz w:val="21"/>
              </w:rPr>
              <w:t>分）：</w:t>
            </w:r>
            <w:r>
              <w:rPr>
                <w:color w:val="auto"/>
                <w:spacing w:val="1"/>
                <w:w w:val="99"/>
                <w:sz w:val="21"/>
              </w:rPr>
              <w:t>在施工工艺、施工方法、材料选用、劳动力安</w:t>
            </w:r>
            <w:r>
              <w:rPr>
                <w:color w:val="auto"/>
                <w:spacing w:val="6"/>
                <w:w w:val="99"/>
                <w:sz w:val="21"/>
              </w:rPr>
              <w:t>排、技术等方面有保证工期的具体措施且措施得当，针对赶工措施有具体的表述，赶工措施可行性、实用性和针对性强。有控制工期的施工进度计划。有施工总进度表或施工网络图，各项计划</w:t>
            </w:r>
            <w:r>
              <w:rPr>
                <w:color w:val="auto"/>
                <w:spacing w:val="-1"/>
                <w:w w:val="99"/>
                <w:sz w:val="21"/>
              </w:rPr>
              <w:t>图表编制完善，可操作性强，符合本项目施工实际要求。</w:t>
            </w:r>
          </w:p>
          <w:p w14:paraId="70D3AC7D">
            <w:pPr>
              <w:pStyle w:val="22"/>
              <w:spacing w:line="369" w:lineRule="auto"/>
              <w:ind w:left="107" w:right="97" w:firstLine="420"/>
              <w:jc w:val="both"/>
              <w:rPr>
                <w:color w:val="auto"/>
                <w:sz w:val="21"/>
              </w:rPr>
            </w:pPr>
            <w:r>
              <w:rPr>
                <w:color w:val="auto"/>
                <w:spacing w:val="2"/>
                <w:w w:val="99"/>
                <w:sz w:val="21"/>
              </w:rPr>
              <w:t>二档（</w:t>
            </w:r>
            <w:r>
              <w:rPr>
                <w:color w:val="auto"/>
                <w:w w:val="99"/>
                <w:sz w:val="21"/>
              </w:rPr>
              <w:t>5</w:t>
            </w:r>
            <w:r>
              <w:rPr>
                <w:color w:val="auto"/>
                <w:spacing w:val="-52"/>
                <w:sz w:val="21"/>
              </w:rPr>
              <w:t xml:space="preserve"> </w:t>
            </w:r>
            <w:r>
              <w:rPr>
                <w:color w:val="auto"/>
                <w:spacing w:val="2"/>
                <w:w w:val="99"/>
                <w:sz w:val="21"/>
              </w:rPr>
              <w:t>分）：</w:t>
            </w:r>
            <w:r>
              <w:rPr>
                <w:color w:val="auto"/>
                <w:spacing w:val="1"/>
                <w:w w:val="99"/>
                <w:sz w:val="21"/>
              </w:rPr>
              <w:t>在施工工艺、施工方法、材料选用、劳动力安</w:t>
            </w:r>
            <w:r>
              <w:rPr>
                <w:color w:val="auto"/>
                <w:spacing w:val="6"/>
                <w:w w:val="99"/>
                <w:sz w:val="21"/>
              </w:rPr>
              <w:t>排、技术等方面有保证工期的措施且措施可行，有赶工措施，赶工措施具有可行性、实用性和针对性。有控制工期的施工进度计划。有施工总进度表或施工网络图，各项计划图表编制明确，具</w:t>
            </w:r>
            <w:r>
              <w:rPr>
                <w:color w:val="auto"/>
                <w:spacing w:val="-1"/>
                <w:w w:val="99"/>
                <w:sz w:val="21"/>
              </w:rPr>
              <w:t>有可操作性，基本符合本项目施工实际要求。</w:t>
            </w:r>
          </w:p>
          <w:p w14:paraId="148CA224">
            <w:pPr>
              <w:pStyle w:val="22"/>
              <w:spacing w:line="369" w:lineRule="auto"/>
              <w:ind w:left="107" w:right="97" w:firstLine="420"/>
              <w:jc w:val="both"/>
              <w:rPr>
                <w:color w:val="auto"/>
                <w:sz w:val="21"/>
              </w:rPr>
            </w:pPr>
            <w:r>
              <w:rPr>
                <w:color w:val="auto"/>
                <w:spacing w:val="-2"/>
                <w:sz w:val="21"/>
              </w:rPr>
              <w:t>三档（3</w:t>
            </w:r>
            <w:r>
              <w:rPr>
                <w:color w:val="auto"/>
                <w:spacing w:val="-5"/>
                <w:sz w:val="21"/>
              </w:rPr>
              <w:t xml:space="preserve"> 分</w:t>
            </w:r>
            <w:r>
              <w:rPr>
                <w:color w:val="auto"/>
                <w:spacing w:val="-2"/>
                <w:sz w:val="21"/>
              </w:rPr>
              <w:t>）：在施工工艺、施工方法、材料选用、劳动力安</w:t>
            </w:r>
            <w:r>
              <w:rPr>
                <w:color w:val="auto"/>
                <w:spacing w:val="11"/>
                <w:sz w:val="21"/>
              </w:rPr>
              <w:t>排、技术等方面有保证工期的措施但措施基本可行，有赶工措</w:t>
            </w:r>
          </w:p>
          <w:p w14:paraId="70F7E53A">
            <w:pPr>
              <w:pStyle w:val="22"/>
              <w:spacing w:line="272" w:lineRule="exact"/>
              <w:ind w:left="107"/>
              <w:rPr>
                <w:color w:val="auto"/>
                <w:sz w:val="21"/>
              </w:rPr>
            </w:pPr>
            <w:r>
              <w:rPr>
                <w:color w:val="auto"/>
                <w:spacing w:val="-1"/>
                <w:sz w:val="21"/>
              </w:rPr>
              <w:t>施，赶工措施可行性、实用性和针对性有待改善。有控制工期的</w:t>
            </w:r>
          </w:p>
        </w:tc>
        <w:tc>
          <w:tcPr>
            <w:tcW w:w="851" w:type="dxa"/>
          </w:tcPr>
          <w:p w14:paraId="734C9FE6">
            <w:pPr>
              <w:pStyle w:val="22"/>
              <w:rPr>
                <w:rFonts w:ascii="Times New Roman"/>
                <w:color w:val="auto"/>
                <w:sz w:val="20"/>
              </w:rPr>
            </w:pPr>
          </w:p>
        </w:tc>
      </w:tr>
    </w:tbl>
    <w:p w14:paraId="528991E2">
      <w:pPr>
        <w:spacing w:after="0"/>
        <w:rPr>
          <w:rFonts w:ascii="Times New Roman"/>
          <w:color w:val="auto"/>
          <w:sz w:val="20"/>
        </w:rPr>
        <w:sectPr>
          <w:type w:val="continuous"/>
          <w:pgSz w:w="11910" w:h="16840"/>
          <w:pgMar w:top="1400" w:right="740" w:bottom="1180" w:left="800" w:header="0" w:footer="989" w:gutter="0"/>
          <w:cols w:space="720" w:num="1"/>
        </w:sectPr>
      </w:pPr>
    </w:p>
    <w:tbl>
      <w:tblPr>
        <w:tblStyle w:val="16"/>
        <w:tblW w:w="0" w:type="auto"/>
        <w:tblInd w:w="57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6"/>
        <w:gridCol w:w="1314"/>
        <w:gridCol w:w="6284"/>
        <w:gridCol w:w="851"/>
      </w:tblGrid>
      <w:tr w14:paraId="0471B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58" w:hRule="atLeast"/>
        </w:trPr>
        <w:tc>
          <w:tcPr>
            <w:tcW w:w="776" w:type="dxa"/>
          </w:tcPr>
          <w:p w14:paraId="0A6A92E1">
            <w:pPr>
              <w:pStyle w:val="22"/>
              <w:rPr>
                <w:rFonts w:ascii="Times New Roman"/>
                <w:color w:val="auto"/>
                <w:sz w:val="20"/>
              </w:rPr>
            </w:pPr>
          </w:p>
        </w:tc>
        <w:tc>
          <w:tcPr>
            <w:tcW w:w="1314" w:type="dxa"/>
          </w:tcPr>
          <w:p w14:paraId="62772BC5">
            <w:pPr>
              <w:pStyle w:val="22"/>
              <w:rPr>
                <w:rFonts w:ascii="Times New Roman"/>
                <w:color w:val="auto"/>
                <w:sz w:val="20"/>
              </w:rPr>
            </w:pPr>
          </w:p>
        </w:tc>
        <w:tc>
          <w:tcPr>
            <w:tcW w:w="6284" w:type="dxa"/>
          </w:tcPr>
          <w:p w14:paraId="35595553">
            <w:pPr>
              <w:pStyle w:val="22"/>
              <w:spacing w:before="123" w:line="369" w:lineRule="auto"/>
              <w:ind w:left="107" w:right="97"/>
              <w:rPr>
                <w:color w:val="auto"/>
                <w:sz w:val="21"/>
              </w:rPr>
            </w:pPr>
            <w:r>
              <w:rPr>
                <w:color w:val="auto"/>
                <w:spacing w:val="6"/>
                <w:w w:val="99"/>
                <w:sz w:val="21"/>
              </w:rPr>
              <w:t>施工进度计划。有施工总进度表或施工网络图，各项计划图表编</w:t>
            </w:r>
            <w:r>
              <w:rPr>
                <w:color w:val="auto"/>
                <w:spacing w:val="-1"/>
                <w:w w:val="99"/>
                <w:sz w:val="21"/>
              </w:rPr>
              <w:t>制有待改善，基本符合本项目施工实际要求。</w:t>
            </w:r>
          </w:p>
          <w:p w14:paraId="2BA46CB5">
            <w:pPr>
              <w:pStyle w:val="22"/>
              <w:spacing w:line="369" w:lineRule="auto"/>
              <w:ind w:left="107" w:right="128" w:firstLine="420"/>
              <w:rPr>
                <w:color w:val="auto"/>
                <w:sz w:val="21"/>
              </w:rPr>
            </w:pPr>
            <w:r>
              <w:rPr>
                <w:color w:val="auto"/>
                <w:w w:val="99"/>
                <w:sz w:val="21"/>
              </w:rPr>
              <w:t>四档</w:t>
            </w:r>
            <w:r>
              <w:rPr>
                <w:color w:val="auto"/>
                <w:spacing w:val="2"/>
                <w:w w:val="99"/>
                <w:sz w:val="21"/>
              </w:rPr>
              <w:t>（</w:t>
            </w:r>
            <w:r>
              <w:rPr>
                <w:color w:val="auto"/>
                <w:w w:val="99"/>
                <w:sz w:val="21"/>
              </w:rPr>
              <w:t>0</w:t>
            </w:r>
            <w:r>
              <w:rPr>
                <w:color w:val="auto"/>
                <w:spacing w:val="-54"/>
                <w:sz w:val="21"/>
              </w:rPr>
              <w:t xml:space="preserve"> </w:t>
            </w:r>
            <w:r>
              <w:rPr>
                <w:color w:val="auto"/>
                <w:spacing w:val="-1"/>
                <w:w w:val="99"/>
                <w:sz w:val="21"/>
              </w:rPr>
              <w:t>分</w:t>
            </w:r>
            <w:r>
              <w:rPr>
                <w:color w:val="auto"/>
                <w:spacing w:val="2"/>
                <w:w w:val="99"/>
                <w:sz w:val="21"/>
              </w:rPr>
              <w:t>）</w:t>
            </w:r>
            <w:r>
              <w:rPr>
                <w:color w:val="auto"/>
                <w:spacing w:val="-1"/>
                <w:w w:val="99"/>
                <w:sz w:val="21"/>
              </w:rPr>
              <w:t>：在施工工艺、施工方法、材料选用、劳动力安排、技术等方面有保证工期的措施但措施不符合实际。无控制工期的施工进度计划。无施工总进度表或施工网络图，不符合本项目施工实际要求。</w:t>
            </w:r>
          </w:p>
          <w:p w14:paraId="53E99D2F">
            <w:pPr>
              <w:pStyle w:val="22"/>
              <w:numPr>
                <w:ilvl w:val="0"/>
                <w:numId w:val="39"/>
              </w:numPr>
              <w:tabs>
                <w:tab w:val="left" w:pos="636"/>
              </w:tabs>
              <w:spacing w:before="0" w:after="0" w:line="271" w:lineRule="exact"/>
              <w:ind w:left="636" w:right="0" w:hanging="529"/>
              <w:jc w:val="left"/>
              <w:rPr>
                <w:b/>
                <w:color w:val="auto"/>
                <w:sz w:val="21"/>
              </w:rPr>
            </w:pPr>
            <w:r>
              <w:rPr>
                <w:b/>
                <w:color w:val="auto"/>
                <w:spacing w:val="-2"/>
                <w:sz w:val="21"/>
              </w:rPr>
              <w:t>确保文明施工的技术组织措施（</w:t>
            </w:r>
            <w:r>
              <w:rPr>
                <w:b/>
                <w:color w:val="auto"/>
                <w:spacing w:val="-15"/>
                <w:sz w:val="21"/>
              </w:rPr>
              <w:t xml:space="preserve">满分 </w:t>
            </w:r>
            <w:r>
              <w:rPr>
                <w:b/>
                <w:color w:val="auto"/>
                <w:spacing w:val="-2"/>
                <w:sz w:val="21"/>
              </w:rPr>
              <w:t>7</w:t>
            </w:r>
            <w:r>
              <w:rPr>
                <w:b/>
                <w:color w:val="auto"/>
                <w:spacing w:val="-22"/>
                <w:sz w:val="21"/>
              </w:rPr>
              <w:t xml:space="preserve"> 分</w:t>
            </w:r>
            <w:r>
              <w:rPr>
                <w:b/>
                <w:color w:val="auto"/>
                <w:spacing w:val="-10"/>
                <w:sz w:val="21"/>
              </w:rPr>
              <w:t>）</w:t>
            </w:r>
          </w:p>
          <w:p w14:paraId="2F5607C1">
            <w:pPr>
              <w:pStyle w:val="22"/>
              <w:spacing w:before="146" w:line="369" w:lineRule="auto"/>
              <w:ind w:left="107" w:right="97" w:firstLine="420"/>
              <w:jc w:val="both"/>
              <w:rPr>
                <w:color w:val="auto"/>
                <w:sz w:val="21"/>
              </w:rPr>
            </w:pPr>
            <w:r>
              <w:rPr>
                <w:color w:val="auto"/>
                <w:spacing w:val="2"/>
                <w:w w:val="99"/>
                <w:sz w:val="21"/>
              </w:rPr>
              <w:t>一档（</w:t>
            </w:r>
            <w:r>
              <w:rPr>
                <w:color w:val="auto"/>
                <w:w w:val="99"/>
                <w:sz w:val="21"/>
              </w:rPr>
              <w:t>7</w:t>
            </w:r>
            <w:r>
              <w:rPr>
                <w:color w:val="auto"/>
                <w:spacing w:val="-52"/>
                <w:sz w:val="21"/>
              </w:rPr>
              <w:t xml:space="preserve"> </w:t>
            </w:r>
            <w:r>
              <w:rPr>
                <w:color w:val="auto"/>
                <w:spacing w:val="2"/>
                <w:w w:val="99"/>
                <w:sz w:val="21"/>
              </w:rPr>
              <w:t>分）：</w:t>
            </w:r>
            <w:r>
              <w:rPr>
                <w:color w:val="auto"/>
                <w:spacing w:val="1"/>
                <w:w w:val="99"/>
                <w:sz w:val="21"/>
              </w:rPr>
              <w:t>针对本工程项目特点，有现场文明施工、环境</w:t>
            </w:r>
            <w:r>
              <w:rPr>
                <w:color w:val="auto"/>
                <w:spacing w:val="9"/>
                <w:w w:val="99"/>
                <w:sz w:val="21"/>
              </w:rPr>
              <w:t>保护措施，且措施内容达到《建筑施工安全检查标准》</w:t>
            </w:r>
            <w:r>
              <w:rPr>
                <w:color w:val="auto"/>
                <w:spacing w:val="7"/>
                <w:w w:val="99"/>
                <w:sz w:val="21"/>
              </w:rPr>
              <w:t>（</w:t>
            </w:r>
            <w:r>
              <w:rPr>
                <w:rFonts w:ascii="Times New Roman" w:eastAsia="Times New Roman"/>
                <w:color w:val="auto"/>
                <w:w w:val="99"/>
                <w:sz w:val="21"/>
              </w:rPr>
              <w:t>JGJ</w:t>
            </w:r>
            <w:r>
              <w:rPr>
                <w:rFonts w:ascii="Times New Roman" w:eastAsia="Times New Roman"/>
                <w:color w:val="auto"/>
                <w:spacing w:val="1"/>
                <w:w w:val="99"/>
                <w:sz w:val="21"/>
              </w:rPr>
              <w:t>59</w:t>
            </w:r>
            <w:r>
              <w:rPr>
                <w:rFonts w:ascii="Times New Roman" w:eastAsia="Times New Roman"/>
                <w:color w:val="auto"/>
                <w:w w:val="99"/>
                <w:sz w:val="21"/>
              </w:rPr>
              <w:t xml:space="preserve">- </w:t>
            </w:r>
            <w:r>
              <w:rPr>
                <w:rFonts w:ascii="Times New Roman" w:eastAsia="Times New Roman"/>
                <w:color w:val="auto"/>
                <w:spacing w:val="1"/>
                <w:w w:val="99"/>
                <w:sz w:val="21"/>
              </w:rPr>
              <w:t>201</w:t>
            </w:r>
            <w:r>
              <w:rPr>
                <w:rFonts w:ascii="Times New Roman" w:eastAsia="Times New Roman"/>
                <w:color w:val="auto"/>
                <w:spacing w:val="5"/>
                <w:w w:val="99"/>
                <w:sz w:val="21"/>
              </w:rPr>
              <w:t>1</w:t>
            </w:r>
            <w:r>
              <w:rPr>
                <w:color w:val="auto"/>
                <w:spacing w:val="9"/>
                <w:w w:val="99"/>
                <w:sz w:val="21"/>
              </w:rPr>
              <w:t>）</w:t>
            </w:r>
            <w:r>
              <w:rPr>
                <w:color w:val="auto"/>
                <w:spacing w:val="7"/>
                <w:w w:val="99"/>
                <w:sz w:val="21"/>
              </w:rPr>
              <w:t>及其后续修订版本（</w:t>
            </w:r>
            <w:r>
              <w:rPr>
                <w:color w:val="auto"/>
                <w:spacing w:val="8"/>
                <w:w w:val="99"/>
                <w:sz w:val="21"/>
              </w:rPr>
              <w:t>如适用</w:t>
            </w:r>
            <w:r>
              <w:rPr>
                <w:color w:val="auto"/>
                <w:spacing w:val="7"/>
                <w:w w:val="99"/>
                <w:sz w:val="21"/>
              </w:rPr>
              <w:t>）</w:t>
            </w:r>
            <w:r>
              <w:rPr>
                <w:color w:val="auto"/>
                <w:spacing w:val="5"/>
                <w:w w:val="99"/>
                <w:sz w:val="21"/>
              </w:rPr>
              <w:t>或现行有效版本合格标准并</w:t>
            </w:r>
            <w:r>
              <w:rPr>
                <w:color w:val="auto"/>
                <w:spacing w:val="6"/>
                <w:w w:val="99"/>
                <w:sz w:val="21"/>
              </w:rPr>
              <w:t>符合《广西壮族自治区建筑工程文明施工导则》要求。各项措施</w:t>
            </w:r>
            <w:r>
              <w:rPr>
                <w:color w:val="auto"/>
                <w:spacing w:val="-1"/>
                <w:w w:val="99"/>
                <w:sz w:val="21"/>
              </w:rPr>
              <w:t>具体有效。有具体实现现场文明施工目标的承诺。</w:t>
            </w:r>
          </w:p>
          <w:p w14:paraId="2FD4F3C0">
            <w:pPr>
              <w:pStyle w:val="22"/>
              <w:spacing w:line="369" w:lineRule="auto"/>
              <w:ind w:left="107" w:right="97" w:firstLine="420"/>
              <w:jc w:val="both"/>
              <w:rPr>
                <w:color w:val="auto"/>
                <w:sz w:val="21"/>
              </w:rPr>
            </w:pPr>
            <w:r>
              <w:rPr>
                <w:color w:val="auto"/>
                <w:spacing w:val="2"/>
                <w:w w:val="99"/>
                <w:sz w:val="21"/>
              </w:rPr>
              <w:t>二档（</w:t>
            </w:r>
            <w:r>
              <w:rPr>
                <w:color w:val="auto"/>
                <w:w w:val="99"/>
                <w:sz w:val="21"/>
              </w:rPr>
              <w:t>5</w:t>
            </w:r>
            <w:r>
              <w:rPr>
                <w:color w:val="auto"/>
                <w:spacing w:val="-52"/>
                <w:sz w:val="21"/>
              </w:rPr>
              <w:t xml:space="preserve"> </w:t>
            </w:r>
            <w:r>
              <w:rPr>
                <w:color w:val="auto"/>
                <w:spacing w:val="2"/>
                <w:w w:val="99"/>
                <w:sz w:val="21"/>
              </w:rPr>
              <w:t>分）：</w:t>
            </w:r>
            <w:r>
              <w:rPr>
                <w:color w:val="auto"/>
                <w:spacing w:val="1"/>
                <w:w w:val="99"/>
                <w:sz w:val="21"/>
              </w:rPr>
              <w:t>针对本工程项目特点，有现场文明施工、环境</w:t>
            </w:r>
            <w:r>
              <w:rPr>
                <w:color w:val="auto"/>
                <w:spacing w:val="9"/>
                <w:w w:val="99"/>
                <w:sz w:val="21"/>
              </w:rPr>
              <w:t>保护措施，且措施内容达到《建筑施工安全检查标准》</w:t>
            </w:r>
            <w:r>
              <w:rPr>
                <w:color w:val="auto"/>
                <w:spacing w:val="7"/>
                <w:w w:val="99"/>
                <w:sz w:val="21"/>
              </w:rPr>
              <w:t>（</w:t>
            </w:r>
            <w:r>
              <w:rPr>
                <w:rFonts w:ascii="Times New Roman" w:eastAsia="Times New Roman"/>
                <w:color w:val="auto"/>
                <w:w w:val="99"/>
                <w:sz w:val="21"/>
              </w:rPr>
              <w:t>JGJ</w:t>
            </w:r>
            <w:r>
              <w:rPr>
                <w:rFonts w:ascii="Times New Roman" w:eastAsia="Times New Roman"/>
                <w:color w:val="auto"/>
                <w:spacing w:val="1"/>
                <w:w w:val="99"/>
                <w:sz w:val="21"/>
              </w:rPr>
              <w:t>59</w:t>
            </w:r>
            <w:r>
              <w:rPr>
                <w:rFonts w:ascii="Times New Roman" w:eastAsia="Times New Roman"/>
                <w:color w:val="auto"/>
                <w:w w:val="99"/>
                <w:sz w:val="21"/>
              </w:rPr>
              <w:t xml:space="preserve">- </w:t>
            </w:r>
            <w:r>
              <w:rPr>
                <w:rFonts w:ascii="Times New Roman" w:eastAsia="Times New Roman"/>
                <w:color w:val="auto"/>
                <w:spacing w:val="1"/>
                <w:w w:val="99"/>
                <w:sz w:val="21"/>
              </w:rPr>
              <w:t>201</w:t>
            </w:r>
            <w:r>
              <w:rPr>
                <w:rFonts w:ascii="Times New Roman" w:eastAsia="Times New Roman"/>
                <w:color w:val="auto"/>
                <w:spacing w:val="5"/>
                <w:w w:val="99"/>
                <w:sz w:val="21"/>
              </w:rPr>
              <w:t>1</w:t>
            </w:r>
            <w:r>
              <w:rPr>
                <w:color w:val="auto"/>
                <w:spacing w:val="9"/>
                <w:w w:val="99"/>
                <w:sz w:val="21"/>
              </w:rPr>
              <w:t>）</w:t>
            </w:r>
            <w:r>
              <w:rPr>
                <w:color w:val="auto"/>
                <w:spacing w:val="7"/>
                <w:w w:val="99"/>
                <w:sz w:val="21"/>
              </w:rPr>
              <w:t>及其后续修订版本（</w:t>
            </w:r>
            <w:r>
              <w:rPr>
                <w:color w:val="auto"/>
                <w:spacing w:val="8"/>
                <w:w w:val="99"/>
                <w:sz w:val="21"/>
              </w:rPr>
              <w:t>如适用</w:t>
            </w:r>
            <w:r>
              <w:rPr>
                <w:color w:val="auto"/>
                <w:spacing w:val="7"/>
                <w:w w:val="99"/>
                <w:sz w:val="21"/>
              </w:rPr>
              <w:t>）</w:t>
            </w:r>
            <w:r>
              <w:rPr>
                <w:color w:val="auto"/>
                <w:spacing w:val="5"/>
                <w:w w:val="99"/>
                <w:sz w:val="21"/>
              </w:rPr>
              <w:t>或现行有效版本合格标准并</w:t>
            </w:r>
            <w:r>
              <w:rPr>
                <w:color w:val="auto"/>
                <w:spacing w:val="6"/>
                <w:w w:val="99"/>
                <w:sz w:val="21"/>
              </w:rPr>
              <w:t>符合《广西壮族自治区建筑工程文明施工导则》要求。各项措施</w:t>
            </w:r>
            <w:r>
              <w:rPr>
                <w:color w:val="auto"/>
                <w:spacing w:val="-1"/>
                <w:w w:val="99"/>
                <w:sz w:val="21"/>
              </w:rPr>
              <w:t>较具体有效。有具体实现现场文明施工目标的承诺。</w:t>
            </w:r>
          </w:p>
          <w:p w14:paraId="019C7A76">
            <w:pPr>
              <w:pStyle w:val="22"/>
              <w:spacing w:line="369" w:lineRule="auto"/>
              <w:ind w:left="107" w:right="97" w:firstLine="420"/>
              <w:jc w:val="both"/>
              <w:rPr>
                <w:color w:val="auto"/>
                <w:sz w:val="21"/>
              </w:rPr>
            </w:pPr>
            <w:r>
              <w:rPr>
                <w:color w:val="auto"/>
                <w:spacing w:val="-2"/>
                <w:sz w:val="21"/>
              </w:rPr>
              <w:t>三档（3</w:t>
            </w:r>
            <w:r>
              <w:rPr>
                <w:color w:val="auto"/>
                <w:spacing w:val="-5"/>
                <w:sz w:val="21"/>
              </w:rPr>
              <w:t xml:space="preserve"> 分</w:t>
            </w:r>
            <w:r>
              <w:rPr>
                <w:color w:val="auto"/>
                <w:spacing w:val="-2"/>
                <w:sz w:val="21"/>
              </w:rPr>
              <w:t>）：针对本工程项目特点，有现场文明施工、环境</w:t>
            </w:r>
            <w:r>
              <w:rPr>
                <w:color w:val="auto"/>
                <w:spacing w:val="10"/>
                <w:sz w:val="21"/>
              </w:rPr>
              <w:t>保护措施， 且措施内容基本达到《建筑施工安全检查标准》</w:t>
            </w:r>
          </w:p>
          <w:p w14:paraId="0675C08F">
            <w:pPr>
              <w:pStyle w:val="22"/>
              <w:spacing w:line="369" w:lineRule="auto"/>
              <w:ind w:left="107" w:right="97"/>
              <w:jc w:val="both"/>
              <w:rPr>
                <w:color w:val="auto"/>
                <w:sz w:val="21"/>
              </w:rPr>
            </w:pPr>
            <w:r>
              <w:rPr>
                <w:color w:val="auto"/>
                <w:spacing w:val="-2"/>
                <w:sz w:val="21"/>
              </w:rPr>
              <w:t>（</w:t>
            </w:r>
            <w:r>
              <w:rPr>
                <w:rFonts w:ascii="Times New Roman" w:eastAsia="Times New Roman"/>
                <w:color w:val="auto"/>
                <w:spacing w:val="-2"/>
                <w:sz w:val="21"/>
              </w:rPr>
              <w:t>JGJ59-2011</w:t>
            </w:r>
            <w:r>
              <w:rPr>
                <w:color w:val="auto"/>
                <w:spacing w:val="-2"/>
                <w:sz w:val="21"/>
              </w:rPr>
              <w:t>）及其后续修订版本（如适用）或现行有效版本合格</w:t>
            </w:r>
            <w:r>
              <w:rPr>
                <w:color w:val="auto"/>
                <w:spacing w:val="11"/>
                <w:sz w:val="21"/>
              </w:rPr>
              <w:t>标准并基本符合《广西壮族自治区建筑工程文明施工导则》要</w:t>
            </w:r>
            <w:r>
              <w:rPr>
                <w:color w:val="auto"/>
                <w:spacing w:val="-2"/>
                <w:sz w:val="21"/>
              </w:rPr>
              <w:t>求。各项措施基本有效。有具体实现现场文明施工目标的承诺。</w:t>
            </w:r>
          </w:p>
          <w:p w14:paraId="2C48BD61">
            <w:pPr>
              <w:pStyle w:val="22"/>
              <w:spacing w:line="369" w:lineRule="auto"/>
              <w:ind w:left="107" w:right="234" w:firstLine="314"/>
              <w:jc w:val="both"/>
              <w:rPr>
                <w:color w:val="auto"/>
                <w:sz w:val="21"/>
              </w:rPr>
            </w:pPr>
            <w:r>
              <w:rPr>
                <w:color w:val="auto"/>
                <w:spacing w:val="-2"/>
                <w:sz w:val="21"/>
              </w:rPr>
              <w:t>四档（0</w:t>
            </w:r>
            <w:r>
              <w:rPr>
                <w:color w:val="auto"/>
                <w:spacing w:val="-14"/>
                <w:sz w:val="21"/>
              </w:rPr>
              <w:t xml:space="preserve"> 分</w:t>
            </w:r>
            <w:r>
              <w:rPr>
                <w:color w:val="auto"/>
                <w:spacing w:val="-2"/>
                <w:sz w:val="21"/>
              </w:rPr>
              <w:t>）：针对本工程项目特点，应有现场文明施工、环境保护措施，且措施内容应达到《建筑施工安全检查标准》</w:t>
            </w:r>
          </w:p>
          <w:p w14:paraId="4B057BF1">
            <w:pPr>
              <w:pStyle w:val="22"/>
              <w:spacing w:line="369" w:lineRule="auto"/>
              <w:ind w:left="107" w:right="111"/>
              <w:rPr>
                <w:color w:val="auto"/>
                <w:sz w:val="21"/>
              </w:rPr>
            </w:pPr>
            <w:r>
              <w:rPr>
                <w:color w:val="auto"/>
                <w:spacing w:val="2"/>
                <w:w w:val="99"/>
                <w:sz w:val="21"/>
              </w:rPr>
              <w:t>（</w:t>
            </w:r>
            <w:r>
              <w:rPr>
                <w:rFonts w:ascii="Times New Roman" w:eastAsia="Times New Roman"/>
                <w:color w:val="auto"/>
                <w:w w:val="99"/>
                <w:sz w:val="21"/>
              </w:rPr>
              <w:t>JGJ</w:t>
            </w:r>
            <w:r>
              <w:rPr>
                <w:rFonts w:ascii="Times New Roman" w:eastAsia="Times New Roman"/>
                <w:color w:val="auto"/>
                <w:spacing w:val="1"/>
                <w:w w:val="99"/>
                <w:sz w:val="21"/>
              </w:rPr>
              <w:t>59</w:t>
            </w:r>
            <w:r>
              <w:rPr>
                <w:rFonts w:ascii="Times New Roman" w:eastAsia="Times New Roman"/>
                <w:color w:val="auto"/>
                <w:spacing w:val="-3"/>
                <w:w w:val="99"/>
                <w:sz w:val="21"/>
              </w:rPr>
              <w:t>-</w:t>
            </w:r>
            <w:r>
              <w:rPr>
                <w:rFonts w:ascii="Times New Roman" w:eastAsia="Times New Roman"/>
                <w:color w:val="auto"/>
                <w:spacing w:val="1"/>
                <w:w w:val="99"/>
                <w:sz w:val="21"/>
              </w:rPr>
              <w:t>2011</w:t>
            </w:r>
            <w:r>
              <w:rPr>
                <w:color w:val="auto"/>
                <w:spacing w:val="-1"/>
                <w:w w:val="99"/>
                <w:sz w:val="21"/>
              </w:rPr>
              <w:t>）及其后续修订版本</w:t>
            </w:r>
            <w:r>
              <w:rPr>
                <w:color w:val="auto"/>
                <w:spacing w:val="2"/>
                <w:w w:val="99"/>
                <w:sz w:val="21"/>
              </w:rPr>
              <w:t>（</w:t>
            </w:r>
            <w:r>
              <w:rPr>
                <w:color w:val="auto"/>
                <w:spacing w:val="-1"/>
                <w:w w:val="99"/>
                <w:sz w:val="21"/>
              </w:rPr>
              <w:t>如适用</w:t>
            </w:r>
            <w:r>
              <w:rPr>
                <w:color w:val="auto"/>
                <w:spacing w:val="2"/>
                <w:w w:val="99"/>
                <w:sz w:val="21"/>
              </w:rPr>
              <w:t>）</w:t>
            </w:r>
            <w:r>
              <w:rPr>
                <w:color w:val="auto"/>
                <w:spacing w:val="-1"/>
                <w:w w:val="99"/>
                <w:sz w:val="21"/>
              </w:rPr>
              <w:t>或现行有效版本合格标准并符合《广西壮族自治区建筑工程文明施工导则》要求。各项措施不合理。无具体实现现场文明施工目标的承诺。</w:t>
            </w:r>
          </w:p>
          <w:p w14:paraId="05D716B9">
            <w:pPr>
              <w:pStyle w:val="22"/>
              <w:numPr>
                <w:ilvl w:val="0"/>
                <w:numId w:val="39"/>
              </w:numPr>
              <w:tabs>
                <w:tab w:val="left" w:pos="636"/>
              </w:tabs>
              <w:spacing w:before="0" w:after="0" w:line="272" w:lineRule="exact"/>
              <w:ind w:left="636" w:right="0" w:hanging="529"/>
              <w:jc w:val="left"/>
              <w:rPr>
                <w:b/>
                <w:color w:val="auto"/>
                <w:sz w:val="21"/>
              </w:rPr>
            </w:pPr>
            <w:r>
              <w:rPr>
                <w:b/>
                <w:color w:val="auto"/>
                <w:spacing w:val="-2"/>
                <w:sz w:val="21"/>
              </w:rPr>
              <w:t>工程施工的重点和难点及保证措施（</w:t>
            </w:r>
            <w:r>
              <w:rPr>
                <w:b/>
                <w:color w:val="auto"/>
                <w:spacing w:val="-15"/>
                <w:sz w:val="21"/>
              </w:rPr>
              <w:t xml:space="preserve">满分 </w:t>
            </w:r>
            <w:r>
              <w:rPr>
                <w:b/>
                <w:color w:val="auto"/>
                <w:spacing w:val="-2"/>
                <w:sz w:val="21"/>
              </w:rPr>
              <w:t>8</w:t>
            </w:r>
            <w:r>
              <w:rPr>
                <w:b/>
                <w:color w:val="auto"/>
                <w:spacing w:val="-21"/>
                <w:sz w:val="21"/>
              </w:rPr>
              <w:t xml:space="preserve"> 分</w:t>
            </w:r>
            <w:r>
              <w:rPr>
                <w:b/>
                <w:color w:val="auto"/>
                <w:spacing w:val="-10"/>
                <w:sz w:val="21"/>
              </w:rPr>
              <w:t>）</w:t>
            </w:r>
          </w:p>
          <w:p w14:paraId="268BAB10">
            <w:pPr>
              <w:pStyle w:val="22"/>
              <w:spacing w:before="140" w:line="369" w:lineRule="auto"/>
              <w:ind w:left="107" w:right="97" w:firstLine="420"/>
              <w:jc w:val="both"/>
              <w:rPr>
                <w:color w:val="auto"/>
                <w:sz w:val="21"/>
              </w:rPr>
            </w:pPr>
            <w:r>
              <w:rPr>
                <w:color w:val="auto"/>
                <w:spacing w:val="2"/>
                <w:w w:val="99"/>
                <w:sz w:val="21"/>
              </w:rPr>
              <w:t>一档（</w:t>
            </w:r>
            <w:r>
              <w:rPr>
                <w:color w:val="auto"/>
                <w:w w:val="99"/>
                <w:sz w:val="21"/>
              </w:rPr>
              <w:t>8</w:t>
            </w:r>
            <w:r>
              <w:rPr>
                <w:color w:val="auto"/>
                <w:spacing w:val="-52"/>
                <w:sz w:val="21"/>
              </w:rPr>
              <w:t xml:space="preserve"> </w:t>
            </w:r>
            <w:r>
              <w:rPr>
                <w:color w:val="auto"/>
                <w:spacing w:val="2"/>
                <w:w w:val="99"/>
                <w:sz w:val="21"/>
              </w:rPr>
              <w:t>分）：</w:t>
            </w:r>
            <w:r>
              <w:rPr>
                <w:color w:val="auto"/>
                <w:spacing w:val="1"/>
                <w:w w:val="99"/>
                <w:sz w:val="21"/>
              </w:rPr>
              <w:t>对工程施工的重点和难点理解全面、透彻，解</w:t>
            </w:r>
            <w:r>
              <w:rPr>
                <w:color w:val="auto"/>
                <w:spacing w:val="6"/>
                <w:w w:val="99"/>
                <w:sz w:val="21"/>
              </w:rPr>
              <w:t>决重点和难点问题的方法及措施可行性、实用性、针对性强，应</w:t>
            </w:r>
            <w:r>
              <w:rPr>
                <w:color w:val="auto"/>
                <w:spacing w:val="-1"/>
                <w:w w:val="99"/>
                <w:sz w:val="21"/>
              </w:rPr>
              <w:t>对方案思路清晰、内容丰富且完全满足项目的需求。</w:t>
            </w:r>
          </w:p>
          <w:p w14:paraId="3964BE6C">
            <w:pPr>
              <w:pStyle w:val="22"/>
              <w:spacing w:line="272" w:lineRule="exact"/>
              <w:ind w:left="527"/>
              <w:jc w:val="both"/>
              <w:rPr>
                <w:color w:val="auto"/>
                <w:sz w:val="21"/>
              </w:rPr>
            </w:pPr>
            <w:r>
              <w:rPr>
                <w:color w:val="auto"/>
                <w:spacing w:val="-2"/>
                <w:sz w:val="21"/>
              </w:rPr>
              <w:t>二档（5</w:t>
            </w:r>
            <w:r>
              <w:rPr>
                <w:color w:val="auto"/>
                <w:spacing w:val="-4"/>
                <w:sz w:val="21"/>
              </w:rPr>
              <w:t xml:space="preserve"> 分</w:t>
            </w:r>
            <w:r>
              <w:rPr>
                <w:color w:val="auto"/>
                <w:spacing w:val="-2"/>
                <w:sz w:val="21"/>
              </w:rPr>
              <w:t>）：</w:t>
            </w:r>
            <w:r>
              <w:rPr>
                <w:color w:val="auto"/>
                <w:spacing w:val="-3"/>
                <w:sz w:val="21"/>
              </w:rPr>
              <w:t>有对工程施工的重点和难点理解，解决重点和</w:t>
            </w:r>
          </w:p>
          <w:p w14:paraId="54F83898">
            <w:pPr>
              <w:pStyle w:val="22"/>
              <w:spacing w:before="147"/>
              <w:ind w:left="107"/>
              <w:rPr>
                <w:color w:val="auto"/>
                <w:sz w:val="21"/>
              </w:rPr>
            </w:pPr>
            <w:r>
              <w:rPr>
                <w:color w:val="auto"/>
                <w:spacing w:val="-1"/>
                <w:sz w:val="21"/>
              </w:rPr>
              <w:t>难点问题的方法及措施具有可行性、实用性、针对性，应对方案</w:t>
            </w:r>
          </w:p>
        </w:tc>
        <w:tc>
          <w:tcPr>
            <w:tcW w:w="851" w:type="dxa"/>
          </w:tcPr>
          <w:p w14:paraId="2AADC689">
            <w:pPr>
              <w:pStyle w:val="22"/>
              <w:rPr>
                <w:rFonts w:ascii="Times New Roman"/>
                <w:color w:val="auto"/>
                <w:sz w:val="20"/>
              </w:rPr>
            </w:pPr>
          </w:p>
        </w:tc>
      </w:tr>
    </w:tbl>
    <w:p w14:paraId="0E522A6C">
      <w:pPr>
        <w:spacing w:after="0"/>
        <w:rPr>
          <w:rFonts w:ascii="Times New Roman"/>
          <w:color w:val="auto"/>
          <w:sz w:val="20"/>
        </w:rPr>
        <w:sectPr>
          <w:type w:val="continuous"/>
          <w:pgSz w:w="11910" w:h="16840"/>
          <w:pgMar w:top="1400" w:right="740" w:bottom="1180" w:left="800" w:header="0" w:footer="989" w:gutter="0"/>
          <w:cols w:space="720" w:num="1"/>
        </w:sectPr>
      </w:pPr>
    </w:p>
    <w:tbl>
      <w:tblPr>
        <w:tblStyle w:val="16"/>
        <w:tblW w:w="0" w:type="auto"/>
        <w:tblInd w:w="57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6"/>
        <w:gridCol w:w="1314"/>
        <w:gridCol w:w="6284"/>
        <w:gridCol w:w="851"/>
      </w:tblGrid>
      <w:tr w14:paraId="59C48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720" w:hRule="atLeast"/>
        </w:trPr>
        <w:tc>
          <w:tcPr>
            <w:tcW w:w="776" w:type="dxa"/>
          </w:tcPr>
          <w:p w14:paraId="2F2D230B">
            <w:pPr>
              <w:pStyle w:val="22"/>
              <w:rPr>
                <w:rFonts w:ascii="Times New Roman"/>
                <w:color w:val="auto"/>
                <w:sz w:val="20"/>
              </w:rPr>
            </w:pPr>
          </w:p>
        </w:tc>
        <w:tc>
          <w:tcPr>
            <w:tcW w:w="1314" w:type="dxa"/>
          </w:tcPr>
          <w:p w14:paraId="1F8B476C">
            <w:pPr>
              <w:pStyle w:val="22"/>
              <w:rPr>
                <w:rFonts w:ascii="Times New Roman"/>
                <w:color w:val="auto"/>
                <w:sz w:val="20"/>
              </w:rPr>
            </w:pPr>
          </w:p>
        </w:tc>
        <w:tc>
          <w:tcPr>
            <w:tcW w:w="6284" w:type="dxa"/>
          </w:tcPr>
          <w:p w14:paraId="3001E9A9">
            <w:pPr>
              <w:pStyle w:val="22"/>
              <w:spacing w:before="123"/>
              <w:ind w:left="107"/>
              <w:rPr>
                <w:color w:val="auto"/>
                <w:sz w:val="21"/>
              </w:rPr>
            </w:pPr>
            <w:r>
              <w:rPr>
                <w:color w:val="auto"/>
                <w:spacing w:val="-4"/>
                <w:sz w:val="21"/>
              </w:rPr>
              <w:t>能满足项目需求。</w:t>
            </w:r>
          </w:p>
          <w:p w14:paraId="581DDF48">
            <w:pPr>
              <w:pStyle w:val="22"/>
              <w:spacing w:before="147" w:line="369" w:lineRule="auto"/>
              <w:ind w:left="107" w:right="97" w:firstLine="420"/>
              <w:jc w:val="both"/>
              <w:rPr>
                <w:color w:val="auto"/>
                <w:sz w:val="21"/>
              </w:rPr>
            </w:pPr>
            <w:r>
              <w:rPr>
                <w:color w:val="auto"/>
                <w:spacing w:val="2"/>
                <w:w w:val="99"/>
                <w:sz w:val="21"/>
              </w:rPr>
              <w:t>三档（</w:t>
            </w:r>
            <w:r>
              <w:rPr>
                <w:color w:val="auto"/>
                <w:w w:val="99"/>
                <w:sz w:val="21"/>
              </w:rPr>
              <w:t>3</w:t>
            </w:r>
            <w:r>
              <w:rPr>
                <w:color w:val="auto"/>
                <w:spacing w:val="-52"/>
                <w:sz w:val="21"/>
              </w:rPr>
              <w:t xml:space="preserve"> </w:t>
            </w:r>
            <w:r>
              <w:rPr>
                <w:color w:val="auto"/>
                <w:spacing w:val="2"/>
                <w:w w:val="99"/>
                <w:sz w:val="21"/>
              </w:rPr>
              <w:t>分）：</w:t>
            </w:r>
            <w:r>
              <w:rPr>
                <w:color w:val="auto"/>
                <w:spacing w:val="1"/>
                <w:w w:val="99"/>
                <w:sz w:val="21"/>
              </w:rPr>
              <w:t>有对工程施工的重点和难点理解，解决重点和</w:t>
            </w:r>
            <w:r>
              <w:rPr>
                <w:color w:val="auto"/>
                <w:spacing w:val="6"/>
                <w:w w:val="99"/>
                <w:sz w:val="21"/>
              </w:rPr>
              <w:t>难点问题的方法及措施可行性、实用性和针对性强有待改善，应</w:t>
            </w:r>
            <w:r>
              <w:rPr>
                <w:color w:val="auto"/>
                <w:spacing w:val="-1"/>
                <w:w w:val="99"/>
                <w:sz w:val="21"/>
              </w:rPr>
              <w:t>对方案基本能满足项目需求。</w:t>
            </w:r>
          </w:p>
          <w:p w14:paraId="5F5DEDDA">
            <w:pPr>
              <w:pStyle w:val="22"/>
              <w:spacing w:line="369" w:lineRule="auto"/>
              <w:ind w:left="107" w:right="128" w:firstLine="420"/>
              <w:rPr>
                <w:color w:val="auto"/>
                <w:sz w:val="21"/>
              </w:rPr>
            </w:pPr>
            <w:r>
              <w:rPr>
                <w:color w:val="auto"/>
                <w:w w:val="99"/>
                <w:sz w:val="21"/>
              </w:rPr>
              <w:t>四档</w:t>
            </w:r>
            <w:r>
              <w:rPr>
                <w:color w:val="auto"/>
                <w:spacing w:val="2"/>
                <w:w w:val="99"/>
                <w:sz w:val="21"/>
              </w:rPr>
              <w:t>（</w:t>
            </w:r>
            <w:r>
              <w:rPr>
                <w:color w:val="auto"/>
                <w:w w:val="99"/>
                <w:sz w:val="21"/>
              </w:rPr>
              <w:t>0</w:t>
            </w:r>
            <w:r>
              <w:rPr>
                <w:color w:val="auto"/>
                <w:spacing w:val="-54"/>
                <w:sz w:val="21"/>
              </w:rPr>
              <w:t xml:space="preserve"> </w:t>
            </w:r>
            <w:r>
              <w:rPr>
                <w:color w:val="auto"/>
                <w:spacing w:val="-1"/>
                <w:w w:val="99"/>
                <w:sz w:val="21"/>
              </w:rPr>
              <w:t>分</w:t>
            </w:r>
            <w:r>
              <w:rPr>
                <w:color w:val="auto"/>
                <w:spacing w:val="2"/>
                <w:w w:val="99"/>
                <w:sz w:val="21"/>
              </w:rPr>
              <w:t>）</w:t>
            </w:r>
            <w:r>
              <w:rPr>
                <w:color w:val="auto"/>
                <w:spacing w:val="-1"/>
                <w:w w:val="99"/>
                <w:sz w:val="21"/>
              </w:rPr>
              <w:t>：对工程施工的重点和难点理解不准确，解决重点和难点问题的方法及措施可行性、实用性和针对性不强，应对方案不能满足项目需求。</w:t>
            </w:r>
          </w:p>
          <w:p w14:paraId="6636B7D7">
            <w:pPr>
              <w:pStyle w:val="22"/>
              <w:spacing w:line="272" w:lineRule="exact"/>
              <w:ind w:left="107"/>
              <w:rPr>
                <w:b/>
                <w:color w:val="auto"/>
                <w:sz w:val="21"/>
              </w:rPr>
            </w:pPr>
            <w:r>
              <w:rPr>
                <w:b/>
                <w:color w:val="auto"/>
                <w:sz w:val="21"/>
              </w:rPr>
              <w:t>（9）施工总平面布置图（</w:t>
            </w:r>
            <w:r>
              <w:rPr>
                <w:b/>
                <w:color w:val="auto"/>
                <w:spacing w:val="-17"/>
                <w:sz w:val="21"/>
              </w:rPr>
              <w:t xml:space="preserve">满分 </w:t>
            </w:r>
            <w:r>
              <w:rPr>
                <w:rFonts w:ascii="Times New Roman" w:eastAsia="Times New Roman"/>
                <w:b/>
                <w:color w:val="auto"/>
                <w:sz w:val="21"/>
              </w:rPr>
              <w:t>7</w:t>
            </w:r>
            <w:r>
              <w:rPr>
                <w:rFonts w:ascii="Times New Roman" w:eastAsia="Times New Roman"/>
                <w:b/>
                <w:color w:val="auto"/>
                <w:spacing w:val="-10"/>
                <w:sz w:val="21"/>
              </w:rPr>
              <w:t xml:space="preserve"> </w:t>
            </w:r>
            <w:r>
              <w:rPr>
                <w:b/>
                <w:color w:val="auto"/>
                <w:sz w:val="21"/>
              </w:rPr>
              <w:t>分</w:t>
            </w:r>
            <w:r>
              <w:rPr>
                <w:b/>
                <w:color w:val="auto"/>
                <w:spacing w:val="-10"/>
                <w:sz w:val="21"/>
              </w:rPr>
              <w:t>）</w:t>
            </w:r>
          </w:p>
          <w:p w14:paraId="010A23FD">
            <w:pPr>
              <w:pStyle w:val="22"/>
              <w:spacing w:before="145" w:line="369" w:lineRule="auto"/>
              <w:ind w:left="107" w:right="97" w:firstLine="420"/>
              <w:rPr>
                <w:color w:val="auto"/>
                <w:sz w:val="21"/>
              </w:rPr>
            </w:pPr>
            <w:r>
              <w:rPr>
                <w:color w:val="auto"/>
                <w:sz w:val="21"/>
              </w:rPr>
              <w:t>一档（7</w:t>
            </w:r>
            <w:r>
              <w:rPr>
                <w:color w:val="auto"/>
                <w:spacing w:val="-26"/>
                <w:sz w:val="21"/>
              </w:rPr>
              <w:t xml:space="preserve"> 分</w:t>
            </w:r>
            <w:r>
              <w:rPr>
                <w:color w:val="auto"/>
                <w:sz w:val="21"/>
              </w:rPr>
              <w:t>）：有施工总平面布置图，可行性、实用性和针对</w:t>
            </w:r>
            <w:r>
              <w:rPr>
                <w:color w:val="auto"/>
                <w:spacing w:val="-2"/>
                <w:sz w:val="21"/>
              </w:rPr>
              <w:t>性强，完全符合本项目施工实际要求。</w:t>
            </w:r>
          </w:p>
          <w:p w14:paraId="0EBB95ED">
            <w:pPr>
              <w:pStyle w:val="22"/>
              <w:spacing w:line="369" w:lineRule="auto"/>
              <w:ind w:left="107" w:right="97" w:firstLine="420"/>
              <w:rPr>
                <w:color w:val="auto"/>
                <w:sz w:val="21"/>
              </w:rPr>
            </w:pPr>
            <w:r>
              <w:rPr>
                <w:color w:val="auto"/>
                <w:sz w:val="21"/>
              </w:rPr>
              <w:t>二档（5</w:t>
            </w:r>
            <w:r>
              <w:rPr>
                <w:color w:val="auto"/>
                <w:spacing w:val="-26"/>
                <w:sz w:val="21"/>
              </w:rPr>
              <w:t xml:space="preserve"> 分</w:t>
            </w:r>
            <w:r>
              <w:rPr>
                <w:color w:val="auto"/>
                <w:sz w:val="21"/>
              </w:rPr>
              <w:t>）：有施工总平面布置图，具有可行性、实用性和</w:t>
            </w:r>
            <w:r>
              <w:rPr>
                <w:color w:val="auto"/>
                <w:spacing w:val="-2"/>
                <w:sz w:val="21"/>
              </w:rPr>
              <w:t>针对性，符合本项目施工实际要求。</w:t>
            </w:r>
          </w:p>
          <w:p w14:paraId="7CCD7E77">
            <w:pPr>
              <w:pStyle w:val="22"/>
              <w:spacing w:line="369" w:lineRule="auto"/>
              <w:ind w:left="107" w:right="97" w:firstLine="420"/>
              <w:rPr>
                <w:color w:val="auto"/>
                <w:sz w:val="21"/>
              </w:rPr>
            </w:pPr>
            <w:r>
              <w:rPr>
                <w:color w:val="auto"/>
                <w:sz w:val="21"/>
              </w:rPr>
              <w:t>三档（3</w:t>
            </w:r>
            <w:r>
              <w:rPr>
                <w:color w:val="auto"/>
                <w:spacing w:val="-26"/>
                <w:sz w:val="21"/>
              </w:rPr>
              <w:t xml:space="preserve"> 分</w:t>
            </w:r>
            <w:r>
              <w:rPr>
                <w:color w:val="auto"/>
                <w:sz w:val="21"/>
              </w:rPr>
              <w:t>）：有施工总平面布置图，可行性、实用性和针对</w:t>
            </w:r>
            <w:r>
              <w:rPr>
                <w:color w:val="auto"/>
                <w:spacing w:val="-2"/>
                <w:sz w:val="21"/>
              </w:rPr>
              <w:t>性有待改善，基本符合本项目施工实际要求。</w:t>
            </w:r>
          </w:p>
          <w:p w14:paraId="1C780D8A">
            <w:pPr>
              <w:pStyle w:val="22"/>
              <w:spacing w:line="272" w:lineRule="exact"/>
              <w:ind w:left="527"/>
              <w:rPr>
                <w:color w:val="auto"/>
                <w:sz w:val="21"/>
              </w:rPr>
            </w:pPr>
            <w:r>
              <w:rPr>
                <w:color w:val="auto"/>
                <w:spacing w:val="-2"/>
                <w:sz w:val="21"/>
              </w:rPr>
              <w:t>四档（0</w:t>
            </w:r>
            <w:r>
              <w:rPr>
                <w:color w:val="auto"/>
                <w:spacing w:val="-4"/>
                <w:sz w:val="21"/>
              </w:rPr>
              <w:t xml:space="preserve"> 分</w:t>
            </w:r>
            <w:r>
              <w:rPr>
                <w:color w:val="auto"/>
                <w:spacing w:val="-2"/>
                <w:sz w:val="21"/>
              </w:rPr>
              <w:t>）：</w:t>
            </w:r>
            <w:r>
              <w:rPr>
                <w:color w:val="auto"/>
                <w:spacing w:val="-3"/>
                <w:sz w:val="21"/>
              </w:rPr>
              <w:t>有施工总平面布置图，但可行性、实用性和针</w:t>
            </w:r>
          </w:p>
          <w:p w14:paraId="6022F214">
            <w:pPr>
              <w:pStyle w:val="22"/>
              <w:spacing w:before="146"/>
              <w:ind w:left="107"/>
              <w:rPr>
                <w:color w:val="auto"/>
                <w:sz w:val="21"/>
              </w:rPr>
            </w:pPr>
            <w:r>
              <w:rPr>
                <w:color w:val="auto"/>
                <w:spacing w:val="-3"/>
                <w:sz w:val="21"/>
              </w:rPr>
              <w:t>对性差，不符合本项目施工实际要求。</w:t>
            </w:r>
          </w:p>
        </w:tc>
        <w:tc>
          <w:tcPr>
            <w:tcW w:w="851" w:type="dxa"/>
          </w:tcPr>
          <w:p w14:paraId="54AF7312">
            <w:pPr>
              <w:pStyle w:val="22"/>
              <w:rPr>
                <w:rFonts w:ascii="Times New Roman"/>
                <w:color w:val="auto"/>
                <w:sz w:val="20"/>
              </w:rPr>
            </w:pPr>
          </w:p>
        </w:tc>
      </w:tr>
      <w:tr w14:paraId="1E142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776" w:type="dxa"/>
          </w:tcPr>
          <w:p w14:paraId="342ECF0C">
            <w:pPr>
              <w:pStyle w:val="22"/>
              <w:spacing w:before="122"/>
              <w:ind w:left="8"/>
              <w:jc w:val="center"/>
              <w:rPr>
                <w:b/>
                <w:color w:val="auto"/>
                <w:sz w:val="21"/>
              </w:rPr>
            </w:pPr>
            <w:r>
              <w:rPr>
                <w:b/>
                <w:color w:val="auto"/>
                <w:spacing w:val="-10"/>
                <w:sz w:val="21"/>
              </w:rPr>
              <w:t>3</w:t>
            </w:r>
          </w:p>
        </w:tc>
        <w:tc>
          <w:tcPr>
            <w:tcW w:w="1314" w:type="dxa"/>
          </w:tcPr>
          <w:p w14:paraId="28FD4D8C">
            <w:pPr>
              <w:pStyle w:val="22"/>
              <w:spacing w:before="122"/>
              <w:ind w:left="9"/>
              <w:jc w:val="center"/>
              <w:rPr>
                <w:b/>
                <w:color w:val="auto"/>
                <w:sz w:val="21"/>
              </w:rPr>
            </w:pPr>
            <w:r>
              <w:rPr>
                <w:b/>
                <w:color w:val="auto"/>
                <w:spacing w:val="-5"/>
                <w:sz w:val="21"/>
              </w:rPr>
              <w:t>商务分</w:t>
            </w:r>
          </w:p>
        </w:tc>
        <w:tc>
          <w:tcPr>
            <w:tcW w:w="7135" w:type="dxa"/>
            <w:gridSpan w:val="2"/>
          </w:tcPr>
          <w:p w14:paraId="0520C9E9">
            <w:pPr>
              <w:pStyle w:val="22"/>
              <w:spacing w:before="122"/>
              <w:ind w:left="8"/>
              <w:jc w:val="center"/>
              <w:rPr>
                <w:b/>
                <w:color w:val="auto"/>
                <w:sz w:val="21"/>
              </w:rPr>
            </w:pPr>
            <w:r>
              <w:rPr>
                <w:b/>
                <w:color w:val="auto"/>
                <w:spacing w:val="-4"/>
                <w:sz w:val="21"/>
              </w:rPr>
              <w:t>评审因素</w:t>
            </w:r>
          </w:p>
        </w:tc>
      </w:tr>
      <w:tr w14:paraId="38EAF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0" w:hRule="atLeast"/>
        </w:trPr>
        <w:tc>
          <w:tcPr>
            <w:tcW w:w="776" w:type="dxa"/>
          </w:tcPr>
          <w:p w14:paraId="5B1B8B76">
            <w:pPr>
              <w:pStyle w:val="22"/>
              <w:rPr>
                <w:color w:val="auto"/>
                <w:sz w:val="21"/>
              </w:rPr>
            </w:pPr>
          </w:p>
          <w:p w14:paraId="54DC8EF8">
            <w:pPr>
              <w:pStyle w:val="22"/>
              <w:spacing w:before="207"/>
              <w:rPr>
                <w:color w:val="auto"/>
                <w:sz w:val="21"/>
              </w:rPr>
            </w:pPr>
          </w:p>
          <w:p w14:paraId="4B17AEA6">
            <w:pPr>
              <w:pStyle w:val="22"/>
              <w:ind w:left="8"/>
              <w:jc w:val="center"/>
              <w:rPr>
                <w:color w:val="auto"/>
                <w:sz w:val="21"/>
              </w:rPr>
            </w:pPr>
            <w:r>
              <w:rPr>
                <w:color w:val="auto"/>
                <w:spacing w:val="-5"/>
                <w:sz w:val="21"/>
              </w:rPr>
              <w:t>3.1</w:t>
            </w:r>
          </w:p>
        </w:tc>
        <w:tc>
          <w:tcPr>
            <w:tcW w:w="1314" w:type="dxa"/>
          </w:tcPr>
          <w:p w14:paraId="3EC534D8">
            <w:pPr>
              <w:pStyle w:val="22"/>
              <w:rPr>
                <w:color w:val="auto"/>
                <w:sz w:val="21"/>
              </w:rPr>
            </w:pPr>
          </w:p>
          <w:p w14:paraId="759D3B8B">
            <w:pPr>
              <w:pStyle w:val="22"/>
              <w:spacing w:before="207"/>
              <w:rPr>
                <w:color w:val="auto"/>
                <w:sz w:val="21"/>
              </w:rPr>
            </w:pPr>
          </w:p>
          <w:p w14:paraId="4F0A27B3">
            <w:pPr>
              <w:pStyle w:val="22"/>
              <w:ind w:left="9" w:right="2"/>
              <w:jc w:val="center"/>
              <w:rPr>
                <w:color w:val="auto"/>
                <w:sz w:val="21"/>
              </w:rPr>
            </w:pPr>
            <w:r>
              <w:rPr>
                <w:color w:val="auto"/>
                <w:spacing w:val="-5"/>
                <w:sz w:val="21"/>
              </w:rPr>
              <w:t>业绩分</w:t>
            </w:r>
          </w:p>
        </w:tc>
        <w:tc>
          <w:tcPr>
            <w:tcW w:w="6284" w:type="dxa"/>
          </w:tcPr>
          <w:p w14:paraId="5B3F0219">
            <w:pPr>
              <w:pStyle w:val="22"/>
              <w:spacing w:before="122"/>
              <w:ind w:left="107"/>
              <w:rPr>
                <w:color w:val="auto"/>
                <w:sz w:val="21"/>
              </w:rPr>
            </w:pPr>
            <w:r>
              <w:rPr>
                <w:color w:val="auto"/>
                <w:spacing w:val="-23"/>
                <w:sz w:val="21"/>
              </w:rPr>
              <w:t xml:space="preserve">自 </w:t>
            </w:r>
            <w:r>
              <w:rPr>
                <w:color w:val="auto"/>
                <w:sz w:val="21"/>
                <w:u w:val="single"/>
              </w:rPr>
              <w:t>202</w:t>
            </w:r>
            <w:r>
              <w:rPr>
                <w:rFonts w:hint="eastAsia"/>
                <w:color w:val="auto"/>
                <w:sz w:val="21"/>
                <w:u w:val="single"/>
                <w:lang w:val="en-US" w:eastAsia="zh-CN"/>
              </w:rPr>
              <w:t>3</w:t>
            </w:r>
            <w:r>
              <w:rPr>
                <w:color w:val="auto"/>
                <w:spacing w:val="-31"/>
                <w:sz w:val="21"/>
                <w:u w:val="none"/>
              </w:rPr>
              <w:t xml:space="preserve"> 年 </w:t>
            </w:r>
            <w:r>
              <w:rPr>
                <w:color w:val="auto"/>
                <w:sz w:val="21"/>
                <w:u w:val="single"/>
              </w:rPr>
              <w:t>1</w:t>
            </w:r>
            <w:r>
              <w:rPr>
                <w:color w:val="auto"/>
                <w:spacing w:val="-32"/>
                <w:sz w:val="21"/>
                <w:u w:val="none"/>
              </w:rPr>
              <w:t xml:space="preserve"> 月 </w:t>
            </w:r>
            <w:r>
              <w:rPr>
                <w:color w:val="auto"/>
                <w:sz w:val="21"/>
                <w:u w:val="single"/>
              </w:rPr>
              <w:t>1</w:t>
            </w:r>
            <w:r>
              <w:rPr>
                <w:color w:val="auto"/>
                <w:spacing w:val="-8"/>
                <w:sz w:val="21"/>
                <w:u w:val="none"/>
              </w:rPr>
              <w:t xml:space="preserve"> 日以来至响应文件递交截止日期止，供应商承接</w:t>
            </w:r>
          </w:p>
          <w:p w14:paraId="6C4C38E0">
            <w:pPr>
              <w:pStyle w:val="22"/>
              <w:spacing w:before="147"/>
              <w:ind w:left="107"/>
              <w:rPr>
                <w:color w:val="auto"/>
                <w:sz w:val="21"/>
              </w:rPr>
            </w:pPr>
            <w:r>
              <w:rPr>
                <w:color w:val="auto"/>
                <w:spacing w:val="-7"/>
                <w:sz w:val="21"/>
              </w:rPr>
              <w:t xml:space="preserve">过类似项目业绩，每项得 </w:t>
            </w:r>
            <w:r>
              <w:rPr>
                <w:color w:val="auto"/>
                <w:spacing w:val="-2"/>
                <w:sz w:val="21"/>
                <w:u w:val="single"/>
              </w:rPr>
              <w:t>1.5</w:t>
            </w:r>
            <w:r>
              <w:rPr>
                <w:color w:val="auto"/>
                <w:spacing w:val="-19"/>
                <w:sz w:val="21"/>
                <w:u w:val="none"/>
              </w:rPr>
              <w:t xml:space="preserve"> 分，满分 </w:t>
            </w:r>
            <w:r>
              <w:rPr>
                <w:color w:val="auto"/>
                <w:spacing w:val="-2"/>
                <w:sz w:val="21"/>
                <w:u w:val="single"/>
              </w:rPr>
              <w:t>6</w:t>
            </w:r>
            <w:r>
              <w:rPr>
                <w:color w:val="auto"/>
                <w:spacing w:val="-21"/>
                <w:sz w:val="21"/>
                <w:u w:val="none"/>
              </w:rPr>
              <w:t xml:space="preserve"> 分。</w:t>
            </w:r>
          </w:p>
          <w:p w14:paraId="1715F543">
            <w:pPr>
              <w:pStyle w:val="22"/>
              <w:spacing w:line="420" w:lineRule="atLeast"/>
              <w:ind w:left="107" w:right="97"/>
              <w:rPr>
                <w:color w:val="auto"/>
                <w:sz w:val="21"/>
              </w:rPr>
            </w:pPr>
            <w:r>
              <w:rPr>
                <w:color w:val="auto"/>
                <w:spacing w:val="12"/>
                <w:sz w:val="21"/>
              </w:rPr>
              <w:t>业绩证明材料需附中标（成交）</w:t>
            </w:r>
            <w:r>
              <w:rPr>
                <w:color w:val="auto"/>
                <w:spacing w:val="11"/>
                <w:sz w:val="21"/>
              </w:rPr>
              <w:t>通知书或施工合同或竣工验收</w:t>
            </w:r>
            <w:r>
              <w:rPr>
                <w:color w:val="auto"/>
                <w:spacing w:val="-6"/>
                <w:sz w:val="21"/>
              </w:rPr>
              <w:t>书。</w:t>
            </w:r>
          </w:p>
        </w:tc>
        <w:tc>
          <w:tcPr>
            <w:tcW w:w="851" w:type="dxa"/>
          </w:tcPr>
          <w:p w14:paraId="0046C47E">
            <w:pPr>
              <w:pStyle w:val="22"/>
              <w:rPr>
                <w:color w:val="auto"/>
                <w:sz w:val="21"/>
              </w:rPr>
            </w:pPr>
          </w:p>
          <w:p w14:paraId="72B8E864">
            <w:pPr>
              <w:pStyle w:val="22"/>
              <w:spacing w:before="207"/>
              <w:rPr>
                <w:color w:val="auto"/>
                <w:sz w:val="21"/>
              </w:rPr>
            </w:pPr>
          </w:p>
          <w:p w14:paraId="478A9A53">
            <w:pPr>
              <w:pStyle w:val="22"/>
              <w:ind w:left="240"/>
              <w:rPr>
                <w:color w:val="auto"/>
                <w:sz w:val="21"/>
              </w:rPr>
            </w:pPr>
            <w:r>
              <w:rPr>
                <w:color w:val="auto"/>
                <w:spacing w:val="-2"/>
                <w:sz w:val="21"/>
              </w:rPr>
              <w:t>6</w:t>
            </w:r>
            <w:r>
              <w:rPr>
                <w:color w:val="auto"/>
                <w:spacing w:val="-32"/>
                <w:sz w:val="21"/>
              </w:rPr>
              <w:t xml:space="preserve"> 分</w:t>
            </w:r>
          </w:p>
        </w:tc>
      </w:tr>
      <w:tr w14:paraId="2FCB1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9225" w:type="dxa"/>
            <w:gridSpan w:val="4"/>
          </w:tcPr>
          <w:p w14:paraId="1312AEE9">
            <w:pPr>
              <w:pStyle w:val="22"/>
              <w:spacing w:before="121"/>
              <w:ind w:left="106"/>
              <w:rPr>
                <w:color w:val="auto"/>
                <w:sz w:val="21"/>
              </w:rPr>
            </w:pPr>
            <w:r>
              <w:rPr>
                <w:color w:val="auto"/>
                <w:spacing w:val="-2"/>
                <w:sz w:val="21"/>
              </w:rPr>
              <w:t>总得分</w:t>
            </w:r>
            <w:r>
              <w:rPr>
                <w:rFonts w:ascii="Times New Roman" w:eastAsia="Times New Roman"/>
                <w:color w:val="auto"/>
                <w:spacing w:val="-2"/>
                <w:sz w:val="21"/>
              </w:rPr>
              <w:t>=</w:t>
            </w:r>
            <w:r>
              <w:rPr>
                <w:color w:val="auto"/>
                <w:spacing w:val="-2"/>
                <w:sz w:val="21"/>
              </w:rPr>
              <w:t>1</w:t>
            </w:r>
            <w:r>
              <w:rPr>
                <w:rFonts w:ascii="Times New Roman" w:eastAsia="Times New Roman"/>
                <w:color w:val="auto"/>
                <w:spacing w:val="-2"/>
                <w:sz w:val="21"/>
              </w:rPr>
              <w:t>+</w:t>
            </w:r>
            <w:r>
              <w:rPr>
                <w:color w:val="auto"/>
                <w:spacing w:val="-2"/>
                <w:sz w:val="21"/>
              </w:rPr>
              <w:t>2</w:t>
            </w:r>
            <w:r>
              <w:rPr>
                <w:rFonts w:ascii="Times New Roman" w:eastAsia="Times New Roman"/>
                <w:color w:val="auto"/>
                <w:spacing w:val="-2"/>
                <w:sz w:val="21"/>
              </w:rPr>
              <w:t>+</w:t>
            </w:r>
            <w:r>
              <w:rPr>
                <w:color w:val="auto"/>
                <w:spacing w:val="-2"/>
                <w:sz w:val="21"/>
              </w:rPr>
              <w:t>3</w:t>
            </w:r>
          </w:p>
        </w:tc>
      </w:tr>
    </w:tbl>
    <w:p w14:paraId="6AA5CCB7">
      <w:pPr>
        <w:spacing w:after="0"/>
        <w:rPr>
          <w:color w:val="auto"/>
          <w:sz w:val="21"/>
        </w:rPr>
        <w:sectPr>
          <w:type w:val="continuous"/>
          <w:pgSz w:w="11910" w:h="16840"/>
          <w:pgMar w:top="1400" w:right="740" w:bottom="1180" w:left="800" w:header="0" w:footer="989" w:gutter="0"/>
          <w:cols w:space="720" w:num="1"/>
        </w:sectPr>
      </w:pPr>
    </w:p>
    <w:p w14:paraId="72839AC1">
      <w:pPr>
        <w:pStyle w:val="12"/>
        <w:spacing w:before="62"/>
        <w:ind w:left="0"/>
        <w:rPr>
          <w:color w:val="auto"/>
          <w:sz w:val="44"/>
        </w:rPr>
      </w:pPr>
    </w:p>
    <w:p w14:paraId="69318845">
      <w:pPr>
        <w:pStyle w:val="3"/>
        <w:spacing w:before="0"/>
        <w:rPr>
          <w:color w:val="auto"/>
        </w:rPr>
      </w:pPr>
      <w:bookmarkStart w:id="10" w:name="_bookmark4"/>
      <w:bookmarkEnd w:id="10"/>
      <w:bookmarkStart w:id="11" w:name="第五章 工程量清单及图纸"/>
      <w:bookmarkEnd w:id="11"/>
      <w:r>
        <w:rPr>
          <w:color w:val="auto"/>
          <w:spacing w:val="-6"/>
        </w:rPr>
        <w:t>第五章 工程量清单及图纸</w:t>
      </w:r>
    </w:p>
    <w:p w14:paraId="6C2D467B">
      <w:pPr>
        <w:spacing w:after="0"/>
        <w:rPr>
          <w:color w:val="auto"/>
        </w:rPr>
      </w:pPr>
    </w:p>
    <w:p w14:paraId="1CD07E44">
      <w:pPr>
        <w:bidi w:val="0"/>
        <w:rPr>
          <w:rFonts w:ascii="宋体" w:hAnsi="宋体" w:eastAsia="宋体" w:cs="宋体"/>
          <w:color w:val="auto"/>
          <w:sz w:val="22"/>
          <w:szCs w:val="22"/>
          <w:lang w:val="en-US" w:eastAsia="zh-CN" w:bidi="ar-SA"/>
        </w:rPr>
      </w:pPr>
    </w:p>
    <w:p w14:paraId="4A05C61A">
      <w:pPr>
        <w:bidi w:val="0"/>
        <w:rPr>
          <w:color w:val="auto"/>
          <w:lang w:val="en-US" w:eastAsia="zh-CN"/>
        </w:rPr>
      </w:pPr>
    </w:p>
    <w:p w14:paraId="10E92124">
      <w:pPr>
        <w:bidi w:val="0"/>
        <w:rPr>
          <w:color w:val="auto"/>
          <w:lang w:val="en-US" w:eastAsia="zh-CN"/>
        </w:rPr>
      </w:pPr>
    </w:p>
    <w:p w14:paraId="43F8A1E3">
      <w:pPr>
        <w:bidi w:val="0"/>
        <w:rPr>
          <w:color w:val="auto"/>
          <w:lang w:val="en-US" w:eastAsia="zh-CN"/>
        </w:rPr>
      </w:pPr>
    </w:p>
    <w:p w14:paraId="307D3EB5">
      <w:pPr>
        <w:jc w:val="center"/>
        <w:rPr>
          <w:color w:val="auto"/>
        </w:rPr>
        <w:sectPr>
          <w:pgSz w:w="11910" w:h="16840"/>
          <w:pgMar w:top="1360" w:right="740" w:bottom="1180" w:left="800" w:header="0" w:footer="989" w:gutter="0"/>
          <w:cols w:space="720" w:num="1"/>
        </w:sectPr>
      </w:pPr>
      <w:r>
        <w:rPr>
          <w:rFonts w:hint="eastAsia"/>
          <w:color w:val="auto"/>
          <w:lang w:val="en-US" w:eastAsia="zh-CN"/>
        </w:rPr>
        <w:tab/>
      </w:r>
      <w:r>
        <w:rPr>
          <w:rFonts w:hint="eastAsia" w:ascii="宋体" w:hAnsi="宋体"/>
          <w:color w:val="auto"/>
          <w:sz w:val="30"/>
          <w:szCs w:val="30"/>
          <w:highlight w:val="none"/>
          <w:lang w:val="zh-CN"/>
        </w:rPr>
        <w:t>（另册）</w:t>
      </w:r>
      <w:bookmarkStart w:id="12" w:name="4.图纸（另册）"/>
      <w:bookmarkEnd w:id="12"/>
      <w:bookmarkStart w:id="13" w:name="1.工程量清单编制说明"/>
      <w:bookmarkEnd w:id="13"/>
    </w:p>
    <w:p w14:paraId="7C061049">
      <w:pPr>
        <w:pStyle w:val="12"/>
        <w:spacing w:before="0"/>
        <w:ind w:left="0"/>
        <w:rPr>
          <w:b/>
          <w:color w:val="auto"/>
          <w:sz w:val="44"/>
        </w:rPr>
      </w:pPr>
    </w:p>
    <w:p w14:paraId="090AFB84">
      <w:pPr>
        <w:pStyle w:val="12"/>
        <w:spacing w:before="0"/>
        <w:ind w:left="0"/>
        <w:rPr>
          <w:b/>
          <w:color w:val="auto"/>
          <w:sz w:val="44"/>
        </w:rPr>
      </w:pPr>
    </w:p>
    <w:p w14:paraId="58D37431">
      <w:pPr>
        <w:pStyle w:val="12"/>
        <w:spacing w:before="0"/>
        <w:ind w:left="0"/>
        <w:rPr>
          <w:b/>
          <w:color w:val="auto"/>
          <w:sz w:val="44"/>
        </w:rPr>
      </w:pPr>
    </w:p>
    <w:p w14:paraId="6FE64536">
      <w:pPr>
        <w:pStyle w:val="12"/>
        <w:spacing w:before="0"/>
        <w:ind w:left="0"/>
        <w:rPr>
          <w:b/>
          <w:color w:val="auto"/>
          <w:sz w:val="44"/>
        </w:rPr>
      </w:pPr>
    </w:p>
    <w:p w14:paraId="7898D487">
      <w:pPr>
        <w:pStyle w:val="12"/>
        <w:spacing w:before="0"/>
        <w:ind w:left="0"/>
        <w:rPr>
          <w:b/>
          <w:color w:val="auto"/>
          <w:sz w:val="44"/>
        </w:rPr>
      </w:pPr>
    </w:p>
    <w:p w14:paraId="04956357">
      <w:pPr>
        <w:pStyle w:val="12"/>
        <w:spacing w:before="509"/>
        <w:ind w:left="0"/>
        <w:rPr>
          <w:b/>
          <w:color w:val="auto"/>
          <w:sz w:val="44"/>
        </w:rPr>
      </w:pPr>
    </w:p>
    <w:p w14:paraId="62692E6E">
      <w:pPr>
        <w:pStyle w:val="3"/>
        <w:spacing w:before="0"/>
        <w:rPr>
          <w:color w:val="auto"/>
        </w:rPr>
      </w:pPr>
      <w:bookmarkStart w:id="14" w:name="第六章 响应文件格式"/>
      <w:bookmarkEnd w:id="14"/>
      <w:bookmarkStart w:id="15" w:name="_bookmark5"/>
      <w:bookmarkEnd w:id="15"/>
      <w:r>
        <w:rPr>
          <w:color w:val="auto"/>
          <w:spacing w:val="-6"/>
        </w:rPr>
        <w:t>第六章 响应文件格式</w:t>
      </w:r>
    </w:p>
    <w:p w14:paraId="1E6674AF">
      <w:pPr>
        <w:spacing w:after="0"/>
        <w:rPr>
          <w:color w:val="auto"/>
        </w:rPr>
        <w:sectPr>
          <w:pgSz w:w="11910" w:h="16840"/>
          <w:pgMar w:top="1920" w:right="740" w:bottom="1180" w:left="800" w:header="0" w:footer="989" w:gutter="0"/>
          <w:cols w:space="720" w:num="1"/>
        </w:sectPr>
      </w:pPr>
    </w:p>
    <w:p w14:paraId="7E073096">
      <w:pPr>
        <w:pStyle w:val="5"/>
        <w:ind w:left="788" w:right="0"/>
        <w:jc w:val="left"/>
        <w:rPr>
          <w:color w:val="auto"/>
        </w:rPr>
      </w:pPr>
      <w:r>
        <w:rPr>
          <w:color w:val="auto"/>
          <w:spacing w:val="-3"/>
        </w:rPr>
        <w:t>一、资格证明文件格式</w:t>
      </w:r>
    </w:p>
    <w:p w14:paraId="014AB4B2">
      <w:pPr>
        <w:pStyle w:val="5"/>
        <w:numPr>
          <w:ilvl w:val="0"/>
          <w:numId w:val="40"/>
        </w:numPr>
        <w:tabs>
          <w:tab w:val="left" w:pos="1111"/>
        </w:tabs>
        <w:spacing w:before="119" w:after="0" w:line="240" w:lineRule="auto"/>
        <w:ind w:left="1111" w:right="0" w:hanging="323"/>
        <w:jc w:val="left"/>
        <w:rPr>
          <w:color w:val="auto"/>
        </w:rPr>
      </w:pPr>
      <w:r>
        <w:rPr>
          <w:color w:val="auto"/>
          <w:spacing w:val="-3"/>
        </w:rPr>
        <w:t>资格证明文件封面格式：</w:t>
      </w:r>
    </w:p>
    <w:p w14:paraId="74C5E077">
      <w:pPr>
        <w:pStyle w:val="12"/>
        <w:spacing w:before="0"/>
        <w:ind w:left="0"/>
        <w:rPr>
          <w:b/>
          <w:color w:val="auto"/>
          <w:sz w:val="32"/>
        </w:rPr>
      </w:pPr>
    </w:p>
    <w:p w14:paraId="4A438E60">
      <w:pPr>
        <w:pStyle w:val="12"/>
        <w:spacing w:before="183"/>
        <w:ind w:left="0"/>
        <w:rPr>
          <w:b/>
          <w:color w:val="auto"/>
          <w:sz w:val="32"/>
        </w:rPr>
      </w:pPr>
    </w:p>
    <w:p w14:paraId="22390088">
      <w:pPr>
        <w:pStyle w:val="4"/>
        <w:rPr>
          <w:color w:val="auto"/>
        </w:rPr>
      </w:pPr>
      <w:r>
        <w:rPr>
          <w:color w:val="auto"/>
          <w:spacing w:val="-5"/>
        </w:rPr>
        <w:t>电 子 响 应 文 件</w:t>
      </w:r>
    </w:p>
    <w:p w14:paraId="406E4B55">
      <w:pPr>
        <w:pStyle w:val="12"/>
        <w:spacing w:before="10"/>
        <w:ind w:left="0"/>
        <w:rPr>
          <w:color w:val="auto"/>
          <w:sz w:val="44"/>
        </w:rPr>
      </w:pPr>
    </w:p>
    <w:p w14:paraId="355627FE">
      <w:pPr>
        <w:pStyle w:val="4"/>
        <w:rPr>
          <w:color w:val="auto"/>
        </w:rPr>
      </w:pPr>
      <w:r>
        <w:rPr>
          <w:color w:val="auto"/>
          <w:spacing w:val="-3"/>
        </w:rPr>
        <w:t>资  格  证  明  文  件</w:t>
      </w:r>
    </w:p>
    <w:p w14:paraId="66E6C6A5">
      <w:pPr>
        <w:pStyle w:val="12"/>
        <w:spacing w:before="0"/>
        <w:ind w:left="0"/>
        <w:rPr>
          <w:color w:val="auto"/>
          <w:sz w:val="44"/>
        </w:rPr>
      </w:pPr>
    </w:p>
    <w:p w14:paraId="6B466C84">
      <w:pPr>
        <w:pStyle w:val="12"/>
        <w:spacing w:before="0"/>
        <w:ind w:left="0"/>
        <w:rPr>
          <w:color w:val="auto"/>
          <w:sz w:val="44"/>
        </w:rPr>
      </w:pPr>
    </w:p>
    <w:p w14:paraId="180C0530">
      <w:pPr>
        <w:pStyle w:val="12"/>
        <w:spacing w:before="0"/>
        <w:ind w:left="0"/>
        <w:rPr>
          <w:color w:val="auto"/>
          <w:sz w:val="44"/>
        </w:rPr>
      </w:pPr>
    </w:p>
    <w:p w14:paraId="37BFAED1">
      <w:pPr>
        <w:pStyle w:val="12"/>
        <w:spacing w:before="68"/>
        <w:ind w:left="0"/>
        <w:rPr>
          <w:color w:val="auto"/>
          <w:sz w:val="44"/>
        </w:rPr>
      </w:pPr>
    </w:p>
    <w:p w14:paraId="489DAE3D">
      <w:pPr>
        <w:pStyle w:val="6"/>
        <w:spacing w:line="616" w:lineRule="auto"/>
        <w:ind w:left="1508" w:right="7257" w:hanging="82"/>
        <w:rPr>
          <w:color w:val="auto"/>
        </w:rPr>
      </w:pPr>
      <w:r>
        <w:rPr>
          <w:color w:val="auto"/>
          <w:spacing w:val="-2"/>
        </w:rPr>
        <w:t>项目名称：</w:t>
      </w:r>
      <w:r>
        <w:rPr>
          <w:color w:val="auto"/>
          <w:spacing w:val="-6"/>
        </w:rPr>
        <w:t>项目编号：</w:t>
      </w:r>
    </w:p>
    <w:p w14:paraId="02307356">
      <w:pPr>
        <w:pStyle w:val="6"/>
        <w:spacing w:before="3" w:line="576" w:lineRule="auto"/>
        <w:ind w:left="1508" w:right="537"/>
        <w:rPr>
          <w:color w:val="auto"/>
        </w:rPr>
      </w:pPr>
      <w:r>
        <w:rPr>
          <w:color w:val="auto"/>
          <w:spacing w:val="-2"/>
        </w:rPr>
        <w:t>所竞分标（如有则填写，无分标时填写“无”或者留空）：供应商名称：</w:t>
      </w:r>
    </w:p>
    <w:p w14:paraId="68DD988B">
      <w:pPr>
        <w:pStyle w:val="12"/>
        <w:spacing w:before="0"/>
        <w:ind w:left="0"/>
        <w:rPr>
          <w:color w:val="auto"/>
          <w:sz w:val="32"/>
        </w:rPr>
      </w:pPr>
    </w:p>
    <w:p w14:paraId="52393586">
      <w:pPr>
        <w:pStyle w:val="12"/>
        <w:spacing w:before="0"/>
        <w:ind w:left="0"/>
        <w:rPr>
          <w:color w:val="auto"/>
          <w:sz w:val="32"/>
        </w:rPr>
      </w:pPr>
    </w:p>
    <w:p w14:paraId="606E4316">
      <w:pPr>
        <w:pStyle w:val="12"/>
        <w:spacing w:before="220"/>
        <w:ind w:left="0"/>
        <w:rPr>
          <w:color w:val="auto"/>
          <w:sz w:val="32"/>
        </w:rPr>
      </w:pPr>
    </w:p>
    <w:p w14:paraId="50F6B792">
      <w:pPr>
        <w:pStyle w:val="6"/>
        <w:tabs>
          <w:tab w:val="left" w:pos="959"/>
          <w:tab w:val="left" w:pos="1919"/>
        </w:tabs>
        <w:spacing w:before="1"/>
        <w:ind w:left="0"/>
        <w:jc w:val="center"/>
        <w:rPr>
          <w:color w:val="auto"/>
        </w:rPr>
      </w:pPr>
      <w:r>
        <w:rPr>
          <w:color w:val="auto"/>
          <w:spacing w:val="-10"/>
        </w:rPr>
        <w:t>年</w:t>
      </w:r>
      <w:r>
        <w:rPr>
          <w:color w:val="auto"/>
        </w:rPr>
        <w:tab/>
      </w:r>
      <w:r>
        <w:rPr>
          <w:color w:val="auto"/>
          <w:spacing w:val="-10"/>
        </w:rPr>
        <w:t>月</w:t>
      </w:r>
      <w:r>
        <w:rPr>
          <w:color w:val="auto"/>
        </w:rPr>
        <w:tab/>
      </w:r>
      <w:r>
        <w:rPr>
          <w:color w:val="auto"/>
          <w:spacing w:val="-10"/>
        </w:rPr>
        <w:t>日</w:t>
      </w:r>
    </w:p>
    <w:p w14:paraId="0D1121D8">
      <w:pPr>
        <w:spacing w:after="0"/>
        <w:jc w:val="center"/>
        <w:rPr>
          <w:color w:val="auto"/>
        </w:rPr>
        <w:sectPr>
          <w:pgSz w:w="11910" w:h="16840"/>
          <w:pgMar w:top="1400" w:right="740" w:bottom="1180" w:left="800" w:header="0" w:footer="989" w:gutter="0"/>
          <w:cols w:space="720" w:num="1"/>
        </w:sectPr>
      </w:pPr>
    </w:p>
    <w:p w14:paraId="26911379">
      <w:pPr>
        <w:pStyle w:val="5"/>
        <w:numPr>
          <w:ilvl w:val="0"/>
          <w:numId w:val="40"/>
        </w:numPr>
        <w:tabs>
          <w:tab w:val="left" w:pos="1252"/>
        </w:tabs>
        <w:spacing w:before="18" w:after="0" w:line="240" w:lineRule="auto"/>
        <w:ind w:left="1252" w:right="0" w:hanging="322"/>
        <w:jc w:val="left"/>
        <w:rPr>
          <w:color w:val="auto"/>
        </w:rPr>
      </w:pPr>
      <w:r>
        <w:rPr>
          <w:color w:val="auto"/>
          <w:spacing w:val="-4"/>
        </w:rPr>
        <w:t>资格证明文件目录</w:t>
      </w:r>
    </w:p>
    <w:p w14:paraId="0D02402F">
      <w:pPr>
        <w:pStyle w:val="6"/>
        <w:spacing w:before="326" w:line="360" w:lineRule="auto"/>
        <w:ind w:left="788" w:right="791" w:firstLine="643"/>
        <w:rPr>
          <w:color w:val="auto"/>
        </w:rPr>
      </w:pPr>
      <w:r>
        <w:rPr>
          <w:color w:val="auto"/>
          <w:spacing w:val="-2"/>
        </w:rPr>
        <w:t>根据磋商文件规定及供应商提供的材料自行编写目录（部分格式后附）。</w:t>
      </w:r>
    </w:p>
    <w:p w14:paraId="1F16BA33">
      <w:pPr>
        <w:spacing w:after="0" w:line="360" w:lineRule="auto"/>
        <w:rPr>
          <w:color w:val="auto"/>
        </w:rPr>
        <w:sectPr>
          <w:pgSz w:w="11910" w:h="16840"/>
          <w:pgMar w:top="1400" w:right="740" w:bottom="1180" w:left="800" w:header="0" w:footer="989" w:gutter="0"/>
          <w:cols w:space="720" w:num="1"/>
        </w:sectPr>
      </w:pPr>
    </w:p>
    <w:p w14:paraId="7C3ED744">
      <w:pPr>
        <w:pStyle w:val="5"/>
        <w:spacing w:before="139"/>
        <w:ind w:right="840"/>
        <w:rPr>
          <w:color w:val="auto"/>
        </w:rPr>
      </w:pPr>
      <w:r>
        <w:rPr>
          <w:color w:val="auto"/>
          <w:spacing w:val="-3"/>
        </w:rPr>
        <w:t>供应商直接控股、管理关系信息表</w:t>
      </w:r>
    </w:p>
    <w:p w14:paraId="5D8D2E17">
      <w:pPr>
        <w:pStyle w:val="12"/>
        <w:spacing w:before="0"/>
        <w:ind w:left="0"/>
        <w:rPr>
          <w:b/>
          <w:color w:val="auto"/>
          <w:sz w:val="32"/>
        </w:rPr>
      </w:pPr>
    </w:p>
    <w:p w14:paraId="327B7379">
      <w:pPr>
        <w:pStyle w:val="12"/>
        <w:spacing w:before="10"/>
        <w:ind w:left="0"/>
        <w:rPr>
          <w:b/>
          <w:color w:val="auto"/>
          <w:sz w:val="32"/>
        </w:rPr>
      </w:pPr>
    </w:p>
    <w:p w14:paraId="3D2F40EA">
      <w:pPr>
        <w:pStyle w:val="5"/>
        <w:spacing w:before="0"/>
        <w:ind w:right="840"/>
        <w:rPr>
          <w:color w:val="auto"/>
        </w:rPr>
      </w:pPr>
      <w:r>
        <w:rPr>
          <w:color w:val="auto"/>
          <w:spacing w:val="-3"/>
        </w:rPr>
        <w:t>供应商直接控股股东信息表</w:t>
      </w:r>
    </w:p>
    <w:p w14:paraId="5083C074">
      <w:pPr>
        <w:pStyle w:val="12"/>
        <w:spacing w:before="0"/>
        <w:ind w:left="0"/>
        <w:rPr>
          <w:b/>
          <w:color w:val="auto"/>
          <w:sz w:val="20"/>
        </w:rPr>
      </w:pPr>
    </w:p>
    <w:p w14:paraId="5822A303">
      <w:pPr>
        <w:pStyle w:val="12"/>
        <w:spacing w:before="158"/>
        <w:ind w:left="0"/>
        <w:rPr>
          <w:b/>
          <w:color w:val="auto"/>
          <w:sz w:val="20"/>
        </w:rPr>
      </w:pPr>
    </w:p>
    <w:tbl>
      <w:tblPr>
        <w:tblStyle w:val="16"/>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0"/>
        <w:gridCol w:w="2655"/>
        <w:gridCol w:w="1455"/>
        <w:gridCol w:w="4287"/>
        <w:gridCol w:w="870"/>
      </w:tblGrid>
      <w:tr w14:paraId="1D689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7" w:hRule="atLeast"/>
        </w:trPr>
        <w:tc>
          <w:tcPr>
            <w:tcW w:w="880" w:type="dxa"/>
            <w:shd w:val="clear" w:color="auto" w:fill="FAFAFA"/>
          </w:tcPr>
          <w:p w14:paraId="5D919B2F">
            <w:pPr>
              <w:pStyle w:val="22"/>
              <w:spacing w:before="117"/>
              <w:ind w:left="11" w:right="5"/>
              <w:jc w:val="center"/>
              <w:rPr>
                <w:b/>
                <w:color w:val="auto"/>
                <w:sz w:val="24"/>
              </w:rPr>
            </w:pPr>
            <w:r>
              <w:rPr>
                <w:b/>
                <w:color w:val="auto"/>
                <w:spacing w:val="-5"/>
                <w:sz w:val="24"/>
              </w:rPr>
              <w:t>序号</w:t>
            </w:r>
          </w:p>
        </w:tc>
        <w:tc>
          <w:tcPr>
            <w:tcW w:w="2655" w:type="dxa"/>
            <w:shd w:val="clear" w:color="auto" w:fill="FAFAFA"/>
          </w:tcPr>
          <w:p w14:paraId="6E332082">
            <w:pPr>
              <w:pStyle w:val="22"/>
              <w:spacing w:before="117"/>
              <w:ind w:left="362"/>
              <w:rPr>
                <w:b/>
                <w:color w:val="auto"/>
                <w:sz w:val="24"/>
              </w:rPr>
            </w:pPr>
            <w:r>
              <w:rPr>
                <w:b/>
                <w:color w:val="auto"/>
                <w:spacing w:val="-2"/>
                <w:sz w:val="24"/>
              </w:rPr>
              <w:t>直接控股股东名称</w:t>
            </w:r>
          </w:p>
        </w:tc>
        <w:tc>
          <w:tcPr>
            <w:tcW w:w="1455" w:type="dxa"/>
            <w:shd w:val="clear" w:color="auto" w:fill="FAFAFA"/>
          </w:tcPr>
          <w:p w14:paraId="546A6C5C">
            <w:pPr>
              <w:pStyle w:val="22"/>
              <w:spacing w:before="117"/>
              <w:ind w:left="243"/>
              <w:rPr>
                <w:b/>
                <w:color w:val="auto"/>
                <w:sz w:val="24"/>
              </w:rPr>
            </w:pPr>
            <w:r>
              <w:rPr>
                <w:b/>
                <w:color w:val="auto"/>
                <w:spacing w:val="-3"/>
                <w:sz w:val="24"/>
              </w:rPr>
              <w:t>出资比例</w:t>
            </w:r>
          </w:p>
        </w:tc>
        <w:tc>
          <w:tcPr>
            <w:tcW w:w="4287" w:type="dxa"/>
            <w:shd w:val="clear" w:color="auto" w:fill="FAFAFA"/>
          </w:tcPr>
          <w:p w14:paraId="6E6024AD">
            <w:pPr>
              <w:pStyle w:val="22"/>
              <w:spacing w:before="117"/>
              <w:ind w:left="334"/>
              <w:rPr>
                <w:b/>
                <w:color w:val="auto"/>
                <w:sz w:val="24"/>
              </w:rPr>
            </w:pPr>
            <w:r>
              <w:rPr>
                <w:b/>
                <w:color w:val="auto"/>
                <w:spacing w:val="-1"/>
                <w:sz w:val="24"/>
              </w:rPr>
              <w:t>身份证号码或者统一社会信用代码</w:t>
            </w:r>
          </w:p>
        </w:tc>
        <w:tc>
          <w:tcPr>
            <w:tcW w:w="870" w:type="dxa"/>
            <w:shd w:val="clear" w:color="auto" w:fill="FAFAFA"/>
          </w:tcPr>
          <w:p w14:paraId="674AB5B2">
            <w:pPr>
              <w:pStyle w:val="22"/>
              <w:spacing w:before="117"/>
              <w:ind w:left="194"/>
              <w:rPr>
                <w:b/>
                <w:color w:val="auto"/>
                <w:sz w:val="24"/>
              </w:rPr>
            </w:pPr>
            <w:r>
              <w:rPr>
                <w:b/>
                <w:color w:val="auto"/>
                <w:spacing w:val="-5"/>
                <w:sz w:val="24"/>
              </w:rPr>
              <w:t>备注</w:t>
            </w:r>
          </w:p>
        </w:tc>
      </w:tr>
      <w:tr w14:paraId="2A845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trPr>
        <w:tc>
          <w:tcPr>
            <w:tcW w:w="880" w:type="dxa"/>
            <w:shd w:val="clear" w:color="auto" w:fill="FAFAFA"/>
          </w:tcPr>
          <w:p w14:paraId="3134DBD6">
            <w:pPr>
              <w:pStyle w:val="22"/>
              <w:spacing w:before="116"/>
              <w:ind w:left="11"/>
              <w:jc w:val="center"/>
              <w:rPr>
                <w:color w:val="auto"/>
                <w:sz w:val="24"/>
              </w:rPr>
            </w:pPr>
            <w:r>
              <w:rPr>
                <w:color w:val="auto"/>
                <w:spacing w:val="-10"/>
                <w:sz w:val="24"/>
              </w:rPr>
              <w:t>1</w:t>
            </w:r>
          </w:p>
        </w:tc>
        <w:tc>
          <w:tcPr>
            <w:tcW w:w="2655" w:type="dxa"/>
            <w:shd w:val="clear" w:color="auto" w:fill="FAFAFA"/>
          </w:tcPr>
          <w:p w14:paraId="12312EB8">
            <w:pPr>
              <w:pStyle w:val="22"/>
              <w:rPr>
                <w:rFonts w:ascii="Times New Roman"/>
                <w:color w:val="auto"/>
                <w:sz w:val="24"/>
              </w:rPr>
            </w:pPr>
          </w:p>
        </w:tc>
        <w:tc>
          <w:tcPr>
            <w:tcW w:w="1455" w:type="dxa"/>
            <w:shd w:val="clear" w:color="auto" w:fill="FAFAFA"/>
          </w:tcPr>
          <w:p w14:paraId="7125C582">
            <w:pPr>
              <w:pStyle w:val="22"/>
              <w:rPr>
                <w:rFonts w:ascii="Times New Roman"/>
                <w:color w:val="auto"/>
                <w:sz w:val="24"/>
              </w:rPr>
            </w:pPr>
          </w:p>
        </w:tc>
        <w:tc>
          <w:tcPr>
            <w:tcW w:w="4287" w:type="dxa"/>
            <w:shd w:val="clear" w:color="auto" w:fill="FAFAFA"/>
          </w:tcPr>
          <w:p w14:paraId="2EC17856">
            <w:pPr>
              <w:pStyle w:val="22"/>
              <w:rPr>
                <w:rFonts w:ascii="Times New Roman"/>
                <w:color w:val="auto"/>
                <w:sz w:val="24"/>
              </w:rPr>
            </w:pPr>
          </w:p>
        </w:tc>
        <w:tc>
          <w:tcPr>
            <w:tcW w:w="870" w:type="dxa"/>
            <w:shd w:val="clear" w:color="auto" w:fill="FAFAFA"/>
          </w:tcPr>
          <w:p w14:paraId="14E583A9">
            <w:pPr>
              <w:pStyle w:val="22"/>
              <w:rPr>
                <w:rFonts w:ascii="Times New Roman"/>
                <w:color w:val="auto"/>
                <w:sz w:val="24"/>
              </w:rPr>
            </w:pPr>
          </w:p>
        </w:tc>
      </w:tr>
      <w:tr w14:paraId="70F77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880" w:type="dxa"/>
            <w:shd w:val="clear" w:color="auto" w:fill="FAFAFA"/>
          </w:tcPr>
          <w:p w14:paraId="1BCD95B3">
            <w:pPr>
              <w:pStyle w:val="22"/>
              <w:spacing w:before="116"/>
              <w:ind w:left="11"/>
              <w:jc w:val="center"/>
              <w:rPr>
                <w:color w:val="auto"/>
                <w:sz w:val="24"/>
              </w:rPr>
            </w:pPr>
            <w:r>
              <w:rPr>
                <w:color w:val="auto"/>
                <w:spacing w:val="-10"/>
                <w:sz w:val="24"/>
              </w:rPr>
              <w:t>2</w:t>
            </w:r>
          </w:p>
        </w:tc>
        <w:tc>
          <w:tcPr>
            <w:tcW w:w="2655" w:type="dxa"/>
            <w:shd w:val="clear" w:color="auto" w:fill="FAFAFA"/>
          </w:tcPr>
          <w:p w14:paraId="72C98855">
            <w:pPr>
              <w:pStyle w:val="22"/>
              <w:rPr>
                <w:rFonts w:ascii="Times New Roman"/>
                <w:color w:val="auto"/>
                <w:sz w:val="24"/>
              </w:rPr>
            </w:pPr>
          </w:p>
        </w:tc>
        <w:tc>
          <w:tcPr>
            <w:tcW w:w="1455" w:type="dxa"/>
            <w:shd w:val="clear" w:color="auto" w:fill="FAFAFA"/>
          </w:tcPr>
          <w:p w14:paraId="47FD985C">
            <w:pPr>
              <w:pStyle w:val="22"/>
              <w:rPr>
                <w:rFonts w:ascii="Times New Roman"/>
                <w:color w:val="auto"/>
                <w:sz w:val="24"/>
              </w:rPr>
            </w:pPr>
          </w:p>
        </w:tc>
        <w:tc>
          <w:tcPr>
            <w:tcW w:w="4287" w:type="dxa"/>
            <w:shd w:val="clear" w:color="auto" w:fill="FAFAFA"/>
          </w:tcPr>
          <w:p w14:paraId="7B77A150">
            <w:pPr>
              <w:pStyle w:val="22"/>
              <w:rPr>
                <w:rFonts w:ascii="Times New Roman"/>
                <w:color w:val="auto"/>
                <w:sz w:val="24"/>
              </w:rPr>
            </w:pPr>
          </w:p>
        </w:tc>
        <w:tc>
          <w:tcPr>
            <w:tcW w:w="870" w:type="dxa"/>
            <w:shd w:val="clear" w:color="auto" w:fill="FAFAFA"/>
          </w:tcPr>
          <w:p w14:paraId="42286123">
            <w:pPr>
              <w:pStyle w:val="22"/>
              <w:rPr>
                <w:rFonts w:ascii="Times New Roman"/>
                <w:color w:val="auto"/>
                <w:sz w:val="24"/>
              </w:rPr>
            </w:pPr>
          </w:p>
        </w:tc>
      </w:tr>
      <w:tr w14:paraId="394C4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7" w:hRule="atLeast"/>
        </w:trPr>
        <w:tc>
          <w:tcPr>
            <w:tcW w:w="880" w:type="dxa"/>
            <w:shd w:val="clear" w:color="auto" w:fill="FAFAFA"/>
          </w:tcPr>
          <w:p w14:paraId="27614958">
            <w:pPr>
              <w:pStyle w:val="22"/>
              <w:spacing w:before="118"/>
              <w:ind w:left="11"/>
              <w:jc w:val="center"/>
              <w:rPr>
                <w:color w:val="auto"/>
                <w:sz w:val="24"/>
              </w:rPr>
            </w:pPr>
            <w:r>
              <w:rPr>
                <w:color w:val="auto"/>
                <w:spacing w:val="-10"/>
                <w:sz w:val="24"/>
              </w:rPr>
              <w:t>3</w:t>
            </w:r>
          </w:p>
        </w:tc>
        <w:tc>
          <w:tcPr>
            <w:tcW w:w="2655" w:type="dxa"/>
            <w:shd w:val="clear" w:color="auto" w:fill="FAFAFA"/>
          </w:tcPr>
          <w:p w14:paraId="1BC9C344">
            <w:pPr>
              <w:pStyle w:val="22"/>
              <w:rPr>
                <w:rFonts w:ascii="Times New Roman"/>
                <w:color w:val="auto"/>
                <w:sz w:val="24"/>
              </w:rPr>
            </w:pPr>
          </w:p>
        </w:tc>
        <w:tc>
          <w:tcPr>
            <w:tcW w:w="1455" w:type="dxa"/>
            <w:shd w:val="clear" w:color="auto" w:fill="FAFAFA"/>
          </w:tcPr>
          <w:p w14:paraId="54EE88B9">
            <w:pPr>
              <w:pStyle w:val="22"/>
              <w:rPr>
                <w:rFonts w:ascii="Times New Roman"/>
                <w:color w:val="auto"/>
                <w:sz w:val="24"/>
              </w:rPr>
            </w:pPr>
          </w:p>
        </w:tc>
        <w:tc>
          <w:tcPr>
            <w:tcW w:w="4287" w:type="dxa"/>
            <w:shd w:val="clear" w:color="auto" w:fill="FAFAFA"/>
          </w:tcPr>
          <w:p w14:paraId="0269AED2">
            <w:pPr>
              <w:pStyle w:val="22"/>
              <w:rPr>
                <w:rFonts w:ascii="Times New Roman"/>
                <w:color w:val="auto"/>
                <w:sz w:val="24"/>
              </w:rPr>
            </w:pPr>
          </w:p>
        </w:tc>
        <w:tc>
          <w:tcPr>
            <w:tcW w:w="870" w:type="dxa"/>
            <w:shd w:val="clear" w:color="auto" w:fill="FAFAFA"/>
          </w:tcPr>
          <w:p w14:paraId="55AAA29E">
            <w:pPr>
              <w:pStyle w:val="22"/>
              <w:rPr>
                <w:rFonts w:ascii="Times New Roman"/>
                <w:color w:val="auto"/>
                <w:sz w:val="24"/>
              </w:rPr>
            </w:pPr>
          </w:p>
        </w:tc>
      </w:tr>
      <w:tr w14:paraId="229CE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trPr>
        <w:tc>
          <w:tcPr>
            <w:tcW w:w="880" w:type="dxa"/>
            <w:shd w:val="clear" w:color="auto" w:fill="FAFAFA"/>
          </w:tcPr>
          <w:p w14:paraId="6FA60CC0">
            <w:pPr>
              <w:pStyle w:val="22"/>
              <w:spacing w:before="118"/>
              <w:ind w:left="11"/>
              <w:jc w:val="center"/>
              <w:rPr>
                <w:color w:val="auto"/>
                <w:sz w:val="24"/>
              </w:rPr>
            </w:pPr>
            <w:r>
              <w:rPr>
                <w:color w:val="auto"/>
                <w:spacing w:val="-5"/>
                <w:sz w:val="24"/>
              </w:rPr>
              <w:t>……</w:t>
            </w:r>
          </w:p>
        </w:tc>
        <w:tc>
          <w:tcPr>
            <w:tcW w:w="2655" w:type="dxa"/>
            <w:shd w:val="clear" w:color="auto" w:fill="FAFAFA"/>
          </w:tcPr>
          <w:p w14:paraId="51A533CD">
            <w:pPr>
              <w:pStyle w:val="22"/>
              <w:rPr>
                <w:rFonts w:ascii="Times New Roman"/>
                <w:color w:val="auto"/>
                <w:sz w:val="24"/>
              </w:rPr>
            </w:pPr>
          </w:p>
        </w:tc>
        <w:tc>
          <w:tcPr>
            <w:tcW w:w="1455" w:type="dxa"/>
            <w:shd w:val="clear" w:color="auto" w:fill="FAFAFA"/>
          </w:tcPr>
          <w:p w14:paraId="4D29CFA5">
            <w:pPr>
              <w:pStyle w:val="22"/>
              <w:rPr>
                <w:rFonts w:ascii="Times New Roman"/>
                <w:color w:val="auto"/>
                <w:sz w:val="24"/>
              </w:rPr>
            </w:pPr>
          </w:p>
        </w:tc>
        <w:tc>
          <w:tcPr>
            <w:tcW w:w="4287" w:type="dxa"/>
            <w:shd w:val="clear" w:color="auto" w:fill="FAFAFA"/>
          </w:tcPr>
          <w:p w14:paraId="01C739EF">
            <w:pPr>
              <w:pStyle w:val="22"/>
              <w:rPr>
                <w:rFonts w:ascii="Times New Roman"/>
                <w:color w:val="auto"/>
                <w:sz w:val="24"/>
              </w:rPr>
            </w:pPr>
          </w:p>
        </w:tc>
        <w:tc>
          <w:tcPr>
            <w:tcW w:w="870" w:type="dxa"/>
            <w:shd w:val="clear" w:color="auto" w:fill="FAFAFA"/>
          </w:tcPr>
          <w:p w14:paraId="7296AE85">
            <w:pPr>
              <w:pStyle w:val="22"/>
              <w:rPr>
                <w:rFonts w:ascii="Times New Roman"/>
                <w:color w:val="auto"/>
                <w:sz w:val="24"/>
              </w:rPr>
            </w:pPr>
          </w:p>
        </w:tc>
      </w:tr>
    </w:tbl>
    <w:p w14:paraId="39DAC1EE">
      <w:pPr>
        <w:pStyle w:val="11"/>
        <w:rPr>
          <w:color w:val="auto"/>
        </w:rPr>
      </w:pPr>
      <w:r>
        <w:rPr>
          <w:color w:val="auto"/>
          <w:spacing w:val="-5"/>
        </w:rPr>
        <w:t>注：</w:t>
      </w:r>
    </w:p>
    <w:p w14:paraId="6990F7D5">
      <w:pPr>
        <w:pStyle w:val="11"/>
        <w:numPr>
          <w:ilvl w:val="1"/>
          <w:numId w:val="40"/>
        </w:numPr>
        <w:tabs>
          <w:tab w:val="left" w:pos="1508"/>
        </w:tabs>
        <w:spacing w:before="155" w:after="0" w:line="357" w:lineRule="auto"/>
        <w:ind w:left="788" w:right="935" w:firstLine="480"/>
        <w:jc w:val="both"/>
        <w:rPr>
          <w:color w:val="auto"/>
        </w:rPr>
      </w:pPr>
      <w:r>
        <w:rPr>
          <w:color w:val="auto"/>
          <w:spacing w:val="-2"/>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59EF2B9">
      <w:pPr>
        <w:pStyle w:val="11"/>
        <w:numPr>
          <w:ilvl w:val="1"/>
          <w:numId w:val="40"/>
        </w:numPr>
        <w:tabs>
          <w:tab w:val="left" w:pos="1508"/>
        </w:tabs>
        <w:spacing w:before="8" w:after="0" w:line="357" w:lineRule="auto"/>
        <w:ind w:left="788" w:right="935" w:firstLine="480"/>
        <w:jc w:val="left"/>
        <w:rPr>
          <w:color w:val="auto"/>
        </w:rPr>
      </w:pPr>
      <w:r>
        <w:rPr>
          <w:color w:val="auto"/>
          <w:spacing w:val="-2"/>
        </w:rPr>
        <w:t>本表所指的控股关系仅限于直接控股关系，不包括间接的控股关系。公司实际控制人与公司之间的关系不属于本表所指的直接控股关系。</w:t>
      </w:r>
    </w:p>
    <w:p w14:paraId="6371881B">
      <w:pPr>
        <w:pStyle w:val="11"/>
        <w:numPr>
          <w:ilvl w:val="1"/>
          <w:numId w:val="40"/>
        </w:numPr>
        <w:tabs>
          <w:tab w:val="left" w:pos="1508"/>
        </w:tabs>
        <w:spacing w:before="4" w:after="0" w:line="240" w:lineRule="auto"/>
        <w:ind w:left="1508" w:right="0" w:hanging="240"/>
        <w:jc w:val="left"/>
        <w:rPr>
          <w:color w:val="auto"/>
        </w:rPr>
      </w:pPr>
      <w:r>
        <w:rPr>
          <w:color w:val="auto"/>
          <w:spacing w:val="-1"/>
        </w:rPr>
        <w:t>供应商不存在直接控股股东的，则在“直接控股股东名称”填“无”。</w:t>
      </w:r>
    </w:p>
    <w:p w14:paraId="394B1750">
      <w:pPr>
        <w:pStyle w:val="12"/>
        <w:spacing w:before="0"/>
        <w:ind w:left="0"/>
        <w:rPr>
          <w:color w:val="auto"/>
          <w:sz w:val="24"/>
        </w:rPr>
      </w:pPr>
    </w:p>
    <w:p w14:paraId="3465918A">
      <w:pPr>
        <w:pStyle w:val="12"/>
        <w:spacing w:before="0"/>
        <w:ind w:left="0"/>
        <w:rPr>
          <w:color w:val="auto"/>
          <w:sz w:val="24"/>
        </w:rPr>
      </w:pPr>
    </w:p>
    <w:p w14:paraId="4D00FA85">
      <w:pPr>
        <w:pStyle w:val="12"/>
        <w:spacing w:before="173"/>
        <w:ind w:left="0"/>
        <w:rPr>
          <w:color w:val="auto"/>
          <w:sz w:val="24"/>
        </w:rPr>
      </w:pPr>
    </w:p>
    <w:p w14:paraId="1C983E05">
      <w:pPr>
        <w:pStyle w:val="11"/>
        <w:tabs>
          <w:tab w:val="left" w:pos="8767"/>
          <w:tab w:val="left" w:pos="9079"/>
        </w:tabs>
        <w:spacing w:line="357" w:lineRule="auto"/>
        <w:ind w:left="3788" w:right="1284" w:hanging="1128"/>
        <w:rPr>
          <w:rFonts w:ascii="Times New Roman" w:eastAsia="Times New Roman"/>
          <w:color w:val="auto"/>
        </w:rPr>
      </w:pPr>
      <w:r>
        <w:rPr>
          <w:color w:val="auto"/>
          <w:spacing w:val="-2"/>
        </w:rPr>
        <w:t>法定代表人或者委托代理人（签字或者电子签名）：</w:t>
      </w:r>
      <w:r>
        <w:rPr>
          <w:rFonts w:ascii="Times New Roman" w:eastAsia="Times New Roman"/>
          <w:color w:val="auto"/>
          <w:u w:val="single"/>
        </w:rPr>
        <w:tab/>
      </w:r>
      <w:r>
        <w:rPr>
          <w:rFonts w:ascii="Times New Roman" w:eastAsia="Times New Roman"/>
          <w:color w:val="auto"/>
          <w:u w:val="single"/>
        </w:rPr>
        <w:tab/>
      </w:r>
      <w:r>
        <w:rPr>
          <w:rFonts w:ascii="Times New Roman" w:eastAsia="Times New Roman"/>
          <w:color w:val="auto"/>
          <w:u w:val="none"/>
        </w:rPr>
        <w:t xml:space="preserve"> </w:t>
      </w:r>
      <w:r>
        <w:rPr>
          <w:color w:val="auto"/>
          <w:u w:val="none"/>
        </w:rPr>
        <w:t xml:space="preserve">供应商（电子签章）： </w:t>
      </w:r>
      <w:r>
        <w:rPr>
          <w:rFonts w:ascii="Times New Roman" w:eastAsia="Times New Roman"/>
          <w:color w:val="auto"/>
          <w:u w:val="single"/>
        </w:rPr>
        <w:tab/>
      </w:r>
    </w:p>
    <w:p w14:paraId="388FA58B">
      <w:pPr>
        <w:pStyle w:val="11"/>
        <w:tabs>
          <w:tab w:val="left" w:pos="8615"/>
          <w:tab w:val="left" w:pos="9335"/>
        </w:tabs>
        <w:spacing w:before="4"/>
        <w:ind w:left="7895"/>
        <w:rPr>
          <w:color w:val="auto"/>
        </w:rPr>
      </w:pPr>
      <w:r>
        <w:rPr>
          <w:color w:val="auto"/>
          <w:spacing w:val="-10"/>
        </w:rPr>
        <w:t>年</w:t>
      </w:r>
      <w:r>
        <w:rPr>
          <w:color w:val="auto"/>
        </w:rPr>
        <w:tab/>
      </w:r>
      <w:r>
        <w:rPr>
          <w:color w:val="auto"/>
          <w:spacing w:val="-10"/>
        </w:rPr>
        <w:t>月</w:t>
      </w:r>
      <w:r>
        <w:rPr>
          <w:color w:val="auto"/>
        </w:rPr>
        <w:tab/>
      </w:r>
      <w:r>
        <w:rPr>
          <w:color w:val="auto"/>
          <w:spacing w:val="-10"/>
        </w:rPr>
        <w:t>日</w:t>
      </w:r>
    </w:p>
    <w:p w14:paraId="57357A24">
      <w:pPr>
        <w:spacing w:after="0"/>
        <w:rPr>
          <w:color w:val="auto"/>
        </w:rPr>
        <w:sectPr>
          <w:pgSz w:w="11910" w:h="16840"/>
          <w:pgMar w:top="1920" w:right="740" w:bottom="1180" w:left="800" w:header="0" w:footer="989" w:gutter="0"/>
          <w:cols w:space="720" w:num="1"/>
        </w:sectPr>
      </w:pPr>
    </w:p>
    <w:p w14:paraId="29801F5F">
      <w:pPr>
        <w:pStyle w:val="5"/>
        <w:ind w:right="840"/>
        <w:rPr>
          <w:color w:val="auto"/>
        </w:rPr>
      </w:pPr>
      <w:r>
        <w:rPr>
          <w:color w:val="auto"/>
          <w:spacing w:val="-3"/>
        </w:rPr>
        <w:t>供应商直接管理关系信息表</w:t>
      </w:r>
    </w:p>
    <w:p w14:paraId="38E23A50">
      <w:pPr>
        <w:pStyle w:val="12"/>
        <w:spacing w:before="0"/>
        <w:ind w:left="0"/>
        <w:rPr>
          <w:b/>
          <w:color w:val="auto"/>
          <w:sz w:val="20"/>
        </w:rPr>
      </w:pPr>
    </w:p>
    <w:p w14:paraId="0BDE9731">
      <w:pPr>
        <w:pStyle w:val="12"/>
        <w:spacing w:before="157"/>
        <w:ind w:left="0"/>
        <w:rPr>
          <w:b/>
          <w:color w:val="auto"/>
          <w:sz w:val="20"/>
        </w:rPr>
      </w:pPr>
    </w:p>
    <w:tbl>
      <w:tblPr>
        <w:tblStyle w:val="16"/>
        <w:tblW w:w="0" w:type="auto"/>
        <w:tblInd w:w="3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8"/>
        <w:gridCol w:w="3600"/>
        <w:gridCol w:w="3555"/>
        <w:gridCol w:w="1689"/>
      </w:tblGrid>
      <w:tr w14:paraId="0AE67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7" w:hRule="atLeast"/>
        </w:trPr>
        <w:tc>
          <w:tcPr>
            <w:tcW w:w="808" w:type="dxa"/>
            <w:shd w:val="clear" w:color="auto" w:fill="FAFAFA"/>
          </w:tcPr>
          <w:p w14:paraId="28700CC9">
            <w:pPr>
              <w:pStyle w:val="22"/>
              <w:spacing w:before="117"/>
              <w:ind w:left="11" w:right="5"/>
              <w:jc w:val="center"/>
              <w:rPr>
                <w:b/>
                <w:color w:val="auto"/>
                <w:sz w:val="24"/>
              </w:rPr>
            </w:pPr>
            <w:r>
              <w:rPr>
                <w:b/>
                <w:color w:val="auto"/>
                <w:spacing w:val="-5"/>
                <w:sz w:val="24"/>
              </w:rPr>
              <w:t>序号</w:t>
            </w:r>
          </w:p>
        </w:tc>
        <w:tc>
          <w:tcPr>
            <w:tcW w:w="3600" w:type="dxa"/>
            <w:shd w:val="clear" w:color="auto" w:fill="FAFAFA"/>
          </w:tcPr>
          <w:p w14:paraId="6177CEF0">
            <w:pPr>
              <w:pStyle w:val="22"/>
              <w:spacing w:before="117"/>
              <w:ind w:left="595"/>
              <w:rPr>
                <w:b/>
                <w:color w:val="auto"/>
                <w:sz w:val="24"/>
              </w:rPr>
            </w:pPr>
            <w:r>
              <w:rPr>
                <w:b/>
                <w:color w:val="auto"/>
                <w:spacing w:val="-1"/>
                <w:sz w:val="24"/>
              </w:rPr>
              <w:t>直接管理关系单位名称</w:t>
            </w:r>
          </w:p>
        </w:tc>
        <w:tc>
          <w:tcPr>
            <w:tcW w:w="3555" w:type="dxa"/>
            <w:shd w:val="clear" w:color="auto" w:fill="FAFAFA"/>
          </w:tcPr>
          <w:p w14:paraId="7905B36F">
            <w:pPr>
              <w:pStyle w:val="22"/>
              <w:spacing w:before="117"/>
              <w:ind w:left="813"/>
              <w:rPr>
                <w:b/>
                <w:color w:val="auto"/>
                <w:sz w:val="24"/>
              </w:rPr>
            </w:pPr>
            <w:r>
              <w:rPr>
                <w:b/>
                <w:color w:val="auto"/>
                <w:spacing w:val="-2"/>
                <w:sz w:val="24"/>
              </w:rPr>
              <w:t>统一社会信用代码</w:t>
            </w:r>
          </w:p>
        </w:tc>
        <w:tc>
          <w:tcPr>
            <w:tcW w:w="1689" w:type="dxa"/>
            <w:shd w:val="clear" w:color="auto" w:fill="FAFAFA"/>
          </w:tcPr>
          <w:p w14:paraId="7D152858">
            <w:pPr>
              <w:pStyle w:val="22"/>
              <w:spacing w:before="117"/>
              <w:ind w:left="361"/>
              <w:rPr>
                <w:b/>
                <w:color w:val="auto"/>
                <w:sz w:val="24"/>
              </w:rPr>
            </w:pPr>
            <w:r>
              <w:rPr>
                <w:b/>
                <w:color w:val="auto"/>
                <w:spacing w:val="-3"/>
                <w:sz w:val="24"/>
              </w:rPr>
              <w:t>相互关系</w:t>
            </w:r>
          </w:p>
        </w:tc>
      </w:tr>
      <w:tr w14:paraId="21BFC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7" w:hRule="atLeast"/>
        </w:trPr>
        <w:tc>
          <w:tcPr>
            <w:tcW w:w="808" w:type="dxa"/>
            <w:shd w:val="clear" w:color="auto" w:fill="FAFAFA"/>
          </w:tcPr>
          <w:p w14:paraId="5FEDCCBC">
            <w:pPr>
              <w:pStyle w:val="22"/>
              <w:spacing w:before="117"/>
              <w:ind w:left="11"/>
              <w:jc w:val="center"/>
              <w:rPr>
                <w:color w:val="auto"/>
                <w:sz w:val="24"/>
              </w:rPr>
            </w:pPr>
            <w:r>
              <w:rPr>
                <w:color w:val="auto"/>
                <w:spacing w:val="-10"/>
                <w:sz w:val="24"/>
              </w:rPr>
              <w:t>1</w:t>
            </w:r>
          </w:p>
        </w:tc>
        <w:tc>
          <w:tcPr>
            <w:tcW w:w="3600" w:type="dxa"/>
            <w:shd w:val="clear" w:color="auto" w:fill="FAFAFA"/>
          </w:tcPr>
          <w:p w14:paraId="4F5CF457">
            <w:pPr>
              <w:pStyle w:val="22"/>
              <w:rPr>
                <w:rFonts w:ascii="Times New Roman"/>
                <w:color w:val="auto"/>
                <w:sz w:val="24"/>
              </w:rPr>
            </w:pPr>
          </w:p>
        </w:tc>
        <w:tc>
          <w:tcPr>
            <w:tcW w:w="3555" w:type="dxa"/>
            <w:shd w:val="clear" w:color="auto" w:fill="FAFAFA"/>
          </w:tcPr>
          <w:p w14:paraId="5A752B96">
            <w:pPr>
              <w:pStyle w:val="22"/>
              <w:rPr>
                <w:rFonts w:ascii="Times New Roman"/>
                <w:color w:val="auto"/>
                <w:sz w:val="24"/>
              </w:rPr>
            </w:pPr>
          </w:p>
        </w:tc>
        <w:tc>
          <w:tcPr>
            <w:tcW w:w="1689" w:type="dxa"/>
            <w:shd w:val="clear" w:color="auto" w:fill="FAFAFA"/>
          </w:tcPr>
          <w:p w14:paraId="398F10FD">
            <w:pPr>
              <w:pStyle w:val="22"/>
              <w:rPr>
                <w:rFonts w:ascii="Times New Roman"/>
                <w:color w:val="auto"/>
                <w:sz w:val="24"/>
              </w:rPr>
            </w:pPr>
          </w:p>
        </w:tc>
      </w:tr>
      <w:tr w14:paraId="20519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7" w:hRule="atLeast"/>
        </w:trPr>
        <w:tc>
          <w:tcPr>
            <w:tcW w:w="808" w:type="dxa"/>
            <w:shd w:val="clear" w:color="auto" w:fill="FAFAFA"/>
          </w:tcPr>
          <w:p w14:paraId="63000A74">
            <w:pPr>
              <w:pStyle w:val="22"/>
              <w:spacing w:before="118"/>
              <w:ind w:left="11"/>
              <w:jc w:val="center"/>
              <w:rPr>
                <w:color w:val="auto"/>
                <w:sz w:val="24"/>
              </w:rPr>
            </w:pPr>
            <w:r>
              <w:rPr>
                <w:color w:val="auto"/>
                <w:spacing w:val="-10"/>
                <w:sz w:val="24"/>
              </w:rPr>
              <w:t>2</w:t>
            </w:r>
          </w:p>
        </w:tc>
        <w:tc>
          <w:tcPr>
            <w:tcW w:w="3600" w:type="dxa"/>
            <w:shd w:val="clear" w:color="auto" w:fill="FAFAFA"/>
          </w:tcPr>
          <w:p w14:paraId="78E92A73">
            <w:pPr>
              <w:pStyle w:val="22"/>
              <w:rPr>
                <w:rFonts w:ascii="Times New Roman"/>
                <w:color w:val="auto"/>
                <w:sz w:val="24"/>
              </w:rPr>
            </w:pPr>
          </w:p>
        </w:tc>
        <w:tc>
          <w:tcPr>
            <w:tcW w:w="3555" w:type="dxa"/>
            <w:shd w:val="clear" w:color="auto" w:fill="FAFAFA"/>
          </w:tcPr>
          <w:p w14:paraId="70D34816">
            <w:pPr>
              <w:pStyle w:val="22"/>
              <w:rPr>
                <w:rFonts w:ascii="Times New Roman"/>
                <w:color w:val="auto"/>
                <w:sz w:val="24"/>
              </w:rPr>
            </w:pPr>
          </w:p>
        </w:tc>
        <w:tc>
          <w:tcPr>
            <w:tcW w:w="1689" w:type="dxa"/>
            <w:shd w:val="clear" w:color="auto" w:fill="FAFAFA"/>
          </w:tcPr>
          <w:p w14:paraId="3F7DD385">
            <w:pPr>
              <w:pStyle w:val="22"/>
              <w:rPr>
                <w:rFonts w:ascii="Times New Roman"/>
                <w:color w:val="auto"/>
                <w:sz w:val="24"/>
              </w:rPr>
            </w:pPr>
          </w:p>
        </w:tc>
      </w:tr>
      <w:tr w14:paraId="5F1F2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7" w:hRule="atLeast"/>
        </w:trPr>
        <w:tc>
          <w:tcPr>
            <w:tcW w:w="808" w:type="dxa"/>
            <w:shd w:val="clear" w:color="auto" w:fill="FAFAFA"/>
          </w:tcPr>
          <w:p w14:paraId="18FD1D40">
            <w:pPr>
              <w:pStyle w:val="22"/>
              <w:spacing w:before="118"/>
              <w:ind w:left="11"/>
              <w:jc w:val="center"/>
              <w:rPr>
                <w:color w:val="auto"/>
                <w:sz w:val="24"/>
              </w:rPr>
            </w:pPr>
            <w:r>
              <w:rPr>
                <w:color w:val="auto"/>
                <w:spacing w:val="-10"/>
                <w:sz w:val="24"/>
              </w:rPr>
              <w:t>3</w:t>
            </w:r>
          </w:p>
        </w:tc>
        <w:tc>
          <w:tcPr>
            <w:tcW w:w="3600" w:type="dxa"/>
            <w:shd w:val="clear" w:color="auto" w:fill="FAFAFA"/>
          </w:tcPr>
          <w:p w14:paraId="47BA363A">
            <w:pPr>
              <w:pStyle w:val="22"/>
              <w:rPr>
                <w:rFonts w:ascii="Times New Roman"/>
                <w:color w:val="auto"/>
                <w:sz w:val="24"/>
              </w:rPr>
            </w:pPr>
          </w:p>
        </w:tc>
        <w:tc>
          <w:tcPr>
            <w:tcW w:w="3555" w:type="dxa"/>
            <w:shd w:val="clear" w:color="auto" w:fill="FAFAFA"/>
          </w:tcPr>
          <w:p w14:paraId="12320EE3">
            <w:pPr>
              <w:pStyle w:val="22"/>
              <w:rPr>
                <w:rFonts w:ascii="Times New Roman"/>
                <w:color w:val="auto"/>
                <w:sz w:val="24"/>
              </w:rPr>
            </w:pPr>
          </w:p>
        </w:tc>
        <w:tc>
          <w:tcPr>
            <w:tcW w:w="1689" w:type="dxa"/>
            <w:shd w:val="clear" w:color="auto" w:fill="FAFAFA"/>
          </w:tcPr>
          <w:p w14:paraId="0E3200E9">
            <w:pPr>
              <w:pStyle w:val="22"/>
              <w:rPr>
                <w:rFonts w:ascii="Times New Roman"/>
                <w:color w:val="auto"/>
                <w:sz w:val="24"/>
              </w:rPr>
            </w:pPr>
          </w:p>
        </w:tc>
      </w:tr>
      <w:tr w14:paraId="2D79F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trPr>
        <w:tc>
          <w:tcPr>
            <w:tcW w:w="808" w:type="dxa"/>
            <w:shd w:val="clear" w:color="auto" w:fill="FAFAFA"/>
          </w:tcPr>
          <w:p w14:paraId="130C06EB">
            <w:pPr>
              <w:pStyle w:val="22"/>
              <w:spacing w:before="117"/>
              <w:ind w:left="11"/>
              <w:jc w:val="center"/>
              <w:rPr>
                <w:color w:val="auto"/>
                <w:sz w:val="24"/>
              </w:rPr>
            </w:pPr>
            <w:r>
              <w:rPr>
                <w:color w:val="auto"/>
                <w:spacing w:val="-5"/>
                <w:sz w:val="24"/>
              </w:rPr>
              <w:t>……</w:t>
            </w:r>
          </w:p>
        </w:tc>
        <w:tc>
          <w:tcPr>
            <w:tcW w:w="3600" w:type="dxa"/>
            <w:shd w:val="clear" w:color="auto" w:fill="FAFAFA"/>
          </w:tcPr>
          <w:p w14:paraId="09873D44">
            <w:pPr>
              <w:pStyle w:val="22"/>
              <w:rPr>
                <w:rFonts w:ascii="Times New Roman"/>
                <w:color w:val="auto"/>
                <w:sz w:val="24"/>
              </w:rPr>
            </w:pPr>
          </w:p>
        </w:tc>
        <w:tc>
          <w:tcPr>
            <w:tcW w:w="3555" w:type="dxa"/>
            <w:shd w:val="clear" w:color="auto" w:fill="FAFAFA"/>
          </w:tcPr>
          <w:p w14:paraId="0A10960A">
            <w:pPr>
              <w:pStyle w:val="22"/>
              <w:rPr>
                <w:rFonts w:ascii="Times New Roman"/>
                <w:color w:val="auto"/>
                <w:sz w:val="24"/>
              </w:rPr>
            </w:pPr>
          </w:p>
        </w:tc>
        <w:tc>
          <w:tcPr>
            <w:tcW w:w="1689" w:type="dxa"/>
            <w:shd w:val="clear" w:color="auto" w:fill="FAFAFA"/>
          </w:tcPr>
          <w:p w14:paraId="5BB5FF3B">
            <w:pPr>
              <w:pStyle w:val="22"/>
              <w:rPr>
                <w:rFonts w:ascii="Times New Roman"/>
                <w:color w:val="auto"/>
                <w:sz w:val="24"/>
              </w:rPr>
            </w:pPr>
          </w:p>
        </w:tc>
      </w:tr>
    </w:tbl>
    <w:p w14:paraId="2424AFFA">
      <w:pPr>
        <w:pStyle w:val="11"/>
        <w:rPr>
          <w:color w:val="auto"/>
        </w:rPr>
      </w:pPr>
      <w:r>
        <w:rPr>
          <w:color w:val="auto"/>
          <w:spacing w:val="-5"/>
        </w:rPr>
        <w:t>注：</w:t>
      </w:r>
    </w:p>
    <w:p w14:paraId="3CA20B63">
      <w:pPr>
        <w:pStyle w:val="11"/>
        <w:numPr>
          <w:ilvl w:val="0"/>
          <w:numId w:val="41"/>
        </w:numPr>
        <w:tabs>
          <w:tab w:val="left" w:pos="1508"/>
        </w:tabs>
        <w:spacing w:before="152" w:after="0" w:line="360" w:lineRule="auto"/>
        <w:ind w:left="788" w:right="935" w:firstLine="480"/>
        <w:jc w:val="left"/>
        <w:rPr>
          <w:color w:val="auto"/>
        </w:rPr>
      </w:pPr>
      <w:r>
        <w:rPr>
          <w:color w:val="auto"/>
          <w:spacing w:val="-2"/>
        </w:rPr>
        <w:t>管理关系：是指不具有出资持股关系的其他单位之间存在的管理与被管理关系，如一些上下级关系的事业单位和团体组织。</w:t>
      </w:r>
    </w:p>
    <w:p w14:paraId="1D3C52FF">
      <w:pPr>
        <w:pStyle w:val="11"/>
        <w:numPr>
          <w:ilvl w:val="0"/>
          <w:numId w:val="41"/>
        </w:numPr>
        <w:tabs>
          <w:tab w:val="left" w:pos="1508"/>
        </w:tabs>
        <w:spacing w:before="0" w:after="0" w:line="310" w:lineRule="exact"/>
        <w:ind w:left="1508" w:right="0" w:hanging="240"/>
        <w:jc w:val="left"/>
        <w:rPr>
          <w:color w:val="auto"/>
        </w:rPr>
      </w:pPr>
      <w:r>
        <w:rPr>
          <w:color w:val="auto"/>
          <w:spacing w:val="-12"/>
        </w:rPr>
        <w:t>本表所指的管理关系仅限于直接管理关系，不包括间接的管理关系。</w:t>
      </w:r>
    </w:p>
    <w:p w14:paraId="068D1446">
      <w:pPr>
        <w:pStyle w:val="11"/>
        <w:numPr>
          <w:ilvl w:val="0"/>
          <w:numId w:val="41"/>
        </w:numPr>
        <w:tabs>
          <w:tab w:val="left" w:pos="1508"/>
        </w:tabs>
        <w:spacing w:before="156" w:after="0" w:line="240" w:lineRule="auto"/>
        <w:ind w:left="1508" w:right="0" w:hanging="240"/>
        <w:jc w:val="left"/>
        <w:rPr>
          <w:color w:val="auto"/>
        </w:rPr>
      </w:pPr>
      <w:r>
        <w:rPr>
          <w:color w:val="auto"/>
          <w:spacing w:val="-1"/>
        </w:rPr>
        <w:t>供应商不存在直接管理关系的，则在“直接管理关系单位名称”填“无”。</w:t>
      </w:r>
    </w:p>
    <w:p w14:paraId="22CF3393">
      <w:pPr>
        <w:pStyle w:val="12"/>
        <w:spacing w:before="0"/>
        <w:ind w:left="0"/>
        <w:rPr>
          <w:color w:val="auto"/>
          <w:sz w:val="24"/>
        </w:rPr>
      </w:pPr>
    </w:p>
    <w:p w14:paraId="56636785">
      <w:pPr>
        <w:pStyle w:val="12"/>
        <w:spacing w:before="0"/>
        <w:ind w:left="0"/>
        <w:rPr>
          <w:color w:val="auto"/>
          <w:sz w:val="24"/>
        </w:rPr>
      </w:pPr>
    </w:p>
    <w:p w14:paraId="72C49C83">
      <w:pPr>
        <w:pStyle w:val="12"/>
        <w:spacing w:before="0"/>
        <w:ind w:left="0"/>
        <w:rPr>
          <w:color w:val="auto"/>
          <w:sz w:val="24"/>
        </w:rPr>
      </w:pPr>
    </w:p>
    <w:p w14:paraId="5FB70EDA">
      <w:pPr>
        <w:pStyle w:val="12"/>
        <w:spacing w:before="0"/>
        <w:ind w:left="0"/>
        <w:rPr>
          <w:color w:val="auto"/>
          <w:sz w:val="24"/>
        </w:rPr>
      </w:pPr>
    </w:p>
    <w:p w14:paraId="2FF18432">
      <w:pPr>
        <w:pStyle w:val="12"/>
        <w:spacing w:before="0"/>
        <w:ind w:left="0"/>
        <w:rPr>
          <w:color w:val="auto"/>
          <w:sz w:val="24"/>
        </w:rPr>
      </w:pPr>
    </w:p>
    <w:p w14:paraId="05A4EDEF">
      <w:pPr>
        <w:pStyle w:val="12"/>
        <w:spacing w:before="0"/>
        <w:ind w:left="0"/>
        <w:rPr>
          <w:color w:val="auto"/>
          <w:sz w:val="24"/>
        </w:rPr>
      </w:pPr>
    </w:p>
    <w:p w14:paraId="10B2EFD1">
      <w:pPr>
        <w:pStyle w:val="12"/>
        <w:spacing w:before="0"/>
        <w:ind w:left="0"/>
        <w:rPr>
          <w:color w:val="auto"/>
          <w:sz w:val="24"/>
        </w:rPr>
      </w:pPr>
    </w:p>
    <w:p w14:paraId="76E513B0">
      <w:pPr>
        <w:pStyle w:val="12"/>
        <w:spacing w:before="0"/>
        <w:ind w:left="0"/>
        <w:rPr>
          <w:color w:val="auto"/>
          <w:sz w:val="24"/>
        </w:rPr>
      </w:pPr>
    </w:p>
    <w:p w14:paraId="10480D05">
      <w:pPr>
        <w:pStyle w:val="12"/>
        <w:spacing w:before="0"/>
        <w:ind w:left="0"/>
        <w:rPr>
          <w:color w:val="auto"/>
          <w:sz w:val="24"/>
        </w:rPr>
      </w:pPr>
    </w:p>
    <w:p w14:paraId="7650E6EC">
      <w:pPr>
        <w:pStyle w:val="12"/>
        <w:spacing w:before="117"/>
        <w:ind w:left="0"/>
        <w:rPr>
          <w:color w:val="auto"/>
          <w:sz w:val="24"/>
        </w:rPr>
      </w:pPr>
    </w:p>
    <w:p w14:paraId="131138E6">
      <w:pPr>
        <w:pStyle w:val="11"/>
        <w:tabs>
          <w:tab w:val="left" w:pos="8527"/>
          <w:tab w:val="left" w:pos="9154"/>
        </w:tabs>
        <w:spacing w:line="357" w:lineRule="auto"/>
        <w:ind w:left="4148" w:right="1209" w:hanging="1128"/>
        <w:rPr>
          <w:rFonts w:ascii="Times New Roman" w:eastAsia="Times New Roman"/>
          <w:color w:val="auto"/>
        </w:rPr>
      </w:pPr>
      <w:r>
        <w:rPr>
          <w:color w:val="auto"/>
          <w:spacing w:val="-2"/>
        </w:rPr>
        <w:t>法定代表人或者委托代理人（签字或者电子签名）：</w:t>
      </w:r>
      <w:r>
        <w:rPr>
          <w:rFonts w:ascii="Times New Roman" w:eastAsia="Times New Roman"/>
          <w:color w:val="auto"/>
          <w:u w:val="single"/>
        </w:rPr>
        <w:tab/>
      </w:r>
      <w:r>
        <w:rPr>
          <w:rFonts w:ascii="Times New Roman" w:eastAsia="Times New Roman"/>
          <w:color w:val="auto"/>
          <w:u w:val="single"/>
        </w:rPr>
        <w:tab/>
      </w:r>
      <w:r>
        <w:rPr>
          <w:rFonts w:ascii="Times New Roman" w:eastAsia="Times New Roman"/>
          <w:color w:val="auto"/>
          <w:u w:val="none"/>
        </w:rPr>
        <w:t xml:space="preserve"> </w:t>
      </w:r>
      <w:r>
        <w:rPr>
          <w:color w:val="auto"/>
          <w:spacing w:val="-2"/>
          <w:u w:val="none"/>
        </w:rPr>
        <w:t>供应商（电子签章）：</w:t>
      </w:r>
      <w:r>
        <w:rPr>
          <w:rFonts w:ascii="Times New Roman" w:eastAsia="Times New Roman"/>
          <w:color w:val="auto"/>
          <w:u w:val="single"/>
        </w:rPr>
        <w:tab/>
      </w:r>
    </w:p>
    <w:p w14:paraId="2BEFD101">
      <w:pPr>
        <w:pStyle w:val="11"/>
        <w:tabs>
          <w:tab w:val="left" w:pos="6788"/>
          <w:tab w:val="left" w:pos="7508"/>
        </w:tabs>
        <w:spacing w:before="4"/>
        <w:ind w:left="6068"/>
        <w:rPr>
          <w:color w:val="auto"/>
        </w:rPr>
      </w:pPr>
      <w:r>
        <w:rPr>
          <w:color w:val="auto"/>
          <w:spacing w:val="-10"/>
        </w:rPr>
        <w:t>年</w:t>
      </w:r>
      <w:r>
        <w:rPr>
          <w:color w:val="auto"/>
        </w:rPr>
        <w:tab/>
      </w:r>
      <w:r>
        <w:rPr>
          <w:color w:val="auto"/>
          <w:spacing w:val="-10"/>
        </w:rPr>
        <w:t>月</w:t>
      </w:r>
      <w:r>
        <w:rPr>
          <w:color w:val="auto"/>
        </w:rPr>
        <w:tab/>
      </w:r>
      <w:r>
        <w:rPr>
          <w:color w:val="auto"/>
          <w:spacing w:val="-10"/>
        </w:rPr>
        <w:t>日</w:t>
      </w:r>
    </w:p>
    <w:p w14:paraId="7FB0C439">
      <w:pPr>
        <w:spacing w:after="0"/>
        <w:rPr>
          <w:color w:val="auto"/>
        </w:rPr>
        <w:sectPr>
          <w:pgSz w:w="11910" w:h="16840"/>
          <w:pgMar w:top="1400" w:right="740" w:bottom="1180" w:left="800" w:header="0" w:footer="989" w:gutter="0"/>
          <w:cols w:space="720" w:num="1"/>
        </w:sectPr>
      </w:pPr>
    </w:p>
    <w:p w14:paraId="1E7A2687">
      <w:pPr>
        <w:pStyle w:val="5"/>
        <w:spacing w:before="33"/>
        <w:ind w:right="835"/>
        <w:rPr>
          <w:color w:val="auto"/>
        </w:rPr>
      </w:pPr>
      <w:r>
        <w:rPr>
          <w:color w:val="auto"/>
          <w:spacing w:val="-4"/>
        </w:rPr>
        <w:t>竞标声明</w:t>
      </w:r>
    </w:p>
    <w:p w14:paraId="11E2032D">
      <w:pPr>
        <w:pStyle w:val="11"/>
        <w:spacing w:before="290"/>
        <w:rPr>
          <w:color w:val="auto"/>
        </w:rPr>
      </w:pPr>
      <w:r>
        <w:rPr>
          <w:color w:val="auto"/>
        </w:rPr>
        <w:t>致：</w:t>
      </w:r>
      <w:r>
        <w:rPr>
          <w:color w:val="auto"/>
          <w:u w:val="single"/>
        </w:rPr>
        <w:t>（采购人名称</w:t>
      </w:r>
      <w:r>
        <w:rPr>
          <w:color w:val="auto"/>
          <w:spacing w:val="-10"/>
          <w:u w:val="single"/>
        </w:rPr>
        <w:t>）</w:t>
      </w:r>
    </w:p>
    <w:p w14:paraId="65B37CEB">
      <w:pPr>
        <w:pStyle w:val="11"/>
        <w:tabs>
          <w:tab w:val="left" w:pos="4628"/>
        </w:tabs>
        <w:spacing w:before="154" w:line="360" w:lineRule="auto"/>
        <w:ind w:right="788" w:firstLine="480"/>
        <w:rPr>
          <w:color w:val="auto"/>
        </w:rPr>
      </w:pPr>
      <w:r>
        <w:rPr>
          <w:color w:val="auto"/>
        </w:rPr>
        <w:t>我</w:t>
      </w:r>
      <w:r>
        <w:rPr>
          <w:color w:val="auto"/>
          <w:spacing w:val="-39"/>
        </w:rPr>
        <w:t xml:space="preserve"> </w:t>
      </w:r>
      <w:r>
        <w:rPr>
          <w:color w:val="auto"/>
        </w:rPr>
        <w:t>方</w:t>
      </w:r>
      <w:r>
        <w:rPr>
          <w:color w:val="auto"/>
          <w:spacing w:val="-39"/>
        </w:rPr>
        <w:t xml:space="preserve"> </w:t>
      </w:r>
      <w:r>
        <w:rPr>
          <w:color w:val="auto"/>
          <w:u w:val="single"/>
        </w:rPr>
        <w:t>（</w:t>
      </w:r>
      <w:r>
        <w:rPr>
          <w:color w:val="auto"/>
          <w:spacing w:val="-39"/>
          <w:u w:val="single"/>
        </w:rPr>
        <w:t xml:space="preserve"> </w:t>
      </w:r>
      <w:r>
        <w:rPr>
          <w:color w:val="auto"/>
          <w:u w:val="single"/>
        </w:rPr>
        <w:t>供</w:t>
      </w:r>
      <w:r>
        <w:rPr>
          <w:color w:val="auto"/>
          <w:spacing w:val="-36"/>
          <w:u w:val="single"/>
        </w:rPr>
        <w:t xml:space="preserve"> </w:t>
      </w:r>
      <w:r>
        <w:rPr>
          <w:color w:val="auto"/>
          <w:u w:val="single"/>
        </w:rPr>
        <w:t>应</w:t>
      </w:r>
      <w:r>
        <w:rPr>
          <w:color w:val="auto"/>
          <w:spacing w:val="-39"/>
          <w:u w:val="single"/>
        </w:rPr>
        <w:t xml:space="preserve"> </w:t>
      </w:r>
      <w:r>
        <w:rPr>
          <w:color w:val="auto"/>
          <w:u w:val="single"/>
        </w:rPr>
        <w:t>商</w:t>
      </w:r>
      <w:r>
        <w:rPr>
          <w:color w:val="auto"/>
          <w:spacing w:val="-36"/>
          <w:u w:val="single"/>
        </w:rPr>
        <w:t xml:space="preserve"> </w:t>
      </w:r>
      <w:r>
        <w:rPr>
          <w:color w:val="auto"/>
          <w:u w:val="single"/>
        </w:rPr>
        <w:t>名</w:t>
      </w:r>
      <w:r>
        <w:rPr>
          <w:color w:val="auto"/>
          <w:spacing w:val="-39"/>
          <w:u w:val="single"/>
        </w:rPr>
        <w:t xml:space="preserve"> </w:t>
      </w:r>
      <w:r>
        <w:rPr>
          <w:color w:val="auto"/>
          <w:u w:val="single"/>
        </w:rPr>
        <w:t>称</w:t>
      </w:r>
      <w:r>
        <w:rPr>
          <w:color w:val="auto"/>
          <w:spacing w:val="-36"/>
          <w:u w:val="single"/>
        </w:rPr>
        <w:t xml:space="preserve"> </w:t>
      </w:r>
      <w:r>
        <w:rPr>
          <w:color w:val="auto"/>
          <w:u w:val="single"/>
        </w:rPr>
        <w:t>）</w:t>
      </w:r>
      <w:r>
        <w:rPr>
          <w:color w:val="auto"/>
          <w:spacing w:val="-37"/>
          <w:u w:val="single"/>
        </w:rPr>
        <w:t xml:space="preserve"> </w:t>
      </w:r>
      <w:r>
        <w:rPr>
          <w:color w:val="auto"/>
          <w:u w:val="none"/>
        </w:rPr>
        <w:t>系</w:t>
      </w:r>
      <w:r>
        <w:rPr>
          <w:color w:val="auto"/>
          <w:spacing w:val="-39"/>
          <w:u w:val="none"/>
        </w:rPr>
        <w:t xml:space="preserve"> </w:t>
      </w:r>
      <w:r>
        <w:rPr>
          <w:color w:val="auto"/>
          <w:u w:val="none"/>
        </w:rPr>
        <w:t>中</w:t>
      </w:r>
      <w:r>
        <w:rPr>
          <w:color w:val="auto"/>
          <w:spacing w:val="-36"/>
          <w:u w:val="none"/>
        </w:rPr>
        <w:t xml:space="preserve"> </w:t>
      </w:r>
      <w:r>
        <w:rPr>
          <w:color w:val="auto"/>
          <w:u w:val="none"/>
        </w:rPr>
        <w:t>华</w:t>
      </w:r>
      <w:r>
        <w:rPr>
          <w:color w:val="auto"/>
          <w:spacing w:val="-39"/>
          <w:u w:val="none"/>
        </w:rPr>
        <w:t xml:space="preserve"> </w:t>
      </w:r>
      <w:r>
        <w:rPr>
          <w:color w:val="auto"/>
          <w:u w:val="none"/>
        </w:rPr>
        <w:t>人</w:t>
      </w:r>
      <w:r>
        <w:rPr>
          <w:color w:val="auto"/>
          <w:spacing w:val="-36"/>
          <w:u w:val="none"/>
        </w:rPr>
        <w:t xml:space="preserve"> </w:t>
      </w:r>
      <w:r>
        <w:rPr>
          <w:color w:val="auto"/>
          <w:u w:val="none"/>
        </w:rPr>
        <w:t>民</w:t>
      </w:r>
      <w:r>
        <w:rPr>
          <w:color w:val="auto"/>
          <w:spacing w:val="-39"/>
          <w:u w:val="none"/>
        </w:rPr>
        <w:t xml:space="preserve"> </w:t>
      </w:r>
      <w:r>
        <w:rPr>
          <w:color w:val="auto"/>
          <w:u w:val="none"/>
        </w:rPr>
        <w:t>共</w:t>
      </w:r>
      <w:r>
        <w:rPr>
          <w:color w:val="auto"/>
          <w:spacing w:val="-36"/>
          <w:u w:val="none"/>
        </w:rPr>
        <w:t xml:space="preserve"> </w:t>
      </w:r>
      <w:r>
        <w:rPr>
          <w:color w:val="auto"/>
          <w:u w:val="none"/>
        </w:rPr>
        <w:t>和</w:t>
      </w:r>
      <w:r>
        <w:rPr>
          <w:color w:val="auto"/>
          <w:spacing w:val="-39"/>
          <w:u w:val="none"/>
        </w:rPr>
        <w:t xml:space="preserve"> </w:t>
      </w:r>
      <w:r>
        <w:rPr>
          <w:color w:val="auto"/>
          <w:u w:val="none"/>
        </w:rPr>
        <w:t>国</w:t>
      </w:r>
      <w:r>
        <w:rPr>
          <w:color w:val="auto"/>
          <w:spacing w:val="-36"/>
          <w:u w:val="none"/>
        </w:rPr>
        <w:t xml:space="preserve"> </w:t>
      </w:r>
      <w:r>
        <w:rPr>
          <w:color w:val="auto"/>
          <w:u w:val="none"/>
        </w:rPr>
        <w:t>合</w:t>
      </w:r>
      <w:r>
        <w:rPr>
          <w:color w:val="auto"/>
          <w:spacing w:val="-39"/>
          <w:u w:val="none"/>
        </w:rPr>
        <w:t xml:space="preserve"> </w:t>
      </w:r>
      <w:r>
        <w:rPr>
          <w:color w:val="auto"/>
          <w:u w:val="none"/>
        </w:rPr>
        <w:t>法</w:t>
      </w:r>
      <w:r>
        <w:rPr>
          <w:color w:val="auto"/>
          <w:spacing w:val="-39"/>
          <w:u w:val="none"/>
        </w:rPr>
        <w:t xml:space="preserve"> </w:t>
      </w:r>
      <w:r>
        <w:rPr>
          <w:color w:val="auto"/>
          <w:u w:val="none"/>
        </w:rPr>
        <w:t>供</w:t>
      </w:r>
      <w:r>
        <w:rPr>
          <w:color w:val="auto"/>
          <w:spacing w:val="-36"/>
          <w:u w:val="none"/>
        </w:rPr>
        <w:t xml:space="preserve"> </w:t>
      </w:r>
      <w:r>
        <w:rPr>
          <w:color w:val="auto"/>
          <w:u w:val="none"/>
        </w:rPr>
        <w:t>应</w:t>
      </w:r>
      <w:r>
        <w:rPr>
          <w:color w:val="auto"/>
          <w:spacing w:val="-39"/>
          <w:u w:val="none"/>
        </w:rPr>
        <w:t xml:space="preserve"> </w:t>
      </w:r>
      <w:r>
        <w:rPr>
          <w:color w:val="auto"/>
          <w:u w:val="none"/>
        </w:rPr>
        <w:t>商</w:t>
      </w:r>
      <w:r>
        <w:rPr>
          <w:color w:val="auto"/>
          <w:spacing w:val="-36"/>
          <w:u w:val="none"/>
        </w:rPr>
        <w:t xml:space="preserve"> </w:t>
      </w:r>
      <w:r>
        <w:rPr>
          <w:color w:val="auto"/>
          <w:u w:val="none"/>
        </w:rPr>
        <w:t>，</w:t>
      </w:r>
      <w:r>
        <w:rPr>
          <w:color w:val="auto"/>
          <w:spacing w:val="-39"/>
          <w:u w:val="none"/>
        </w:rPr>
        <w:t xml:space="preserve"> </w:t>
      </w:r>
      <w:r>
        <w:rPr>
          <w:color w:val="auto"/>
          <w:u w:val="none"/>
        </w:rPr>
        <w:t>经</w:t>
      </w:r>
      <w:r>
        <w:rPr>
          <w:color w:val="auto"/>
          <w:spacing w:val="-36"/>
          <w:u w:val="none"/>
        </w:rPr>
        <w:t xml:space="preserve"> </w:t>
      </w:r>
      <w:r>
        <w:rPr>
          <w:color w:val="auto"/>
          <w:u w:val="none"/>
        </w:rPr>
        <w:t>营</w:t>
      </w:r>
      <w:r>
        <w:rPr>
          <w:color w:val="auto"/>
          <w:spacing w:val="-39"/>
          <w:u w:val="none"/>
        </w:rPr>
        <w:t xml:space="preserve"> </w:t>
      </w:r>
      <w:r>
        <w:rPr>
          <w:color w:val="auto"/>
          <w:u w:val="none"/>
        </w:rPr>
        <w:t>地</w:t>
      </w:r>
      <w:r>
        <w:rPr>
          <w:color w:val="auto"/>
          <w:spacing w:val="-10"/>
          <w:u w:val="none"/>
        </w:rPr>
        <w:t>址</w:t>
      </w:r>
      <w:r>
        <w:rPr>
          <w:rFonts w:ascii="Times New Roman" w:eastAsia="Times New Roman"/>
          <w:color w:val="auto"/>
          <w:u w:val="single"/>
        </w:rPr>
        <w:tab/>
      </w:r>
      <w:r>
        <w:rPr>
          <w:color w:val="auto"/>
          <w:spacing w:val="-10"/>
          <w:u w:val="none"/>
        </w:rPr>
        <w:t>。</w:t>
      </w:r>
    </w:p>
    <w:p w14:paraId="36388E8B">
      <w:pPr>
        <w:pStyle w:val="11"/>
        <w:spacing w:line="360" w:lineRule="auto"/>
        <w:ind w:right="788" w:firstLine="480"/>
        <w:rPr>
          <w:color w:val="auto"/>
        </w:rPr>
      </w:pPr>
      <w:r>
        <w:rPr>
          <w:color w:val="auto"/>
          <w:spacing w:val="-2"/>
        </w:rPr>
        <w:t>我方愿意参加贵方组织的</w:t>
      </w:r>
      <w:r>
        <w:rPr>
          <w:color w:val="auto"/>
          <w:spacing w:val="-2"/>
          <w:u w:val="single"/>
        </w:rPr>
        <w:t>（项目名称）（项目编号）</w:t>
      </w:r>
      <w:r>
        <w:rPr>
          <w:color w:val="auto"/>
          <w:spacing w:val="-2"/>
          <w:u w:val="none"/>
        </w:rPr>
        <w:t>项目的竞标，为便于贵方公正、择优地确定成交供应商及其服务，我方就本次竞标有关事项郑重声明如下：</w:t>
      </w:r>
    </w:p>
    <w:p w14:paraId="6092385E">
      <w:pPr>
        <w:pStyle w:val="11"/>
        <w:numPr>
          <w:ilvl w:val="0"/>
          <w:numId w:val="42"/>
        </w:numPr>
        <w:tabs>
          <w:tab w:val="left" w:pos="1508"/>
        </w:tabs>
        <w:spacing w:before="0" w:after="0" w:line="240" w:lineRule="auto"/>
        <w:ind w:left="1508" w:right="0" w:hanging="240"/>
        <w:jc w:val="left"/>
        <w:rPr>
          <w:color w:val="auto"/>
        </w:rPr>
      </w:pPr>
      <w:r>
        <w:rPr>
          <w:color w:val="auto"/>
          <w:spacing w:val="-1"/>
        </w:rPr>
        <w:t>我方向贵方提交的所有响应文件、资料都是准确的和真实的。</w:t>
      </w:r>
    </w:p>
    <w:p w14:paraId="49F92EA8">
      <w:pPr>
        <w:pStyle w:val="11"/>
        <w:numPr>
          <w:ilvl w:val="0"/>
          <w:numId w:val="42"/>
        </w:numPr>
        <w:tabs>
          <w:tab w:val="left" w:pos="1510"/>
        </w:tabs>
        <w:spacing w:before="151" w:after="0" w:line="360" w:lineRule="auto"/>
        <w:ind w:left="788" w:right="791" w:firstLine="480"/>
        <w:jc w:val="left"/>
        <w:rPr>
          <w:color w:val="auto"/>
        </w:rPr>
      </w:pPr>
      <w:r>
        <w:rPr>
          <w:color w:val="auto"/>
          <w:spacing w:val="-2"/>
        </w:rPr>
        <w:t>我方不是为本次采购项目提供整体设计、规范编制或者项目管理、监理、检测等服务的供应商。</w:t>
      </w:r>
    </w:p>
    <w:p w14:paraId="4670A6E8">
      <w:pPr>
        <w:pStyle w:val="11"/>
        <w:numPr>
          <w:ilvl w:val="0"/>
          <w:numId w:val="42"/>
        </w:numPr>
        <w:tabs>
          <w:tab w:val="left" w:pos="1508"/>
        </w:tabs>
        <w:spacing w:before="0" w:after="0" w:line="310" w:lineRule="exact"/>
        <w:ind w:left="1508" w:right="0" w:hanging="240"/>
        <w:jc w:val="left"/>
        <w:rPr>
          <w:color w:val="auto"/>
        </w:rPr>
      </w:pPr>
      <w:r>
        <w:rPr>
          <w:color w:val="auto"/>
          <w:spacing w:val="-1"/>
        </w:rPr>
        <w:t>在此，我方宣布同意如下：</w:t>
      </w:r>
    </w:p>
    <w:p w14:paraId="19A9C3B3">
      <w:pPr>
        <w:pStyle w:val="11"/>
        <w:numPr>
          <w:ilvl w:val="0"/>
          <w:numId w:val="43"/>
        </w:numPr>
        <w:tabs>
          <w:tab w:val="left" w:pos="1868"/>
        </w:tabs>
        <w:spacing w:before="153" w:after="0" w:line="240" w:lineRule="auto"/>
        <w:ind w:left="1868" w:right="0" w:hanging="600"/>
        <w:jc w:val="left"/>
        <w:rPr>
          <w:color w:val="auto"/>
        </w:rPr>
      </w:pPr>
      <w:r>
        <w:rPr>
          <w:color w:val="auto"/>
          <w:spacing w:val="-1"/>
        </w:rPr>
        <w:t>将按磋商文件的约定履行合同责任和义务；</w:t>
      </w:r>
    </w:p>
    <w:p w14:paraId="4211DE7B">
      <w:pPr>
        <w:pStyle w:val="11"/>
        <w:numPr>
          <w:ilvl w:val="0"/>
          <w:numId w:val="43"/>
        </w:numPr>
        <w:tabs>
          <w:tab w:val="left" w:pos="1868"/>
        </w:tabs>
        <w:spacing w:before="156" w:after="0" w:line="240" w:lineRule="auto"/>
        <w:ind w:left="1868" w:right="0" w:hanging="600"/>
        <w:jc w:val="left"/>
        <w:rPr>
          <w:color w:val="auto"/>
        </w:rPr>
      </w:pPr>
      <w:r>
        <w:rPr>
          <w:color w:val="auto"/>
        </w:rPr>
        <w:t>已详细审查全部磋商文件，包括澄清或者更正公告（如有</w:t>
      </w:r>
      <w:r>
        <w:rPr>
          <w:color w:val="auto"/>
          <w:spacing w:val="-5"/>
        </w:rPr>
        <w:t>）；</w:t>
      </w:r>
    </w:p>
    <w:p w14:paraId="6ADEC3D1">
      <w:pPr>
        <w:pStyle w:val="11"/>
        <w:numPr>
          <w:ilvl w:val="0"/>
          <w:numId w:val="43"/>
        </w:numPr>
        <w:tabs>
          <w:tab w:val="left" w:pos="1868"/>
        </w:tabs>
        <w:spacing w:before="156" w:after="0" w:line="240" w:lineRule="auto"/>
        <w:ind w:left="1868" w:right="0" w:hanging="600"/>
        <w:jc w:val="left"/>
        <w:rPr>
          <w:color w:val="auto"/>
        </w:rPr>
      </w:pPr>
      <w:r>
        <w:rPr>
          <w:color w:val="auto"/>
          <w:spacing w:val="-1"/>
        </w:rPr>
        <w:t>同意提供按照贵方可能要求的与磋商有关的一切数据或者资料；</w:t>
      </w:r>
    </w:p>
    <w:p w14:paraId="3D2E238B">
      <w:pPr>
        <w:pStyle w:val="11"/>
        <w:numPr>
          <w:ilvl w:val="0"/>
          <w:numId w:val="43"/>
        </w:numPr>
        <w:tabs>
          <w:tab w:val="left" w:pos="1868"/>
        </w:tabs>
        <w:spacing w:before="154" w:after="0" w:line="240" w:lineRule="auto"/>
        <w:ind w:left="1868" w:right="0" w:hanging="600"/>
        <w:jc w:val="left"/>
        <w:rPr>
          <w:color w:val="auto"/>
        </w:rPr>
      </w:pPr>
      <w:r>
        <w:rPr>
          <w:color w:val="auto"/>
          <w:spacing w:val="-1"/>
        </w:rPr>
        <w:t>响应磋商文件规定的竞标有效期。</w:t>
      </w:r>
    </w:p>
    <w:p w14:paraId="0711221D">
      <w:pPr>
        <w:pStyle w:val="11"/>
        <w:numPr>
          <w:ilvl w:val="0"/>
          <w:numId w:val="42"/>
        </w:numPr>
        <w:tabs>
          <w:tab w:val="left" w:pos="1508"/>
        </w:tabs>
        <w:spacing w:before="156" w:after="0" w:line="240" w:lineRule="auto"/>
        <w:ind w:left="1508" w:right="0" w:hanging="240"/>
        <w:jc w:val="left"/>
        <w:rPr>
          <w:color w:val="auto"/>
        </w:rPr>
      </w:pPr>
      <w:r>
        <w:rPr>
          <w:color w:val="auto"/>
          <w:spacing w:val="-1"/>
        </w:rPr>
        <w:t>我方承诺符合《中华人民共和国政府采购法》第二十二条规定：</w:t>
      </w:r>
    </w:p>
    <w:p w14:paraId="5171B387">
      <w:pPr>
        <w:pStyle w:val="11"/>
        <w:numPr>
          <w:ilvl w:val="0"/>
          <w:numId w:val="44"/>
        </w:numPr>
        <w:tabs>
          <w:tab w:val="left" w:pos="1868"/>
        </w:tabs>
        <w:spacing w:before="154" w:after="0" w:line="240" w:lineRule="auto"/>
        <w:ind w:left="1868" w:right="0" w:hanging="600"/>
        <w:jc w:val="left"/>
        <w:rPr>
          <w:color w:val="auto"/>
        </w:rPr>
      </w:pPr>
      <w:r>
        <w:rPr>
          <w:color w:val="auto"/>
          <w:spacing w:val="-1"/>
        </w:rPr>
        <w:t>具有独立承担民事责任的能力；</w:t>
      </w:r>
    </w:p>
    <w:p w14:paraId="10A46B83">
      <w:pPr>
        <w:pStyle w:val="11"/>
        <w:numPr>
          <w:ilvl w:val="0"/>
          <w:numId w:val="44"/>
        </w:numPr>
        <w:tabs>
          <w:tab w:val="left" w:pos="1868"/>
        </w:tabs>
        <w:spacing w:before="156" w:after="0" w:line="240" w:lineRule="auto"/>
        <w:ind w:left="1868" w:right="0" w:hanging="600"/>
        <w:jc w:val="left"/>
        <w:rPr>
          <w:color w:val="auto"/>
        </w:rPr>
      </w:pPr>
      <w:r>
        <w:rPr>
          <w:color w:val="auto"/>
          <w:spacing w:val="-1"/>
        </w:rPr>
        <w:t>具有良好的商业信誉和健全的财务会计制度；</w:t>
      </w:r>
    </w:p>
    <w:p w14:paraId="096343EE">
      <w:pPr>
        <w:pStyle w:val="11"/>
        <w:numPr>
          <w:ilvl w:val="0"/>
          <w:numId w:val="44"/>
        </w:numPr>
        <w:tabs>
          <w:tab w:val="left" w:pos="1868"/>
        </w:tabs>
        <w:spacing w:before="156" w:after="0" w:line="240" w:lineRule="auto"/>
        <w:ind w:left="1868" w:right="0" w:hanging="600"/>
        <w:jc w:val="left"/>
        <w:rPr>
          <w:color w:val="auto"/>
        </w:rPr>
      </w:pPr>
      <w:r>
        <w:rPr>
          <w:color w:val="auto"/>
          <w:spacing w:val="-1"/>
        </w:rPr>
        <w:t>具有履行合同所必需的设备和专业技术能力；</w:t>
      </w:r>
    </w:p>
    <w:p w14:paraId="4DF4EF04">
      <w:pPr>
        <w:pStyle w:val="11"/>
        <w:numPr>
          <w:ilvl w:val="0"/>
          <w:numId w:val="44"/>
        </w:numPr>
        <w:tabs>
          <w:tab w:val="left" w:pos="1868"/>
        </w:tabs>
        <w:spacing w:before="153" w:after="0" w:line="240" w:lineRule="auto"/>
        <w:ind w:left="1868" w:right="0" w:hanging="600"/>
        <w:jc w:val="left"/>
        <w:rPr>
          <w:color w:val="auto"/>
        </w:rPr>
      </w:pPr>
      <w:r>
        <w:rPr>
          <w:color w:val="auto"/>
          <w:spacing w:val="-1"/>
        </w:rPr>
        <w:t>有依法缴纳税收和社会保障资金的良好记录；</w:t>
      </w:r>
    </w:p>
    <w:p w14:paraId="77515AD9">
      <w:pPr>
        <w:pStyle w:val="11"/>
        <w:numPr>
          <w:ilvl w:val="0"/>
          <w:numId w:val="44"/>
        </w:numPr>
        <w:tabs>
          <w:tab w:val="left" w:pos="1868"/>
        </w:tabs>
        <w:spacing w:before="154" w:after="0" w:line="240" w:lineRule="auto"/>
        <w:ind w:left="1868" w:right="0" w:hanging="600"/>
        <w:jc w:val="left"/>
        <w:rPr>
          <w:color w:val="auto"/>
        </w:rPr>
      </w:pPr>
      <w:r>
        <w:rPr>
          <w:color w:val="auto"/>
          <w:spacing w:val="-1"/>
        </w:rPr>
        <w:t>参加政府采购活动前三年内，在经营活动中没有重大违法记录；</w:t>
      </w:r>
    </w:p>
    <w:p w14:paraId="245B55C7">
      <w:pPr>
        <w:pStyle w:val="11"/>
        <w:numPr>
          <w:ilvl w:val="0"/>
          <w:numId w:val="44"/>
        </w:numPr>
        <w:tabs>
          <w:tab w:val="left" w:pos="1868"/>
        </w:tabs>
        <w:spacing w:before="156" w:after="0" w:line="240" w:lineRule="auto"/>
        <w:ind w:left="1868" w:right="0" w:hanging="600"/>
        <w:jc w:val="left"/>
        <w:rPr>
          <w:color w:val="auto"/>
        </w:rPr>
      </w:pPr>
      <w:r>
        <w:rPr>
          <w:color w:val="auto"/>
          <w:spacing w:val="-1"/>
        </w:rPr>
        <w:t>法律、行政法规规定的其他条件。</w:t>
      </w:r>
    </w:p>
    <w:p w14:paraId="34F681AD">
      <w:pPr>
        <w:pStyle w:val="11"/>
        <w:numPr>
          <w:ilvl w:val="0"/>
          <w:numId w:val="42"/>
        </w:numPr>
        <w:tabs>
          <w:tab w:val="left" w:pos="1510"/>
        </w:tabs>
        <w:spacing w:before="153" w:after="0" w:line="360" w:lineRule="auto"/>
        <w:ind w:left="788" w:right="788" w:firstLine="480"/>
        <w:jc w:val="both"/>
        <w:rPr>
          <w:color w:val="auto"/>
        </w:rPr>
      </w:pPr>
      <w:r>
        <w:rPr>
          <w:color w:val="auto"/>
          <w:spacing w:val="-2"/>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36364F7B">
      <w:pPr>
        <w:pStyle w:val="11"/>
        <w:numPr>
          <w:ilvl w:val="0"/>
          <w:numId w:val="42"/>
        </w:numPr>
        <w:tabs>
          <w:tab w:val="left" w:pos="1510"/>
        </w:tabs>
        <w:spacing w:before="0" w:after="0" w:line="357" w:lineRule="auto"/>
        <w:ind w:left="788" w:right="788" w:firstLine="480"/>
        <w:jc w:val="left"/>
        <w:rPr>
          <w:color w:val="auto"/>
        </w:rPr>
      </w:pPr>
      <w:r>
        <w:rPr>
          <w:color w:val="auto"/>
          <w:spacing w:val="-2"/>
        </w:rPr>
        <w:t>根据《中华人民共和国政府采购法实施条例》第五十条要求对政府采购合同进行公告，但政府采购合同中涉及国家秘密、商业秘密的内容除外。我方就对本次</w:t>
      </w:r>
    </w:p>
    <w:p w14:paraId="50BA98D3">
      <w:pPr>
        <w:spacing w:after="0" w:line="357" w:lineRule="auto"/>
        <w:jc w:val="left"/>
        <w:rPr>
          <w:color w:val="auto"/>
        </w:rPr>
        <w:sectPr>
          <w:pgSz w:w="11910" w:h="16840"/>
          <w:pgMar w:top="1320" w:right="740" w:bottom="1180" w:left="800" w:header="0" w:footer="989" w:gutter="0"/>
          <w:cols w:space="720" w:num="1"/>
        </w:sectPr>
      </w:pPr>
    </w:p>
    <w:p w14:paraId="28D98C8A">
      <w:pPr>
        <w:pStyle w:val="11"/>
        <w:spacing w:before="38"/>
        <w:rPr>
          <w:color w:val="auto"/>
        </w:rPr>
      </w:pPr>
      <w:r>
        <w:rPr>
          <w:color w:val="auto"/>
        </w:rPr>
        <w:t>响应文件进行注明如下：（两项内容中必须选择一项</w:t>
      </w:r>
      <w:r>
        <w:rPr>
          <w:color w:val="auto"/>
          <w:spacing w:val="-10"/>
        </w:rPr>
        <w:t>）</w:t>
      </w:r>
    </w:p>
    <w:p w14:paraId="42FB7083">
      <w:pPr>
        <w:pStyle w:val="11"/>
        <w:spacing w:before="156"/>
        <w:ind w:left="1268"/>
        <w:rPr>
          <w:color w:val="auto"/>
        </w:rPr>
      </w:pPr>
      <w:r>
        <w:rPr>
          <w:color w:val="auto"/>
          <w:spacing w:val="-1"/>
        </w:rPr>
        <w:t>□我方本次响应文件内容中未涉及商业秘密；</w:t>
      </w:r>
    </w:p>
    <w:p w14:paraId="5C8BAF71">
      <w:pPr>
        <w:pStyle w:val="11"/>
        <w:tabs>
          <w:tab w:val="left" w:pos="5527"/>
          <w:tab w:val="left" w:pos="7988"/>
          <w:tab w:val="left" w:pos="9068"/>
          <w:tab w:val="left" w:pos="9615"/>
        </w:tabs>
        <w:spacing w:before="154" w:line="360" w:lineRule="auto"/>
        <w:ind w:left="1268" w:right="729"/>
        <w:rPr>
          <w:color w:val="auto"/>
        </w:rPr>
      </w:pPr>
      <w:r>
        <w:rPr>
          <w:color w:val="auto"/>
          <w:spacing w:val="-2"/>
        </w:rPr>
        <w:t>□我方本次响应文件涉及商业秘密的内容有：</w:t>
      </w:r>
      <w:r>
        <w:rPr>
          <w:rFonts w:ascii="Times New Roman" w:hAnsi="Times New Roman" w:eastAsia="Times New Roman"/>
          <w:color w:val="auto"/>
          <w:u w:val="single"/>
        </w:rPr>
        <w:tab/>
      </w:r>
      <w:r>
        <w:rPr>
          <w:rFonts w:ascii="Times New Roman" w:hAnsi="Times New Roman" w:eastAsia="Times New Roman"/>
          <w:color w:val="auto"/>
          <w:u w:val="single"/>
        </w:rPr>
        <w:tab/>
      </w:r>
      <w:r>
        <w:rPr>
          <w:color w:val="auto"/>
          <w:spacing w:val="-10"/>
          <w:u w:val="none"/>
        </w:rPr>
        <w:t>；</w:t>
      </w:r>
      <w:r>
        <w:rPr>
          <w:color w:val="auto"/>
          <w:spacing w:val="40"/>
          <w:u w:val="none"/>
        </w:rPr>
        <w:t xml:space="preserve"> </w:t>
      </w:r>
      <w:r>
        <w:rPr>
          <w:color w:val="auto"/>
          <w:spacing w:val="-2"/>
          <w:u w:val="none"/>
        </w:rPr>
        <w:t>7.与本磋商有关的一切正式往来信函请寄：</w:t>
      </w:r>
      <w:r>
        <w:rPr>
          <w:rFonts w:ascii="Times New Roman" w:hAnsi="Times New Roman" w:eastAsia="Times New Roman"/>
          <w:color w:val="auto"/>
          <w:u w:val="single"/>
        </w:rPr>
        <w:tab/>
      </w:r>
      <w:r>
        <w:rPr>
          <w:color w:val="auto"/>
          <w:spacing w:val="-2"/>
          <w:u w:val="none"/>
        </w:rPr>
        <w:t>邮政编号：</w:t>
      </w:r>
      <w:r>
        <w:rPr>
          <w:rFonts w:ascii="Times New Roman" w:hAnsi="Times New Roman" w:eastAsia="Times New Roman"/>
          <w:color w:val="auto"/>
          <w:u w:val="single"/>
        </w:rPr>
        <w:tab/>
      </w:r>
      <w:r>
        <w:rPr>
          <w:rFonts w:ascii="Times New Roman" w:hAnsi="Times New Roman" w:eastAsia="Times New Roman"/>
          <w:color w:val="auto"/>
          <w:u w:val="none"/>
        </w:rPr>
        <w:t xml:space="preserve"> </w:t>
      </w:r>
      <w:r>
        <w:rPr>
          <w:color w:val="auto"/>
          <w:spacing w:val="-2"/>
          <w:u w:val="none"/>
        </w:rPr>
        <w:t>电话/传真：</w:t>
      </w:r>
      <w:r>
        <w:rPr>
          <w:rFonts w:ascii="Times New Roman" w:hAnsi="Times New Roman" w:eastAsia="Times New Roman"/>
          <w:color w:val="auto"/>
          <w:u w:val="single"/>
        </w:rPr>
        <w:tab/>
      </w:r>
      <w:r>
        <w:rPr>
          <w:rFonts w:ascii="Times New Roman" w:hAnsi="Times New Roman" w:eastAsia="Times New Roman"/>
          <w:color w:val="auto"/>
          <w:u w:val="none"/>
        </w:rPr>
        <w:t xml:space="preserve"> </w:t>
      </w:r>
      <w:r>
        <w:rPr>
          <w:color w:val="auto"/>
          <w:u w:val="none"/>
        </w:rPr>
        <w:t>电子邮箱：</w:t>
      </w:r>
      <w:r>
        <w:rPr>
          <w:rFonts w:ascii="Times New Roman" w:hAnsi="Times New Roman" w:eastAsia="Times New Roman"/>
          <w:color w:val="auto"/>
          <w:u w:val="single"/>
        </w:rPr>
        <w:tab/>
      </w:r>
      <w:r>
        <w:rPr>
          <w:rFonts w:ascii="Times New Roman" w:hAnsi="Times New Roman" w:eastAsia="Times New Roman"/>
          <w:color w:val="auto"/>
          <w:u w:val="single"/>
        </w:rPr>
        <w:tab/>
      </w:r>
      <w:r>
        <w:rPr>
          <w:rFonts w:ascii="Times New Roman" w:hAnsi="Times New Roman" w:eastAsia="Times New Roman"/>
          <w:color w:val="auto"/>
          <w:u w:val="single"/>
        </w:rPr>
        <w:tab/>
      </w:r>
      <w:r>
        <w:rPr>
          <w:rFonts w:ascii="Times New Roman" w:hAnsi="Times New Roman" w:eastAsia="Times New Roman"/>
          <w:color w:val="auto"/>
          <w:spacing w:val="-59"/>
          <w:u w:val="single"/>
        </w:rPr>
        <w:t xml:space="preserve"> </w:t>
      </w:r>
      <w:r>
        <w:rPr>
          <w:rFonts w:ascii="Times New Roman" w:hAnsi="Times New Roman" w:eastAsia="Times New Roman"/>
          <w:color w:val="auto"/>
          <w:spacing w:val="-2"/>
          <w:u w:val="none"/>
        </w:rPr>
        <w:t xml:space="preserve"> </w:t>
      </w:r>
      <w:r>
        <w:rPr>
          <w:color w:val="auto"/>
          <w:spacing w:val="-2"/>
          <w:u w:val="none"/>
        </w:rPr>
        <w:t>开户银行：</w:t>
      </w:r>
      <w:r>
        <w:rPr>
          <w:rFonts w:ascii="Times New Roman" w:hAnsi="Times New Roman" w:eastAsia="Times New Roman"/>
          <w:color w:val="auto"/>
          <w:u w:val="single"/>
        </w:rPr>
        <w:tab/>
      </w:r>
      <w:r>
        <w:rPr>
          <w:rFonts w:ascii="Times New Roman" w:hAnsi="Times New Roman" w:eastAsia="Times New Roman"/>
          <w:color w:val="auto"/>
          <w:spacing w:val="-59"/>
          <w:u w:val="single"/>
        </w:rPr>
        <w:t xml:space="preserve"> </w:t>
      </w:r>
      <w:r>
        <w:rPr>
          <w:rFonts w:ascii="Times New Roman" w:hAnsi="Times New Roman" w:eastAsia="Times New Roman"/>
          <w:color w:val="auto"/>
          <w:spacing w:val="80"/>
          <w:u w:val="none"/>
        </w:rPr>
        <w:t xml:space="preserve"> </w:t>
      </w:r>
      <w:r>
        <w:rPr>
          <w:color w:val="auto"/>
          <w:u w:val="none"/>
        </w:rPr>
        <w:t>账号：</w:t>
      </w:r>
      <w:r>
        <w:rPr>
          <w:rFonts w:ascii="Times New Roman" w:hAnsi="Times New Roman" w:eastAsia="Times New Roman"/>
          <w:color w:val="auto"/>
          <w:u w:val="single"/>
        </w:rPr>
        <w:tab/>
      </w:r>
      <w:r>
        <w:rPr>
          <w:rFonts w:ascii="Times New Roman" w:hAnsi="Times New Roman" w:eastAsia="Times New Roman"/>
          <w:color w:val="auto"/>
          <w:u w:val="single"/>
        </w:rPr>
        <w:tab/>
      </w:r>
      <w:r>
        <w:rPr>
          <w:rFonts w:ascii="Times New Roman" w:hAnsi="Times New Roman" w:eastAsia="Times New Roman"/>
          <w:color w:val="auto"/>
          <w:u w:val="single"/>
        </w:rPr>
        <w:tab/>
      </w:r>
      <w:r>
        <w:rPr>
          <w:rFonts w:ascii="Times New Roman" w:hAnsi="Times New Roman" w:eastAsia="Times New Roman"/>
          <w:color w:val="auto"/>
          <w:u w:val="none"/>
        </w:rPr>
        <w:t xml:space="preserve"> </w:t>
      </w:r>
      <w:r>
        <w:rPr>
          <w:color w:val="auto"/>
          <w:spacing w:val="-2"/>
          <w:u w:val="none"/>
        </w:rPr>
        <w:t>8.以上事项如有虚假或者隐瞒，我方愿意承担一切后果，并不再寻求任何旨在</w:t>
      </w:r>
    </w:p>
    <w:p w14:paraId="67C7736B">
      <w:pPr>
        <w:pStyle w:val="11"/>
        <w:spacing w:line="360" w:lineRule="auto"/>
        <w:ind w:left="1288" w:right="6215" w:hanging="500"/>
        <w:rPr>
          <w:color w:val="auto"/>
        </w:rPr>
      </w:pPr>
      <w:r>
        <w:rPr>
          <w:color w:val="auto"/>
          <w:spacing w:val="-2"/>
        </w:rPr>
        <w:t>减轻或者免除法律责任的辩解。特此承诺。</w:t>
      </w:r>
    </w:p>
    <w:p w14:paraId="7F417DFD">
      <w:pPr>
        <w:pStyle w:val="10"/>
        <w:spacing w:line="357" w:lineRule="auto"/>
        <w:ind w:left="788" w:right="904" w:firstLine="480"/>
        <w:rPr>
          <w:color w:val="auto"/>
        </w:rPr>
      </w:pPr>
      <w:r>
        <w:rPr>
          <w:color w:val="auto"/>
          <w:spacing w:val="-2"/>
        </w:rPr>
        <w:t>注：如为联合体竞标，盖章处须加盖联合体牵头人电子签章并由联合体牵头人法定代表人签字或者盖章或者电子签名，否则响应文件按无效处理。</w:t>
      </w:r>
    </w:p>
    <w:p w14:paraId="3B1AB3FD">
      <w:pPr>
        <w:pStyle w:val="12"/>
        <w:spacing w:before="152"/>
        <w:ind w:left="0"/>
        <w:rPr>
          <w:b/>
          <w:color w:val="auto"/>
          <w:sz w:val="24"/>
        </w:rPr>
      </w:pPr>
    </w:p>
    <w:p w14:paraId="78FFFCFB">
      <w:pPr>
        <w:pStyle w:val="11"/>
        <w:tabs>
          <w:tab w:val="left" w:pos="9247"/>
        </w:tabs>
        <w:ind w:left="2588"/>
        <w:rPr>
          <w:rFonts w:ascii="Times New Roman" w:eastAsia="Times New Roman"/>
          <w:color w:val="auto"/>
        </w:rPr>
      </w:pPr>
      <w:r>
        <w:rPr>
          <w:color w:val="auto"/>
        </w:rPr>
        <w:t>法定代表人（签字或者盖章或者电子签名</w:t>
      </w:r>
      <w:r>
        <w:rPr>
          <w:color w:val="auto"/>
          <w:spacing w:val="-5"/>
        </w:rPr>
        <w:t>）：</w:t>
      </w:r>
      <w:r>
        <w:rPr>
          <w:rFonts w:ascii="Times New Roman" w:eastAsia="Times New Roman"/>
          <w:color w:val="auto"/>
          <w:u w:val="single"/>
        </w:rPr>
        <w:tab/>
      </w:r>
    </w:p>
    <w:p w14:paraId="1348C1B4">
      <w:pPr>
        <w:pStyle w:val="11"/>
        <w:tabs>
          <w:tab w:val="left" w:pos="9634"/>
        </w:tabs>
        <w:spacing w:before="154"/>
        <w:ind w:left="5108"/>
        <w:rPr>
          <w:rFonts w:ascii="Times New Roman" w:eastAsia="Times New Roman"/>
          <w:color w:val="auto"/>
        </w:rPr>
      </w:pPr>
      <w:r>
        <w:rPr>
          <w:color w:val="auto"/>
        </w:rPr>
        <w:t>供应商（电子签章</w:t>
      </w:r>
      <w:r>
        <w:rPr>
          <w:color w:val="auto"/>
          <w:spacing w:val="-5"/>
        </w:rPr>
        <w:t>）：</w:t>
      </w:r>
      <w:r>
        <w:rPr>
          <w:rFonts w:ascii="Times New Roman" w:eastAsia="Times New Roman"/>
          <w:color w:val="auto"/>
          <w:u w:val="single"/>
        </w:rPr>
        <w:tab/>
      </w:r>
    </w:p>
    <w:p w14:paraId="0147E240">
      <w:pPr>
        <w:pStyle w:val="11"/>
        <w:tabs>
          <w:tab w:val="left" w:pos="7388"/>
          <w:tab w:val="left" w:pos="8108"/>
        </w:tabs>
        <w:spacing w:before="156"/>
        <w:ind w:left="6668"/>
        <w:rPr>
          <w:color w:val="auto"/>
        </w:rPr>
      </w:pPr>
      <w:r>
        <w:rPr>
          <w:color w:val="auto"/>
          <w:spacing w:val="-10"/>
        </w:rPr>
        <w:t>年</w:t>
      </w:r>
      <w:r>
        <w:rPr>
          <w:color w:val="auto"/>
        </w:rPr>
        <w:tab/>
      </w:r>
      <w:r>
        <w:rPr>
          <w:color w:val="auto"/>
          <w:spacing w:val="-10"/>
        </w:rPr>
        <w:t>月</w:t>
      </w:r>
      <w:r>
        <w:rPr>
          <w:color w:val="auto"/>
        </w:rPr>
        <w:tab/>
      </w:r>
      <w:r>
        <w:rPr>
          <w:color w:val="auto"/>
          <w:spacing w:val="-10"/>
        </w:rPr>
        <w:t>日</w:t>
      </w:r>
    </w:p>
    <w:p w14:paraId="461C9FD8">
      <w:pPr>
        <w:spacing w:after="0"/>
        <w:rPr>
          <w:color w:val="auto"/>
        </w:rPr>
        <w:sectPr>
          <w:pgSz w:w="11910" w:h="16840"/>
          <w:pgMar w:top="1380" w:right="740" w:bottom="1180" w:left="800" w:header="0" w:footer="989" w:gutter="0"/>
          <w:cols w:space="720" w:num="1"/>
        </w:sectPr>
      </w:pPr>
    </w:p>
    <w:p w14:paraId="30DFF85B">
      <w:pPr>
        <w:pStyle w:val="5"/>
        <w:spacing w:before="32"/>
        <w:rPr>
          <w:color w:val="auto"/>
        </w:rPr>
      </w:pPr>
      <w:r>
        <w:rPr>
          <w:color w:val="auto"/>
          <w:spacing w:val="-4"/>
        </w:rPr>
        <w:t>联合体竞标协议书</w:t>
      </w:r>
    </w:p>
    <w:p w14:paraId="1DD1861F">
      <w:pPr>
        <w:pStyle w:val="12"/>
        <w:spacing w:before="60"/>
        <w:ind w:left="0"/>
        <w:rPr>
          <w:b/>
          <w:color w:val="auto"/>
          <w:sz w:val="32"/>
        </w:rPr>
      </w:pPr>
    </w:p>
    <w:p w14:paraId="4BDF3BF7">
      <w:pPr>
        <w:pStyle w:val="11"/>
        <w:tabs>
          <w:tab w:val="left" w:pos="1775"/>
          <w:tab w:val="left" w:pos="1988"/>
          <w:tab w:val="left" w:pos="6157"/>
        </w:tabs>
        <w:spacing w:before="1" w:line="360" w:lineRule="auto"/>
        <w:ind w:right="788" w:firstLine="479"/>
        <w:jc w:val="both"/>
        <w:rPr>
          <w:color w:val="auto"/>
        </w:rPr>
      </w:pPr>
      <w:r>
        <w:rPr>
          <w:rFonts w:ascii="Times New Roman" w:eastAsia="Times New Roman"/>
          <w:color w:val="auto"/>
          <w:u w:val="single"/>
        </w:rPr>
        <w:tab/>
      </w:r>
      <w:r>
        <w:rPr>
          <w:rFonts w:ascii="Times New Roman" w:eastAsia="Times New Roman"/>
          <w:color w:val="auto"/>
          <w:u w:val="single"/>
        </w:rPr>
        <w:tab/>
      </w:r>
      <w:r>
        <w:rPr>
          <w:color w:val="auto"/>
          <w:spacing w:val="-2"/>
          <w:u w:val="single"/>
        </w:rPr>
        <w:t>（所有成员单位名称）</w:t>
      </w:r>
      <w:r>
        <w:rPr>
          <w:color w:val="auto"/>
          <w:spacing w:val="-2"/>
          <w:u w:val="none"/>
        </w:rPr>
        <w:t>自愿组成</w:t>
      </w:r>
      <w:r>
        <w:rPr>
          <w:rFonts w:ascii="Times New Roman" w:eastAsia="Times New Roman"/>
          <w:color w:val="auto"/>
          <w:u w:val="single"/>
        </w:rPr>
        <w:tab/>
      </w:r>
      <w:r>
        <w:rPr>
          <w:color w:val="auto"/>
          <w:spacing w:val="-2"/>
          <w:u w:val="single"/>
        </w:rPr>
        <w:t>（联合体名称）</w:t>
      </w:r>
      <w:r>
        <w:rPr>
          <w:color w:val="auto"/>
          <w:spacing w:val="-2"/>
          <w:u w:val="none"/>
        </w:rPr>
        <w:t>联合体，共同参</w:t>
      </w:r>
      <w:r>
        <w:rPr>
          <w:color w:val="auto"/>
          <w:spacing w:val="-10"/>
          <w:u w:val="none"/>
        </w:rPr>
        <w:t>加</w:t>
      </w:r>
      <w:r>
        <w:rPr>
          <w:rFonts w:ascii="Times New Roman" w:eastAsia="Times New Roman"/>
          <w:color w:val="auto"/>
          <w:u w:val="single"/>
        </w:rPr>
        <w:tab/>
      </w:r>
      <w:r>
        <w:rPr>
          <w:color w:val="auto"/>
          <w:spacing w:val="-2"/>
          <w:u w:val="single"/>
        </w:rPr>
        <w:t>（项目名称）（项目编号）</w:t>
      </w:r>
      <w:r>
        <w:rPr>
          <w:color w:val="auto"/>
          <w:spacing w:val="-2"/>
          <w:u w:val="none"/>
        </w:rPr>
        <w:t>采购项目竞标。现就联合体竞标事宜订立如下</w:t>
      </w:r>
      <w:r>
        <w:rPr>
          <w:color w:val="auto"/>
          <w:spacing w:val="-4"/>
          <w:u w:val="none"/>
        </w:rPr>
        <w:t>协议。</w:t>
      </w:r>
    </w:p>
    <w:p w14:paraId="5F140CE6">
      <w:pPr>
        <w:pStyle w:val="11"/>
        <w:numPr>
          <w:ilvl w:val="0"/>
          <w:numId w:val="45"/>
        </w:numPr>
        <w:tabs>
          <w:tab w:val="left" w:pos="1507"/>
          <w:tab w:val="left" w:pos="2408"/>
          <w:tab w:val="left" w:pos="5408"/>
        </w:tabs>
        <w:spacing w:before="0" w:after="0" w:line="310" w:lineRule="exact"/>
        <w:ind w:left="1507" w:right="0" w:hanging="239"/>
        <w:jc w:val="left"/>
        <w:rPr>
          <w:color w:val="auto"/>
        </w:rPr>
      </w:pPr>
      <w:r>
        <w:rPr>
          <w:rFonts w:ascii="Times New Roman" w:eastAsia="Times New Roman"/>
          <w:color w:val="auto"/>
          <w:u w:val="single"/>
        </w:rPr>
        <w:tab/>
      </w:r>
      <w:r>
        <w:rPr>
          <w:color w:val="auto"/>
          <w:u w:val="single"/>
        </w:rPr>
        <w:t>（某成员单位名称）</w:t>
      </w:r>
      <w:r>
        <w:rPr>
          <w:color w:val="auto"/>
          <w:spacing w:val="-10"/>
          <w:u w:val="none"/>
        </w:rPr>
        <w:t>为</w:t>
      </w:r>
      <w:r>
        <w:rPr>
          <w:rFonts w:ascii="Times New Roman" w:eastAsia="Times New Roman"/>
          <w:color w:val="auto"/>
          <w:u w:val="single"/>
        </w:rPr>
        <w:tab/>
      </w:r>
      <w:r>
        <w:rPr>
          <w:color w:val="auto"/>
          <w:u w:val="single"/>
        </w:rPr>
        <w:t>（联合体名称）</w:t>
      </w:r>
      <w:r>
        <w:rPr>
          <w:color w:val="auto"/>
          <w:u w:val="none"/>
        </w:rPr>
        <w:t>牵头人</w:t>
      </w:r>
      <w:r>
        <w:rPr>
          <w:color w:val="auto"/>
          <w:spacing w:val="-10"/>
          <w:u w:val="none"/>
        </w:rPr>
        <w:t>。</w:t>
      </w:r>
    </w:p>
    <w:p w14:paraId="3734751A">
      <w:pPr>
        <w:pStyle w:val="11"/>
        <w:numPr>
          <w:ilvl w:val="0"/>
          <w:numId w:val="45"/>
        </w:numPr>
        <w:tabs>
          <w:tab w:val="left" w:pos="1510"/>
        </w:tabs>
        <w:spacing w:before="156" w:after="0" w:line="360" w:lineRule="auto"/>
        <w:ind w:left="788" w:right="788" w:firstLine="480"/>
        <w:jc w:val="both"/>
        <w:rPr>
          <w:color w:val="auto"/>
        </w:rPr>
      </w:pPr>
      <w:r>
        <w:rPr>
          <w:color w:val="auto"/>
          <w:spacing w:val="-2"/>
        </w:rPr>
        <w:t>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14:paraId="76C119DE">
      <w:pPr>
        <w:pStyle w:val="11"/>
        <w:numPr>
          <w:ilvl w:val="0"/>
          <w:numId w:val="45"/>
        </w:numPr>
        <w:tabs>
          <w:tab w:val="left" w:pos="1510"/>
        </w:tabs>
        <w:spacing w:before="0" w:after="0" w:line="360" w:lineRule="auto"/>
        <w:ind w:left="788" w:right="788" w:firstLine="480"/>
        <w:jc w:val="both"/>
        <w:rPr>
          <w:color w:val="auto"/>
        </w:rPr>
      </w:pPr>
      <w:r>
        <w:rPr>
          <w:color w:val="auto"/>
          <w:spacing w:val="-2"/>
        </w:rPr>
        <w:t>联合体牵头人在本项目中签署和盖章的一切文件和处理的一切事宜，联合体各成员均予以承认。联合体各成员将严格按照磋商文件、响应文件和合同的要求全面履行义务，并向采购人承担连带责任。</w:t>
      </w:r>
    </w:p>
    <w:p w14:paraId="2A391A52">
      <w:pPr>
        <w:pStyle w:val="11"/>
        <w:numPr>
          <w:ilvl w:val="0"/>
          <w:numId w:val="45"/>
        </w:numPr>
        <w:tabs>
          <w:tab w:val="left" w:pos="1508"/>
          <w:tab w:val="left" w:pos="6668"/>
        </w:tabs>
        <w:spacing w:before="0" w:after="0" w:line="310" w:lineRule="exact"/>
        <w:ind w:left="1508" w:right="0" w:hanging="240"/>
        <w:jc w:val="left"/>
        <w:rPr>
          <w:color w:val="auto"/>
        </w:rPr>
      </w:pPr>
      <w:r>
        <w:rPr>
          <w:color w:val="auto"/>
        </w:rPr>
        <w:t>联合体各成员单位内部的职责分工如下</w:t>
      </w:r>
      <w:r>
        <w:rPr>
          <w:color w:val="auto"/>
          <w:spacing w:val="-10"/>
        </w:rPr>
        <w:t>：</w:t>
      </w:r>
      <w:r>
        <w:rPr>
          <w:rFonts w:ascii="Times New Roman" w:eastAsia="Times New Roman"/>
          <w:color w:val="auto"/>
          <w:u w:val="single"/>
        </w:rPr>
        <w:tab/>
      </w:r>
      <w:r>
        <w:rPr>
          <w:color w:val="auto"/>
          <w:spacing w:val="-10"/>
          <w:u w:val="none"/>
        </w:rPr>
        <w:t>。</w:t>
      </w:r>
    </w:p>
    <w:p w14:paraId="231B50A4">
      <w:pPr>
        <w:pStyle w:val="11"/>
        <w:numPr>
          <w:ilvl w:val="0"/>
          <w:numId w:val="45"/>
        </w:numPr>
        <w:tabs>
          <w:tab w:val="left" w:pos="1508"/>
        </w:tabs>
        <w:spacing w:before="148" w:after="0" w:line="360" w:lineRule="auto"/>
        <w:ind w:left="788" w:right="779" w:firstLine="480"/>
        <w:jc w:val="left"/>
        <w:rPr>
          <w:color w:val="auto"/>
        </w:rPr>
      </w:pPr>
      <w:r>
        <w:rPr>
          <w:color w:val="auto"/>
          <w:spacing w:val="-10"/>
        </w:rPr>
        <w:t>本协议书自所有成员单位法定代表人或者其委托代理人签字或者盖单位章之日起</w:t>
      </w:r>
      <w:r>
        <w:rPr>
          <w:color w:val="auto"/>
          <w:spacing w:val="-2"/>
        </w:rPr>
        <w:t>生效，合同履行完毕后自动失效。</w:t>
      </w:r>
    </w:p>
    <w:p w14:paraId="1064B687">
      <w:pPr>
        <w:pStyle w:val="11"/>
        <w:numPr>
          <w:ilvl w:val="0"/>
          <w:numId w:val="45"/>
        </w:numPr>
        <w:tabs>
          <w:tab w:val="left" w:pos="1508"/>
          <w:tab w:val="left" w:pos="3308"/>
        </w:tabs>
        <w:spacing w:before="0" w:after="0" w:line="310" w:lineRule="exact"/>
        <w:ind w:left="1508" w:right="0" w:hanging="240"/>
        <w:jc w:val="left"/>
        <w:rPr>
          <w:color w:val="auto"/>
        </w:rPr>
      </w:pPr>
      <w:r>
        <w:rPr>
          <w:color w:val="auto"/>
        </w:rPr>
        <w:t>本协议书一</w:t>
      </w:r>
      <w:r>
        <w:rPr>
          <w:color w:val="auto"/>
          <w:spacing w:val="-10"/>
        </w:rPr>
        <w:t>式</w:t>
      </w:r>
      <w:r>
        <w:rPr>
          <w:rFonts w:ascii="Times New Roman" w:eastAsia="Times New Roman"/>
          <w:color w:val="auto"/>
          <w:u w:val="single"/>
        </w:rPr>
        <w:tab/>
      </w:r>
      <w:r>
        <w:rPr>
          <w:color w:val="auto"/>
          <w:u w:val="none"/>
        </w:rPr>
        <w:t>份，联合体成员和采购人各执一份</w:t>
      </w:r>
      <w:r>
        <w:rPr>
          <w:color w:val="auto"/>
          <w:spacing w:val="-10"/>
          <w:u w:val="none"/>
        </w:rPr>
        <w:t>。</w:t>
      </w:r>
    </w:p>
    <w:p w14:paraId="03530B62">
      <w:pPr>
        <w:pStyle w:val="11"/>
        <w:spacing w:before="156"/>
        <w:ind w:left="1268"/>
        <w:rPr>
          <w:color w:val="auto"/>
        </w:rPr>
      </w:pPr>
      <w:r>
        <w:rPr>
          <w:color w:val="auto"/>
          <w:spacing w:val="11"/>
        </w:rPr>
        <w:t>注：本协议书应附法定代表人身份证明书；有委托代理的，应附授权委托书</w:t>
      </w:r>
    </w:p>
    <w:p w14:paraId="09651B52">
      <w:pPr>
        <w:pStyle w:val="11"/>
        <w:spacing w:before="156"/>
        <w:rPr>
          <w:color w:val="auto"/>
        </w:rPr>
      </w:pPr>
      <w:r>
        <w:rPr>
          <w:color w:val="auto"/>
        </w:rPr>
        <w:t>（格式自拟）</w:t>
      </w:r>
      <w:r>
        <w:rPr>
          <w:color w:val="auto"/>
          <w:spacing w:val="-10"/>
        </w:rPr>
        <w:t>。</w:t>
      </w:r>
    </w:p>
    <w:p w14:paraId="546A70B7">
      <w:pPr>
        <w:pStyle w:val="12"/>
        <w:spacing w:before="307"/>
        <w:ind w:left="0"/>
        <w:rPr>
          <w:color w:val="auto"/>
          <w:sz w:val="24"/>
        </w:rPr>
      </w:pPr>
    </w:p>
    <w:p w14:paraId="12716321">
      <w:pPr>
        <w:pStyle w:val="11"/>
        <w:spacing w:before="1"/>
        <w:rPr>
          <w:color w:val="auto"/>
        </w:rPr>
      </w:pPr>
      <w:r>
        <w:rPr>
          <w:color w:val="auto"/>
        </w:rPr>
        <w:t>联合体牵头人名称（电子签章</w:t>
      </w:r>
      <w:r>
        <w:rPr>
          <w:color w:val="auto"/>
          <w:spacing w:val="-5"/>
        </w:rPr>
        <w:t>）：</w:t>
      </w:r>
    </w:p>
    <w:p w14:paraId="162C2B00">
      <w:pPr>
        <w:pStyle w:val="11"/>
        <w:spacing w:before="156"/>
        <w:rPr>
          <w:color w:val="auto"/>
        </w:rPr>
      </w:pPr>
      <w:r>
        <w:rPr>
          <w:color w:val="auto"/>
        </w:rPr>
        <w:t>法定代表人或者其委托代理人（签字或者电子签名</w:t>
      </w:r>
      <w:r>
        <w:rPr>
          <w:color w:val="auto"/>
          <w:spacing w:val="-5"/>
        </w:rPr>
        <w:t>）：</w:t>
      </w:r>
    </w:p>
    <w:p w14:paraId="32B7F789">
      <w:pPr>
        <w:pStyle w:val="12"/>
        <w:spacing w:before="309"/>
        <w:ind w:left="0"/>
        <w:rPr>
          <w:color w:val="auto"/>
          <w:sz w:val="24"/>
        </w:rPr>
      </w:pPr>
    </w:p>
    <w:p w14:paraId="29630DB8">
      <w:pPr>
        <w:pStyle w:val="11"/>
        <w:rPr>
          <w:color w:val="auto"/>
        </w:rPr>
      </w:pPr>
      <w:r>
        <w:rPr>
          <w:color w:val="auto"/>
        </w:rPr>
        <w:t>联合体成员名称（盖公章或者电子签章</w:t>
      </w:r>
      <w:r>
        <w:rPr>
          <w:color w:val="auto"/>
          <w:spacing w:val="-5"/>
        </w:rPr>
        <w:t>）：</w:t>
      </w:r>
    </w:p>
    <w:p w14:paraId="516CD400">
      <w:pPr>
        <w:pStyle w:val="11"/>
        <w:spacing w:before="156"/>
        <w:rPr>
          <w:color w:val="auto"/>
        </w:rPr>
      </w:pPr>
      <w:r>
        <w:rPr>
          <w:color w:val="auto"/>
        </w:rPr>
        <w:t>法定代表人或者其委托代理人（签字或者电子签名</w:t>
      </w:r>
      <w:r>
        <w:rPr>
          <w:color w:val="auto"/>
          <w:spacing w:val="-5"/>
        </w:rPr>
        <w:t>）：</w:t>
      </w:r>
    </w:p>
    <w:p w14:paraId="24BB6745">
      <w:pPr>
        <w:pStyle w:val="12"/>
        <w:spacing w:before="310"/>
        <w:ind w:left="0"/>
        <w:rPr>
          <w:color w:val="auto"/>
          <w:sz w:val="24"/>
        </w:rPr>
      </w:pPr>
    </w:p>
    <w:p w14:paraId="667AAFA4">
      <w:pPr>
        <w:pStyle w:val="11"/>
        <w:rPr>
          <w:color w:val="auto"/>
        </w:rPr>
      </w:pPr>
      <w:r>
        <w:rPr>
          <w:color w:val="auto"/>
        </w:rPr>
        <w:t>联合体成员名称（盖公章或者电子签章</w:t>
      </w:r>
      <w:r>
        <w:rPr>
          <w:color w:val="auto"/>
          <w:spacing w:val="-5"/>
        </w:rPr>
        <w:t>）：</w:t>
      </w:r>
    </w:p>
    <w:p w14:paraId="26B3478F">
      <w:pPr>
        <w:pStyle w:val="11"/>
        <w:spacing w:before="153"/>
        <w:rPr>
          <w:color w:val="auto"/>
        </w:rPr>
      </w:pPr>
      <w:r>
        <w:rPr>
          <w:color w:val="auto"/>
        </w:rPr>
        <w:t>法定代表人或者其委托代理人（签字或者电子签名</w:t>
      </w:r>
      <w:r>
        <w:rPr>
          <w:color w:val="auto"/>
          <w:spacing w:val="-5"/>
        </w:rPr>
        <w:t>）：</w:t>
      </w:r>
    </w:p>
    <w:p w14:paraId="6F7E2E8A">
      <w:pPr>
        <w:spacing w:before="156"/>
        <w:ind w:left="788" w:right="0" w:firstLine="0"/>
        <w:jc w:val="left"/>
        <w:rPr>
          <w:color w:val="auto"/>
          <w:sz w:val="24"/>
        </w:rPr>
      </w:pPr>
      <w:r>
        <w:rPr>
          <w:color w:val="auto"/>
          <w:spacing w:val="-5"/>
          <w:sz w:val="24"/>
        </w:rPr>
        <w:t>……</w:t>
      </w:r>
    </w:p>
    <w:p w14:paraId="5F6B6EC9">
      <w:pPr>
        <w:pStyle w:val="11"/>
        <w:tabs>
          <w:tab w:val="left" w:pos="7400"/>
          <w:tab w:val="left" w:pos="8000"/>
          <w:tab w:val="left" w:pos="8600"/>
        </w:tabs>
        <w:spacing w:before="154"/>
        <w:ind w:left="6200"/>
        <w:rPr>
          <w:color w:val="auto"/>
        </w:rPr>
      </w:pPr>
      <w:r>
        <w:rPr>
          <w:color w:val="auto"/>
        </w:rPr>
        <w:t>日期</w:t>
      </w:r>
      <w:r>
        <w:rPr>
          <w:color w:val="auto"/>
          <w:spacing w:val="-10"/>
        </w:rPr>
        <w:t>：</w:t>
      </w:r>
      <w:r>
        <w:rPr>
          <w:color w:val="auto"/>
        </w:rPr>
        <w:tab/>
      </w:r>
      <w:r>
        <w:rPr>
          <w:color w:val="auto"/>
          <w:spacing w:val="-10"/>
        </w:rPr>
        <w:t>年</w:t>
      </w:r>
      <w:r>
        <w:rPr>
          <w:color w:val="auto"/>
        </w:rPr>
        <w:tab/>
      </w:r>
      <w:r>
        <w:rPr>
          <w:color w:val="auto"/>
          <w:spacing w:val="-10"/>
        </w:rPr>
        <w:t>月</w:t>
      </w:r>
      <w:r>
        <w:rPr>
          <w:color w:val="auto"/>
        </w:rPr>
        <w:tab/>
      </w:r>
      <w:r>
        <w:rPr>
          <w:color w:val="auto"/>
          <w:spacing w:val="-10"/>
        </w:rPr>
        <w:t>日</w:t>
      </w:r>
    </w:p>
    <w:p w14:paraId="26F5AD5C">
      <w:pPr>
        <w:spacing w:after="0"/>
        <w:rPr>
          <w:color w:val="auto"/>
        </w:rPr>
        <w:sectPr>
          <w:pgSz w:w="11910" w:h="16840"/>
          <w:pgMar w:top="1480" w:right="740" w:bottom="1180" w:left="800" w:header="0" w:footer="989" w:gutter="0"/>
          <w:cols w:space="720" w:num="1"/>
        </w:sectPr>
      </w:pPr>
    </w:p>
    <w:p w14:paraId="1A3B6781">
      <w:pPr>
        <w:pStyle w:val="5"/>
        <w:spacing w:line="427" w:lineRule="auto"/>
        <w:ind w:left="788" w:right="6685"/>
        <w:jc w:val="left"/>
        <w:rPr>
          <w:color w:val="auto"/>
        </w:rPr>
      </w:pPr>
      <w:r>
        <w:rPr>
          <w:color w:val="auto"/>
          <w:spacing w:val="-2"/>
        </w:rPr>
        <w:t>二、报价文件格式 1.报价文件封面格式</w:t>
      </w:r>
    </w:p>
    <w:p w14:paraId="18A07E71">
      <w:pPr>
        <w:pStyle w:val="12"/>
        <w:spacing w:before="122"/>
        <w:ind w:left="0"/>
        <w:rPr>
          <w:b/>
          <w:color w:val="auto"/>
          <w:sz w:val="32"/>
        </w:rPr>
      </w:pPr>
    </w:p>
    <w:p w14:paraId="27EF4CD6">
      <w:pPr>
        <w:pStyle w:val="4"/>
        <w:rPr>
          <w:color w:val="auto"/>
        </w:rPr>
      </w:pPr>
      <w:r>
        <w:rPr>
          <w:color w:val="auto"/>
          <w:spacing w:val="-5"/>
        </w:rPr>
        <w:t>电 子 响 应 文 件</w:t>
      </w:r>
    </w:p>
    <w:p w14:paraId="6D4A5786">
      <w:pPr>
        <w:pStyle w:val="12"/>
        <w:spacing w:before="440"/>
        <w:ind w:left="0"/>
        <w:rPr>
          <w:color w:val="auto"/>
          <w:sz w:val="44"/>
        </w:rPr>
      </w:pPr>
    </w:p>
    <w:p w14:paraId="039F902B">
      <w:pPr>
        <w:pStyle w:val="4"/>
        <w:ind w:right="841"/>
        <w:rPr>
          <w:color w:val="auto"/>
        </w:rPr>
      </w:pPr>
      <w:r>
        <w:rPr>
          <w:color w:val="auto"/>
          <w:spacing w:val="-4"/>
        </w:rPr>
        <w:t>报  价  文  件</w:t>
      </w:r>
    </w:p>
    <w:p w14:paraId="1A48DAC2">
      <w:pPr>
        <w:pStyle w:val="12"/>
        <w:spacing w:before="0"/>
        <w:ind w:left="0"/>
        <w:rPr>
          <w:color w:val="auto"/>
          <w:sz w:val="44"/>
        </w:rPr>
      </w:pPr>
    </w:p>
    <w:p w14:paraId="5C902113">
      <w:pPr>
        <w:pStyle w:val="12"/>
        <w:spacing w:before="0"/>
        <w:ind w:left="0"/>
        <w:rPr>
          <w:color w:val="auto"/>
          <w:sz w:val="44"/>
        </w:rPr>
      </w:pPr>
    </w:p>
    <w:p w14:paraId="0A53E1D9">
      <w:pPr>
        <w:pStyle w:val="12"/>
        <w:spacing w:before="0"/>
        <w:ind w:left="0"/>
        <w:rPr>
          <w:color w:val="auto"/>
          <w:sz w:val="44"/>
        </w:rPr>
      </w:pPr>
    </w:p>
    <w:p w14:paraId="0B584DA4">
      <w:pPr>
        <w:pStyle w:val="12"/>
        <w:spacing w:before="68"/>
        <w:ind w:left="0"/>
        <w:rPr>
          <w:color w:val="auto"/>
          <w:sz w:val="44"/>
        </w:rPr>
      </w:pPr>
    </w:p>
    <w:p w14:paraId="0A3E2C15">
      <w:pPr>
        <w:pStyle w:val="6"/>
        <w:spacing w:line="616" w:lineRule="auto"/>
        <w:ind w:left="1427" w:right="7338"/>
        <w:rPr>
          <w:color w:val="auto"/>
        </w:rPr>
      </w:pPr>
      <w:r>
        <w:rPr>
          <w:color w:val="auto"/>
          <w:spacing w:val="-2"/>
        </w:rPr>
        <w:t>项目名称：</w:t>
      </w:r>
      <w:r>
        <w:rPr>
          <w:color w:val="auto"/>
          <w:spacing w:val="-6"/>
        </w:rPr>
        <w:t>项目编号：</w:t>
      </w:r>
    </w:p>
    <w:p w14:paraId="38EFA907">
      <w:pPr>
        <w:pStyle w:val="6"/>
        <w:spacing w:before="2" w:line="578" w:lineRule="auto"/>
        <w:ind w:left="1427" w:right="616"/>
        <w:rPr>
          <w:color w:val="auto"/>
        </w:rPr>
      </w:pPr>
      <w:r>
        <w:rPr>
          <w:color w:val="auto"/>
          <w:spacing w:val="-2"/>
        </w:rPr>
        <w:t>所竞分标（如有则填写，无分标时填写“无”或者留空）：供应商名称：</w:t>
      </w:r>
    </w:p>
    <w:p w14:paraId="4E782198">
      <w:pPr>
        <w:pStyle w:val="12"/>
        <w:spacing w:before="0"/>
        <w:ind w:left="0"/>
        <w:rPr>
          <w:color w:val="auto"/>
          <w:sz w:val="32"/>
        </w:rPr>
      </w:pPr>
    </w:p>
    <w:p w14:paraId="5FA6D28D">
      <w:pPr>
        <w:pStyle w:val="12"/>
        <w:spacing w:before="0"/>
        <w:ind w:left="0"/>
        <w:rPr>
          <w:color w:val="auto"/>
          <w:sz w:val="32"/>
        </w:rPr>
      </w:pPr>
    </w:p>
    <w:p w14:paraId="635F5AE9">
      <w:pPr>
        <w:pStyle w:val="12"/>
        <w:spacing w:before="143"/>
        <w:ind w:left="0"/>
        <w:rPr>
          <w:color w:val="auto"/>
          <w:sz w:val="32"/>
        </w:rPr>
      </w:pPr>
    </w:p>
    <w:p w14:paraId="293A45A8">
      <w:pPr>
        <w:pStyle w:val="6"/>
        <w:tabs>
          <w:tab w:val="left" w:pos="959"/>
          <w:tab w:val="left" w:pos="1919"/>
        </w:tabs>
        <w:ind w:left="0"/>
        <w:jc w:val="center"/>
        <w:rPr>
          <w:color w:val="auto"/>
        </w:rPr>
      </w:pPr>
      <w:r>
        <w:rPr>
          <w:color w:val="auto"/>
          <w:spacing w:val="-10"/>
        </w:rPr>
        <w:t>年</w:t>
      </w:r>
      <w:r>
        <w:rPr>
          <w:color w:val="auto"/>
        </w:rPr>
        <w:tab/>
      </w:r>
      <w:r>
        <w:rPr>
          <w:color w:val="auto"/>
          <w:spacing w:val="-10"/>
        </w:rPr>
        <w:t>月</w:t>
      </w:r>
      <w:r>
        <w:rPr>
          <w:color w:val="auto"/>
        </w:rPr>
        <w:tab/>
      </w:r>
      <w:r>
        <w:rPr>
          <w:color w:val="auto"/>
          <w:spacing w:val="-10"/>
        </w:rPr>
        <w:t>日</w:t>
      </w:r>
    </w:p>
    <w:p w14:paraId="144A1779">
      <w:pPr>
        <w:spacing w:after="0"/>
        <w:jc w:val="center"/>
        <w:rPr>
          <w:color w:val="auto"/>
        </w:rPr>
        <w:sectPr>
          <w:pgSz w:w="11910" w:h="16840"/>
          <w:pgMar w:top="1400" w:right="740" w:bottom="1180" w:left="800" w:header="0" w:footer="989" w:gutter="0"/>
          <w:cols w:space="720" w:num="1"/>
        </w:sectPr>
      </w:pPr>
    </w:p>
    <w:p w14:paraId="5A77FE89">
      <w:pPr>
        <w:pStyle w:val="5"/>
        <w:numPr>
          <w:ilvl w:val="0"/>
          <w:numId w:val="46"/>
        </w:numPr>
        <w:tabs>
          <w:tab w:val="left" w:pos="1252"/>
        </w:tabs>
        <w:spacing w:before="18" w:after="0" w:line="240" w:lineRule="auto"/>
        <w:ind w:left="1252" w:right="0" w:hanging="322"/>
        <w:jc w:val="left"/>
        <w:rPr>
          <w:color w:val="auto"/>
        </w:rPr>
      </w:pPr>
      <w:r>
        <w:rPr>
          <w:color w:val="auto"/>
          <w:spacing w:val="-4"/>
        </w:rPr>
        <w:t>报价文件目录</w:t>
      </w:r>
    </w:p>
    <w:p w14:paraId="4EC28C80">
      <w:pPr>
        <w:pStyle w:val="6"/>
        <w:spacing w:before="350" w:line="300" w:lineRule="auto"/>
        <w:ind w:left="788" w:right="935"/>
        <w:rPr>
          <w:color w:val="auto"/>
        </w:rPr>
      </w:pPr>
      <w:r>
        <w:rPr>
          <w:color w:val="auto"/>
          <w:spacing w:val="-2"/>
        </w:rPr>
        <w:t>根据磋商文件规定及供应商提供的材料自行编写目录（部分格式后附）。</w:t>
      </w:r>
    </w:p>
    <w:p w14:paraId="128AB4E4">
      <w:pPr>
        <w:spacing w:after="0" w:line="300" w:lineRule="auto"/>
        <w:rPr>
          <w:color w:val="auto"/>
        </w:rPr>
        <w:sectPr>
          <w:pgSz w:w="11910" w:h="16840"/>
          <w:pgMar w:top="1400" w:right="740" w:bottom="1180" w:left="800" w:header="0" w:footer="989" w:gutter="0"/>
          <w:cols w:space="720" w:num="1"/>
        </w:sectPr>
      </w:pPr>
    </w:p>
    <w:p w14:paraId="25FEAEEB">
      <w:pPr>
        <w:pStyle w:val="5"/>
        <w:spacing w:before="32"/>
        <w:rPr>
          <w:color w:val="auto"/>
        </w:rPr>
      </w:pPr>
      <w:r>
        <w:rPr>
          <w:color w:val="auto"/>
          <w:spacing w:val="-3"/>
        </w:rPr>
        <w:t>竞标函及竞标函附录</w:t>
      </w:r>
    </w:p>
    <w:p w14:paraId="21539314">
      <w:pPr>
        <w:pStyle w:val="12"/>
        <w:spacing w:before="209"/>
        <w:ind w:left="0"/>
        <w:rPr>
          <w:b/>
          <w:color w:val="auto"/>
          <w:sz w:val="32"/>
        </w:rPr>
      </w:pPr>
    </w:p>
    <w:p w14:paraId="28E5C8D1">
      <w:pPr>
        <w:pStyle w:val="5"/>
        <w:spacing w:before="0"/>
        <w:ind w:right="842"/>
        <w:rPr>
          <w:color w:val="auto"/>
        </w:rPr>
      </w:pPr>
      <w:r>
        <w:rPr>
          <w:color w:val="auto"/>
          <w:spacing w:val="-2"/>
        </w:rPr>
        <w:t>（一）</w:t>
      </w:r>
      <w:r>
        <w:rPr>
          <w:color w:val="auto"/>
          <w:spacing w:val="-5"/>
        </w:rPr>
        <w:t>竞标函</w:t>
      </w:r>
    </w:p>
    <w:p w14:paraId="19B613B6">
      <w:pPr>
        <w:pStyle w:val="12"/>
        <w:spacing w:before="256"/>
        <w:ind w:left="0"/>
        <w:rPr>
          <w:b/>
          <w:color w:val="auto"/>
        </w:rPr>
      </w:pPr>
    </w:p>
    <w:p w14:paraId="122CFE7A">
      <w:pPr>
        <w:pStyle w:val="12"/>
        <w:tabs>
          <w:tab w:val="left" w:pos="3517"/>
        </w:tabs>
        <w:spacing w:before="0"/>
        <w:rPr>
          <w:color w:val="auto"/>
        </w:rPr>
      </w:pPr>
      <w:r>
        <w:rPr>
          <w:rFonts w:ascii="Times New Roman" w:eastAsia="Times New Roman"/>
          <w:color w:val="auto"/>
          <w:u w:val="single"/>
        </w:rPr>
        <w:tab/>
      </w:r>
      <w:r>
        <w:rPr>
          <w:color w:val="auto"/>
          <w:spacing w:val="-2"/>
          <w:u w:val="none"/>
        </w:rPr>
        <w:t>（采购人名称</w:t>
      </w:r>
      <w:r>
        <w:rPr>
          <w:color w:val="auto"/>
          <w:spacing w:val="-5"/>
          <w:u w:val="none"/>
        </w:rPr>
        <w:t>）：</w:t>
      </w:r>
    </w:p>
    <w:p w14:paraId="5001568B">
      <w:pPr>
        <w:pStyle w:val="21"/>
        <w:numPr>
          <w:ilvl w:val="1"/>
          <w:numId w:val="46"/>
        </w:numPr>
        <w:tabs>
          <w:tab w:val="left" w:pos="1548"/>
          <w:tab w:val="left" w:pos="4443"/>
          <w:tab w:val="left" w:pos="4597"/>
          <w:tab w:val="left" w:pos="5975"/>
          <w:tab w:val="left" w:pos="9363"/>
          <w:tab w:val="left" w:pos="9397"/>
        </w:tabs>
        <w:spacing w:before="138" w:after="0" w:line="357" w:lineRule="auto"/>
        <w:ind w:left="788" w:right="757" w:firstLine="439"/>
        <w:jc w:val="both"/>
        <w:rPr>
          <w:rFonts w:ascii="Times New Roman" w:hAnsi="Times New Roman" w:eastAsia="Times New Roman"/>
          <w:color w:val="auto"/>
          <w:sz w:val="20"/>
        </w:rPr>
      </w:pPr>
      <w:r>
        <w:rPr>
          <w:color w:val="auto"/>
          <w:spacing w:val="-2"/>
          <w:sz w:val="21"/>
        </w:rPr>
        <w:t>我方已仔细研究了</w:t>
      </w:r>
      <w:r>
        <w:rPr>
          <w:rFonts w:ascii="Times New Roman" w:hAnsi="Times New Roman" w:eastAsia="Times New Roman"/>
          <w:color w:val="auto"/>
          <w:sz w:val="21"/>
          <w:u w:val="single"/>
        </w:rPr>
        <w:tab/>
      </w:r>
      <w:r>
        <w:rPr>
          <w:color w:val="auto"/>
          <w:sz w:val="21"/>
          <w:u w:val="single"/>
        </w:rPr>
        <w:t>（项目名称、项目编号）</w:t>
      </w:r>
      <w:r>
        <w:rPr>
          <w:color w:val="auto"/>
          <w:spacing w:val="70"/>
          <w:w w:val="150"/>
          <w:sz w:val="21"/>
          <w:u w:val="single"/>
        </w:rPr>
        <w:t xml:space="preserve">     </w:t>
      </w:r>
      <w:r>
        <w:rPr>
          <w:color w:val="auto"/>
          <w:sz w:val="21"/>
          <w:u w:val="none"/>
        </w:rPr>
        <w:t>磋商文件的全部内</w:t>
      </w:r>
      <w:r>
        <w:rPr>
          <w:color w:val="auto"/>
          <w:spacing w:val="-2"/>
          <w:sz w:val="21"/>
          <w:u w:val="none"/>
        </w:rPr>
        <w:t>容，愿意以人民币（大写）</w:t>
      </w:r>
      <w:r>
        <w:rPr>
          <w:rFonts w:ascii="Times New Roman" w:hAnsi="Times New Roman" w:eastAsia="Times New Roman"/>
          <w:color w:val="auto"/>
          <w:sz w:val="21"/>
          <w:u w:val="single"/>
        </w:rPr>
        <w:tab/>
      </w:r>
      <w:r>
        <w:rPr>
          <w:rFonts w:ascii="Times New Roman" w:hAnsi="Times New Roman" w:eastAsia="Times New Roman"/>
          <w:color w:val="auto"/>
          <w:sz w:val="21"/>
          <w:u w:val="single"/>
        </w:rPr>
        <w:tab/>
      </w:r>
      <w:r>
        <w:rPr>
          <w:color w:val="auto"/>
          <w:spacing w:val="-4"/>
          <w:sz w:val="21"/>
          <w:u w:val="none"/>
        </w:rPr>
        <w:t>元（</w:t>
      </w:r>
      <w:r>
        <w:rPr>
          <w:rFonts w:ascii="Times New Roman" w:hAnsi="Times New Roman" w:eastAsia="Times New Roman"/>
          <w:color w:val="auto"/>
          <w:spacing w:val="-4"/>
          <w:sz w:val="21"/>
          <w:u w:val="none"/>
        </w:rPr>
        <w:t>¥</w:t>
      </w:r>
      <w:r>
        <w:rPr>
          <w:rFonts w:ascii="Times New Roman" w:hAnsi="Times New Roman" w:eastAsia="Times New Roman"/>
          <w:color w:val="auto"/>
          <w:sz w:val="21"/>
          <w:u w:val="single"/>
        </w:rPr>
        <w:tab/>
      </w:r>
      <w:r>
        <w:rPr>
          <w:color w:val="auto"/>
          <w:spacing w:val="-2"/>
          <w:sz w:val="21"/>
          <w:u w:val="none"/>
        </w:rPr>
        <w:t>）的竞标总报价，工期</w:t>
      </w:r>
      <w:r>
        <w:rPr>
          <w:rFonts w:ascii="Times New Roman" w:hAnsi="Times New Roman" w:eastAsia="Times New Roman"/>
          <w:color w:val="auto"/>
          <w:sz w:val="21"/>
          <w:u w:val="single"/>
        </w:rPr>
        <w:tab/>
      </w:r>
      <w:r>
        <w:rPr>
          <w:color w:val="auto"/>
          <w:spacing w:val="-10"/>
          <w:sz w:val="21"/>
          <w:u w:val="none"/>
        </w:rPr>
        <w:t>日</w:t>
      </w:r>
      <w:r>
        <w:rPr>
          <w:color w:val="auto"/>
          <w:spacing w:val="-2"/>
          <w:sz w:val="21"/>
          <w:u w:val="none"/>
        </w:rPr>
        <w:t>历天，按合同约定实施和完成承包工程，修补工程中的任何缺陷，工程质量达</w:t>
      </w:r>
      <w:r>
        <w:rPr>
          <w:color w:val="auto"/>
          <w:spacing w:val="-10"/>
          <w:sz w:val="21"/>
          <w:u w:val="none"/>
        </w:rPr>
        <w:t>到</w:t>
      </w:r>
      <w:r>
        <w:rPr>
          <w:rFonts w:ascii="Times New Roman" w:hAnsi="Times New Roman" w:eastAsia="Times New Roman"/>
          <w:color w:val="auto"/>
          <w:sz w:val="21"/>
          <w:u w:val="single"/>
        </w:rPr>
        <w:tab/>
      </w:r>
      <w:r>
        <w:rPr>
          <w:rFonts w:ascii="Times New Roman" w:hAnsi="Times New Roman" w:eastAsia="Times New Roman"/>
          <w:color w:val="auto"/>
          <w:sz w:val="21"/>
          <w:u w:val="single"/>
        </w:rPr>
        <w:tab/>
      </w:r>
      <w:r>
        <w:rPr>
          <w:color w:val="auto"/>
          <w:spacing w:val="-10"/>
          <w:sz w:val="21"/>
          <w:u w:val="none"/>
        </w:rPr>
        <w:t>。</w:t>
      </w:r>
    </w:p>
    <w:p w14:paraId="65BC17FD">
      <w:pPr>
        <w:pStyle w:val="21"/>
        <w:numPr>
          <w:ilvl w:val="1"/>
          <w:numId w:val="46"/>
        </w:numPr>
        <w:tabs>
          <w:tab w:val="left" w:pos="1548"/>
        </w:tabs>
        <w:spacing w:before="3" w:after="0" w:line="240" w:lineRule="auto"/>
        <w:ind w:left="1548" w:right="0" w:hanging="340"/>
        <w:jc w:val="both"/>
        <w:rPr>
          <w:rFonts w:ascii="Times New Roman" w:eastAsia="Times New Roman"/>
          <w:color w:val="auto"/>
          <w:sz w:val="20"/>
        </w:rPr>
      </w:pPr>
      <w:r>
        <w:rPr>
          <w:color w:val="auto"/>
          <w:spacing w:val="-3"/>
          <w:sz w:val="21"/>
        </w:rPr>
        <w:t>我方承认竞标函附录是我方竞标函的组成部分。</w:t>
      </w:r>
    </w:p>
    <w:p w14:paraId="2B506596">
      <w:pPr>
        <w:pStyle w:val="21"/>
        <w:numPr>
          <w:ilvl w:val="1"/>
          <w:numId w:val="46"/>
        </w:numPr>
        <w:tabs>
          <w:tab w:val="left" w:pos="1548"/>
        </w:tabs>
        <w:spacing w:before="135" w:after="0" w:line="240" w:lineRule="auto"/>
        <w:ind w:left="1548" w:right="0" w:hanging="340"/>
        <w:jc w:val="both"/>
        <w:rPr>
          <w:rFonts w:ascii="Times New Roman" w:eastAsia="Times New Roman"/>
          <w:color w:val="auto"/>
          <w:sz w:val="20"/>
        </w:rPr>
      </w:pPr>
      <w:r>
        <w:rPr>
          <w:color w:val="auto"/>
          <w:spacing w:val="-4"/>
          <w:sz w:val="21"/>
        </w:rPr>
        <w:t>如我方成交：</w:t>
      </w:r>
    </w:p>
    <w:p w14:paraId="351D935E">
      <w:pPr>
        <w:pStyle w:val="21"/>
        <w:numPr>
          <w:ilvl w:val="0"/>
          <w:numId w:val="47"/>
        </w:numPr>
        <w:tabs>
          <w:tab w:val="left" w:pos="1729"/>
        </w:tabs>
        <w:spacing w:before="135" w:after="0" w:line="240" w:lineRule="auto"/>
        <w:ind w:left="1729" w:right="0" w:hanging="521"/>
        <w:jc w:val="left"/>
        <w:rPr>
          <w:color w:val="auto"/>
          <w:sz w:val="21"/>
        </w:rPr>
      </w:pPr>
      <w:r>
        <w:rPr>
          <w:color w:val="auto"/>
          <w:spacing w:val="-3"/>
          <w:sz w:val="21"/>
        </w:rPr>
        <w:t>我方承诺在收到成交通知书后，在成交通知书规定的期限内与你方签订合同。</w:t>
      </w:r>
    </w:p>
    <w:p w14:paraId="32915957">
      <w:pPr>
        <w:pStyle w:val="21"/>
        <w:numPr>
          <w:ilvl w:val="0"/>
          <w:numId w:val="47"/>
        </w:numPr>
        <w:tabs>
          <w:tab w:val="left" w:pos="1729"/>
        </w:tabs>
        <w:spacing w:before="135" w:after="0" w:line="240" w:lineRule="auto"/>
        <w:ind w:left="1729" w:right="0" w:hanging="521"/>
        <w:jc w:val="left"/>
        <w:rPr>
          <w:color w:val="auto"/>
          <w:sz w:val="21"/>
        </w:rPr>
      </w:pPr>
      <w:r>
        <w:rPr>
          <w:color w:val="auto"/>
          <w:spacing w:val="-3"/>
          <w:sz w:val="21"/>
        </w:rPr>
        <w:t>在签订合同时不向你方提出附加条件。</w:t>
      </w:r>
    </w:p>
    <w:p w14:paraId="5C36759E">
      <w:pPr>
        <w:pStyle w:val="21"/>
        <w:numPr>
          <w:ilvl w:val="0"/>
          <w:numId w:val="47"/>
        </w:numPr>
        <w:tabs>
          <w:tab w:val="left" w:pos="1729"/>
        </w:tabs>
        <w:spacing w:before="138" w:after="0" w:line="240" w:lineRule="auto"/>
        <w:ind w:left="1729" w:right="0" w:hanging="521"/>
        <w:jc w:val="left"/>
        <w:rPr>
          <w:color w:val="auto"/>
          <w:sz w:val="21"/>
        </w:rPr>
      </w:pPr>
      <w:r>
        <w:rPr>
          <w:color w:val="auto"/>
          <w:spacing w:val="-3"/>
          <w:sz w:val="21"/>
        </w:rPr>
        <w:t>我方承诺按照磋商文件规定向你方递交履约担保。</w:t>
      </w:r>
    </w:p>
    <w:p w14:paraId="2DA36758">
      <w:pPr>
        <w:pStyle w:val="21"/>
        <w:numPr>
          <w:ilvl w:val="0"/>
          <w:numId w:val="47"/>
        </w:numPr>
        <w:tabs>
          <w:tab w:val="left" w:pos="1729"/>
        </w:tabs>
        <w:spacing w:before="135" w:after="0" w:line="240" w:lineRule="auto"/>
        <w:ind w:left="1729" w:right="0" w:hanging="521"/>
        <w:jc w:val="left"/>
        <w:rPr>
          <w:color w:val="auto"/>
          <w:sz w:val="21"/>
        </w:rPr>
      </w:pPr>
      <w:r>
        <w:rPr>
          <w:color w:val="auto"/>
          <w:spacing w:val="-3"/>
          <w:sz w:val="21"/>
        </w:rPr>
        <w:t>我方承诺在合同约定的期限内完成并移交全部合同工程。</w:t>
      </w:r>
    </w:p>
    <w:p w14:paraId="4FBA4E7B">
      <w:pPr>
        <w:pStyle w:val="21"/>
        <w:numPr>
          <w:ilvl w:val="1"/>
          <w:numId w:val="46"/>
        </w:numPr>
        <w:tabs>
          <w:tab w:val="left" w:pos="1548"/>
        </w:tabs>
        <w:spacing w:before="137" w:after="0" w:line="357" w:lineRule="auto"/>
        <w:ind w:left="788" w:right="791" w:firstLine="439"/>
        <w:jc w:val="left"/>
        <w:rPr>
          <w:rFonts w:ascii="Times New Roman" w:eastAsia="Times New Roman"/>
          <w:color w:val="auto"/>
          <w:sz w:val="20"/>
        </w:rPr>
      </w:pPr>
      <w:r>
        <w:rPr>
          <w:color w:val="auto"/>
          <w:spacing w:val="-2"/>
          <w:sz w:val="21"/>
        </w:rPr>
        <w:t>在合同协议书正式签署生效之前，本竞标函连同你方的成交通知书将构成我们双方之间共同遵守的文件，对双方具有约束力。</w:t>
      </w:r>
    </w:p>
    <w:p w14:paraId="5BB7F8A8">
      <w:pPr>
        <w:pStyle w:val="21"/>
        <w:numPr>
          <w:ilvl w:val="1"/>
          <w:numId w:val="46"/>
        </w:numPr>
        <w:tabs>
          <w:tab w:val="left" w:pos="1362"/>
          <w:tab w:val="left" w:pos="6719"/>
        </w:tabs>
        <w:spacing w:before="3" w:after="0" w:line="240" w:lineRule="auto"/>
        <w:ind w:left="1362" w:right="0" w:hanging="154"/>
        <w:jc w:val="left"/>
        <w:rPr>
          <w:rFonts w:ascii="Times New Roman" w:eastAsia="Times New Roman"/>
          <w:color w:val="auto"/>
          <w:sz w:val="19"/>
        </w:rPr>
      </w:pPr>
      <w:r>
        <w:rPr>
          <w:rFonts w:ascii="Times New Roman" w:eastAsia="Times New Roman"/>
          <w:color w:val="auto"/>
          <w:sz w:val="21"/>
          <w:u w:val="single"/>
        </w:rPr>
        <w:tab/>
      </w:r>
      <w:r>
        <w:rPr>
          <w:color w:val="auto"/>
          <w:spacing w:val="-2"/>
          <w:sz w:val="21"/>
          <w:u w:val="none"/>
        </w:rPr>
        <w:t>（其他补充说明）</w:t>
      </w:r>
      <w:r>
        <w:rPr>
          <w:color w:val="auto"/>
          <w:spacing w:val="-10"/>
          <w:sz w:val="21"/>
          <w:u w:val="none"/>
        </w:rPr>
        <w:t>。</w:t>
      </w:r>
    </w:p>
    <w:p w14:paraId="202FEE54">
      <w:pPr>
        <w:pStyle w:val="12"/>
        <w:spacing w:before="0"/>
        <w:ind w:left="0"/>
        <w:rPr>
          <w:color w:val="auto"/>
        </w:rPr>
      </w:pPr>
    </w:p>
    <w:p w14:paraId="7F0A3AA2">
      <w:pPr>
        <w:pStyle w:val="12"/>
        <w:spacing w:before="211"/>
        <w:ind w:left="0"/>
        <w:rPr>
          <w:color w:val="auto"/>
        </w:rPr>
      </w:pPr>
    </w:p>
    <w:p w14:paraId="3500EA03">
      <w:pPr>
        <w:pStyle w:val="11"/>
        <w:spacing w:line="360" w:lineRule="auto"/>
        <w:ind w:left="3428" w:right="1415"/>
        <w:rPr>
          <w:color w:val="auto"/>
        </w:rPr>
      </w:pPr>
      <w:r>
        <w:rPr>
          <w:color w:val="auto"/>
          <w:spacing w:val="-2"/>
        </w:rPr>
        <w:t>法定代表人或者委托代理人（签字或者电子签名）：供应商（电子签章）：</w:t>
      </w:r>
    </w:p>
    <w:p w14:paraId="3F42FD94">
      <w:pPr>
        <w:pStyle w:val="11"/>
        <w:tabs>
          <w:tab w:val="left" w:pos="5000"/>
          <w:tab w:val="left" w:pos="5600"/>
          <w:tab w:val="left" w:pos="6200"/>
        </w:tabs>
        <w:spacing w:line="310" w:lineRule="exact"/>
        <w:ind w:left="3920"/>
        <w:rPr>
          <w:color w:val="auto"/>
        </w:rPr>
      </w:pPr>
      <w:r>
        <w:rPr>
          <w:color w:val="auto"/>
        </w:rPr>
        <w:t>日期</w:t>
      </w:r>
      <w:r>
        <w:rPr>
          <w:color w:val="auto"/>
          <w:spacing w:val="-10"/>
        </w:rPr>
        <w:t>：</w:t>
      </w:r>
      <w:r>
        <w:rPr>
          <w:color w:val="auto"/>
        </w:rPr>
        <w:tab/>
      </w:r>
      <w:r>
        <w:rPr>
          <w:color w:val="auto"/>
          <w:spacing w:val="-10"/>
        </w:rPr>
        <w:t>年</w:t>
      </w:r>
      <w:r>
        <w:rPr>
          <w:color w:val="auto"/>
        </w:rPr>
        <w:tab/>
      </w:r>
      <w:r>
        <w:rPr>
          <w:color w:val="auto"/>
          <w:spacing w:val="-10"/>
        </w:rPr>
        <w:t>月</w:t>
      </w:r>
      <w:r>
        <w:rPr>
          <w:color w:val="auto"/>
        </w:rPr>
        <w:tab/>
      </w:r>
      <w:r>
        <w:rPr>
          <w:color w:val="auto"/>
          <w:spacing w:val="-10"/>
        </w:rPr>
        <w:t>日</w:t>
      </w:r>
    </w:p>
    <w:p w14:paraId="04DA1BC5">
      <w:pPr>
        <w:spacing w:after="0" w:line="310" w:lineRule="exact"/>
        <w:rPr>
          <w:color w:val="auto"/>
        </w:rPr>
        <w:sectPr>
          <w:pgSz w:w="11910" w:h="16840"/>
          <w:pgMar w:top="1480" w:right="740" w:bottom="1180" w:left="800" w:header="0" w:footer="989" w:gutter="0"/>
          <w:cols w:space="720" w:num="1"/>
        </w:sectPr>
      </w:pPr>
    </w:p>
    <w:p w14:paraId="4065DEA6">
      <w:pPr>
        <w:pStyle w:val="5"/>
        <w:ind w:left="3896" w:right="0"/>
        <w:jc w:val="left"/>
        <w:rPr>
          <w:color w:val="auto"/>
        </w:rPr>
      </w:pPr>
      <w:r>
        <w:rPr>
          <w:color w:val="auto"/>
          <w:spacing w:val="-2"/>
        </w:rPr>
        <w:t>（二）</w:t>
      </w:r>
      <w:r>
        <w:rPr>
          <w:color w:val="auto"/>
          <w:spacing w:val="-4"/>
        </w:rPr>
        <w:t>竞标函附录</w:t>
      </w:r>
    </w:p>
    <w:p w14:paraId="6AE5E98C">
      <w:pPr>
        <w:pStyle w:val="12"/>
        <w:spacing w:before="3"/>
        <w:ind w:left="0"/>
        <w:rPr>
          <w:b/>
          <w:color w:val="auto"/>
          <w:sz w:val="16"/>
        </w:rPr>
      </w:pPr>
    </w:p>
    <w:tbl>
      <w:tblPr>
        <w:tblStyle w:val="16"/>
        <w:tblW w:w="0" w:type="auto"/>
        <w:tblInd w:w="7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2"/>
        <w:gridCol w:w="1985"/>
        <w:gridCol w:w="2126"/>
        <w:gridCol w:w="1984"/>
        <w:gridCol w:w="1843"/>
      </w:tblGrid>
      <w:tr w14:paraId="2087D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92" w:type="dxa"/>
          </w:tcPr>
          <w:p w14:paraId="3AC05655">
            <w:pPr>
              <w:pStyle w:val="22"/>
              <w:spacing w:before="143"/>
              <w:ind w:left="11" w:right="3"/>
              <w:jc w:val="center"/>
              <w:rPr>
                <w:color w:val="auto"/>
                <w:sz w:val="21"/>
              </w:rPr>
            </w:pPr>
            <w:r>
              <w:rPr>
                <w:color w:val="auto"/>
                <w:spacing w:val="-5"/>
                <w:sz w:val="21"/>
              </w:rPr>
              <w:t>序 号</w:t>
            </w:r>
          </w:p>
        </w:tc>
        <w:tc>
          <w:tcPr>
            <w:tcW w:w="1985" w:type="dxa"/>
          </w:tcPr>
          <w:p w14:paraId="4E4EFD47">
            <w:pPr>
              <w:pStyle w:val="22"/>
              <w:spacing w:before="143"/>
              <w:ind w:left="570"/>
              <w:rPr>
                <w:color w:val="auto"/>
                <w:sz w:val="21"/>
              </w:rPr>
            </w:pPr>
            <w:r>
              <w:rPr>
                <w:color w:val="auto"/>
                <w:spacing w:val="-7"/>
                <w:sz w:val="21"/>
              </w:rPr>
              <w:t>条款内容</w:t>
            </w:r>
          </w:p>
        </w:tc>
        <w:tc>
          <w:tcPr>
            <w:tcW w:w="2126" w:type="dxa"/>
          </w:tcPr>
          <w:p w14:paraId="43FCFEEB">
            <w:pPr>
              <w:pStyle w:val="22"/>
              <w:spacing w:before="143"/>
              <w:ind w:left="69" w:right="62"/>
              <w:jc w:val="center"/>
              <w:rPr>
                <w:color w:val="auto"/>
                <w:sz w:val="21"/>
              </w:rPr>
            </w:pPr>
            <w:r>
              <w:rPr>
                <w:color w:val="auto"/>
                <w:spacing w:val="-4"/>
                <w:sz w:val="21"/>
              </w:rPr>
              <w:t>合同条款号</w:t>
            </w:r>
          </w:p>
        </w:tc>
        <w:tc>
          <w:tcPr>
            <w:tcW w:w="1984" w:type="dxa"/>
          </w:tcPr>
          <w:p w14:paraId="53FED715">
            <w:pPr>
              <w:pStyle w:val="22"/>
              <w:spacing w:before="143"/>
              <w:ind w:left="6"/>
              <w:jc w:val="center"/>
              <w:rPr>
                <w:color w:val="auto"/>
                <w:sz w:val="21"/>
              </w:rPr>
            </w:pPr>
            <w:r>
              <w:rPr>
                <w:color w:val="auto"/>
                <w:spacing w:val="-7"/>
                <w:sz w:val="21"/>
              </w:rPr>
              <w:t>约定内容</w:t>
            </w:r>
          </w:p>
        </w:tc>
        <w:tc>
          <w:tcPr>
            <w:tcW w:w="1843" w:type="dxa"/>
          </w:tcPr>
          <w:p w14:paraId="4BB4E6CC">
            <w:pPr>
              <w:pStyle w:val="22"/>
              <w:spacing w:before="143"/>
              <w:ind w:left="185"/>
              <w:rPr>
                <w:color w:val="auto"/>
                <w:sz w:val="21"/>
              </w:rPr>
            </w:pPr>
            <w:r>
              <w:rPr>
                <w:color w:val="auto"/>
                <w:spacing w:val="-4"/>
                <w:sz w:val="21"/>
              </w:rPr>
              <w:t>供应商响应情况</w:t>
            </w:r>
          </w:p>
        </w:tc>
      </w:tr>
      <w:tr w14:paraId="756B49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92" w:type="dxa"/>
          </w:tcPr>
          <w:p w14:paraId="52D50CD8">
            <w:pPr>
              <w:pStyle w:val="22"/>
              <w:spacing w:before="160"/>
              <w:ind w:left="11" w:right="5"/>
              <w:jc w:val="center"/>
              <w:rPr>
                <w:rFonts w:ascii="Times New Roman"/>
                <w:color w:val="auto"/>
                <w:sz w:val="21"/>
              </w:rPr>
            </w:pPr>
            <w:r>
              <w:rPr>
                <w:rFonts w:ascii="Times New Roman"/>
                <w:color w:val="auto"/>
                <w:spacing w:val="-10"/>
                <w:sz w:val="21"/>
              </w:rPr>
              <w:t>1</w:t>
            </w:r>
          </w:p>
        </w:tc>
        <w:tc>
          <w:tcPr>
            <w:tcW w:w="1985" w:type="dxa"/>
          </w:tcPr>
          <w:p w14:paraId="1CF00464">
            <w:pPr>
              <w:pStyle w:val="22"/>
              <w:spacing w:before="142"/>
              <w:ind w:left="107"/>
              <w:rPr>
                <w:color w:val="auto"/>
                <w:sz w:val="21"/>
              </w:rPr>
            </w:pPr>
            <w:r>
              <w:rPr>
                <w:color w:val="auto"/>
                <w:spacing w:val="-7"/>
                <w:sz w:val="21"/>
              </w:rPr>
              <w:t>项目经理</w:t>
            </w:r>
          </w:p>
        </w:tc>
        <w:tc>
          <w:tcPr>
            <w:tcW w:w="2126" w:type="dxa"/>
          </w:tcPr>
          <w:p w14:paraId="719AAC70">
            <w:pPr>
              <w:pStyle w:val="22"/>
              <w:spacing w:before="142"/>
              <w:ind w:left="69"/>
              <w:jc w:val="center"/>
              <w:rPr>
                <w:color w:val="auto"/>
                <w:sz w:val="21"/>
              </w:rPr>
            </w:pPr>
            <w:r>
              <w:rPr>
                <w:color w:val="auto"/>
                <w:spacing w:val="-7"/>
                <w:sz w:val="21"/>
              </w:rPr>
              <w:t>专用条款</w:t>
            </w:r>
          </w:p>
        </w:tc>
        <w:tc>
          <w:tcPr>
            <w:tcW w:w="1984" w:type="dxa"/>
          </w:tcPr>
          <w:p w14:paraId="129E197A">
            <w:pPr>
              <w:pStyle w:val="22"/>
              <w:tabs>
                <w:tab w:val="left" w:pos="1731"/>
              </w:tabs>
              <w:spacing w:before="142"/>
              <w:ind w:right="24"/>
              <w:jc w:val="center"/>
              <w:rPr>
                <w:rFonts w:ascii="Times New Roman" w:eastAsia="Times New Roman"/>
                <w:color w:val="auto"/>
                <w:sz w:val="21"/>
              </w:rPr>
            </w:pPr>
            <w:r>
              <w:rPr>
                <w:color w:val="auto"/>
                <w:spacing w:val="-2"/>
                <w:sz w:val="21"/>
              </w:rPr>
              <w:t>姓名</w:t>
            </w:r>
            <w:r>
              <w:rPr>
                <w:color w:val="auto"/>
                <w:spacing w:val="-10"/>
                <w:sz w:val="21"/>
              </w:rPr>
              <w:t>：</w:t>
            </w:r>
            <w:r>
              <w:rPr>
                <w:rFonts w:ascii="Times New Roman" w:eastAsia="Times New Roman"/>
                <w:color w:val="auto"/>
                <w:sz w:val="21"/>
                <w:u w:val="single"/>
              </w:rPr>
              <w:tab/>
            </w:r>
          </w:p>
        </w:tc>
        <w:tc>
          <w:tcPr>
            <w:tcW w:w="1843" w:type="dxa"/>
          </w:tcPr>
          <w:p w14:paraId="4FA320AB">
            <w:pPr>
              <w:pStyle w:val="22"/>
              <w:rPr>
                <w:rFonts w:ascii="Times New Roman"/>
                <w:color w:val="auto"/>
                <w:sz w:val="20"/>
              </w:rPr>
            </w:pPr>
          </w:p>
        </w:tc>
      </w:tr>
      <w:tr w14:paraId="19393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992" w:type="dxa"/>
          </w:tcPr>
          <w:p w14:paraId="3EF3E7AF">
            <w:pPr>
              <w:pStyle w:val="22"/>
              <w:spacing w:before="161"/>
              <w:ind w:left="11" w:right="5"/>
              <w:jc w:val="center"/>
              <w:rPr>
                <w:rFonts w:ascii="Times New Roman"/>
                <w:color w:val="auto"/>
                <w:sz w:val="21"/>
              </w:rPr>
            </w:pPr>
            <w:r>
              <w:rPr>
                <w:rFonts w:ascii="Times New Roman"/>
                <w:color w:val="auto"/>
                <w:spacing w:val="-10"/>
                <w:sz w:val="21"/>
              </w:rPr>
              <w:t>2</w:t>
            </w:r>
          </w:p>
        </w:tc>
        <w:tc>
          <w:tcPr>
            <w:tcW w:w="1985" w:type="dxa"/>
          </w:tcPr>
          <w:p w14:paraId="74F8073A">
            <w:pPr>
              <w:pStyle w:val="22"/>
              <w:spacing w:before="143"/>
              <w:ind w:left="107"/>
              <w:rPr>
                <w:color w:val="auto"/>
                <w:sz w:val="21"/>
              </w:rPr>
            </w:pPr>
            <w:r>
              <w:rPr>
                <w:color w:val="auto"/>
                <w:spacing w:val="-4"/>
                <w:sz w:val="21"/>
              </w:rPr>
              <w:t>竞标有效期</w:t>
            </w:r>
          </w:p>
        </w:tc>
        <w:tc>
          <w:tcPr>
            <w:tcW w:w="2126" w:type="dxa"/>
          </w:tcPr>
          <w:p w14:paraId="367DE9C9">
            <w:pPr>
              <w:pStyle w:val="22"/>
              <w:rPr>
                <w:rFonts w:ascii="Times New Roman"/>
                <w:color w:val="auto"/>
                <w:sz w:val="20"/>
              </w:rPr>
            </w:pPr>
          </w:p>
        </w:tc>
        <w:tc>
          <w:tcPr>
            <w:tcW w:w="1984" w:type="dxa"/>
          </w:tcPr>
          <w:p w14:paraId="107CE0D2">
            <w:pPr>
              <w:pStyle w:val="22"/>
              <w:rPr>
                <w:rFonts w:ascii="Times New Roman"/>
                <w:color w:val="auto"/>
                <w:sz w:val="20"/>
              </w:rPr>
            </w:pPr>
          </w:p>
        </w:tc>
        <w:tc>
          <w:tcPr>
            <w:tcW w:w="1843" w:type="dxa"/>
          </w:tcPr>
          <w:p w14:paraId="512AB538">
            <w:pPr>
              <w:pStyle w:val="22"/>
              <w:rPr>
                <w:rFonts w:ascii="Times New Roman"/>
                <w:color w:val="auto"/>
                <w:sz w:val="20"/>
              </w:rPr>
            </w:pPr>
          </w:p>
        </w:tc>
      </w:tr>
      <w:tr w14:paraId="741F3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92" w:type="dxa"/>
          </w:tcPr>
          <w:p w14:paraId="250F6DC3">
            <w:pPr>
              <w:pStyle w:val="22"/>
              <w:spacing w:before="160"/>
              <w:ind w:left="11" w:right="5"/>
              <w:jc w:val="center"/>
              <w:rPr>
                <w:rFonts w:ascii="Times New Roman"/>
                <w:color w:val="auto"/>
                <w:sz w:val="21"/>
              </w:rPr>
            </w:pPr>
            <w:r>
              <w:rPr>
                <w:rFonts w:ascii="Times New Roman"/>
                <w:color w:val="auto"/>
                <w:spacing w:val="-10"/>
                <w:sz w:val="21"/>
              </w:rPr>
              <w:t>3</w:t>
            </w:r>
          </w:p>
        </w:tc>
        <w:tc>
          <w:tcPr>
            <w:tcW w:w="1985" w:type="dxa"/>
          </w:tcPr>
          <w:p w14:paraId="1FA51BF5">
            <w:pPr>
              <w:pStyle w:val="22"/>
              <w:spacing w:before="142"/>
              <w:ind w:left="107"/>
              <w:rPr>
                <w:color w:val="auto"/>
                <w:sz w:val="21"/>
              </w:rPr>
            </w:pPr>
            <w:r>
              <w:rPr>
                <w:color w:val="auto"/>
                <w:spacing w:val="-8"/>
                <w:sz w:val="21"/>
              </w:rPr>
              <w:t>工期</w:t>
            </w:r>
          </w:p>
        </w:tc>
        <w:tc>
          <w:tcPr>
            <w:tcW w:w="2126" w:type="dxa"/>
          </w:tcPr>
          <w:p w14:paraId="42D9B763">
            <w:pPr>
              <w:pStyle w:val="22"/>
              <w:spacing w:before="142"/>
              <w:ind w:left="69"/>
              <w:jc w:val="center"/>
              <w:rPr>
                <w:color w:val="auto"/>
                <w:sz w:val="21"/>
              </w:rPr>
            </w:pPr>
            <w:r>
              <w:rPr>
                <w:color w:val="auto"/>
                <w:spacing w:val="-7"/>
                <w:sz w:val="21"/>
              </w:rPr>
              <w:t>专用条款</w:t>
            </w:r>
          </w:p>
        </w:tc>
        <w:tc>
          <w:tcPr>
            <w:tcW w:w="1984" w:type="dxa"/>
          </w:tcPr>
          <w:p w14:paraId="27FA413A">
            <w:pPr>
              <w:pStyle w:val="22"/>
              <w:tabs>
                <w:tab w:val="left" w:pos="1059"/>
              </w:tabs>
              <w:spacing w:before="142"/>
              <w:ind w:left="8"/>
              <w:jc w:val="center"/>
              <w:rPr>
                <w:color w:val="auto"/>
                <w:sz w:val="21"/>
              </w:rPr>
            </w:pPr>
            <w:r>
              <w:rPr>
                <w:rFonts w:ascii="Times New Roman" w:eastAsia="Times New Roman"/>
                <w:color w:val="auto"/>
                <w:sz w:val="21"/>
                <w:u w:val="single"/>
              </w:rPr>
              <w:tab/>
            </w:r>
            <w:r>
              <w:rPr>
                <w:color w:val="auto"/>
                <w:spacing w:val="-5"/>
                <w:sz w:val="21"/>
                <w:u w:val="none"/>
              </w:rPr>
              <w:t>日历天</w:t>
            </w:r>
          </w:p>
        </w:tc>
        <w:tc>
          <w:tcPr>
            <w:tcW w:w="1843" w:type="dxa"/>
          </w:tcPr>
          <w:p w14:paraId="18C73929">
            <w:pPr>
              <w:pStyle w:val="22"/>
              <w:rPr>
                <w:rFonts w:ascii="Times New Roman"/>
                <w:color w:val="auto"/>
                <w:sz w:val="20"/>
              </w:rPr>
            </w:pPr>
          </w:p>
        </w:tc>
      </w:tr>
      <w:tr w14:paraId="4C440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92" w:type="dxa"/>
          </w:tcPr>
          <w:p w14:paraId="3304643B">
            <w:pPr>
              <w:pStyle w:val="22"/>
              <w:spacing w:before="161"/>
              <w:ind w:left="11" w:right="5"/>
              <w:jc w:val="center"/>
              <w:rPr>
                <w:rFonts w:ascii="Times New Roman"/>
                <w:color w:val="auto"/>
                <w:sz w:val="21"/>
              </w:rPr>
            </w:pPr>
            <w:r>
              <w:rPr>
                <w:rFonts w:ascii="Times New Roman"/>
                <w:color w:val="auto"/>
                <w:spacing w:val="-10"/>
                <w:sz w:val="21"/>
              </w:rPr>
              <w:t>4</w:t>
            </w:r>
          </w:p>
        </w:tc>
        <w:tc>
          <w:tcPr>
            <w:tcW w:w="1985" w:type="dxa"/>
          </w:tcPr>
          <w:p w14:paraId="486A5DDB">
            <w:pPr>
              <w:pStyle w:val="22"/>
              <w:spacing w:before="144"/>
              <w:ind w:left="107"/>
              <w:rPr>
                <w:color w:val="auto"/>
                <w:sz w:val="21"/>
              </w:rPr>
            </w:pPr>
            <w:r>
              <w:rPr>
                <w:color w:val="auto"/>
                <w:spacing w:val="-4"/>
                <w:sz w:val="21"/>
              </w:rPr>
              <w:t>缺陷责任期</w:t>
            </w:r>
          </w:p>
        </w:tc>
        <w:tc>
          <w:tcPr>
            <w:tcW w:w="2126" w:type="dxa"/>
          </w:tcPr>
          <w:p w14:paraId="173E5402">
            <w:pPr>
              <w:pStyle w:val="22"/>
              <w:spacing w:before="144"/>
              <w:ind w:left="69"/>
              <w:jc w:val="center"/>
              <w:rPr>
                <w:color w:val="auto"/>
                <w:sz w:val="21"/>
              </w:rPr>
            </w:pPr>
            <w:r>
              <w:rPr>
                <w:color w:val="auto"/>
                <w:spacing w:val="-7"/>
                <w:sz w:val="21"/>
              </w:rPr>
              <w:t>专用条款</w:t>
            </w:r>
          </w:p>
        </w:tc>
        <w:tc>
          <w:tcPr>
            <w:tcW w:w="1984" w:type="dxa"/>
          </w:tcPr>
          <w:p w14:paraId="7DCAECF5">
            <w:pPr>
              <w:pStyle w:val="22"/>
              <w:rPr>
                <w:rFonts w:ascii="Times New Roman"/>
                <w:color w:val="auto"/>
                <w:sz w:val="20"/>
              </w:rPr>
            </w:pPr>
          </w:p>
        </w:tc>
        <w:tc>
          <w:tcPr>
            <w:tcW w:w="1843" w:type="dxa"/>
          </w:tcPr>
          <w:p w14:paraId="3EEF21D6">
            <w:pPr>
              <w:pStyle w:val="22"/>
              <w:rPr>
                <w:rFonts w:ascii="Times New Roman"/>
                <w:color w:val="auto"/>
                <w:sz w:val="20"/>
              </w:rPr>
            </w:pPr>
          </w:p>
        </w:tc>
      </w:tr>
      <w:tr w14:paraId="5D4A4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92" w:type="dxa"/>
          </w:tcPr>
          <w:p w14:paraId="0843095B">
            <w:pPr>
              <w:pStyle w:val="22"/>
              <w:spacing w:before="160"/>
              <w:ind w:left="11" w:right="5"/>
              <w:jc w:val="center"/>
              <w:rPr>
                <w:rFonts w:ascii="Times New Roman"/>
                <w:color w:val="auto"/>
                <w:sz w:val="21"/>
              </w:rPr>
            </w:pPr>
            <w:r>
              <w:rPr>
                <w:rFonts w:ascii="Times New Roman"/>
                <w:color w:val="auto"/>
                <w:spacing w:val="-10"/>
                <w:sz w:val="21"/>
              </w:rPr>
              <w:t>5</w:t>
            </w:r>
          </w:p>
        </w:tc>
        <w:tc>
          <w:tcPr>
            <w:tcW w:w="1985" w:type="dxa"/>
          </w:tcPr>
          <w:p w14:paraId="3C868ACD">
            <w:pPr>
              <w:pStyle w:val="22"/>
              <w:spacing w:before="143"/>
              <w:ind w:left="107"/>
              <w:rPr>
                <w:color w:val="auto"/>
                <w:sz w:val="21"/>
              </w:rPr>
            </w:pPr>
            <w:r>
              <w:rPr>
                <w:color w:val="auto"/>
                <w:spacing w:val="-4"/>
                <w:sz w:val="21"/>
              </w:rPr>
              <w:t>发包人支付担保</w:t>
            </w:r>
          </w:p>
        </w:tc>
        <w:tc>
          <w:tcPr>
            <w:tcW w:w="2126" w:type="dxa"/>
          </w:tcPr>
          <w:p w14:paraId="061D1E7C">
            <w:pPr>
              <w:pStyle w:val="22"/>
              <w:spacing w:before="143"/>
              <w:ind w:left="69"/>
              <w:jc w:val="center"/>
              <w:rPr>
                <w:color w:val="auto"/>
                <w:sz w:val="21"/>
              </w:rPr>
            </w:pPr>
            <w:r>
              <w:rPr>
                <w:color w:val="auto"/>
                <w:spacing w:val="-7"/>
                <w:sz w:val="21"/>
              </w:rPr>
              <w:t>专用条款</w:t>
            </w:r>
          </w:p>
        </w:tc>
        <w:tc>
          <w:tcPr>
            <w:tcW w:w="1984" w:type="dxa"/>
          </w:tcPr>
          <w:p w14:paraId="7E712702">
            <w:pPr>
              <w:pStyle w:val="22"/>
              <w:rPr>
                <w:rFonts w:ascii="Times New Roman"/>
                <w:color w:val="auto"/>
                <w:sz w:val="20"/>
              </w:rPr>
            </w:pPr>
          </w:p>
        </w:tc>
        <w:tc>
          <w:tcPr>
            <w:tcW w:w="1843" w:type="dxa"/>
          </w:tcPr>
          <w:p w14:paraId="294D73B4">
            <w:pPr>
              <w:pStyle w:val="22"/>
              <w:rPr>
                <w:rFonts w:ascii="Times New Roman"/>
                <w:color w:val="auto"/>
                <w:sz w:val="20"/>
              </w:rPr>
            </w:pPr>
          </w:p>
        </w:tc>
      </w:tr>
      <w:tr w14:paraId="4FBA7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92" w:type="dxa"/>
          </w:tcPr>
          <w:p w14:paraId="537C99CA">
            <w:pPr>
              <w:pStyle w:val="22"/>
              <w:spacing w:before="162"/>
              <w:ind w:left="11" w:right="5"/>
              <w:jc w:val="center"/>
              <w:rPr>
                <w:rFonts w:ascii="Times New Roman"/>
                <w:color w:val="auto"/>
                <w:sz w:val="21"/>
              </w:rPr>
            </w:pPr>
            <w:r>
              <w:rPr>
                <w:rFonts w:ascii="Times New Roman"/>
                <w:color w:val="auto"/>
                <w:spacing w:val="-10"/>
                <w:sz w:val="21"/>
              </w:rPr>
              <w:t>6</w:t>
            </w:r>
          </w:p>
        </w:tc>
        <w:tc>
          <w:tcPr>
            <w:tcW w:w="1985" w:type="dxa"/>
          </w:tcPr>
          <w:p w14:paraId="7FD735C4">
            <w:pPr>
              <w:pStyle w:val="22"/>
              <w:spacing w:before="3" w:line="272" w:lineRule="exact"/>
              <w:ind w:left="107" w:right="96"/>
              <w:rPr>
                <w:color w:val="auto"/>
                <w:sz w:val="21"/>
              </w:rPr>
            </w:pPr>
            <w:r>
              <w:rPr>
                <w:color w:val="auto"/>
                <w:spacing w:val="8"/>
                <w:sz w:val="21"/>
              </w:rPr>
              <w:t>承包人履约担保金</w:t>
            </w:r>
            <w:r>
              <w:rPr>
                <w:color w:val="auto"/>
                <w:spacing w:val="-10"/>
                <w:sz w:val="21"/>
              </w:rPr>
              <w:t>额</w:t>
            </w:r>
          </w:p>
        </w:tc>
        <w:tc>
          <w:tcPr>
            <w:tcW w:w="2126" w:type="dxa"/>
          </w:tcPr>
          <w:p w14:paraId="1BE9056D">
            <w:pPr>
              <w:pStyle w:val="22"/>
              <w:spacing w:before="144"/>
              <w:ind w:left="69"/>
              <w:jc w:val="center"/>
              <w:rPr>
                <w:color w:val="auto"/>
                <w:sz w:val="21"/>
              </w:rPr>
            </w:pPr>
            <w:r>
              <w:rPr>
                <w:color w:val="auto"/>
                <w:spacing w:val="-7"/>
                <w:sz w:val="21"/>
              </w:rPr>
              <w:t>专用条款</w:t>
            </w:r>
          </w:p>
        </w:tc>
        <w:tc>
          <w:tcPr>
            <w:tcW w:w="1984" w:type="dxa"/>
          </w:tcPr>
          <w:p w14:paraId="51C2B28B">
            <w:pPr>
              <w:pStyle w:val="22"/>
              <w:rPr>
                <w:rFonts w:ascii="Times New Roman"/>
                <w:color w:val="auto"/>
                <w:sz w:val="20"/>
              </w:rPr>
            </w:pPr>
          </w:p>
        </w:tc>
        <w:tc>
          <w:tcPr>
            <w:tcW w:w="1843" w:type="dxa"/>
          </w:tcPr>
          <w:p w14:paraId="4D11A7A8">
            <w:pPr>
              <w:pStyle w:val="22"/>
              <w:rPr>
                <w:rFonts w:ascii="Times New Roman"/>
                <w:color w:val="auto"/>
                <w:sz w:val="20"/>
              </w:rPr>
            </w:pPr>
          </w:p>
        </w:tc>
      </w:tr>
      <w:tr w14:paraId="29409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992" w:type="dxa"/>
          </w:tcPr>
          <w:p w14:paraId="4B0174AC">
            <w:pPr>
              <w:pStyle w:val="22"/>
              <w:spacing w:before="161"/>
              <w:ind w:left="11" w:right="5"/>
              <w:jc w:val="center"/>
              <w:rPr>
                <w:rFonts w:ascii="Times New Roman"/>
                <w:color w:val="auto"/>
                <w:sz w:val="21"/>
              </w:rPr>
            </w:pPr>
            <w:r>
              <w:rPr>
                <w:rFonts w:ascii="Times New Roman"/>
                <w:color w:val="auto"/>
                <w:spacing w:val="-10"/>
                <w:sz w:val="21"/>
              </w:rPr>
              <w:t>7</w:t>
            </w:r>
          </w:p>
        </w:tc>
        <w:tc>
          <w:tcPr>
            <w:tcW w:w="1985" w:type="dxa"/>
          </w:tcPr>
          <w:p w14:paraId="65EF7F12">
            <w:pPr>
              <w:pStyle w:val="22"/>
              <w:spacing w:before="143"/>
              <w:ind w:left="107"/>
              <w:rPr>
                <w:color w:val="auto"/>
                <w:sz w:val="21"/>
              </w:rPr>
            </w:pPr>
            <w:r>
              <w:rPr>
                <w:color w:val="auto"/>
                <w:spacing w:val="-8"/>
                <w:sz w:val="21"/>
              </w:rPr>
              <w:t>分包</w:t>
            </w:r>
          </w:p>
        </w:tc>
        <w:tc>
          <w:tcPr>
            <w:tcW w:w="2126" w:type="dxa"/>
          </w:tcPr>
          <w:p w14:paraId="737C635C">
            <w:pPr>
              <w:pStyle w:val="22"/>
              <w:spacing w:before="143"/>
              <w:ind w:left="69"/>
              <w:jc w:val="center"/>
              <w:rPr>
                <w:color w:val="auto"/>
                <w:sz w:val="21"/>
              </w:rPr>
            </w:pPr>
            <w:r>
              <w:rPr>
                <w:color w:val="auto"/>
                <w:spacing w:val="-7"/>
                <w:sz w:val="21"/>
              </w:rPr>
              <w:t>专用条款</w:t>
            </w:r>
          </w:p>
        </w:tc>
        <w:tc>
          <w:tcPr>
            <w:tcW w:w="1984" w:type="dxa"/>
          </w:tcPr>
          <w:p w14:paraId="5094684B">
            <w:pPr>
              <w:pStyle w:val="22"/>
              <w:spacing w:before="143"/>
              <w:ind w:left="6"/>
              <w:jc w:val="center"/>
              <w:rPr>
                <w:color w:val="auto"/>
                <w:sz w:val="21"/>
              </w:rPr>
            </w:pPr>
            <w:r>
              <w:rPr>
                <w:color w:val="auto"/>
                <w:spacing w:val="-4"/>
                <w:sz w:val="21"/>
              </w:rPr>
              <w:t>见分包项目情况表</w:t>
            </w:r>
          </w:p>
        </w:tc>
        <w:tc>
          <w:tcPr>
            <w:tcW w:w="1843" w:type="dxa"/>
          </w:tcPr>
          <w:p w14:paraId="46952B03">
            <w:pPr>
              <w:pStyle w:val="22"/>
              <w:rPr>
                <w:rFonts w:ascii="Times New Roman"/>
                <w:color w:val="auto"/>
                <w:sz w:val="20"/>
              </w:rPr>
            </w:pPr>
          </w:p>
        </w:tc>
      </w:tr>
      <w:tr w14:paraId="3E741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92" w:type="dxa"/>
          </w:tcPr>
          <w:p w14:paraId="1605E1FB">
            <w:pPr>
              <w:pStyle w:val="22"/>
              <w:spacing w:before="160"/>
              <w:ind w:left="11" w:right="5"/>
              <w:jc w:val="center"/>
              <w:rPr>
                <w:rFonts w:ascii="Times New Roman"/>
                <w:color w:val="auto"/>
                <w:sz w:val="21"/>
              </w:rPr>
            </w:pPr>
            <w:r>
              <w:rPr>
                <w:rFonts w:ascii="Times New Roman"/>
                <w:color w:val="auto"/>
                <w:spacing w:val="-10"/>
                <w:sz w:val="21"/>
              </w:rPr>
              <w:t>8</w:t>
            </w:r>
          </w:p>
        </w:tc>
        <w:tc>
          <w:tcPr>
            <w:tcW w:w="1985" w:type="dxa"/>
          </w:tcPr>
          <w:p w14:paraId="27DA750B">
            <w:pPr>
              <w:pStyle w:val="22"/>
              <w:spacing w:before="142"/>
              <w:ind w:left="107"/>
              <w:rPr>
                <w:color w:val="auto"/>
                <w:sz w:val="21"/>
              </w:rPr>
            </w:pPr>
            <w:r>
              <w:rPr>
                <w:color w:val="auto"/>
                <w:spacing w:val="-4"/>
                <w:sz w:val="21"/>
              </w:rPr>
              <w:t>逾期竣工违约金</w:t>
            </w:r>
          </w:p>
        </w:tc>
        <w:tc>
          <w:tcPr>
            <w:tcW w:w="2126" w:type="dxa"/>
          </w:tcPr>
          <w:p w14:paraId="0E6E8094">
            <w:pPr>
              <w:pStyle w:val="22"/>
              <w:spacing w:before="142"/>
              <w:ind w:left="69"/>
              <w:jc w:val="center"/>
              <w:rPr>
                <w:color w:val="auto"/>
                <w:sz w:val="21"/>
              </w:rPr>
            </w:pPr>
            <w:r>
              <w:rPr>
                <w:color w:val="auto"/>
                <w:spacing w:val="-7"/>
                <w:sz w:val="21"/>
              </w:rPr>
              <w:t>专用条款</w:t>
            </w:r>
          </w:p>
        </w:tc>
        <w:tc>
          <w:tcPr>
            <w:tcW w:w="1984" w:type="dxa"/>
          </w:tcPr>
          <w:p w14:paraId="57E15A1A">
            <w:pPr>
              <w:pStyle w:val="22"/>
              <w:rPr>
                <w:rFonts w:ascii="Times New Roman"/>
                <w:color w:val="auto"/>
                <w:sz w:val="20"/>
              </w:rPr>
            </w:pPr>
          </w:p>
        </w:tc>
        <w:tc>
          <w:tcPr>
            <w:tcW w:w="1843" w:type="dxa"/>
          </w:tcPr>
          <w:p w14:paraId="01CBDD60">
            <w:pPr>
              <w:pStyle w:val="22"/>
              <w:rPr>
                <w:rFonts w:ascii="Times New Roman"/>
                <w:color w:val="auto"/>
                <w:sz w:val="20"/>
              </w:rPr>
            </w:pPr>
          </w:p>
        </w:tc>
      </w:tr>
      <w:tr w14:paraId="3DE76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992" w:type="dxa"/>
          </w:tcPr>
          <w:p w14:paraId="6F680509">
            <w:pPr>
              <w:pStyle w:val="22"/>
              <w:spacing w:before="161"/>
              <w:ind w:left="11" w:right="5"/>
              <w:jc w:val="center"/>
              <w:rPr>
                <w:rFonts w:ascii="Times New Roman"/>
                <w:color w:val="auto"/>
                <w:sz w:val="21"/>
              </w:rPr>
            </w:pPr>
            <w:r>
              <w:rPr>
                <w:rFonts w:ascii="Times New Roman"/>
                <w:color w:val="auto"/>
                <w:spacing w:val="-10"/>
                <w:sz w:val="21"/>
              </w:rPr>
              <w:t>9</w:t>
            </w:r>
          </w:p>
        </w:tc>
        <w:tc>
          <w:tcPr>
            <w:tcW w:w="1985" w:type="dxa"/>
          </w:tcPr>
          <w:p w14:paraId="04C8EDB0">
            <w:pPr>
              <w:pStyle w:val="22"/>
              <w:spacing w:before="3" w:line="272" w:lineRule="exact"/>
              <w:ind w:left="107" w:right="96"/>
              <w:rPr>
                <w:color w:val="auto"/>
                <w:sz w:val="21"/>
              </w:rPr>
            </w:pPr>
            <w:r>
              <w:rPr>
                <w:color w:val="auto"/>
                <w:spacing w:val="8"/>
                <w:sz w:val="21"/>
              </w:rPr>
              <w:t>逾期竣工违约金最</w:t>
            </w:r>
            <w:r>
              <w:rPr>
                <w:color w:val="auto"/>
                <w:spacing w:val="-4"/>
                <w:sz w:val="21"/>
              </w:rPr>
              <w:t>高限额</w:t>
            </w:r>
          </w:p>
        </w:tc>
        <w:tc>
          <w:tcPr>
            <w:tcW w:w="2126" w:type="dxa"/>
          </w:tcPr>
          <w:p w14:paraId="73B1295B">
            <w:pPr>
              <w:pStyle w:val="22"/>
              <w:spacing w:before="143"/>
              <w:ind w:left="69"/>
              <w:jc w:val="center"/>
              <w:rPr>
                <w:color w:val="auto"/>
                <w:sz w:val="21"/>
              </w:rPr>
            </w:pPr>
            <w:r>
              <w:rPr>
                <w:color w:val="auto"/>
                <w:spacing w:val="-7"/>
                <w:sz w:val="21"/>
              </w:rPr>
              <w:t>专用条款</w:t>
            </w:r>
          </w:p>
        </w:tc>
        <w:tc>
          <w:tcPr>
            <w:tcW w:w="1984" w:type="dxa"/>
          </w:tcPr>
          <w:p w14:paraId="55E6F5E9">
            <w:pPr>
              <w:pStyle w:val="22"/>
              <w:rPr>
                <w:rFonts w:ascii="Times New Roman"/>
                <w:color w:val="auto"/>
                <w:sz w:val="20"/>
              </w:rPr>
            </w:pPr>
          </w:p>
        </w:tc>
        <w:tc>
          <w:tcPr>
            <w:tcW w:w="1843" w:type="dxa"/>
          </w:tcPr>
          <w:p w14:paraId="6EE68C0C">
            <w:pPr>
              <w:pStyle w:val="22"/>
              <w:rPr>
                <w:rFonts w:ascii="Times New Roman"/>
                <w:color w:val="auto"/>
                <w:sz w:val="20"/>
              </w:rPr>
            </w:pPr>
          </w:p>
        </w:tc>
      </w:tr>
      <w:tr w14:paraId="40F66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92" w:type="dxa"/>
          </w:tcPr>
          <w:p w14:paraId="60C14EBE">
            <w:pPr>
              <w:pStyle w:val="22"/>
              <w:spacing w:before="160"/>
              <w:ind w:left="11"/>
              <w:jc w:val="center"/>
              <w:rPr>
                <w:rFonts w:ascii="Times New Roman"/>
                <w:color w:val="auto"/>
                <w:sz w:val="21"/>
              </w:rPr>
            </w:pPr>
            <w:r>
              <w:rPr>
                <w:rFonts w:ascii="Times New Roman"/>
                <w:color w:val="auto"/>
                <w:spacing w:val="-5"/>
                <w:sz w:val="21"/>
              </w:rPr>
              <w:t>10</w:t>
            </w:r>
          </w:p>
        </w:tc>
        <w:tc>
          <w:tcPr>
            <w:tcW w:w="1985" w:type="dxa"/>
          </w:tcPr>
          <w:p w14:paraId="786BB74A">
            <w:pPr>
              <w:pStyle w:val="22"/>
              <w:spacing w:before="142"/>
              <w:ind w:left="107"/>
              <w:rPr>
                <w:color w:val="auto"/>
                <w:sz w:val="21"/>
              </w:rPr>
            </w:pPr>
            <w:r>
              <w:rPr>
                <w:color w:val="auto"/>
                <w:spacing w:val="-7"/>
                <w:sz w:val="21"/>
              </w:rPr>
              <w:t>质量标准</w:t>
            </w:r>
          </w:p>
        </w:tc>
        <w:tc>
          <w:tcPr>
            <w:tcW w:w="2126" w:type="dxa"/>
          </w:tcPr>
          <w:p w14:paraId="3F04C5BB">
            <w:pPr>
              <w:pStyle w:val="22"/>
              <w:spacing w:before="142"/>
              <w:ind w:left="69"/>
              <w:jc w:val="center"/>
              <w:rPr>
                <w:color w:val="auto"/>
                <w:sz w:val="21"/>
              </w:rPr>
            </w:pPr>
            <w:r>
              <w:rPr>
                <w:color w:val="auto"/>
                <w:spacing w:val="-7"/>
                <w:sz w:val="21"/>
              </w:rPr>
              <w:t>专用条款</w:t>
            </w:r>
          </w:p>
        </w:tc>
        <w:tc>
          <w:tcPr>
            <w:tcW w:w="1984" w:type="dxa"/>
          </w:tcPr>
          <w:p w14:paraId="66280892">
            <w:pPr>
              <w:pStyle w:val="22"/>
              <w:rPr>
                <w:rFonts w:ascii="Times New Roman"/>
                <w:color w:val="auto"/>
                <w:sz w:val="20"/>
              </w:rPr>
            </w:pPr>
          </w:p>
        </w:tc>
        <w:tc>
          <w:tcPr>
            <w:tcW w:w="1843" w:type="dxa"/>
          </w:tcPr>
          <w:p w14:paraId="126759BC">
            <w:pPr>
              <w:pStyle w:val="22"/>
              <w:rPr>
                <w:rFonts w:ascii="Times New Roman"/>
                <w:color w:val="auto"/>
                <w:sz w:val="20"/>
              </w:rPr>
            </w:pPr>
          </w:p>
        </w:tc>
      </w:tr>
      <w:tr w14:paraId="047B6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992" w:type="dxa"/>
          </w:tcPr>
          <w:p w14:paraId="238BCA98">
            <w:pPr>
              <w:pStyle w:val="22"/>
              <w:spacing w:before="162"/>
              <w:ind w:left="11"/>
              <w:jc w:val="center"/>
              <w:rPr>
                <w:rFonts w:ascii="Times New Roman"/>
                <w:color w:val="auto"/>
                <w:sz w:val="21"/>
              </w:rPr>
            </w:pPr>
            <w:r>
              <w:rPr>
                <w:rFonts w:ascii="Times New Roman"/>
                <w:color w:val="auto"/>
                <w:spacing w:val="-5"/>
                <w:sz w:val="21"/>
              </w:rPr>
              <w:t>11</w:t>
            </w:r>
          </w:p>
        </w:tc>
        <w:tc>
          <w:tcPr>
            <w:tcW w:w="1985" w:type="dxa"/>
          </w:tcPr>
          <w:p w14:paraId="1E77ACCF">
            <w:pPr>
              <w:pStyle w:val="22"/>
              <w:spacing w:before="144"/>
              <w:ind w:left="107"/>
              <w:rPr>
                <w:color w:val="auto"/>
                <w:sz w:val="21"/>
              </w:rPr>
            </w:pPr>
            <w:r>
              <w:rPr>
                <w:color w:val="auto"/>
                <w:spacing w:val="-4"/>
                <w:sz w:val="21"/>
              </w:rPr>
              <w:t>预付款额度</w:t>
            </w:r>
          </w:p>
        </w:tc>
        <w:tc>
          <w:tcPr>
            <w:tcW w:w="2126" w:type="dxa"/>
          </w:tcPr>
          <w:p w14:paraId="668D72EB">
            <w:pPr>
              <w:pStyle w:val="22"/>
              <w:spacing w:before="144"/>
              <w:ind w:left="69"/>
              <w:jc w:val="center"/>
              <w:rPr>
                <w:color w:val="auto"/>
                <w:sz w:val="21"/>
              </w:rPr>
            </w:pPr>
            <w:r>
              <w:rPr>
                <w:color w:val="auto"/>
                <w:spacing w:val="-7"/>
                <w:sz w:val="21"/>
              </w:rPr>
              <w:t>专用条款</w:t>
            </w:r>
          </w:p>
        </w:tc>
        <w:tc>
          <w:tcPr>
            <w:tcW w:w="1984" w:type="dxa"/>
          </w:tcPr>
          <w:p w14:paraId="277C634E">
            <w:pPr>
              <w:pStyle w:val="22"/>
              <w:rPr>
                <w:rFonts w:ascii="Times New Roman"/>
                <w:color w:val="auto"/>
                <w:sz w:val="20"/>
              </w:rPr>
            </w:pPr>
          </w:p>
        </w:tc>
        <w:tc>
          <w:tcPr>
            <w:tcW w:w="1843" w:type="dxa"/>
          </w:tcPr>
          <w:p w14:paraId="2B2DAE64">
            <w:pPr>
              <w:pStyle w:val="22"/>
              <w:rPr>
                <w:rFonts w:ascii="Times New Roman"/>
                <w:color w:val="auto"/>
                <w:sz w:val="20"/>
              </w:rPr>
            </w:pPr>
          </w:p>
        </w:tc>
      </w:tr>
      <w:tr w14:paraId="49230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92" w:type="dxa"/>
          </w:tcPr>
          <w:p w14:paraId="1BB2D5FA">
            <w:pPr>
              <w:pStyle w:val="22"/>
              <w:spacing w:before="161"/>
              <w:ind w:left="11"/>
              <w:jc w:val="center"/>
              <w:rPr>
                <w:rFonts w:ascii="Times New Roman"/>
                <w:color w:val="auto"/>
                <w:sz w:val="21"/>
              </w:rPr>
            </w:pPr>
            <w:r>
              <w:rPr>
                <w:rFonts w:ascii="Times New Roman"/>
                <w:color w:val="auto"/>
                <w:spacing w:val="-5"/>
                <w:sz w:val="21"/>
              </w:rPr>
              <w:t>12</w:t>
            </w:r>
          </w:p>
        </w:tc>
        <w:tc>
          <w:tcPr>
            <w:tcW w:w="1985" w:type="dxa"/>
          </w:tcPr>
          <w:p w14:paraId="15066C02">
            <w:pPr>
              <w:pStyle w:val="22"/>
              <w:spacing w:before="143"/>
              <w:ind w:left="107"/>
              <w:rPr>
                <w:color w:val="auto"/>
                <w:sz w:val="21"/>
              </w:rPr>
            </w:pPr>
            <w:r>
              <w:rPr>
                <w:color w:val="auto"/>
                <w:spacing w:val="-4"/>
                <w:sz w:val="21"/>
              </w:rPr>
              <w:t>预付款保函金额</w:t>
            </w:r>
          </w:p>
        </w:tc>
        <w:tc>
          <w:tcPr>
            <w:tcW w:w="2126" w:type="dxa"/>
          </w:tcPr>
          <w:p w14:paraId="182971D3">
            <w:pPr>
              <w:pStyle w:val="22"/>
              <w:spacing w:before="143"/>
              <w:ind w:left="69"/>
              <w:jc w:val="center"/>
              <w:rPr>
                <w:color w:val="auto"/>
                <w:sz w:val="21"/>
              </w:rPr>
            </w:pPr>
            <w:r>
              <w:rPr>
                <w:color w:val="auto"/>
                <w:spacing w:val="-7"/>
                <w:sz w:val="21"/>
              </w:rPr>
              <w:t>专用条款</w:t>
            </w:r>
          </w:p>
        </w:tc>
        <w:tc>
          <w:tcPr>
            <w:tcW w:w="1984" w:type="dxa"/>
          </w:tcPr>
          <w:p w14:paraId="2F6ACC27">
            <w:pPr>
              <w:pStyle w:val="22"/>
              <w:rPr>
                <w:rFonts w:ascii="Times New Roman"/>
                <w:color w:val="auto"/>
                <w:sz w:val="20"/>
              </w:rPr>
            </w:pPr>
          </w:p>
        </w:tc>
        <w:tc>
          <w:tcPr>
            <w:tcW w:w="1843" w:type="dxa"/>
          </w:tcPr>
          <w:p w14:paraId="2551C632">
            <w:pPr>
              <w:pStyle w:val="22"/>
              <w:rPr>
                <w:rFonts w:ascii="Times New Roman"/>
                <w:color w:val="auto"/>
                <w:sz w:val="20"/>
              </w:rPr>
            </w:pPr>
          </w:p>
        </w:tc>
      </w:tr>
      <w:tr w14:paraId="75BD8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992" w:type="dxa"/>
          </w:tcPr>
          <w:p w14:paraId="71CBF3D9">
            <w:pPr>
              <w:pStyle w:val="22"/>
              <w:spacing w:before="160"/>
              <w:ind w:left="11"/>
              <w:jc w:val="center"/>
              <w:rPr>
                <w:rFonts w:ascii="Times New Roman"/>
                <w:color w:val="auto"/>
                <w:sz w:val="21"/>
              </w:rPr>
            </w:pPr>
            <w:r>
              <w:rPr>
                <w:rFonts w:ascii="Times New Roman"/>
                <w:color w:val="auto"/>
                <w:spacing w:val="-5"/>
                <w:sz w:val="21"/>
              </w:rPr>
              <w:t>13</w:t>
            </w:r>
          </w:p>
        </w:tc>
        <w:tc>
          <w:tcPr>
            <w:tcW w:w="1985" w:type="dxa"/>
          </w:tcPr>
          <w:p w14:paraId="6243F1D3">
            <w:pPr>
              <w:pStyle w:val="22"/>
              <w:spacing w:before="142"/>
              <w:ind w:left="107"/>
              <w:rPr>
                <w:color w:val="auto"/>
                <w:sz w:val="21"/>
              </w:rPr>
            </w:pPr>
            <w:r>
              <w:rPr>
                <w:color w:val="auto"/>
                <w:spacing w:val="-4"/>
                <w:sz w:val="21"/>
              </w:rPr>
              <w:t>质量保证金额度</w:t>
            </w:r>
          </w:p>
        </w:tc>
        <w:tc>
          <w:tcPr>
            <w:tcW w:w="2126" w:type="dxa"/>
          </w:tcPr>
          <w:p w14:paraId="099E0135">
            <w:pPr>
              <w:pStyle w:val="22"/>
              <w:spacing w:before="142"/>
              <w:ind w:left="69"/>
              <w:jc w:val="center"/>
              <w:rPr>
                <w:color w:val="auto"/>
                <w:sz w:val="21"/>
              </w:rPr>
            </w:pPr>
            <w:r>
              <w:rPr>
                <w:color w:val="auto"/>
                <w:spacing w:val="-7"/>
                <w:sz w:val="21"/>
              </w:rPr>
              <w:t>专用条款</w:t>
            </w:r>
          </w:p>
        </w:tc>
        <w:tc>
          <w:tcPr>
            <w:tcW w:w="1984" w:type="dxa"/>
          </w:tcPr>
          <w:p w14:paraId="2A5A08EA">
            <w:pPr>
              <w:pStyle w:val="22"/>
              <w:tabs>
                <w:tab w:val="left" w:pos="1372"/>
              </w:tabs>
              <w:spacing w:before="142"/>
              <w:ind w:left="7"/>
              <w:jc w:val="center"/>
              <w:rPr>
                <w:rFonts w:ascii="Times New Roman" w:eastAsia="Times New Roman"/>
                <w:color w:val="auto"/>
                <w:sz w:val="21"/>
              </w:rPr>
            </w:pPr>
            <w:r>
              <w:rPr>
                <w:color w:val="auto"/>
                <w:spacing w:val="-4"/>
                <w:sz w:val="21"/>
              </w:rPr>
              <w:t>结算价</w:t>
            </w:r>
            <w:r>
              <w:rPr>
                <w:color w:val="auto"/>
                <w:spacing w:val="-12"/>
                <w:sz w:val="21"/>
              </w:rPr>
              <w:t>的</w:t>
            </w:r>
            <w:r>
              <w:rPr>
                <w:rFonts w:ascii="Times New Roman" w:eastAsia="Times New Roman"/>
                <w:color w:val="auto"/>
                <w:sz w:val="21"/>
                <w:u w:val="single"/>
              </w:rPr>
              <w:tab/>
            </w:r>
            <w:r>
              <w:rPr>
                <w:rFonts w:ascii="Times New Roman" w:eastAsia="Times New Roman"/>
                <w:color w:val="auto"/>
                <w:spacing w:val="-10"/>
                <w:sz w:val="21"/>
                <w:u w:val="none"/>
              </w:rPr>
              <w:t>%</w:t>
            </w:r>
          </w:p>
        </w:tc>
        <w:tc>
          <w:tcPr>
            <w:tcW w:w="1843" w:type="dxa"/>
          </w:tcPr>
          <w:p w14:paraId="27B5B04E">
            <w:pPr>
              <w:pStyle w:val="22"/>
              <w:rPr>
                <w:rFonts w:ascii="Times New Roman"/>
                <w:color w:val="auto"/>
                <w:sz w:val="20"/>
              </w:rPr>
            </w:pPr>
          </w:p>
        </w:tc>
      </w:tr>
      <w:tr w14:paraId="1C7EE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992" w:type="dxa"/>
          </w:tcPr>
          <w:p w14:paraId="6ECC1045">
            <w:pPr>
              <w:pStyle w:val="22"/>
              <w:spacing w:before="161"/>
              <w:ind w:left="11" w:right="3"/>
              <w:jc w:val="center"/>
              <w:rPr>
                <w:rFonts w:ascii="Times New Roman" w:hAnsi="Times New Roman"/>
                <w:color w:val="auto"/>
                <w:sz w:val="21"/>
              </w:rPr>
            </w:pPr>
            <w:r>
              <w:rPr>
                <w:rFonts w:ascii="Times New Roman" w:hAnsi="Times New Roman"/>
                <w:color w:val="auto"/>
                <w:spacing w:val="-5"/>
                <w:sz w:val="21"/>
              </w:rPr>
              <w:t>……</w:t>
            </w:r>
          </w:p>
        </w:tc>
        <w:tc>
          <w:tcPr>
            <w:tcW w:w="1985" w:type="dxa"/>
          </w:tcPr>
          <w:p w14:paraId="523A8E80">
            <w:pPr>
              <w:pStyle w:val="22"/>
              <w:spacing w:before="161"/>
              <w:ind w:left="7"/>
              <w:jc w:val="center"/>
              <w:rPr>
                <w:rFonts w:ascii="Times New Roman" w:hAnsi="Times New Roman"/>
                <w:color w:val="auto"/>
                <w:sz w:val="21"/>
              </w:rPr>
            </w:pPr>
            <w:r>
              <w:rPr>
                <w:rFonts w:ascii="Times New Roman" w:hAnsi="Times New Roman"/>
                <w:color w:val="auto"/>
                <w:spacing w:val="-5"/>
                <w:sz w:val="21"/>
              </w:rPr>
              <w:t>……</w:t>
            </w:r>
          </w:p>
        </w:tc>
        <w:tc>
          <w:tcPr>
            <w:tcW w:w="2126" w:type="dxa"/>
          </w:tcPr>
          <w:p w14:paraId="3DE28091">
            <w:pPr>
              <w:pStyle w:val="22"/>
              <w:rPr>
                <w:rFonts w:ascii="Times New Roman"/>
                <w:color w:val="auto"/>
                <w:sz w:val="20"/>
              </w:rPr>
            </w:pPr>
          </w:p>
        </w:tc>
        <w:tc>
          <w:tcPr>
            <w:tcW w:w="1984" w:type="dxa"/>
          </w:tcPr>
          <w:p w14:paraId="0E8D8CD7">
            <w:pPr>
              <w:pStyle w:val="22"/>
              <w:rPr>
                <w:rFonts w:ascii="Times New Roman"/>
                <w:color w:val="auto"/>
                <w:sz w:val="20"/>
              </w:rPr>
            </w:pPr>
          </w:p>
        </w:tc>
        <w:tc>
          <w:tcPr>
            <w:tcW w:w="1843" w:type="dxa"/>
          </w:tcPr>
          <w:p w14:paraId="2F351057">
            <w:pPr>
              <w:pStyle w:val="22"/>
              <w:rPr>
                <w:rFonts w:ascii="Times New Roman"/>
                <w:color w:val="auto"/>
                <w:sz w:val="20"/>
              </w:rPr>
            </w:pPr>
          </w:p>
        </w:tc>
      </w:tr>
      <w:tr w14:paraId="56F0C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6" w:hRule="atLeast"/>
        </w:trPr>
        <w:tc>
          <w:tcPr>
            <w:tcW w:w="8930" w:type="dxa"/>
            <w:gridSpan w:val="5"/>
          </w:tcPr>
          <w:p w14:paraId="63930B53">
            <w:pPr>
              <w:pStyle w:val="22"/>
              <w:spacing w:before="51" w:line="357" w:lineRule="auto"/>
              <w:ind w:left="108" w:right="97"/>
              <w:rPr>
                <w:color w:val="auto"/>
                <w:sz w:val="21"/>
              </w:rPr>
            </w:pPr>
            <w:r>
              <w:rPr>
                <w:color w:val="auto"/>
                <w:spacing w:val="-2"/>
                <w:sz w:val="21"/>
              </w:rPr>
              <w:t>说明：供应商在响应磋商文件中规定的实质性要求和条件的基础上，可做出其他有利于采购人的承诺。此类承诺可在本表中予以补充填写。</w:t>
            </w:r>
          </w:p>
        </w:tc>
      </w:tr>
    </w:tbl>
    <w:p w14:paraId="601FA7A3">
      <w:pPr>
        <w:pStyle w:val="12"/>
        <w:spacing w:before="53"/>
        <w:ind w:left="0"/>
        <w:rPr>
          <w:b/>
          <w:color w:val="auto"/>
          <w:sz w:val="32"/>
        </w:rPr>
      </w:pPr>
    </w:p>
    <w:p w14:paraId="7F7A94FE">
      <w:pPr>
        <w:pStyle w:val="11"/>
        <w:spacing w:line="357" w:lineRule="auto"/>
        <w:ind w:left="3428" w:right="1415"/>
        <w:rPr>
          <w:color w:val="auto"/>
        </w:rPr>
      </w:pPr>
      <w:r>
        <w:rPr>
          <w:color w:val="auto"/>
          <w:spacing w:val="-2"/>
        </w:rPr>
        <w:t>法定代表人或者委托代理人（签字或者电子签名）：供应商（电子签章）：</w:t>
      </w:r>
    </w:p>
    <w:p w14:paraId="32FB9E34">
      <w:pPr>
        <w:pStyle w:val="11"/>
        <w:tabs>
          <w:tab w:val="left" w:pos="5000"/>
          <w:tab w:val="left" w:pos="5600"/>
          <w:tab w:val="left" w:pos="6200"/>
        </w:tabs>
        <w:spacing w:before="4"/>
        <w:ind w:left="3920"/>
        <w:rPr>
          <w:color w:val="auto"/>
        </w:rPr>
      </w:pPr>
      <w:r>
        <w:rPr>
          <w:color w:val="auto"/>
        </w:rPr>
        <w:t>日期</w:t>
      </w:r>
      <w:r>
        <w:rPr>
          <w:color w:val="auto"/>
          <w:spacing w:val="-10"/>
        </w:rPr>
        <w:t>：</w:t>
      </w:r>
      <w:r>
        <w:rPr>
          <w:color w:val="auto"/>
        </w:rPr>
        <w:tab/>
      </w:r>
      <w:r>
        <w:rPr>
          <w:color w:val="auto"/>
          <w:spacing w:val="-10"/>
        </w:rPr>
        <w:t>年</w:t>
      </w:r>
      <w:r>
        <w:rPr>
          <w:color w:val="auto"/>
        </w:rPr>
        <w:tab/>
      </w:r>
      <w:r>
        <w:rPr>
          <w:color w:val="auto"/>
          <w:spacing w:val="-10"/>
        </w:rPr>
        <w:t>月</w:t>
      </w:r>
      <w:r>
        <w:rPr>
          <w:color w:val="auto"/>
        </w:rPr>
        <w:tab/>
      </w:r>
      <w:r>
        <w:rPr>
          <w:color w:val="auto"/>
          <w:spacing w:val="-10"/>
        </w:rPr>
        <w:t>日</w:t>
      </w:r>
    </w:p>
    <w:p w14:paraId="6ADC87C9">
      <w:pPr>
        <w:spacing w:after="0"/>
        <w:rPr>
          <w:color w:val="auto"/>
        </w:rPr>
        <w:sectPr>
          <w:pgSz w:w="11910" w:h="16840"/>
          <w:pgMar w:top="1400" w:right="740" w:bottom="1180" w:left="800" w:header="0" w:footer="989" w:gutter="0"/>
          <w:cols w:space="720" w:num="1"/>
        </w:sectPr>
      </w:pPr>
    </w:p>
    <w:p w14:paraId="3A1662BD">
      <w:pPr>
        <w:pStyle w:val="5"/>
        <w:ind w:right="842"/>
        <w:rPr>
          <w:color w:val="auto"/>
        </w:rPr>
      </w:pPr>
      <w:r>
        <w:rPr>
          <w:color w:val="auto"/>
          <w:spacing w:val="-4"/>
        </w:rPr>
        <w:t>竞标报价表</w:t>
      </w:r>
    </w:p>
    <w:p w14:paraId="23650D80">
      <w:pPr>
        <w:pStyle w:val="12"/>
        <w:spacing w:before="231"/>
        <w:ind w:left="0"/>
        <w:rPr>
          <w:b/>
          <w:color w:val="auto"/>
          <w:sz w:val="32"/>
        </w:rPr>
      </w:pPr>
    </w:p>
    <w:p w14:paraId="72DC94A2">
      <w:pPr>
        <w:pStyle w:val="11"/>
        <w:tabs>
          <w:tab w:val="left" w:pos="3908"/>
          <w:tab w:val="left" w:pos="3967"/>
          <w:tab w:val="left" w:pos="7447"/>
        </w:tabs>
        <w:spacing w:line="357" w:lineRule="auto"/>
        <w:ind w:right="2916"/>
        <w:rPr>
          <w:rFonts w:ascii="Times New Roman" w:eastAsia="Times New Roman"/>
          <w:color w:val="auto"/>
        </w:rPr>
      </w:pPr>
      <w:r>
        <w:rPr>
          <w:color w:val="auto"/>
          <w:spacing w:val="-2"/>
        </w:rPr>
        <w:t>项目名称：</w:t>
      </w:r>
      <w:r>
        <w:rPr>
          <w:rFonts w:ascii="Times New Roman" w:eastAsia="Times New Roman"/>
          <w:color w:val="auto"/>
          <w:u w:val="single"/>
        </w:rPr>
        <w:tab/>
      </w:r>
      <w:r>
        <w:rPr>
          <w:color w:val="auto"/>
          <w:spacing w:val="-4"/>
          <w:u w:val="none"/>
        </w:rPr>
        <w:t>项目编号：</w:t>
      </w:r>
      <w:r>
        <w:rPr>
          <w:rFonts w:ascii="Times New Roman" w:eastAsia="Times New Roman"/>
          <w:color w:val="auto"/>
          <w:u w:val="single"/>
        </w:rPr>
        <w:tab/>
      </w:r>
      <w:r>
        <w:rPr>
          <w:rFonts w:ascii="Times New Roman" w:eastAsia="Times New Roman"/>
          <w:color w:val="auto"/>
          <w:u w:val="none"/>
        </w:rPr>
        <w:t xml:space="preserve"> </w:t>
      </w:r>
      <w:r>
        <w:rPr>
          <w:color w:val="auto"/>
          <w:spacing w:val="-2"/>
          <w:u w:val="none"/>
        </w:rPr>
        <w:t>分标（如有）：</w:t>
      </w:r>
      <w:r>
        <w:rPr>
          <w:rFonts w:ascii="Times New Roman" w:eastAsia="Times New Roman"/>
          <w:color w:val="auto"/>
          <w:u w:val="single"/>
        </w:rPr>
        <w:tab/>
      </w:r>
      <w:r>
        <w:rPr>
          <w:rFonts w:ascii="Times New Roman" w:eastAsia="Times New Roman"/>
          <w:color w:val="auto"/>
          <w:u w:val="single"/>
        </w:rPr>
        <w:tab/>
      </w:r>
    </w:p>
    <w:p w14:paraId="1EC7D932">
      <w:pPr>
        <w:pStyle w:val="11"/>
        <w:tabs>
          <w:tab w:val="left" w:pos="7447"/>
        </w:tabs>
        <w:spacing w:before="4"/>
        <w:rPr>
          <w:rFonts w:ascii="Times New Roman" w:eastAsia="Times New Roman"/>
          <w:color w:val="auto"/>
        </w:rPr>
      </w:pPr>
      <w:r>
        <w:rPr>
          <w:color w:val="auto"/>
        </w:rPr>
        <w:t>供应商名称</w:t>
      </w:r>
      <w:r>
        <w:rPr>
          <w:color w:val="auto"/>
          <w:spacing w:val="-10"/>
        </w:rPr>
        <w:t>：</w:t>
      </w:r>
      <w:r>
        <w:rPr>
          <w:rFonts w:ascii="Times New Roman" w:eastAsia="Times New Roman"/>
          <w:color w:val="auto"/>
          <w:u w:val="single"/>
        </w:rPr>
        <w:tab/>
      </w:r>
    </w:p>
    <w:p w14:paraId="57745B4A">
      <w:pPr>
        <w:pStyle w:val="11"/>
        <w:spacing w:before="156"/>
        <w:ind w:left="6548"/>
        <w:rPr>
          <w:color w:val="auto"/>
        </w:rPr>
      </w:pPr>
      <w:r>
        <w:rPr>
          <w:color w:val="auto"/>
          <w:spacing w:val="-3"/>
        </w:rPr>
        <w:t>单位：元</w:t>
      </w:r>
    </w:p>
    <w:p w14:paraId="5EF99B3A">
      <w:pPr>
        <w:pStyle w:val="12"/>
        <w:spacing w:before="1"/>
        <w:ind w:left="0"/>
        <w:rPr>
          <w:color w:val="auto"/>
          <w:sz w:val="12"/>
        </w:rPr>
      </w:pPr>
    </w:p>
    <w:tbl>
      <w:tblPr>
        <w:tblStyle w:val="16"/>
        <w:tblW w:w="0" w:type="auto"/>
        <w:tblInd w:w="3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2712"/>
        <w:gridCol w:w="1505"/>
        <w:gridCol w:w="3107"/>
        <w:gridCol w:w="1191"/>
      </w:tblGrid>
      <w:tr w14:paraId="7E057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704" w:type="dxa"/>
          </w:tcPr>
          <w:p w14:paraId="103EB789">
            <w:pPr>
              <w:pStyle w:val="22"/>
              <w:spacing w:line="309" w:lineRule="exact"/>
              <w:ind w:left="9"/>
              <w:jc w:val="center"/>
              <w:rPr>
                <w:color w:val="auto"/>
                <w:sz w:val="24"/>
              </w:rPr>
            </w:pPr>
            <w:r>
              <w:rPr>
                <w:color w:val="auto"/>
                <w:spacing w:val="-5"/>
                <w:sz w:val="24"/>
              </w:rPr>
              <w:t>序号</w:t>
            </w:r>
          </w:p>
        </w:tc>
        <w:tc>
          <w:tcPr>
            <w:tcW w:w="2712" w:type="dxa"/>
          </w:tcPr>
          <w:p w14:paraId="47DE8588">
            <w:pPr>
              <w:pStyle w:val="22"/>
              <w:spacing w:line="309" w:lineRule="exact"/>
              <w:ind w:left="876"/>
              <w:rPr>
                <w:color w:val="auto"/>
                <w:sz w:val="24"/>
              </w:rPr>
            </w:pPr>
            <w:r>
              <w:rPr>
                <w:color w:val="auto"/>
                <w:spacing w:val="-3"/>
                <w:sz w:val="24"/>
              </w:rPr>
              <w:t>项目名称</w:t>
            </w:r>
          </w:p>
        </w:tc>
        <w:tc>
          <w:tcPr>
            <w:tcW w:w="1505" w:type="dxa"/>
          </w:tcPr>
          <w:p w14:paraId="06F028E2">
            <w:pPr>
              <w:pStyle w:val="22"/>
              <w:spacing w:line="309" w:lineRule="exact"/>
              <w:ind w:left="151"/>
              <w:rPr>
                <w:color w:val="auto"/>
                <w:sz w:val="24"/>
              </w:rPr>
            </w:pPr>
            <w:r>
              <w:rPr>
                <w:color w:val="auto"/>
                <w:spacing w:val="-2"/>
                <w:sz w:val="24"/>
              </w:rPr>
              <w:t>数量及单位</w:t>
            </w:r>
          </w:p>
        </w:tc>
        <w:tc>
          <w:tcPr>
            <w:tcW w:w="3107" w:type="dxa"/>
          </w:tcPr>
          <w:p w14:paraId="3482CBBA">
            <w:pPr>
              <w:pStyle w:val="22"/>
              <w:spacing w:line="309" w:lineRule="exact"/>
              <w:ind w:left="9"/>
              <w:jc w:val="center"/>
              <w:rPr>
                <w:color w:val="auto"/>
                <w:sz w:val="24"/>
              </w:rPr>
            </w:pPr>
            <w:r>
              <w:rPr>
                <w:color w:val="auto"/>
                <w:spacing w:val="-3"/>
                <w:sz w:val="24"/>
              </w:rPr>
              <w:t>竞标报价</w:t>
            </w:r>
          </w:p>
        </w:tc>
        <w:tc>
          <w:tcPr>
            <w:tcW w:w="1191" w:type="dxa"/>
          </w:tcPr>
          <w:p w14:paraId="53778C1C">
            <w:pPr>
              <w:pStyle w:val="22"/>
              <w:spacing w:line="309" w:lineRule="exact"/>
              <w:ind w:left="351"/>
              <w:rPr>
                <w:color w:val="auto"/>
                <w:sz w:val="24"/>
              </w:rPr>
            </w:pPr>
            <w:r>
              <w:rPr>
                <w:color w:val="auto"/>
                <w:spacing w:val="-5"/>
                <w:sz w:val="24"/>
              </w:rPr>
              <w:t>备注</w:t>
            </w:r>
          </w:p>
        </w:tc>
      </w:tr>
      <w:tr w14:paraId="0829A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704" w:type="dxa"/>
          </w:tcPr>
          <w:p w14:paraId="5569E08B">
            <w:pPr>
              <w:pStyle w:val="22"/>
              <w:spacing w:before="160"/>
              <w:ind w:left="9"/>
              <w:jc w:val="center"/>
              <w:rPr>
                <w:color w:val="auto"/>
                <w:sz w:val="24"/>
              </w:rPr>
            </w:pPr>
            <w:r>
              <w:rPr>
                <w:color w:val="auto"/>
                <w:spacing w:val="-10"/>
                <w:sz w:val="24"/>
              </w:rPr>
              <w:t>1</w:t>
            </w:r>
          </w:p>
        </w:tc>
        <w:tc>
          <w:tcPr>
            <w:tcW w:w="2712" w:type="dxa"/>
          </w:tcPr>
          <w:p w14:paraId="19FD4262">
            <w:pPr>
              <w:pStyle w:val="22"/>
              <w:rPr>
                <w:rFonts w:ascii="Times New Roman"/>
                <w:color w:val="auto"/>
                <w:sz w:val="24"/>
              </w:rPr>
            </w:pPr>
          </w:p>
        </w:tc>
        <w:tc>
          <w:tcPr>
            <w:tcW w:w="1505" w:type="dxa"/>
          </w:tcPr>
          <w:p w14:paraId="44738F79">
            <w:pPr>
              <w:pStyle w:val="22"/>
              <w:rPr>
                <w:rFonts w:ascii="Times New Roman"/>
                <w:color w:val="auto"/>
                <w:sz w:val="24"/>
              </w:rPr>
            </w:pPr>
          </w:p>
        </w:tc>
        <w:tc>
          <w:tcPr>
            <w:tcW w:w="3107" w:type="dxa"/>
          </w:tcPr>
          <w:p w14:paraId="5F06A15C">
            <w:pPr>
              <w:pStyle w:val="22"/>
              <w:rPr>
                <w:rFonts w:ascii="Times New Roman"/>
                <w:color w:val="auto"/>
                <w:sz w:val="24"/>
              </w:rPr>
            </w:pPr>
          </w:p>
        </w:tc>
        <w:tc>
          <w:tcPr>
            <w:tcW w:w="1191" w:type="dxa"/>
          </w:tcPr>
          <w:p w14:paraId="0BAD4D30">
            <w:pPr>
              <w:pStyle w:val="22"/>
              <w:rPr>
                <w:rFonts w:ascii="Times New Roman"/>
                <w:color w:val="auto"/>
                <w:sz w:val="24"/>
              </w:rPr>
            </w:pPr>
          </w:p>
        </w:tc>
      </w:tr>
      <w:tr w14:paraId="18DA4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7" w:hRule="atLeast"/>
        </w:trPr>
        <w:tc>
          <w:tcPr>
            <w:tcW w:w="9219" w:type="dxa"/>
            <w:gridSpan w:val="5"/>
          </w:tcPr>
          <w:p w14:paraId="7C97B479">
            <w:pPr>
              <w:pStyle w:val="22"/>
              <w:tabs>
                <w:tab w:val="left" w:pos="5626"/>
                <w:tab w:val="left" w:pos="8027"/>
              </w:tabs>
              <w:spacing w:before="162"/>
              <w:ind w:left="107"/>
              <w:rPr>
                <w:color w:val="auto"/>
                <w:sz w:val="24"/>
              </w:rPr>
            </w:pPr>
            <w:r>
              <w:rPr>
                <w:color w:val="auto"/>
                <w:sz w:val="24"/>
              </w:rPr>
              <w:t>合计金额（人民币）</w:t>
            </w:r>
            <w:r>
              <w:rPr>
                <w:color w:val="auto"/>
                <w:sz w:val="24"/>
                <w:u w:val="single"/>
              </w:rPr>
              <w:t>大写</w:t>
            </w:r>
            <w:r>
              <w:rPr>
                <w:color w:val="auto"/>
                <w:spacing w:val="-10"/>
                <w:sz w:val="24"/>
                <w:u w:val="single"/>
              </w:rPr>
              <w:t>：</w:t>
            </w:r>
            <w:r>
              <w:rPr>
                <w:color w:val="auto"/>
                <w:sz w:val="24"/>
                <w:u w:val="single"/>
              </w:rPr>
              <w:tab/>
            </w:r>
            <w:r>
              <w:rPr>
                <w:color w:val="auto"/>
                <w:sz w:val="24"/>
                <w:u w:val="none"/>
              </w:rPr>
              <w:t xml:space="preserve"> （¥</w:t>
            </w:r>
            <w:r>
              <w:rPr>
                <w:rFonts w:ascii="Times New Roman" w:hAnsi="Times New Roman" w:eastAsia="Times New Roman"/>
                <w:color w:val="auto"/>
                <w:sz w:val="24"/>
                <w:u w:val="single"/>
              </w:rPr>
              <w:tab/>
            </w:r>
            <w:r>
              <w:rPr>
                <w:color w:val="auto"/>
                <w:spacing w:val="-10"/>
                <w:sz w:val="24"/>
                <w:u w:val="none"/>
              </w:rPr>
              <w:t>）</w:t>
            </w:r>
          </w:p>
        </w:tc>
      </w:tr>
    </w:tbl>
    <w:p w14:paraId="4A58CB27">
      <w:pPr>
        <w:pStyle w:val="12"/>
        <w:spacing w:before="152"/>
        <w:ind w:left="0"/>
        <w:rPr>
          <w:color w:val="auto"/>
          <w:sz w:val="24"/>
        </w:rPr>
      </w:pPr>
    </w:p>
    <w:p w14:paraId="06695790">
      <w:pPr>
        <w:pStyle w:val="11"/>
        <w:spacing w:before="1"/>
        <w:rPr>
          <w:color w:val="auto"/>
        </w:rPr>
      </w:pPr>
      <w:r>
        <w:rPr>
          <w:color w:val="auto"/>
          <w:spacing w:val="-5"/>
        </w:rPr>
        <w:t>注：</w:t>
      </w:r>
    </w:p>
    <w:p w14:paraId="6DE094F0">
      <w:pPr>
        <w:pStyle w:val="21"/>
        <w:numPr>
          <w:ilvl w:val="0"/>
          <w:numId w:val="48"/>
        </w:numPr>
        <w:tabs>
          <w:tab w:val="left" w:pos="1628"/>
        </w:tabs>
        <w:spacing w:before="153" w:after="0" w:line="360" w:lineRule="auto"/>
        <w:ind w:left="788" w:right="815" w:firstLine="480"/>
        <w:jc w:val="left"/>
        <w:rPr>
          <w:color w:val="auto"/>
          <w:sz w:val="24"/>
        </w:rPr>
      </w:pPr>
      <w:r>
        <w:rPr>
          <w:color w:val="auto"/>
          <w:spacing w:val="-2"/>
          <w:sz w:val="24"/>
        </w:rPr>
        <w:t>供应商的报价表必须加盖供应商电子签章并由法定代表人或者委托代理人签字或者电子签名，</w:t>
      </w:r>
      <w:r>
        <w:rPr>
          <w:b/>
          <w:color w:val="auto"/>
          <w:spacing w:val="-2"/>
          <w:sz w:val="24"/>
        </w:rPr>
        <w:t>否则其响应文件按无效处理</w:t>
      </w:r>
      <w:r>
        <w:rPr>
          <w:color w:val="auto"/>
          <w:spacing w:val="-2"/>
          <w:sz w:val="24"/>
        </w:rPr>
        <w:t>。</w:t>
      </w:r>
    </w:p>
    <w:p w14:paraId="66E7389C">
      <w:pPr>
        <w:pStyle w:val="21"/>
        <w:numPr>
          <w:ilvl w:val="0"/>
          <w:numId w:val="48"/>
        </w:numPr>
        <w:tabs>
          <w:tab w:val="left" w:pos="1628"/>
        </w:tabs>
        <w:spacing w:before="0" w:after="0" w:line="357" w:lineRule="auto"/>
        <w:ind w:left="788" w:right="815" w:firstLine="480"/>
        <w:jc w:val="left"/>
        <w:rPr>
          <w:b/>
          <w:color w:val="auto"/>
          <w:sz w:val="24"/>
        </w:rPr>
      </w:pPr>
      <w:r>
        <w:rPr>
          <w:color w:val="auto"/>
          <w:spacing w:val="-2"/>
          <w:sz w:val="24"/>
        </w:rPr>
        <w:t>报价一经涂改，应在涂改处加盖供应商公章或者加盖电子签章或者由法定代表人或者授权委托人签字（或者电子签名）</w:t>
      </w:r>
      <w:r>
        <w:rPr>
          <w:b/>
          <w:color w:val="auto"/>
          <w:spacing w:val="-2"/>
          <w:sz w:val="24"/>
        </w:rPr>
        <w:t>，否则其响应文件按无效处理。</w:t>
      </w:r>
    </w:p>
    <w:p w14:paraId="5E88DD6E">
      <w:pPr>
        <w:pStyle w:val="21"/>
        <w:numPr>
          <w:ilvl w:val="0"/>
          <w:numId w:val="48"/>
        </w:numPr>
        <w:tabs>
          <w:tab w:val="left" w:pos="1508"/>
        </w:tabs>
        <w:spacing w:before="4" w:after="0" w:line="357" w:lineRule="auto"/>
        <w:ind w:left="788" w:right="935" w:firstLine="480"/>
        <w:jc w:val="left"/>
        <w:rPr>
          <w:b/>
          <w:color w:val="auto"/>
          <w:sz w:val="24"/>
        </w:rPr>
      </w:pPr>
      <w:r>
        <w:rPr>
          <w:color w:val="auto"/>
          <w:spacing w:val="-2"/>
          <w:sz w:val="24"/>
        </w:rPr>
        <w:t>如为联合体竞标，“供应商名称”处必须列明联合体各方名称，标注联合体牵头人名称，</w:t>
      </w:r>
      <w:r>
        <w:rPr>
          <w:b/>
          <w:color w:val="auto"/>
          <w:spacing w:val="-2"/>
          <w:sz w:val="24"/>
        </w:rPr>
        <w:t>否则其响应文件按无效处理。</w:t>
      </w:r>
    </w:p>
    <w:p w14:paraId="09BD3617">
      <w:pPr>
        <w:pStyle w:val="21"/>
        <w:numPr>
          <w:ilvl w:val="0"/>
          <w:numId w:val="48"/>
        </w:numPr>
        <w:tabs>
          <w:tab w:val="left" w:pos="1628"/>
        </w:tabs>
        <w:spacing w:before="1" w:after="0" w:line="360" w:lineRule="auto"/>
        <w:ind w:left="788" w:right="892" w:firstLine="480"/>
        <w:jc w:val="left"/>
        <w:rPr>
          <w:b/>
          <w:color w:val="auto"/>
          <w:sz w:val="24"/>
        </w:rPr>
      </w:pPr>
      <w:r>
        <w:rPr>
          <w:color w:val="auto"/>
          <w:spacing w:val="-8"/>
          <w:sz w:val="24"/>
        </w:rPr>
        <w:t>如为联合体竞标， 盖章处须加盖联合体牵头人电子签章，</w:t>
      </w:r>
      <w:r>
        <w:rPr>
          <w:b/>
          <w:color w:val="auto"/>
          <w:spacing w:val="-6"/>
          <w:sz w:val="24"/>
        </w:rPr>
        <w:t>否则其响应文件按</w:t>
      </w:r>
      <w:r>
        <w:rPr>
          <w:b/>
          <w:color w:val="auto"/>
          <w:spacing w:val="-2"/>
          <w:sz w:val="24"/>
        </w:rPr>
        <w:t>无效处理。</w:t>
      </w:r>
    </w:p>
    <w:p w14:paraId="4C97EACC">
      <w:pPr>
        <w:pStyle w:val="21"/>
        <w:numPr>
          <w:ilvl w:val="0"/>
          <w:numId w:val="48"/>
        </w:numPr>
        <w:tabs>
          <w:tab w:val="left" w:pos="1508"/>
        </w:tabs>
        <w:spacing w:before="0" w:after="0" w:line="240" w:lineRule="auto"/>
        <w:ind w:left="1508" w:right="0" w:hanging="240"/>
        <w:jc w:val="left"/>
        <w:rPr>
          <w:b/>
          <w:color w:val="auto"/>
          <w:sz w:val="24"/>
        </w:rPr>
      </w:pPr>
      <w:r>
        <w:rPr>
          <w:color w:val="auto"/>
          <w:spacing w:val="-12"/>
          <w:sz w:val="24"/>
        </w:rPr>
        <w:t>如有多分标，分别列明各分标的报价表，</w:t>
      </w:r>
      <w:r>
        <w:rPr>
          <w:b/>
          <w:color w:val="auto"/>
          <w:spacing w:val="-12"/>
          <w:sz w:val="24"/>
        </w:rPr>
        <w:t>否则其响应文件按无效处理。</w:t>
      </w:r>
    </w:p>
    <w:p w14:paraId="41C07130">
      <w:pPr>
        <w:pStyle w:val="12"/>
        <w:spacing w:before="310"/>
        <w:ind w:left="0"/>
        <w:rPr>
          <w:b/>
          <w:color w:val="auto"/>
          <w:sz w:val="24"/>
        </w:rPr>
      </w:pPr>
    </w:p>
    <w:p w14:paraId="0288086D">
      <w:pPr>
        <w:pStyle w:val="11"/>
        <w:spacing w:line="357" w:lineRule="auto"/>
        <w:ind w:left="3428" w:right="1415"/>
        <w:rPr>
          <w:color w:val="auto"/>
        </w:rPr>
      </w:pPr>
      <w:r>
        <w:rPr>
          <w:color w:val="auto"/>
          <w:spacing w:val="-2"/>
        </w:rPr>
        <w:t>法定代表人或者委托代理人（签字或者电子签名）：供应商（电子签章）：</w:t>
      </w:r>
    </w:p>
    <w:p w14:paraId="05199523">
      <w:pPr>
        <w:pStyle w:val="11"/>
        <w:tabs>
          <w:tab w:val="left" w:pos="5948"/>
          <w:tab w:val="left" w:pos="6548"/>
          <w:tab w:val="left" w:pos="7148"/>
        </w:tabs>
        <w:spacing w:before="4"/>
        <w:ind w:left="4868"/>
        <w:rPr>
          <w:color w:val="auto"/>
        </w:rPr>
      </w:pPr>
      <w:r>
        <w:rPr>
          <w:color w:val="auto"/>
        </w:rPr>
        <w:t>日期</w:t>
      </w:r>
      <w:r>
        <w:rPr>
          <w:color w:val="auto"/>
          <w:spacing w:val="-10"/>
        </w:rPr>
        <w:t>：</w:t>
      </w:r>
      <w:r>
        <w:rPr>
          <w:color w:val="auto"/>
        </w:rPr>
        <w:tab/>
      </w:r>
      <w:r>
        <w:rPr>
          <w:color w:val="auto"/>
          <w:spacing w:val="-10"/>
        </w:rPr>
        <w:t>年</w:t>
      </w:r>
      <w:r>
        <w:rPr>
          <w:color w:val="auto"/>
        </w:rPr>
        <w:tab/>
      </w:r>
      <w:r>
        <w:rPr>
          <w:color w:val="auto"/>
          <w:spacing w:val="-10"/>
        </w:rPr>
        <w:t>月</w:t>
      </w:r>
      <w:r>
        <w:rPr>
          <w:color w:val="auto"/>
        </w:rPr>
        <w:tab/>
      </w:r>
      <w:r>
        <w:rPr>
          <w:color w:val="auto"/>
          <w:spacing w:val="-10"/>
        </w:rPr>
        <w:t>日</w:t>
      </w:r>
    </w:p>
    <w:p w14:paraId="6D1D31E3">
      <w:pPr>
        <w:spacing w:after="0"/>
        <w:rPr>
          <w:color w:val="auto"/>
        </w:rPr>
        <w:sectPr>
          <w:pgSz w:w="11910" w:h="16840"/>
          <w:pgMar w:top="1400" w:right="740" w:bottom="1180" w:left="800" w:header="0" w:footer="989" w:gutter="0"/>
          <w:cols w:space="720" w:num="1"/>
        </w:sectPr>
      </w:pPr>
    </w:p>
    <w:p w14:paraId="5D89FA9C">
      <w:pPr>
        <w:pStyle w:val="5"/>
        <w:rPr>
          <w:color w:val="auto"/>
        </w:rPr>
      </w:pPr>
      <w:r>
        <w:rPr>
          <w:color w:val="auto"/>
          <w:spacing w:val="-4"/>
        </w:rPr>
        <w:t>已标价工程量清单</w:t>
      </w:r>
    </w:p>
    <w:p w14:paraId="70235C18">
      <w:pPr>
        <w:pStyle w:val="21"/>
        <w:numPr>
          <w:ilvl w:val="0"/>
          <w:numId w:val="49"/>
        </w:numPr>
        <w:tabs>
          <w:tab w:val="left" w:pos="1468"/>
        </w:tabs>
        <w:spacing w:before="208" w:after="0" w:line="357" w:lineRule="auto"/>
        <w:ind w:left="788" w:right="707" w:firstLine="420"/>
        <w:jc w:val="left"/>
        <w:rPr>
          <w:color w:val="auto"/>
          <w:sz w:val="21"/>
        </w:rPr>
      </w:pPr>
      <w:r>
        <w:rPr>
          <w:color w:val="auto"/>
          <w:spacing w:val="-1"/>
          <w:w w:val="99"/>
          <w:sz w:val="21"/>
        </w:rPr>
        <w:t>已标价工程量清单应按第五章“工程量清单及图纸”中的相关表格及竞标报价说明填写。</w:t>
      </w:r>
      <w:r>
        <w:rPr>
          <w:color w:val="auto"/>
          <w:spacing w:val="2"/>
          <w:w w:val="99"/>
          <w:sz w:val="21"/>
        </w:rPr>
        <w:t>构成合同文件的已标价工程量清单包括第五章“工程量清单及图纸”有关工程量清单、竞标报</w:t>
      </w:r>
      <w:r>
        <w:rPr>
          <w:color w:val="auto"/>
          <w:spacing w:val="-1"/>
          <w:w w:val="99"/>
          <w:sz w:val="21"/>
        </w:rPr>
        <w:t>价以及其他说明的内容。</w:t>
      </w:r>
    </w:p>
    <w:p w14:paraId="529CC96C">
      <w:pPr>
        <w:pStyle w:val="21"/>
        <w:numPr>
          <w:ilvl w:val="0"/>
          <w:numId w:val="49"/>
        </w:numPr>
        <w:tabs>
          <w:tab w:val="left" w:pos="1471"/>
        </w:tabs>
        <w:spacing w:before="3" w:after="0" w:line="360" w:lineRule="auto"/>
        <w:ind w:left="788" w:right="788" w:firstLine="420"/>
        <w:jc w:val="both"/>
        <w:rPr>
          <w:color w:val="auto"/>
          <w:sz w:val="21"/>
        </w:rPr>
      </w:pPr>
      <w:r>
        <w:rPr>
          <w:color w:val="auto"/>
          <w:spacing w:val="1"/>
          <w:w w:val="99"/>
          <w:sz w:val="21"/>
        </w:rPr>
        <w:t>一般计税法建设工程已标价工程量清单表格按《关于建筑业实施营业税改征增值税后广</w:t>
      </w:r>
      <w:r>
        <w:rPr>
          <w:color w:val="auto"/>
          <w:spacing w:val="2"/>
          <w:w w:val="99"/>
          <w:sz w:val="21"/>
        </w:rPr>
        <w:t>西壮族自治区建设工程计价依据调整的通知》</w:t>
      </w:r>
      <w:r>
        <w:rPr>
          <w:color w:val="auto"/>
          <w:spacing w:val="4"/>
          <w:w w:val="99"/>
          <w:sz w:val="21"/>
        </w:rPr>
        <w:t>（</w:t>
      </w:r>
      <w:r>
        <w:rPr>
          <w:color w:val="auto"/>
          <w:spacing w:val="3"/>
          <w:w w:val="99"/>
          <w:sz w:val="21"/>
        </w:rPr>
        <w:t>桂建标〔</w:t>
      </w:r>
      <w:r>
        <w:rPr>
          <w:rFonts w:ascii="Times New Roman" w:hAnsi="Times New Roman" w:eastAsia="Times New Roman"/>
          <w:color w:val="auto"/>
          <w:spacing w:val="1"/>
          <w:w w:val="99"/>
          <w:sz w:val="21"/>
        </w:rPr>
        <w:t>2016</w:t>
      </w:r>
      <w:r>
        <w:rPr>
          <w:color w:val="auto"/>
          <w:spacing w:val="4"/>
          <w:w w:val="99"/>
          <w:sz w:val="21"/>
        </w:rPr>
        <w:t>〕</w:t>
      </w:r>
      <w:r>
        <w:rPr>
          <w:rFonts w:ascii="Times New Roman" w:hAnsi="Times New Roman" w:eastAsia="Times New Roman"/>
          <w:color w:val="auto"/>
          <w:spacing w:val="1"/>
          <w:w w:val="99"/>
          <w:sz w:val="21"/>
        </w:rPr>
        <w:t>1</w:t>
      </w:r>
      <w:r>
        <w:rPr>
          <w:rFonts w:ascii="Times New Roman" w:hAnsi="Times New Roman" w:eastAsia="Times New Roman"/>
          <w:color w:val="auto"/>
          <w:w w:val="99"/>
          <w:sz w:val="21"/>
        </w:rPr>
        <w:t>7</w:t>
      </w:r>
      <w:r>
        <w:rPr>
          <w:rFonts w:ascii="Times New Roman" w:hAnsi="Times New Roman" w:eastAsia="Times New Roman"/>
          <w:color w:val="auto"/>
          <w:spacing w:val="3"/>
          <w:sz w:val="21"/>
        </w:rPr>
        <w:t xml:space="preserve"> </w:t>
      </w:r>
      <w:r>
        <w:rPr>
          <w:color w:val="auto"/>
          <w:spacing w:val="4"/>
          <w:w w:val="99"/>
          <w:sz w:val="21"/>
        </w:rPr>
        <w:t>号</w:t>
      </w:r>
      <w:r>
        <w:rPr>
          <w:color w:val="auto"/>
          <w:spacing w:val="2"/>
          <w:w w:val="99"/>
          <w:sz w:val="21"/>
        </w:rPr>
        <w:t>）附件“增值税一般计税方法工程计价表”要求提供，简易计税法表格按《建设工程工程量清单计价规范》（</w:t>
      </w:r>
      <w:r>
        <w:rPr>
          <w:rFonts w:ascii="Times New Roman" w:hAnsi="Times New Roman" w:eastAsia="Times New Roman"/>
          <w:color w:val="auto"/>
          <w:w w:val="99"/>
          <w:sz w:val="21"/>
        </w:rPr>
        <w:t>GB</w:t>
      </w:r>
      <w:r>
        <w:rPr>
          <w:rFonts w:ascii="Times New Roman" w:hAnsi="Times New Roman" w:eastAsia="Times New Roman"/>
          <w:color w:val="auto"/>
          <w:spacing w:val="4"/>
          <w:sz w:val="21"/>
        </w:rPr>
        <w:t xml:space="preserve"> </w:t>
      </w:r>
      <w:r>
        <w:rPr>
          <w:rFonts w:ascii="Times New Roman" w:hAnsi="Times New Roman" w:eastAsia="Times New Roman"/>
          <w:color w:val="auto"/>
          <w:spacing w:val="1"/>
          <w:w w:val="99"/>
          <w:sz w:val="21"/>
        </w:rPr>
        <w:t>505</w:t>
      </w:r>
      <w:r>
        <w:rPr>
          <w:rFonts w:ascii="Times New Roman" w:hAnsi="Times New Roman" w:eastAsia="Times New Roman"/>
          <w:color w:val="auto"/>
          <w:spacing w:val="-2"/>
          <w:w w:val="99"/>
          <w:sz w:val="21"/>
        </w:rPr>
        <w:t>0</w:t>
      </w:r>
      <w:r>
        <w:rPr>
          <w:rFonts w:ascii="Times New Roman" w:hAnsi="Times New Roman" w:eastAsia="Times New Roman"/>
          <w:color w:val="auto"/>
          <w:spacing w:val="1"/>
          <w:w w:val="99"/>
          <w:sz w:val="21"/>
        </w:rPr>
        <w:t>0</w:t>
      </w:r>
      <w:r>
        <w:rPr>
          <w:rFonts w:ascii="Times New Roman" w:hAnsi="Times New Roman" w:eastAsia="Times New Roman"/>
          <w:color w:val="auto"/>
          <w:w w:val="99"/>
          <w:sz w:val="21"/>
        </w:rPr>
        <w:t xml:space="preserve">- </w:t>
      </w:r>
      <w:r>
        <w:rPr>
          <w:rFonts w:ascii="Times New Roman" w:hAnsi="Times New Roman" w:eastAsia="Times New Roman"/>
          <w:color w:val="auto"/>
          <w:spacing w:val="1"/>
          <w:w w:val="99"/>
          <w:sz w:val="21"/>
        </w:rPr>
        <w:t>20</w:t>
      </w:r>
      <w:r>
        <w:rPr>
          <w:rFonts w:ascii="Times New Roman" w:hAnsi="Times New Roman" w:eastAsia="Times New Roman"/>
          <w:color w:val="auto"/>
          <w:spacing w:val="-2"/>
          <w:w w:val="99"/>
          <w:sz w:val="21"/>
        </w:rPr>
        <w:t>1</w:t>
      </w:r>
      <w:r>
        <w:rPr>
          <w:rFonts w:ascii="Times New Roman" w:hAnsi="Times New Roman" w:eastAsia="Times New Roman"/>
          <w:color w:val="auto"/>
          <w:spacing w:val="3"/>
          <w:w w:val="99"/>
          <w:sz w:val="21"/>
        </w:rPr>
        <w:t>3</w:t>
      </w:r>
      <w:r>
        <w:rPr>
          <w:color w:val="auto"/>
          <w:spacing w:val="4"/>
          <w:w w:val="99"/>
          <w:sz w:val="21"/>
        </w:rPr>
        <w:t>）</w:t>
      </w:r>
      <w:r>
        <w:rPr>
          <w:color w:val="auto"/>
          <w:spacing w:val="3"/>
          <w:w w:val="99"/>
          <w:sz w:val="21"/>
        </w:rPr>
        <w:t>广西壮族自治区实施细则要求的表格提供，但规费和税费按照《关于建筑业实施营业税</w:t>
      </w:r>
      <w:r>
        <w:rPr>
          <w:color w:val="auto"/>
          <w:spacing w:val="2"/>
          <w:w w:val="99"/>
          <w:sz w:val="21"/>
        </w:rPr>
        <w:t>改征增值税后广西壮族自治区建设工程计价依据调整的通知》</w:t>
      </w:r>
      <w:r>
        <w:rPr>
          <w:color w:val="auto"/>
          <w:spacing w:val="4"/>
          <w:w w:val="99"/>
          <w:sz w:val="21"/>
        </w:rPr>
        <w:t>（</w:t>
      </w:r>
      <w:r>
        <w:rPr>
          <w:color w:val="auto"/>
          <w:spacing w:val="3"/>
          <w:w w:val="99"/>
          <w:sz w:val="21"/>
        </w:rPr>
        <w:t>桂建标〔</w:t>
      </w:r>
      <w:r>
        <w:rPr>
          <w:rFonts w:ascii="Times New Roman" w:hAnsi="Times New Roman" w:eastAsia="Times New Roman"/>
          <w:color w:val="auto"/>
          <w:spacing w:val="1"/>
          <w:w w:val="99"/>
          <w:sz w:val="21"/>
        </w:rPr>
        <w:t>20</w:t>
      </w:r>
      <w:r>
        <w:rPr>
          <w:rFonts w:ascii="Times New Roman" w:hAnsi="Times New Roman" w:eastAsia="Times New Roman"/>
          <w:color w:val="auto"/>
          <w:spacing w:val="-2"/>
          <w:w w:val="99"/>
          <w:sz w:val="21"/>
        </w:rPr>
        <w:t>1</w:t>
      </w:r>
      <w:r>
        <w:rPr>
          <w:rFonts w:ascii="Times New Roman" w:hAnsi="Times New Roman" w:eastAsia="Times New Roman"/>
          <w:color w:val="auto"/>
          <w:spacing w:val="3"/>
          <w:w w:val="99"/>
          <w:sz w:val="21"/>
        </w:rPr>
        <w:t>6</w:t>
      </w:r>
      <w:r>
        <w:rPr>
          <w:color w:val="auto"/>
          <w:spacing w:val="4"/>
          <w:w w:val="99"/>
          <w:sz w:val="21"/>
        </w:rPr>
        <w:t>〕</w:t>
      </w:r>
      <w:r>
        <w:rPr>
          <w:rFonts w:ascii="Times New Roman" w:hAnsi="Times New Roman" w:eastAsia="Times New Roman"/>
          <w:color w:val="auto"/>
          <w:spacing w:val="1"/>
          <w:w w:val="99"/>
          <w:sz w:val="21"/>
        </w:rPr>
        <w:t>1</w:t>
      </w:r>
      <w:r>
        <w:rPr>
          <w:rFonts w:ascii="Times New Roman" w:hAnsi="Times New Roman" w:eastAsia="Times New Roman"/>
          <w:color w:val="auto"/>
          <w:w w:val="99"/>
          <w:sz w:val="21"/>
        </w:rPr>
        <w:t>7</w:t>
      </w:r>
      <w:r>
        <w:rPr>
          <w:rFonts w:ascii="Times New Roman" w:hAnsi="Times New Roman" w:eastAsia="Times New Roman"/>
          <w:color w:val="auto"/>
          <w:spacing w:val="3"/>
          <w:sz w:val="21"/>
        </w:rPr>
        <w:t xml:space="preserve"> </w:t>
      </w:r>
      <w:r>
        <w:rPr>
          <w:color w:val="auto"/>
          <w:spacing w:val="4"/>
          <w:w w:val="99"/>
          <w:sz w:val="21"/>
        </w:rPr>
        <w:t>号）</w:t>
      </w:r>
      <w:r>
        <w:rPr>
          <w:color w:val="auto"/>
          <w:spacing w:val="2"/>
          <w:w w:val="99"/>
          <w:sz w:val="21"/>
        </w:rPr>
        <w:t>、《自治区住房城乡建设厅关于调整建设工程计价增值税税率的通知》</w:t>
      </w:r>
      <w:r>
        <w:rPr>
          <w:color w:val="auto"/>
          <w:spacing w:val="4"/>
          <w:w w:val="99"/>
          <w:sz w:val="21"/>
        </w:rPr>
        <w:t>（</w:t>
      </w:r>
      <w:r>
        <w:rPr>
          <w:color w:val="auto"/>
          <w:spacing w:val="2"/>
          <w:w w:val="99"/>
          <w:sz w:val="21"/>
        </w:rPr>
        <w:t>桂建标〔</w:t>
      </w:r>
      <w:r>
        <w:rPr>
          <w:rFonts w:ascii="Times New Roman" w:hAnsi="Times New Roman" w:eastAsia="Times New Roman"/>
          <w:color w:val="auto"/>
          <w:spacing w:val="1"/>
          <w:w w:val="99"/>
          <w:sz w:val="21"/>
        </w:rPr>
        <w:t>201</w:t>
      </w:r>
      <w:r>
        <w:rPr>
          <w:rFonts w:ascii="Times New Roman" w:hAnsi="Times New Roman" w:eastAsia="Times New Roman"/>
          <w:color w:val="auto"/>
          <w:spacing w:val="3"/>
          <w:w w:val="99"/>
          <w:sz w:val="21"/>
        </w:rPr>
        <w:t>8</w:t>
      </w:r>
      <w:r>
        <w:rPr>
          <w:color w:val="auto"/>
          <w:spacing w:val="4"/>
          <w:w w:val="99"/>
          <w:sz w:val="21"/>
        </w:rPr>
        <w:t>〕</w:t>
      </w:r>
      <w:r>
        <w:rPr>
          <w:rFonts w:ascii="Times New Roman" w:hAnsi="Times New Roman" w:eastAsia="Times New Roman"/>
          <w:color w:val="auto"/>
          <w:spacing w:val="1"/>
          <w:w w:val="99"/>
          <w:sz w:val="21"/>
        </w:rPr>
        <w:t>1</w:t>
      </w:r>
      <w:r>
        <w:rPr>
          <w:rFonts w:ascii="Times New Roman" w:hAnsi="Times New Roman" w:eastAsia="Times New Roman"/>
          <w:color w:val="auto"/>
          <w:w w:val="99"/>
          <w:sz w:val="21"/>
        </w:rPr>
        <w:t>4</w:t>
      </w:r>
      <w:r>
        <w:rPr>
          <w:rFonts w:ascii="Times New Roman" w:hAnsi="Times New Roman" w:eastAsia="Times New Roman"/>
          <w:color w:val="auto"/>
          <w:spacing w:val="1"/>
          <w:sz w:val="21"/>
        </w:rPr>
        <w:t xml:space="preserve"> </w:t>
      </w:r>
      <w:r>
        <w:rPr>
          <w:color w:val="auto"/>
          <w:spacing w:val="4"/>
          <w:w w:val="99"/>
          <w:sz w:val="21"/>
        </w:rPr>
        <w:t>号）</w:t>
      </w:r>
      <w:r>
        <w:rPr>
          <w:color w:val="auto"/>
          <w:spacing w:val="1"/>
          <w:w w:val="99"/>
          <w:sz w:val="21"/>
        </w:rPr>
        <w:t>及后</w:t>
      </w:r>
      <w:r>
        <w:rPr>
          <w:color w:val="auto"/>
          <w:spacing w:val="-1"/>
          <w:w w:val="99"/>
          <w:sz w:val="21"/>
        </w:rPr>
        <w:t>续有效文件调整，具体内容包括：</w:t>
      </w:r>
    </w:p>
    <w:p w14:paraId="50745FFB">
      <w:pPr>
        <w:pStyle w:val="21"/>
        <w:numPr>
          <w:ilvl w:val="1"/>
          <w:numId w:val="50"/>
        </w:numPr>
        <w:tabs>
          <w:tab w:val="left" w:pos="1783"/>
        </w:tabs>
        <w:spacing w:before="0" w:after="0" w:line="267" w:lineRule="exact"/>
        <w:ind w:left="1783" w:right="0" w:hanging="366"/>
        <w:jc w:val="both"/>
        <w:rPr>
          <w:color w:val="auto"/>
          <w:sz w:val="21"/>
        </w:rPr>
      </w:pPr>
      <w:r>
        <w:rPr>
          <w:color w:val="auto"/>
          <w:spacing w:val="-2"/>
          <w:sz w:val="21"/>
        </w:rPr>
        <w:t>投标总价（封</w:t>
      </w:r>
      <w:r>
        <w:rPr>
          <w:rFonts w:ascii="Times New Roman" w:eastAsia="Times New Roman"/>
          <w:color w:val="auto"/>
          <w:spacing w:val="-2"/>
          <w:sz w:val="21"/>
        </w:rPr>
        <w:t>-</w:t>
      </w:r>
      <w:r>
        <w:rPr>
          <w:rFonts w:ascii="Times New Roman" w:eastAsia="Times New Roman"/>
          <w:color w:val="auto"/>
          <w:spacing w:val="-5"/>
          <w:sz w:val="21"/>
        </w:rPr>
        <w:t>3</w:t>
      </w:r>
      <w:r>
        <w:rPr>
          <w:color w:val="auto"/>
          <w:spacing w:val="-5"/>
          <w:sz w:val="21"/>
        </w:rPr>
        <w:t>）</w:t>
      </w:r>
    </w:p>
    <w:p w14:paraId="2F3D159D">
      <w:pPr>
        <w:pStyle w:val="21"/>
        <w:numPr>
          <w:ilvl w:val="1"/>
          <w:numId w:val="50"/>
        </w:numPr>
        <w:tabs>
          <w:tab w:val="left" w:pos="1783"/>
        </w:tabs>
        <w:spacing w:before="135" w:after="0" w:line="240" w:lineRule="auto"/>
        <w:ind w:left="1783" w:right="0" w:hanging="366"/>
        <w:jc w:val="both"/>
        <w:rPr>
          <w:color w:val="auto"/>
          <w:sz w:val="21"/>
        </w:rPr>
      </w:pPr>
      <w:r>
        <w:rPr>
          <w:color w:val="auto"/>
          <w:spacing w:val="-2"/>
          <w:sz w:val="21"/>
        </w:rPr>
        <w:t>投标总价（扉</w:t>
      </w:r>
      <w:r>
        <w:rPr>
          <w:rFonts w:ascii="Times New Roman" w:eastAsia="Times New Roman"/>
          <w:color w:val="auto"/>
          <w:spacing w:val="-2"/>
          <w:sz w:val="21"/>
        </w:rPr>
        <w:t>-</w:t>
      </w:r>
      <w:r>
        <w:rPr>
          <w:rFonts w:ascii="Times New Roman" w:eastAsia="Times New Roman"/>
          <w:color w:val="auto"/>
          <w:spacing w:val="-5"/>
          <w:sz w:val="21"/>
        </w:rPr>
        <w:t>3</w:t>
      </w:r>
      <w:r>
        <w:rPr>
          <w:color w:val="auto"/>
          <w:spacing w:val="-5"/>
          <w:sz w:val="21"/>
        </w:rPr>
        <w:t>）</w:t>
      </w:r>
    </w:p>
    <w:p w14:paraId="1BB609C9">
      <w:pPr>
        <w:pStyle w:val="21"/>
        <w:numPr>
          <w:ilvl w:val="1"/>
          <w:numId w:val="50"/>
        </w:numPr>
        <w:tabs>
          <w:tab w:val="left" w:pos="1783"/>
        </w:tabs>
        <w:spacing w:before="135" w:after="0" w:line="240" w:lineRule="auto"/>
        <w:ind w:left="1783" w:right="0" w:hanging="366"/>
        <w:jc w:val="both"/>
        <w:rPr>
          <w:color w:val="auto"/>
          <w:sz w:val="21"/>
        </w:rPr>
      </w:pPr>
      <w:r>
        <w:rPr>
          <w:color w:val="auto"/>
          <w:spacing w:val="-2"/>
          <w:sz w:val="21"/>
        </w:rPr>
        <w:t>总说明（表</w:t>
      </w:r>
      <w:r>
        <w:rPr>
          <w:rFonts w:ascii="Times New Roman" w:eastAsia="Times New Roman"/>
          <w:color w:val="auto"/>
          <w:spacing w:val="-2"/>
          <w:sz w:val="21"/>
        </w:rPr>
        <w:t>-</w:t>
      </w:r>
      <w:r>
        <w:rPr>
          <w:rFonts w:ascii="Times New Roman" w:eastAsia="Times New Roman"/>
          <w:color w:val="auto"/>
          <w:spacing w:val="-5"/>
          <w:sz w:val="21"/>
        </w:rPr>
        <w:t>01</w:t>
      </w:r>
      <w:r>
        <w:rPr>
          <w:color w:val="auto"/>
          <w:spacing w:val="-5"/>
          <w:sz w:val="21"/>
        </w:rPr>
        <w:t>）</w:t>
      </w:r>
    </w:p>
    <w:p w14:paraId="02FCC8F7">
      <w:pPr>
        <w:pStyle w:val="21"/>
        <w:numPr>
          <w:ilvl w:val="1"/>
          <w:numId w:val="50"/>
        </w:numPr>
        <w:tabs>
          <w:tab w:val="left" w:pos="1783"/>
        </w:tabs>
        <w:spacing w:before="138" w:after="0" w:line="240" w:lineRule="auto"/>
        <w:ind w:left="1783" w:right="0" w:hanging="366"/>
        <w:jc w:val="left"/>
        <w:rPr>
          <w:color w:val="auto"/>
          <w:sz w:val="21"/>
        </w:rPr>
      </w:pPr>
      <w:r>
        <w:rPr>
          <w:color w:val="auto"/>
          <w:spacing w:val="-2"/>
          <w:sz w:val="21"/>
        </w:rPr>
        <w:t>建设项目投标报价汇总表（表</w:t>
      </w:r>
      <w:r>
        <w:rPr>
          <w:rFonts w:ascii="Times New Roman" w:eastAsia="Times New Roman"/>
          <w:color w:val="auto"/>
          <w:spacing w:val="-2"/>
          <w:sz w:val="21"/>
        </w:rPr>
        <w:t>-</w:t>
      </w:r>
      <w:r>
        <w:rPr>
          <w:rFonts w:ascii="Times New Roman" w:eastAsia="Times New Roman"/>
          <w:color w:val="auto"/>
          <w:spacing w:val="-5"/>
          <w:sz w:val="21"/>
        </w:rPr>
        <w:t>02</w:t>
      </w:r>
      <w:r>
        <w:rPr>
          <w:color w:val="auto"/>
          <w:spacing w:val="-5"/>
          <w:sz w:val="21"/>
        </w:rPr>
        <w:t>）</w:t>
      </w:r>
    </w:p>
    <w:p w14:paraId="677FBFB4">
      <w:pPr>
        <w:pStyle w:val="21"/>
        <w:numPr>
          <w:ilvl w:val="1"/>
          <w:numId w:val="50"/>
        </w:numPr>
        <w:tabs>
          <w:tab w:val="left" w:pos="1783"/>
        </w:tabs>
        <w:spacing w:before="135" w:after="0" w:line="240" w:lineRule="auto"/>
        <w:ind w:left="1783" w:right="0" w:hanging="366"/>
        <w:jc w:val="left"/>
        <w:rPr>
          <w:color w:val="auto"/>
          <w:sz w:val="21"/>
        </w:rPr>
      </w:pPr>
      <w:r>
        <w:rPr>
          <w:color w:val="auto"/>
          <w:spacing w:val="-2"/>
          <w:sz w:val="21"/>
        </w:rPr>
        <w:t>单项工程投标报价汇总表（表</w:t>
      </w:r>
      <w:r>
        <w:rPr>
          <w:rFonts w:ascii="Times New Roman" w:eastAsia="Times New Roman"/>
          <w:color w:val="auto"/>
          <w:spacing w:val="-2"/>
          <w:sz w:val="21"/>
        </w:rPr>
        <w:t>-</w:t>
      </w:r>
      <w:r>
        <w:rPr>
          <w:rFonts w:ascii="Times New Roman" w:eastAsia="Times New Roman"/>
          <w:color w:val="auto"/>
          <w:spacing w:val="-5"/>
          <w:sz w:val="21"/>
        </w:rPr>
        <w:t>03</w:t>
      </w:r>
      <w:r>
        <w:rPr>
          <w:color w:val="auto"/>
          <w:spacing w:val="-5"/>
          <w:sz w:val="21"/>
        </w:rPr>
        <w:t>）</w:t>
      </w:r>
    </w:p>
    <w:p w14:paraId="702040E1">
      <w:pPr>
        <w:pStyle w:val="21"/>
        <w:numPr>
          <w:ilvl w:val="1"/>
          <w:numId w:val="50"/>
        </w:numPr>
        <w:tabs>
          <w:tab w:val="left" w:pos="1783"/>
        </w:tabs>
        <w:spacing w:before="135" w:after="0" w:line="240" w:lineRule="auto"/>
        <w:ind w:left="1783" w:right="0" w:hanging="366"/>
        <w:jc w:val="left"/>
        <w:rPr>
          <w:color w:val="auto"/>
          <w:sz w:val="21"/>
        </w:rPr>
      </w:pPr>
      <w:r>
        <w:rPr>
          <w:color w:val="auto"/>
          <w:spacing w:val="-2"/>
          <w:sz w:val="21"/>
        </w:rPr>
        <w:t>单位工程投标报价汇总表（表</w:t>
      </w:r>
      <w:r>
        <w:rPr>
          <w:rFonts w:ascii="Times New Roman" w:eastAsia="Times New Roman"/>
          <w:color w:val="auto"/>
          <w:spacing w:val="-2"/>
          <w:sz w:val="21"/>
        </w:rPr>
        <w:t>-</w:t>
      </w:r>
      <w:r>
        <w:rPr>
          <w:rFonts w:ascii="Times New Roman" w:eastAsia="Times New Roman"/>
          <w:color w:val="auto"/>
          <w:spacing w:val="-5"/>
          <w:sz w:val="21"/>
        </w:rPr>
        <w:t>04</w:t>
      </w:r>
      <w:r>
        <w:rPr>
          <w:color w:val="auto"/>
          <w:spacing w:val="-5"/>
          <w:sz w:val="21"/>
        </w:rPr>
        <w:t>）</w:t>
      </w:r>
    </w:p>
    <w:p w14:paraId="70B37DF1">
      <w:pPr>
        <w:pStyle w:val="21"/>
        <w:numPr>
          <w:ilvl w:val="1"/>
          <w:numId w:val="50"/>
        </w:numPr>
        <w:tabs>
          <w:tab w:val="left" w:pos="1783"/>
        </w:tabs>
        <w:spacing w:before="135" w:after="0" w:line="240" w:lineRule="auto"/>
        <w:ind w:left="1783" w:right="0" w:hanging="366"/>
        <w:jc w:val="left"/>
        <w:rPr>
          <w:color w:val="auto"/>
          <w:sz w:val="21"/>
        </w:rPr>
      </w:pPr>
      <w:r>
        <w:rPr>
          <w:color w:val="auto"/>
          <w:spacing w:val="-2"/>
          <w:sz w:val="21"/>
        </w:rPr>
        <w:t>分部分项工程和单价措施项目清单与计价表（表</w:t>
      </w:r>
      <w:r>
        <w:rPr>
          <w:rFonts w:ascii="Times New Roman" w:eastAsia="Times New Roman"/>
          <w:color w:val="auto"/>
          <w:spacing w:val="-2"/>
          <w:sz w:val="21"/>
        </w:rPr>
        <w:t>-</w:t>
      </w:r>
      <w:r>
        <w:rPr>
          <w:rFonts w:ascii="Times New Roman" w:eastAsia="Times New Roman"/>
          <w:color w:val="auto"/>
          <w:spacing w:val="-5"/>
          <w:sz w:val="21"/>
        </w:rPr>
        <w:t>08</w:t>
      </w:r>
      <w:r>
        <w:rPr>
          <w:color w:val="auto"/>
          <w:spacing w:val="-5"/>
          <w:sz w:val="21"/>
        </w:rPr>
        <w:t>）</w:t>
      </w:r>
    </w:p>
    <w:p w14:paraId="4990DD9C">
      <w:pPr>
        <w:pStyle w:val="21"/>
        <w:numPr>
          <w:ilvl w:val="1"/>
          <w:numId w:val="50"/>
        </w:numPr>
        <w:tabs>
          <w:tab w:val="left" w:pos="1783"/>
        </w:tabs>
        <w:spacing w:before="135" w:after="0" w:line="240" w:lineRule="auto"/>
        <w:ind w:left="1783" w:right="0" w:hanging="366"/>
        <w:jc w:val="left"/>
        <w:rPr>
          <w:color w:val="auto"/>
          <w:sz w:val="21"/>
        </w:rPr>
      </w:pPr>
      <w:r>
        <w:rPr>
          <w:color w:val="auto"/>
          <w:spacing w:val="-2"/>
          <w:sz w:val="21"/>
        </w:rPr>
        <w:t>工程量清单综合单价分析表（表</w:t>
      </w:r>
      <w:r>
        <w:rPr>
          <w:rFonts w:ascii="Times New Roman" w:eastAsia="Times New Roman"/>
          <w:color w:val="auto"/>
          <w:spacing w:val="-2"/>
          <w:sz w:val="21"/>
        </w:rPr>
        <w:t>-</w:t>
      </w:r>
      <w:r>
        <w:rPr>
          <w:rFonts w:ascii="Times New Roman" w:eastAsia="Times New Roman"/>
          <w:color w:val="auto"/>
          <w:spacing w:val="-5"/>
          <w:sz w:val="21"/>
        </w:rPr>
        <w:t>09</w:t>
      </w:r>
      <w:r>
        <w:rPr>
          <w:color w:val="auto"/>
          <w:spacing w:val="-5"/>
          <w:sz w:val="21"/>
        </w:rPr>
        <w:t>）</w:t>
      </w:r>
    </w:p>
    <w:p w14:paraId="11DE2497">
      <w:pPr>
        <w:pStyle w:val="21"/>
        <w:numPr>
          <w:ilvl w:val="1"/>
          <w:numId w:val="50"/>
        </w:numPr>
        <w:tabs>
          <w:tab w:val="left" w:pos="1783"/>
        </w:tabs>
        <w:spacing w:before="135" w:after="0" w:line="240" w:lineRule="auto"/>
        <w:ind w:left="1783" w:right="0" w:hanging="366"/>
        <w:jc w:val="left"/>
        <w:rPr>
          <w:color w:val="auto"/>
          <w:sz w:val="21"/>
        </w:rPr>
      </w:pPr>
      <w:r>
        <w:rPr>
          <w:color w:val="auto"/>
          <w:spacing w:val="-2"/>
          <w:sz w:val="21"/>
        </w:rPr>
        <w:t>主要清单项目工料机分析表（表</w:t>
      </w:r>
      <w:r>
        <w:rPr>
          <w:rFonts w:ascii="Times New Roman" w:eastAsia="Times New Roman"/>
          <w:color w:val="auto"/>
          <w:spacing w:val="-2"/>
          <w:sz w:val="21"/>
        </w:rPr>
        <w:t>-10</w:t>
      </w:r>
      <w:r>
        <w:rPr>
          <w:color w:val="auto"/>
          <w:spacing w:val="-2"/>
          <w:sz w:val="21"/>
        </w:rPr>
        <w:t>）</w:t>
      </w:r>
      <w:r>
        <w:rPr>
          <w:color w:val="auto"/>
          <w:spacing w:val="-3"/>
          <w:sz w:val="21"/>
        </w:rPr>
        <w:t>【备注：可按要求有选择的提供】</w:t>
      </w:r>
    </w:p>
    <w:p w14:paraId="22FB490A">
      <w:pPr>
        <w:pStyle w:val="21"/>
        <w:numPr>
          <w:ilvl w:val="1"/>
          <w:numId w:val="50"/>
        </w:numPr>
        <w:tabs>
          <w:tab w:val="left" w:pos="1888"/>
        </w:tabs>
        <w:spacing w:before="137" w:after="0" w:line="240" w:lineRule="auto"/>
        <w:ind w:left="1888" w:right="0" w:hanging="471"/>
        <w:jc w:val="left"/>
        <w:rPr>
          <w:color w:val="auto"/>
          <w:sz w:val="21"/>
        </w:rPr>
      </w:pPr>
      <w:r>
        <w:rPr>
          <w:color w:val="auto"/>
          <w:spacing w:val="-2"/>
          <w:sz w:val="21"/>
        </w:rPr>
        <w:t>总价措施项目清单与计价表（表</w:t>
      </w:r>
      <w:r>
        <w:rPr>
          <w:rFonts w:ascii="Times New Roman" w:eastAsia="Times New Roman"/>
          <w:color w:val="auto"/>
          <w:spacing w:val="-2"/>
          <w:sz w:val="21"/>
        </w:rPr>
        <w:t>-</w:t>
      </w:r>
      <w:r>
        <w:rPr>
          <w:rFonts w:ascii="Times New Roman" w:eastAsia="Times New Roman"/>
          <w:color w:val="auto"/>
          <w:spacing w:val="-5"/>
          <w:sz w:val="21"/>
        </w:rPr>
        <w:t>11</w:t>
      </w:r>
      <w:r>
        <w:rPr>
          <w:color w:val="auto"/>
          <w:spacing w:val="-5"/>
          <w:sz w:val="21"/>
        </w:rPr>
        <w:t>）</w:t>
      </w:r>
    </w:p>
    <w:p w14:paraId="1C6C5331">
      <w:pPr>
        <w:pStyle w:val="21"/>
        <w:numPr>
          <w:ilvl w:val="1"/>
          <w:numId w:val="50"/>
        </w:numPr>
        <w:tabs>
          <w:tab w:val="left" w:pos="1888"/>
        </w:tabs>
        <w:spacing w:before="135" w:after="0" w:line="240" w:lineRule="auto"/>
        <w:ind w:left="1888" w:right="0" w:hanging="471"/>
        <w:jc w:val="left"/>
        <w:rPr>
          <w:color w:val="auto"/>
          <w:sz w:val="21"/>
        </w:rPr>
      </w:pPr>
      <w:r>
        <w:rPr>
          <w:color w:val="auto"/>
          <w:spacing w:val="-2"/>
          <w:sz w:val="21"/>
        </w:rPr>
        <w:t>其他项目清单与计价汇总表（表</w:t>
      </w:r>
      <w:r>
        <w:rPr>
          <w:rFonts w:ascii="Times New Roman" w:eastAsia="Times New Roman"/>
          <w:color w:val="auto"/>
          <w:spacing w:val="-2"/>
          <w:sz w:val="21"/>
        </w:rPr>
        <w:t>-</w:t>
      </w:r>
      <w:r>
        <w:rPr>
          <w:rFonts w:ascii="Times New Roman" w:eastAsia="Times New Roman"/>
          <w:color w:val="auto"/>
          <w:spacing w:val="-5"/>
          <w:sz w:val="21"/>
        </w:rPr>
        <w:t>12</w:t>
      </w:r>
      <w:r>
        <w:rPr>
          <w:color w:val="auto"/>
          <w:spacing w:val="-5"/>
          <w:sz w:val="21"/>
        </w:rPr>
        <w:t>）</w:t>
      </w:r>
    </w:p>
    <w:p w14:paraId="318C9917">
      <w:pPr>
        <w:pStyle w:val="21"/>
        <w:numPr>
          <w:ilvl w:val="1"/>
          <w:numId w:val="50"/>
        </w:numPr>
        <w:tabs>
          <w:tab w:val="left" w:pos="1888"/>
        </w:tabs>
        <w:spacing w:before="135" w:after="0" w:line="240" w:lineRule="auto"/>
        <w:ind w:left="1888" w:right="0" w:hanging="471"/>
        <w:jc w:val="left"/>
        <w:rPr>
          <w:color w:val="auto"/>
          <w:sz w:val="21"/>
        </w:rPr>
      </w:pPr>
      <w:r>
        <w:rPr>
          <w:color w:val="auto"/>
          <w:spacing w:val="-2"/>
          <w:sz w:val="21"/>
        </w:rPr>
        <w:t>暂列金额明细表（</w:t>
      </w:r>
      <w:r>
        <w:rPr>
          <w:color w:val="auto"/>
          <w:spacing w:val="-25"/>
          <w:sz w:val="21"/>
        </w:rPr>
        <w:t xml:space="preserve">表 </w:t>
      </w:r>
      <w:r>
        <w:rPr>
          <w:rFonts w:ascii="Times New Roman" w:eastAsia="Times New Roman"/>
          <w:color w:val="auto"/>
          <w:spacing w:val="-2"/>
          <w:sz w:val="21"/>
        </w:rPr>
        <w:t>12-</w:t>
      </w:r>
      <w:r>
        <w:rPr>
          <w:rFonts w:ascii="Times New Roman" w:eastAsia="Times New Roman"/>
          <w:color w:val="auto"/>
          <w:spacing w:val="-7"/>
          <w:sz w:val="21"/>
        </w:rPr>
        <w:t>1</w:t>
      </w:r>
      <w:r>
        <w:rPr>
          <w:color w:val="auto"/>
          <w:spacing w:val="-7"/>
          <w:sz w:val="21"/>
        </w:rPr>
        <w:t>）</w:t>
      </w:r>
    </w:p>
    <w:p w14:paraId="3441692D">
      <w:pPr>
        <w:pStyle w:val="21"/>
        <w:numPr>
          <w:ilvl w:val="1"/>
          <w:numId w:val="50"/>
        </w:numPr>
        <w:tabs>
          <w:tab w:val="left" w:pos="1888"/>
        </w:tabs>
        <w:spacing w:before="135" w:after="0" w:line="240" w:lineRule="auto"/>
        <w:ind w:left="1888" w:right="0" w:hanging="471"/>
        <w:jc w:val="left"/>
        <w:rPr>
          <w:color w:val="auto"/>
          <w:sz w:val="21"/>
        </w:rPr>
      </w:pPr>
      <w:r>
        <w:rPr>
          <w:color w:val="auto"/>
          <w:spacing w:val="-2"/>
          <w:sz w:val="21"/>
        </w:rPr>
        <w:t>材料（工程设备）暂估单价及调整表（</w:t>
      </w:r>
      <w:r>
        <w:rPr>
          <w:color w:val="auto"/>
          <w:spacing w:val="-23"/>
          <w:sz w:val="21"/>
        </w:rPr>
        <w:t xml:space="preserve">表 </w:t>
      </w:r>
      <w:r>
        <w:rPr>
          <w:rFonts w:ascii="Times New Roman" w:eastAsia="Times New Roman"/>
          <w:color w:val="auto"/>
          <w:spacing w:val="-2"/>
          <w:sz w:val="21"/>
        </w:rPr>
        <w:t>12-</w:t>
      </w:r>
      <w:r>
        <w:rPr>
          <w:rFonts w:ascii="Times New Roman" w:eastAsia="Times New Roman"/>
          <w:color w:val="auto"/>
          <w:spacing w:val="-5"/>
          <w:sz w:val="21"/>
        </w:rPr>
        <w:t>2</w:t>
      </w:r>
      <w:r>
        <w:rPr>
          <w:color w:val="auto"/>
          <w:spacing w:val="-5"/>
          <w:sz w:val="21"/>
        </w:rPr>
        <w:t>）</w:t>
      </w:r>
    </w:p>
    <w:p w14:paraId="6C8F22A8">
      <w:pPr>
        <w:pStyle w:val="21"/>
        <w:numPr>
          <w:ilvl w:val="1"/>
          <w:numId w:val="50"/>
        </w:numPr>
        <w:tabs>
          <w:tab w:val="left" w:pos="1888"/>
        </w:tabs>
        <w:spacing w:before="137" w:after="0" w:line="240" w:lineRule="auto"/>
        <w:ind w:left="1888" w:right="0" w:hanging="471"/>
        <w:jc w:val="left"/>
        <w:rPr>
          <w:color w:val="auto"/>
          <w:sz w:val="21"/>
        </w:rPr>
      </w:pPr>
      <w:r>
        <w:rPr>
          <w:color w:val="auto"/>
          <w:spacing w:val="-2"/>
          <w:sz w:val="21"/>
        </w:rPr>
        <w:t>专业工程暂估价及结算价表（</w:t>
      </w:r>
      <w:r>
        <w:rPr>
          <w:color w:val="auto"/>
          <w:spacing w:val="-24"/>
          <w:sz w:val="21"/>
        </w:rPr>
        <w:t xml:space="preserve">表 </w:t>
      </w:r>
      <w:r>
        <w:rPr>
          <w:rFonts w:ascii="Times New Roman" w:eastAsia="Times New Roman"/>
          <w:color w:val="auto"/>
          <w:spacing w:val="-2"/>
          <w:sz w:val="21"/>
        </w:rPr>
        <w:t>12-</w:t>
      </w:r>
      <w:r>
        <w:rPr>
          <w:rFonts w:ascii="Times New Roman" w:eastAsia="Times New Roman"/>
          <w:color w:val="auto"/>
          <w:spacing w:val="-5"/>
          <w:sz w:val="21"/>
        </w:rPr>
        <w:t>3</w:t>
      </w:r>
      <w:r>
        <w:rPr>
          <w:color w:val="auto"/>
          <w:spacing w:val="-5"/>
          <w:sz w:val="21"/>
        </w:rPr>
        <w:t>）</w:t>
      </w:r>
    </w:p>
    <w:p w14:paraId="44FA6D4A">
      <w:pPr>
        <w:pStyle w:val="21"/>
        <w:numPr>
          <w:ilvl w:val="1"/>
          <w:numId w:val="50"/>
        </w:numPr>
        <w:tabs>
          <w:tab w:val="left" w:pos="1888"/>
        </w:tabs>
        <w:spacing w:before="135" w:after="0" w:line="240" w:lineRule="auto"/>
        <w:ind w:left="1888" w:right="0" w:hanging="471"/>
        <w:jc w:val="left"/>
        <w:rPr>
          <w:color w:val="auto"/>
          <w:sz w:val="21"/>
        </w:rPr>
      </w:pPr>
      <w:r>
        <w:rPr>
          <w:color w:val="auto"/>
          <w:spacing w:val="-2"/>
          <w:sz w:val="21"/>
        </w:rPr>
        <w:t>计日工表（</w:t>
      </w:r>
      <w:r>
        <w:rPr>
          <w:color w:val="auto"/>
          <w:spacing w:val="-25"/>
          <w:sz w:val="21"/>
        </w:rPr>
        <w:t xml:space="preserve">表 </w:t>
      </w:r>
      <w:r>
        <w:rPr>
          <w:rFonts w:ascii="Times New Roman" w:eastAsia="Times New Roman"/>
          <w:color w:val="auto"/>
          <w:spacing w:val="-2"/>
          <w:sz w:val="21"/>
        </w:rPr>
        <w:t>12-</w:t>
      </w:r>
      <w:r>
        <w:rPr>
          <w:rFonts w:ascii="Times New Roman" w:eastAsia="Times New Roman"/>
          <w:color w:val="auto"/>
          <w:spacing w:val="-5"/>
          <w:sz w:val="21"/>
        </w:rPr>
        <w:t>4</w:t>
      </w:r>
      <w:r>
        <w:rPr>
          <w:color w:val="auto"/>
          <w:spacing w:val="-5"/>
          <w:sz w:val="21"/>
        </w:rPr>
        <w:t>）</w:t>
      </w:r>
    </w:p>
    <w:p w14:paraId="22D1B8E5">
      <w:pPr>
        <w:pStyle w:val="21"/>
        <w:numPr>
          <w:ilvl w:val="1"/>
          <w:numId w:val="50"/>
        </w:numPr>
        <w:tabs>
          <w:tab w:val="left" w:pos="1888"/>
        </w:tabs>
        <w:spacing w:before="135" w:after="0" w:line="240" w:lineRule="auto"/>
        <w:ind w:left="1888" w:right="0" w:hanging="471"/>
        <w:jc w:val="left"/>
        <w:rPr>
          <w:color w:val="auto"/>
          <w:sz w:val="21"/>
        </w:rPr>
      </w:pPr>
      <w:r>
        <w:rPr>
          <w:color w:val="auto"/>
          <w:spacing w:val="-2"/>
          <w:sz w:val="21"/>
        </w:rPr>
        <w:t>总承包服务费计价表（</w:t>
      </w:r>
      <w:r>
        <w:rPr>
          <w:color w:val="auto"/>
          <w:spacing w:val="-25"/>
          <w:sz w:val="21"/>
        </w:rPr>
        <w:t xml:space="preserve">表 </w:t>
      </w:r>
      <w:r>
        <w:rPr>
          <w:rFonts w:ascii="Times New Roman" w:eastAsia="Times New Roman"/>
          <w:color w:val="auto"/>
          <w:spacing w:val="-2"/>
          <w:sz w:val="21"/>
        </w:rPr>
        <w:t>12-</w:t>
      </w:r>
      <w:r>
        <w:rPr>
          <w:rFonts w:ascii="Times New Roman" w:eastAsia="Times New Roman"/>
          <w:color w:val="auto"/>
          <w:spacing w:val="-5"/>
          <w:sz w:val="21"/>
        </w:rPr>
        <w:t>5</w:t>
      </w:r>
      <w:r>
        <w:rPr>
          <w:color w:val="auto"/>
          <w:spacing w:val="-5"/>
          <w:sz w:val="21"/>
        </w:rPr>
        <w:t>）</w:t>
      </w:r>
    </w:p>
    <w:p w14:paraId="4434053D">
      <w:pPr>
        <w:pStyle w:val="21"/>
        <w:numPr>
          <w:ilvl w:val="1"/>
          <w:numId w:val="50"/>
        </w:numPr>
        <w:tabs>
          <w:tab w:val="left" w:pos="1888"/>
        </w:tabs>
        <w:spacing w:before="135" w:after="0" w:line="240" w:lineRule="auto"/>
        <w:ind w:left="1888" w:right="0" w:hanging="471"/>
        <w:jc w:val="left"/>
        <w:rPr>
          <w:color w:val="auto"/>
          <w:sz w:val="21"/>
        </w:rPr>
      </w:pPr>
      <w:r>
        <w:rPr>
          <w:color w:val="auto"/>
          <w:spacing w:val="-2"/>
          <w:sz w:val="21"/>
        </w:rPr>
        <w:t>税前项目清单与计价表（表</w:t>
      </w:r>
      <w:r>
        <w:rPr>
          <w:rFonts w:ascii="Times New Roman" w:eastAsia="Times New Roman"/>
          <w:color w:val="auto"/>
          <w:spacing w:val="-2"/>
          <w:sz w:val="21"/>
        </w:rPr>
        <w:t>-</w:t>
      </w:r>
      <w:r>
        <w:rPr>
          <w:rFonts w:ascii="Times New Roman" w:eastAsia="Times New Roman"/>
          <w:color w:val="auto"/>
          <w:spacing w:val="-5"/>
          <w:sz w:val="21"/>
        </w:rPr>
        <w:t>14</w:t>
      </w:r>
      <w:r>
        <w:rPr>
          <w:color w:val="auto"/>
          <w:spacing w:val="-5"/>
          <w:sz w:val="21"/>
        </w:rPr>
        <w:t>）</w:t>
      </w:r>
    </w:p>
    <w:p w14:paraId="50427545">
      <w:pPr>
        <w:pStyle w:val="21"/>
        <w:numPr>
          <w:ilvl w:val="1"/>
          <w:numId w:val="50"/>
        </w:numPr>
        <w:tabs>
          <w:tab w:val="left" w:pos="1888"/>
        </w:tabs>
        <w:spacing w:before="135" w:after="0" w:line="240" w:lineRule="auto"/>
        <w:ind w:left="1888" w:right="0" w:hanging="471"/>
        <w:jc w:val="left"/>
        <w:rPr>
          <w:color w:val="auto"/>
          <w:sz w:val="21"/>
        </w:rPr>
      </w:pPr>
      <w:r>
        <w:rPr>
          <w:color w:val="auto"/>
          <w:spacing w:val="-2"/>
          <w:sz w:val="21"/>
        </w:rPr>
        <w:t>规费、增值税计价表（表</w:t>
      </w:r>
      <w:r>
        <w:rPr>
          <w:rFonts w:ascii="Times New Roman" w:eastAsia="Times New Roman"/>
          <w:color w:val="auto"/>
          <w:spacing w:val="-2"/>
          <w:sz w:val="21"/>
        </w:rPr>
        <w:t>-</w:t>
      </w:r>
      <w:r>
        <w:rPr>
          <w:rFonts w:ascii="Times New Roman" w:eastAsia="Times New Roman"/>
          <w:color w:val="auto"/>
          <w:spacing w:val="-5"/>
          <w:sz w:val="21"/>
        </w:rPr>
        <w:t>15</w:t>
      </w:r>
      <w:r>
        <w:rPr>
          <w:color w:val="auto"/>
          <w:spacing w:val="-5"/>
          <w:sz w:val="21"/>
        </w:rPr>
        <w:t>）</w:t>
      </w:r>
    </w:p>
    <w:p w14:paraId="10092BA0">
      <w:pPr>
        <w:pStyle w:val="21"/>
        <w:numPr>
          <w:ilvl w:val="1"/>
          <w:numId w:val="50"/>
        </w:numPr>
        <w:tabs>
          <w:tab w:val="left" w:pos="1888"/>
        </w:tabs>
        <w:spacing w:before="135" w:after="0" w:line="240" w:lineRule="auto"/>
        <w:ind w:left="1888" w:right="0" w:hanging="471"/>
        <w:jc w:val="left"/>
        <w:rPr>
          <w:color w:val="auto"/>
          <w:sz w:val="21"/>
        </w:rPr>
      </w:pPr>
      <w:r>
        <w:rPr>
          <w:color w:val="auto"/>
          <w:spacing w:val="-2"/>
          <w:sz w:val="21"/>
        </w:rPr>
        <w:t>发包人提供主要材料和工程设备一览表（表</w:t>
      </w:r>
      <w:r>
        <w:rPr>
          <w:rFonts w:ascii="Times New Roman" w:eastAsia="Times New Roman"/>
          <w:color w:val="auto"/>
          <w:spacing w:val="-2"/>
          <w:sz w:val="21"/>
        </w:rPr>
        <w:t>-</w:t>
      </w:r>
      <w:r>
        <w:rPr>
          <w:rFonts w:ascii="Times New Roman" w:eastAsia="Times New Roman"/>
          <w:color w:val="auto"/>
          <w:spacing w:val="-5"/>
          <w:sz w:val="21"/>
        </w:rPr>
        <w:t>21</w:t>
      </w:r>
      <w:r>
        <w:rPr>
          <w:color w:val="auto"/>
          <w:spacing w:val="-5"/>
          <w:sz w:val="21"/>
        </w:rPr>
        <w:t>）</w:t>
      </w:r>
    </w:p>
    <w:p w14:paraId="1F478B33">
      <w:pPr>
        <w:pStyle w:val="21"/>
        <w:numPr>
          <w:ilvl w:val="1"/>
          <w:numId w:val="50"/>
        </w:numPr>
        <w:tabs>
          <w:tab w:val="left" w:pos="1888"/>
        </w:tabs>
        <w:spacing w:before="138" w:after="0" w:line="240" w:lineRule="auto"/>
        <w:ind w:left="1888" w:right="0" w:hanging="471"/>
        <w:jc w:val="left"/>
        <w:rPr>
          <w:color w:val="auto"/>
          <w:sz w:val="21"/>
        </w:rPr>
      </w:pPr>
      <w:r>
        <w:rPr>
          <w:color w:val="auto"/>
          <w:spacing w:val="-2"/>
          <w:sz w:val="21"/>
        </w:rPr>
        <w:t>允许调整主要材料和工程设备一览表（适用于造价信息差额调整法）（表</w:t>
      </w:r>
      <w:r>
        <w:rPr>
          <w:rFonts w:ascii="Times New Roman" w:eastAsia="Times New Roman"/>
          <w:color w:val="auto"/>
          <w:spacing w:val="-2"/>
          <w:sz w:val="21"/>
        </w:rPr>
        <w:t>-</w:t>
      </w:r>
      <w:r>
        <w:rPr>
          <w:rFonts w:ascii="Times New Roman" w:eastAsia="Times New Roman"/>
          <w:color w:val="auto"/>
          <w:spacing w:val="-5"/>
          <w:sz w:val="21"/>
        </w:rPr>
        <w:t>22</w:t>
      </w:r>
      <w:r>
        <w:rPr>
          <w:color w:val="auto"/>
          <w:spacing w:val="-5"/>
          <w:sz w:val="21"/>
        </w:rPr>
        <w:t>）</w:t>
      </w:r>
    </w:p>
    <w:p w14:paraId="607FCA26">
      <w:pPr>
        <w:pStyle w:val="21"/>
        <w:numPr>
          <w:ilvl w:val="1"/>
          <w:numId w:val="50"/>
        </w:numPr>
        <w:tabs>
          <w:tab w:val="left" w:pos="1888"/>
        </w:tabs>
        <w:spacing w:before="135" w:after="0" w:line="240" w:lineRule="auto"/>
        <w:ind w:left="1888" w:right="0" w:hanging="471"/>
        <w:jc w:val="left"/>
        <w:rPr>
          <w:color w:val="auto"/>
          <w:sz w:val="21"/>
        </w:rPr>
      </w:pPr>
      <w:r>
        <w:rPr>
          <w:color w:val="auto"/>
          <w:spacing w:val="-2"/>
          <w:sz w:val="21"/>
        </w:rPr>
        <w:t>允许调整主要材料和工程设备一览表（适用于价格指数差额调整法）（表</w:t>
      </w:r>
      <w:r>
        <w:rPr>
          <w:rFonts w:ascii="Times New Roman" w:eastAsia="Times New Roman"/>
          <w:color w:val="auto"/>
          <w:spacing w:val="-2"/>
          <w:sz w:val="21"/>
        </w:rPr>
        <w:t>-</w:t>
      </w:r>
      <w:r>
        <w:rPr>
          <w:rFonts w:ascii="Times New Roman" w:eastAsia="Times New Roman"/>
          <w:color w:val="auto"/>
          <w:spacing w:val="-5"/>
          <w:sz w:val="21"/>
        </w:rPr>
        <w:t>23</w:t>
      </w:r>
      <w:r>
        <w:rPr>
          <w:color w:val="auto"/>
          <w:spacing w:val="-5"/>
          <w:sz w:val="21"/>
        </w:rPr>
        <w:t>）</w:t>
      </w:r>
    </w:p>
    <w:p w14:paraId="1DAF54E9">
      <w:pPr>
        <w:pStyle w:val="21"/>
        <w:numPr>
          <w:ilvl w:val="1"/>
          <w:numId w:val="50"/>
        </w:numPr>
        <w:tabs>
          <w:tab w:val="left" w:pos="1836"/>
        </w:tabs>
        <w:spacing w:before="135" w:after="0" w:line="240" w:lineRule="auto"/>
        <w:ind w:left="1836" w:right="0" w:hanging="419"/>
        <w:jc w:val="left"/>
        <w:rPr>
          <w:color w:val="auto"/>
          <w:sz w:val="21"/>
        </w:rPr>
      </w:pPr>
      <w:r>
        <w:rPr>
          <w:color w:val="auto"/>
          <w:spacing w:val="-2"/>
          <w:sz w:val="21"/>
        </w:rPr>
        <w:t>本工程材料和工程设备一览表（表</w:t>
      </w:r>
      <w:r>
        <w:rPr>
          <w:rFonts w:ascii="Times New Roman" w:eastAsia="Times New Roman"/>
          <w:color w:val="auto"/>
          <w:spacing w:val="-2"/>
          <w:sz w:val="21"/>
        </w:rPr>
        <w:t>-</w:t>
      </w:r>
      <w:r>
        <w:rPr>
          <w:rFonts w:ascii="Times New Roman" w:eastAsia="Times New Roman"/>
          <w:color w:val="auto"/>
          <w:spacing w:val="-5"/>
          <w:sz w:val="21"/>
        </w:rPr>
        <w:t>24</w:t>
      </w:r>
      <w:r>
        <w:rPr>
          <w:color w:val="auto"/>
          <w:spacing w:val="-5"/>
          <w:sz w:val="21"/>
        </w:rPr>
        <w:t>）</w:t>
      </w:r>
    </w:p>
    <w:p w14:paraId="6EB88E08">
      <w:pPr>
        <w:spacing w:after="0" w:line="240" w:lineRule="auto"/>
        <w:jc w:val="left"/>
        <w:rPr>
          <w:color w:val="auto"/>
          <w:sz w:val="21"/>
        </w:rPr>
        <w:sectPr>
          <w:pgSz w:w="11910" w:h="16840"/>
          <w:pgMar w:top="1400" w:right="740" w:bottom="1180" w:left="800" w:header="0" w:footer="989" w:gutter="0"/>
          <w:cols w:space="720" w:num="1"/>
        </w:sectPr>
      </w:pPr>
    </w:p>
    <w:p w14:paraId="1B1C7D75">
      <w:pPr>
        <w:pStyle w:val="12"/>
        <w:spacing w:before="38"/>
        <w:rPr>
          <w:color w:val="auto"/>
        </w:rPr>
      </w:pPr>
      <w:r>
        <w:rPr>
          <w:color w:val="auto"/>
          <w:spacing w:val="-5"/>
        </w:rPr>
        <w:t>备注：</w:t>
      </w:r>
    </w:p>
    <w:p w14:paraId="58868C3F">
      <w:pPr>
        <w:spacing w:before="135" w:line="360" w:lineRule="auto"/>
        <w:ind w:left="788" w:right="791" w:firstLine="420"/>
        <w:jc w:val="both"/>
        <w:rPr>
          <w:b/>
          <w:color w:val="auto"/>
          <w:sz w:val="21"/>
        </w:rPr>
      </w:pPr>
      <w:r>
        <w:rPr>
          <w:b/>
          <w:color w:val="auto"/>
          <w:spacing w:val="2"/>
          <w:w w:val="99"/>
          <w:sz w:val="21"/>
        </w:rPr>
        <w:t>（</w:t>
      </w:r>
      <w:r>
        <w:rPr>
          <w:rFonts w:ascii="Times New Roman" w:eastAsia="Times New Roman"/>
          <w:b/>
          <w:color w:val="auto"/>
          <w:spacing w:val="3"/>
          <w:w w:val="99"/>
          <w:sz w:val="21"/>
        </w:rPr>
        <w:t>1</w:t>
      </w:r>
      <w:r>
        <w:rPr>
          <w:b/>
          <w:color w:val="auto"/>
          <w:spacing w:val="2"/>
          <w:w w:val="99"/>
          <w:sz w:val="21"/>
        </w:rPr>
        <w:t>）</w:t>
      </w:r>
      <w:r>
        <w:rPr>
          <w:b/>
          <w:color w:val="auto"/>
          <w:w w:val="99"/>
          <w:sz w:val="21"/>
        </w:rPr>
        <w:t>供应商在上传竞标报价文件时应上传纸质投标总价封面的原件扫描件。报价总价封面</w:t>
      </w:r>
      <w:r>
        <w:rPr>
          <w:b/>
          <w:color w:val="auto"/>
          <w:spacing w:val="4"/>
          <w:w w:val="99"/>
          <w:sz w:val="21"/>
        </w:rPr>
        <w:t>必须经供应商盖章，并由法定代表人</w:t>
      </w:r>
      <w:r>
        <w:rPr>
          <w:b/>
          <w:color w:val="auto"/>
          <w:spacing w:val="7"/>
          <w:w w:val="99"/>
          <w:sz w:val="21"/>
        </w:rPr>
        <w:t>（</w:t>
      </w:r>
      <w:r>
        <w:rPr>
          <w:b/>
          <w:color w:val="auto"/>
          <w:spacing w:val="4"/>
          <w:w w:val="99"/>
          <w:sz w:val="21"/>
        </w:rPr>
        <w:t>或其授权人</w:t>
      </w:r>
      <w:r>
        <w:rPr>
          <w:b/>
          <w:color w:val="auto"/>
          <w:spacing w:val="7"/>
          <w:w w:val="99"/>
          <w:sz w:val="21"/>
        </w:rPr>
        <w:t>）</w:t>
      </w:r>
      <w:r>
        <w:rPr>
          <w:b/>
          <w:color w:val="auto"/>
          <w:spacing w:val="4"/>
          <w:w w:val="99"/>
          <w:sz w:val="21"/>
        </w:rPr>
        <w:t>签字</w:t>
      </w:r>
      <w:r>
        <w:rPr>
          <w:b/>
          <w:color w:val="auto"/>
          <w:spacing w:val="7"/>
          <w:w w:val="99"/>
          <w:sz w:val="21"/>
        </w:rPr>
        <w:t>（</w:t>
      </w:r>
      <w:r>
        <w:rPr>
          <w:b/>
          <w:color w:val="auto"/>
          <w:spacing w:val="5"/>
          <w:w w:val="99"/>
          <w:sz w:val="21"/>
        </w:rPr>
        <w:t>或盖章</w:t>
      </w:r>
      <w:r>
        <w:rPr>
          <w:b/>
          <w:color w:val="auto"/>
          <w:spacing w:val="4"/>
          <w:w w:val="99"/>
          <w:sz w:val="21"/>
        </w:rPr>
        <w:t>）</w:t>
      </w:r>
      <w:r>
        <w:rPr>
          <w:b/>
          <w:color w:val="auto"/>
          <w:w w:val="99"/>
          <w:sz w:val="21"/>
        </w:rPr>
        <w:t>，同时由编制人签字盖专</w:t>
      </w:r>
      <w:r>
        <w:rPr>
          <w:b/>
          <w:color w:val="auto"/>
          <w:spacing w:val="1"/>
          <w:w w:val="99"/>
          <w:sz w:val="21"/>
        </w:rPr>
        <w:t>用章。</w:t>
      </w:r>
    </w:p>
    <w:p w14:paraId="123BAE79">
      <w:pPr>
        <w:pStyle w:val="12"/>
        <w:spacing w:before="0" w:line="271" w:lineRule="exact"/>
        <w:ind w:left="1208"/>
        <w:jc w:val="both"/>
        <w:rPr>
          <w:color w:val="auto"/>
        </w:rPr>
      </w:pPr>
      <w:r>
        <w:rPr>
          <w:color w:val="auto"/>
          <w:spacing w:val="-2"/>
        </w:rPr>
        <w:t>（</w:t>
      </w:r>
      <w:r>
        <w:rPr>
          <w:rFonts w:ascii="Times New Roman" w:eastAsia="Times New Roman"/>
          <w:color w:val="auto"/>
          <w:spacing w:val="-2"/>
        </w:rPr>
        <w:t>2</w:t>
      </w:r>
      <w:r>
        <w:rPr>
          <w:color w:val="auto"/>
          <w:spacing w:val="-2"/>
        </w:rPr>
        <w:t>）</w:t>
      </w:r>
      <w:r>
        <w:rPr>
          <w:rFonts w:ascii="Times New Roman" w:eastAsia="Times New Roman"/>
          <w:color w:val="auto"/>
          <w:spacing w:val="-2"/>
        </w:rPr>
        <w:t>1.8</w:t>
      </w:r>
      <w:r>
        <w:rPr>
          <w:rFonts w:ascii="Times New Roman" w:eastAsia="Times New Roman"/>
          <w:color w:val="auto"/>
          <w:spacing w:val="7"/>
        </w:rPr>
        <w:t xml:space="preserve"> </w:t>
      </w:r>
      <w:r>
        <w:rPr>
          <w:color w:val="auto"/>
          <w:spacing w:val="-6"/>
        </w:rPr>
        <w:t xml:space="preserve">工程量清单综合单价分析表和 </w:t>
      </w:r>
      <w:r>
        <w:rPr>
          <w:rFonts w:ascii="Times New Roman" w:eastAsia="Times New Roman"/>
          <w:color w:val="auto"/>
          <w:spacing w:val="-2"/>
        </w:rPr>
        <w:t>1.9</w:t>
      </w:r>
      <w:r>
        <w:rPr>
          <w:rFonts w:ascii="Times New Roman" w:eastAsia="Times New Roman"/>
          <w:color w:val="auto"/>
          <w:spacing w:val="5"/>
        </w:rPr>
        <w:t xml:space="preserve"> </w:t>
      </w:r>
      <w:r>
        <w:rPr>
          <w:color w:val="auto"/>
          <w:spacing w:val="-3"/>
        </w:rPr>
        <w:t>主要清单项目工料机分析表要求附上。</w:t>
      </w:r>
    </w:p>
    <w:p w14:paraId="7BB67CE0">
      <w:pPr>
        <w:pStyle w:val="12"/>
        <w:spacing w:line="360" w:lineRule="auto"/>
        <w:ind w:right="788" w:firstLine="420"/>
        <w:jc w:val="both"/>
        <w:rPr>
          <w:color w:val="auto"/>
        </w:rPr>
      </w:pPr>
      <w:r>
        <w:rPr>
          <w:color w:val="auto"/>
          <w:spacing w:val="2"/>
          <w:w w:val="99"/>
        </w:rPr>
        <w:t>（</w:t>
      </w:r>
      <w:r>
        <w:rPr>
          <w:rFonts w:ascii="Times New Roman" w:eastAsia="Times New Roman"/>
          <w:color w:val="auto"/>
          <w:spacing w:val="1"/>
          <w:w w:val="99"/>
        </w:rPr>
        <w:t>3</w:t>
      </w:r>
      <w:r>
        <w:rPr>
          <w:color w:val="auto"/>
          <w:spacing w:val="2"/>
          <w:w w:val="99"/>
        </w:rPr>
        <w:t>）</w:t>
      </w:r>
      <w:r>
        <w:rPr>
          <w:color w:val="auto"/>
          <w:spacing w:val="1"/>
          <w:w w:val="99"/>
        </w:rPr>
        <w:t>已标价工程量清单表格要严格按照招标工程量清单给出的表格要求和内容填报。如本</w:t>
      </w:r>
      <w:r>
        <w:rPr>
          <w:color w:val="auto"/>
          <w:spacing w:val="2"/>
          <w:w w:val="99"/>
        </w:rPr>
        <w:t>工程在合同中约定采用造价信息差额调整法，</w:t>
      </w:r>
      <w:r>
        <w:rPr>
          <w:rFonts w:ascii="Times New Roman" w:eastAsia="Times New Roman"/>
          <w:color w:val="auto"/>
          <w:spacing w:val="1"/>
          <w:w w:val="99"/>
        </w:rPr>
        <w:t>1</w:t>
      </w:r>
      <w:r>
        <w:rPr>
          <w:rFonts w:ascii="Times New Roman" w:eastAsia="Times New Roman"/>
          <w:color w:val="auto"/>
          <w:w w:val="99"/>
        </w:rPr>
        <w:t>.</w:t>
      </w:r>
      <w:r>
        <w:rPr>
          <w:rFonts w:ascii="Times New Roman" w:eastAsia="Times New Roman"/>
          <w:color w:val="auto"/>
          <w:spacing w:val="1"/>
          <w:w w:val="99"/>
        </w:rPr>
        <w:t>2</w:t>
      </w:r>
      <w:r>
        <w:rPr>
          <w:rFonts w:ascii="Times New Roman" w:eastAsia="Times New Roman"/>
          <w:color w:val="auto"/>
          <w:w w:val="99"/>
        </w:rPr>
        <w:t>0</w:t>
      </w:r>
      <w:r>
        <w:rPr>
          <w:rFonts w:ascii="Times New Roman" w:eastAsia="Times New Roman"/>
          <w:color w:val="auto"/>
        </w:rPr>
        <w:t xml:space="preserve">  </w:t>
      </w:r>
      <w:r>
        <w:rPr>
          <w:color w:val="auto"/>
          <w:spacing w:val="2"/>
          <w:w w:val="99"/>
        </w:rPr>
        <w:t>允许调整主要材料和工程设备一览表</w:t>
      </w:r>
      <w:r>
        <w:rPr>
          <w:color w:val="auto"/>
          <w:spacing w:val="4"/>
          <w:w w:val="99"/>
        </w:rPr>
        <w:t>（</w:t>
      </w:r>
      <w:r>
        <w:rPr>
          <w:color w:val="auto"/>
          <w:spacing w:val="2"/>
          <w:w w:val="99"/>
        </w:rPr>
        <w:t>适用</w:t>
      </w:r>
      <w:r>
        <w:rPr>
          <w:color w:val="auto"/>
          <w:spacing w:val="1"/>
          <w:w w:val="99"/>
        </w:rPr>
        <w:t>于造价信息差额调整法</w:t>
      </w:r>
      <w:r>
        <w:rPr>
          <w:color w:val="auto"/>
          <w:spacing w:val="4"/>
          <w:w w:val="99"/>
        </w:rPr>
        <w:t>）</w:t>
      </w:r>
      <w:r>
        <w:rPr>
          <w:color w:val="auto"/>
          <w:spacing w:val="2"/>
          <w:w w:val="99"/>
        </w:rPr>
        <w:t>（</w:t>
      </w:r>
      <w:r>
        <w:rPr>
          <w:color w:val="auto"/>
          <w:spacing w:val="4"/>
          <w:w w:val="99"/>
        </w:rPr>
        <w:t>表</w:t>
      </w:r>
      <w:r>
        <w:rPr>
          <w:rFonts w:ascii="Times New Roman" w:eastAsia="Times New Roman"/>
          <w:color w:val="auto"/>
          <w:w w:val="99"/>
        </w:rPr>
        <w:t>-</w:t>
      </w:r>
      <w:r>
        <w:rPr>
          <w:rFonts w:ascii="Times New Roman" w:eastAsia="Times New Roman"/>
          <w:color w:val="auto"/>
          <w:spacing w:val="1"/>
          <w:w w:val="99"/>
        </w:rPr>
        <w:t>2</w:t>
      </w:r>
      <w:r>
        <w:rPr>
          <w:rFonts w:ascii="Times New Roman" w:eastAsia="Times New Roman"/>
          <w:color w:val="auto"/>
          <w:spacing w:val="3"/>
          <w:w w:val="99"/>
        </w:rPr>
        <w:t>2</w:t>
      </w:r>
      <w:r>
        <w:rPr>
          <w:color w:val="auto"/>
          <w:spacing w:val="4"/>
          <w:w w:val="99"/>
        </w:rPr>
        <w:t>）</w:t>
      </w:r>
      <w:r>
        <w:rPr>
          <w:color w:val="auto"/>
          <w:spacing w:val="1"/>
          <w:w w:val="99"/>
        </w:rPr>
        <w:t>载明的主要材料和工程设备为本工程允许调整的材料和工程</w:t>
      </w:r>
      <w:r>
        <w:rPr>
          <w:color w:val="auto"/>
          <w:spacing w:val="3"/>
          <w:w w:val="99"/>
        </w:rPr>
        <w:t>设备，招标工程量清单必须提供该表格，且不能提供空白表。以下表格视工程实际需要选用，如该工程不发生如下表格相关项目和费用，招标工程量清单不应列入该部分表格，已标价工程</w:t>
      </w:r>
      <w:r>
        <w:rPr>
          <w:color w:val="auto"/>
          <w:spacing w:val="-1"/>
          <w:w w:val="99"/>
        </w:rPr>
        <w:t>量清单亦不包括这部分表格。</w:t>
      </w:r>
    </w:p>
    <w:p w14:paraId="120B3A8B">
      <w:pPr>
        <w:pStyle w:val="12"/>
        <w:spacing w:before="0" w:line="269" w:lineRule="exact"/>
        <w:ind w:left="1208"/>
        <w:rPr>
          <w:color w:val="auto"/>
        </w:rPr>
      </w:pPr>
      <w:r>
        <w:rPr>
          <w:color w:val="auto"/>
          <w:spacing w:val="-2"/>
        </w:rPr>
        <w:t>①建设项目投标报价汇总表（表</w:t>
      </w:r>
      <w:r>
        <w:rPr>
          <w:rFonts w:ascii="Times New Roman" w:hAnsi="Times New Roman" w:eastAsia="Times New Roman"/>
          <w:color w:val="auto"/>
          <w:spacing w:val="-2"/>
        </w:rPr>
        <w:t>-</w:t>
      </w:r>
      <w:r>
        <w:rPr>
          <w:rFonts w:ascii="Times New Roman" w:hAnsi="Times New Roman" w:eastAsia="Times New Roman"/>
          <w:color w:val="auto"/>
          <w:spacing w:val="-5"/>
        </w:rPr>
        <w:t>02</w:t>
      </w:r>
      <w:r>
        <w:rPr>
          <w:color w:val="auto"/>
          <w:spacing w:val="-5"/>
        </w:rPr>
        <w:t>）</w:t>
      </w:r>
    </w:p>
    <w:p w14:paraId="36A50470">
      <w:pPr>
        <w:pStyle w:val="12"/>
        <w:ind w:left="1208"/>
        <w:rPr>
          <w:color w:val="auto"/>
        </w:rPr>
      </w:pPr>
      <w:r>
        <w:rPr>
          <w:color w:val="auto"/>
          <w:spacing w:val="-2"/>
        </w:rPr>
        <w:t>②暂列金额明细表（</w:t>
      </w:r>
      <w:r>
        <w:rPr>
          <w:color w:val="auto"/>
          <w:spacing w:val="-26"/>
        </w:rPr>
        <w:t xml:space="preserve">表 </w:t>
      </w:r>
      <w:r>
        <w:rPr>
          <w:rFonts w:ascii="Times New Roman" w:hAnsi="Times New Roman" w:eastAsia="Times New Roman"/>
          <w:color w:val="auto"/>
          <w:spacing w:val="-2"/>
        </w:rPr>
        <w:t>12-</w:t>
      </w:r>
      <w:r>
        <w:rPr>
          <w:rFonts w:ascii="Times New Roman" w:hAnsi="Times New Roman" w:eastAsia="Times New Roman"/>
          <w:color w:val="auto"/>
          <w:spacing w:val="-7"/>
        </w:rPr>
        <w:t>1</w:t>
      </w:r>
      <w:r>
        <w:rPr>
          <w:color w:val="auto"/>
          <w:spacing w:val="-7"/>
        </w:rPr>
        <w:t>）</w:t>
      </w:r>
    </w:p>
    <w:p w14:paraId="0E0DDCFE">
      <w:pPr>
        <w:pStyle w:val="12"/>
        <w:ind w:left="1208"/>
        <w:rPr>
          <w:color w:val="auto"/>
        </w:rPr>
      </w:pPr>
      <w:r>
        <w:rPr>
          <w:color w:val="auto"/>
          <w:spacing w:val="-2"/>
        </w:rPr>
        <w:t>③材料（工程设备）暂估单价及调整表（</w:t>
      </w:r>
      <w:r>
        <w:rPr>
          <w:color w:val="auto"/>
          <w:spacing w:val="-24"/>
        </w:rPr>
        <w:t xml:space="preserve">表 </w:t>
      </w:r>
      <w:r>
        <w:rPr>
          <w:rFonts w:ascii="Times New Roman" w:hAnsi="Times New Roman" w:eastAsia="Times New Roman"/>
          <w:color w:val="auto"/>
          <w:spacing w:val="-2"/>
        </w:rPr>
        <w:t>12-</w:t>
      </w:r>
      <w:r>
        <w:rPr>
          <w:rFonts w:ascii="Times New Roman" w:hAnsi="Times New Roman" w:eastAsia="Times New Roman"/>
          <w:color w:val="auto"/>
          <w:spacing w:val="-5"/>
        </w:rPr>
        <w:t>2</w:t>
      </w:r>
      <w:r>
        <w:rPr>
          <w:color w:val="auto"/>
          <w:spacing w:val="-5"/>
        </w:rPr>
        <w:t>）</w:t>
      </w:r>
    </w:p>
    <w:p w14:paraId="4A5C4864">
      <w:pPr>
        <w:pStyle w:val="12"/>
        <w:ind w:left="1208"/>
        <w:rPr>
          <w:color w:val="auto"/>
        </w:rPr>
      </w:pPr>
      <w:r>
        <w:rPr>
          <w:color w:val="auto"/>
          <w:spacing w:val="-2"/>
        </w:rPr>
        <w:t>④专业工程暂估价及结算价表（</w:t>
      </w:r>
      <w:r>
        <w:rPr>
          <w:color w:val="auto"/>
          <w:spacing w:val="-24"/>
        </w:rPr>
        <w:t xml:space="preserve">表 </w:t>
      </w:r>
      <w:r>
        <w:rPr>
          <w:rFonts w:ascii="Times New Roman" w:hAnsi="Times New Roman" w:eastAsia="Times New Roman"/>
          <w:color w:val="auto"/>
          <w:spacing w:val="-2"/>
        </w:rPr>
        <w:t>12-</w:t>
      </w:r>
      <w:r>
        <w:rPr>
          <w:rFonts w:ascii="Times New Roman" w:hAnsi="Times New Roman" w:eastAsia="Times New Roman"/>
          <w:color w:val="auto"/>
          <w:spacing w:val="-5"/>
        </w:rPr>
        <w:t>3</w:t>
      </w:r>
      <w:r>
        <w:rPr>
          <w:color w:val="auto"/>
          <w:spacing w:val="-5"/>
        </w:rPr>
        <w:t>）</w:t>
      </w:r>
    </w:p>
    <w:p w14:paraId="2D9694C0">
      <w:pPr>
        <w:pStyle w:val="12"/>
        <w:ind w:left="1208"/>
        <w:rPr>
          <w:color w:val="auto"/>
        </w:rPr>
      </w:pPr>
      <w:r>
        <w:rPr>
          <w:color w:val="auto"/>
          <w:spacing w:val="-2"/>
        </w:rPr>
        <w:t>⑤计日工表（</w:t>
      </w:r>
      <w:r>
        <w:rPr>
          <w:color w:val="auto"/>
          <w:spacing w:val="-26"/>
        </w:rPr>
        <w:t xml:space="preserve">表 </w:t>
      </w:r>
      <w:r>
        <w:rPr>
          <w:rFonts w:ascii="Times New Roman" w:hAnsi="Times New Roman" w:eastAsia="Times New Roman"/>
          <w:color w:val="auto"/>
          <w:spacing w:val="-2"/>
        </w:rPr>
        <w:t>12-</w:t>
      </w:r>
      <w:r>
        <w:rPr>
          <w:rFonts w:ascii="Times New Roman" w:hAnsi="Times New Roman" w:eastAsia="Times New Roman"/>
          <w:color w:val="auto"/>
          <w:spacing w:val="-5"/>
        </w:rPr>
        <w:t>4</w:t>
      </w:r>
      <w:r>
        <w:rPr>
          <w:color w:val="auto"/>
          <w:spacing w:val="-5"/>
        </w:rPr>
        <w:t>）</w:t>
      </w:r>
    </w:p>
    <w:p w14:paraId="63B2A1EE">
      <w:pPr>
        <w:pStyle w:val="12"/>
        <w:spacing w:before="137"/>
        <w:ind w:left="1208"/>
        <w:rPr>
          <w:color w:val="auto"/>
        </w:rPr>
      </w:pPr>
      <w:r>
        <w:rPr>
          <w:color w:val="auto"/>
          <w:spacing w:val="-2"/>
        </w:rPr>
        <w:t>⑥总承包服务费计价表（</w:t>
      </w:r>
      <w:r>
        <w:rPr>
          <w:color w:val="auto"/>
          <w:spacing w:val="-25"/>
        </w:rPr>
        <w:t xml:space="preserve">表 </w:t>
      </w:r>
      <w:r>
        <w:rPr>
          <w:rFonts w:ascii="Times New Roman" w:hAnsi="Times New Roman" w:eastAsia="Times New Roman"/>
          <w:color w:val="auto"/>
          <w:spacing w:val="-2"/>
        </w:rPr>
        <w:t>12-</w:t>
      </w:r>
      <w:r>
        <w:rPr>
          <w:rFonts w:ascii="Times New Roman" w:hAnsi="Times New Roman" w:eastAsia="Times New Roman"/>
          <w:color w:val="auto"/>
          <w:spacing w:val="-5"/>
        </w:rPr>
        <w:t>5</w:t>
      </w:r>
      <w:r>
        <w:rPr>
          <w:color w:val="auto"/>
          <w:spacing w:val="-5"/>
        </w:rPr>
        <w:t>）</w:t>
      </w:r>
    </w:p>
    <w:p w14:paraId="693ABC02">
      <w:pPr>
        <w:pStyle w:val="12"/>
        <w:ind w:left="1208"/>
        <w:rPr>
          <w:color w:val="auto"/>
        </w:rPr>
      </w:pPr>
      <w:r>
        <w:rPr>
          <w:color w:val="auto"/>
          <w:spacing w:val="-2"/>
        </w:rPr>
        <w:t>⑦税前项目清单与计价表（表</w:t>
      </w:r>
      <w:r>
        <w:rPr>
          <w:rFonts w:ascii="Times New Roman" w:hAnsi="Times New Roman" w:eastAsia="Times New Roman"/>
          <w:color w:val="auto"/>
          <w:spacing w:val="-2"/>
        </w:rPr>
        <w:t>-</w:t>
      </w:r>
      <w:r>
        <w:rPr>
          <w:rFonts w:ascii="Times New Roman" w:hAnsi="Times New Roman" w:eastAsia="Times New Roman"/>
          <w:color w:val="auto"/>
          <w:spacing w:val="-5"/>
        </w:rPr>
        <w:t>14</w:t>
      </w:r>
      <w:r>
        <w:rPr>
          <w:color w:val="auto"/>
          <w:spacing w:val="-5"/>
        </w:rPr>
        <w:t>）</w:t>
      </w:r>
    </w:p>
    <w:p w14:paraId="76F9AC90">
      <w:pPr>
        <w:pStyle w:val="12"/>
        <w:ind w:left="1208"/>
        <w:rPr>
          <w:color w:val="auto"/>
        </w:rPr>
      </w:pPr>
      <w:r>
        <w:rPr>
          <w:color w:val="auto"/>
          <w:spacing w:val="-2"/>
        </w:rPr>
        <w:t>⑧ 允许调整主要材料和工程设备一览表（适用于价格指数差额调整法）（表</w:t>
      </w:r>
      <w:r>
        <w:rPr>
          <w:rFonts w:ascii="Times New Roman" w:hAnsi="Times New Roman" w:eastAsia="Times New Roman"/>
          <w:color w:val="auto"/>
          <w:spacing w:val="-2"/>
        </w:rPr>
        <w:t>-</w:t>
      </w:r>
      <w:r>
        <w:rPr>
          <w:rFonts w:ascii="Times New Roman" w:hAnsi="Times New Roman" w:eastAsia="Times New Roman"/>
          <w:color w:val="auto"/>
          <w:spacing w:val="-5"/>
        </w:rPr>
        <w:t>23</w:t>
      </w:r>
      <w:r>
        <w:rPr>
          <w:color w:val="auto"/>
          <w:spacing w:val="-5"/>
        </w:rPr>
        <w:t>）</w:t>
      </w:r>
    </w:p>
    <w:p w14:paraId="744FD3A7">
      <w:pPr>
        <w:pStyle w:val="12"/>
        <w:spacing w:line="360" w:lineRule="auto"/>
        <w:ind w:right="863" w:firstLine="420"/>
        <w:rPr>
          <w:color w:val="auto"/>
        </w:rPr>
      </w:pPr>
      <w:r>
        <w:rPr>
          <w:color w:val="auto"/>
          <w:spacing w:val="-14"/>
        </w:rPr>
        <w:t xml:space="preserve">注：因 </w:t>
      </w:r>
      <w:r>
        <w:rPr>
          <w:rFonts w:ascii="Times New Roman" w:eastAsia="Times New Roman"/>
          <w:color w:val="auto"/>
        </w:rPr>
        <w:t>2021</w:t>
      </w:r>
      <w:r>
        <w:rPr>
          <w:rFonts w:ascii="Times New Roman" w:eastAsia="Times New Roman"/>
          <w:color w:val="auto"/>
          <w:spacing w:val="-14"/>
        </w:rPr>
        <w:t xml:space="preserve"> </w:t>
      </w:r>
      <w:r>
        <w:rPr>
          <w:color w:val="auto"/>
        </w:rPr>
        <w:t>年《广西壮族自治区园林绿化及仿古建筑工程费用定额》采用全费用综合单价</w:t>
      </w:r>
      <w:r>
        <w:rPr>
          <w:color w:val="auto"/>
          <w:spacing w:val="-2"/>
        </w:rPr>
        <w:t>形式，故园林绿化及仿古建筑工程的已标价工程量清单采用《自治区住房和城乡建设厅关于建</w:t>
      </w:r>
      <w:r>
        <w:rPr>
          <w:color w:val="auto"/>
        </w:rPr>
        <w:t>设工程造价改革试点项目招投标及计价规定调整的通知》（桂建标〔</w:t>
      </w:r>
      <w:r>
        <w:rPr>
          <w:rFonts w:ascii="Times New Roman" w:eastAsia="Times New Roman"/>
          <w:color w:val="auto"/>
        </w:rPr>
        <w:t>2021</w:t>
      </w:r>
      <w:r>
        <w:rPr>
          <w:color w:val="auto"/>
        </w:rPr>
        <w:t>〕</w:t>
      </w:r>
      <w:r>
        <w:rPr>
          <w:rFonts w:ascii="Times New Roman" w:eastAsia="Times New Roman"/>
          <w:color w:val="auto"/>
        </w:rPr>
        <w:t>6</w:t>
      </w:r>
      <w:r>
        <w:rPr>
          <w:rFonts w:ascii="Times New Roman" w:eastAsia="Times New Roman"/>
          <w:color w:val="auto"/>
          <w:spacing w:val="-14"/>
        </w:rPr>
        <w:t xml:space="preserve"> </w:t>
      </w:r>
      <w:r>
        <w:rPr>
          <w:color w:val="auto"/>
        </w:rPr>
        <w:t>号）</w:t>
      </w:r>
      <w:r>
        <w:rPr>
          <w:color w:val="auto"/>
          <w:spacing w:val="-14"/>
        </w:rPr>
        <w:t xml:space="preserve">中附件 </w:t>
      </w:r>
      <w:r>
        <w:rPr>
          <w:rFonts w:ascii="Times New Roman" w:eastAsia="Times New Roman"/>
          <w:color w:val="auto"/>
        </w:rPr>
        <w:t>1</w:t>
      </w:r>
      <w:r>
        <w:rPr>
          <w:color w:val="auto"/>
        </w:rPr>
        <w:t>《建设工程工程量清单计价规范》（</w:t>
      </w:r>
      <w:r>
        <w:rPr>
          <w:rFonts w:ascii="Times New Roman" w:eastAsia="Times New Roman"/>
          <w:color w:val="auto"/>
        </w:rPr>
        <w:t>GB</w:t>
      </w:r>
      <w:r>
        <w:rPr>
          <w:rFonts w:ascii="Times New Roman" w:eastAsia="Times New Roman"/>
          <w:color w:val="auto"/>
          <w:spacing w:val="-14"/>
        </w:rPr>
        <w:t xml:space="preserve"> </w:t>
      </w:r>
      <w:r>
        <w:rPr>
          <w:rFonts w:ascii="Times New Roman" w:eastAsia="Times New Roman"/>
          <w:color w:val="auto"/>
        </w:rPr>
        <w:t>50500-2013</w:t>
      </w:r>
      <w:r>
        <w:rPr>
          <w:color w:val="auto"/>
        </w:rPr>
        <w:t>）（适用于工程造价改革试点项目）相关表格，</w:t>
      </w:r>
      <w:r>
        <w:rPr>
          <w:color w:val="auto"/>
          <w:spacing w:val="-2"/>
        </w:rPr>
        <w:t>具体以招标人另册发放的工程量清单及相关说明为准。</w:t>
      </w:r>
    </w:p>
    <w:p w14:paraId="3E7E7E66">
      <w:pPr>
        <w:spacing w:after="0" w:line="360" w:lineRule="auto"/>
        <w:rPr>
          <w:color w:val="auto"/>
        </w:rPr>
        <w:sectPr>
          <w:pgSz w:w="11910" w:h="16840"/>
          <w:pgMar w:top="1380" w:right="740" w:bottom="1180" w:left="800" w:header="0" w:footer="989" w:gutter="0"/>
          <w:cols w:space="720" w:num="1"/>
        </w:sectPr>
      </w:pPr>
    </w:p>
    <w:p w14:paraId="206D2A00">
      <w:pPr>
        <w:pStyle w:val="5"/>
        <w:spacing w:line="427" w:lineRule="auto"/>
        <w:ind w:left="788" w:right="6042"/>
        <w:jc w:val="left"/>
        <w:rPr>
          <w:color w:val="auto"/>
        </w:rPr>
      </w:pPr>
      <w:r>
        <w:rPr>
          <w:color w:val="auto"/>
          <w:spacing w:val="-2"/>
        </w:rPr>
        <w:t>三、商务技术文件格式 1.商务技术文件封面格式</w:t>
      </w:r>
    </w:p>
    <w:p w14:paraId="17FFCAA7">
      <w:pPr>
        <w:pStyle w:val="12"/>
        <w:spacing w:before="122"/>
        <w:ind w:left="0"/>
        <w:rPr>
          <w:b/>
          <w:color w:val="auto"/>
          <w:sz w:val="32"/>
        </w:rPr>
      </w:pPr>
    </w:p>
    <w:p w14:paraId="0E53CB3A">
      <w:pPr>
        <w:pStyle w:val="4"/>
        <w:rPr>
          <w:color w:val="auto"/>
        </w:rPr>
      </w:pPr>
      <w:r>
        <w:rPr>
          <w:color w:val="auto"/>
          <w:spacing w:val="-5"/>
        </w:rPr>
        <w:t>电 子 响 应 文 件</w:t>
      </w:r>
    </w:p>
    <w:p w14:paraId="4203E6DF">
      <w:pPr>
        <w:pStyle w:val="12"/>
        <w:spacing w:before="440"/>
        <w:ind w:left="0"/>
        <w:rPr>
          <w:color w:val="auto"/>
          <w:sz w:val="44"/>
        </w:rPr>
      </w:pPr>
    </w:p>
    <w:p w14:paraId="0654961C">
      <w:pPr>
        <w:pStyle w:val="4"/>
        <w:rPr>
          <w:color w:val="auto"/>
        </w:rPr>
      </w:pPr>
      <w:r>
        <w:rPr>
          <w:color w:val="auto"/>
          <w:spacing w:val="-3"/>
        </w:rPr>
        <w:t>商  务  技  术  文  件</w:t>
      </w:r>
    </w:p>
    <w:p w14:paraId="34301086">
      <w:pPr>
        <w:pStyle w:val="12"/>
        <w:spacing w:before="0"/>
        <w:ind w:left="0"/>
        <w:rPr>
          <w:color w:val="auto"/>
          <w:sz w:val="44"/>
        </w:rPr>
      </w:pPr>
    </w:p>
    <w:p w14:paraId="788B8ECD">
      <w:pPr>
        <w:pStyle w:val="12"/>
        <w:spacing w:before="0"/>
        <w:ind w:left="0"/>
        <w:rPr>
          <w:color w:val="auto"/>
          <w:sz w:val="44"/>
        </w:rPr>
      </w:pPr>
    </w:p>
    <w:p w14:paraId="0DE339FE">
      <w:pPr>
        <w:pStyle w:val="12"/>
        <w:spacing w:before="0"/>
        <w:ind w:left="0"/>
        <w:rPr>
          <w:color w:val="auto"/>
          <w:sz w:val="44"/>
        </w:rPr>
      </w:pPr>
    </w:p>
    <w:p w14:paraId="6ED8FC6F">
      <w:pPr>
        <w:pStyle w:val="12"/>
        <w:spacing w:before="68"/>
        <w:ind w:left="0"/>
        <w:rPr>
          <w:color w:val="auto"/>
          <w:sz w:val="44"/>
        </w:rPr>
      </w:pPr>
    </w:p>
    <w:p w14:paraId="7CBBE3DD">
      <w:pPr>
        <w:pStyle w:val="6"/>
        <w:spacing w:line="616" w:lineRule="auto"/>
        <w:ind w:left="1427" w:right="7338"/>
        <w:rPr>
          <w:color w:val="auto"/>
        </w:rPr>
      </w:pPr>
      <w:r>
        <w:rPr>
          <w:color w:val="auto"/>
          <w:spacing w:val="-2"/>
        </w:rPr>
        <w:t>项目名称：</w:t>
      </w:r>
      <w:r>
        <w:rPr>
          <w:color w:val="auto"/>
          <w:spacing w:val="-6"/>
        </w:rPr>
        <w:t>项目编号：</w:t>
      </w:r>
    </w:p>
    <w:p w14:paraId="43F3A570">
      <w:pPr>
        <w:pStyle w:val="6"/>
        <w:spacing w:before="2" w:line="578" w:lineRule="auto"/>
        <w:ind w:left="1427" w:right="616"/>
        <w:rPr>
          <w:color w:val="auto"/>
        </w:rPr>
      </w:pPr>
      <w:r>
        <w:rPr>
          <w:color w:val="auto"/>
          <w:spacing w:val="-2"/>
        </w:rPr>
        <w:t>所竞分标（如有则填写，无分标时填写“无”或者留空）：供应商名称：</w:t>
      </w:r>
    </w:p>
    <w:p w14:paraId="15C0800E">
      <w:pPr>
        <w:pStyle w:val="12"/>
        <w:spacing w:before="0"/>
        <w:ind w:left="0"/>
        <w:rPr>
          <w:color w:val="auto"/>
          <w:sz w:val="32"/>
        </w:rPr>
      </w:pPr>
    </w:p>
    <w:p w14:paraId="23079AB8">
      <w:pPr>
        <w:pStyle w:val="12"/>
        <w:spacing w:before="0"/>
        <w:ind w:left="0"/>
        <w:rPr>
          <w:color w:val="auto"/>
          <w:sz w:val="32"/>
        </w:rPr>
      </w:pPr>
    </w:p>
    <w:p w14:paraId="45E054D9">
      <w:pPr>
        <w:pStyle w:val="12"/>
        <w:spacing w:before="143"/>
        <w:ind w:left="0"/>
        <w:rPr>
          <w:color w:val="auto"/>
          <w:sz w:val="32"/>
        </w:rPr>
      </w:pPr>
    </w:p>
    <w:p w14:paraId="36A7CCBD">
      <w:pPr>
        <w:pStyle w:val="6"/>
        <w:tabs>
          <w:tab w:val="left" w:pos="959"/>
          <w:tab w:val="left" w:pos="1919"/>
        </w:tabs>
        <w:ind w:left="0"/>
        <w:jc w:val="center"/>
        <w:rPr>
          <w:color w:val="auto"/>
        </w:rPr>
      </w:pPr>
      <w:r>
        <w:rPr>
          <w:color w:val="auto"/>
          <w:spacing w:val="-10"/>
        </w:rPr>
        <w:t>年</w:t>
      </w:r>
      <w:r>
        <w:rPr>
          <w:color w:val="auto"/>
        </w:rPr>
        <w:tab/>
      </w:r>
      <w:r>
        <w:rPr>
          <w:color w:val="auto"/>
          <w:spacing w:val="-10"/>
        </w:rPr>
        <w:t>月</w:t>
      </w:r>
      <w:r>
        <w:rPr>
          <w:color w:val="auto"/>
        </w:rPr>
        <w:tab/>
      </w:r>
      <w:r>
        <w:rPr>
          <w:color w:val="auto"/>
          <w:spacing w:val="-10"/>
        </w:rPr>
        <w:t>日</w:t>
      </w:r>
    </w:p>
    <w:p w14:paraId="051494C7">
      <w:pPr>
        <w:spacing w:after="0"/>
        <w:jc w:val="center"/>
        <w:rPr>
          <w:color w:val="auto"/>
        </w:rPr>
        <w:sectPr>
          <w:pgSz w:w="11910" w:h="16840"/>
          <w:pgMar w:top="1400" w:right="740" w:bottom="1180" w:left="800" w:header="0" w:footer="989" w:gutter="0"/>
          <w:cols w:space="720" w:num="1"/>
        </w:sectPr>
      </w:pPr>
    </w:p>
    <w:p w14:paraId="05D8C9CA">
      <w:pPr>
        <w:pStyle w:val="5"/>
        <w:numPr>
          <w:ilvl w:val="0"/>
          <w:numId w:val="51"/>
        </w:numPr>
        <w:tabs>
          <w:tab w:val="left" w:pos="1351"/>
        </w:tabs>
        <w:spacing w:before="18" w:after="0" w:line="240" w:lineRule="auto"/>
        <w:ind w:left="1351" w:right="0" w:hanging="323"/>
        <w:jc w:val="left"/>
        <w:rPr>
          <w:color w:val="auto"/>
        </w:rPr>
      </w:pPr>
      <w:r>
        <w:rPr>
          <w:color w:val="auto"/>
          <w:spacing w:val="-4"/>
        </w:rPr>
        <w:t>商务技术文件目录</w:t>
      </w:r>
    </w:p>
    <w:p w14:paraId="001752DB">
      <w:pPr>
        <w:pStyle w:val="6"/>
        <w:spacing w:before="326" w:line="360" w:lineRule="auto"/>
        <w:ind w:left="788" w:right="791" w:firstLine="638"/>
        <w:rPr>
          <w:color w:val="auto"/>
        </w:rPr>
      </w:pPr>
      <w:r>
        <w:rPr>
          <w:color w:val="auto"/>
          <w:spacing w:val="-2"/>
        </w:rPr>
        <w:t>根据磋商文件规定及供应商提供的材料自行编写目录（部分格式后附）。</w:t>
      </w:r>
    </w:p>
    <w:p w14:paraId="4950C2BF">
      <w:pPr>
        <w:spacing w:after="0" w:line="360" w:lineRule="auto"/>
        <w:rPr>
          <w:color w:val="auto"/>
        </w:rPr>
        <w:sectPr>
          <w:pgSz w:w="11910" w:h="16840"/>
          <w:pgMar w:top="1400" w:right="740" w:bottom="1180" w:left="800" w:header="0" w:footer="989" w:gutter="0"/>
          <w:cols w:space="720" w:num="1"/>
        </w:sectPr>
      </w:pPr>
    </w:p>
    <w:p w14:paraId="448FB58E">
      <w:pPr>
        <w:pStyle w:val="5"/>
        <w:spacing w:before="32"/>
        <w:rPr>
          <w:color w:val="auto"/>
        </w:rPr>
      </w:pPr>
      <w:r>
        <w:rPr>
          <w:color w:val="auto"/>
          <w:spacing w:val="-3"/>
        </w:rPr>
        <w:t>无串通竞标行为的承诺函</w:t>
      </w:r>
    </w:p>
    <w:p w14:paraId="724E675F">
      <w:pPr>
        <w:pStyle w:val="12"/>
        <w:spacing w:before="216"/>
        <w:ind w:left="0"/>
        <w:rPr>
          <w:b/>
          <w:color w:val="auto"/>
          <w:sz w:val="32"/>
        </w:rPr>
      </w:pPr>
    </w:p>
    <w:p w14:paraId="5DA011E0">
      <w:pPr>
        <w:pStyle w:val="10"/>
        <w:spacing w:before="1"/>
        <w:ind w:left="1268" w:firstLine="0"/>
        <w:rPr>
          <w:color w:val="auto"/>
        </w:rPr>
      </w:pPr>
      <w:r>
        <w:rPr>
          <w:color w:val="auto"/>
          <w:spacing w:val="-1"/>
        </w:rPr>
        <w:t>一、我方承诺无下列相互串通竞标的情形：</w:t>
      </w:r>
    </w:p>
    <w:p w14:paraId="6F0EDF0C">
      <w:pPr>
        <w:pStyle w:val="11"/>
        <w:numPr>
          <w:ilvl w:val="1"/>
          <w:numId w:val="51"/>
        </w:numPr>
        <w:tabs>
          <w:tab w:val="left" w:pos="1508"/>
        </w:tabs>
        <w:spacing w:before="156" w:after="0" w:line="240" w:lineRule="auto"/>
        <w:ind w:left="1508" w:right="0" w:hanging="240"/>
        <w:jc w:val="left"/>
        <w:rPr>
          <w:color w:val="auto"/>
        </w:rPr>
      </w:pPr>
      <w:r>
        <w:rPr>
          <w:color w:val="auto"/>
          <w:spacing w:val="-1"/>
        </w:rPr>
        <w:t>不同供应商的响应文件由同一单位或者个人编制；</w:t>
      </w:r>
    </w:p>
    <w:p w14:paraId="5229F495">
      <w:pPr>
        <w:pStyle w:val="11"/>
        <w:numPr>
          <w:ilvl w:val="1"/>
          <w:numId w:val="51"/>
        </w:numPr>
        <w:tabs>
          <w:tab w:val="left" w:pos="1508"/>
        </w:tabs>
        <w:spacing w:before="153" w:after="0" w:line="240" w:lineRule="auto"/>
        <w:ind w:left="1508" w:right="0" w:hanging="240"/>
        <w:jc w:val="left"/>
        <w:rPr>
          <w:color w:val="auto"/>
        </w:rPr>
      </w:pPr>
      <w:r>
        <w:rPr>
          <w:color w:val="auto"/>
          <w:spacing w:val="-1"/>
        </w:rPr>
        <w:t>不同供应商委托同一单位或者个人办理竞标事宜；</w:t>
      </w:r>
    </w:p>
    <w:p w14:paraId="342558E1">
      <w:pPr>
        <w:pStyle w:val="11"/>
        <w:numPr>
          <w:ilvl w:val="1"/>
          <w:numId w:val="51"/>
        </w:numPr>
        <w:tabs>
          <w:tab w:val="left" w:pos="1508"/>
        </w:tabs>
        <w:spacing w:before="156" w:after="0" w:line="240" w:lineRule="auto"/>
        <w:ind w:left="1508" w:right="0" w:hanging="240"/>
        <w:jc w:val="left"/>
        <w:rPr>
          <w:color w:val="auto"/>
        </w:rPr>
      </w:pPr>
      <w:r>
        <w:rPr>
          <w:color w:val="auto"/>
          <w:spacing w:val="-1"/>
        </w:rPr>
        <w:t>不同供应商的响应文件载明的项目管理员为同一个人；</w:t>
      </w:r>
    </w:p>
    <w:p w14:paraId="1FF352CD">
      <w:pPr>
        <w:pStyle w:val="11"/>
        <w:numPr>
          <w:ilvl w:val="1"/>
          <w:numId w:val="51"/>
        </w:numPr>
        <w:tabs>
          <w:tab w:val="left" w:pos="1508"/>
        </w:tabs>
        <w:spacing w:before="156" w:after="0" w:line="240" w:lineRule="auto"/>
        <w:ind w:left="1508" w:right="0" w:hanging="240"/>
        <w:jc w:val="left"/>
        <w:rPr>
          <w:color w:val="auto"/>
        </w:rPr>
      </w:pPr>
      <w:r>
        <w:rPr>
          <w:color w:val="auto"/>
          <w:spacing w:val="-12"/>
        </w:rPr>
        <w:t>不同供应商的响应文件异常一致或者竞标报价呈规律性差异；</w:t>
      </w:r>
    </w:p>
    <w:p w14:paraId="7561FEC8">
      <w:pPr>
        <w:pStyle w:val="11"/>
        <w:numPr>
          <w:ilvl w:val="1"/>
          <w:numId w:val="51"/>
        </w:numPr>
        <w:tabs>
          <w:tab w:val="left" w:pos="1508"/>
        </w:tabs>
        <w:spacing w:before="154" w:after="0" w:line="240" w:lineRule="auto"/>
        <w:ind w:left="1508" w:right="0" w:hanging="240"/>
        <w:jc w:val="left"/>
        <w:rPr>
          <w:color w:val="auto"/>
        </w:rPr>
      </w:pPr>
      <w:r>
        <w:rPr>
          <w:color w:val="auto"/>
          <w:spacing w:val="-1"/>
        </w:rPr>
        <w:t>不同供应商的响应文件相互混装；</w:t>
      </w:r>
    </w:p>
    <w:p w14:paraId="04433231">
      <w:pPr>
        <w:pStyle w:val="21"/>
        <w:numPr>
          <w:ilvl w:val="1"/>
          <w:numId w:val="51"/>
        </w:numPr>
        <w:tabs>
          <w:tab w:val="left" w:pos="1508"/>
        </w:tabs>
        <w:spacing w:before="153" w:after="0" w:line="360" w:lineRule="auto"/>
        <w:ind w:left="1268" w:right="2855" w:firstLine="0"/>
        <w:jc w:val="left"/>
        <w:rPr>
          <w:b/>
          <w:color w:val="auto"/>
          <w:sz w:val="24"/>
        </w:rPr>
      </w:pPr>
      <w:r>
        <w:rPr>
          <w:color w:val="auto"/>
          <w:spacing w:val="-2"/>
          <w:sz w:val="24"/>
        </w:rPr>
        <w:t>不同供应商的磋商保证金从同一单位或者个人账户转出。</w:t>
      </w:r>
      <w:r>
        <w:rPr>
          <w:b/>
          <w:color w:val="auto"/>
          <w:spacing w:val="-2"/>
          <w:sz w:val="24"/>
        </w:rPr>
        <w:t>二、我方承诺无下列恶意串通的情形：</w:t>
      </w:r>
    </w:p>
    <w:p w14:paraId="42908529">
      <w:pPr>
        <w:pStyle w:val="11"/>
        <w:numPr>
          <w:ilvl w:val="0"/>
          <w:numId w:val="52"/>
        </w:numPr>
        <w:tabs>
          <w:tab w:val="left" w:pos="1510"/>
        </w:tabs>
        <w:spacing w:before="0" w:after="0" w:line="360" w:lineRule="auto"/>
        <w:ind w:left="788" w:right="791" w:firstLine="480"/>
        <w:jc w:val="left"/>
        <w:rPr>
          <w:color w:val="auto"/>
        </w:rPr>
      </w:pPr>
      <w:r>
        <w:rPr>
          <w:color w:val="auto"/>
          <w:spacing w:val="-2"/>
        </w:rPr>
        <w:t>供应商直接或者间接从采购人或者采购代理机构处获得其他供应商的相关信息并修改其响应文件；</w:t>
      </w:r>
    </w:p>
    <w:p w14:paraId="1501A69B">
      <w:pPr>
        <w:pStyle w:val="11"/>
        <w:numPr>
          <w:ilvl w:val="0"/>
          <w:numId w:val="52"/>
        </w:numPr>
        <w:tabs>
          <w:tab w:val="left" w:pos="1508"/>
        </w:tabs>
        <w:spacing w:before="0" w:after="0" w:line="240" w:lineRule="auto"/>
        <w:ind w:left="1508" w:right="0" w:hanging="240"/>
        <w:jc w:val="left"/>
        <w:rPr>
          <w:color w:val="auto"/>
        </w:rPr>
      </w:pPr>
      <w:r>
        <w:rPr>
          <w:color w:val="auto"/>
          <w:spacing w:val="-1"/>
        </w:rPr>
        <w:t>供应商按照采购人或者采购代理机构的授意撤换、修改响应文件；</w:t>
      </w:r>
    </w:p>
    <w:p w14:paraId="4811B13E">
      <w:pPr>
        <w:pStyle w:val="11"/>
        <w:numPr>
          <w:ilvl w:val="0"/>
          <w:numId w:val="52"/>
        </w:numPr>
        <w:tabs>
          <w:tab w:val="left" w:pos="1508"/>
        </w:tabs>
        <w:spacing w:before="152" w:after="0" w:line="240" w:lineRule="auto"/>
        <w:ind w:left="1508" w:right="0" w:hanging="240"/>
        <w:jc w:val="left"/>
        <w:rPr>
          <w:color w:val="auto"/>
        </w:rPr>
      </w:pPr>
      <w:r>
        <w:rPr>
          <w:color w:val="auto"/>
          <w:spacing w:val="-12"/>
        </w:rPr>
        <w:t>供应商之间协商报价、技术方案等响应文件的实质性内容；</w:t>
      </w:r>
    </w:p>
    <w:p w14:paraId="5AA16B09">
      <w:pPr>
        <w:pStyle w:val="11"/>
        <w:numPr>
          <w:ilvl w:val="0"/>
          <w:numId w:val="52"/>
        </w:numPr>
        <w:tabs>
          <w:tab w:val="left" w:pos="1510"/>
        </w:tabs>
        <w:spacing w:before="156" w:after="0" w:line="357" w:lineRule="auto"/>
        <w:ind w:left="788" w:right="791" w:firstLine="480"/>
        <w:jc w:val="left"/>
        <w:rPr>
          <w:color w:val="auto"/>
        </w:rPr>
      </w:pPr>
      <w:r>
        <w:rPr>
          <w:color w:val="auto"/>
          <w:spacing w:val="-2"/>
        </w:rPr>
        <w:t>属于同一集团、协会、商会等组织成员的供应商按照该组织要求协同参加政府采购活动；</w:t>
      </w:r>
    </w:p>
    <w:p w14:paraId="5FDD7BBD">
      <w:pPr>
        <w:pStyle w:val="11"/>
        <w:numPr>
          <w:ilvl w:val="0"/>
          <w:numId w:val="52"/>
        </w:numPr>
        <w:tabs>
          <w:tab w:val="left" w:pos="1510"/>
        </w:tabs>
        <w:spacing w:before="3" w:after="0" w:line="360" w:lineRule="auto"/>
        <w:ind w:left="788" w:right="788" w:firstLine="480"/>
        <w:jc w:val="both"/>
        <w:rPr>
          <w:color w:val="auto"/>
        </w:rPr>
      </w:pPr>
      <w:r>
        <w:rPr>
          <w:color w:val="auto"/>
          <w:spacing w:val="-2"/>
        </w:rPr>
        <w:t>供应商之间事先约定一致抬高或者压低竞标报价，或者在竞争性磋商项目中事先约定轮流以高价位或者低价位成交，或者事先约定由某一特定供应商成交，然后再参加竞标；</w:t>
      </w:r>
    </w:p>
    <w:p w14:paraId="292660EB">
      <w:pPr>
        <w:pStyle w:val="11"/>
        <w:numPr>
          <w:ilvl w:val="0"/>
          <w:numId w:val="52"/>
        </w:numPr>
        <w:tabs>
          <w:tab w:val="left" w:pos="1508"/>
        </w:tabs>
        <w:spacing w:before="0" w:after="0" w:line="307" w:lineRule="exact"/>
        <w:ind w:left="1508" w:right="0" w:hanging="240"/>
        <w:jc w:val="left"/>
        <w:rPr>
          <w:color w:val="auto"/>
        </w:rPr>
      </w:pPr>
      <w:r>
        <w:rPr>
          <w:color w:val="auto"/>
          <w:spacing w:val="-1"/>
        </w:rPr>
        <w:t>供应商之间商定部分供应商放弃参加政府采购活动或者放弃成交；</w:t>
      </w:r>
    </w:p>
    <w:p w14:paraId="64783FDC">
      <w:pPr>
        <w:pStyle w:val="11"/>
        <w:numPr>
          <w:ilvl w:val="0"/>
          <w:numId w:val="52"/>
        </w:numPr>
        <w:tabs>
          <w:tab w:val="left" w:pos="1512"/>
        </w:tabs>
        <w:spacing w:before="156" w:after="0" w:line="357" w:lineRule="auto"/>
        <w:ind w:left="788" w:right="776" w:firstLine="480"/>
        <w:jc w:val="left"/>
        <w:rPr>
          <w:color w:val="auto"/>
        </w:rPr>
      </w:pPr>
      <w:r>
        <w:rPr>
          <w:color w:val="auto"/>
          <w:spacing w:val="-2"/>
        </w:rPr>
        <w:t>供应商与采购人或者采购代理机构之间、供应商相互之间，为谋求特定供应商成交或者排斥其他供应商的其他串通行为。</w:t>
      </w:r>
    </w:p>
    <w:p w14:paraId="02DBA443">
      <w:pPr>
        <w:pStyle w:val="12"/>
        <w:spacing w:before="158"/>
        <w:ind w:left="0"/>
        <w:rPr>
          <w:color w:val="auto"/>
          <w:sz w:val="24"/>
        </w:rPr>
      </w:pPr>
    </w:p>
    <w:p w14:paraId="62911E5E">
      <w:pPr>
        <w:pStyle w:val="10"/>
        <w:spacing w:line="360" w:lineRule="auto"/>
        <w:ind w:left="788" w:right="791" w:firstLine="480"/>
        <w:rPr>
          <w:color w:val="auto"/>
        </w:rPr>
      </w:pPr>
      <w:r>
        <w:rPr>
          <w:color w:val="auto"/>
          <w:spacing w:val="-2"/>
        </w:rPr>
        <w:t>以上情形一经核查属实，我方愿意承担一切后果，并不再寻求任何旨在减轻或者免除法律责任的辩解。</w:t>
      </w:r>
    </w:p>
    <w:p w14:paraId="11B3FCC7">
      <w:pPr>
        <w:pStyle w:val="12"/>
        <w:spacing w:before="153"/>
        <w:ind w:left="0"/>
        <w:rPr>
          <w:b/>
          <w:color w:val="auto"/>
          <w:sz w:val="24"/>
        </w:rPr>
      </w:pPr>
    </w:p>
    <w:p w14:paraId="0DFE45B3">
      <w:pPr>
        <w:pStyle w:val="11"/>
        <w:ind w:left="1197" w:right="386"/>
        <w:jc w:val="center"/>
        <w:rPr>
          <w:color w:val="auto"/>
        </w:rPr>
      </w:pPr>
      <w:r>
        <w:rPr>
          <w:color w:val="auto"/>
        </w:rPr>
        <w:t>供应商（电子签章</w:t>
      </w:r>
      <w:r>
        <w:rPr>
          <w:color w:val="auto"/>
          <w:spacing w:val="-5"/>
        </w:rPr>
        <w:t>）：</w:t>
      </w:r>
    </w:p>
    <w:p w14:paraId="777D274D">
      <w:pPr>
        <w:pStyle w:val="11"/>
        <w:tabs>
          <w:tab w:val="left" w:pos="7160"/>
          <w:tab w:val="left" w:pos="7760"/>
        </w:tabs>
        <w:spacing w:before="156"/>
        <w:ind w:left="6560"/>
        <w:rPr>
          <w:color w:val="auto"/>
        </w:rPr>
      </w:pPr>
      <w:r>
        <w:rPr>
          <w:color w:val="auto"/>
          <w:spacing w:val="-10"/>
        </w:rPr>
        <w:t>年</w:t>
      </w:r>
      <w:r>
        <w:rPr>
          <w:color w:val="auto"/>
        </w:rPr>
        <w:tab/>
      </w:r>
      <w:r>
        <w:rPr>
          <w:color w:val="auto"/>
          <w:spacing w:val="-10"/>
        </w:rPr>
        <w:t>月</w:t>
      </w:r>
      <w:r>
        <w:rPr>
          <w:color w:val="auto"/>
        </w:rPr>
        <w:tab/>
      </w:r>
      <w:r>
        <w:rPr>
          <w:color w:val="auto"/>
          <w:spacing w:val="-10"/>
        </w:rPr>
        <w:t>日</w:t>
      </w:r>
    </w:p>
    <w:p w14:paraId="199EFF0C">
      <w:pPr>
        <w:spacing w:after="0"/>
        <w:rPr>
          <w:color w:val="auto"/>
        </w:rPr>
        <w:sectPr>
          <w:pgSz w:w="11910" w:h="16840"/>
          <w:pgMar w:top="1480" w:right="740" w:bottom="1180" w:left="800" w:header="0" w:footer="989" w:gutter="0"/>
          <w:cols w:space="720" w:num="1"/>
        </w:sectPr>
      </w:pPr>
    </w:p>
    <w:p w14:paraId="2F8D1695">
      <w:pPr>
        <w:pStyle w:val="5"/>
        <w:spacing w:before="32"/>
        <w:rPr>
          <w:color w:val="auto"/>
        </w:rPr>
      </w:pPr>
      <w:r>
        <w:rPr>
          <w:color w:val="auto"/>
          <w:spacing w:val="-4"/>
        </w:rPr>
        <w:t>法定代表人证明书</w:t>
      </w:r>
    </w:p>
    <w:p w14:paraId="4A60C67B">
      <w:pPr>
        <w:pStyle w:val="12"/>
        <w:spacing w:before="216"/>
        <w:ind w:left="0"/>
        <w:rPr>
          <w:b/>
          <w:color w:val="auto"/>
          <w:sz w:val="32"/>
        </w:rPr>
      </w:pPr>
    </w:p>
    <w:p w14:paraId="46B2CBA4">
      <w:pPr>
        <w:pStyle w:val="11"/>
        <w:tabs>
          <w:tab w:val="left" w:pos="2048"/>
          <w:tab w:val="left" w:pos="4448"/>
          <w:tab w:val="left" w:pos="5288"/>
          <w:tab w:val="left" w:pos="7747"/>
          <w:tab w:val="left" w:pos="9307"/>
          <w:tab w:val="left" w:pos="9547"/>
        </w:tabs>
        <w:spacing w:before="1" w:line="360" w:lineRule="auto"/>
        <w:ind w:left="1328" w:right="816"/>
        <w:rPr>
          <w:rFonts w:ascii="Times New Roman" w:eastAsia="Times New Roman"/>
          <w:color w:val="auto"/>
        </w:rPr>
      </w:pPr>
      <w:r>
        <w:rPr>
          <w:color w:val="auto"/>
          <w:spacing w:val="-2"/>
        </w:rPr>
        <w:t>供应商名称：</w:t>
      </w:r>
      <w:r>
        <w:rPr>
          <w:rFonts w:ascii="Times New Roman" w:eastAsia="Times New Roman"/>
          <w:color w:val="auto"/>
          <w:u w:val="single"/>
        </w:rPr>
        <w:tab/>
      </w:r>
      <w:r>
        <w:rPr>
          <w:rFonts w:ascii="Times New Roman" w:eastAsia="Times New Roman"/>
          <w:color w:val="auto"/>
          <w:u w:val="single"/>
        </w:rPr>
        <w:tab/>
      </w:r>
      <w:r>
        <w:rPr>
          <w:rFonts w:ascii="Times New Roman" w:eastAsia="Times New Roman"/>
          <w:color w:val="auto"/>
          <w:u w:val="single"/>
        </w:rPr>
        <w:tab/>
      </w:r>
      <w:r>
        <w:rPr>
          <w:rFonts w:ascii="Times New Roman" w:eastAsia="Times New Roman"/>
          <w:color w:val="auto"/>
          <w:u w:val="single"/>
        </w:rPr>
        <w:tab/>
      </w:r>
      <w:r>
        <w:rPr>
          <w:rFonts w:ascii="Times New Roman" w:eastAsia="Times New Roman"/>
          <w:color w:val="auto"/>
          <w:u w:val="single"/>
        </w:rPr>
        <w:tab/>
      </w:r>
      <w:r>
        <w:rPr>
          <w:rFonts w:ascii="Times New Roman" w:eastAsia="Times New Roman"/>
          <w:color w:val="auto"/>
          <w:u w:val="none"/>
        </w:rPr>
        <w:t xml:space="preserve"> </w:t>
      </w:r>
      <w:r>
        <w:rPr>
          <w:color w:val="auto"/>
          <w:spacing w:val="-10"/>
          <w:u w:val="none"/>
        </w:rPr>
        <w:t>地</w:t>
      </w:r>
      <w:r>
        <w:rPr>
          <w:color w:val="auto"/>
          <w:u w:val="none"/>
        </w:rPr>
        <w:tab/>
      </w:r>
      <w:r>
        <w:rPr>
          <w:color w:val="auto"/>
          <w:spacing w:val="-6"/>
          <w:u w:val="none"/>
        </w:rPr>
        <w:t>址：</w:t>
      </w:r>
      <w:r>
        <w:rPr>
          <w:rFonts w:ascii="Times New Roman" w:eastAsia="Times New Roman"/>
          <w:color w:val="auto"/>
          <w:u w:val="single"/>
        </w:rPr>
        <w:tab/>
      </w:r>
      <w:r>
        <w:rPr>
          <w:rFonts w:ascii="Times New Roman" w:eastAsia="Times New Roman"/>
          <w:color w:val="auto"/>
          <w:u w:val="single"/>
        </w:rPr>
        <w:tab/>
      </w:r>
      <w:r>
        <w:rPr>
          <w:rFonts w:ascii="Times New Roman" w:eastAsia="Times New Roman"/>
          <w:color w:val="auto"/>
          <w:u w:val="single"/>
        </w:rPr>
        <w:tab/>
      </w:r>
      <w:r>
        <w:rPr>
          <w:rFonts w:ascii="Times New Roman" w:eastAsia="Times New Roman"/>
          <w:color w:val="auto"/>
          <w:u w:val="single"/>
        </w:rPr>
        <w:tab/>
      </w:r>
      <w:r>
        <w:rPr>
          <w:rFonts w:ascii="Times New Roman" w:eastAsia="Times New Roman"/>
          <w:color w:val="auto"/>
          <w:u w:val="none"/>
        </w:rPr>
        <w:t xml:space="preserve"> </w:t>
      </w:r>
      <w:r>
        <w:rPr>
          <w:color w:val="auto"/>
          <w:spacing w:val="-10"/>
          <w:u w:val="none"/>
        </w:rPr>
        <w:t>姓</w:t>
      </w:r>
      <w:r>
        <w:rPr>
          <w:color w:val="auto"/>
          <w:u w:val="none"/>
        </w:rPr>
        <w:tab/>
      </w:r>
      <w:r>
        <w:rPr>
          <w:color w:val="auto"/>
          <w:spacing w:val="-6"/>
          <w:u w:val="none"/>
        </w:rPr>
        <w:t>名：</w:t>
      </w:r>
      <w:r>
        <w:rPr>
          <w:rFonts w:ascii="Times New Roman" w:eastAsia="Times New Roman"/>
          <w:color w:val="auto"/>
          <w:u w:val="single"/>
        </w:rPr>
        <w:tab/>
      </w:r>
      <w:r>
        <w:rPr>
          <w:color w:val="auto"/>
          <w:spacing w:val="-10"/>
          <w:u w:val="none"/>
        </w:rPr>
        <w:t>性</w:t>
      </w:r>
      <w:r>
        <w:rPr>
          <w:color w:val="auto"/>
          <w:u w:val="none"/>
        </w:rPr>
        <w:tab/>
      </w:r>
      <w:r>
        <w:rPr>
          <w:color w:val="auto"/>
          <w:spacing w:val="-6"/>
          <w:u w:val="none"/>
        </w:rPr>
        <w:t>别：</w:t>
      </w:r>
      <w:r>
        <w:rPr>
          <w:rFonts w:ascii="Times New Roman" w:eastAsia="Times New Roman"/>
          <w:color w:val="auto"/>
          <w:u w:val="single"/>
        </w:rPr>
        <w:tab/>
      </w:r>
    </w:p>
    <w:p w14:paraId="1BE3B9CA">
      <w:pPr>
        <w:pStyle w:val="11"/>
        <w:tabs>
          <w:tab w:val="left" w:pos="2048"/>
          <w:tab w:val="left" w:pos="4448"/>
          <w:tab w:val="left" w:pos="5288"/>
          <w:tab w:val="left" w:pos="7567"/>
          <w:tab w:val="left" w:pos="7747"/>
        </w:tabs>
        <w:spacing w:line="360" w:lineRule="auto"/>
        <w:ind w:left="1268" w:right="2616" w:firstLine="60"/>
        <w:rPr>
          <w:color w:val="auto"/>
        </w:rPr>
      </w:pPr>
      <w:r>
        <w:rPr>
          <w:color w:val="auto"/>
          <w:spacing w:val="-10"/>
        </w:rPr>
        <w:t>年</w:t>
      </w:r>
      <w:r>
        <w:rPr>
          <w:color w:val="auto"/>
        </w:rPr>
        <w:tab/>
      </w:r>
      <w:r>
        <w:rPr>
          <w:color w:val="auto"/>
          <w:spacing w:val="-6"/>
        </w:rPr>
        <w:t>龄：</w:t>
      </w:r>
      <w:r>
        <w:rPr>
          <w:rFonts w:ascii="Times New Roman" w:eastAsia="Times New Roman"/>
          <w:color w:val="auto"/>
          <w:u w:val="single"/>
        </w:rPr>
        <w:tab/>
      </w:r>
      <w:r>
        <w:rPr>
          <w:color w:val="auto"/>
          <w:spacing w:val="-10"/>
          <w:u w:val="none"/>
        </w:rPr>
        <w:t>职</w:t>
      </w:r>
      <w:r>
        <w:rPr>
          <w:color w:val="auto"/>
          <w:u w:val="none"/>
        </w:rPr>
        <w:tab/>
      </w:r>
      <w:r>
        <w:rPr>
          <w:color w:val="auto"/>
          <w:spacing w:val="-6"/>
          <w:u w:val="none"/>
        </w:rPr>
        <w:t>务：</w:t>
      </w:r>
      <w:r>
        <w:rPr>
          <w:rFonts w:ascii="Times New Roman" w:eastAsia="Times New Roman"/>
          <w:color w:val="auto"/>
          <w:u w:val="single"/>
        </w:rPr>
        <w:tab/>
      </w:r>
      <w:r>
        <w:rPr>
          <w:rFonts w:ascii="Times New Roman" w:eastAsia="Times New Roman"/>
          <w:color w:val="auto"/>
          <w:u w:val="single"/>
        </w:rPr>
        <w:tab/>
      </w:r>
      <w:r>
        <w:rPr>
          <w:rFonts w:ascii="Times New Roman" w:eastAsia="Times New Roman"/>
          <w:color w:val="auto"/>
          <w:u w:val="none"/>
        </w:rPr>
        <w:t xml:space="preserve"> </w:t>
      </w:r>
      <w:r>
        <w:rPr>
          <w:color w:val="auto"/>
          <w:spacing w:val="-2"/>
          <w:u w:val="none"/>
        </w:rPr>
        <w:t>身份证号码：</w:t>
      </w:r>
      <w:r>
        <w:rPr>
          <w:rFonts w:ascii="Times New Roman" w:eastAsia="Times New Roman"/>
          <w:color w:val="auto"/>
          <w:u w:val="single"/>
        </w:rPr>
        <w:tab/>
      </w:r>
      <w:r>
        <w:rPr>
          <w:rFonts w:ascii="Times New Roman" w:eastAsia="Times New Roman"/>
          <w:color w:val="auto"/>
          <w:u w:val="single"/>
        </w:rPr>
        <w:tab/>
      </w:r>
      <w:r>
        <w:rPr>
          <w:rFonts w:ascii="Times New Roman" w:eastAsia="Times New Roman"/>
          <w:color w:val="auto"/>
          <w:u w:val="single"/>
        </w:rPr>
        <w:tab/>
      </w:r>
      <w:r>
        <w:rPr>
          <w:rFonts w:ascii="Times New Roman" w:eastAsia="Times New Roman"/>
          <w:color w:val="auto"/>
          <w:u w:val="none"/>
        </w:rPr>
        <w:t xml:space="preserve"> </w:t>
      </w:r>
      <w:r>
        <w:rPr>
          <w:color w:val="auto"/>
          <w:spacing w:val="-2"/>
          <w:u w:val="none"/>
        </w:rPr>
        <w:t>系</w:t>
      </w:r>
      <w:r>
        <w:rPr>
          <w:color w:val="auto"/>
          <w:spacing w:val="-2"/>
          <w:u w:val="single"/>
        </w:rPr>
        <w:t>（供应商名称）</w:t>
      </w:r>
      <w:r>
        <w:rPr>
          <w:color w:val="auto"/>
          <w:spacing w:val="-2"/>
          <w:u w:val="none"/>
        </w:rPr>
        <w:t>的法定代表人。</w:t>
      </w:r>
    </w:p>
    <w:p w14:paraId="077FC00D">
      <w:pPr>
        <w:pStyle w:val="11"/>
        <w:spacing w:line="307" w:lineRule="exact"/>
        <w:ind w:left="1328"/>
        <w:rPr>
          <w:color w:val="auto"/>
        </w:rPr>
      </w:pPr>
      <w:r>
        <w:rPr>
          <w:color w:val="auto"/>
          <w:spacing w:val="-2"/>
        </w:rPr>
        <w:t>特此证明。</w:t>
      </w:r>
    </w:p>
    <w:p w14:paraId="4DB3D619">
      <w:pPr>
        <w:pStyle w:val="12"/>
        <w:spacing w:before="0"/>
        <w:ind w:left="0"/>
        <w:rPr>
          <w:color w:val="auto"/>
          <w:sz w:val="24"/>
        </w:rPr>
      </w:pPr>
    </w:p>
    <w:p w14:paraId="48E51393">
      <w:pPr>
        <w:pStyle w:val="12"/>
        <w:spacing w:before="0"/>
        <w:ind w:left="0"/>
        <w:rPr>
          <w:color w:val="auto"/>
          <w:sz w:val="24"/>
        </w:rPr>
      </w:pPr>
    </w:p>
    <w:p w14:paraId="0A40AF1F">
      <w:pPr>
        <w:pStyle w:val="12"/>
        <w:spacing w:before="0"/>
        <w:ind w:left="0"/>
        <w:rPr>
          <w:color w:val="auto"/>
          <w:sz w:val="24"/>
        </w:rPr>
      </w:pPr>
    </w:p>
    <w:p w14:paraId="265EF85A">
      <w:pPr>
        <w:pStyle w:val="12"/>
        <w:spacing w:before="307"/>
        <w:ind w:left="0"/>
        <w:rPr>
          <w:color w:val="auto"/>
          <w:sz w:val="24"/>
        </w:rPr>
      </w:pPr>
    </w:p>
    <w:p w14:paraId="30751F72">
      <w:pPr>
        <w:pStyle w:val="11"/>
        <w:ind w:left="1328"/>
        <w:rPr>
          <w:color w:val="auto"/>
        </w:rPr>
      </w:pPr>
      <w:r>
        <w:rPr>
          <w:color w:val="auto"/>
          <w:spacing w:val="-1"/>
        </w:rPr>
        <w:t>附件：法定代表人有效身份证正反面复印件</w:t>
      </w:r>
    </w:p>
    <w:p w14:paraId="77101DB0">
      <w:pPr>
        <w:pStyle w:val="12"/>
        <w:spacing w:before="309"/>
        <w:ind w:left="0"/>
        <w:rPr>
          <w:color w:val="auto"/>
          <w:sz w:val="24"/>
        </w:rPr>
      </w:pPr>
    </w:p>
    <w:p w14:paraId="6909B186">
      <w:pPr>
        <w:pStyle w:val="11"/>
        <w:tabs>
          <w:tab w:val="left" w:pos="8587"/>
        </w:tabs>
        <w:ind w:left="4328"/>
        <w:rPr>
          <w:rFonts w:ascii="Times New Roman" w:eastAsia="Times New Roman"/>
          <w:color w:val="auto"/>
        </w:rPr>
      </w:pPr>
      <w:r>
        <w:rPr>
          <w:color w:val="auto"/>
        </w:rPr>
        <w:t>供应商（电子签章</w:t>
      </w:r>
      <w:r>
        <w:rPr>
          <w:color w:val="auto"/>
          <w:spacing w:val="-5"/>
        </w:rPr>
        <w:t>）：</w:t>
      </w:r>
      <w:r>
        <w:rPr>
          <w:rFonts w:ascii="Times New Roman" w:eastAsia="Times New Roman"/>
          <w:color w:val="auto"/>
          <w:u w:val="single"/>
        </w:rPr>
        <w:tab/>
      </w:r>
    </w:p>
    <w:p w14:paraId="66D45CC5">
      <w:pPr>
        <w:pStyle w:val="11"/>
        <w:tabs>
          <w:tab w:val="left" w:pos="5468"/>
          <w:tab w:val="left" w:pos="6308"/>
          <w:tab w:val="left" w:pos="7148"/>
        </w:tabs>
        <w:spacing w:before="154"/>
        <w:ind w:left="4867"/>
        <w:rPr>
          <w:color w:val="auto"/>
        </w:rPr>
      </w:pPr>
      <w:r>
        <w:rPr>
          <w:rFonts w:ascii="Times New Roman" w:eastAsia="Times New Roman"/>
          <w:color w:val="auto"/>
          <w:u w:val="single"/>
        </w:rPr>
        <w:tab/>
      </w:r>
      <w:r>
        <w:rPr>
          <w:color w:val="auto"/>
          <w:spacing w:val="-10"/>
          <w:u w:val="none"/>
        </w:rPr>
        <w:t>年</w:t>
      </w:r>
      <w:r>
        <w:rPr>
          <w:rFonts w:ascii="Times New Roman" w:eastAsia="Times New Roman"/>
          <w:color w:val="auto"/>
          <w:u w:val="single"/>
        </w:rPr>
        <w:tab/>
      </w:r>
      <w:r>
        <w:rPr>
          <w:color w:val="auto"/>
          <w:spacing w:val="-10"/>
          <w:u w:val="none"/>
        </w:rPr>
        <w:t>月</w:t>
      </w:r>
      <w:r>
        <w:rPr>
          <w:rFonts w:ascii="Times New Roman" w:eastAsia="Times New Roman"/>
          <w:color w:val="auto"/>
          <w:u w:val="single"/>
        </w:rPr>
        <w:tab/>
      </w:r>
      <w:r>
        <w:rPr>
          <w:color w:val="auto"/>
          <w:spacing w:val="-10"/>
          <w:u w:val="none"/>
        </w:rPr>
        <w:t>日</w:t>
      </w:r>
    </w:p>
    <w:p w14:paraId="54B3091B">
      <w:pPr>
        <w:pStyle w:val="12"/>
        <w:spacing w:before="0"/>
        <w:ind w:left="0"/>
        <w:rPr>
          <w:color w:val="auto"/>
          <w:sz w:val="24"/>
        </w:rPr>
      </w:pPr>
    </w:p>
    <w:p w14:paraId="02839886">
      <w:pPr>
        <w:pStyle w:val="12"/>
        <w:spacing w:before="0"/>
        <w:ind w:left="0"/>
        <w:rPr>
          <w:color w:val="auto"/>
          <w:sz w:val="24"/>
        </w:rPr>
      </w:pPr>
    </w:p>
    <w:p w14:paraId="185153C5">
      <w:pPr>
        <w:pStyle w:val="12"/>
        <w:spacing w:before="153"/>
        <w:ind w:left="0"/>
        <w:rPr>
          <w:color w:val="auto"/>
          <w:sz w:val="24"/>
        </w:rPr>
      </w:pPr>
    </w:p>
    <w:p w14:paraId="5D0851F6">
      <w:pPr>
        <w:pStyle w:val="11"/>
        <w:spacing w:before="1"/>
        <w:rPr>
          <w:color w:val="auto"/>
        </w:rPr>
      </w:pPr>
      <w:r>
        <w:rPr>
          <w:color w:val="auto"/>
          <w:spacing w:val="-1"/>
        </w:rPr>
        <w:t>注：联合体竞标的只需牵头人出具。</w:t>
      </w:r>
    </w:p>
    <w:p w14:paraId="719D8533">
      <w:pPr>
        <w:spacing w:after="0"/>
        <w:rPr>
          <w:color w:val="auto"/>
        </w:rPr>
        <w:sectPr>
          <w:pgSz w:w="11910" w:h="16840"/>
          <w:pgMar w:top="1480" w:right="740" w:bottom="1180" w:left="800" w:header="0" w:footer="989" w:gutter="0"/>
          <w:cols w:space="720" w:num="1"/>
        </w:sectPr>
      </w:pPr>
    </w:p>
    <w:p w14:paraId="343B410D">
      <w:pPr>
        <w:pStyle w:val="5"/>
        <w:spacing w:before="93"/>
        <w:ind w:right="842"/>
        <w:rPr>
          <w:color w:val="auto"/>
        </w:rPr>
      </w:pPr>
      <w:r>
        <w:rPr>
          <w:color w:val="auto"/>
          <w:spacing w:val="-4"/>
        </w:rPr>
        <w:t>授权委托书</w:t>
      </w:r>
    </w:p>
    <w:p w14:paraId="04605484">
      <w:pPr>
        <w:pStyle w:val="10"/>
        <w:spacing w:before="184"/>
        <w:ind w:left="835" w:right="837" w:firstLine="0"/>
        <w:jc w:val="center"/>
        <w:rPr>
          <w:color w:val="auto"/>
        </w:rPr>
      </w:pPr>
      <w:r>
        <w:rPr>
          <w:color w:val="auto"/>
        </w:rPr>
        <w:t>（非联合体竞标格式</w:t>
      </w:r>
      <w:r>
        <w:rPr>
          <w:color w:val="auto"/>
          <w:spacing w:val="-10"/>
        </w:rPr>
        <w:t>）</w:t>
      </w:r>
    </w:p>
    <w:p w14:paraId="6EBB087F">
      <w:pPr>
        <w:pStyle w:val="10"/>
        <w:spacing w:before="209"/>
        <w:ind w:left="835" w:right="837" w:firstLine="0"/>
        <w:jc w:val="center"/>
        <w:rPr>
          <w:color w:val="auto"/>
        </w:rPr>
      </w:pPr>
      <w:r>
        <w:rPr>
          <w:color w:val="auto"/>
        </w:rPr>
        <w:t>（如有委托时</w:t>
      </w:r>
      <w:r>
        <w:rPr>
          <w:color w:val="auto"/>
          <w:spacing w:val="-10"/>
        </w:rPr>
        <w:t>）</w:t>
      </w:r>
    </w:p>
    <w:p w14:paraId="3456E7DA">
      <w:pPr>
        <w:pStyle w:val="12"/>
        <w:spacing w:before="240"/>
        <w:ind w:left="0"/>
        <w:rPr>
          <w:b/>
          <w:color w:val="auto"/>
          <w:sz w:val="24"/>
        </w:rPr>
      </w:pPr>
    </w:p>
    <w:p w14:paraId="5E089B95">
      <w:pPr>
        <w:pStyle w:val="11"/>
        <w:rPr>
          <w:color w:val="auto"/>
        </w:rPr>
      </w:pPr>
      <w:r>
        <w:rPr>
          <w:color w:val="auto"/>
        </w:rPr>
        <w:t>致：</w:t>
      </w:r>
      <w:r>
        <w:rPr>
          <w:color w:val="auto"/>
          <w:u w:val="single"/>
        </w:rPr>
        <w:t>（采购人名称</w:t>
      </w:r>
      <w:r>
        <w:rPr>
          <w:color w:val="auto"/>
          <w:spacing w:val="-5"/>
          <w:u w:val="single"/>
        </w:rPr>
        <w:t>）</w:t>
      </w:r>
      <w:r>
        <w:rPr>
          <w:color w:val="auto"/>
          <w:spacing w:val="-5"/>
          <w:u w:val="none"/>
        </w:rPr>
        <w:t>：</w:t>
      </w:r>
    </w:p>
    <w:p w14:paraId="014811A4">
      <w:pPr>
        <w:pStyle w:val="11"/>
        <w:spacing w:before="156"/>
        <w:ind w:left="1268"/>
        <w:rPr>
          <w:color w:val="auto"/>
        </w:rPr>
      </w:pPr>
      <w:r>
        <w:rPr>
          <w:color w:val="auto"/>
        </w:rPr>
        <w:t>我</w:t>
      </w:r>
      <w:r>
        <w:rPr>
          <w:rFonts w:ascii="Times New Roman" w:hAnsi="Times New Roman" w:eastAsia="Times New Roman"/>
          <w:color w:val="auto"/>
          <w:spacing w:val="62"/>
          <w:u w:val="single"/>
        </w:rPr>
        <w:t xml:space="preserve">  </w:t>
      </w:r>
      <w:r>
        <w:rPr>
          <w:color w:val="auto"/>
          <w:u w:val="single"/>
        </w:rPr>
        <w:t>（姓名）</w:t>
      </w:r>
      <w:r>
        <w:rPr>
          <w:color w:val="auto"/>
          <w:spacing w:val="66"/>
          <w:w w:val="150"/>
          <w:u w:val="single"/>
        </w:rPr>
        <w:t xml:space="preserve"> </w:t>
      </w:r>
      <w:r>
        <w:rPr>
          <w:color w:val="auto"/>
          <w:u w:val="none"/>
        </w:rPr>
        <w:t>系</w:t>
      </w:r>
      <w:r>
        <w:rPr>
          <w:rFonts w:ascii="Times New Roman" w:hAnsi="Times New Roman" w:eastAsia="Times New Roman"/>
          <w:color w:val="auto"/>
          <w:spacing w:val="62"/>
          <w:u w:val="single"/>
        </w:rPr>
        <w:t xml:space="preserve">  </w:t>
      </w:r>
      <w:r>
        <w:rPr>
          <w:color w:val="auto"/>
          <w:u w:val="single"/>
        </w:rPr>
        <w:t>（供应商名称）</w:t>
      </w:r>
      <w:r>
        <w:rPr>
          <w:color w:val="auto"/>
          <w:spacing w:val="65"/>
          <w:w w:val="150"/>
          <w:u w:val="single"/>
        </w:rPr>
        <w:t xml:space="preserve"> </w:t>
      </w:r>
      <w:r>
        <w:rPr>
          <w:color w:val="auto"/>
          <w:u w:val="none"/>
        </w:rPr>
        <w:t>的（</w:t>
      </w:r>
      <w:r>
        <w:rPr>
          <w:color w:val="auto"/>
          <w:u w:val="single"/>
        </w:rPr>
        <w:t>□法定代表人/□负责人</w:t>
      </w:r>
      <w:r>
        <w:rPr>
          <w:color w:val="auto"/>
          <w:u w:val="none"/>
        </w:rPr>
        <w:t>）</w:t>
      </w:r>
      <w:r>
        <w:rPr>
          <w:color w:val="auto"/>
          <w:spacing w:val="-3"/>
          <w:u w:val="none"/>
        </w:rPr>
        <w:t>，现授权</w:t>
      </w:r>
    </w:p>
    <w:p w14:paraId="1AE109C6">
      <w:pPr>
        <w:pStyle w:val="11"/>
        <w:tabs>
          <w:tab w:val="left" w:pos="5483"/>
        </w:tabs>
        <w:spacing w:before="154" w:line="360" w:lineRule="auto"/>
        <w:ind w:right="791"/>
        <w:rPr>
          <w:color w:val="auto"/>
        </w:rPr>
      </w:pPr>
      <w:r>
        <w:rPr>
          <w:color w:val="auto"/>
          <w:u w:val="single"/>
        </w:rPr>
        <w:t xml:space="preserve">（姓名） </w:t>
      </w:r>
      <w:r>
        <w:rPr>
          <w:color w:val="auto"/>
          <w:u w:val="none"/>
        </w:rPr>
        <w:t>以我方的名义参加</w:t>
      </w:r>
      <w:r>
        <w:rPr>
          <w:rFonts w:ascii="Times New Roman" w:eastAsia="Times New Roman"/>
          <w:color w:val="auto"/>
          <w:u w:val="single"/>
        </w:rPr>
        <w:tab/>
      </w:r>
      <w:r>
        <w:rPr>
          <w:color w:val="auto"/>
          <w:spacing w:val="-2"/>
          <w:u w:val="none"/>
        </w:rPr>
        <w:t>项目的竞标活动，并代表我方全权办理针对上述项目的所有采购程序和环节的具体事务和签署相关文件。</w:t>
      </w:r>
    </w:p>
    <w:p w14:paraId="4336CAD1">
      <w:pPr>
        <w:pStyle w:val="11"/>
        <w:spacing w:line="310" w:lineRule="exact"/>
        <w:ind w:left="1268"/>
        <w:rPr>
          <w:color w:val="auto"/>
        </w:rPr>
      </w:pPr>
      <w:r>
        <w:rPr>
          <w:color w:val="auto"/>
          <w:spacing w:val="-1"/>
        </w:rPr>
        <w:t>我方对委托代理人的签字或者电子签名事项负全部责任。</w:t>
      </w:r>
    </w:p>
    <w:p w14:paraId="7E38ED16">
      <w:pPr>
        <w:pStyle w:val="11"/>
        <w:spacing w:before="156" w:line="357" w:lineRule="auto"/>
        <w:ind w:right="695" w:firstLine="480"/>
        <w:rPr>
          <w:color w:val="auto"/>
        </w:rPr>
      </w:pPr>
      <w:r>
        <w:rPr>
          <w:color w:val="auto"/>
          <w:spacing w:val="-2"/>
        </w:rPr>
        <w:t>本授权书自签署之日起生效，在撤销授权的书面通知以前，本授权书一直有效。委托代理人在授权书有效期内签署的所有文件不因授权的撤销而失效。</w:t>
      </w:r>
    </w:p>
    <w:p w14:paraId="3125CCCA">
      <w:pPr>
        <w:pStyle w:val="11"/>
        <w:spacing w:before="4"/>
        <w:ind w:left="1268"/>
        <w:rPr>
          <w:color w:val="auto"/>
        </w:rPr>
      </w:pPr>
      <w:r>
        <w:rPr>
          <w:color w:val="auto"/>
          <w:spacing w:val="-1"/>
        </w:rPr>
        <w:t>委托代理人无转委托权，特此委托。</w:t>
      </w:r>
    </w:p>
    <w:p w14:paraId="69D98B4C">
      <w:pPr>
        <w:pStyle w:val="11"/>
        <w:spacing w:before="156"/>
        <w:ind w:left="1268"/>
        <w:rPr>
          <w:color w:val="auto"/>
        </w:rPr>
      </w:pPr>
      <w:r>
        <w:rPr>
          <w:color w:val="auto"/>
          <w:spacing w:val="-1"/>
        </w:rPr>
        <w:t>附：法定代表人身份证明书及委托代理人有效身份证正反面复印件</w:t>
      </w:r>
    </w:p>
    <w:p w14:paraId="0F93BA45">
      <w:pPr>
        <w:pStyle w:val="12"/>
        <w:spacing w:before="307"/>
        <w:ind w:left="0"/>
        <w:rPr>
          <w:color w:val="auto"/>
          <w:sz w:val="24"/>
        </w:rPr>
      </w:pPr>
    </w:p>
    <w:p w14:paraId="64B7EACE">
      <w:pPr>
        <w:pStyle w:val="11"/>
        <w:tabs>
          <w:tab w:val="left" w:pos="5379"/>
        </w:tabs>
        <w:spacing w:line="360" w:lineRule="auto"/>
        <w:ind w:right="790"/>
        <w:rPr>
          <w:color w:val="auto"/>
        </w:rPr>
      </w:pPr>
      <w:r>
        <w:rPr>
          <w:color w:val="auto"/>
          <w:spacing w:val="-2"/>
        </w:rPr>
        <w:t>委托代理人（签字或者电子签名）：</w:t>
      </w:r>
      <w:r>
        <w:rPr>
          <w:color w:val="auto"/>
        </w:rPr>
        <w:tab/>
      </w:r>
      <w:r>
        <w:rPr>
          <w:color w:val="auto"/>
          <w:spacing w:val="-2"/>
        </w:rPr>
        <w:t>法定代表人（签字或者盖章或者电子签</w:t>
      </w:r>
      <w:r>
        <w:rPr>
          <w:color w:val="auto"/>
          <w:spacing w:val="-4"/>
        </w:rPr>
        <w:t>名）：</w:t>
      </w:r>
    </w:p>
    <w:p w14:paraId="469D0091">
      <w:pPr>
        <w:pStyle w:val="11"/>
        <w:rPr>
          <w:color w:val="auto"/>
        </w:rPr>
      </w:pPr>
      <w:r>
        <w:rPr>
          <w:color w:val="auto"/>
          <w:spacing w:val="-1"/>
        </w:rPr>
        <w:t>委托代理人身份证号码：</w:t>
      </w:r>
    </w:p>
    <w:p w14:paraId="030862D1">
      <w:pPr>
        <w:pStyle w:val="12"/>
        <w:spacing w:before="309"/>
        <w:ind w:left="0"/>
        <w:rPr>
          <w:color w:val="auto"/>
          <w:sz w:val="24"/>
        </w:rPr>
      </w:pPr>
    </w:p>
    <w:p w14:paraId="312235BC">
      <w:pPr>
        <w:pStyle w:val="11"/>
        <w:ind w:left="0" w:right="386"/>
        <w:jc w:val="center"/>
        <w:rPr>
          <w:color w:val="auto"/>
        </w:rPr>
      </w:pPr>
      <w:r>
        <w:rPr>
          <w:color w:val="auto"/>
        </w:rPr>
        <w:t>供应商（电子签章</w:t>
      </w:r>
      <w:r>
        <w:rPr>
          <w:color w:val="auto"/>
          <w:spacing w:val="-5"/>
        </w:rPr>
        <w:t>）：</w:t>
      </w:r>
    </w:p>
    <w:p w14:paraId="0E9431C5">
      <w:pPr>
        <w:pStyle w:val="11"/>
        <w:tabs>
          <w:tab w:val="left" w:pos="3451"/>
          <w:tab w:val="left" w:pos="4171"/>
        </w:tabs>
        <w:spacing w:before="154"/>
        <w:ind w:left="2731"/>
        <w:jc w:val="center"/>
        <w:rPr>
          <w:color w:val="auto"/>
        </w:rPr>
      </w:pPr>
      <w:r>
        <w:rPr>
          <w:color w:val="auto"/>
          <w:spacing w:val="-10"/>
        </w:rPr>
        <w:t>年</w:t>
      </w:r>
      <w:r>
        <w:rPr>
          <w:color w:val="auto"/>
        </w:rPr>
        <w:tab/>
      </w:r>
      <w:r>
        <w:rPr>
          <w:color w:val="auto"/>
          <w:spacing w:val="-10"/>
        </w:rPr>
        <w:t>月</w:t>
      </w:r>
      <w:r>
        <w:rPr>
          <w:color w:val="auto"/>
        </w:rPr>
        <w:tab/>
      </w:r>
      <w:r>
        <w:rPr>
          <w:color w:val="auto"/>
          <w:spacing w:val="-10"/>
        </w:rPr>
        <w:t>日</w:t>
      </w:r>
    </w:p>
    <w:p w14:paraId="168FA898">
      <w:pPr>
        <w:pStyle w:val="12"/>
        <w:spacing w:before="309"/>
        <w:ind w:left="0"/>
        <w:rPr>
          <w:color w:val="auto"/>
          <w:sz w:val="24"/>
        </w:rPr>
      </w:pPr>
    </w:p>
    <w:p w14:paraId="18366F11">
      <w:pPr>
        <w:pStyle w:val="11"/>
        <w:spacing w:before="1" w:line="360" w:lineRule="auto"/>
        <w:ind w:right="791"/>
        <w:rPr>
          <w:b/>
          <w:color w:val="auto"/>
        </w:rPr>
      </w:pPr>
      <w:r>
        <w:rPr>
          <w:color w:val="auto"/>
          <w:spacing w:val="-2"/>
        </w:rPr>
        <w:t>注：法定代表人必须在授权委托书上签字或者盖章或者电子签名，委托代理人必须在授权委托书上签字或者电子签名，</w:t>
      </w:r>
      <w:r>
        <w:rPr>
          <w:b/>
          <w:color w:val="auto"/>
          <w:spacing w:val="-2"/>
        </w:rPr>
        <w:t>否则其响应文件按无效处理。</w:t>
      </w:r>
    </w:p>
    <w:p w14:paraId="18ED8989">
      <w:pPr>
        <w:spacing w:after="0" w:line="360" w:lineRule="auto"/>
        <w:rPr>
          <w:color w:val="auto"/>
        </w:rPr>
        <w:sectPr>
          <w:pgSz w:w="11910" w:h="16840"/>
          <w:pgMar w:top="1920" w:right="740" w:bottom="1180" w:left="800" w:header="0" w:footer="989" w:gutter="0"/>
          <w:cols w:space="720" w:num="1"/>
        </w:sectPr>
      </w:pPr>
    </w:p>
    <w:p w14:paraId="47893D97">
      <w:pPr>
        <w:pStyle w:val="5"/>
        <w:spacing w:before="38"/>
        <w:ind w:right="842"/>
        <w:rPr>
          <w:color w:val="auto"/>
        </w:rPr>
      </w:pPr>
      <w:r>
        <w:rPr>
          <w:color w:val="auto"/>
          <w:spacing w:val="-4"/>
        </w:rPr>
        <w:t>授权委托书</w:t>
      </w:r>
    </w:p>
    <w:p w14:paraId="3C55B595">
      <w:pPr>
        <w:pStyle w:val="10"/>
        <w:spacing w:before="164"/>
        <w:ind w:left="835" w:right="839" w:firstLine="0"/>
        <w:jc w:val="center"/>
        <w:rPr>
          <w:color w:val="auto"/>
        </w:rPr>
      </w:pPr>
      <w:r>
        <w:rPr>
          <w:color w:val="auto"/>
        </w:rPr>
        <w:t>（联合体竞标格式</w:t>
      </w:r>
      <w:r>
        <w:rPr>
          <w:color w:val="auto"/>
          <w:spacing w:val="-10"/>
        </w:rPr>
        <w:t>）</w:t>
      </w:r>
    </w:p>
    <w:p w14:paraId="251A4BDD">
      <w:pPr>
        <w:pStyle w:val="10"/>
        <w:spacing w:before="187"/>
        <w:ind w:left="835" w:right="837" w:firstLine="0"/>
        <w:jc w:val="center"/>
        <w:rPr>
          <w:color w:val="auto"/>
        </w:rPr>
      </w:pPr>
      <w:r>
        <w:rPr>
          <w:color w:val="auto"/>
        </w:rPr>
        <w:t>（如有委托时</w:t>
      </w:r>
      <w:r>
        <w:rPr>
          <w:color w:val="auto"/>
          <w:spacing w:val="-10"/>
        </w:rPr>
        <w:t>）</w:t>
      </w:r>
    </w:p>
    <w:p w14:paraId="5AF47836">
      <w:pPr>
        <w:pStyle w:val="12"/>
        <w:spacing w:before="0"/>
        <w:ind w:left="0"/>
        <w:rPr>
          <w:b/>
          <w:color w:val="auto"/>
          <w:sz w:val="24"/>
        </w:rPr>
      </w:pPr>
    </w:p>
    <w:p w14:paraId="0542AE30">
      <w:pPr>
        <w:pStyle w:val="12"/>
        <w:spacing w:before="0"/>
        <w:ind w:left="0"/>
        <w:rPr>
          <w:b/>
          <w:color w:val="auto"/>
          <w:sz w:val="24"/>
        </w:rPr>
      </w:pPr>
    </w:p>
    <w:p w14:paraId="14283B84">
      <w:pPr>
        <w:pStyle w:val="12"/>
        <w:spacing w:before="94"/>
        <w:ind w:left="0"/>
        <w:rPr>
          <w:b/>
          <w:color w:val="auto"/>
          <w:sz w:val="24"/>
        </w:rPr>
      </w:pPr>
    </w:p>
    <w:p w14:paraId="24EFB14A">
      <w:pPr>
        <w:pStyle w:val="11"/>
        <w:tabs>
          <w:tab w:val="left" w:pos="5828"/>
          <w:tab w:val="left" w:pos="9487"/>
        </w:tabs>
        <w:ind w:left="1268"/>
        <w:rPr>
          <w:rFonts w:ascii="Times New Roman" w:eastAsia="Times New Roman"/>
          <w:color w:val="auto"/>
        </w:rPr>
      </w:pPr>
      <w:r>
        <w:rPr>
          <w:color w:val="auto"/>
        </w:rPr>
        <w:t>本授权委托书声明：根</w:t>
      </w:r>
      <w:r>
        <w:rPr>
          <w:color w:val="auto"/>
          <w:spacing w:val="-10"/>
        </w:rPr>
        <w:t>据</w:t>
      </w:r>
      <w:r>
        <w:rPr>
          <w:rFonts w:ascii="Times New Roman" w:eastAsia="Times New Roman"/>
          <w:color w:val="auto"/>
          <w:u w:val="single"/>
        </w:rPr>
        <w:tab/>
      </w:r>
      <w:r>
        <w:rPr>
          <w:color w:val="auto"/>
          <w:u w:val="none"/>
        </w:rPr>
        <w:t>（牵头人名称）</w:t>
      </w:r>
      <w:r>
        <w:rPr>
          <w:color w:val="auto"/>
          <w:spacing w:val="-10"/>
          <w:u w:val="none"/>
        </w:rPr>
        <w:t>与</w:t>
      </w:r>
      <w:r>
        <w:rPr>
          <w:rFonts w:ascii="Times New Roman" w:eastAsia="Times New Roman"/>
          <w:color w:val="auto"/>
          <w:u w:val="single"/>
        </w:rPr>
        <w:tab/>
      </w:r>
    </w:p>
    <w:p w14:paraId="4E833B95">
      <w:pPr>
        <w:pStyle w:val="11"/>
        <w:tabs>
          <w:tab w:val="left" w:pos="8903"/>
        </w:tabs>
        <w:spacing w:before="154"/>
        <w:ind w:left="57"/>
        <w:jc w:val="center"/>
        <w:rPr>
          <w:rFonts w:ascii="Times New Roman" w:eastAsia="Times New Roman"/>
          <w:color w:val="auto"/>
        </w:rPr>
      </w:pPr>
      <w:r>
        <w:rPr>
          <w:color w:val="auto"/>
        </w:rPr>
        <w:t>（联合体其他成员名称）签订的《联合体竞标协议书》的内容</w:t>
      </w:r>
      <w:r>
        <w:rPr>
          <w:color w:val="auto"/>
          <w:spacing w:val="-10"/>
        </w:rPr>
        <w:t>，</w:t>
      </w:r>
      <w:r>
        <w:rPr>
          <w:rFonts w:ascii="Times New Roman" w:eastAsia="Times New Roman"/>
          <w:color w:val="auto"/>
          <w:u w:val="single"/>
        </w:rPr>
        <w:tab/>
      </w:r>
    </w:p>
    <w:p w14:paraId="75BD43AE">
      <w:pPr>
        <w:pStyle w:val="11"/>
        <w:tabs>
          <w:tab w:val="left" w:pos="4628"/>
          <w:tab w:val="left" w:pos="7028"/>
        </w:tabs>
        <w:spacing w:before="156" w:line="360" w:lineRule="auto"/>
        <w:ind w:right="935"/>
        <w:jc w:val="both"/>
        <w:rPr>
          <w:color w:val="auto"/>
        </w:rPr>
      </w:pPr>
      <w:r>
        <w:rPr>
          <w:color w:val="auto"/>
          <w:spacing w:val="-2"/>
        </w:rPr>
        <w:t>（牵头人名称）的法定代表人</w:t>
      </w:r>
      <w:r>
        <w:rPr>
          <w:rFonts w:ascii="Times New Roman" w:eastAsia="Times New Roman"/>
          <w:color w:val="auto"/>
          <w:u w:val="single"/>
        </w:rPr>
        <w:tab/>
      </w:r>
      <w:r>
        <w:rPr>
          <w:color w:val="auto"/>
          <w:spacing w:val="-2"/>
          <w:u w:val="none"/>
        </w:rPr>
        <w:t>（姓名）现授权</w:t>
      </w:r>
      <w:r>
        <w:rPr>
          <w:rFonts w:ascii="Times New Roman" w:eastAsia="Times New Roman"/>
          <w:color w:val="auto"/>
          <w:u w:val="single"/>
        </w:rPr>
        <w:tab/>
      </w:r>
      <w:r>
        <w:rPr>
          <w:color w:val="auto"/>
          <w:spacing w:val="-2"/>
          <w:u w:val="none"/>
        </w:rPr>
        <w:t>（姓名）为联合委托代理人，并代表我方全权办理针对上述项目的所有采购程序和环节的具体事务和签署相关文件。</w:t>
      </w:r>
    </w:p>
    <w:p w14:paraId="71CE3366">
      <w:pPr>
        <w:pStyle w:val="11"/>
        <w:spacing w:line="310" w:lineRule="exact"/>
        <w:ind w:left="1268"/>
        <w:rPr>
          <w:color w:val="auto"/>
        </w:rPr>
      </w:pPr>
      <w:r>
        <w:rPr>
          <w:color w:val="auto"/>
          <w:spacing w:val="-1"/>
        </w:rPr>
        <w:t>我方对委托代理人的签字或者电子签名事项负全部责任。</w:t>
      </w:r>
    </w:p>
    <w:p w14:paraId="4E786AD6">
      <w:pPr>
        <w:pStyle w:val="11"/>
        <w:spacing w:before="153" w:line="360" w:lineRule="auto"/>
        <w:ind w:right="695" w:firstLine="480"/>
        <w:rPr>
          <w:color w:val="auto"/>
        </w:rPr>
      </w:pPr>
      <w:r>
        <w:rPr>
          <w:color w:val="auto"/>
          <w:spacing w:val="-2"/>
        </w:rPr>
        <w:t>本授权书自签署之日起生效，在撤销授权的书面通知以前，本授权书一直有效。委托代理人在授权书有效期内签署的所有文件不因授权的撤销而失效。</w:t>
      </w:r>
    </w:p>
    <w:p w14:paraId="1E4C37AD">
      <w:pPr>
        <w:pStyle w:val="11"/>
        <w:spacing w:line="310" w:lineRule="exact"/>
        <w:ind w:left="1268"/>
        <w:rPr>
          <w:color w:val="auto"/>
        </w:rPr>
      </w:pPr>
      <w:r>
        <w:rPr>
          <w:color w:val="auto"/>
          <w:spacing w:val="-1"/>
        </w:rPr>
        <w:t>委托代理人无转委托权，特此委托。</w:t>
      </w:r>
    </w:p>
    <w:p w14:paraId="3C9D954A">
      <w:pPr>
        <w:pStyle w:val="11"/>
        <w:spacing w:before="154" w:line="360" w:lineRule="auto"/>
        <w:ind w:left="1268" w:right="2135"/>
        <w:rPr>
          <w:color w:val="auto"/>
        </w:rPr>
      </w:pPr>
      <w:r>
        <w:rPr>
          <w:color w:val="auto"/>
          <w:spacing w:val="-2"/>
        </w:rPr>
        <w:t>附：法定代表人身份证明书及委托代理人有效身份证正反面复印件牵头人法定代表人（签字或者盖章或者电子签名）：</w:t>
      </w:r>
    </w:p>
    <w:p w14:paraId="10F196FE">
      <w:pPr>
        <w:pStyle w:val="11"/>
        <w:ind w:left="3908"/>
        <w:rPr>
          <w:color w:val="auto"/>
        </w:rPr>
      </w:pPr>
      <w:r>
        <w:rPr>
          <w:color w:val="auto"/>
        </w:rPr>
        <w:t>牵头人（电子签章</w:t>
      </w:r>
      <w:r>
        <w:rPr>
          <w:color w:val="auto"/>
          <w:spacing w:val="-5"/>
        </w:rPr>
        <w:t>）：</w:t>
      </w:r>
    </w:p>
    <w:p w14:paraId="696803F9">
      <w:pPr>
        <w:pStyle w:val="11"/>
        <w:tabs>
          <w:tab w:val="left" w:pos="5828"/>
          <w:tab w:val="left" w:pos="6428"/>
          <w:tab w:val="left" w:pos="7028"/>
        </w:tabs>
        <w:spacing w:before="153"/>
        <w:ind w:left="4628"/>
        <w:rPr>
          <w:color w:val="auto"/>
        </w:rPr>
      </w:pPr>
      <w:r>
        <w:rPr>
          <w:color w:val="auto"/>
        </w:rPr>
        <w:t>日期</w:t>
      </w:r>
      <w:r>
        <w:rPr>
          <w:color w:val="auto"/>
          <w:spacing w:val="-10"/>
        </w:rPr>
        <w:t>：</w:t>
      </w:r>
      <w:r>
        <w:rPr>
          <w:color w:val="auto"/>
        </w:rPr>
        <w:tab/>
      </w:r>
      <w:r>
        <w:rPr>
          <w:color w:val="auto"/>
          <w:spacing w:val="-10"/>
        </w:rPr>
        <w:t>年</w:t>
      </w:r>
      <w:r>
        <w:rPr>
          <w:color w:val="auto"/>
        </w:rPr>
        <w:tab/>
      </w:r>
      <w:r>
        <w:rPr>
          <w:color w:val="auto"/>
          <w:spacing w:val="-10"/>
        </w:rPr>
        <w:t>月</w:t>
      </w:r>
      <w:r>
        <w:rPr>
          <w:color w:val="auto"/>
        </w:rPr>
        <w:tab/>
      </w:r>
      <w:r>
        <w:rPr>
          <w:color w:val="auto"/>
          <w:spacing w:val="-10"/>
        </w:rPr>
        <w:t>日</w:t>
      </w:r>
    </w:p>
    <w:p w14:paraId="34F67FFE">
      <w:pPr>
        <w:pStyle w:val="12"/>
        <w:spacing w:before="310"/>
        <w:ind w:left="0"/>
        <w:rPr>
          <w:color w:val="auto"/>
          <w:sz w:val="24"/>
        </w:rPr>
      </w:pPr>
    </w:p>
    <w:p w14:paraId="06624B77">
      <w:pPr>
        <w:pStyle w:val="11"/>
        <w:tabs>
          <w:tab w:val="left" w:pos="5828"/>
          <w:tab w:val="left" w:pos="6428"/>
          <w:tab w:val="left" w:pos="7028"/>
        </w:tabs>
        <w:spacing w:line="360" w:lineRule="auto"/>
        <w:ind w:left="4628" w:right="2855" w:hanging="720"/>
        <w:rPr>
          <w:color w:val="auto"/>
        </w:rPr>
      </w:pPr>
      <w:r>
        <w:rPr>
          <w:color w:val="auto"/>
          <w:spacing w:val="-2"/>
        </w:rPr>
        <w:t>被授权人（签字或者电子签名）：</w:t>
      </w:r>
      <w:r>
        <w:rPr>
          <w:color w:val="auto"/>
          <w:spacing w:val="-4"/>
        </w:rPr>
        <w:t>日期：</w:t>
      </w:r>
      <w:r>
        <w:rPr>
          <w:color w:val="auto"/>
        </w:rPr>
        <w:tab/>
      </w:r>
      <w:r>
        <w:rPr>
          <w:color w:val="auto"/>
          <w:spacing w:val="-10"/>
        </w:rPr>
        <w:t>年</w:t>
      </w:r>
      <w:r>
        <w:rPr>
          <w:color w:val="auto"/>
        </w:rPr>
        <w:tab/>
      </w:r>
      <w:r>
        <w:rPr>
          <w:color w:val="auto"/>
          <w:spacing w:val="-10"/>
        </w:rPr>
        <w:t>月</w:t>
      </w:r>
      <w:r>
        <w:rPr>
          <w:color w:val="auto"/>
        </w:rPr>
        <w:tab/>
      </w:r>
      <w:r>
        <w:rPr>
          <w:color w:val="auto"/>
          <w:spacing w:val="-10"/>
        </w:rPr>
        <w:t>日</w:t>
      </w:r>
    </w:p>
    <w:p w14:paraId="6A7D42E8">
      <w:pPr>
        <w:pStyle w:val="12"/>
        <w:spacing w:before="153"/>
        <w:ind w:left="0"/>
        <w:rPr>
          <w:color w:val="auto"/>
          <w:sz w:val="24"/>
        </w:rPr>
      </w:pPr>
    </w:p>
    <w:p w14:paraId="54F85BDC">
      <w:pPr>
        <w:pStyle w:val="11"/>
        <w:spacing w:before="1" w:line="357" w:lineRule="auto"/>
        <w:ind w:right="791"/>
        <w:rPr>
          <w:b/>
          <w:color w:val="auto"/>
        </w:rPr>
      </w:pPr>
      <w:r>
        <w:rPr>
          <w:color w:val="auto"/>
          <w:spacing w:val="-2"/>
        </w:rPr>
        <w:t>注：法定代表人必须在授权委托书上签字或者盖章或者电子签名，委托代理人必须在授权委托书上签字或者电子签名，</w:t>
      </w:r>
      <w:r>
        <w:rPr>
          <w:b/>
          <w:color w:val="auto"/>
          <w:spacing w:val="-2"/>
        </w:rPr>
        <w:t>否则其响应文件按无效处理。</w:t>
      </w:r>
    </w:p>
    <w:p w14:paraId="60EBFC91">
      <w:pPr>
        <w:spacing w:after="0" w:line="357" w:lineRule="auto"/>
        <w:rPr>
          <w:color w:val="auto"/>
        </w:rPr>
        <w:sectPr>
          <w:pgSz w:w="11910" w:h="16840"/>
          <w:pgMar w:top="1460" w:right="740" w:bottom="1180" w:left="800" w:header="0" w:footer="989" w:gutter="0"/>
          <w:cols w:space="720" w:num="1"/>
        </w:sectPr>
      </w:pPr>
    </w:p>
    <w:p w14:paraId="6403D9EC">
      <w:pPr>
        <w:pStyle w:val="5"/>
        <w:ind w:right="840"/>
        <w:rPr>
          <w:color w:val="auto"/>
        </w:rPr>
      </w:pPr>
      <w:r>
        <w:rPr>
          <w:color w:val="auto"/>
          <w:spacing w:val="-3"/>
        </w:rPr>
        <w:t>建筑材料和设备节能环保要求承诺书</w:t>
      </w:r>
    </w:p>
    <w:p w14:paraId="5FE6B17B">
      <w:pPr>
        <w:pStyle w:val="12"/>
        <w:spacing w:before="200"/>
        <w:ind w:left="0"/>
        <w:rPr>
          <w:b/>
          <w:color w:val="auto"/>
          <w:sz w:val="32"/>
        </w:rPr>
      </w:pPr>
    </w:p>
    <w:p w14:paraId="4F822232">
      <w:pPr>
        <w:pStyle w:val="11"/>
        <w:ind w:left="1268"/>
        <w:rPr>
          <w:color w:val="auto"/>
        </w:rPr>
      </w:pPr>
      <w:r>
        <w:rPr>
          <w:color w:val="auto"/>
          <w:spacing w:val="-1"/>
        </w:rPr>
        <w:t>我方承诺，一旦成交，我方保证严格执行《财政部 国家发展改革委关于印发</w:t>
      </w:r>
    </w:p>
    <w:p w14:paraId="2C98F888">
      <w:pPr>
        <w:pStyle w:val="11"/>
        <w:spacing w:before="154" w:line="360" w:lineRule="auto"/>
        <w:ind w:right="875"/>
        <w:rPr>
          <w:color w:val="auto"/>
        </w:rPr>
      </w:pPr>
      <w:r>
        <w:rPr>
          <w:color w:val="auto"/>
        </w:rPr>
        <w:t>〈节能产品政府采购实施意见〉的通知》（财库〔2004〕185</w:t>
      </w:r>
      <w:r>
        <w:rPr>
          <w:color w:val="auto"/>
          <w:spacing w:val="-30"/>
        </w:rPr>
        <w:t xml:space="preserve"> 号</w:t>
      </w:r>
      <w:r>
        <w:rPr>
          <w:color w:val="auto"/>
        </w:rPr>
        <w:t>）</w:t>
      </w:r>
      <w:r>
        <w:rPr>
          <w:color w:val="auto"/>
          <w:spacing w:val="-5"/>
        </w:rPr>
        <w:t>、《财政部 发展</w:t>
      </w:r>
      <w:r>
        <w:rPr>
          <w:color w:val="auto"/>
        </w:rPr>
        <w:t>改革委 生态环境部 市场监管总局关于调整优化节能产品、环境标志产品政府采购执行机制的通知》（财库〔</w:t>
      </w:r>
      <w:r>
        <w:rPr>
          <w:rFonts w:ascii="Times New Roman" w:hAnsi="Times New Roman" w:eastAsia="Times New Roman"/>
          <w:color w:val="auto"/>
        </w:rPr>
        <w:t>2019</w:t>
      </w:r>
      <w:r>
        <w:rPr>
          <w:color w:val="auto"/>
        </w:rPr>
        <w:t>〕</w:t>
      </w:r>
      <w:r>
        <w:rPr>
          <w:rFonts w:ascii="Times New Roman" w:hAnsi="Times New Roman" w:eastAsia="Times New Roman"/>
          <w:color w:val="auto"/>
        </w:rPr>
        <w:t xml:space="preserve">9 </w:t>
      </w:r>
      <w:r>
        <w:rPr>
          <w:color w:val="auto"/>
        </w:rPr>
        <w:t>号）和《关于印发节能产品政府采购品目清单的通知》（财库〔</w:t>
      </w:r>
      <w:r>
        <w:rPr>
          <w:rFonts w:ascii="Times New Roman" w:hAnsi="Times New Roman" w:eastAsia="Times New Roman"/>
          <w:color w:val="auto"/>
        </w:rPr>
        <w:t>2019</w:t>
      </w:r>
      <w:r>
        <w:rPr>
          <w:color w:val="auto"/>
        </w:rPr>
        <w:t>〕</w:t>
      </w:r>
      <w:r>
        <w:rPr>
          <w:rFonts w:ascii="Times New Roman" w:hAnsi="Times New Roman" w:eastAsia="Times New Roman"/>
          <w:color w:val="auto"/>
        </w:rPr>
        <w:t>19</w:t>
      </w:r>
      <w:r>
        <w:rPr>
          <w:rFonts w:ascii="Times New Roman" w:hAnsi="Times New Roman" w:eastAsia="Times New Roman"/>
          <w:color w:val="auto"/>
          <w:spacing w:val="-15"/>
        </w:rPr>
        <w:t xml:space="preserve"> </w:t>
      </w:r>
      <w:r>
        <w:rPr>
          <w:color w:val="auto"/>
        </w:rPr>
        <w:t>号）的规定，所有工程中涉及的建筑材料和设备如属于财库〔</w:t>
      </w:r>
      <w:r>
        <w:rPr>
          <w:rFonts w:ascii="Times New Roman" w:hAnsi="Times New Roman" w:eastAsia="Times New Roman"/>
          <w:color w:val="auto"/>
        </w:rPr>
        <w:t>2019</w:t>
      </w:r>
      <w:r>
        <w:rPr>
          <w:color w:val="auto"/>
        </w:rPr>
        <w:t>〕</w:t>
      </w:r>
      <w:r>
        <w:rPr>
          <w:rFonts w:ascii="Times New Roman" w:hAnsi="Times New Roman" w:eastAsia="Times New Roman"/>
          <w:color w:val="auto"/>
        </w:rPr>
        <w:t>19</w:t>
      </w:r>
      <w:r>
        <w:rPr>
          <w:rFonts w:ascii="Times New Roman" w:hAnsi="Times New Roman" w:eastAsia="Times New Roman"/>
          <w:color w:val="auto"/>
          <w:spacing w:val="-15"/>
        </w:rPr>
        <w:t xml:space="preserve"> </w:t>
      </w:r>
      <w:r>
        <w:rPr>
          <w:color w:val="auto"/>
        </w:rPr>
        <w:t>号文中《节能产品政府采购品目清单》内标注“★”的产品，都使</w:t>
      </w:r>
      <w:r>
        <w:rPr>
          <w:color w:val="auto"/>
          <w:spacing w:val="-2"/>
        </w:rPr>
        <w:t>用政府强制采购的节能产品。如我方在该项目的承包中出现未按规定执行的情形，我方愿意按照相关规定接受采购人及有关行政主管部门的处罚，愿意承担一切后</w:t>
      </w:r>
      <w:r>
        <w:rPr>
          <w:color w:val="auto"/>
          <w:spacing w:val="80"/>
        </w:rPr>
        <w:t xml:space="preserve"> </w:t>
      </w:r>
      <w:r>
        <w:rPr>
          <w:color w:val="auto"/>
          <w:spacing w:val="-2"/>
        </w:rPr>
        <w:t>果，并不再寻求任何旨在减轻或者免除法律责任的辩解。</w:t>
      </w:r>
    </w:p>
    <w:p w14:paraId="03F790E7">
      <w:pPr>
        <w:pStyle w:val="12"/>
        <w:spacing w:before="0"/>
        <w:ind w:left="0"/>
        <w:rPr>
          <w:color w:val="auto"/>
          <w:sz w:val="24"/>
        </w:rPr>
      </w:pPr>
    </w:p>
    <w:p w14:paraId="2D65341D">
      <w:pPr>
        <w:pStyle w:val="12"/>
        <w:spacing w:before="247"/>
        <w:ind w:left="0"/>
        <w:rPr>
          <w:color w:val="auto"/>
          <w:sz w:val="24"/>
        </w:rPr>
      </w:pPr>
    </w:p>
    <w:p w14:paraId="5D7FA83C">
      <w:pPr>
        <w:pStyle w:val="11"/>
        <w:tabs>
          <w:tab w:val="left" w:pos="5108"/>
          <w:tab w:val="left" w:pos="5708"/>
        </w:tabs>
        <w:spacing w:line="451" w:lineRule="auto"/>
        <w:ind w:left="4508" w:right="3575" w:hanging="120"/>
        <w:rPr>
          <w:color w:val="auto"/>
        </w:rPr>
      </w:pPr>
      <w:r>
        <w:rPr>
          <w:color w:val="auto"/>
          <w:spacing w:val="-2"/>
        </w:rPr>
        <w:t>供应商（电子签章）：</w:t>
      </w:r>
      <w:r>
        <w:rPr>
          <w:color w:val="auto"/>
          <w:spacing w:val="-10"/>
        </w:rPr>
        <w:t>年</w:t>
      </w:r>
      <w:r>
        <w:rPr>
          <w:color w:val="auto"/>
        </w:rPr>
        <w:tab/>
      </w:r>
      <w:r>
        <w:rPr>
          <w:color w:val="auto"/>
          <w:spacing w:val="-10"/>
        </w:rPr>
        <w:t>月</w:t>
      </w:r>
      <w:r>
        <w:rPr>
          <w:color w:val="auto"/>
        </w:rPr>
        <w:tab/>
      </w:r>
      <w:r>
        <w:rPr>
          <w:color w:val="auto"/>
          <w:spacing w:val="-10"/>
        </w:rPr>
        <w:t>日</w:t>
      </w:r>
    </w:p>
    <w:p w14:paraId="3AD4A38E">
      <w:pPr>
        <w:spacing w:after="0" w:line="451" w:lineRule="auto"/>
        <w:rPr>
          <w:color w:val="auto"/>
        </w:rPr>
        <w:sectPr>
          <w:pgSz w:w="11910" w:h="16840"/>
          <w:pgMar w:top="1400" w:right="740" w:bottom="1180" w:left="800" w:header="0" w:footer="989" w:gutter="0"/>
          <w:cols w:space="720" w:num="1"/>
        </w:sectPr>
      </w:pPr>
    </w:p>
    <w:p w14:paraId="619790B0">
      <w:pPr>
        <w:pStyle w:val="12"/>
        <w:spacing w:before="54"/>
        <w:rPr>
          <w:color w:val="auto"/>
        </w:rPr>
      </w:pPr>
      <w:r>
        <w:rPr>
          <w:color w:val="auto"/>
          <w:spacing w:val="-2"/>
        </w:rPr>
        <w:t>代理服务费承诺书（如本项目为采购人支付代理服务费的，无需提供</w:t>
      </w:r>
      <w:r>
        <w:rPr>
          <w:color w:val="auto"/>
          <w:spacing w:val="-10"/>
        </w:rPr>
        <w:t>）</w:t>
      </w:r>
    </w:p>
    <w:p w14:paraId="02FCB7F4">
      <w:pPr>
        <w:pStyle w:val="12"/>
        <w:spacing w:before="0"/>
        <w:ind w:left="0"/>
        <w:rPr>
          <w:color w:val="auto"/>
        </w:rPr>
      </w:pPr>
    </w:p>
    <w:p w14:paraId="74937376">
      <w:pPr>
        <w:pStyle w:val="12"/>
        <w:spacing w:before="80"/>
        <w:ind w:left="0"/>
        <w:rPr>
          <w:color w:val="auto"/>
        </w:rPr>
      </w:pPr>
    </w:p>
    <w:p w14:paraId="08363026">
      <w:pPr>
        <w:pStyle w:val="6"/>
        <w:ind w:right="837"/>
        <w:jc w:val="center"/>
        <w:rPr>
          <w:color w:val="auto"/>
        </w:rPr>
      </w:pPr>
      <w:r>
        <w:rPr>
          <w:color w:val="auto"/>
          <w:spacing w:val="-5"/>
        </w:rPr>
        <w:t>代理服务费承诺书</w:t>
      </w:r>
    </w:p>
    <w:p w14:paraId="59B2FE04">
      <w:pPr>
        <w:pStyle w:val="12"/>
        <w:spacing w:before="123"/>
        <w:ind w:left="0"/>
        <w:rPr>
          <w:color w:val="auto"/>
          <w:sz w:val="32"/>
        </w:rPr>
      </w:pPr>
    </w:p>
    <w:p w14:paraId="3795D186">
      <w:pPr>
        <w:pStyle w:val="11"/>
        <w:rPr>
          <w:color w:val="auto"/>
        </w:rPr>
      </w:pPr>
      <w:r>
        <w:rPr>
          <w:color w:val="auto"/>
        </w:rPr>
        <w:t>致：</w:t>
      </w:r>
      <w:r>
        <w:rPr>
          <w:color w:val="auto"/>
          <w:spacing w:val="-2"/>
          <w:u w:val="single"/>
        </w:rPr>
        <w:t>采购代理机构名称</w:t>
      </w:r>
    </w:p>
    <w:p w14:paraId="59C22BE1">
      <w:pPr>
        <w:pStyle w:val="11"/>
        <w:spacing w:before="153" w:line="360" w:lineRule="auto"/>
        <w:ind w:left="1268" w:right="791"/>
        <w:rPr>
          <w:color w:val="auto"/>
        </w:rPr>
      </w:pPr>
      <w:r>
        <w:rPr>
          <w:color w:val="auto"/>
        </w:rPr>
        <w:t>本单位参加了贵方组织的</w:t>
      </w:r>
      <w:r>
        <w:rPr>
          <w:rFonts w:ascii="Times New Roman" w:eastAsia="Times New Roman"/>
          <w:color w:val="auto"/>
          <w:spacing w:val="80"/>
          <w:u w:val="single"/>
        </w:rPr>
        <w:t xml:space="preserve">  </w:t>
      </w:r>
      <w:r>
        <w:rPr>
          <w:color w:val="auto"/>
          <w:u w:val="single"/>
        </w:rPr>
        <w:t>项目名称（项目编号）</w:t>
      </w:r>
      <w:r>
        <w:rPr>
          <w:color w:val="auto"/>
          <w:spacing w:val="80"/>
          <w:w w:val="150"/>
          <w:u w:val="single"/>
        </w:rPr>
        <w:t xml:space="preserve"> </w:t>
      </w:r>
      <w:r>
        <w:rPr>
          <w:color w:val="auto"/>
          <w:u w:val="none"/>
        </w:rPr>
        <w:t>项目， 在此说明如下： 1</w:t>
      </w:r>
      <w:r>
        <w:rPr>
          <w:color w:val="auto"/>
          <w:spacing w:val="-1"/>
          <w:u w:val="none"/>
        </w:rPr>
        <w:t>.我方承诺，若本单位成交，保证在发出成交通知书之后，按本项目磋商文件</w:t>
      </w:r>
    </w:p>
    <w:p w14:paraId="5256FA5C">
      <w:pPr>
        <w:pStyle w:val="11"/>
        <w:spacing w:line="360" w:lineRule="auto"/>
        <w:ind w:right="788"/>
        <w:jc w:val="both"/>
        <w:rPr>
          <w:color w:val="auto"/>
        </w:rPr>
      </w:pPr>
      <w:r>
        <w:rPr>
          <w:color w:val="auto"/>
        </w:rPr>
        <w:t>的规定标准向贵单位一次性足额支付代理服务费, 在领取成交通知书后，由于被质</w:t>
      </w:r>
      <w:r>
        <w:rPr>
          <w:color w:val="auto"/>
          <w:spacing w:val="-2"/>
        </w:rPr>
        <w:t>疑、投诉或者其他原因而导致成交结果改变，我方将放弃对已缴纳的成交服务费追还的一切权利。</w:t>
      </w:r>
    </w:p>
    <w:p w14:paraId="09476B28">
      <w:pPr>
        <w:pStyle w:val="11"/>
        <w:tabs>
          <w:tab w:val="left" w:pos="3548"/>
        </w:tabs>
        <w:spacing w:line="357" w:lineRule="auto"/>
        <w:ind w:left="1268" w:right="3215"/>
        <w:rPr>
          <w:color w:val="auto"/>
        </w:rPr>
      </w:pPr>
      <w:r>
        <w:rPr>
          <w:color w:val="auto"/>
          <w:spacing w:val="-2"/>
        </w:rPr>
        <w:t>2.本单位选择第</w:t>
      </w:r>
      <w:r>
        <w:rPr>
          <w:rFonts w:ascii="Times New Roman" w:eastAsia="Times New Roman"/>
          <w:color w:val="auto"/>
          <w:u w:val="single"/>
        </w:rPr>
        <w:tab/>
      </w:r>
      <w:r>
        <w:rPr>
          <w:color w:val="auto"/>
          <w:spacing w:val="-2"/>
          <w:u w:val="none"/>
        </w:rPr>
        <w:t>种方式作为代理服务费开票类型：第一种方式：开具增值税普通发票。开票信息如下：</w:t>
      </w:r>
    </w:p>
    <w:p w14:paraId="5667662D">
      <w:pPr>
        <w:pStyle w:val="11"/>
        <w:numPr>
          <w:ilvl w:val="0"/>
          <w:numId w:val="53"/>
        </w:numPr>
        <w:tabs>
          <w:tab w:val="left" w:pos="1868"/>
          <w:tab w:val="left" w:pos="5707"/>
        </w:tabs>
        <w:spacing w:before="0" w:after="0" w:line="240" w:lineRule="auto"/>
        <w:ind w:left="1868" w:right="0" w:hanging="600"/>
        <w:jc w:val="left"/>
        <w:rPr>
          <w:color w:val="auto"/>
        </w:rPr>
      </w:pPr>
      <w:r>
        <w:rPr>
          <w:color w:val="auto"/>
        </w:rPr>
        <w:t>公司名称</w:t>
      </w:r>
      <w:r>
        <w:rPr>
          <w:color w:val="auto"/>
          <w:spacing w:val="-10"/>
          <w:u w:val="single"/>
        </w:rPr>
        <w:t>_</w:t>
      </w:r>
      <w:r>
        <w:rPr>
          <w:color w:val="auto"/>
          <w:u w:val="single"/>
        </w:rPr>
        <w:tab/>
      </w:r>
      <w:r>
        <w:rPr>
          <w:color w:val="auto"/>
          <w:spacing w:val="-10"/>
          <w:u w:val="none"/>
        </w:rPr>
        <w:t>；</w:t>
      </w:r>
    </w:p>
    <w:p w14:paraId="3D04724F">
      <w:pPr>
        <w:pStyle w:val="11"/>
        <w:numPr>
          <w:ilvl w:val="0"/>
          <w:numId w:val="53"/>
        </w:numPr>
        <w:tabs>
          <w:tab w:val="left" w:pos="1868"/>
          <w:tab w:val="left" w:pos="5707"/>
        </w:tabs>
        <w:spacing w:before="155" w:after="0" w:line="240" w:lineRule="auto"/>
        <w:ind w:left="1868" w:right="0" w:hanging="600"/>
        <w:jc w:val="left"/>
        <w:rPr>
          <w:color w:val="auto"/>
        </w:rPr>
      </w:pPr>
      <w:r>
        <w:rPr>
          <w:color w:val="auto"/>
        </w:rPr>
        <w:t>纳税人识别号</w:t>
      </w:r>
      <w:r>
        <w:rPr>
          <w:color w:val="auto"/>
          <w:spacing w:val="-10"/>
          <w:u w:val="single"/>
        </w:rPr>
        <w:t>_</w:t>
      </w:r>
      <w:r>
        <w:rPr>
          <w:color w:val="auto"/>
          <w:u w:val="single"/>
        </w:rPr>
        <w:tab/>
      </w:r>
      <w:r>
        <w:rPr>
          <w:color w:val="auto"/>
          <w:spacing w:val="-10"/>
          <w:u w:val="none"/>
        </w:rPr>
        <w:t>。</w:t>
      </w:r>
    </w:p>
    <w:p w14:paraId="3D67DD5C">
      <w:pPr>
        <w:pStyle w:val="11"/>
        <w:spacing w:before="154"/>
        <w:ind w:left="1268"/>
        <w:rPr>
          <w:color w:val="auto"/>
        </w:rPr>
      </w:pPr>
      <w:r>
        <w:rPr>
          <w:color w:val="auto"/>
          <w:spacing w:val="-1"/>
        </w:rPr>
        <w:t>第二种方式：开具增值税专用发票，开票信息如下：</w:t>
      </w:r>
    </w:p>
    <w:p w14:paraId="191F686B">
      <w:pPr>
        <w:pStyle w:val="11"/>
        <w:numPr>
          <w:ilvl w:val="0"/>
          <w:numId w:val="54"/>
        </w:numPr>
        <w:tabs>
          <w:tab w:val="left" w:pos="1868"/>
          <w:tab w:val="left" w:pos="6187"/>
        </w:tabs>
        <w:spacing w:before="156" w:after="0" w:line="240" w:lineRule="auto"/>
        <w:ind w:left="1868" w:right="0" w:hanging="600"/>
        <w:jc w:val="left"/>
        <w:rPr>
          <w:color w:val="auto"/>
        </w:rPr>
      </w:pPr>
      <w:r>
        <w:rPr>
          <w:color w:val="auto"/>
        </w:rPr>
        <w:t>公司名称</w:t>
      </w:r>
      <w:r>
        <w:rPr>
          <w:color w:val="auto"/>
          <w:spacing w:val="-10"/>
          <w:u w:val="single"/>
        </w:rPr>
        <w:t>_</w:t>
      </w:r>
      <w:r>
        <w:rPr>
          <w:color w:val="auto"/>
          <w:u w:val="single"/>
        </w:rPr>
        <w:tab/>
      </w:r>
      <w:r>
        <w:rPr>
          <w:color w:val="auto"/>
          <w:spacing w:val="-10"/>
          <w:u w:val="none"/>
        </w:rPr>
        <w:t>；</w:t>
      </w:r>
    </w:p>
    <w:p w14:paraId="00DB4D2D">
      <w:pPr>
        <w:pStyle w:val="11"/>
        <w:numPr>
          <w:ilvl w:val="0"/>
          <w:numId w:val="54"/>
        </w:numPr>
        <w:tabs>
          <w:tab w:val="left" w:pos="1868"/>
          <w:tab w:val="left" w:pos="6187"/>
        </w:tabs>
        <w:spacing w:before="154" w:after="0" w:line="240" w:lineRule="auto"/>
        <w:ind w:left="1868" w:right="0" w:hanging="600"/>
        <w:jc w:val="left"/>
        <w:rPr>
          <w:color w:val="auto"/>
        </w:rPr>
      </w:pPr>
      <w:r>
        <w:rPr>
          <w:color w:val="auto"/>
        </w:rPr>
        <w:t>纳税人识别号</w:t>
      </w:r>
      <w:r>
        <w:rPr>
          <w:color w:val="auto"/>
          <w:spacing w:val="-10"/>
          <w:u w:val="single"/>
        </w:rPr>
        <w:t>_</w:t>
      </w:r>
      <w:r>
        <w:rPr>
          <w:color w:val="auto"/>
          <w:u w:val="single"/>
        </w:rPr>
        <w:tab/>
      </w:r>
      <w:r>
        <w:rPr>
          <w:color w:val="auto"/>
          <w:spacing w:val="-10"/>
          <w:u w:val="none"/>
        </w:rPr>
        <w:t>；</w:t>
      </w:r>
    </w:p>
    <w:p w14:paraId="52CF138F">
      <w:pPr>
        <w:pStyle w:val="11"/>
        <w:numPr>
          <w:ilvl w:val="0"/>
          <w:numId w:val="54"/>
        </w:numPr>
        <w:tabs>
          <w:tab w:val="left" w:pos="1868"/>
          <w:tab w:val="left" w:pos="6187"/>
        </w:tabs>
        <w:spacing w:before="156" w:after="0" w:line="240" w:lineRule="auto"/>
        <w:ind w:left="1868" w:right="0" w:hanging="600"/>
        <w:jc w:val="left"/>
        <w:rPr>
          <w:color w:val="auto"/>
        </w:rPr>
      </w:pPr>
      <w:r>
        <w:rPr>
          <w:color w:val="auto"/>
        </w:rPr>
        <w:t>在税局登记的地址</w:t>
      </w:r>
      <w:r>
        <w:rPr>
          <w:color w:val="auto"/>
          <w:spacing w:val="-10"/>
          <w:u w:val="single"/>
        </w:rPr>
        <w:t>_</w:t>
      </w:r>
      <w:r>
        <w:rPr>
          <w:color w:val="auto"/>
          <w:u w:val="single"/>
        </w:rPr>
        <w:tab/>
      </w:r>
      <w:r>
        <w:rPr>
          <w:color w:val="auto"/>
          <w:spacing w:val="-10"/>
          <w:u w:val="none"/>
        </w:rPr>
        <w:t>；</w:t>
      </w:r>
    </w:p>
    <w:p w14:paraId="4848DA77">
      <w:pPr>
        <w:pStyle w:val="11"/>
        <w:numPr>
          <w:ilvl w:val="0"/>
          <w:numId w:val="54"/>
        </w:numPr>
        <w:tabs>
          <w:tab w:val="left" w:pos="1868"/>
          <w:tab w:val="left" w:pos="6187"/>
        </w:tabs>
        <w:spacing w:before="153" w:after="0" w:line="240" w:lineRule="auto"/>
        <w:ind w:left="1868" w:right="0" w:hanging="600"/>
        <w:jc w:val="left"/>
        <w:rPr>
          <w:color w:val="auto"/>
        </w:rPr>
      </w:pPr>
      <w:r>
        <w:rPr>
          <w:color w:val="auto"/>
        </w:rPr>
        <w:t>在税局登记的电话</w:t>
      </w:r>
      <w:r>
        <w:rPr>
          <w:color w:val="auto"/>
          <w:spacing w:val="-10"/>
          <w:u w:val="single"/>
        </w:rPr>
        <w:t>_</w:t>
      </w:r>
      <w:r>
        <w:rPr>
          <w:color w:val="auto"/>
          <w:u w:val="single"/>
        </w:rPr>
        <w:tab/>
      </w:r>
      <w:r>
        <w:rPr>
          <w:color w:val="auto"/>
          <w:spacing w:val="-10"/>
          <w:u w:val="none"/>
        </w:rPr>
        <w:t>；</w:t>
      </w:r>
    </w:p>
    <w:p w14:paraId="05CADD77">
      <w:pPr>
        <w:pStyle w:val="11"/>
        <w:numPr>
          <w:ilvl w:val="0"/>
          <w:numId w:val="54"/>
        </w:numPr>
        <w:tabs>
          <w:tab w:val="left" w:pos="1868"/>
          <w:tab w:val="left" w:pos="6187"/>
        </w:tabs>
        <w:spacing w:before="156" w:after="0" w:line="240" w:lineRule="auto"/>
        <w:ind w:left="1868" w:right="0" w:hanging="600"/>
        <w:jc w:val="left"/>
        <w:rPr>
          <w:color w:val="auto"/>
        </w:rPr>
      </w:pPr>
      <w:r>
        <w:rPr>
          <w:color w:val="auto"/>
        </w:rPr>
        <w:t>开户银行</w:t>
      </w:r>
      <w:r>
        <w:rPr>
          <w:color w:val="auto"/>
          <w:spacing w:val="-10"/>
          <w:u w:val="single"/>
        </w:rPr>
        <w:t>_</w:t>
      </w:r>
      <w:r>
        <w:rPr>
          <w:color w:val="auto"/>
          <w:u w:val="single"/>
        </w:rPr>
        <w:tab/>
      </w:r>
      <w:r>
        <w:rPr>
          <w:color w:val="auto"/>
          <w:spacing w:val="-10"/>
          <w:u w:val="none"/>
        </w:rPr>
        <w:t>；</w:t>
      </w:r>
    </w:p>
    <w:p w14:paraId="75EA645E">
      <w:pPr>
        <w:pStyle w:val="11"/>
        <w:numPr>
          <w:ilvl w:val="0"/>
          <w:numId w:val="54"/>
        </w:numPr>
        <w:tabs>
          <w:tab w:val="left" w:pos="1868"/>
          <w:tab w:val="left" w:pos="6187"/>
        </w:tabs>
        <w:spacing w:before="154" w:after="0" w:line="240" w:lineRule="auto"/>
        <w:ind w:left="1868" w:right="0" w:hanging="600"/>
        <w:jc w:val="left"/>
        <w:rPr>
          <w:color w:val="auto"/>
        </w:rPr>
      </w:pPr>
      <w:r>
        <w:rPr>
          <w:color w:val="auto"/>
        </w:rPr>
        <w:t>银行账户</w:t>
      </w:r>
      <w:r>
        <w:rPr>
          <w:color w:val="auto"/>
          <w:spacing w:val="-10"/>
          <w:u w:val="single"/>
        </w:rPr>
        <w:t>_</w:t>
      </w:r>
      <w:r>
        <w:rPr>
          <w:color w:val="auto"/>
          <w:u w:val="single"/>
        </w:rPr>
        <w:tab/>
      </w:r>
      <w:r>
        <w:rPr>
          <w:color w:val="auto"/>
          <w:spacing w:val="-10"/>
          <w:u w:val="none"/>
        </w:rPr>
        <w:t>。</w:t>
      </w:r>
    </w:p>
    <w:p w14:paraId="6CBB01E7">
      <w:pPr>
        <w:pStyle w:val="12"/>
        <w:spacing w:before="0"/>
        <w:ind w:left="0"/>
        <w:rPr>
          <w:color w:val="auto"/>
          <w:sz w:val="24"/>
        </w:rPr>
      </w:pPr>
    </w:p>
    <w:p w14:paraId="3945CC06">
      <w:pPr>
        <w:pStyle w:val="12"/>
        <w:spacing w:before="0"/>
        <w:ind w:left="0"/>
        <w:rPr>
          <w:color w:val="auto"/>
          <w:sz w:val="24"/>
        </w:rPr>
      </w:pPr>
    </w:p>
    <w:p w14:paraId="63E29C35">
      <w:pPr>
        <w:pStyle w:val="12"/>
        <w:spacing w:before="0"/>
        <w:ind w:left="0"/>
        <w:rPr>
          <w:color w:val="auto"/>
          <w:sz w:val="24"/>
        </w:rPr>
      </w:pPr>
    </w:p>
    <w:p w14:paraId="5140EB61">
      <w:pPr>
        <w:pStyle w:val="12"/>
        <w:spacing w:before="228"/>
        <w:ind w:left="0"/>
        <w:rPr>
          <w:color w:val="auto"/>
          <w:sz w:val="24"/>
        </w:rPr>
      </w:pPr>
    </w:p>
    <w:p w14:paraId="05C9F7FC">
      <w:pPr>
        <w:pStyle w:val="11"/>
        <w:ind w:left="0" w:right="2137"/>
        <w:jc w:val="right"/>
        <w:rPr>
          <w:color w:val="auto"/>
        </w:rPr>
      </w:pPr>
      <w:r>
        <w:rPr>
          <w:color w:val="auto"/>
        </w:rPr>
        <w:t>法定代表人或者委托代理人（签字或者电子签名</w:t>
      </w:r>
      <w:r>
        <w:rPr>
          <w:color w:val="auto"/>
          <w:spacing w:val="-5"/>
        </w:rPr>
        <w:t>）：</w:t>
      </w:r>
    </w:p>
    <w:p w14:paraId="5ADAFA94">
      <w:pPr>
        <w:pStyle w:val="11"/>
        <w:spacing w:before="153"/>
        <w:ind w:left="0" w:right="2166"/>
        <w:jc w:val="right"/>
        <w:rPr>
          <w:color w:val="auto"/>
        </w:rPr>
      </w:pPr>
      <w:r>
        <w:rPr>
          <w:color w:val="auto"/>
        </w:rPr>
        <w:t>供应商公章（电子签章</w:t>
      </w:r>
      <w:r>
        <w:rPr>
          <w:color w:val="auto"/>
          <w:spacing w:val="-5"/>
        </w:rPr>
        <w:t>）：</w:t>
      </w:r>
    </w:p>
    <w:p w14:paraId="26FDF335">
      <w:pPr>
        <w:pStyle w:val="11"/>
        <w:tabs>
          <w:tab w:val="left" w:pos="7460"/>
          <w:tab w:val="left" w:pos="8060"/>
          <w:tab w:val="left" w:pos="8660"/>
        </w:tabs>
        <w:spacing w:before="156"/>
        <w:ind w:left="6260"/>
        <w:rPr>
          <w:color w:val="auto"/>
        </w:rPr>
      </w:pPr>
      <w:r>
        <w:rPr>
          <w:color w:val="auto"/>
        </w:rPr>
        <w:t>日期</w:t>
      </w:r>
      <w:r>
        <w:rPr>
          <w:color w:val="auto"/>
          <w:spacing w:val="-10"/>
        </w:rPr>
        <w:t>：</w:t>
      </w:r>
      <w:r>
        <w:rPr>
          <w:color w:val="auto"/>
        </w:rPr>
        <w:tab/>
      </w:r>
      <w:r>
        <w:rPr>
          <w:color w:val="auto"/>
          <w:spacing w:val="-10"/>
        </w:rPr>
        <w:t>年</w:t>
      </w:r>
      <w:r>
        <w:rPr>
          <w:color w:val="auto"/>
        </w:rPr>
        <w:tab/>
      </w:r>
      <w:r>
        <w:rPr>
          <w:color w:val="auto"/>
          <w:spacing w:val="-10"/>
        </w:rPr>
        <w:t>月</w:t>
      </w:r>
      <w:r>
        <w:rPr>
          <w:color w:val="auto"/>
        </w:rPr>
        <w:tab/>
      </w:r>
      <w:r>
        <w:rPr>
          <w:color w:val="auto"/>
          <w:spacing w:val="-10"/>
        </w:rPr>
        <w:t>日</w:t>
      </w:r>
    </w:p>
    <w:p w14:paraId="45FFE86E">
      <w:pPr>
        <w:spacing w:after="0"/>
        <w:rPr>
          <w:color w:val="auto"/>
        </w:rPr>
        <w:sectPr>
          <w:pgSz w:w="11910" w:h="16840"/>
          <w:pgMar w:top="1380" w:right="740" w:bottom="1180" w:left="800" w:header="0" w:footer="989" w:gutter="0"/>
          <w:cols w:space="720" w:num="1"/>
        </w:sectPr>
      </w:pPr>
    </w:p>
    <w:p w14:paraId="27E4B69B">
      <w:pPr>
        <w:pStyle w:val="5"/>
        <w:ind w:right="842"/>
        <w:rPr>
          <w:color w:val="auto"/>
        </w:rPr>
      </w:pPr>
      <w:r>
        <w:rPr>
          <w:color w:val="auto"/>
          <w:spacing w:val="-4"/>
        </w:rPr>
        <w:t>施工组织设计</w:t>
      </w:r>
    </w:p>
    <w:p w14:paraId="5B948B37">
      <w:pPr>
        <w:pStyle w:val="12"/>
        <w:spacing w:before="0"/>
        <w:ind w:left="0"/>
        <w:rPr>
          <w:b/>
          <w:color w:val="auto"/>
          <w:sz w:val="32"/>
        </w:rPr>
      </w:pPr>
    </w:p>
    <w:p w14:paraId="10147075">
      <w:pPr>
        <w:pStyle w:val="12"/>
        <w:spacing w:before="26"/>
        <w:ind w:left="0"/>
        <w:rPr>
          <w:b/>
          <w:color w:val="auto"/>
          <w:sz w:val="32"/>
        </w:rPr>
      </w:pPr>
    </w:p>
    <w:p w14:paraId="2615A960">
      <w:pPr>
        <w:pStyle w:val="21"/>
        <w:numPr>
          <w:ilvl w:val="0"/>
          <w:numId w:val="55"/>
        </w:numPr>
        <w:tabs>
          <w:tab w:val="left" w:pos="1471"/>
        </w:tabs>
        <w:spacing w:before="0" w:after="0" w:line="357" w:lineRule="auto"/>
        <w:ind w:left="788" w:right="791" w:firstLine="420"/>
        <w:jc w:val="left"/>
        <w:rPr>
          <w:color w:val="auto"/>
          <w:sz w:val="21"/>
        </w:rPr>
      </w:pPr>
      <w:r>
        <w:rPr>
          <w:color w:val="auto"/>
          <w:spacing w:val="-2"/>
          <w:sz w:val="21"/>
        </w:rPr>
        <w:t>施工组织设计应按以下内容顺序编制，可采用文字并结合图表形式说明施工方法，施工组织设计具体内容如下：</w:t>
      </w:r>
    </w:p>
    <w:p w14:paraId="0A80F15D">
      <w:pPr>
        <w:pStyle w:val="21"/>
        <w:numPr>
          <w:ilvl w:val="0"/>
          <w:numId w:val="56"/>
        </w:numPr>
        <w:tabs>
          <w:tab w:val="left" w:pos="1729"/>
        </w:tabs>
        <w:spacing w:before="2" w:after="0" w:line="240" w:lineRule="auto"/>
        <w:ind w:left="1729" w:right="0" w:hanging="521"/>
        <w:jc w:val="left"/>
        <w:rPr>
          <w:color w:val="auto"/>
          <w:sz w:val="21"/>
        </w:rPr>
      </w:pPr>
      <w:r>
        <w:rPr>
          <w:color w:val="auto"/>
          <w:spacing w:val="-6"/>
          <w:sz w:val="21"/>
        </w:rPr>
        <w:t>概述</w:t>
      </w:r>
    </w:p>
    <w:p w14:paraId="4AD81196">
      <w:pPr>
        <w:pStyle w:val="21"/>
        <w:numPr>
          <w:ilvl w:val="0"/>
          <w:numId w:val="56"/>
        </w:numPr>
        <w:tabs>
          <w:tab w:val="left" w:pos="1729"/>
        </w:tabs>
        <w:spacing w:before="138" w:after="0" w:line="240" w:lineRule="auto"/>
        <w:ind w:left="1729" w:right="0" w:hanging="521"/>
        <w:jc w:val="left"/>
        <w:rPr>
          <w:color w:val="auto"/>
          <w:sz w:val="21"/>
        </w:rPr>
      </w:pPr>
      <w:r>
        <w:rPr>
          <w:color w:val="auto"/>
          <w:spacing w:val="-4"/>
          <w:sz w:val="21"/>
        </w:rPr>
        <w:t>主要施工方法；</w:t>
      </w:r>
    </w:p>
    <w:p w14:paraId="012FB2D9">
      <w:pPr>
        <w:pStyle w:val="21"/>
        <w:numPr>
          <w:ilvl w:val="0"/>
          <w:numId w:val="56"/>
        </w:numPr>
        <w:tabs>
          <w:tab w:val="left" w:pos="1729"/>
        </w:tabs>
        <w:spacing w:before="135" w:after="0" w:line="240" w:lineRule="auto"/>
        <w:ind w:left="1729" w:right="0" w:hanging="521"/>
        <w:jc w:val="left"/>
        <w:rPr>
          <w:color w:val="auto"/>
          <w:sz w:val="21"/>
        </w:rPr>
      </w:pPr>
      <w:r>
        <w:rPr>
          <w:color w:val="auto"/>
          <w:spacing w:val="-3"/>
          <w:sz w:val="21"/>
        </w:rPr>
        <w:t>拟投入的主要物资计划</w:t>
      </w:r>
    </w:p>
    <w:p w14:paraId="536C8DCB">
      <w:pPr>
        <w:pStyle w:val="21"/>
        <w:numPr>
          <w:ilvl w:val="0"/>
          <w:numId w:val="56"/>
        </w:numPr>
        <w:tabs>
          <w:tab w:val="left" w:pos="1729"/>
        </w:tabs>
        <w:spacing w:before="135" w:after="0" w:line="240" w:lineRule="auto"/>
        <w:ind w:left="1729" w:right="0" w:hanging="521"/>
        <w:jc w:val="left"/>
        <w:rPr>
          <w:color w:val="auto"/>
          <w:sz w:val="21"/>
        </w:rPr>
      </w:pPr>
      <w:r>
        <w:rPr>
          <w:color w:val="auto"/>
          <w:spacing w:val="-4"/>
          <w:sz w:val="21"/>
        </w:rPr>
        <w:t>劳动力安排计划；</w:t>
      </w:r>
    </w:p>
    <w:p w14:paraId="2C466187">
      <w:pPr>
        <w:pStyle w:val="21"/>
        <w:numPr>
          <w:ilvl w:val="0"/>
          <w:numId w:val="56"/>
        </w:numPr>
        <w:tabs>
          <w:tab w:val="left" w:pos="1729"/>
        </w:tabs>
        <w:spacing w:before="135" w:after="0" w:line="240" w:lineRule="auto"/>
        <w:ind w:left="1729" w:right="0" w:hanging="521"/>
        <w:jc w:val="left"/>
        <w:rPr>
          <w:color w:val="auto"/>
          <w:sz w:val="21"/>
        </w:rPr>
      </w:pPr>
      <w:r>
        <w:rPr>
          <w:color w:val="auto"/>
          <w:spacing w:val="-3"/>
          <w:sz w:val="21"/>
        </w:rPr>
        <w:t>确保工程质量的技术组织措施；</w:t>
      </w:r>
    </w:p>
    <w:p w14:paraId="25B15B14">
      <w:pPr>
        <w:pStyle w:val="21"/>
        <w:numPr>
          <w:ilvl w:val="0"/>
          <w:numId w:val="56"/>
        </w:numPr>
        <w:tabs>
          <w:tab w:val="left" w:pos="1729"/>
        </w:tabs>
        <w:spacing w:before="137" w:after="0" w:line="240" w:lineRule="auto"/>
        <w:ind w:left="1729" w:right="0" w:hanging="521"/>
        <w:jc w:val="left"/>
        <w:rPr>
          <w:color w:val="auto"/>
          <w:sz w:val="21"/>
        </w:rPr>
      </w:pPr>
      <w:r>
        <w:rPr>
          <w:color w:val="auto"/>
          <w:spacing w:val="-3"/>
          <w:sz w:val="21"/>
        </w:rPr>
        <w:t>确保安全生产的技术组织措施；</w:t>
      </w:r>
    </w:p>
    <w:p w14:paraId="17E976F7">
      <w:pPr>
        <w:pStyle w:val="21"/>
        <w:numPr>
          <w:ilvl w:val="0"/>
          <w:numId w:val="56"/>
        </w:numPr>
        <w:tabs>
          <w:tab w:val="left" w:pos="1729"/>
        </w:tabs>
        <w:spacing w:before="135" w:after="0" w:line="240" w:lineRule="auto"/>
        <w:ind w:left="1729" w:right="0" w:hanging="521"/>
        <w:jc w:val="left"/>
        <w:rPr>
          <w:color w:val="auto"/>
          <w:sz w:val="21"/>
        </w:rPr>
      </w:pPr>
      <w:r>
        <w:rPr>
          <w:color w:val="auto"/>
          <w:spacing w:val="-3"/>
          <w:sz w:val="21"/>
        </w:rPr>
        <w:t>确保工期的技术组织措施；</w:t>
      </w:r>
    </w:p>
    <w:p w14:paraId="6A71EC50">
      <w:pPr>
        <w:pStyle w:val="21"/>
        <w:numPr>
          <w:ilvl w:val="0"/>
          <w:numId w:val="56"/>
        </w:numPr>
        <w:tabs>
          <w:tab w:val="left" w:pos="1729"/>
        </w:tabs>
        <w:spacing w:before="135" w:after="0" w:line="240" w:lineRule="auto"/>
        <w:ind w:left="1729" w:right="0" w:hanging="521"/>
        <w:jc w:val="left"/>
        <w:rPr>
          <w:color w:val="auto"/>
          <w:sz w:val="21"/>
        </w:rPr>
      </w:pPr>
      <w:r>
        <w:rPr>
          <w:color w:val="auto"/>
          <w:spacing w:val="-3"/>
          <w:sz w:val="21"/>
        </w:rPr>
        <w:t>确保文明施工的技术组织措施；</w:t>
      </w:r>
    </w:p>
    <w:p w14:paraId="48515008">
      <w:pPr>
        <w:pStyle w:val="21"/>
        <w:numPr>
          <w:ilvl w:val="0"/>
          <w:numId w:val="56"/>
        </w:numPr>
        <w:tabs>
          <w:tab w:val="left" w:pos="1729"/>
        </w:tabs>
        <w:spacing w:before="135" w:after="0" w:line="240" w:lineRule="auto"/>
        <w:ind w:left="1729" w:right="0" w:hanging="521"/>
        <w:jc w:val="left"/>
        <w:rPr>
          <w:color w:val="auto"/>
          <w:sz w:val="21"/>
        </w:rPr>
      </w:pPr>
      <w:r>
        <w:rPr>
          <w:color w:val="auto"/>
          <w:spacing w:val="-3"/>
          <w:sz w:val="21"/>
        </w:rPr>
        <w:t>工程施工的重点和难点及保证措施；</w:t>
      </w:r>
    </w:p>
    <w:p w14:paraId="64D5B46E">
      <w:pPr>
        <w:pStyle w:val="21"/>
        <w:numPr>
          <w:ilvl w:val="0"/>
          <w:numId w:val="56"/>
        </w:numPr>
        <w:tabs>
          <w:tab w:val="left" w:pos="1835"/>
        </w:tabs>
        <w:spacing w:before="135" w:after="0" w:line="240" w:lineRule="auto"/>
        <w:ind w:left="1835" w:right="0" w:hanging="627"/>
        <w:jc w:val="left"/>
        <w:rPr>
          <w:color w:val="auto"/>
          <w:sz w:val="21"/>
        </w:rPr>
      </w:pPr>
      <w:r>
        <w:rPr>
          <w:color w:val="auto"/>
          <w:spacing w:val="-3"/>
          <w:sz w:val="21"/>
        </w:rPr>
        <w:t>施工总平面布置图；</w:t>
      </w:r>
    </w:p>
    <w:p w14:paraId="584F5A68">
      <w:pPr>
        <w:pStyle w:val="21"/>
        <w:numPr>
          <w:ilvl w:val="0"/>
          <w:numId w:val="56"/>
        </w:numPr>
        <w:tabs>
          <w:tab w:val="left" w:pos="1835"/>
        </w:tabs>
        <w:spacing w:before="138" w:after="0" w:line="240" w:lineRule="auto"/>
        <w:ind w:left="1835" w:right="0" w:hanging="627"/>
        <w:jc w:val="left"/>
        <w:rPr>
          <w:color w:val="auto"/>
          <w:sz w:val="21"/>
        </w:rPr>
      </w:pPr>
      <w:r>
        <w:rPr>
          <w:color w:val="auto"/>
          <w:spacing w:val="-2"/>
          <w:sz w:val="21"/>
        </w:rPr>
        <w:t>其他（如有）（与第四章“评审程序、评审方法和评审标准”中的评审标准一致</w:t>
      </w:r>
      <w:r>
        <w:rPr>
          <w:color w:val="auto"/>
          <w:spacing w:val="-10"/>
          <w:sz w:val="21"/>
        </w:rPr>
        <w:t>）</w:t>
      </w:r>
    </w:p>
    <w:p w14:paraId="01EEAC3B">
      <w:pPr>
        <w:pStyle w:val="21"/>
        <w:numPr>
          <w:ilvl w:val="0"/>
          <w:numId w:val="55"/>
        </w:numPr>
        <w:tabs>
          <w:tab w:val="left" w:pos="1468"/>
        </w:tabs>
        <w:spacing w:before="135" w:after="0" w:line="357" w:lineRule="auto"/>
        <w:ind w:left="1208" w:right="1756" w:firstLine="0"/>
        <w:jc w:val="left"/>
        <w:rPr>
          <w:color w:val="auto"/>
          <w:sz w:val="21"/>
        </w:rPr>
      </w:pPr>
      <w:r>
        <w:rPr>
          <w:color w:val="auto"/>
          <w:spacing w:val="-2"/>
          <w:sz w:val="21"/>
        </w:rPr>
        <w:t>技术标施工组织设计除采用文字表述外可附下列图表，图表及格式要求附后。</w:t>
      </w:r>
      <w:r>
        <w:rPr>
          <w:color w:val="auto"/>
          <w:spacing w:val="2"/>
          <w:sz w:val="21"/>
        </w:rPr>
        <w:t>附表一 劳动力计划表</w:t>
      </w:r>
    </w:p>
    <w:p w14:paraId="7DE54062">
      <w:pPr>
        <w:pStyle w:val="12"/>
        <w:spacing w:before="2" w:line="360" w:lineRule="auto"/>
        <w:ind w:left="1208" w:right="3277"/>
        <w:rPr>
          <w:color w:val="auto"/>
        </w:rPr>
      </w:pPr>
      <w:r>
        <w:rPr>
          <w:color w:val="auto"/>
        </w:rPr>
        <w:t>附表二 计划开、竣工日期和施工进度计划（网络图或横道图）</w:t>
      </w:r>
      <w:r>
        <w:rPr>
          <w:color w:val="auto"/>
          <w:spacing w:val="2"/>
        </w:rPr>
        <w:t>附表三 施工总平面图</w:t>
      </w:r>
    </w:p>
    <w:p w14:paraId="01C47EE6">
      <w:pPr>
        <w:pStyle w:val="12"/>
        <w:spacing w:before="0" w:line="272" w:lineRule="exact"/>
        <w:ind w:left="1208"/>
        <w:rPr>
          <w:color w:val="auto"/>
        </w:rPr>
      </w:pPr>
      <w:r>
        <w:rPr>
          <w:color w:val="auto"/>
        </w:rPr>
        <w:t>附表四</w:t>
      </w:r>
      <w:r>
        <w:rPr>
          <w:color w:val="auto"/>
          <w:spacing w:val="41"/>
          <w:w w:val="150"/>
        </w:rPr>
        <w:t xml:space="preserve"> </w:t>
      </w:r>
      <w:r>
        <w:rPr>
          <w:color w:val="auto"/>
          <w:spacing w:val="-2"/>
        </w:rPr>
        <w:t>临时用地表</w:t>
      </w:r>
    </w:p>
    <w:p w14:paraId="3781D6D0">
      <w:pPr>
        <w:pStyle w:val="12"/>
        <w:spacing w:before="224"/>
        <w:ind w:left="0"/>
        <w:rPr>
          <w:color w:val="auto"/>
        </w:rPr>
      </w:pPr>
    </w:p>
    <w:p w14:paraId="5C0AFB24">
      <w:pPr>
        <w:pStyle w:val="12"/>
        <w:spacing w:before="0" w:line="272" w:lineRule="exact"/>
        <w:rPr>
          <w:color w:val="auto"/>
        </w:rPr>
      </w:pPr>
      <w:r>
        <w:rPr>
          <w:color w:val="auto"/>
          <w:spacing w:val="-3"/>
        </w:rPr>
        <w:t>附表一：劳动力计划表</w:t>
      </w:r>
    </w:p>
    <w:p w14:paraId="7053E0DA">
      <w:pPr>
        <w:pStyle w:val="12"/>
        <w:spacing w:before="0" w:after="4" w:line="272" w:lineRule="exact"/>
        <w:ind w:left="8452"/>
        <w:rPr>
          <w:color w:val="auto"/>
        </w:rPr>
      </w:pPr>
      <w:r>
        <w:rPr>
          <w:color w:val="auto"/>
          <w:spacing w:val="-7"/>
        </w:rPr>
        <w:t>单位：人</w:t>
      </w:r>
    </w:p>
    <w:tbl>
      <w:tblPr>
        <w:tblStyle w:val="16"/>
        <w:tblW w:w="0" w:type="auto"/>
        <w:tblInd w:w="9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23"/>
        <w:gridCol w:w="961"/>
        <w:gridCol w:w="1257"/>
        <w:gridCol w:w="1257"/>
        <w:gridCol w:w="1258"/>
        <w:gridCol w:w="1257"/>
        <w:gridCol w:w="1258"/>
      </w:tblGrid>
      <w:tr w14:paraId="71148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1223" w:type="dxa"/>
          </w:tcPr>
          <w:p w14:paraId="0B505AF3">
            <w:pPr>
              <w:pStyle w:val="22"/>
              <w:spacing w:line="270" w:lineRule="exact"/>
              <w:ind w:left="401"/>
              <w:rPr>
                <w:color w:val="auto"/>
                <w:sz w:val="21"/>
              </w:rPr>
            </w:pPr>
            <w:r>
              <w:rPr>
                <w:color w:val="auto"/>
                <w:spacing w:val="-8"/>
                <w:sz w:val="21"/>
              </w:rPr>
              <w:t>工种</w:t>
            </w:r>
          </w:p>
        </w:tc>
        <w:tc>
          <w:tcPr>
            <w:tcW w:w="7248" w:type="dxa"/>
            <w:gridSpan w:val="6"/>
          </w:tcPr>
          <w:p w14:paraId="64180AEC">
            <w:pPr>
              <w:pStyle w:val="22"/>
              <w:spacing w:line="270" w:lineRule="exact"/>
              <w:ind w:left="9"/>
              <w:jc w:val="center"/>
              <w:rPr>
                <w:color w:val="auto"/>
                <w:sz w:val="21"/>
              </w:rPr>
            </w:pPr>
            <w:r>
              <w:rPr>
                <w:color w:val="auto"/>
                <w:spacing w:val="-3"/>
                <w:sz w:val="21"/>
              </w:rPr>
              <w:t>按工程施工阶段投入劳动力情况</w:t>
            </w:r>
          </w:p>
        </w:tc>
      </w:tr>
      <w:tr w14:paraId="0CA9C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1223" w:type="dxa"/>
          </w:tcPr>
          <w:p w14:paraId="7D20BE7B">
            <w:pPr>
              <w:pStyle w:val="22"/>
              <w:rPr>
                <w:rFonts w:ascii="Times New Roman"/>
                <w:color w:val="auto"/>
                <w:sz w:val="20"/>
              </w:rPr>
            </w:pPr>
          </w:p>
        </w:tc>
        <w:tc>
          <w:tcPr>
            <w:tcW w:w="961" w:type="dxa"/>
          </w:tcPr>
          <w:p w14:paraId="012285CF">
            <w:pPr>
              <w:pStyle w:val="22"/>
              <w:rPr>
                <w:rFonts w:ascii="Times New Roman"/>
                <w:color w:val="auto"/>
                <w:sz w:val="20"/>
              </w:rPr>
            </w:pPr>
          </w:p>
        </w:tc>
        <w:tc>
          <w:tcPr>
            <w:tcW w:w="1257" w:type="dxa"/>
          </w:tcPr>
          <w:p w14:paraId="68C5365E">
            <w:pPr>
              <w:pStyle w:val="22"/>
              <w:rPr>
                <w:rFonts w:ascii="Times New Roman"/>
                <w:color w:val="auto"/>
                <w:sz w:val="20"/>
              </w:rPr>
            </w:pPr>
          </w:p>
        </w:tc>
        <w:tc>
          <w:tcPr>
            <w:tcW w:w="1257" w:type="dxa"/>
          </w:tcPr>
          <w:p w14:paraId="2878E817">
            <w:pPr>
              <w:pStyle w:val="22"/>
              <w:rPr>
                <w:rFonts w:ascii="Times New Roman"/>
                <w:color w:val="auto"/>
                <w:sz w:val="20"/>
              </w:rPr>
            </w:pPr>
          </w:p>
        </w:tc>
        <w:tc>
          <w:tcPr>
            <w:tcW w:w="1258" w:type="dxa"/>
          </w:tcPr>
          <w:p w14:paraId="2547ACA8">
            <w:pPr>
              <w:pStyle w:val="22"/>
              <w:rPr>
                <w:rFonts w:ascii="Times New Roman"/>
                <w:color w:val="auto"/>
                <w:sz w:val="20"/>
              </w:rPr>
            </w:pPr>
          </w:p>
        </w:tc>
        <w:tc>
          <w:tcPr>
            <w:tcW w:w="1257" w:type="dxa"/>
          </w:tcPr>
          <w:p w14:paraId="19BBC2AD">
            <w:pPr>
              <w:pStyle w:val="22"/>
              <w:rPr>
                <w:rFonts w:ascii="Times New Roman"/>
                <w:color w:val="auto"/>
                <w:sz w:val="20"/>
              </w:rPr>
            </w:pPr>
          </w:p>
        </w:tc>
        <w:tc>
          <w:tcPr>
            <w:tcW w:w="1258" w:type="dxa"/>
          </w:tcPr>
          <w:p w14:paraId="2B4591FC">
            <w:pPr>
              <w:pStyle w:val="22"/>
              <w:rPr>
                <w:rFonts w:ascii="Times New Roman"/>
                <w:color w:val="auto"/>
                <w:sz w:val="20"/>
              </w:rPr>
            </w:pPr>
          </w:p>
        </w:tc>
      </w:tr>
      <w:tr w14:paraId="0F83D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1223" w:type="dxa"/>
          </w:tcPr>
          <w:p w14:paraId="5B792782">
            <w:pPr>
              <w:pStyle w:val="22"/>
              <w:rPr>
                <w:rFonts w:ascii="Times New Roman"/>
                <w:color w:val="auto"/>
                <w:sz w:val="20"/>
              </w:rPr>
            </w:pPr>
          </w:p>
        </w:tc>
        <w:tc>
          <w:tcPr>
            <w:tcW w:w="961" w:type="dxa"/>
          </w:tcPr>
          <w:p w14:paraId="2319215B">
            <w:pPr>
              <w:pStyle w:val="22"/>
              <w:rPr>
                <w:rFonts w:ascii="Times New Roman"/>
                <w:color w:val="auto"/>
                <w:sz w:val="20"/>
              </w:rPr>
            </w:pPr>
          </w:p>
        </w:tc>
        <w:tc>
          <w:tcPr>
            <w:tcW w:w="1257" w:type="dxa"/>
          </w:tcPr>
          <w:p w14:paraId="1001AFFD">
            <w:pPr>
              <w:pStyle w:val="22"/>
              <w:rPr>
                <w:rFonts w:ascii="Times New Roman"/>
                <w:color w:val="auto"/>
                <w:sz w:val="20"/>
              </w:rPr>
            </w:pPr>
          </w:p>
        </w:tc>
        <w:tc>
          <w:tcPr>
            <w:tcW w:w="1257" w:type="dxa"/>
          </w:tcPr>
          <w:p w14:paraId="401D16AE">
            <w:pPr>
              <w:pStyle w:val="22"/>
              <w:rPr>
                <w:rFonts w:ascii="Times New Roman"/>
                <w:color w:val="auto"/>
                <w:sz w:val="20"/>
              </w:rPr>
            </w:pPr>
          </w:p>
        </w:tc>
        <w:tc>
          <w:tcPr>
            <w:tcW w:w="1258" w:type="dxa"/>
          </w:tcPr>
          <w:p w14:paraId="268CBD7C">
            <w:pPr>
              <w:pStyle w:val="22"/>
              <w:rPr>
                <w:rFonts w:ascii="Times New Roman"/>
                <w:color w:val="auto"/>
                <w:sz w:val="20"/>
              </w:rPr>
            </w:pPr>
          </w:p>
        </w:tc>
        <w:tc>
          <w:tcPr>
            <w:tcW w:w="1257" w:type="dxa"/>
          </w:tcPr>
          <w:p w14:paraId="7C1A7177">
            <w:pPr>
              <w:pStyle w:val="22"/>
              <w:rPr>
                <w:rFonts w:ascii="Times New Roman"/>
                <w:color w:val="auto"/>
                <w:sz w:val="20"/>
              </w:rPr>
            </w:pPr>
          </w:p>
        </w:tc>
        <w:tc>
          <w:tcPr>
            <w:tcW w:w="1258" w:type="dxa"/>
          </w:tcPr>
          <w:p w14:paraId="3A481FC3">
            <w:pPr>
              <w:pStyle w:val="22"/>
              <w:rPr>
                <w:rFonts w:ascii="Times New Roman"/>
                <w:color w:val="auto"/>
                <w:sz w:val="20"/>
              </w:rPr>
            </w:pPr>
          </w:p>
        </w:tc>
      </w:tr>
      <w:tr w14:paraId="089B2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1223" w:type="dxa"/>
          </w:tcPr>
          <w:p w14:paraId="73840F01">
            <w:pPr>
              <w:pStyle w:val="22"/>
              <w:rPr>
                <w:rFonts w:ascii="Times New Roman"/>
                <w:color w:val="auto"/>
                <w:sz w:val="20"/>
              </w:rPr>
            </w:pPr>
          </w:p>
        </w:tc>
        <w:tc>
          <w:tcPr>
            <w:tcW w:w="961" w:type="dxa"/>
          </w:tcPr>
          <w:p w14:paraId="72BAA5CF">
            <w:pPr>
              <w:pStyle w:val="22"/>
              <w:rPr>
                <w:rFonts w:ascii="Times New Roman"/>
                <w:color w:val="auto"/>
                <w:sz w:val="20"/>
              </w:rPr>
            </w:pPr>
          </w:p>
        </w:tc>
        <w:tc>
          <w:tcPr>
            <w:tcW w:w="1257" w:type="dxa"/>
          </w:tcPr>
          <w:p w14:paraId="3865806A">
            <w:pPr>
              <w:pStyle w:val="22"/>
              <w:rPr>
                <w:rFonts w:ascii="Times New Roman"/>
                <w:color w:val="auto"/>
                <w:sz w:val="20"/>
              </w:rPr>
            </w:pPr>
          </w:p>
        </w:tc>
        <w:tc>
          <w:tcPr>
            <w:tcW w:w="1257" w:type="dxa"/>
          </w:tcPr>
          <w:p w14:paraId="7D6EE215">
            <w:pPr>
              <w:pStyle w:val="22"/>
              <w:rPr>
                <w:rFonts w:ascii="Times New Roman"/>
                <w:color w:val="auto"/>
                <w:sz w:val="20"/>
              </w:rPr>
            </w:pPr>
          </w:p>
        </w:tc>
        <w:tc>
          <w:tcPr>
            <w:tcW w:w="1258" w:type="dxa"/>
          </w:tcPr>
          <w:p w14:paraId="24C6C765">
            <w:pPr>
              <w:pStyle w:val="22"/>
              <w:rPr>
                <w:rFonts w:ascii="Times New Roman"/>
                <w:color w:val="auto"/>
                <w:sz w:val="20"/>
              </w:rPr>
            </w:pPr>
          </w:p>
        </w:tc>
        <w:tc>
          <w:tcPr>
            <w:tcW w:w="1257" w:type="dxa"/>
          </w:tcPr>
          <w:p w14:paraId="08896939">
            <w:pPr>
              <w:pStyle w:val="22"/>
              <w:rPr>
                <w:rFonts w:ascii="Times New Roman"/>
                <w:color w:val="auto"/>
                <w:sz w:val="20"/>
              </w:rPr>
            </w:pPr>
          </w:p>
        </w:tc>
        <w:tc>
          <w:tcPr>
            <w:tcW w:w="1258" w:type="dxa"/>
          </w:tcPr>
          <w:p w14:paraId="5C7D4424">
            <w:pPr>
              <w:pStyle w:val="22"/>
              <w:rPr>
                <w:rFonts w:ascii="Times New Roman"/>
                <w:color w:val="auto"/>
                <w:sz w:val="20"/>
              </w:rPr>
            </w:pPr>
          </w:p>
        </w:tc>
      </w:tr>
      <w:tr w14:paraId="40003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1223" w:type="dxa"/>
          </w:tcPr>
          <w:p w14:paraId="1B034DD9">
            <w:pPr>
              <w:pStyle w:val="22"/>
              <w:rPr>
                <w:rFonts w:ascii="Times New Roman"/>
                <w:color w:val="auto"/>
                <w:sz w:val="20"/>
              </w:rPr>
            </w:pPr>
          </w:p>
        </w:tc>
        <w:tc>
          <w:tcPr>
            <w:tcW w:w="961" w:type="dxa"/>
          </w:tcPr>
          <w:p w14:paraId="3F541DD3">
            <w:pPr>
              <w:pStyle w:val="22"/>
              <w:rPr>
                <w:rFonts w:ascii="Times New Roman"/>
                <w:color w:val="auto"/>
                <w:sz w:val="20"/>
              </w:rPr>
            </w:pPr>
          </w:p>
        </w:tc>
        <w:tc>
          <w:tcPr>
            <w:tcW w:w="1257" w:type="dxa"/>
          </w:tcPr>
          <w:p w14:paraId="543CAB84">
            <w:pPr>
              <w:pStyle w:val="22"/>
              <w:rPr>
                <w:rFonts w:ascii="Times New Roman"/>
                <w:color w:val="auto"/>
                <w:sz w:val="20"/>
              </w:rPr>
            </w:pPr>
          </w:p>
        </w:tc>
        <w:tc>
          <w:tcPr>
            <w:tcW w:w="1257" w:type="dxa"/>
          </w:tcPr>
          <w:p w14:paraId="66904D3F">
            <w:pPr>
              <w:pStyle w:val="22"/>
              <w:rPr>
                <w:rFonts w:ascii="Times New Roman"/>
                <w:color w:val="auto"/>
                <w:sz w:val="20"/>
              </w:rPr>
            </w:pPr>
          </w:p>
        </w:tc>
        <w:tc>
          <w:tcPr>
            <w:tcW w:w="1258" w:type="dxa"/>
          </w:tcPr>
          <w:p w14:paraId="40748D86">
            <w:pPr>
              <w:pStyle w:val="22"/>
              <w:rPr>
                <w:rFonts w:ascii="Times New Roman"/>
                <w:color w:val="auto"/>
                <w:sz w:val="20"/>
              </w:rPr>
            </w:pPr>
          </w:p>
        </w:tc>
        <w:tc>
          <w:tcPr>
            <w:tcW w:w="1257" w:type="dxa"/>
          </w:tcPr>
          <w:p w14:paraId="619546D2">
            <w:pPr>
              <w:pStyle w:val="22"/>
              <w:rPr>
                <w:rFonts w:ascii="Times New Roman"/>
                <w:color w:val="auto"/>
                <w:sz w:val="20"/>
              </w:rPr>
            </w:pPr>
          </w:p>
        </w:tc>
        <w:tc>
          <w:tcPr>
            <w:tcW w:w="1258" w:type="dxa"/>
          </w:tcPr>
          <w:p w14:paraId="5A7EE422">
            <w:pPr>
              <w:pStyle w:val="22"/>
              <w:rPr>
                <w:rFonts w:ascii="Times New Roman"/>
                <w:color w:val="auto"/>
                <w:sz w:val="20"/>
              </w:rPr>
            </w:pPr>
          </w:p>
        </w:tc>
      </w:tr>
      <w:tr w14:paraId="4E3E66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1223" w:type="dxa"/>
          </w:tcPr>
          <w:p w14:paraId="1C87E01B">
            <w:pPr>
              <w:pStyle w:val="22"/>
              <w:rPr>
                <w:rFonts w:ascii="Times New Roman"/>
                <w:color w:val="auto"/>
                <w:sz w:val="20"/>
              </w:rPr>
            </w:pPr>
          </w:p>
        </w:tc>
        <w:tc>
          <w:tcPr>
            <w:tcW w:w="961" w:type="dxa"/>
          </w:tcPr>
          <w:p w14:paraId="0B6E7721">
            <w:pPr>
              <w:pStyle w:val="22"/>
              <w:rPr>
                <w:rFonts w:ascii="Times New Roman"/>
                <w:color w:val="auto"/>
                <w:sz w:val="20"/>
              </w:rPr>
            </w:pPr>
          </w:p>
        </w:tc>
        <w:tc>
          <w:tcPr>
            <w:tcW w:w="1257" w:type="dxa"/>
          </w:tcPr>
          <w:p w14:paraId="68F2E11C">
            <w:pPr>
              <w:pStyle w:val="22"/>
              <w:rPr>
                <w:rFonts w:ascii="Times New Roman"/>
                <w:color w:val="auto"/>
                <w:sz w:val="20"/>
              </w:rPr>
            </w:pPr>
          </w:p>
        </w:tc>
        <w:tc>
          <w:tcPr>
            <w:tcW w:w="1257" w:type="dxa"/>
          </w:tcPr>
          <w:p w14:paraId="332BA068">
            <w:pPr>
              <w:pStyle w:val="22"/>
              <w:rPr>
                <w:rFonts w:ascii="Times New Roman"/>
                <w:color w:val="auto"/>
                <w:sz w:val="20"/>
              </w:rPr>
            </w:pPr>
          </w:p>
        </w:tc>
        <w:tc>
          <w:tcPr>
            <w:tcW w:w="1258" w:type="dxa"/>
          </w:tcPr>
          <w:p w14:paraId="697233B4">
            <w:pPr>
              <w:pStyle w:val="22"/>
              <w:rPr>
                <w:rFonts w:ascii="Times New Roman"/>
                <w:color w:val="auto"/>
                <w:sz w:val="20"/>
              </w:rPr>
            </w:pPr>
          </w:p>
        </w:tc>
        <w:tc>
          <w:tcPr>
            <w:tcW w:w="1257" w:type="dxa"/>
          </w:tcPr>
          <w:p w14:paraId="4ABB4110">
            <w:pPr>
              <w:pStyle w:val="22"/>
              <w:rPr>
                <w:rFonts w:ascii="Times New Roman"/>
                <w:color w:val="auto"/>
                <w:sz w:val="20"/>
              </w:rPr>
            </w:pPr>
          </w:p>
        </w:tc>
        <w:tc>
          <w:tcPr>
            <w:tcW w:w="1258" w:type="dxa"/>
          </w:tcPr>
          <w:p w14:paraId="3EC140BB">
            <w:pPr>
              <w:pStyle w:val="22"/>
              <w:rPr>
                <w:rFonts w:ascii="Times New Roman"/>
                <w:color w:val="auto"/>
                <w:sz w:val="20"/>
              </w:rPr>
            </w:pPr>
          </w:p>
        </w:tc>
      </w:tr>
      <w:tr w14:paraId="3D492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1223" w:type="dxa"/>
          </w:tcPr>
          <w:p w14:paraId="74A9D940">
            <w:pPr>
              <w:pStyle w:val="22"/>
              <w:rPr>
                <w:rFonts w:ascii="Times New Roman"/>
                <w:color w:val="auto"/>
                <w:sz w:val="20"/>
              </w:rPr>
            </w:pPr>
          </w:p>
        </w:tc>
        <w:tc>
          <w:tcPr>
            <w:tcW w:w="961" w:type="dxa"/>
          </w:tcPr>
          <w:p w14:paraId="013510BC">
            <w:pPr>
              <w:pStyle w:val="22"/>
              <w:rPr>
                <w:rFonts w:ascii="Times New Roman"/>
                <w:color w:val="auto"/>
                <w:sz w:val="20"/>
              </w:rPr>
            </w:pPr>
          </w:p>
        </w:tc>
        <w:tc>
          <w:tcPr>
            <w:tcW w:w="1257" w:type="dxa"/>
          </w:tcPr>
          <w:p w14:paraId="649A1414">
            <w:pPr>
              <w:pStyle w:val="22"/>
              <w:rPr>
                <w:rFonts w:ascii="Times New Roman"/>
                <w:color w:val="auto"/>
                <w:sz w:val="20"/>
              </w:rPr>
            </w:pPr>
          </w:p>
        </w:tc>
        <w:tc>
          <w:tcPr>
            <w:tcW w:w="1257" w:type="dxa"/>
          </w:tcPr>
          <w:p w14:paraId="4A697A0E">
            <w:pPr>
              <w:pStyle w:val="22"/>
              <w:rPr>
                <w:rFonts w:ascii="Times New Roman"/>
                <w:color w:val="auto"/>
                <w:sz w:val="20"/>
              </w:rPr>
            </w:pPr>
          </w:p>
        </w:tc>
        <w:tc>
          <w:tcPr>
            <w:tcW w:w="1258" w:type="dxa"/>
          </w:tcPr>
          <w:p w14:paraId="686B70B1">
            <w:pPr>
              <w:pStyle w:val="22"/>
              <w:rPr>
                <w:rFonts w:ascii="Times New Roman"/>
                <w:color w:val="auto"/>
                <w:sz w:val="20"/>
              </w:rPr>
            </w:pPr>
          </w:p>
        </w:tc>
        <w:tc>
          <w:tcPr>
            <w:tcW w:w="1257" w:type="dxa"/>
          </w:tcPr>
          <w:p w14:paraId="1F8F3629">
            <w:pPr>
              <w:pStyle w:val="22"/>
              <w:rPr>
                <w:rFonts w:ascii="Times New Roman"/>
                <w:color w:val="auto"/>
                <w:sz w:val="20"/>
              </w:rPr>
            </w:pPr>
          </w:p>
        </w:tc>
        <w:tc>
          <w:tcPr>
            <w:tcW w:w="1258" w:type="dxa"/>
          </w:tcPr>
          <w:p w14:paraId="2098364D">
            <w:pPr>
              <w:pStyle w:val="22"/>
              <w:rPr>
                <w:rFonts w:ascii="Times New Roman"/>
                <w:color w:val="auto"/>
                <w:sz w:val="20"/>
              </w:rPr>
            </w:pPr>
          </w:p>
        </w:tc>
      </w:tr>
    </w:tbl>
    <w:p w14:paraId="494E5763">
      <w:pPr>
        <w:pStyle w:val="12"/>
        <w:spacing w:before="209"/>
        <w:ind w:left="0"/>
        <w:rPr>
          <w:color w:val="auto"/>
        </w:rPr>
      </w:pPr>
    </w:p>
    <w:p w14:paraId="191E722E">
      <w:pPr>
        <w:pStyle w:val="12"/>
        <w:spacing w:before="0"/>
        <w:rPr>
          <w:color w:val="auto"/>
        </w:rPr>
      </w:pPr>
      <w:r>
        <w:rPr>
          <w:color w:val="auto"/>
          <w:spacing w:val="-2"/>
        </w:rPr>
        <w:t>附表二：计划开、竣工日期和施工进度计划（网络图或横道图</w:t>
      </w:r>
      <w:r>
        <w:rPr>
          <w:color w:val="auto"/>
          <w:spacing w:val="-10"/>
        </w:rPr>
        <w:t>）</w:t>
      </w:r>
    </w:p>
    <w:p w14:paraId="781943A3">
      <w:pPr>
        <w:pStyle w:val="21"/>
        <w:numPr>
          <w:ilvl w:val="0"/>
          <w:numId w:val="57"/>
        </w:numPr>
        <w:tabs>
          <w:tab w:val="left" w:pos="1466"/>
        </w:tabs>
        <w:spacing w:before="156" w:after="0" w:line="405" w:lineRule="auto"/>
        <w:ind w:left="781" w:right="791" w:firstLine="420"/>
        <w:jc w:val="left"/>
        <w:rPr>
          <w:color w:val="auto"/>
          <w:sz w:val="21"/>
        </w:rPr>
      </w:pPr>
      <w:r>
        <w:rPr>
          <w:color w:val="auto"/>
          <w:spacing w:val="1"/>
          <w:w w:val="99"/>
          <w:sz w:val="21"/>
        </w:rPr>
        <w:t>供应商应提交施工进度计划，说明按磋商文件要求的工期进行施工的各个关键日期。成</w:t>
      </w:r>
      <w:r>
        <w:rPr>
          <w:color w:val="auto"/>
          <w:spacing w:val="-1"/>
          <w:w w:val="99"/>
          <w:sz w:val="21"/>
        </w:rPr>
        <w:t>交的供应商还应按合同条件有关条款的要求提交详细的施工进度计划。</w:t>
      </w:r>
    </w:p>
    <w:p w14:paraId="4DFBE761">
      <w:pPr>
        <w:spacing w:after="0" w:line="405" w:lineRule="auto"/>
        <w:jc w:val="left"/>
        <w:rPr>
          <w:color w:val="auto"/>
          <w:sz w:val="21"/>
        </w:rPr>
        <w:sectPr>
          <w:pgSz w:w="11910" w:h="16840"/>
          <w:pgMar w:top="1400" w:right="740" w:bottom="1180" w:left="800" w:header="0" w:footer="989" w:gutter="0"/>
          <w:cols w:space="720" w:num="1"/>
        </w:sectPr>
      </w:pPr>
    </w:p>
    <w:p w14:paraId="51440188">
      <w:pPr>
        <w:pStyle w:val="21"/>
        <w:numPr>
          <w:ilvl w:val="0"/>
          <w:numId w:val="57"/>
        </w:numPr>
        <w:tabs>
          <w:tab w:val="left" w:pos="1466"/>
        </w:tabs>
        <w:spacing w:before="56" w:after="0" w:line="405" w:lineRule="auto"/>
        <w:ind w:left="781" w:right="791" w:firstLine="420"/>
        <w:jc w:val="left"/>
        <w:rPr>
          <w:color w:val="auto"/>
          <w:sz w:val="21"/>
        </w:rPr>
      </w:pPr>
      <w:r>
        <w:rPr>
          <w:color w:val="auto"/>
          <w:spacing w:val="3"/>
          <w:w w:val="99"/>
          <w:sz w:val="21"/>
        </w:rPr>
        <w:t>施工进度计划可采用网络图</w:t>
      </w:r>
      <w:r>
        <w:rPr>
          <w:color w:val="auto"/>
          <w:spacing w:val="4"/>
          <w:w w:val="99"/>
          <w:sz w:val="21"/>
        </w:rPr>
        <w:t>（或横道图）</w:t>
      </w:r>
      <w:r>
        <w:rPr>
          <w:color w:val="auto"/>
          <w:spacing w:val="1"/>
          <w:w w:val="99"/>
          <w:sz w:val="21"/>
        </w:rPr>
        <w:t>表示，说明计划开工日期和各分项工程各阶段</w:t>
      </w:r>
      <w:r>
        <w:rPr>
          <w:color w:val="auto"/>
          <w:spacing w:val="-1"/>
          <w:w w:val="99"/>
          <w:sz w:val="21"/>
        </w:rPr>
        <w:t>的完工日期和分包合同签订的日期。</w:t>
      </w:r>
    </w:p>
    <w:p w14:paraId="54EAC3F3">
      <w:pPr>
        <w:pStyle w:val="21"/>
        <w:numPr>
          <w:ilvl w:val="0"/>
          <w:numId w:val="57"/>
        </w:numPr>
        <w:tabs>
          <w:tab w:val="left" w:pos="1461"/>
        </w:tabs>
        <w:spacing w:before="0" w:after="0" w:line="269" w:lineRule="exact"/>
        <w:ind w:left="1461" w:right="0" w:hanging="260"/>
        <w:jc w:val="left"/>
        <w:rPr>
          <w:color w:val="auto"/>
          <w:sz w:val="21"/>
        </w:rPr>
      </w:pPr>
      <w:r>
        <w:rPr>
          <w:color w:val="auto"/>
          <w:spacing w:val="-3"/>
          <w:sz w:val="21"/>
        </w:rPr>
        <w:t>施工进度计划应与施工组织设计相适应。</w:t>
      </w:r>
    </w:p>
    <w:p w14:paraId="20763CF8">
      <w:pPr>
        <w:pStyle w:val="12"/>
        <w:spacing w:before="0"/>
        <w:ind w:left="0"/>
        <w:rPr>
          <w:color w:val="auto"/>
        </w:rPr>
      </w:pPr>
    </w:p>
    <w:p w14:paraId="4AB8049B">
      <w:pPr>
        <w:pStyle w:val="12"/>
        <w:spacing w:before="88"/>
        <w:ind w:left="0"/>
        <w:rPr>
          <w:color w:val="auto"/>
        </w:rPr>
      </w:pPr>
    </w:p>
    <w:p w14:paraId="01D39B78">
      <w:pPr>
        <w:pStyle w:val="12"/>
        <w:spacing w:before="0"/>
        <w:rPr>
          <w:color w:val="auto"/>
        </w:rPr>
      </w:pPr>
      <w:r>
        <w:rPr>
          <w:color w:val="auto"/>
          <w:spacing w:val="-3"/>
        </w:rPr>
        <w:t>附表三：施工总平面图</w:t>
      </w:r>
    </w:p>
    <w:p w14:paraId="5E11B8F2">
      <w:pPr>
        <w:pStyle w:val="12"/>
        <w:spacing w:before="157" w:line="403" w:lineRule="auto"/>
        <w:ind w:right="788" w:firstLine="420"/>
        <w:jc w:val="both"/>
        <w:rPr>
          <w:color w:val="auto"/>
        </w:rPr>
      </w:pPr>
      <w:r>
        <w:rPr>
          <w:color w:val="auto"/>
          <w:spacing w:val="3"/>
          <w:w w:val="99"/>
        </w:rPr>
        <w:t>供应商应递交一份施工总平面图，绘出现场临时设施布置图表并附文字说明，说明临时设施、加工车间、现场办公、设备及仓储、供电、供水、卫生、生活、道路、消防等设施的情况</w:t>
      </w:r>
      <w:r>
        <w:rPr>
          <w:color w:val="auto"/>
          <w:spacing w:val="-1"/>
          <w:w w:val="99"/>
        </w:rPr>
        <w:t>和布置。</w:t>
      </w:r>
    </w:p>
    <w:p w14:paraId="594A6370">
      <w:pPr>
        <w:pStyle w:val="12"/>
        <w:spacing w:before="57"/>
        <w:ind w:left="0"/>
        <w:rPr>
          <w:color w:val="auto"/>
        </w:rPr>
      </w:pPr>
    </w:p>
    <w:p w14:paraId="5F0D666A">
      <w:pPr>
        <w:pStyle w:val="12"/>
        <w:spacing w:before="0"/>
        <w:rPr>
          <w:color w:val="auto"/>
        </w:rPr>
      </w:pPr>
      <w:r>
        <w:rPr>
          <w:color w:val="auto"/>
          <w:spacing w:val="-3"/>
        </w:rPr>
        <w:t>附表四：临时用地表</w:t>
      </w:r>
    </w:p>
    <w:tbl>
      <w:tblPr>
        <w:tblStyle w:val="16"/>
        <w:tblW w:w="0" w:type="auto"/>
        <w:tblInd w:w="5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56"/>
        <w:gridCol w:w="2357"/>
        <w:gridCol w:w="2356"/>
        <w:gridCol w:w="2136"/>
      </w:tblGrid>
      <w:tr w14:paraId="41CE2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2356" w:type="dxa"/>
          </w:tcPr>
          <w:p w14:paraId="75C6C270">
            <w:pPr>
              <w:pStyle w:val="22"/>
              <w:spacing w:before="167"/>
              <w:ind w:left="8" w:right="1"/>
              <w:jc w:val="center"/>
              <w:rPr>
                <w:color w:val="auto"/>
                <w:sz w:val="21"/>
              </w:rPr>
            </w:pPr>
            <w:r>
              <w:rPr>
                <w:color w:val="auto"/>
                <w:spacing w:val="-8"/>
                <w:sz w:val="21"/>
              </w:rPr>
              <w:t>用途</w:t>
            </w:r>
          </w:p>
        </w:tc>
        <w:tc>
          <w:tcPr>
            <w:tcW w:w="2357" w:type="dxa"/>
          </w:tcPr>
          <w:p w14:paraId="22D12F85">
            <w:pPr>
              <w:pStyle w:val="22"/>
              <w:spacing w:before="167"/>
              <w:ind w:left="443"/>
              <w:rPr>
                <w:color w:val="auto"/>
                <w:sz w:val="21"/>
              </w:rPr>
            </w:pPr>
            <w:r>
              <w:rPr>
                <w:color w:val="auto"/>
                <w:spacing w:val="-2"/>
                <w:sz w:val="21"/>
              </w:rPr>
              <w:t>面积（平方米</w:t>
            </w:r>
            <w:r>
              <w:rPr>
                <w:color w:val="auto"/>
                <w:spacing w:val="-12"/>
                <w:sz w:val="21"/>
              </w:rPr>
              <w:t>）</w:t>
            </w:r>
          </w:p>
        </w:tc>
        <w:tc>
          <w:tcPr>
            <w:tcW w:w="2356" w:type="dxa"/>
          </w:tcPr>
          <w:p w14:paraId="454C03FE">
            <w:pPr>
              <w:pStyle w:val="22"/>
              <w:spacing w:before="167"/>
              <w:ind w:left="8"/>
              <w:jc w:val="center"/>
              <w:rPr>
                <w:color w:val="auto"/>
                <w:sz w:val="21"/>
              </w:rPr>
            </w:pPr>
            <w:r>
              <w:rPr>
                <w:color w:val="auto"/>
                <w:spacing w:val="-8"/>
                <w:sz w:val="21"/>
              </w:rPr>
              <w:t>位置</w:t>
            </w:r>
          </w:p>
        </w:tc>
        <w:tc>
          <w:tcPr>
            <w:tcW w:w="2136" w:type="dxa"/>
          </w:tcPr>
          <w:p w14:paraId="11CF2DE1">
            <w:pPr>
              <w:pStyle w:val="22"/>
              <w:spacing w:before="167"/>
              <w:ind w:left="647"/>
              <w:rPr>
                <w:color w:val="auto"/>
                <w:sz w:val="21"/>
              </w:rPr>
            </w:pPr>
            <w:r>
              <w:rPr>
                <w:color w:val="auto"/>
                <w:spacing w:val="-7"/>
                <w:sz w:val="21"/>
              </w:rPr>
              <w:t>需用时间</w:t>
            </w:r>
          </w:p>
        </w:tc>
      </w:tr>
      <w:tr w14:paraId="4C446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2356" w:type="dxa"/>
          </w:tcPr>
          <w:p w14:paraId="57E5D406">
            <w:pPr>
              <w:pStyle w:val="22"/>
              <w:rPr>
                <w:rFonts w:ascii="Times New Roman"/>
                <w:color w:val="auto"/>
                <w:sz w:val="20"/>
              </w:rPr>
            </w:pPr>
          </w:p>
        </w:tc>
        <w:tc>
          <w:tcPr>
            <w:tcW w:w="2357" w:type="dxa"/>
          </w:tcPr>
          <w:p w14:paraId="14D54882">
            <w:pPr>
              <w:pStyle w:val="22"/>
              <w:rPr>
                <w:rFonts w:ascii="Times New Roman"/>
                <w:color w:val="auto"/>
                <w:sz w:val="20"/>
              </w:rPr>
            </w:pPr>
          </w:p>
        </w:tc>
        <w:tc>
          <w:tcPr>
            <w:tcW w:w="2356" w:type="dxa"/>
          </w:tcPr>
          <w:p w14:paraId="6DDAD5DC">
            <w:pPr>
              <w:pStyle w:val="22"/>
              <w:rPr>
                <w:rFonts w:ascii="Times New Roman"/>
                <w:color w:val="auto"/>
                <w:sz w:val="20"/>
              </w:rPr>
            </w:pPr>
          </w:p>
        </w:tc>
        <w:tc>
          <w:tcPr>
            <w:tcW w:w="2136" w:type="dxa"/>
          </w:tcPr>
          <w:p w14:paraId="566041A0">
            <w:pPr>
              <w:pStyle w:val="22"/>
              <w:rPr>
                <w:rFonts w:ascii="Times New Roman"/>
                <w:color w:val="auto"/>
                <w:sz w:val="20"/>
              </w:rPr>
            </w:pPr>
          </w:p>
        </w:tc>
      </w:tr>
      <w:tr w14:paraId="679B8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2356" w:type="dxa"/>
          </w:tcPr>
          <w:p w14:paraId="76F22071">
            <w:pPr>
              <w:pStyle w:val="22"/>
              <w:rPr>
                <w:rFonts w:ascii="Times New Roman"/>
                <w:color w:val="auto"/>
                <w:sz w:val="20"/>
              </w:rPr>
            </w:pPr>
          </w:p>
        </w:tc>
        <w:tc>
          <w:tcPr>
            <w:tcW w:w="2357" w:type="dxa"/>
          </w:tcPr>
          <w:p w14:paraId="00D95A88">
            <w:pPr>
              <w:pStyle w:val="22"/>
              <w:rPr>
                <w:rFonts w:ascii="Times New Roman"/>
                <w:color w:val="auto"/>
                <w:sz w:val="20"/>
              </w:rPr>
            </w:pPr>
          </w:p>
        </w:tc>
        <w:tc>
          <w:tcPr>
            <w:tcW w:w="2356" w:type="dxa"/>
          </w:tcPr>
          <w:p w14:paraId="74E66498">
            <w:pPr>
              <w:pStyle w:val="22"/>
              <w:rPr>
                <w:rFonts w:ascii="Times New Roman"/>
                <w:color w:val="auto"/>
                <w:sz w:val="20"/>
              </w:rPr>
            </w:pPr>
          </w:p>
        </w:tc>
        <w:tc>
          <w:tcPr>
            <w:tcW w:w="2136" w:type="dxa"/>
          </w:tcPr>
          <w:p w14:paraId="7A5D7199">
            <w:pPr>
              <w:pStyle w:val="22"/>
              <w:rPr>
                <w:rFonts w:ascii="Times New Roman"/>
                <w:color w:val="auto"/>
                <w:sz w:val="20"/>
              </w:rPr>
            </w:pPr>
          </w:p>
        </w:tc>
      </w:tr>
      <w:tr w14:paraId="71A0F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2356" w:type="dxa"/>
          </w:tcPr>
          <w:p w14:paraId="7CC23AB2">
            <w:pPr>
              <w:pStyle w:val="22"/>
              <w:rPr>
                <w:rFonts w:ascii="Times New Roman"/>
                <w:color w:val="auto"/>
                <w:sz w:val="20"/>
              </w:rPr>
            </w:pPr>
          </w:p>
        </w:tc>
        <w:tc>
          <w:tcPr>
            <w:tcW w:w="2357" w:type="dxa"/>
          </w:tcPr>
          <w:p w14:paraId="3FB2B2C1">
            <w:pPr>
              <w:pStyle w:val="22"/>
              <w:rPr>
                <w:rFonts w:ascii="Times New Roman"/>
                <w:color w:val="auto"/>
                <w:sz w:val="20"/>
              </w:rPr>
            </w:pPr>
          </w:p>
        </w:tc>
        <w:tc>
          <w:tcPr>
            <w:tcW w:w="2356" w:type="dxa"/>
          </w:tcPr>
          <w:p w14:paraId="7FC048FC">
            <w:pPr>
              <w:pStyle w:val="22"/>
              <w:rPr>
                <w:rFonts w:ascii="Times New Roman"/>
                <w:color w:val="auto"/>
                <w:sz w:val="20"/>
              </w:rPr>
            </w:pPr>
          </w:p>
        </w:tc>
        <w:tc>
          <w:tcPr>
            <w:tcW w:w="2136" w:type="dxa"/>
          </w:tcPr>
          <w:p w14:paraId="340ABD1D">
            <w:pPr>
              <w:pStyle w:val="22"/>
              <w:rPr>
                <w:rFonts w:ascii="Times New Roman"/>
                <w:color w:val="auto"/>
                <w:sz w:val="20"/>
              </w:rPr>
            </w:pPr>
          </w:p>
        </w:tc>
      </w:tr>
      <w:tr w14:paraId="7A207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 w:hRule="atLeast"/>
        </w:trPr>
        <w:tc>
          <w:tcPr>
            <w:tcW w:w="2356" w:type="dxa"/>
          </w:tcPr>
          <w:p w14:paraId="644A15BD">
            <w:pPr>
              <w:pStyle w:val="22"/>
              <w:rPr>
                <w:rFonts w:ascii="Times New Roman"/>
                <w:color w:val="auto"/>
                <w:sz w:val="20"/>
              </w:rPr>
            </w:pPr>
          </w:p>
        </w:tc>
        <w:tc>
          <w:tcPr>
            <w:tcW w:w="2357" w:type="dxa"/>
          </w:tcPr>
          <w:p w14:paraId="16D1B1C4">
            <w:pPr>
              <w:pStyle w:val="22"/>
              <w:rPr>
                <w:rFonts w:ascii="Times New Roman"/>
                <w:color w:val="auto"/>
                <w:sz w:val="20"/>
              </w:rPr>
            </w:pPr>
          </w:p>
        </w:tc>
        <w:tc>
          <w:tcPr>
            <w:tcW w:w="2356" w:type="dxa"/>
          </w:tcPr>
          <w:p w14:paraId="7027983E">
            <w:pPr>
              <w:pStyle w:val="22"/>
              <w:rPr>
                <w:rFonts w:ascii="Times New Roman"/>
                <w:color w:val="auto"/>
                <w:sz w:val="20"/>
              </w:rPr>
            </w:pPr>
          </w:p>
        </w:tc>
        <w:tc>
          <w:tcPr>
            <w:tcW w:w="2136" w:type="dxa"/>
          </w:tcPr>
          <w:p w14:paraId="40E5EB1F">
            <w:pPr>
              <w:pStyle w:val="22"/>
              <w:rPr>
                <w:rFonts w:ascii="Times New Roman"/>
                <w:color w:val="auto"/>
                <w:sz w:val="20"/>
              </w:rPr>
            </w:pPr>
          </w:p>
        </w:tc>
      </w:tr>
    </w:tbl>
    <w:p w14:paraId="5C49E527">
      <w:pPr>
        <w:spacing w:after="0"/>
        <w:rPr>
          <w:rFonts w:ascii="Times New Roman"/>
          <w:color w:val="auto"/>
          <w:sz w:val="20"/>
        </w:rPr>
        <w:sectPr>
          <w:pgSz w:w="11910" w:h="16840"/>
          <w:pgMar w:top="1520" w:right="740" w:bottom="1180" w:left="800" w:header="0" w:footer="989" w:gutter="0"/>
          <w:cols w:space="720" w:num="1"/>
        </w:sectPr>
      </w:pPr>
    </w:p>
    <w:p w14:paraId="0807EC4C">
      <w:pPr>
        <w:pStyle w:val="5"/>
        <w:ind w:left="861" w:right="386"/>
        <w:rPr>
          <w:color w:val="auto"/>
        </w:rPr>
      </w:pPr>
      <w:r>
        <w:rPr>
          <w:color w:val="auto"/>
          <w:spacing w:val="-4"/>
        </w:rPr>
        <w:t>拟分包项目情况表</w:t>
      </w:r>
    </w:p>
    <w:p w14:paraId="19CBBC37">
      <w:pPr>
        <w:pStyle w:val="12"/>
        <w:spacing w:before="310"/>
        <w:ind w:left="0"/>
        <w:rPr>
          <w:b/>
          <w:color w:val="auto"/>
          <w:sz w:val="32"/>
        </w:rPr>
      </w:pPr>
    </w:p>
    <w:p w14:paraId="0A4C974F">
      <w:pPr>
        <w:pStyle w:val="11"/>
        <w:tabs>
          <w:tab w:val="left" w:pos="4567"/>
        </w:tabs>
        <w:spacing w:before="1"/>
        <w:rPr>
          <w:rFonts w:ascii="Times New Roman" w:eastAsia="Times New Roman"/>
          <w:color w:val="auto"/>
        </w:rPr>
      </w:pPr>
      <w:r>
        <w:rPr>
          <w:color w:val="auto"/>
        </w:rPr>
        <w:t>分标（如有</w:t>
      </w:r>
      <w:r>
        <w:rPr>
          <w:color w:val="auto"/>
          <w:spacing w:val="-5"/>
        </w:rPr>
        <w:t>）：</w:t>
      </w:r>
      <w:r>
        <w:rPr>
          <w:rFonts w:ascii="Times New Roman" w:eastAsia="Times New Roman"/>
          <w:color w:val="auto"/>
          <w:u w:val="single"/>
        </w:rPr>
        <w:tab/>
      </w:r>
    </w:p>
    <w:p w14:paraId="7667B24B">
      <w:pPr>
        <w:pStyle w:val="12"/>
        <w:spacing w:before="8"/>
        <w:ind w:left="0"/>
        <w:rPr>
          <w:rFonts w:ascii="Times New Roman"/>
          <w:color w:val="auto"/>
          <w:sz w:val="13"/>
        </w:rPr>
      </w:pPr>
    </w:p>
    <w:tbl>
      <w:tblPr>
        <w:tblStyle w:val="16"/>
        <w:tblW w:w="0" w:type="auto"/>
        <w:tblInd w:w="5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8"/>
        <w:gridCol w:w="1693"/>
        <w:gridCol w:w="751"/>
        <w:gridCol w:w="950"/>
        <w:gridCol w:w="1123"/>
        <w:gridCol w:w="1090"/>
        <w:gridCol w:w="1197"/>
        <w:gridCol w:w="1268"/>
        <w:gridCol w:w="673"/>
      </w:tblGrid>
      <w:tr w14:paraId="57334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568" w:type="dxa"/>
            <w:vMerge w:val="restart"/>
          </w:tcPr>
          <w:p w14:paraId="4283B2C6">
            <w:pPr>
              <w:pStyle w:val="22"/>
              <w:spacing w:before="184"/>
              <w:ind w:left="179" w:right="167"/>
              <w:rPr>
                <w:color w:val="auto"/>
                <w:sz w:val="21"/>
              </w:rPr>
            </w:pPr>
            <w:r>
              <w:rPr>
                <w:color w:val="auto"/>
                <w:spacing w:val="-10"/>
                <w:sz w:val="21"/>
              </w:rPr>
              <w:t>序号</w:t>
            </w:r>
          </w:p>
        </w:tc>
        <w:tc>
          <w:tcPr>
            <w:tcW w:w="1693" w:type="dxa"/>
            <w:vMerge w:val="restart"/>
          </w:tcPr>
          <w:p w14:paraId="6EE5104D">
            <w:pPr>
              <w:pStyle w:val="22"/>
              <w:spacing w:before="184"/>
              <w:ind w:left="110" w:right="101" w:firstLine="105"/>
              <w:rPr>
                <w:color w:val="auto"/>
                <w:sz w:val="21"/>
              </w:rPr>
            </w:pPr>
            <w:r>
              <w:rPr>
                <w:color w:val="auto"/>
                <w:spacing w:val="-2"/>
                <w:sz w:val="21"/>
              </w:rPr>
              <w:t>拟分包项目名</w:t>
            </w:r>
            <w:r>
              <w:rPr>
                <w:color w:val="auto"/>
                <w:spacing w:val="-4"/>
                <w:sz w:val="21"/>
              </w:rPr>
              <w:t>称、范围及理由</w:t>
            </w:r>
          </w:p>
        </w:tc>
        <w:tc>
          <w:tcPr>
            <w:tcW w:w="6379" w:type="dxa"/>
            <w:gridSpan w:val="6"/>
          </w:tcPr>
          <w:p w14:paraId="38DC7E70">
            <w:pPr>
              <w:pStyle w:val="22"/>
              <w:spacing w:before="88"/>
              <w:ind w:left="6"/>
              <w:jc w:val="center"/>
              <w:rPr>
                <w:color w:val="auto"/>
                <w:sz w:val="21"/>
              </w:rPr>
            </w:pPr>
            <w:r>
              <w:rPr>
                <w:color w:val="auto"/>
                <w:spacing w:val="-4"/>
                <w:sz w:val="21"/>
              </w:rPr>
              <w:t>拟选分包人</w:t>
            </w:r>
          </w:p>
        </w:tc>
        <w:tc>
          <w:tcPr>
            <w:tcW w:w="673" w:type="dxa"/>
            <w:vMerge w:val="restart"/>
          </w:tcPr>
          <w:p w14:paraId="4F5EE530">
            <w:pPr>
              <w:pStyle w:val="22"/>
              <w:spacing w:before="77"/>
              <w:rPr>
                <w:rFonts w:ascii="Times New Roman"/>
                <w:color w:val="auto"/>
                <w:sz w:val="21"/>
              </w:rPr>
            </w:pPr>
          </w:p>
          <w:p w14:paraId="1FB52D3A">
            <w:pPr>
              <w:pStyle w:val="22"/>
              <w:ind w:left="126"/>
              <w:rPr>
                <w:color w:val="auto"/>
                <w:sz w:val="21"/>
              </w:rPr>
            </w:pPr>
            <w:r>
              <w:rPr>
                <w:color w:val="auto"/>
                <w:spacing w:val="-8"/>
                <w:sz w:val="21"/>
              </w:rPr>
              <w:t>备注</w:t>
            </w:r>
          </w:p>
        </w:tc>
      </w:tr>
      <w:tr w14:paraId="7AD98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568" w:type="dxa"/>
            <w:vMerge w:val="continue"/>
            <w:tcBorders>
              <w:top w:val="nil"/>
            </w:tcBorders>
          </w:tcPr>
          <w:p w14:paraId="1299B96A">
            <w:pPr>
              <w:rPr>
                <w:color w:val="auto"/>
                <w:sz w:val="2"/>
                <w:szCs w:val="2"/>
              </w:rPr>
            </w:pPr>
          </w:p>
        </w:tc>
        <w:tc>
          <w:tcPr>
            <w:tcW w:w="1693" w:type="dxa"/>
            <w:vMerge w:val="continue"/>
            <w:tcBorders>
              <w:top w:val="nil"/>
            </w:tcBorders>
          </w:tcPr>
          <w:p w14:paraId="79B57F14">
            <w:pPr>
              <w:rPr>
                <w:color w:val="auto"/>
                <w:sz w:val="2"/>
                <w:szCs w:val="2"/>
              </w:rPr>
            </w:pPr>
          </w:p>
        </w:tc>
        <w:tc>
          <w:tcPr>
            <w:tcW w:w="1701" w:type="dxa"/>
            <w:gridSpan w:val="2"/>
          </w:tcPr>
          <w:p w14:paraId="66A84692">
            <w:pPr>
              <w:pStyle w:val="22"/>
              <w:spacing w:before="87"/>
              <w:ind w:left="114"/>
              <w:rPr>
                <w:color w:val="auto"/>
                <w:sz w:val="21"/>
              </w:rPr>
            </w:pPr>
            <w:r>
              <w:rPr>
                <w:color w:val="auto"/>
                <w:spacing w:val="-4"/>
                <w:sz w:val="21"/>
              </w:rPr>
              <w:t>拟选分包人名称</w:t>
            </w:r>
          </w:p>
        </w:tc>
        <w:tc>
          <w:tcPr>
            <w:tcW w:w="1123" w:type="dxa"/>
          </w:tcPr>
          <w:p w14:paraId="428C4566">
            <w:pPr>
              <w:pStyle w:val="22"/>
              <w:spacing w:before="87"/>
              <w:ind w:left="141"/>
              <w:rPr>
                <w:color w:val="auto"/>
                <w:sz w:val="21"/>
              </w:rPr>
            </w:pPr>
            <w:r>
              <w:rPr>
                <w:color w:val="auto"/>
                <w:spacing w:val="-7"/>
                <w:sz w:val="21"/>
              </w:rPr>
              <w:t>注册地点</w:t>
            </w:r>
          </w:p>
        </w:tc>
        <w:tc>
          <w:tcPr>
            <w:tcW w:w="1090" w:type="dxa"/>
          </w:tcPr>
          <w:p w14:paraId="09FF047D">
            <w:pPr>
              <w:pStyle w:val="22"/>
              <w:spacing w:before="87"/>
              <w:ind w:left="124"/>
              <w:rPr>
                <w:color w:val="auto"/>
                <w:sz w:val="21"/>
              </w:rPr>
            </w:pPr>
            <w:r>
              <w:rPr>
                <w:color w:val="auto"/>
                <w:spacing w:val="-7"/>
                <w:sz w:val="21"/>
              </w:rPr>
              <w:t>企业资质</w:t>
            </w:r>
          </w:p>
        </w:tc>
        <w:tc>
          <w:tcPr>
            <w:tcW w:w="1197" w:type="dxa"/>
          </w:tcPr>
          <w:p w14:paraId="429351C9">
            <w:pPr>
              <w:pStyle w:val="22"/>
              <w:spacing w:before="87"/>
              <w:ind w:left="177"/>
              <w:rPr>
                <w:color w:val="auto"/>
                <w:sz w:val="21"/>
              </w:rPr>
            </w:pPr>
            <w:r>
              <w:rPr>
                <w:color w:val="auto"/>
                <w:spacing w:val="-7"/>
                <w:sz w:val="21"/>
              </w:rPr>
              <w:t>有关业绩</w:t>
            </w:r>
          </w:p>
        </w:tc>
        <w:tc>
          <w:tcPr>
            <w:tcW w:w="1268" w:type="dxa"/>
          </w:tcPr>
          <w:p w14:paraId="7D74988D">
            <w:pPr>
              <w:pStyle w:val="22"/>
              <w:spacing w:before="87"/>
              <w:ind w:left="108"/>
              <w:rPr>
                <w:color w:val="auto"/>
                <w:sz w:val="21"/>
              </w:rPr>
            </w:pPr>
            <w:r>
              <w:rPr>
                <w:color w:val="auto"/>
                <w:spacing w:val="-4"/>
                <w:sz w:val="21"/>
              </w:rPr>
              <w:t>拟分包金额</w:t>
            </w:r>
          </w:p>
        </w:tc>
        <w:tc>
          <w:tcPr>
            <w:tcW w:w="673" w:type="dxa"/>
            <w:vMerge w:val="continue"/>
            <w:tcBorders>
              <w:top w:val="nil"/>
            </w:tcBorders>
          </w:tcPr>
          <w:p w14:paraId="38CDFD30">
            <w:pPr>
              <w:rPr>
                <w:color w:val="auto"/>
                <w:sz w:val="2"/>
                <w:szCs w:val="2"/>
              </w:rPr>
            </w:pPr>
          </w:p>
        </w:tc>
      </w:tr>
      <w:tr w14:paraId="51ED3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568" w:type="dxa"/>
            <w:vMerge w:val="restart"/>
          </w:tcPr>
          <w:p w14:paraId="6DDC6584">
            <w:pPr>
              <w:pStyle w:val="22"/>
              <w:rPr>
                <w:rFonts w:ascii="Times New Roman"/>
                <w:color w:val="auto"/>
                <w:sz w:val="22"/>
              </w:rPr>
            </w:pPr>
          </w:p>
        </w:tc>
        <w:tc>
          <w:tcPr>
            <w:tcW w:w="1693" w:type="dxa"/>
            <w:vMerge w:val="restart"/>
          </w:tcPr>
          <w:p w14:paraId="6357E790">
            <w:pPr>
              <w:pStyle w:val="22"/>
              <w:rPr>
                <w:rFonts w:ascii="Times New Roman"/>
                <w:color w:val="auto"/>
                <w:sz w:val="22"/>
              </w:rPr>
            </w:pPr>
          </w:p>
        </w:tc>
        <w:tc>
          <w:tcPr>
            <w:tcW w:w="751" w:type="dxa"/>
          </w:tcPr>
          <w:p w14:paraId="5BB3693A">
            <w:pPr>
              <w:pStyle w:val="22"/>
              <w:spacing w:before="107"/>
              <w:ind w:left="10"/>
              <w:jc w:val="center"/>
              <w:rPr>
                <w:rFonts w:ascii="Times New Roman"/>
                <w:color w:val="auto"/>
                <w:sz w:val="21"/>
              </w:rPr>
            </w:pPr>
            <w:r>
              <w:rPr>
                <w:rFonts w:ascii="Times New Roman"/>
                <w:color w:val="auto"/>
                <w:spacing w:val="-10"/>
                <w:sz w:val="21"/>
              </w:rPr>
              <w:t>1</w:t>
            </w:r>
          </w:p>
        </w:tc>
        <w:tc>
          <w:tcPr>
            <w:tcW w:w="950" w:type="dxa"/>
          </w:tcPr>
          <w:p w14:paraId="15805718">
            <w:pPr>
              <w:pStyle w:val="22"/>
              <w:rPr>
                <w:rFonts w:ascii="Times New Roman"/>
                <w:color w:val="auto"/>
                <w:sz w:val="22"/>
              </w:rPr>
            </w:pPr>
          </w:p>
        </w:tc>
        <w:tc>
          <w:tcPr>
            <w:tcW w:w="1123" w:type="dxa"/>
          </w:tcPr>
          <w:p w14:paraId="39BB0709">
            <w:pPr>
              <w:pStyle w:val="22"/>
              <w:rPr>
                <w:rFonts w:ascii="Times New Roman"/>
                <w:color w:val="auto"/>
                <w:sz w:val="22"/>
              </w:rPr>
            </w:pPr>
          </w:p>
        </w:tc>
        <w:tc>
          <w:tcPr>
            <w:tcW w:w="1090" w:type="dxa"/>
          </w:tcPr>
          <w:p w14:paraId="7B522D66">
            <w:pPr>
              <w:pStyle w:val="22"/>
              <w:rPr>
                <w:rFonts w:ascii="Times New Roman"/>
                <w:color w:val="auto"/>
                <w:sz w:val="22"/>
              </w:rPr>
            </w:pPr>
          </w:p>
        </w:tc>
        <w:tc>
          <w:tcPr>
            <w:tcW w:w="1197" w:type="dxa"/>
          </w:tcPr>
          <w:p w14:paraId="58852B0A">
            <w:pPr>
              <w:pStyle w:val="22"/>
              <w:rPr>
                <w:rFonts w:ascii="Times New Roman"/>
                <w:color w:val="auto"/>
                <w:sz w:val="22"/>
              </w:rPr>
            </w:pPr>
          </w:p>
        </w:tc>
        <w:tc>
          <w:tcPr>
            <w:tcW w:w="1268" w:type="dxa"/>
          </w:tcPr>
          <w:p w14:paraId="155F2701">
            <w:pPr>
              <w:pStyle w:val="22"/>
              <w:rPr>
                <w:rFonts w:ascii="Times New Roman"/>
                <w:color w:val="auto"/>
                <w:sz w:val="22"/>
              </w:rPr>
            </w:pPr>
          </w:p>
        </w:tc>
        <w:tc>
          <w:tcPr>
            <w:tcW w:w="673" w:type="dxa"/>
          </w:tcPr>
          <w:p w14:paraId="55BEE87B">
            <w:pPr>
              <w:pStyle w:val="22"/>
              <w:rPr>
                <w:rFonts w:ascii="Times New Roman"/>
                <w:color w:val="auto"/>
                <w:sz w:val="22"/>
              </w:rPr>
            </w:pPr>
          </w:p>
        </w:tc>
      </w:tr>
      <w:tr w14:paraId="68E29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568" w:type="dxa"/>
            <w:vMerge w:val="continue"/>
            <w:tcBorders>
              <w:top w:val="nil"/>
            </w:tcBorders>
          </w:tcPr>
          <w:p w14:paraId="3C249990">
            <w:pPr>
              <w:rPr>
                <w:color w:val="auto"/>
                <w:sz w:val="2"/>
                <w:szCs w:val="2"/>
              </w:rPr>
            </w:pPr>
          </w:p>
        </w:tc>
        <w:tc>
          <w:tcPr>
            <w:tcW w:w="1693" w:type="dxa"/>
            <w:vMerge w:val="continue"/>
            <w:tcBorders>
              <w:top w:val="nil"/>
            </w:tcBorders>
          </w:tcPr>
          <w:p w14:paraId="0679F43F">
            <w:pPr>
              <w:rPr>
                <w:color w:val="auto"/>
                <w:sz w:val="2"/>
                <w:szCs w:val="2"/>
              </w:rPr>
            </w:pPr>
          </w:p>
        </w:tc>
        <w:tc>
          <w:tcPr>
            <w:tcW w:w="751" w:type="dxa"/>
          </w:tcPr>
          <w:p w14:paraId="2207F6E4">
            <w:pPr>
              <w:pStyle w:val="22"/>
              <w:spacing w:before="106"/>
              <w:ind w:left="10"/>
              <w:jc w:val="center"/>
              <w:rPr>
                <w:rFonts w:ascii="Times New Roman"/>
                <w:color w:val="auto"/>
                <w:sz w:val="21"/>
              </w:rPr>
            </w:pPr>
            <w:r>
              <w:rPr>
                <w:rFonts w:ascii="Times New Roman"/>
                <w:color w:val="auto"/>
                <w:spacing w:val="-10"/>
                <w:sz w:val="21"/>
              </w:rPr>
              <w:t>2</w:t>
            </w:r>
          </w:p>
        </w:tc>
        <w:tc>
          <w:tcPr>
            <w:tcW w:w="950" w:type="dxa"/>
          </w:tcPr>
          <w:p w14:paraId="06F334C6">
            <w:pPr>
              <w:pStyle w:val="22"/>
              <w:rPr>
                <w:rFonts w:ascii="Times New Roman"/>
                <w:color w:val="auto"/>
                <w:sz w:val="22"/>
              </w:rPr>
            </w:pPr>
          </w:p>
        </w:tc>
        <w:tc>
          <w:tcPr>
            <w:tcW w:w="1123" w:type="dxa"/>
          </w:tcPr>
          <w:p w14:paraId="0244FC5B">
            <w:pPr>
              <w:pStyle w:val="22"/>
              <w:rPr>
                <w:rFonts w:ascii="Times New Roman"/>
                <w:color w:val="auto"/>
                <w:sz w:val="22"/>
              </w:rPr>
            </w:pPr>
          </w:p>
        </w:tc>
        <w:tc>
          <w:tcPr>
            <w:tcW w:w="1090" w:type="dxa"/>
          </w:tcPr>
          <w:p w14:paraId="582ED893">
            <w:pPr>
              <w:pStyle w:val="22"/>
              <w:rPr>
                <w:rFonts w:ascii="Times New Roman"/>
                <w:color w:val="auto"/>
                <w:sz w:val="22"/>
              </w:rPr>
            </w:pPr>
          </w:p>
        </w:tc>
        <w:tc>
          <w:tcPr>
            <w:tcW w:w="1197" w:type="dxa"/>
          </w:tcPr>
          <w:p w14:paraId="456ADD06">
            <w:pPr>
              <w:pStyle w:val="22"/>
              <w:rPr>
                <w:rFonts w:ascii="Times New Roman"/>
                <w:color w:val="auto"/>
                <w:sz w:val="22"/>
              </w:rPr>
            </w:pPr>
          </w:p>
        </w:tc>
        <w:tc>
          <w:tcPr>
            <w:tcW w:w="1268" w:type="dxa"/>
          </w:tcPr>
          <w:p w14:paraId="6BEED0B6">
            <w:pPr>
              <w:pStyle w:val="22"/>
              <w:rPr>
                <w:rFonts w:ascii="Times New Roman"/>
                <w:color w:val="auto"/>
                <w:sz w:val="22"/>
              </w:rPr>
            </w:pPr>
          </w:p>
        </w:tc>
        <w:tc>
          <w:tcPr>
            <w:tcW w:w="673" w:type="dxa"/>
          </w:tcPr>
          <w:p w14:paraId="7B9EC60B">
            <w:pPr>
              <w:pStyle w:val="22"/>
              <w:rPr>
                <w:rFonts w:ascii="Times New Roman"/>
                <w:color w:val="auto"/>
                <w:sz w:val="22"/>
              </w:rPr>
            </w:pPr>
          </w:p>
        </w:tc>
      </w:tr>
      <w:tr w14:paraId="5F572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568" w:type="dxa"/>
            <w:vMerge w:val="continue"/>
            <w:tcBorders>
              <w:top w:val="nil"/>
            </w:tcBorders>
          </w:tcPr>
          <w:p w14:paraId="708C39FE">
            <w:pPr>
              <w:rPr>
                <w:color w:val="auto"/>
                <w:sz w:val="2"/>
                <w:szCs w:val="2"/>
              </w:rPr>
            </w:pPr>
          </w:p>
        </w:tc>
        <w:tc>
          <w:tcPr>
            <w:tcW w:w="1693" w:type="dxa"/>
            <w:vMerge w:val="continue"/>
            <w:tcBorders>
              <w:top w:val="nil"/>
            </w:tcBorders>
          </w:tcPr>
          <w:p w14:paraId="297EA831">
            <w:pPr>
              <w:rPr>
                <w:color w:val="auto"/>
                <w:sz w:val="2"/>
                <w:szCs w:val="2"/>
              </w:rPr>
            </w:pPr>
          </w:p>
        </w:tc>
        <w:tc>
          <w:tcPr>
            <w:tcW w:w="751" w:type="dxa"/>
          </w:tcPr>
          <w:p w14:paraId="158ECE37">
            <w:pPr>
              <w:pStyle w:val="22"/>
              <w:spacing w:before="105"/>
              <w:ind w:left="10"/>
              <w:jc w:val="center"/>
              <w:rPr>
                <w:rFonts w:ascii="Times New Roman"/>
                <w:color w:val="auto"/>
                <w:sz w:val="21"/>
              </w:rPr>
            </w:pPr>
            <w:r>
              <w:rPr>
                <w:rFonts w:ascii="Times New Roman"/>
                <w:color w:val="auto"/>
                <w:spacing w:val="-10"/>
                <w:sz w:val="21"/>
              </w:rPr>
              <w:t>3</w:t>
            </w:r>
          </w:p>
        </w:tc>
        <w:tc>
          <w:tcPr>
            <w:tcW w:w="950" w:type="dxa"/>
          </w:tcPr>
          <w:p w14:paraId="5562D8AF">
            <w:pPr>
              <w:pStyle w:val="22"/>
              <w:rPr>
                <w:rFonts w:ascii="Times New Roman"/>
                <w:color w:val="auto"/>
                <w:sz w:val="22"/>
              </w:rPr>
            </w:pPr>
          </w:p>
        </w:tc>
        <w:tc>
          <w:tcPr>
            <w:tcW w:w="1123" w:type="dxa"/>
          </w:tcPr>
          <w:p w14:paraId="50E22823">
            <w:pPr>
              <w:pStyle w:val="22"/>
              <w:rPr>
                <w:rFonts w:ascii="Times New Roman"/>
                <w:color w:val="auto"/>
                <w:sz w:val="22"/>
              </w:rPr>
            </w:pPr>
          </w:p>
        </w:tc>
        <w:tc>
          <w:tcPr>
            <w:tcW w:w="1090" w:type="dxa"/>
          </w:tcPr>
          <w:p w14:paraId="09EC055D">
            <w:pPr>
              <w:pStyle w:val="22"/>
              <w:rPr>
                <w:rFonts w:ascii="Times New Roman"/>
                <w:color w:val="auto"/>
                <w:sz w:val="22"/>
              </w:rPr>
            </w:pPr>
          </w:p>
        </w:tc>
        <w:tc>
          <w:tcPr>
            <w:tcW w:w="1197" w:type="dxa"/>
          </w:tcPr>
          <w:p w14:paraId="38234A2A">
            <w:pPr>
              <w:pStyle w:val="22"/>
              <w:rPr>
                <w:rFonts w:ascii="Times New Roman"/>
                <w:color w:val="auto"/>
                <w:sz w:val="22"/>
              </w:rPr>
            </w:pPr>
          </w:p>
        </w:tc>
        <w:tc>
          <w:tcPr>
            <w:tcW w:w="1268" w:type="dxa"/>
          </w:tcPr>
          <w:p w14:paraId="766F1EDC">
            <w:pPr>
              <w:pStyle w:val="22"/>
              <w:rPr>
                <w:rFonts w:ascii="Times New Roman"/>
                <w:color w:val="auto"/>
                <w:sz w:val="22"/>
              </w:rPr>
            </w:pPr>
          </w:p>
        </w:tc>
        <w:tc>
          <w:tcPr>
            <w:tcW w:w="673" w:type="dxa"/>
          </w:tcPr>
          <w:p w14:paraId="745645F9">
            <w:pPr>
              <w:pStyle w:val="22"/>
              <w:rPr>
                <w:rFonts w:ascii="Times New Roman"/>
                <w:color w:val="auto"/>
                <w:sz w:val="22"/>
              </w:rPr>
            </w:pPr>
          </w:p>
        </w:tc>
      </w:tr>
      <w:tr w14:paraId="3015D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568" w:type="dxa"/>
            <w:vMerge w:val="restart"/>
          </w:tcPr>
          <w:p w14:paraId="3942F146">
            <w:pPr>
              <w:pStyle w:val="22"/>
              <w:rPr>
                <w:rFonts w:ascii="Times New Roman"/>
                <w:color w:val="auto"/>
                <w:sz w:val="22"/>
              </w:rPr>
            </w:pPr>
          </w:p>
        </w:tc>
        <w:tc>
          <w:tcPr>
            <w:tcW w:w="1693" w:type="dxa"/>
            <w:vMerge w:val="restart"/>
          </w:tcPr>
          <w:p w14:paraId="2EF43366">
            <w:pPr>
              <w:pStyle w:val="22"/>
              <w:rPr>
                <w:rFonts w:ascii="Times New Roman"/>
                <w:color w:val="auto"/>
                <w:sz w:val="22"/>
              </w:rPr>
            </w:pPr>
          </w:p>
        </w:tc>
        <w:tc>
          <w:tcPr>
            <w:tcW w:w="751" w:type="dxa"/>
          </w:tcPr>
          <w:p w14:paraId="1913C607">
            <w:pPr>
              <w:pStyle w:val="22"/>
              <w:spacing w:before="107"/>
              <w:ind w:left="10"/>
              <w:jc w:val="center"/>
              <w:rPr>
                <w:rFonts w:ascii="Times New Roman"/>
                <w:color w:val="auto"/>
                <w:sz w:val="21"/>
              </w:rPr>
            </w:pPr>
            <w:r>
              <w:rPr>
                <w:rFonts w:ascii="Times New Roman"/>
                <w:color w:val="auto"/>
                <w:spacing w:val="-10"/>
                <w:sz w:val="21"/>
              </w:rPr>
              <w:t>1</w:t>
            </w:r>
          </w:p>
        </w:tc>
        <w:tc>
          <w:tcPr>
            <w:tcW w:w="950" w:type="dxa"/>
          </w:tcPr>
          <w:p w14:paraId="1618881B">
            <w:pPr>
              <w:pStyle w:val="22"/>
              <w:rPr>
                <w:rFonts w:ascii="Times New Roman"/>
                <w:color w:val="auto"/>
                <w:sz w:val="22"/>
              </w:rPr>
            </w:pPr>
          </w:p>
        </w:tc>
        <w:tc>
          <w:tcPr>
            <w:tcW w:w="1123" w:type="dxa"/>
          </w:tcPr>
          <w:p w14:paraId="1E56FA3C">
            <w:pPr>
              <w:pStyle w:val="22"/>
              <w:rPr>
                <w:rFonts w:ascii="Times New Roman"/>
                <w:color w:val="auto"/>
                <w:sz w:val="22"/>
              </w:rPr>
            </w:pPr>
          </w:p>
        </w:tc>
        <w:tc>
          <w:tcPr>
            <w:tcW w:w="1090" w:type="dxa"/>
          </w:tcPr>
          <w:p w14:paraId="4FE1D8E8">
            <w:pPr>
              <w:pStyle w:val="22"/>
              <w:rPr>
                <w:rFonts w:ascii="Times New Roman"/>
                <w:color w:val="auto"/>
                <w:sz w:val="22"/>
              </w:rPr>
            </w:pPr>
          </w:p>
        </w:tc>
        <w:tc>
          <w:tcPr>
            <w:tcW w:w="1197" w:type="dxa"/>
          </w:tcPr>
          <w:p w14:paraId="0E7A8622">
            <w:pPr>
              <w:pStyle w:val="22"/>
              <w:rPr>
                <w:rFonts w:ascii="Times New Roman"/>
                <w:color w:val="auto"/>
                <w:sz w:val="22"/>
              </w:rPr>
            </w:pPr>
          </w:p>
        </w:tc>
        <w:tc>
          <w:tcPr>
            <w:tcW w:w="1268" w:type="dxa"/>
          </w:tcPr>
          <w:p w14:paraId="1ACC77A1">
            <w:pPr>
              <w:pStyle w:val="22"/>
              <w:rPr>
                <w:rFonts w:ascii="Times New Roman"/>
                <w:color w:val="auto"/>
                <w:sz w:val="22"/>
              </w:rPr>
            </w:pPr>
          </w:p>
        </w:tc>
        <w:tc>
          <w:tcPr>
            <w:tcW w:w="673" w:type="dxa"/>
          </w:tcPr>
          <w:p w14:paraId="5394E7D9">
            <w:pPr>
              <w:pStyle w:val="22"/>
              <w:rPr>
                <w:rFonts w:ascii="Times New Roman"/>
                <w:color w:val="auto"/>
                <w:sz w:val="22"/>
              </w:rPr>
            </w:pPr>
          </w:p>
        </w:tc>
      </w:tr>
      <w:tr w14:paraId="64EFF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568" w:type="dxa"/>
            <w:vMerge w:val="continue"/>
            <w:tcBorders>
              <w:top w:val="nil"/>
            </w:tcBorders>
          </w:tcPr>
          <w:p w14:paraId="3A90DBF8">
            <w:pPr>
              <w:rPr>
                <w:color w:val="auto"/>
                <w:sz w:val="2"/>
                <w:szCs w:val="2"/>
              </w:rPr>
            </w:pPr>
          </w:p>
        </w:tc>
        <w:tc>
          <w:tcPr>
            <w:tcW w:w="1693" w:type="dxa"/>
            <w:vMerge w:val="continue"/>
            <w:tcBorders>
              <w:top w:val="nil"/>
            </w:tcBorders>
          </w:tcPr>
          <w:p w14:paraId="2C9604ED">
            <w:pPr>
              <w:rPr>
                <w:color w:val="auto"/>
                <w:sz w:val="2"/>
                <w:szCs w:val="2"/>
              </w:rPr>
            </w:pPr>
          </w:p>
        </w:tc>
        <w:tc>
          <w:tcPr>
            <w:tcW w:w="751" w:type="dxa"/>
          </w:tcPr>
          <w:p w14:paraId="1DB8F853">
            <w:pPr>
              <w:pStyle w:val="22"/>
              <w:spacing w:before="106"/>
              <w:ind w:left="10"/>
              <w:jc w:val="center"/>
              <w:rPr>
                <w:rFonts w:ascii="Times New Roman"/>
                <w:color w:val="auto"/>
                <w:sz w:val="21"/>
              </w:rPr>
            </w:pPr>
            <w:r>
              <w:rPr>
                <w:rFonts w:ascii="Times New Roman"/>
                <w:color w:val="auto"/>
                <w:spacing w:val="-10"/>
                <w:sz w:val="21"/>
              </w:rPr>
              <w:t>2</w:t>
            </w:r>
          </w:p>
        </w:tc>
        <w:tc>
          <w:tcPr>
            <w:tcW w:w="950" w:type="dxa"/>
          </w:tcPr>
          <w:p w14:paraId="0592D12E">
            <w:pPr>
              <w:pStyle w:val="22"/>
              <w:rPr>
                <w:rFonts w:ascii="Times New Roman"/>
                <w:color w:val="auto"/>
                <w:sz w:val="22"/>
              </w:rPr>
            </w:pPr>
          </w:p>
        </w:tc>
        <w:tc>
          <w:tcPr>
            <w:tcW w:w="1123" w:type="dxa"/>
          </w:tcPr>
          <w:p w14:paraId="2F4F2D39">
            <w:pPr>
              <w:pStyle w:val="22"/>
              <w:rPr>
                <w:rFonts w:ascii="Times New Roman"/>
                <w:color w:val="auto"/>
                <w:sz w:val="22"/>
              </w:rPr>
            </w:pPr>
          </w:p>
        </w:tc>
        <w:tc>
          <w:tcPr>
            <w:tcW w:w="1090" w:type="dxa"/>
          </w:tcPr>
          <w:p w14:paraId="4C798E0B">
            <w:pPr>
              <w:pStyle w:val="22"/>
              <w:rPr>
                <w:rFonts w:ascii="Times New Roman"/>
                <w:color w:val="auto"/>
                <w:sz w:val="22"/>
              </w:rPr>
            </w:pPr>
          </w:p>
        </w:tc>
        <w:tc>
          <w:tcPr>
            <w:tcW w:w="1197" w:type="dxa"/>
          </w:tcPr>
          <w:p w14:paraId="3FCB3F36">
            <w:pPr>
              <w:pStyle w:val="22"/>
              <w:rPr>
                <w:rFonts w:ascii="Times New Roman"/>
                <w:color w:val="auto"/>
                <w:sz w:val="22"/>
              </w:rPr>
            </w:pPr>
          </w:p>
        </w:tc>
        <w:tc>
          <w:tcPr>
            <w:tcW w:w="1268" w:type="dxa"/>
          </w:tcPr>
          <w:p w14:paraId="2D33A294">
            <w:pPr>
              <w:pStyle w:val="22"/>
              <w:rPr>
                <w:rFonts w:ascii="Times New Roman"/>
                <w:color w:val="auto"/>
                <w:sz w:val="22"/>
              </w:rPr>
            </w:pPr>
          </w:p>
        </w:tc>
        <w:tc>
          <w:tcPr>
            <w:tcW w:w="673" w:type="dxa"/>
          </w:tcPr>
          <w:p w14:paraId="66AFE10F">
            <w:pPr>
              <w:pStyle w:val="22"/>
              <w:rPr>
                <w:rFonts w:ascii="Times New Roman"/>
                <w:color w:val="auto"/>
                <w:sz w:val="22"/>
              </w:rPr>
            </w:pPr>
          </w:p>
        </w:tc>
      </w:tr>
      <w:tr w14:paraId="0ABFB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568" w:type="dxa"/>
            <w:vMerge w:val="continue"/>
            <w:tcBorders>
              <w:top w:val="nil"/>
            </w:tcBorders>
          </w:tcPr>
          <w:p w14:paraId="37A397CD">
            <w:pPr>
              <w:rPr>
                <w:color w:val="auto"/>
                <w:sz w:val="2"/>
                <w:szCs w:val="2"/>
              </w:rPr>
            </w:pPr>
          </w:p>
        </w:tc>
        <w:tc>
          <w:tcPr>
            <w:tcW w:w="1693" w:type="dxa"/>
            <w:vMerge w:val="continue"/>
            <w:tcBorders>
              <w:top w:val="nil"/>
            </w:tcBorders>
          </w:tcPr>
          <w:p w14:paraId="4DBD23A0">
            <w:pPr>
              <w:rPr>
                <w:color w:val="auto"/>
                <w:sz w:val="2"/>
                <w:szCs w:val="2"/>
              </w:rPr>
            </w:pPr>
          </w:p>
        </w:tc>
        <w:tc>
          <w:tcPr>
            <w:tcW w:w="751" w:type="dxa"/>
          </w:tcPr>
          <w:p w14:paraId="07ABF5C9">
            <w:pPr>
              <w:pStyle w:val="22"/>
              <w:spacing w:before="105"/>
              <w:ind w:left="10"/>
              <w:jc w:val="center"/>
              <w:rPr>
                <w:rFonts w:ascii="Times New Roman"/>
                <w:color w:val="auto"/>
                <w:sz w:val="21"/>
              </w:rPr>
            </w:pPr>
            <w:r>
              <w:rPr>
                <w:rFonts w:ascii="Times New Roman"/>
                <w:color w:val="auto"/>
                <w:spacing w:val="-10"/>
                <w:sz w:val="21"/>
              </w:rPr>
              <w:t>3</w:t>
            </w:r>
          </w:p>
        </w:tc>
        <w:tc>
          <w:tcPr>
            <w:tcW w:w="950" w:type="dxa"/>
          </w:tcPr>
          <w:p w14:paraId="3502AE86">
            <w:pPr>
              <w:pStyle w:val="22"/>
              <w:rPr>
                <w:rFonts w:ascii="Times New Roman"/>
                <w:color w:val="auto"/>
                <w:sz w:val="22"/>
              </w:rPr>
            </w:pPr>
          </w:p>
        </w:tc>
        <w:tc>
          <w:tcPr>
            <w:tcW w:w="1123" w:type="dxa"/>
          </w:tcPr>
          <w:p w14:paraId="5A840904">
            <w:pPr>
              <w:pStyle w:val="22"/>
              <w:rPr>
                <w:rFonts w:ascii="Times New Roman"/>
                <w:color w:val="auto"/>
                <w:sz w:val="22"/>
              </w:rPr>
            </w:pPr>
          </w:p>
        </w:tc>
        <w:tc>
          <w:tcPr>
            <w:tcW w:w="1090" w:type="dxa"/>
          </w:tcPr>
          <w:p w14:paraId="6184FCE3">
            <w:pPr>
              <w:pStyle w:val="22"/>
              <w:rPr>
                <w:rFonts w:ascii="Times New Roman"/>
                <w:color w:val="auto"/>
                <w:sz w:val="22"/>
              </w:rPr>
            </w:pPr>
          </w:p>
        </w:tc>
        <w:tc>
          <w:tcPr>
            <w:tcW w:w="1197" w:type="dxa"/>
          </w:tcPr>
          <w:p w14:paraId="62911A5F">
            <w:pPr>
              <w:pStyle w:val="22"/>
              <w:rPr>
                <w:rFonts w:ascii="Times New Roman"/>
                <w:color w:val="auto"/>
                <w:sz w:val="22"/>
              </w:rPr>
            </w:pPr>
          </w:p>
        </w:tc>
        <w:tc>
          <w:tcPr>
            <w:tcW w:w="1268" w:type="dxa"/>
          </w:tcPr>
          <w:p w14:paraId="64646BB6">
            <w:pPr>
              <w:pStyle w:val="22"/>
              <w:rPr>
                <w:rFonts w:ascii="Times New Roman"/>
                <w:color w:val="auto"/>
                <w:sz w:val="22"/>
              </w:rPr>
            </w:pPr>
          </w:p>
        </w:tc>
        <w:tc>
          <w:tcPr>
            <w:tcW w:w="673" w:type="dxa"/>
          </w:tcPr>
          <w:p w14:paraId="4D08698F">
            <w:pPr>
              <w:pStyle w:val="22"/>
              <w:rPr>
                <w:rFonts w:ascii="Times New Roman"/>
                <w:color w:val="auto"/>
                <w:sz w:val="22"/>
              </w:rPr>
            </w:pPr>
          </w:p>
        </w:tc>
      </w:tr>
    </w:tbl>
    <w:p w14:paraId="651243A7">
      <w:pPr>
        <w:pStyle w:val="11"/>
        <w:spacing w:before="111"/>
        <w:ind w:left="1268"/>
        <w:rPr>
          <w:color w:val="auto"/>
        </w:rPr>
      </w:pPr>
      <w:r>
        <w:rPr>
          <w:color w:val="auto"/>
        </w:rPr>
        <w:t>备注：</w:t>
      </w:r>
      <w:r>
        <w:rPr>
          <w:rFonts w:ascii="Times New Roman" w:hAnsi="Times New Roman" w:eastAsia="Times New Roman"/>
          <w:color w:val="auto"/>
        </w:rPr>
        <w:t>1.</w:t>
      </w:r>
      <w:r>
        <w:rPr>
          <w:color w:val="auto"/>
          <w:spacing w:val="-1"/>
        </w:rPr>
        <w:t>若无分包计划，则供应商应在本表填写“无”。</w:t>
      </w:r>
    </w:p>
    <w:p w14:paraId="3FE77208">
      <w:pPr>
        <w:pStyle w:val="11"/>
        <w:spacing w:before="128"/>
        <w:ind w:left="1988"/>
        <w:rPr>
          <w:color w:val="auto"/>
        </w:rPr>
      </w:pPr>
      <w:r>
        <w:rPr>
          <w:rFonts w:ascii="Times New Roman" w:eastAsia="Times New Roman"/>
          <w:color w:val="auto"/>
        </w:rPr>
        <w:t>2.</w:t>
      </w:r>
      <w:r>
        <w:rPr>
          <w:color w:val="auto"/>
          <w:spacing w:val="-1"/>
        </w:rPr>
        <w:t>本表所列分包仅限于承包人自行施工范围内的非主体、非关键工程。</w:t>
      </w:r>
    </w:p>
    <w:p w14:paraId="06F12886">
      <w:pPr>
        <w:pStyle w:val="12"/>
        <w:spacing w:before="0"/>
        <w:ind w:left="0"/>
        <w:rPr>
          <w:color w:val="auto"/>
          <w:sz w:val="24"/>
        </w:rPr>
      </w:pPr>
    </w:p>
    <w:p w14:paraId="3BE3A5A1">
      <w:pPr>
        <w:pStyle w:val="12"/>
        <w:spacing w:before="0"/>
        <w:ind w:left="0"/>
        <w:rPr>
          <w:color w:val="auto"/>
          <w:sz w:val="24"/>
        </w:rPr>
      </w:pPr>
    </w:p>
    <w:p w14:paraId="73D2A4BF">
      <w:pPr>
        <w:pStyle w:val="12"/>
        <w:spacing w:before="0"/>
        <w:ind w:left="0"/>
        <w:rPr>
          <w:color w:val="auto"/>
          <w:sz w:val="24"/>
        </w:rPr>
      </w:pPr>
    </w:p>
    <w:p w14:paraId="3D938E9D">
      <w:pPr>
        <w:pStyle w:val="12"/>
        <w:spacing w:before="170"/>
        <w:ind w:left="0"/>
        <w:rPr>
          <w:color w:val="auto"/>
          <w:sz w:val="24"/>
        </w:rPr>
      </w:pPr>
    </w:p>
    <w:p w14:paraId="671CC698">
      <w:pPr>
        <w:pStyle w:val="11"/>
        <w:spacing w:line="357" w:lineRule="auto"/>
        <w:ind w:left="3428" w:right="2015" w:hanging="600"/>
        <w:rPr>
          <w:color w:val="auto"/>
        </w:rPr>
      </w:pPr>
      <w:r>
        <w:rPr>
          <w:color w:val="auto"/>
          <w:spacing w:val="-2"/>
        </w:rPr>
        <w:t>法定代表人或者委托代理人（签字或者电子签名）：供应商（电子签章）：</w:t>
      </w:r>
    </w:p>
    <w:p w14:paraId="14E6C5B1">
      <w:pPr>
        <w:pStyle w:val="11"/>
        <w:tabs>
          <w:tab w:val="left" w:pos="5948"/>
          <w:tab w:val="left" w:pos="6548"/>
          <w:tab w:val="left" w:pos="7148"/>
        </w:tabs>
        <w:spacing w:before="4"/>
        <w:ind w:left="4868"/>
        <w:rPr>
          <w:color w:val="auto"/>
        </w:rPr>
      </w:pPr>
      <w:r>
        <w:rPr>
          <w:color w:val="auto"/>
        </w:rPr>
        <w:t>日期</w:t>
      </w:r>
      <w:r>
        <w:rPr>
          <w:color w:val="auto"/>
          <w:spacing w:val="-10"/>
        </w:rPr>
        <w:t>：</w:t>
      </w:r>
      <w:r>
        <w:rPr>
          <w:color w:val="auto"/>
        </w:rPr>
        <w:tab/>
      </w:r>
      <w:r>
        <w:rPr>
          <w:color w:val="auto"/>
          <w:spacing w:val="-10"/>
        </w:rPr>
        <w:t>年</w:t>
      </w:r>
      <w:r>
        <w:rPr>
          <w:color w:val="auto"/>
        </w:rPr>
        <w:tab/>
      </w:r>
      <w:r>
        <w:rPr>
          <w:color w:val="auto"/>
          <w:spacing w:val="-10"/>
        </w:rPr>
        <w:t>月</w:t>
      </w:r>
      <w:r>
        <w:rPr>
          <w:color w:val="auto"/>
        </w:rPr>
        <w:tab/>
      </w:r>
      <w:r>
        <w:rPr>
          <w:color w:val="auto"/>
          <w:spacing w:val="-10"/>
        </w:rPr>
        <w:t>日</w:t>
      </w:r>
    </w:p>
    <w:p w14:paraId="1635BE15">
      <w:pPr>
        <w:spacing w:after="0"/>
        <w:rPr>
          <w:color w:val="auto"/>
        </w:rPr>
        <w:sectPr>
          <w:pgSz w:w="11910" w:h="16840"/>
          <w:pgMar w:top="1400" w:right="740" w:bottom="1180" w:left="800" w:header="0" w:footer="989" w:gutter="0"/>
          <w:cols w:space="720" w:num="1"/>
        </w:sectPr>
      </w:pPr>
    </w:p>
    <w:p w14:paraId="32BE6BBF">
      <w:pPr>
        <w:pStyle w:val="5"/>
        <w:ind w:right="842"/>
        <w:rPr>
          <w:color w:val="auto"/>
        </w:rPr>
      </w:pPr>
      <w:r>
        <w:rPr>
          <w:color w:val="auto"/>
          <w:spacing w:val="-3"/>
        </w:rPr>
        <w:t>项目管理机构配备情况表及主要人员简历表</w:t>
      </w:r>
    </w:p>
    <w:p w14:paraId="3A307323">
      <w:pPr>
        <w:pStyle w:val="9"/>
        <w:spacing w:before="328"/>
        <w:ind w:right="837"/>
        <w:rPr>
          <w:color w:val="auto"/>
        </w:rPr>
      </w:pPr>
      <w:r>
        <w:rPr>
          <w:color w:val="auto"/>
          <w:spacing w:val="-2"/>
        </w:rPr>
        <w:t>（一）</w:t>
      </w:r>
      <w:r>
        <w:rPr>
          <w:color w:val="auto"/>
          <w:spacing w:val="-3"/>
        </w:rPr>
        <w:t>项目管理机构配备情况表</w:t>
      </w:r>
    </w:p>
    <w:p w14:paraId="0DAEE403">
      <w:pPr>
        <w:pStyle w:val="11"/>
        <w:tabs>
          <w:tab w:val="left" w:pos="3607"/>
        </w:tabs>
        <w:spacing w:before="229"/>
        <w:rPr>
          <w:rFonts w:ascii="Times New Roman" w:eastAsia="Times New Roman"/>
          <w:color w:val="auto"/>
        </w:rPr>
      </w:pPr>
      <w:r>
        <w:rPr>
          <w:color w:val="auto"/>
        </w:rPr>
        <w:t>分标（如有</w:t>
      </w:r>
      <w:r>
        <w:rPr>
          <w:color w:val="auto"/>
          <w:spacing w:val="-5"/>
        </w:rPr>
        <w:t>）：</w:t>
      </w:r>
      <w:r>
        <w:rPr>
          <w:rFonts w:ascii="Times New Roman" w:eastAsia="Times New Roman"/>
          <w:color w:val="auto"/>
          <w:u w:val="single"/>
        </w:rPr>
        <w:tab/>
      </w:r>
    </w:p>
    <w:p w14:paraId="69A37358">
      <w:pPr>
        <w:pStyle w:val="12"/>
        <w:spacing w:before="9"/>
        <w:ind w:left="0"/>
        <w:rPr>
          <w:rFonts w:ascii="Times New Roman"/>
          <w:color w:val="auto"/>
          <w:sz w:val="13"/>
        </w:rPr>
      </w:pPr>
    </w:p>
    <w:tbl>
      <w:tblPr>
        <w:tblStyle w:val="16"/>
        <w:tblW w:w="0" w:type="auto"/>
        <w:tblInd w:w="3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1"/>
        <w:gridCol w:w="670"/>
        <w:gridCol w:w="829"/>
        <w:gridCol w:w="627"/>
        <w:gridCol w:w="1148"/>
        <w:gridCol w:w="1148"/>
        <w:gridCol w:w="823"/>
        <w:gridCol w:w="744"/>
        <w:gridCol w:w="1167"/>
        <w:gridCol w:w="1281"/>
      </w:tblGrid>
      <w:tr w14:paraId="20507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1271" w:type="dxa"/>
            <w:vMerge w:val="restart"/>
          </w:tcPr>
          <w:p w14:paraId="087C1085">
            <w:pPr>
              <w:pStyle w:val="22"/>
              <w:spacing w:before="167"/>
              <w:rPr>
                <w:rFonts w:ascii="Times New Roman"/>
                <w:color w:val="auto"/>
                <w:sz w:val="21"/>
              </w:rPr>
            </w:pPr>
          </w:p>
          <w:p w14:paraId="214B4121">
            <w:pPr>
              <w:pStyle w:val="22"/>
              <w:ind w:left="424"/>
              <w:rPr>
                <w:color w:val="auto"/>
                <w:sz w:val="21"/>
              </w:rPr>
            </w:pPr>
            <w:r>
              <w:rPr>
                <w:color w:val="auto"/>
                <w:spacing w:val="-8"/>
                <w:sz w:val="21"/>
              </w:rPr>
              <w:t>岗位</w:t>
            </w:r>
          </w:p>
        </w:tc>
        <w:tc>
          <w:tcPr>
            <w:tcW w:w="670" w:type="dxa"/>
            <w:vMerge w:val="restart"/>
          </w:tcPr>
          <w:p w14:paraId="2312118C">
            <w:pPr>
              <w:pStyle w:val="22"/>
              <w:spacing w:before="167"/>
              <w:rPr>
                <w:rFonts w:ascii="Times New Roman"/>
                <w:color w:val="auto"/>
                <w:sz w:val="21"/>
              </w:rPr>
            </w:pPr>
          </w:p>
          <w:p w14:paraId="0C7CB266">
            <w:pPr>
              <w:pStyle w:val="22"/>
              <w:ind w:left="125"/>
              <w:rPr>
                <w:color w:val="auto"/>
                <w:sz w:val="21"/>
              </w:rPr>
            </w:pPr>
            <w:r>
              <w:rPr>
                <w:color w:val="auto"/>
                <w:spacing w:val="-8"/>
                <w:sz w:val="21"/>
              </w:rPr>
              <w:t>姓名</w:t>
            </w:r>
          </w:p>
        </w:tc>
        <w:tc>
          <w:tcPr>
            <w:tcW w:w="829" w:type="dxa"/>
            <w:vMerge w:val="restart"/>
          </w:tcPr>
          <w:p w14:paraId="2197F560">
            <w:pPr>
              <w:pStyle w:val="22"/>
              <w:spacing w:before="33"/>
              <w:rPr>
                <w:rFonts w:ascii="Times New Roman"/>
                <w:color w:val="auto"/>
                <w:sz w:val="21"/>
              </w:rPr>
            </w:pPr>
          </w:p>
          <w:p w14:paraId="3BC33F1C">
            <w:pPr>
              <w:pStyle w:val="22"/>
              <w:ind w:left="203" w:right="195"/>
              <w:rPr>
                <w:color w:val="auto"/>
                <w:sz w:val="21"/>
              </w:rPr>
            </w:pPr>
            <w:r>
              <w:rPr>
                <w:color w:val="auto"/>
                <w:spacing w:val="-6"/>
                <w:sz w:val="21"/>
              </w:rPr>
              <w:t>身份</w:t>
            </w:r>
            <w:r>
              <w:rPr>
                <w:color w:val="auto"/>
                <w:spacing w:val="-8"/>
                <w:sz w:val="21"/>
              </w:rPr>
              <w:t>证号</w:t>
            </w:r>
          </w:p>
        </w:tc>
        <w:tc>
          <w:tcPr>
            <w:tcW w:w="627" w:type="dxa"/>
            <w:vMerge w:val="restart"/>
          </w:tcPr>
          <w:p w14:paraId="2F000DD6">
            <w:pPr>
              <w:pStyle w:val="22"/>
              <w:spacing w:before="167"/>
              <w:rPr>
                <w:rFonts w:ascii="Times New Roman"/>
                <w:color w:val="auto"/>
                <w:sz w:val="21"/>
              </w:rPr>
            </w:pPr>
          </w:p>
          <w:p w14:paraId="707ADC51">
            <w:pPr>
              <w:pStyle w:val="22"/>
              <w:ind w:left="39"/>
              <w:rPr>
                <w:color w:val="auto"/>
                <w:sz w:val="21"/>
              </w:rPr>
            </w:pPr>
            <w:r>
              <w:rPr>
                <w:color w:val="auto"/>
                <w:spacing w:val="-8"/>
                <w:sz w:val="21"/>
              </w:rPr>
              <w:t>职称</w:t>
            </w:r>
          </w:p>
        </w:tc>
        <w:tc>
          <w:tcPr>
            <w:tcW w:w="3863" w:type="dxa"/>
            <w:gridSpan w:val="4"/>
          </w:tcPr>
          <w:p w14:paraId="5F841DFE">
            <w:pPr>
              <w:pStyle w:val="22"/>
              <w:spacing w:before="133"/>
              <w:ind w:left="1203"/>
              <w:rPr>
                <w:color w:val="auto"/>
                <w:sz w:val="21"/>
              </w:rPr>
            </w:pPr>
            <w:r>
              <w:rPr>
                <w:color w:val="auto"/>
                <w:spacing w:val="-4"/>
                <w:sz w:val="21"/>
              </w:rPr>
              <w:t>执业或职业资格</w:t>
            </w:r>
          </w:p>
        </w:tc>
        <w:tc>
          <w:tcPr>
            <w:tcW w:w="2448" w:type="dxa"/>
            <w:gridSpan w:val="2"/>
          </w:tcPr>
          <w:p w14:paraId="6525E09A">
            <w:pPr>
              <w:pStyle w:val="22"/>
              <w:spacing w:line="269" w:lineRule="exact"/>
              <w:ind w:left="121"/>
              <w:rPr>
                <w:color w:val="auto"/>
                <w:sz w:val="21"/>
              </w:rPr>
            </w:pPr>
            <w:r>
              <w:rPr>
                <w:color w:val="auto"/>
                <w:spacing w:val="-3"/>
                <w:sz w:val="21"/>
              </w:rPr>
              <w:t>承担完工、在建工程情</w:t>
            </w:r>
          </w:p>
          <w:p w14:paraId="055EF120">
            <w:pPr>
              <w:pStyle w:val="22"/>
              <w:spacing w:line="255" w:lineRule="exact"/>
              <w:ind w:left="121"/>
              <w:rPr>
                <w:color w:val="auto"/>
                <w:sz w:val="21"/>
              </w:rPr>
            </w:pPr>
            <w:r>
              <w:rPr>
                <w:color w:val="auto"/>
                <w:spacing w:val="-10"/>
                <w:sz w:val="21"/>
              </w:rPr>
              <w:t>况</w:t>
            </w:r>
          </w:p>
        </w:tc>
      </w:tr>
      <w:tr w14:paraId="3B730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1271" w:type="dxa"/>
            <w:vMerge w:val="continue"/>
            <w:tcBorders>
              <w:top w:val="nil"/>
            </w:tcBorders>
          </w:tcPr>
          <w:p w14:paraId="01B4CA12">
            <w:pPr>
              <w:rPr>
                <w:color w:val="auto"/>
                <w:sz w:val="2"/>
                <w:szCs w:val="2"/>
              </w:rPr>
            </w:pPr>
          </w:p>
        </w:tc>
        <w:tc>
          <w:tcPr>
            <w:tcW w:w="670" w:type="dxa"/>
            <w:vMerge w:val="continue"/>
            <w:tcBorders>
              <w:top w:val="nil"/>
            </w:tcBorders>
          </w:tcPr>
          <w:p w14:paraId="6C59F34C">
            <w:pPr>
              <w:rPr>
                <w:color w:val="auto"/>
                <w:sz w:val="2"/>
                <w:szCs w:val="2"/>
              </w:rPr>
            </w:pPr>
          </w:p>
        </w:tc>
        <w:tc>
          <w:tcPr>
            <w:tcW w:w="829" w:type="dxa"/>
            <w:vMerge w:val="continue"/>
            <w:tcBorders>
              <w:top w:val="nil"/>
            </w:tcBorders>
          </w:tcPr>
          <w:p w14:paraId="298A3599">
            <w:pPr>
              <w:rPr>
                <w:color w:val="auto"/>
                <w:sz w:val="2"/>
                <w:szCs w:val="2"/>
              </w:rPr>
            </w:pPr>
          </w:p>
        </w:tc>
        <w:tc>
          <w:tcPr>
            <w:tcW w:w="627" w:type="dxa"/>
            <w:vMerge w:val="continue"/>
            <w:tcBorders>
              <w:top w:val="nil"/>
            </w:tcBorders>
          </w:tcPr>
          <w:p w14:paraId="45561F2C">
            <w:pPr>
              <w:rPr>
                <w:color w:val="auto"/>
                <w:sz w:val="2"/>
                <w:szCs w:val="2"/>
              </w:rPr>
            </w:pPr>
          </w:p>
        </w:tc>
        <w:tc>
          <w:tcPr>
            <w:tcW w:w="1148" w:type="dxa"/>
          </w:tcPr>
          <w:p w14:paraId="00C8C7F2">
            <w:pPr>
              <w:pStyle w:val="22"/>
              <w:spacing w:before="130"/>
              <w:ind w:left="154"/>
              <w:rPr>
                <w:color w:val="auto"/>
                <w:sz w:val="21"/>
              </w:rPr>
            </w:pPr>
            <w:r>
              <w:rPr>
                <w:color w:val="auto"/>
                <w:spacing w:val="-7"/>
                <w:sz w:val="21"/>
              </w:rPr>
              <w:t>证书名称</w:t>
            </w:r>
          </w:p>
        </w:tc>
        <w:tc>
          <w:tcPr>
            <w:tcW w:w="1148" w:type="dxa"/>
          </w:tcPr>
          <w:p w14:paraId="4F351AD6">
            <w:pPr>
              <w:pStyle w:val="22"/>
              <w:spacing w:before="130"/>
              <w:ind w:left="364"/>
              <w:rPr>
                <w:color w:val="auto"/>
                <w:sz w:val="21"/>
              </w:rPr>
            </w:pPr>
            <w:r>
              <w:rPr>
                <w:color w:val="auto"/>
                <w:spacing w:val="-8"/>
                <w:sz w:val="21"/>
              </w:rPr>
              <w:t>级别</w:t>
            </w:r>
          </w:p>
        </w:tc>
        <w:tc>
          <w:tcPr>
            <w:tcW w:w="823" w:type="dxa"/>
          </w:tcPr>
          <w:p w14:paraId="2822716C">
            <w:pPr>
              <w:pStyle w:val="22"/>
              <w:spacing w:before="130"/>
              <w:ind w:left="200"/>
              <w:rPr>
                <w:color w:val="auto"/>
                <w:sz w:val="21"/>
              </w:rPr>
            </w:pPr>
            <w:r>
              <w:rPr>
                <w:color w:val="auto"/>
                <w:spacing w:val="-8"/>
                <w:sz w:val="21"/>
              </w:rPr>
              <w:t>证号</w:t>
            </w:r>
          </w:p>
        </w:tc>
        <w:tc>
          <w:tcPr>
            <w:tcW w:w="744" w:type="dxa"/>
          </w:tcPr>
          <w:p w14:paraId="10C8E2B3">
            <w:pPr>
              <w:pStyle w:val="22"/>
              <w:spacing w:before="130"/>
              <w:ind w:left="162"/>
              <w:rPr>
                <w:color w:val="auto"/>
                <w:sz w:val="21"/>
              </w:rPr>
            </w:pPr>
            <w:r>
              <w:rPr>
                <w:color w:val="auto"/>
                <w:spacing w:val="-8"/>
                <w:sz w:val="21"/>
              </w:rPr>
              <w:t>专业</w:t>
            </w:r>
          </w:p>
        </w:tc>
        <w:tc>
          <w:tcPr>
            <w:tcW w:w="1167" w:type="dxa"/>
          </w:tcPr>
          <w:p w14:paraId="3DC47F9C">
            <w:pPr>
              <w:pStyle w:val="22"/>
              <w:spacing w:before="130"/>
              <w:ind w:left="133"/>
              <w:rPr>
                <w:color w:val="auto"/>
                <w:sz w:val="21"/>
              </w:rPr>
            </w:pPr>
            <w:r>
              <w:rPr>
                <w:color w:val="auto"/>
                <w:spacing w:val="-2"/>
                <w:sz w:val="21"/>
              </w:rPr>
              <w:t>完工</w:t>
            </w:r>
            <w:r>
              <w:rPr>
                <w:rFonts w:ascii="Times New Roman" w:eastAsia="Times New Roman"/>
                <w:color w:val="auto"/>
                <w:spacing w:val="-2"/>
                <w:sz w:val="21"/>
              </w:rPr>
              <w:t>/</w:t>
            </w:r>
            <w:r>
              <w:rPr>
                <w:color w:val="auto"/>
                <w:spacing w:val="-6"/>
                <w:sz w:val="21"/>
              </w:rPr>
              <w:t>在建</w:t>
            </w:r>
          </w:p>
        </w:tc>
        <w:tc>
          <w:tcPr>
            <w:tcW w:w="1281" w:type="dxa"/>
          </w:tcPr>
          <w:p w14:paraId="0BB7C7E3">
            <w:pPr>
              <w:pStyle w:val="22"/>
              <w:spacing w:line="268" w:lineRule="exact"/>
              <w:ind w:left="8" w:right="3"/>
              <w:jc w:val="center"/>
              <w:rPr>
                <w:color w:val="auto"/>
                <w:sz w:val="21"/>
              </w:rPr>
            </w:pPr>
            <w:r>
              <w:rPr>
                <w:color w:val="auto"/>
                <w:spacing w:val="-7"/>
                <w:sz w:val="21"/>
              </w:rPr>
              <w:t>主要项目</w:t>
            </w:r>
          </w:p>
          <w:p w14:paraId="0027C36C">
            <w:pPr>
              <w:pStyle w:val="22"/>
              <w:spacing w:line="256" w:lineRule="exact"/>
              <w:ind w:left="8"/>
              <w:jc w:val="center"/>
              <w:rPr>
                <w:color w:val="auto"/>
                <w:sz w:val="21"/>
              </w:rPr>
            </w:pPr>
            <w:r>
              <w:rPr>
                <w:color w:val="auto"/>
                <w:spacing w:val="-8"/>
                <w:sz w:val="21"/>
              </w:rPr>
              <w:t>名称</w:t>
            </w:r>
          </w:p>
        </w:tc>
      </w:tr>
      <w:tr w14:paraId="3A02B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1271" w:type="dxa"/>
          </w:tcPr>
          <w:p w14:paraId="278C762D">
            <w:pPr>
              <w:pStyle w:val="22"/>
              <w:spacing w:before="190"/>
              <w:ind w:left="107"/>
              <w:rPr>
                <w:color w:val="auto"/>
                <w:sz w:val="21"/>
              </w:rPr>
            </w:pPr>
            <w:r>
              <w:rPr>
                <w:rFonts w:ascii="Times New Roman" w:eastAsia="Times New Roman"/>
                <w:color w:val="auto"/>
                <w:spacing w:val="-2"/>
                <w:sz w:val="21"/>
              </w:rPr>
              <w:t>1.</w:t>
            </w:r>
            <w:r>
              <w:rPr>
                <w:color w:val="auto"/>
                <w:spacing w:val="-4"/>
                <w:sz w:val="21"/>
              </w:rPr>
              <w:t>项目经理</w:t>
            </w:r>
          </w:p>
        </w:tc>
        <w:tc>
          <w:tcPr>
            <w:tcW w:w="670" w:type="dxa"/>
          </w:tcPr>
          <w:p w14:paraId="526881A0">
            <w:pPr>
              <w:pStyle w:val="22"/>
              <w:rPr>
                <w:rFonts w:ascii="Times New Roman"/>
                <w:color w:val="auto"/>
                <w:sz w:val="22"/>
              </w:rPr>
            </w:pPr>
          </w:p>
        </w:tc>
        <w:tc>
          <w:tcPr>
            <w:tcW w:w="829" w:type="dxa"/>
          </w:tcPr>
          <w:p w14:paraId="1B145D02">
            <w:pPr>
              <w:pStyle w:val="22"/>
              <w:rPr>
                <w:rFonts w:ascii="Times New Roman"/>
                <w:color w:val="auto"/>
                <w:sz w:val="22"/>
              </w:rPr>
            </w:pPr>
          </w:p>
        </w:tc>
        <w:tc>
          <w:tcPr>
            <w:tcW w:w="627" w:type="dxa"/>
          </w:tcPr>
          <w:p w14:paraId="4B904F65">
            <w:pPr>
              <w:pStyle w:val="22"/>
              <w:rPr>
                <w:rFonts w:ascii="Times New Roman"/>
                <w:color w:val="auto"/>
                <w:sz w:val="22"/>
              </w:rPr>
            </w:pPr>
          </w:p>
        </w:tc>
        <w:tc>
          <w:tcPr>
            <w:tcW w:w="1148" w:type="dxa"/>
          </w:tcPr>
          <w:p w14:paraId="1D0DE464">
            <w:pPr>
              <w:pStyle w:val="22"/>
              <w:rPr>
                <w:rFonts w:ascii="Times New Roman"/>
                <w:color w:val="auto"/>
                <w:sz w:val="22"/>
              </w:rPr>
            </w:pPr>
          </w:p>
        </w:tc>
        <w:tc>
          <w:tcPr>
            <w:tcW w:w="1148" w:type="dxa"/>
          </w:tcPr>
          <w:p w14:paraId="02B48E58">
            <w:pPr>
              <w:pStyle w:val="22"/>
              <w:rPr>
                <w:rFonts w:ascii="Times New Roman"/>
                <w:color w:val="auto"/>
                <w:sz w:val="22"/>
              </w:rPr>
            </w:pPr>
          </w:p>
        </w:tc>
        <w:tc>
          <w:tcPr>
            <w:tcW w:w="823" w:type="dxa"/>
          </w:tcPr>
          <w:p w14:paraId="78EB2CF4">
            <w:pPr>
              <w:pStyle w:val="22"/>
              <w:rPr>
                <w:rFonts w:ascii="Times New Roman"/>
                <w:color w:val="auto"/>
                <w:sz w:val="22"/>
              </w:rPr>
            </w:pPr>
          </w:p>
        </w:tc>
        <w:tc>
          <w:tcPr>
            <w:tcW w:w="744" w:type="dxa"/>
          </w:tcPr>
          <w:p w14:paraId="496A4ED1">
            <w:pPr>
              <w:pStyle w:val="22"/>
              <w:rPr>
                <w:rFonts w:ascii="Times New Roman"/>
                <w:color w:val="auto"/>
                <w:sz w:val="22"/>
              </w:rPr>
            </w:pPr>
          </w:p>
        </w:tc>
        <w:tc>
          <w:tcPr>
            <w:tcW w:w="1167" w:type="dxa"/>
          </w:tcPr>
          <w:p w14:paraId="644F513A">
            <w:pPr>
              <w:pStyle w:val="22"/>
              <w:rPr>
                <w:rFonts w:ascii="Times New Roman"/>
                <w:color w:val="auto"/>
                <w:sz w:val="22"/>
              </w:rPr>
            </w:pPr>
          </w:p>
        </w:tc>
        <w:tc>
          <w:tcPr>
            <w:tcW w:w="1281" w:type="dxa"/>
          </w:tcPr>
          <w:p w14:paraId="792F3B04">
            <w:pPr>
              <w:pStyle w:val="22"/>
              <w:rPr>
                <w:rFonts w:ascii="Times New Roman"/>
                <w:color w:val="auto"/>
                <w:sz w:val="22"/>
              </w:rPr>
            </w:pPr>
          </w:p>
        </w:tc>
      </w:tr>
      <w:tr w14:paraId="7342B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1271" w:type="dxa"/>
          </w:tcPr>
          <w:p w14:paraId="32EB500D">
            <w:pPr>
              <w:pStyle w:val="22"/>
              <w:ind w:left="107" w:right="102"/>
              <w:rPr>
                <w:color w:val="auto"/>
                <w:sz w:val="21"/>
              </w:rPr>
            </w:pPr>
            <w:r>
              <w:rPr>
                <w:rFonts w:ascii="Times New Roman" w:eastAsia="Times New Roman"/>
                <w:color w:val="auto"/>
                <w:spacing w:val="-2"/>
                <w:sz w:val="21"/>
              </w:rPr>
              <w:t>2.</w:t>
            </w:r>
            <w:r>
              <w:rPr>
                <w:color w:val="auto"/>
                <w:spacing w:val="-2"/>
                <w:sz w:val="21"/>
              </w:rPr>
              <w:t>技术负责人（项目</w:t>
            </w:r>
            <w:r>
              <w:rPr>
                <w:color w:val="auto"/>
                <w:spacing w:val="-10"/>
                <w:sz w:val="21"/>
              </w:rPr>
              <w:t>总</w:t>
            </w:r>
          </w:p>
          <w:p w14:paraId="4AF3E98B">
            <w:pPr>
              <w:pStyle w:val="22"/>
              <w:spacing w:line="253" w:lineRule="exact"/>
              <w:ind w:left="107"/>
              <w:rPr>
                <w:color w:val="auto"/>
                <w:sz w:val="21"/>
              </w:rPr>
            </w:pPr>
            <w:r>
              <w:rPr>
                <w:color w:val="auto"/>
                <w:spacing w:val="-5"/>
                <w:sz w:val="21"/>
              </w:rPr>
              <w:t>工</w:t>
            </w:r>
            <w:r>
              <w:rPr>
                <w:color w:val="auto"/>
                <w:spacing w:val="-10"/>
                <w:sz w:val="21"/>
              </w:rPr>
              <w:t>）</w:t>
            </w:r>
          </w:p>
        </w:tc>
        <w:tc>
          <w:tcPr>
            <w:tcW w:w="670" w:type="dxa"/>
          </w:tcPr>
          <w:p w14:paraId="720B989D">
            <w:pPr>
              <w:pStyle w:val="22"/>
              <w:rPr>
                <w:rFonts w:ascii="Times New Roman"/>
                <w:color w:val="auto"/>
                <w:sz w:val="22"/>
              </w:rPr>
            </w:pPr>
          </w:p>
        </w:tc>
        <w:tc>
          <w:tcPr>
            <w:tcW w:w="829" w:type="dxa"/>
          </w:tcPr>
          <w:p w14:paraId="6B864CB1">
            <w:pPr>
              <w:pStyle w:val="22"/>
              <w:rPr>
                <w:rFonts w:ascii="Times New Roman"/>
                <w:color w:val="auto"/>
                <w:sz w:val="22"/>
              </w:rPr>
            </w:pPr>
          </w:p>
        </w:tc>
        <w:tc>
          <w:tcPr>
            <w:tcW w:w="627" w:type="dxa"/>
          </w:tcPr>
          <w:p w14:paraId="78802781">
            <w:pPr>
              <w:pStyle w:val="22"/>
              <w:rPr>
                <w:rFonts w:ascii="Times New Roman"/>
                <w:color w:val="auto"/>
                <w:sz w:val="22"/>
              </w:rPr>
            </w:pPr>
          </w:p>
        </w:tc>
        <w:tc>
          <w:tcPr>
            <w:tcW w:w="1148" w:type="dxa"/>
          </w:tcPr>
          <w:p w14:paraId="0F929650">
            <w:pPr>
              <w:pStyle w:val="22"/>
              <w:rPr>
                <w:rFonts w:ascii="Times New Roman"/>
                <w:color w:val="auto"/>
                <w:sz w:val="22"/>
              </w:rPr>
            </w:pPr>
          </w:p>
        </w:tc>
        <w:tc>
          <w:tcPr>
            <w:tcW w:w="1148" w:type="dxa"/>
          </w:tcPr>
          <w:p w14:paraId="15FFA7C5">
            <w:pPr>
              <w:pStyle w:val="22"/>
              <w:rPr>
                <w:rFonts w:ascii="Times New Roman"/>
                <w:color w:val="auto"/>
                <w:sz w:val="22"/>
              </w:rPr>
            </w:pPr>
          </w:p>
        </w:tc>
        <w:tc>
          <w:tcPr>
            <w:tcW w:w="823" w:type="dxa"/>
          </w:tcPr>
          <w:p w14:paraId="2FB7F9D8">
            <w:pPr>
              <w:pStyle w:val="22"/>
              <w:rPr>
                <w:rFonts w:ascii="Times New Roman"/>
                <w:color w:val="auto"/>
                <w:sz w:val="22"/>
              </w:rPr>
            </w:pPr>
          </w:p>
        </w:tc>
        <w:tc>
          <w:tcPr>
            <w:tcW w:w="744" w:type="dxa"/>
          </w:tcPr>
          <w:p w14:paraId="35307E4B">
            <w:pPr>
              <w:pStyle w:val="22"/>
              <w:rPr>
                <w:rFonts w:ascii="Times New Roman"/>
                <w:color w:val="auto"/>
                <w:sz w:val="22"/>
              </w:rPr>
            </w:pPr>
          </w:p>
        </w:tc>
        <w:tc>
          <w:tcPr>
            <w:tcW w:w="1167" w:type="dxa"/>
          </w:tcPr>
          <w:p w14:paraId="0F7E94AA">
            <w:pPr>
              <w:pStyle w:val="22"/>
              <w:rPr>
                <w:rFonts w:ascii="Times New Roman"/>
                <w:color w:val="auto"/>
                <w:sz w:val="22"/>
              </w:rPr>
            </w:pPr>
          </w:p>
        </w:tc>
        <w:tc>
          <w:tcPr>
            <w:tcW w:w="1281" w:type="dxa"/>
          </w:tcPr>
          <w:p w14:paraId="3A78E8B6">
            <w:pPr>
              <w:pStyle w:val="22"/>
              <w:rPr>
                <w:rFonts w:ascii="Times New Roman"/>
                <w:color w:val="auto"/>
                <w:sz w:val="22"/>
              </w:rPr>
            </w:pPr>
          </w:p>
        </w:tc>
      </w:tr>
      <w:tr w14:paraId="21B7E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1271" w:type="dxa"/>
          </w:tcPr>
          <w:p w14:paraId="0D91BD75">
            <w:pPr>
              <w:pStyle w:val="22"/>
              <w:spacing w:before="191"/>
              <w:ind w:left="107"/>
              <w:rPr>
                <w:color w:val="auto"/>
                <w:sz w:val="21"/>
              </w:rPr>
            </w:pPr>
            <w:r>
              <w:rPr>
                <w:rFonts w:ascii="Times New Roman" w:eastAsia="Times New Roman"/>
                <w:color w:val="auto"/>
                <w:spacing w:val="-2"/>
                <w:sz w:val="21"/>
              </w:rPr>
              <w:t>3.</w:t>
            </w:r>
            <w:r>
              <w:rPr>
                <w:color w:val="auto"/>
                <w:spacing w:val="-5"/>
                <w:sz w:val="21"/>
              </w:rPr>
              <w:t>施工员</w:t>
            </w:r>
          </w:p>
        </w:tc>
        <w:tc>
          <w:tcPr>
            <w:tcW w:w="670" w:type="dxa"/>
          </w:tcPr>
          <w:p w14:paraId="77A22762">
            <w:pPr>
              <w:pStyle w:val="22"/>
              <w:rPr>
                <w:rFonts w:ascii="Times New Roman"/>
                <w:color w:val="auto"/>
                <w:sz w:val="22"/>
              </w:rPr>
            </w:pPr>
          </w:p>
        </w:tc>
        <w:tc>
          <w:tcPr>
            <w:tcW w:w="829" w:type="dxa"/>
          </w:tcPr>
          <w:p w14:paraId="69B2103A">
            <w:pPr>
              <w:pStyle w:val="22"/>
              <w:rPr>
                <w:rFonts w:ascii="Times New Roman"/>
                <w:color w:val="auto"/>
                <w:sz w:val="22"/>
              </w:rPr>
            </w:pPr>
          </w:p>
        </w:tc>
        <w:tc>
          <w:tcPr>
            <w:tcW w:w="627" w:type="dxa"/>
          </w:tcPr>
          <w:p w14:paraId="17DD6EF2">
            <w:pPr>
              <w:pStyle w:val="22"/>
              <w:rPr>
                <w:rFonts w:ascii="Times New Roman"/>
                <w:color w:val="auto"/>
                <w:sz w:val="22"/>
              </w:rPr>
            </w:pPr>
          </w:p>
        </w:tc>
        <w:tc>
          <w:tcPr>
            <w:tcW w:w="1148" w:type="dxa"/>
          </w:tcPr>
          <w:p w14:paraId="553F6A23">
            <w:pPr>
              <w:pStyle w:val="22"/>
              <w:rPr>
                <w:rFonts w:ascii="Times New Roman"/>
                <w:color w:val="auto"/>
                <w:sz w:val="22"/>
              </w:rPr>
            </w:pPr>
          </w:p>
        </w:tc>
        <w:tc>
          <w:tcPr>
            <w:tcW w:w="1148" w:type="dxa"/>
          </w:tcPr>
          <w:p w14:paraId="42C59EE8">
            <w:pPr>
              <w:pStyle w:val="22"/>
              <w:rPr>
                <w:rFonts w:ascii="Times New Roman"/>
                <w:color w:val="auto"/>
                <w:sz w:val="22"/>
              </w:rPr>
            </w:pPr>
          </w:p>
        </w:tc>
        <w:tc>
          <w:tcPr>
            <w:tcW w:w="823" w:type="dxa"/>
          </w:tcPr>
          <w:p w14:paraId="18687C2E">
            <w:pPr>
              <w:pStyle w:val="22"/>
              <w:rPr>
                <w:rFonts w:ascii="Times New Roman"/>
                <w:color w:val="auto"/>
                <w:sz w:val="22"/>
              </w:rPr>
            </w:pPr>
          </w:p>
        </w:tc>
        <w:tc>
          <w:tcPr>
            <w:tcW w:w="744" w:type="dxa"/>
          </w:tcPr>
          <w:p w14:paraId="6AD14EB5">
            <w:pPr>
              <w:pStyle w:val="22"/>
              <w:rPr>
                <w:rFonts w:ascii="Times New Roman"/>
                <w:color w:val="auto"/>
                <w:sz w:val="22"/>
              </w:rPr>
            </w:pPr>
          </w:p>
        </w:tc>
        <w:tc>
          <w:tcPr>
            <w:tcW w:w="1167" w:type="dxa"/>
          </w:tcPr>
          <w:p w14:paraId="5BE83835">
            <w:pPr>
              <w:pStyle w:val="22"/>
              <w:rPr>
                <w:rFonts w:ascii="Times New Roman"/>
                <w:color w:val="auto"/>
                <w:sz w:val="22"/>
              </w:rPr>
            </w:pPr>
          </w:p>
        </w:tc>
        <w:tc>
          <w:tcPr>
            <w:tcW w:w="1281" w:type="dxa"/>
          </w:tcPr>
          <w:p w14:paraId="2F36AA24">
            <w:pPr>
              <w:pStyle w:val="22"/>
              <w:rPr>
                <w:rFonts w:ascii="Times New Roman"/>
                <w:color w:val="auto"/>
                <w:sz w:val="22"/>
              </w:rPr>
            </w:pPr>
          </w:p>
        </w:tc>
      </w:tr>
      <w:tr w14:paraId="7CFB5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1271" w:type="dxa"/>
          </w:tcPr>
          <w:p w14:paraId="4F0DF3DA">
            <w:pPr>
              <w:pStyle w:val="22"/>
              <w:spacing w:before="191"/>
              <w:ind w:left="107"/>
              <w:rPr>
                <w:color w:val="auto"/>
                <w:sz w:val="21"/>
              </w:rPr>
            </w:pPr>
            <w:r>
              <w:rPr>
                <w:rFonts w:ascii="Times New Roman" w:eastAsia="Times New Roman"/>
                <w:color w:val="auto"/>
                <w:spacing w:val="-2"/>
                <w:sz w:val="21"/>
              </w:rPr>
              <w:t>4.</w:t>
            </w:r>
            <w:r>
              <w:rPr>
                <w:color w:val="auto"/>
                <w:spacing w:val="-5"/>
                <w:sz w:val="21"/>
              </w:rPr>
              <w:t>安全员</w:t>
            </w:r>
          </w:p>
        </w:tc>
        <w:tc>
          <w:tcPr>
            <w:tcW w:w="670" w:type="dxa"/>
          </w:tcPr>
          <w:p w14:paraId="7848A0A2">
            <w:pPr>
              <w:pStyle w:val="22"/>
              <w:rPr>
                <w:rFonts w:ascii="Times New Roman"/>
                <w:color w:val="auto"/>
                <w:sz w:val="22"/>
              </w:rPr>
            </w:pPr>
          </w:p>
        </w:tc>
        <w:tc>
          <w:tcPr>
            <w:tcW w:w="829" w:type="dxa"/>
          </w:tcPr>
          <w:p w14:paraId="447EA5B0">
            <w:pPr>
              <w:pStyle w:val="22"/>
              <w:rPr>
                <w:rFonts w:ascii="Times New Roman"/>
                <w:color w:val="auto"/>
                <w:sz w:val="22"/>
              </w:rPr>
            </w:pPr>
          </w:p>
        </w:tc>
        <w:tc>
          <w:tcPr>
            <w:tcW w:w="627" w:type="dxa"/>
          </w:tcPr>
          <w:p w14:paraId="0CE49B29">
            <w:pPr>
              <w:pStyle w:val="22"/>
              <w:rPr>
                <w:rFonts w:ascii="Times New Roman"/>
                <w:color w:val="auto"/>
                <w:sz w:val="22"/>
              </w:rPr>
            </w:pPr>
          </w:p>
        </w:tc>
        <w:tc>
          <w:tcPr>
            <w:tcW w:w="1148" w:type="dxa"/>
          </w:tcPr>
          <w:p w14:paraId="033FDA60">
            <w:pPr>
              <w:pStyle w:val="22"/>
              <w:rPr>
                <w:rFonts w:ascii="Times New Roman"/>
                <w:color w:val="auto"/>
                <w:sz w:val="22"/>
              </w:rPr>
            </w:pPr>
          </w:p>
        </w:tc>
        <w:tc>
          <w:tcPr>
            <w:tcW w:w="1148" w:type="dxa"/>
          </w:tcPr>
          <w:p w14:paraId="4E534542">
            <w:pPr>
              <w:pStyle w:val="22"/>
              <w:rPr>
                <w:rFonts w:ascii="Times New Roman"/>
                <w:color w:val="auto"/>
                <w:sz w:val="22"/>
              </w:rPr>
            </w:pPr>
          </w:p>
        </w:tc>
        <w:tc>
          <w:tcPr>
            <w:tcW w:w="823" w:type="dxa"/>
          </w:tcPr>
          <w:p w14:paraId="0C571DAD">
            <w:pPr>
              <w:pStyle w:val="22"/>
              <w:rPr>
                <w:rFonts w:ascii="Times New Roman"/>
                <w:color w:val="auto"/>
                <w:sz w:val="22"/>
              </w:rPr>
            </w:pPr>
          </w:p>
        </w:tc>
        <w:tc>
          <w:tcPr>
            <w:tcW w:w="744" w:type="dxa"/>
          </w:tcPr>
          <w:p w14:paraId="41AEFBF3">
            <w:pPr>
              <w:pStyle w:val="22"/>
              <w:rPr>
                <w:rFonts w:ascii="Times New Roman"/>
                <w:color w:val="auto"/>
                <w:sz w:val="22"/>
              </w:rPr>
            </w:pPr>
          </w:p>
        </w:tc>
        <w:tc>
          <w:tcPr>
            <w:tcW w:w="1167" w:type="dxa"/>
          </w:tcPr>
          <w:p w14:paraId="7E08B9DB">
            <w:pPr>
              <w:pStyle w:val="22"/>
              <w:rPr>
                <w:rFonts w:ascii="Times New Roman"/>
                <w:color w:val="auto"/>
                <w:sz w:val="22"/>
              </w:rPr>
            </w:pPr>
          </w:p>
        </w:tc>
        <w:tc>
          <w:tcPr>
            <w:tcW w:w="1281" w:type="dxa"/>
          </w:tcPr>
          <w:p w14:paraId="144FFD14">
            <w:pPr>
              <w:pStyle w:val="22"/>
              <w:rPr>
                <w:rFonts w:ascii="Times New Roman"/>
                <w:color w:val="auto"/>
                <w:sz w:val="22"/>
              </w:rPr>
            </w:pPr>
          </w:p>
        </w:tc>
      </w:tr>
      <w:tr w14:paraId="70146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1271" w:type="dxa"/>
          </w:tcPr>
          <w:p w14:paraId="355B6FC8">
            <w:pPr>
              <w:pStyle w:val="22"/>
              <w:spacing w:before="190"/>
              <w:ind w:left="107"/>
              <w:rPr>
                <w:color w:val="auto"/>
                <w:sz w:val="21"/>
              </w:rPr>
            </w:pPr>
            <w:r>
              <w:rPr>
                <w:rFonts w:ascii="Times New Roman" w:eastAsia="Times New Roman"/>
                <w:color w:val="auto"/>
                <w:spacing w:val="-2"/>
                <w:sz w:val="21"/>
              </w:rPr>
              <w:t>5.</w:t>
            </w:r>
            <w:r>
              <w:rPr>
                <w:color w:val="auto"/>
                <w:spacing w:val="-5"/>
                <w:sz w:val="21"/>
              </w:rPr>
              <w:t>质量员</w:t>
            </w:r>
          </w:p>
        </w:tc>
        <w:tc>
          <w:tcPr>
            <w:tcW w:w="670" w:type="dxa"/>
          </w:tcPr>
          <w:p w14:paraId="5F853B8E">
            <w:pPr>
              <w:pStyle w:val="22"/>
              <w:rPr>
                <w:rFonts w:ascii="Times New Roman"/>
                <w:color w:val="auto"/>
                <w:sz w:val="22"/>
              </w:rPr>
            </w:pPr>
          </w:p>
        </w:tc>
        <w:tc>
          <w:tcPr>
            <w:tcW w:w="829" w:type="dxa"/>
          </w:tcPr>
          <w:p w14:paraId="5289BF4E">
            <w:pPr>
              <w:pStyle w:val="22"/>
              <w:rPr>
                <w:rFonts w:ascii="Times New Roman"/>
                <w:color w:val="auto"/>
                <w:sz w:val="22"/>
              </w:rPr>
            </w:pPr>
          </w:p>
        </w:tc>
        <w:tc>
          <w:tcPr>
            <w:tcW w:w="627" w:type="dxa"/>
          </w:tcPr>
          <w:p w14:paraId="15D25BCF">
            <w:pPr>
              <w:pStyle w:val="22"/>
              <w:rPr>
                <w:rFonts w:ascii="Times New Roman"/>
                <w:color w:val="auto"/>
                <w:sz w:val="22"/>
              </w:rPr>
            </w:pPr>
          </w:p>
        </w:tc>
        <w:tc>
          <w:tcPr>
            <w:tcW w:w="1148" w:type="dxa"/>
          </w:tcPr>
          <w:p w14:paraId="7A5DC8A7">
            <w:pPr>
              <w:pStyle w:val="22"/>
              <w:rPr>
                <w:rFonts w:ascii="Times New Roman"/>
                <w:color w:val="auto"/>
                <w:sz w:val="22"/>
              </w:rPr>
            </w:pPr>
          </w:p>
        </w:tc>
        <w:tc>
          <w:tcPr>
            <w:tcW w:w="1148" w:type="dxa"/>
          </w:tcPr>
          <w:p w14:paraId="487BA38C">
            <w:pPr>
              <w:pStyle w:val="22"/>
              <w:rPr>
                <w:rFonts w:ascii="Times New Roman"/>
                <w:color w:val="auto"/>
                <w:sz w:val="22"/>
              </w:rPr>
            </w:pPr>
          </w:p>
        </w:tc>
        <w:tc>
          <w:tcPr>
            <w:tcW w:w="823" w:type="dxa"/>
          </w:tcPr>
          <w:p w14:paraId="74ECA226">
            <w:pPr>
              <w:pStyle w:val="22"/>
              <w:rPr>
                <w:rFonts w:ascii="Times New Roman"/>
                <w:color w:val="auto"/>
                <w:sz w:val="22"/>
              </w:rPr>
            </w:pPr>
          </w:p>
        </w:tc>
        <w:tc>
          <w:tcPr>
            <w:tcW w:w="744" w:type="dxa"/>
          </w:tcPr>
          <w:p w14:paraId="352CDAB7">
            <w:pPr>
              <w:pStyle w:val="22"/>
              <w:rPr>
                <w:rFonts w:ascii="Times New Roman"/>
                <w:color w:val="auto"/>
                <w:sz w:val="22"/>
              </w:rPr>
            </w:pPr>
          </w:p>
        </w:tc>
        <w:tc>
          <w:tcPr>
            <w:tcW w:w="1167" w:type="dxa"/>
          </w:tcPr>
          <w:p w14:paraId="1022B102">
            <w:pPr>
              <w:pStyle w:val="22"/>
              <w:rPr>
                <w:rFonts w:ascii="Times New Roman"/>
                <w:color w:val="auto"/>
                <w:sz w:val="22"/>
              </w:rPr>
            </w:pPr>
          </w:p>
        </w:tc>
        <w:tc>
          <w:tcPr>
            <w:tcW w:w="1281" w:type="dxa"/>
          </w:tcPr>
          <w:p w14:paraId="2F4F7674">
            <w:pPr>
              <w:pStyle w:val="22"/>
              <w:rPr>
                <w:rFonts w:ascii="Times New Roman"/>
                <w:color w:val="auto"/>
                <w:sz w:val="22"/>
              </w:rPr>
            </w:pPr>
          </w:p>
        </w:tc>
      </w:tr>
      <w:tr w14:paraId="25721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1271" w:type="dxa"/>
          </w:tcPr>
          <w:p w14:paraId="44727F39">
            <w:pPr>
              <w:pStyle w:val="22"/>
              <w:spacing w:before="190"/>
              <w:ind w:left="107"/>
              <w:rPr>
                <w:color w:val="auto"/>
                <w:sz w:val="21"/>
              </w:rPr>
            </w:pPr>
            <w:r>
              <w:rPr>
                <w:rFonts w:ascii="Times New Roman" w:eastAsia="Times New Roman"/>
                <w:color w:val="auto"/>
                <w:spacing w:val="-2"/>
                <w:sz w:val="21"/>
              </w:rPr>
              <w:t>6.</w:t>
            </w:r>
            <w:r>
              <w:rPr>
                <w:color w:val="auto"/>
                <w:spacing w:val="-5"/>
                <w:sz w:val="21"/>
              </w:rPr>
              <w:t>材料员</w:t>
            </w:r>
          </w:p>
        </w:tc>
        <w:tc>
          <w:tcPr>
            <w:tcW w:w="670" w:type="dxa"/>
          </w:tcPr>
          <w:p w14:paraId="665C33DD">
            <w:pPr>
              <w:pStyle w:val="22"/>
              <w:rPr>
                <w:rFonts w:ascii="Times New Roman"/>
                <w:color w:val="auto"/>
                <w:sz w:val="22"/>
              </w:rPr>
            </w:pPr>
          </w:p>
        </w:tc>
        <w:tc>
          <w:tcPr>
            <w:tcW w:w="829" w:type="dxa"/>
          </w:tcPr>
          <w:p w14:paraId="399E25A9">
            <w:pPr>
              <w:pStyle w:val="22"/>
              <w:rPr>
                <w:rFonts w:ascii="Times New Roman"/>
                <w:color w:val="auto"/>
                <w:sz w:val="22"/>
              </w:rPr>
            </w:pPr>
          </w:p>
        </w:tc>
        <w:tc>
          <w:tcPr>
            <w:tcW w:w="627" w:type="dxa"/>
          </w:tcPr>
          <w:p w14:paraId="0A8B85B8">
            <w:pPr>
              <w:pStyle w:val="22"/>
              <w:rPr>
                <w:rFonts w:ascii="Times New Roman"/>
                <w:color w:val="auto"/>
                <w:sz w:val="22"/>
              </w:rPr>
            </w:pPr>
          </w:p>
        </w:tc>
        <w:tc>
          <w:tcPr>
            <w:tcW w:w="1148" w:type="dxa"/>
          </w:tcPr>
          <w:p w14:paraId="42820FE0">
            <w:pPr>
              <w:pStyle w:val="22"/>
              <w:rPr>
                <w:rFonts w:ascii="Times New Roman"/>
                <w:color w:val="auto"/>
                <w:sz w:val="22"/>
              </w:rPr>
            </w:pPr>
          </w:p>
        </w:tc>
        <w:tc>
          <w:tcPr>
            <w:tcW w:w="1148" w:type="dxa"/>
          </w:tcPr>
          <w:p w14:paraId="6EBA6B5B">
            <w:pPr>
              <w:pStyle w:val="22"/>
              <w:rPr>
                <w:rFonts w:ascii="Times New Roman"/>
                <w:color w:val="auto"/>
                <w:sz w:val="22"/>
              </w:rPr>
            </w:pPr>
          </w:p>
        </w:tc>
        <w:tc>
          <w:tcPr>
            <w:tcW w:w="823" w:type="dxa"/>
          </w:tcPr>
          <w:p w14:paraId="53F90402">
            <w:pPr>
              <w:pStyle w:val="22"/>
              <w:rPr>
                <w:rFonts w:ascii="Times New Roman"/>
                <w:color w:val="auto"/>
                <w:sz w:val="22"/>
              </w:rPr>
            </w:pPr>
          </w:p>
        </w:tc>
        <w:tc>
          <w:tcPr>
            <w:tcW w:w="744" w:type="dxa"/>
          </w:tcPr>
          <w:p w14:paraId="2F213027">
            <w:pPr>
              <w:pStyle w:val="22"/>
              <w:rPr>
                <w:rFonts w:ascii="Times New Roman"/>
                <w:color w:val="auto"/>
                <w:sz w:val="22"/>
              </w:rPr>
            </w:pPr>
          </w:p>
        </w:tc>
        <w:tc>
          <w:tcPr>
            <w:tcW w:w="1167" w:type="dxa"/>
          </w:tcPr>
          <w:p w14:paraId="067FB514">
            <w:pPr>
              <w:pStyle w:val="22"/>
              <w:rPr>
                <w:rFonts w:ascii="Times New Roman"/>
                <w:color w:val="auto"/>
                <w:sz w:val="22"/>
              </w:rPr>
            </w:pPr>
          </w:p>
        </w:tc>
        <w:tc>
          <w:tcPr>
            <w:tcW w:w="1281" w:type="dxa"/>
          </w:tcPr>
          <w:p w14:paraId="3173F2D4">
            <w:pPr>
              <w:pStyle w:val="22"/>
              <w:rPr>
                <w:rFonts w:ascii="Times New Roman"/>
                <w:color w:val="auto"/>
                <w:sz w:val="22"/>
              </w:rPr>
            </w:pPr>
          </w:p>
        </w:tc>
      </w:tr>
      <w:tr w14:paraId="124A9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1271" w:type="dxa"/>
          </w:tcPr>
          <w:p w14:paraId="5DB64FD1">
            <w:pPr>
              <w:pStyle w:val="22"/>
              <w:rPr>
                <w:rFonts w:ascii="Times New Roman"/>
                <w:color w:val="auto"/>
                <w:sz w:val="22"/>
              </w:rPr>
            </w:pPr>
          </w:p>
        </w:tc>
        <w:tc>
          <w:tcPr>
            <w:tcW w:w="670" w:type="dxa"/>
          </w:tcPr>
          <w:p w14:paraId="59556099">
            <w:pPr>
              <w:pStyle w:val="22"/>
              <w:rPr>
                <w:rFonts w:ascii="Times New Roman"/>
                <w:color w:val="auto"/>
                <w:sz w:val="22"/>
              </w:rPr>
            </w:pPr>
          </w:p>
        </w:tc>
        <w:tc>
          <w:tcPr>
            <w:tcW w:w="829" w:type="dxa"/>
          </w:tcPr>
          <w:p w14:paraId="426A50E5">
            <w:pPr>
              <w:pStyle w:val="22"/>
              <w:rPr>
                <w:rFonts w:ascii="Times New Roman"/>
                <w:color w:val="auto"/>
                <w:sz w:val="22"/>
              </w:rPr>
            </w:pPr>
          </w:p>
        </w:tc>
        <w:tc>
          <w:tcPr>
            <w:tcW w:w="627" w:type="dxa"/>
          </w:tcPr>
          <w:p w14:paraId="59FA656A">
            <w:pPr>
              <w:pStyle w:val="22"/>
              <w:rPr>
                <w:rFonts w:ascii="Times New Roman"/>
                <w:color w:val="auto"/>
                <w:sz w:val="22"/>
              </w:rPr>
            </w:pPr>
          </w:p>
        </w:tc>
        <w:tc>
          <w:tcPr>
            <w:tcW w:w="1148" w:type="dxa"/>
          </w:tcPr>
          <w:p w14:paraId="24297016">
            <w:pPr>
              <w:pStyle w:val="22"/>
              <w:rPr>
                <w:rFonts w:ascii="Times New Roman"/>
                <w:color w:val="auto"/>
                <w:sz w:val="22"/>
              </w:rPr>
            </w:pPr>
          </w:p>
        </w:tc>
        <w:tc>
          <w:tcPr>
            <w:tcW w:w="1148" w:type="dxa"/>
          </w:tcPr>
          <w:p w14:paraId="28469EE3">
            <w:pPr>
              <w:pStyle w:val="22"/>
              <w:rPr>
                <w:rFonts w:ascii="Times New Roman"/>
                <w:color w:val="auto"/>
                <w:sz w:val="22"/>
              </w:rPr>
            </w:pPr>
          </w:p>
        </w:tc>
        <w:tc>
          <w:tcPr>
            <w:tcW w:w="823" w:type="dxa"/>
          </w:tcPr>
          <w:p w14:paraId="47C1ECA3">
            <w:pPr>
              <w:pStyle w:val="22"/>
              <w:rPr>
                <w:rFonts w:ascii="Times New Roman"/>
                <w:color w:val="auto"/>
                <w:sz w:val="22"/>
              </w:rPr>
            </w:pPr>
          </w:p>
        </w:tc>
        <w:tc>
          <w:tcPr>
            <w:tcW w:w="744" w:type="dxa"/>
          </w:tcPr>
          <w:p w14:paraId="482A0798">
            <w:pPr>
              <w:pStyle w:val="22"/>
              <w:rPr>
                <w:rFonts w:ascii="Times New Roman"/>
                <w:color w:val="auto"/>
                <w:sz w:val="22"/>
              </w:rPr>
            </w:pPr>
          </w:p>
        </w:tc>
        <w:tc>
          <w:tcPr>
            <w:tcW w:w="1167" w:type="dxa"/>
          </w:tcPr>
          <w:p w14:paraId="1712FD47">
            <w:pPr>
              <w:pStyle w:val="22"/>
              <w:rPr>
                <w:rFonts w:ascii="Times New Roman"/>
                <w:color w:val="auto"/>
                <w:sz w:val="22"/>
              </w:rPr>
            </w:pPr>
          </w:p>
        </w:tc>
        <w:tc>
          <w:tcPr>
            <w:tcW w:w="1281" w:type="dxa"/>
          </w:tcPr>
          <w:p w14:paraId="601BA3C0">
            <w:pPr>
              <w:pStyle w:val="22"/>
              <w:rPr>
                <w:rFonts w:ascii="Times New Roman"/>
                <w:color w:val="auto"/>
                <w:sz w:val="22"/>
              </w:rPr>
            </w:pPr>
          </w:p>
        </w:tc>
      </w:tr>
      <w:tr w14:paraId="406B4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9708" w:type="dxa"/>
            <w:gridSpan w:val="10"/>
          </w:tcPr>
          <w:p w14:paraId="71FE36FE">
            <w:pPr>
              <w:pStyle w:val="22"/>
              <w:spacing w:line="270" w:lineRule="exact"/>
              <w:ind w:left="143"/>
              <w:rPr>
                <w:color w:val="auto"/>
                <w:sz w:val="21"/>
              </w:rPr>
            </w:pPr>
            <w:r>
              <w:rPr>
                <w:color w:val="auto"/>
                <w:spacing w:val="-3"/>
                <w:sz w:val="21"/>
              </w:rPr>
              <w:t>一旦我单位成交，将实行项目经理负责制，我方保证并配备上述项目管理机构。上述填报内容真实，若</w:t>
            </w:r>
          </w:p>
          <w:p w14:paraId="5F63FD7C">
            <w:pPr>
              <w:pStyle w:val="22"/>
              <w:spacing w:before="135"/>
              <w:ind w:left="779"/>
              <w:rPr>
                <w:color w:val="auto"/>
                <w:sz w:val="21"/>
              </w:rPr>
            </w:pPr>
            <w:r>
              <w:rPr>
                <w:color w:val="auto"/>
                <w:spacing w:val="-3"/>
                <w:sz w:val="21"/>
              </w:rPr>
              <w:t>不真实，愿按有关规定接受处理。项目管理班子机构设置、职责分工等情况另附资料说明。</w:t>
            </w:r>
          </w:p>
        </w:tc>
      </w:tr>
    </w:tbl>
    <w:p w14:paraId="10C48D63">
      <w:pPr>
        <w:pStyle w:val="11"/>
        <w:rPr>
          <w:color w:val="auto"/>
        </w:rPr>
      </w:pPr>
      <w:r>
        <w:rPr>
          <w:color w:val="auto"/>
          <w:spacing w:val="-4"/>
        </w:rPr>
        <w:t>备注：</w:t>
      </w:r>
    </w:p>
    <w:p w14:paraId="7FE85495">
      <w:pPr>
        <w:pStyle w:val="11"/>
        <w:numPr>
          <w:ilvl w:val="0"/>
          <w:numId w:val="58"/>
        </w:numPr>
        <w:tabs>
          <w:tab w:val="left" w:pos="1508"/>
        </w:tabs>
        <w:spacing w:before="152" w:after="0" w:line="360" w:lineRule="auto"/>
        <w:ind w:left="788" w:right="935" w:firstLine="480"/>
        <w:jc w:val="left"/>
        <w:rPr>
          <w:color w:val="auto"/>
        </w:rPr>
      </w:pPr>
      <w:r>
        <w:rPr>
          <w:color w:val="auto"/>
          <w:spacing w:val="-2"/>
        </w:rPr>
        <w:t>本表所列岗位的所有管理人员的情况均应如实填写。可按以上格式扩展为多</w:t>
      </w:r>
      <w:r>
        <w:rPr>
          <w:color w:val="auto"/>
          <w:spacing w:val="-4"/>
        </w:rPr>
        <w:t>页填写。</w:t>
      </w:r>
    </w:p>
    <w:p w14:paraId="1A802CF7">
      <w:pPr>
        <w:pStyle w:val="11"/>
        <w:numPr>
          <w:ilvl w:val="0"/>
          <w:numId w:val="58"/>
        </w:numPr>
        <w:tabs>
          <w:tab w:val="left" w:pos="1508"/>
        </w:tabs>
        <w:spacing w:before="0" w:after="0" w:line="360" w:lineRule="auto"/>
        <w:ind w:left="788" w:right="935" w:firstLine="480"/>
        <w:jc w:val="both"/>
        <w:rPr>
          <w:color w:val="auto"/>
        </w:rPr>
      </w:pPr>
      <w:r>
        <w:rPr>
          <w:color w:val="auto"/>
          <w:spacing w:val="-2"/>
        </w:rPr>
        <w:t>供应商应当在本表后附所有管理人员的身份证、职称证或执业或职业资格证</w:t>
      </w:r>
      <w:r>
        <w:rPr>
          <w:color w:val="auto"/>
          <w:spacing w:val="-9"/>
        </w:rPr>
        <w:t xml:space="preserve">书、近 </w:t>
      </w:r>
      <w:r>
        <w:rPr>
          <w:color w:val="auto"/>
          <w:spacing w:val="-2"/>
        </w:rPr>
        <w:t>1</w:t>
      </w:r>
      <w:r>
        <w:rPr>
          <w:color w:val="auto"/>
          <w:spacing w:val="-7"/>
        </w:rPr>
        <w:t xml:space="preserve"> 个月在现任职单位依法缴纳社会保险的证明材料的复印件并加盖供应商电</w:t>
      </w:r>
      <w:r>
        <w:rPr>
          <w:color w:val="auto"/>
          <w:spacing w:val="-4"/>
        </w:rPr>
        <w:t>子签章。</w:t>
      </w:r>
    </w:p>
    <w:p w14:paraId="4645F2C5">
      <w:pPr>
        <w:pStyle w:val="11"/>
        <w:tabs>
          <w:tab w:val="left" w:pos="6327"/>
        </w:tabs>
        <w:spacing w:line="310" w:lineRule="exact"/>
        <w:ind w:left="1268"/>
        <w:jc w:val="both"/>
        <w:rPr>
          <w:rFonts w:ascii="Times New Roman" w:eastAsia="Times New Roman"/>
          <w:color w:val="auto"/>
        </w:rPr>
      </w:pPr>
      <w:r>
        <w:rPr>
          <w:color w:val="auto"/>
        </w:rPr>
        <w:t>法定代表人或者委托代理人</w:t>
      </w:r>
      <w:r>
        <w:rPr>
          <w:color w:val="auto"/>
          <w:spacing w:val="40"/>
        </w:rPr>
        <w:t>签</w:t>
      </w:r>
      <w:r>
        <w:rPr>
          <w:color w:val="auto"/>
          <w:spacing w:val="38"/>
        </w:rPr>
        <w:t>字</w:t>
      </w:r>
      <w:r>
        <w:rPr>
          <w:color w:val="auto"/>
        </w:rPr>
        <w:t>：</w:t>
      </w:r>
      <w:r>
        <w:rPr>
          <w:color w:val="auto"/>
          <w:spacing w:val="-80"/>
        </w:rPr>
        <w:t xml:space="preserve"> </w:t>
      </w:r>
      <w:r>
        <w:rPr>
          <w:rFonts w:ascii="Times New Roman" w:eastAsia="Times New Roman"/>
          <w:color w:val="auto"/>
          <w:u w:val="single"/>
        </w:rPr>
        <w:tab/>
      </w:r>
    </w:p>
    <w:p w14:paraId="1ACEA222">
      <w:pPr>
        <w:pStyle w:val="11"/>
        <w:tabs>
          <w:tab w:val="left" w:pos="6127"/>
          <w:tab w:val="left" w:pos="7187"/>
          <w:tab w:val="left" w:pos="9634"/>
        </w:tabs>
        <w:spacing w:before="151"/>
        <w:ind w:left="1348"/>
        <w:jc w:val="both"/>
        <w:rPr>
          <w:rFonts w:ascii="Times New Roman" w:eastAsia="Times New Roman"/>
          <w:color w:val="auto"/>
        </w:rPr>
      </w:pPr>
      <w:r>
        <w:rPr>
          <w:color w:val="auto"/>
          <w:spacing w:val="40"/>
        </w:rPr>
        <w:t>供</w:t>
      </w:r>
      <w:r>
        <w:rPr>
          <w:color w:val="auto"/>
          <w:spacing w:val="38"/>
        </w:rPr>
        <w:t>应</w:t>
      </w:r>
      <w:r>
        <w:rPr>
          <w:color w:val="auto"/>
          <w:spacing w:val="40"/>
        </w:rPr>
        <w:t>商</w:t>
      </w:r>
      <w:r>
        <w:rPr>
          <w:color w:val="auto"/>
        </w:rPr>
        <w:t>（</w:t>
      </w:r>
      <w:r>
        <w:rPr>
          <w:color w:val="auto"/>
          <w:spacing w:val="-80"/>
        </w:rPr>
        <w:t xml:space="preserve"> </w:t>
      </w:r>
      <w:r>
        <w:rPr>
          <w:color w:val="auto"/>
          <w:spacing w:val="38"/>
        </w:rPr>
        <w:t>电</w:t>
      </w:r>
      <w:r>
        <w:rPr>
          <w:color w:val="auto"/>
          <w:spacing w:val="40"/>
        </w:rPr>
        <w:t>子签</w:t>
      </w:r>
      <w:r>
        <w:rPr>
          <w:color w:val="auto"/>
          <w:spacing w:val="38"/>
        </w:rPr>
        <w:t>章</w:t>
      </w:r>
      <w:r>
        <w:rPr>
          <w:color w:val="auto"/>
        </w:rPr>
        <w:t>）</w:t>
      </w:r>
      <w:r>
        <w:rPr>
          <w:color w:val="auto"/>
          <w:spacing w:val="-80"/>
        </w:rPr>
        <w:t xml:space="preserve"> </w:t>
      </w:r>
      <w:r>
        <w:rPr>
          <w:color w:val="auto"/>
        </w:rPr>
        <w:t>：</w:t>
      </w:r>
      <w:r>
        <w:rPr>
          <w:color w:val="auto"/>
          <w:spacing w:val="-80"/>
        </w:rPr>
        <w:t xml:space="preserve"> </w:t>
      </w:r>
      <w:r>
        <w:rPr>
          <w:rFonts w:ascii="Times New Roman" w:eastAsia="Times New Roman"/>
          <w:color w:val="auto"/>
          <w:u w:val="single"/>
        </w:rPr>
        <w:tab/>
      </w:r>
      <w:r>
        <w:rPr>
          <w:rFonts w:ascii="Times New Roman" w:eastAsia="Times New Roman"/>
          <w:color w:val="auto"/>
          <w:u w:val="none"/>
        </w:rPr>
        <w:tab/>
      </w:r>
      <w:r>
        <w:rPr>
          <w:color w:val="auto"/>
          <w:u w:val="none"/>
        </w:rPr>
        <w:t>日</w:t>
      </w:r>
      <w:r>
        <w:rPr>
          <w:color w:val="auto"/>
          <w:spacing w:val="19"/>
          <w:w w:val="150"/>
          <w:u w:val="none"/>
        </w:rPr>
        <w:t xml:space="preserve"> </w:t>
      </w:r>
      <w:r>
        <w:rPr>
          <w:color w:val="auto"/>
          <w:spacing w:val="40"/>
          <w:u w:val="none"/>
        </w:rPr>
        <w:t>期</w:t>
      </w:r>
      <w:r>
        <w:rPr>
          <w:color w:val="auto"/>
          <w:u w:val="none"/>
        </w:rPr>
        <w:t>：</w:t>
      </w:r>
      <w:r>
        <w:rPr>
          <w:color w:val="auto"/>
          <w:spacing w:val="-82"/>
          <w:u w:val="none"/>
        </w:rPr>
        <w:t xml:space="preserve"> </w:t>
      </w:r>
      <w:r>
        <w:rPr>
          <w:rFonts w:ascii="Times New Roman" w:eastAsia="Times New Roman"/>
          <w:color w:val="auto"/>
          <w:u w:val="single"/>
        </w:rPr>
        <w:tab/>
      </w:r>
    </w:p>
    <w:p w14:paraId="7E255D8B">
      <w:pPr>
        <w:spacing w:after="0"/>
        <w:jc w:val="both"/>
        <w:rPr>
          <w:rFonts w:ascii="Times New Roman" w:eastAsia="Times New Roman"/>
          <w:color w:val="auto"/>
        </w:rPr>
        <w:sectPr>
          <w:pgSz w:w="11910" w:h="16840"/>
          <w:pgMar w:top="1400" w:right="740" w:bottom="1180" w:left="800" w:header="0" w:footer="989" w:gutter="0"/>
          <w:cols w:space="720" w:num="1"/>
        </w:sectPr>
      </w:pPr>
    </w:p>
    <w:p w14:paraId="7BD88740">
      <w:pPr>
        <w:pStyle w:val="9"/>
        <w:ind w:right="837"/>
        <w:rPr>
          <w:color w:val="auto"/>
        </w:rPr>
      </w:pPr>
      <w:r>
        <w:rPr>
          <w:color w:val="auto"/>
          <w:spacing w:val="-2"/>
        </w:rPr>
        <w:t>（二）</w:t>
      </w:r>
      <w:r>
        <w:rPr>
          <w:color w:val="auto"/>
          <w:spacing w:val="-3"/>
        </w:rPr>
        <w:t>拟投入的主要人员简历表</w:t>
      </w:r>
    </w:p>
    <w:p w14:paraId="36B04AA8">
      <w:pPr>
        <w:pStyle w:val="9"/>
        <w:spacing w:before="181"/>
        <w:ind w:left="943" w:right="386"/>
        <w:rPr>
          <w:color w:val="auto"/>
        </w:rPr>
      </w:pPr>
      <w:r>
        <w:rPr>
          <w:color w:val="auto"/>
          <w:spacing w:val="-4"/>
        </w:rPr>
        <w:t>项目经理简历表</w:t>
      </w:r>
    </w:p>
    <w:p w14:paraId="23D4C4A4">
      <w:pPr>
        <w:pStyle w:val="12"/>
        <w:spacing w:before="2"/>
        <w:ind w:left="0"/>
        <w:rPr>
          <w:b/>
          <w:color w:val="auto"/>
          <w:sz w:val="14"/>
        </w:rPr>
      </w:pPr>
    </w:p>
    <w:tbl>
      <w:tblPr>
        <w:tblStyle w:val="16"/>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04"/>
        <w:gridCol w:w="423"/>
        <w:gridCol w:w="881"/>
        <w:gridCol w:w="669"/>
        <w:gridCol w:w="321"/>
        <w:gridCol w:w="235"/>
        <w:gridCol w:w="1284"/>
        <w:gridCol w:w="135"/>
        <w:gridCol w:w="243"/>
        <w:gridCol w:w="1137"/>
        <w:gridCol w:w="450"/>
        <w:gridCol w:w="1162"/>
        <w:gridCol w:w="1481"/>
      </w:tblGrid>
      <w:tr w14:paraId="1FEFE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00" w:hRule="atLeast"/>
        </w:trPr>
        <w:tc>
          <w:tcPr>
            <w:tcW w:w="1204" w:type="dxa"/>
          </w:tcPr>
          <w:p w14:paraId="1FA2668D">
            <w:pPr>
              <w:pStyle w:val="22"/>
              <w:spacing w:before="159"/>
              <w:ind w:left="35" w:right="52"/>
              <w:jc w:val="center"/>
              <w:rPr>
                <w:color w:val="auto"/>
                <w:sz w:val="21"/>
              </w:rPr>
            </w:pPr>
            <w:r>
              <w:rPr>
                <w:color w:val="auto"/>
                <w:spacing w:val="-8"/>
                <w:sz w:val="21"/>
              </w:rPr>
              <w:t>姓名</w:t>
            </w:r>
          </w:p>
        </w:tc>
        <w:tc>
          <w:tcPr>
            <w:tcW w:w="2294" w:type="dxa"/>
            <w:gridSpan w:val="4"/>
          </w:tcPr>
          <w:p w14:paraId="5B115FA0">
            <w:pPr>
              <w:pStyle w:val="22"/>
              <w:rPr>
                <w:rFonts w:ascii="Times New Roman"/>
                <w:color w:val="auto"/>
                <w:sz w:val="20"/>
              </w:rPr>
            </w:pPr>
          </w:p>
        </w:tc>
        <w:tc>
          <w:tcPr>
            <w:tcW w:w="1897" w:type="dxa"/>
            <w:gridSpan w:val="4"/>
          </w:tcPr>
          <w:p w14:paraId="45C29D49">
            <w:pPr>
              <w:pStyle w:val="22"/>
              <w:spacing w:before="159"/>
              <w:ind w:right="2"/>
              <w:jc w:val="center"/>
              <w:rPr>
                <w:color w:val="auto"/>
                <w:sz w:val="21"/>
              </w:rPr>
            </w:pPr>
            <w:r>
              <w:rPr>
                <w:color w:val="auto"/>
                <w:spacing w:val="-8"/>
                <w:sz w:val="21"/>
              </w:rPr>
              <w:t>性别</w:t>
            </w:r>
          </w:p>
        </w:tc>
        <w:tc>
          <w:tcPr>
            <w:tcW w:w="1587" w:type="dxa"/>
            <w:gridSpan w:val="2"/>
          </w:tcPr>
          <w:p w14:paraId="572F16B5">
            <w:pPr>
              <w:pStyle w:val="22"/>
              <w:rPr>
                <w:rFonts w:ascii="Times New Roman"/>
                <w:color w:val="auto"/>
                <w:sz w:val="20"/>
              </w:rPr>
            </w:pPr>
          </w:p>
        </w:tc>
        <w:tc>
          <w:tcPr>
            <w:tcW w:w="1162" w:type="dxa"/>
          </w:tcPr>
          <w:p w14:paraId="4C6705C1">
            <w:pPr>
              <w:pStyle w:val="22"/>
              <w:spacing w:before="159"/>
              <w:ind w:left="2" w:right="65"/>
              <w:jc w:val="center"/>
              <w:rPr>
                <w:color w:val="auto"/>
                <w:sz w:val="21"/>
              </w:rPr>
            </w:pPr>
            <w:r>
              <w:rPr>
                <w:color w:val="auto"/>
                <w:spacing w:val="-8"/>
                <w:sz w:val="21"/>
              </w:rPr>
              <w:t>年龄</w:t>
            </w:r>
          </w:p>
        </w:tc>
        <w:tc>
          <w:tcPr>
            <w:tcW w:w="1481" w:type="dxa"/>
          </w:tcPr>
          <w:p w14:paraId="10941B62">
            <w:pPr>
              <w:pStyle w:val="22"/>
              <w:rPr>
                <w:rFonts w:ascii="Times New Roman"/>
                <w:color w:val="auto"/>
                <w:sz w:val="20"/>
              </w:rPr>
            </w:pPr>
          </w:p>
        </w:tc>
      </w:tr>
      <w:tr w14:paraId="57574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204" w:type="dxa"/>
          </w:tcPr>
          <w:p w14:paraId="1BADF824">
            <w:pPr>
              <w:pStyle w:val="22"/>
              <w:spacing w:before="171"/>
              <w:ind w:left="35" w:right="52"/>
              <w:jc w:val="center"/>
              <w:rPr>
                <w:color w:val="auto"/>
                <w:sz w:val="21"/>
              </w:rPr>
            </w:pPr>
            <w:r>
              <w:rPr>
                <w:color w:val="auto"/>
                <w:spacing w:val="-8"/>
                <w:sz w:val="21"/>
              </w:rPr>
              <w:t>岗位</w:t>
            </w:r>
          </w:p>
        </w:tc>
        <w:tc>
          <w:tcPr>
            <w:tcW w:w="2294" w:type="dxa"/>
            <w:gridSpan w:val="4"/>
          </w:tcPr>
          <w:p w14:paraId="34A37BB1">
            <w:pPr>
              <w:pStyle w:val="22"/>
              <w:spacing w:before="171"/>
              <w:ind w:left="710"/>
              <w:rPr>
                <w:color w:val="auto"/>
                <w:sz w:val="21"/>
              </w:rPr>
            </w:pPr>
            <w:r>
              <w:rPr>
                <w:color w:val="auto"/>
                <w:spacing w:val="-7"/>
                <w:sz w:val="21"/>
              </w:rPr>
              <w:t>项目经理</w:t>
            </w:r>
          </w:p>
        </w:tc>
        <w:tc>
          <w:tcPr>
            <w:tcW w:w="1897" w:type="dxa"/>
            <w:gridSpan w:val="4"/>
          </w:tcPr>
          <w:p w14:paraId="69604B80">
            <w:pPr>
              <w:pStyle w:val="22"/>
              <w:spacing w:before="171"/>
              <w:ind w:right="2"/>
              <w:jc w:val="center"/>
              <w:rPr>
                <w:color w:val="auto"/>
                <w:sz w:val="21"/>
              </w:rPr>
            </w:pPr>
            <w:r>
              <w:rPr>
                <w:color w:val="auto"/>
                <w:spacing w:val="-8"/>
                <w:sz w:val="21"/>
              </w:rPr>
              <w:t>职称</w:t>
            </w:r>
          </w:p>
        </w:tc>
        <w:tc>
          <w:tcPr>
            <w:tcW w:w="1587" w:type="dxa"/>
            <w:gridSpan w:val="2"/>
          </w:tcPr>
          <w:p w14:paraId="334BF550">
            <w:pPr>
              <w:pStyle w:val="22"/>
              <w:rPr>
                <w:rFonts w:ascii="Times New Roman"/>
                <w:color w:val="auto"/>
                <w:sz w:val="20"/>
              </w:rPr>
            </w:pPr>
          </w:p>
        </w:tc>
        <w:tc>
          <w:tcPr>
            <w:tcW w:w="1162" w:type="dxa"/>
          </w:tcPr>
          <w:p w14:paraId="599C2CAD">
            <w:pPr>
              <w:pStyle w:val="22"/>
              <w:spacing w:before="171"/>
              <w:ind w:left="2" w:right="65"/>
              <w:jc w:val="center"/>
              <w:rPr>
                <w:color w:val="auto"/>
                <w:sz w:val="21"/>
              </w:rPr>
            </w:pPr>
            <w:r>
              <w:rPr>
                <w:color w:val="auto"/>
                <w:spacing w:val="-8"/>
                <w:sz w:val="21"/>
              </w:rPr>
              <w:t>学历</w:t>
            </w:r>
          </w:p>
        </w:tc>
        <w:tc>
          <w:tcPr>
            <w:tcW w:w="1481" w:type="dxa"/>
          </w:tcPr>
          <w:p w14:paraId="414A3163">
            <w:pPr>
              <w:pStyle w:val="22"/>
              <w:rPr>
                <w:rFonts w:ascii="Times New Roman"/>
                <w:color w:val="auto"/>
                <w:sz w:val="20"/>
              </w:rPr>
            </w:pPr>
          </w:p>
        </w:tc>
      </w:tr>
      <w:tr w14:paraId="38F1F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1204" w:type="dxa"/>
          </w:tcPr>
          <w:p w14:paraId="1621B928">
            <w:pPr>
              <w:pStyle w:val="22"/>
              <w:spacing w:before="37"/>
              <w:ind w:left="378" w:right="187" w:hanging="212"/>
              <w:rPr>
                <w:color w:val="auto"/>
                <w:sz w:val="21"/>
              </w:rPr>
            </w:pPr>
            <w:r>
              <w:rPr>
                <w:color w:val="auto"/>
                <w:spacing w:val="-4"/>
                <w:sz w:val="21"/>
              </w:rPr>
              <w:t>从业开始</w:t>
            </w:r>
            <w:r>
              <w:rPr>
                <w:color w:val="auto"/>
                <w:spacing w:val="-6"/>
                <w:sz w:val="21"/>
              </w:rPr>
              <w:t>时间</w:t>
            </w:r>
          </w:p>
        </w:tc>
        <w:tc>
          <w:tcPr>
            <w:tcW w:w="2294" w:type="dxa"/>
            <w:gridSpan w:val="4"/>
          </w:tcPr>
          <w:p w14:paraId="42C8AFF5">
            <w:pPr>
              <w:pStyle w:val="22"/>
              <w:rPr>
                <w:rFonts w:ascii="Times New Roman"/>
                <w:color w:val="auto"/>
                <w:sz w:val="20"/>
              </w:rPr>
            </w:pPr>
          </w:p>
        </w:tc>
        <w:tc>
          <w:tcPr>
            <w:tcW w:w="1897" w:type="dxa"/>
            <w:gridSpan w:val="4"/>
          </w:tcPr>
          <w:p w14:paraId="5D7B83FE">
            <w:pPr>
              <w:pStyle w:val="22"/>
              <w:spacing w:before="171"/>
              <w:ind w:left="312"/>
              <w:rPr>
                <w:color w:val="auto"/>
                <w:sz w:val="21"/>
              </w:rPr>
            </w:pPr>
            <w:r>
              <w:rPr>
                <w:color w:val="auto"/>
                <w:spacing w:val="-4"/>
                <w:sz w:val="21"/>
              </w:rPr>
              <w:t>职称获得时间</w:t>
            </w:r>
          </w:p>
        </w:tc>
        <w:tc>
          <w:tcPr>
            <w:tcW w:w="1587" w:type="dxa"/>
            <w:gridSpan w:val="2"/>
          </w:tcPr>
          <w:p w14:paraId="176F3979">
            <w:pPr>
              <w:pStyle w:val="22"/>
              <w:rPr>
                <w:rFonts w:ascii="Times New Roman"/>
                <w:color w:val="auto"/>
                <w:sz w:val="20"/>
              </w:rPr>
            </w:pPr>
          </w:p>
        </w:tc>
        <w:tc>
          <w:tcPr>
            <w:tcW w:w="1162" w:type="dxa"/>
          </w:tcPr>
          <w:p w14:paraId="6D705625">
            <w:pPr>
              <w:pStyle w:val="22"/>
              <w:spacing w:before="171"/>
              <w:ind w:right="65"/>
              <w:jc w:val="center"/>
              <w:rPr>
                <w:color w:val="auto"/>
                <w:sz w:val="21"/>
              </w:rPr>
            </w:pPr>
            <w:r>
              <w:rPr>
                <w:color w:val="auto"/>
                <w:spacing w:val="-7"/>
                <w:sz w:val="21"/>
              </w:rPr>
              <w:t>毕业时间</w:t>
            </w:r>
          </w:p>
        </w:tc>
        <w:tc>
          <w:tcPr>
            <w:tcW w:w="1481" w:type="dxa"/>
          </w:tcPr>
          <w:p w14:paraId="73E773F3">
            <w:pPr>
              <w:pStyle w:val="22"/>
              <w:rPr>
                <w:rFonts w:ascii="Times New Roman"/>
                <w:color w:val="auto"/>
                <w:sz w:val="20"/>
              </w:rPr>
            </w:pPr>
          </w:p>
        </w:tc>
      </w:tr>
      <w:tr w14:paraId="62A17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204" w:type="dxa"/>
          </w:tcPr>
          <w:p w14:paraId="54D8A5F6">
            <w:pPr>
              <w:pStyle w:val="22"/>
              <w:spacing w:before="23"/>
              <w:ind w:left="195" w:right="158"/>
              <w:rPr>
                <w:color w:val="auto"/>
                <w:sz w:val="21"/>
              </w:rPr>
            </w:pPr>
            <w:r>
              <w:rPr>
                <w:color w:val="auto"/>
                <w:spacing w:val="-4"/>
                <w:sz w:val="21"/>
              </w:rPr>
              <w:t>担任项目</w:t>
            </w:r>
            <w:r>
              <w:rPr>
                <w:color w:val="auto"/>
                <w:spacing w:val="-7"/>
                <w:sz w:val="21"/>
              </w:rPr>
              <w:t>经理年限</w:t>
            </w:r>
          </w:p>
        </w:tc>
        <w:tc>
          <w:tcPr>
            <w:tcW w:w="2529" w:type="dxa"/>
            <w:gridSpan w:val="5"/>
          </w:tcPr>
          <w:p w14:paraId="6581C4DE">
            <w:pPr>
              <w:pStyle w:val="22"/>
              <w:rPr>
                <w:rFonts w:ascii="Times New Roman"/>
                <w:color w:val="auto"/>
                <w:sz w:val="20"/>
              </w:rPr>
            </w:pPr>
          </w:p>
        </w:tc>
        <w:tc>
          <w:tcPr>
            <w:tcW w:w="1284" w:type="dxa"/>
          </w:tcPr>
          <w:p w14:paraId="4C4E9A69">
            <w:pPr>
              <w:pStyle w:val="22"/>
              <w:spacing w:before="23"/>
              <w:ind w:left="564" w:right="186" w:hanging="317"/>
              <w:rPr>
                <w:color w:val="auto"/>
                <w:sz w:val="21"/>
              </w:rPr>
            </w:pPr>
            <w:r>
              <w:rPr>
                <w:color w:val="auto"/>
                <w:spacing w:val="-4"/>
                <w:sz w:val="21"/>
              </w:rPr>
              <w:t>身份证号</w:t>
            </w:r>
            <w:r>
              <w:rPr>
                <w:color w:val="auto"/>
                <w:spacing w:val="-10"/>
                <w:sz w:val="21"/>
              </w:rPr>
              <w:t>码</w:t>
            </w:r>
          </w:p>
        </w:tc>
        <w:tc>
          <w:tcPr>
            <w:tcW w:w="4608" w:type="dxa"/>
            <w:gridSpan w:val="6"/>
          </w:tcPr>
          <w:p w14:paraId="1274E6EE">
            <w:pPr>
              <w:pStyle w:val="22"/>
              <w:rPr>
                <w:rFonts w:ascii="Times New Roman"/>
                <w:color w:val="auto"/>
                <w:sz w:val="20"/>
              </w:rPr>
            </w:pPr>
          </w:p>
        </w:tc>
      </w:tr>
      <w:tr w14:paraId="5BDF3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204" w:type="dxa"/>
          </w:tcPr>
          <w:p w14:paraId="7459BABF">
            <w:pPr>
              <w:pStyle w:val="22"/>
              <w:spacing w:before="160"/>
              <w:ind w:left="52" w:right="17"/>
              <w:jc w:val="center"/>
              <w:rPr>
                <w:color w:val="auto"/>
                <w:sz w:val="21"/>
              </w:rPr>
            </w:pPr>
            <w:r>
              <w:rPr>
                <w:color w:val="auto"/>
                <w:spacing w:val="-7"/>
                <w:sz w:val="21"/>
              </w:rPr>
              <w:t>证书名称</w:t>
            </w:r>
          </w:p>
        </w:tc>
        <w:tc>
          <w:tcPr>
            <w:tcW w:w="1304" w:type="dxa"/>
            <w:gridSpan w:val="2"/>
          </w:tcPr>
          <w:p w14:paraId="0873C059">
            <w:pPr>
              <w:pStyle w:val="22"/>
              <w:spacing w:before="160"/>
              <w:ind w:left="244"/>
              <w:rPr>
                <w:color w:val="auto"/>
                <w:sz w:val="21"/>
              </w:rPr>
            </w:pPr>
            <w:r>
              <w:rPr>
                <w:color w:val="auto"/>
                <w:spacing w:val="-7"/>
                <w:sz w:val="21"/>
              </w:rPr>
              <w:t>注册专业</w:t>
            </w:r>
          </w:p>
        </w:tc>
        <w:tc>
          <w:tcPr>
            <w:tcW w:w="1225" w:type="dxa"/>
            <w:gridSpan w:val="3"/>
          </w:tcPr>
          <w:p w14:paraId="02E9FC98">
            <w:pPr>
              <w:pStyle w:val="22"/>
              <w:spacing w:before="160"/>
              <w:ind w:left="399"/>
              <w:rPr>
                <w:color w:val="auto"/>
                <w:sz w:val="21"/>
              </w:rPr>
            </w:pPr>
            <w:r>
              <w:rPr>
                <w:color w:val="auto"/>
                <w:spacing w:val="-8"/>
                <w:sz w:val="21"/>
              </w:rPr>
              <w:t>级别</w:t>
            </w:r>
          </w:p>
        </w:tc>
        <w:tc>
          <w:tcPr>
            <w:tcW w:w="1419" w:type="dxa"/>
            <w:gridSpan w:val="2"/>
          </w:tcPr>
          <w:p w14:paraId="687947A8">
            <w:pPr>
              <w:pStyle w:val="22"/>
              <w:spacing w:before="160"/>
              <w:ind w:left="283"/>
              <w:rPr>
                <w:color w:val="auto"/>
                <w:sz w:val="21"/>
              </w:rPr>
            </w:pPr>
            <w:r>
              <w:rPr>
                <w:color w:val="auto"/>
                <w:spacing w:val="-7"/>
                <w:sz w:val="21"/>
              </w:rPr>
              <w:t>证书编号</w:t>
            </w:r>
          </w:p>
        </w:tc>
        <w:tc>
          <w:tcPr>
            <w:tcW w:w="1380" w:type="dxa"/>
            <w:gridSpan w:val="2"/>
          </w:tcPr>
          <w:p w14:paraId="59DA0F72">
            <w:pPr>
              <w:pStyle w:val="22"/>
              <w:spacing w:before="160"/>
              <w:ind w:left="280"/>
              <w:rPr>
                <w:color w:val="auto"/>
                <w:sz w:val="21"/>
              </w:rPr>
            </w:pPr>
            <w:r>
              <w:rPr>
                <w:color w:val="auto"/>
                <w:spacing w:val="-7"/>
                <w:sz w:val="21"/>
              </w:rPr>
              <w:t>注册时间</w:t>
            </w:r>
          </w:p>
        </w:tc>
        <w:tc>
          <w:tcPr>
            <w:tcW w:w="1612" w:type="dxa"/>
            <w:gridSpan w:val="2"/>
          </w:tcPr>
          <w:p w14:paraId="0BD101A1">
            <w:pPr>
              <w:pStyle w:val="22"/>
              <w:spacing w:before="160"/>
              <w:ind w:left="426"/>
              <w:rPr>
                <w:color w:val="auto"/>
                <w:sz w:val="21"/>
              </w:rPr>
            </w:pPr>
            <w:r>
              <w:rPr>
                <w:color w:val="auto"/>
                <w:spacing w:val="-7"/>
                <w:sz w:val="21"/>
              </w:rPr>
              <w:t>注册单位</w:t>
            </w:r>
          </w:p>
        </w:tc>
        <w:tc>
          <w:tcPr>
            <w:tcW w:w="1481" w:type="dxa"/>
          </w:tcPr>
          <w:p w14:paraId="256AA8F2">
            <w:pPr>
              <w:pStyle w:val="22"/>
              <w:spacing w:before="160"/>
              <w:ind w:left="81" w:right="27"/>
              <w:jc w:val="center"/>
              <w:rPr>
                <w:color w:val="auto"/>
                <w:sz w:val="21"/>
              </w:rPr>
            </w:pPr>
            <w:r>
              <w:rPr>
                <w:color w:val="auto"/>
                <w:spacing w:val="-4"/>
                <w:sz w:val="21"/>
              </w:rPr>
              <w:t>注册有效期</w:t>
            </w:r>
          </w:p>
        </w:tc>
      </w:tr>
      <w:tr w14:paraId="1C215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204" w:type="dxa"/>
          </w:tcPr>
          <w:p w14:paraId="252A73E9">
            <w:pPr>
              <w:pStyle w:val="22"/>
              <w:rPr>
                <w:rFonts w:ascii="Times New Roman"/>
                <w:color w:val="auto"/>
                <w:sz w:val="20"/>
              </w:rPr>
            </w:pPr>
          </w:p>
        </w:tc>
        <w:tc>
          <w:tcPr>
            <w:tcW w:w="1304" w:type="dxa"/>
            <w:gridSpan w:val="2"/>
          </w:tcPr>
          <w:p w14:paraId="02948C14">
            <w:pPr>
              <w:pStyle w:val="22"/>
              <w:rPr>
                <w:rFonts w:ascii="Times New Roman"/>
                <w:color w:val="auto"/>
                <w:sz w:val="20"/>
              </w:rPr>
            </w:pPr>
          </w:p>
        </w:tc>
        <w:tc>
          <w:tcPr>
            <w:tcW w:w="1225" w:type="dxa"/>
            <w:gridSpan w:val="3"/>
          </w:tcPr>
          <w:p w14:paraId="11F3874A">
            <w:pPr>
              <w:pStyle w:val="22"/>
              <w:rPr>
                <w:rFonts w:ascii="Times New Roman"/>
                <w:color w:val="auto"/>
                <w:sz w:val="20"/>
              </w:rPr>
            </w:pPr>
          </w:p>
        </w:tc>
        <w:tc>
          <w:tcPr>
            <w:tcW w:w="1419" w:type="dxa"/>
            <w:gridSpan w:val="2"/>
          </w:tcPr>
          <w:p w14:paraId="67CF4EB7">
            <w:pPr>
              <w:pStyle w:val="22"/>
              <w:rPr>
                <w:rFonts w:ascii="Times New Roman"/>
                <w:color w:val="auto"/>
                <w:sz w:val="20"/>
              </w:rPr>
            </w:pPr>
          </w:p>
        </w:tc>
        <w:tc>
          <w:tcPr>
            <w:tcW w:w="1380" w:type="dxa"/>
            <w:gridSpan w:val="2"/>
          </w:tcPr>
          <w:p w14:paraId="768F24CE">
            <w:pPr>
              <w:pStyle w:val="22"/>
              <w:rPr>
                <w:rFonts w:ascii="Times New Roman"/>
                <w:color w:val="auto"/>
                <w:sz w:val="20"/>
              </w:rPr>
            </w:pPr>
          </w:p>
        </w:tc>
        <w:tc>
          <w:tcPr>
            <w:tcW w:w="1612" w:type="dxa"/>
            <w:gridSpan w:val="2"/>
          </w:tcPr>
          <w:p w14:paraId="5F6B4CFF">
            <w:pPr>
              <w:pStyle w:val="22"/>
              <w:rPr>
                <w:rFonts w:ascii="Times New Roman"/>
                <w:color w:val="auto"/>
                <w:sz w:val="20"/>
              </w:rPr>
            </w:pPr>
          </w:p>
        </w:tc>
        <w:tc>
          <w:tcPr>
            <w:tcW w:w="1481" w:type="dxa"/>
          </w:tcPr>
          <w:p w14:paraId="281B3167">
            <w:pPr>
              <w:pStyle w:val="22"/>
              <w:rPr>
                <w:rFonts w:ascii="Times New Roman"/>
                <w:color w:val="auto"/>
                <w:sz w:val="20"/>
              </w:rPr>
            </w:pPr>
          </w:p>
        </w:tc>
      </w:tr>
      <w:tr w14:paraId="7B359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1204" w:type="dxa"/>
          </w:tcPr>
          <w:p w14:paraId="3B89E1F2">
            <w:pPr>
              <w:pStyle w:val="22"/>
              <w:ind w:left="195" w:right="158"/>
              <w:jc w:val="center"/>
              <w:rPr>
                <w:color w:val="auto"/>
                <w:sz w:val="21"/>
              </w:rPr>
            </w:pPr>
            <w:r>
              <w:rPr>
                <w:color w:val="auto"/>
                <w:spacing w:val="-4"/>
                <w:sz w:val="21"/>
              </w:rPr>
              <w:t>安全生产</w:t>
            </w:r>
            <w:r>
              <w:rPr>
                <w:color w:val="auto"/>
                <w:spacing w:val="-7"/>
                <w:sz w:val="21"/>
              </w:rPr>
              <w:t>考核合格</w:t>
            </w:r>
          </w:p>
          <w:p w14:paraId="5CA7850A">
            <w:pPr>
              <w:pStyle w:val="22"/>
              <w:spacing w:line="253" w:lineRule="exact"/>
              <w:ind w:left="49" w:right="17"/>
              <w:jc w:val="center"/>
              <w:rPr>
                <w:color w:val="auto"/>
                <w:sz w:val="21"/>
              </w:rPr>
            </w:pPr>
            <w:r>
              <w:rPr>
                <w:color w:val="auto"/>
                <w:spacing w:val="-8"/>
                <w:sz w:val="21"/>
              </w:rPr>
              <w:t>证书</w:t>
            </w:r>
          </w:p>
        </w:tc>
        <w:tc>
          <w:tcPr>
            <w:tcW w:w="1304" w:type="dxa"/>
            <w:gridSpan w:val="2"/>
          </w:tcPr>
          <w:p w14:paraId="2DB08E7F">
            <w:pPr>
              <w:pStyle w:val="22"/>
              <w:rPr>
                <w:rFonts w:ascii="Times New Roman"/>
                <w:color w:val="auto"/>
                <w:sz w:val="20"/>
              </w:rPr>
            </w:pPr>
          </w:p>
        </w:tc>
        <w:tc>
          <w:tcPr>
            <w:tcW w:w="1225" w:type="dxa"/>
            <w:gridSpan w:val="3"/>
          </w:tcPr>
          <w:p w14:paraId="782D30D1">
            <w:pPr>
              <w:pStyle w:val="22"/>
              <w:spacing w:before="269"/>
              <w:jc w:val="center"/>
              <w:rPr>
                <w:color w:val="auto"/>
                <w:sz w:val="21"/>
              </w:rPr>
            </w:pPr>
            <w:r>
              <w:rPr>
                <w:rFonts w:ascii="Times New Roman" w:eastAsia="Times New Roman"/>
                <w:color w:val="auto"/>
                <w:sz w:val="21"/>
              </w:rPr>
              <w:t>B</w:t>
            </w:r>
            <w:r>
              <w:rPr>
                <w:rFonts w:ascii="Times New Roman" w:eastAsia="Times New Roman"/>
                <w:color w:val="auto"/>
                <w:spacing w:val="-2"/>
                <w:sz w:val="21"/>
              </w:rPr>
              <w:t xml:space="preserve"> </w:t>
            </w:r>
            <w:r>
              <w:rPr>
                <w:color w:val="auto"/>
                <w:spacing w:val="-10"/>
                <w:sz w:val="21"/>
              </w:rPr>
              <w:t>类</w:t>
            </w:r>
          </w:p>
        </w:tc>
        <w:tc>
          <w:tcPr>
            <w:tcW w:w="1419" w:type="dxa"/>
            <w:gridSpan w:val="2"/>
          </w:tcPr>
          <w:p w14:paraId="008159D7">
            <w:pPr>
              <w:pStyle w:val="22"/>
              <w:rPr>
                <w:rFonts w:ascii="Times New Roman"/>
                <w:color w:val="auto"/>
                <w:sz w:val="20"/>
              </w:rPr>
            </w:pPr>
          </w:p>
        </w:tc>
        <w:tc>
          <w:tcPr>
            <w:tcW w:w="1380" w:type="dxa"/>
            <w:gridSpan w:val="2"/>
          </w:tcPr>
          <w:p w14:paraId="10DC279D">
            <w:pPr>
              <w:pStyle w:val="22"/>
              <w:rPr>
                <w:rFonts w:ascii="Times New Roman"/>
                <w:color w:val="auto"/>
                <w:sz w:val="20"/>
              </w:rPr>
            </w:pPr>
          </w:p>
        </w:tc>
        <w:tc>
          <w:tcPr>
            <w:tcW w:w="1612" w:type="dxa"/>
            <w:gridSpan w:val="2"/>
          </w:tcPr>
          <w:p w14:paraId="08E423FC">
            <w:pPr>
              <w:pStyle w:val="22"/>
              <w:rPr>
                <w:rFonts w:ascii="Times New Roman"/>
                <w:color w:val="auto"/>
                <w:sz w:val="20"/>
              </w:rPr>
            </w:pPr>
          </w:p>
        </w:tc>
        <w:tc>
          <w:tcPr>
            <w:tcW w:w="1481" w:type="dxa"/>
          </w:tcPr>
          <w:p w14:paraId="53C7B4FD">
            <w:pPr>
              <w:pStyle w:val="22"/>
              <w:rPr>
                <w:rFonts w:ascii="Times New Roman"/>
                <w:color w:val="auto"/>
                <w:sz w:val="20"/>
              </w:rPr>
            </w:pPr>
          </w:p>
        </w:tc>
      </w:tr>
      <w:tr w14:paraId="4045F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9625" w:type="dxa"/>
            <w:gridSpan w:val="13"/>
          </w:tcPr>
          <w:p w14:paraId="5C0ED8C4">
            <w:pPr>
              <w:pStyle w:val="22"/>
              <w:spacing w:before="169"/>
              <w:ind w:left="2"/>
              <w:jc w:val="center"/>
              <w:rPr>
                <w:color w:val="auto"/>
                <w:sz w:val="21"/>
              </w:rPr>
            </w:pPr>
            <w:r>
              <w:rPr>
                <w:color w:val="auto"/>
                <w:spacing w:val="-3"/>
                <w:sz w:val="21"/>
              </w:rPr>
              <w:t>在建和已完工程项目情况</w:t>
            </w:r>
          </w:p>
        </w:tc>
      </w:tr>
      <w:tr w14:paraId="5BB59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627" w:type="dxa"/>
            <w:gridSpan w:val="2"/>
          </w:tcPr>
          <w:p w14:paraId="78F12A45">
            <w:pPr>
              <w:pStyle w:val="22"/>
              <w:rPr>
                <w:rFonts w:ascii="Times New Roman"/>
                <w:color w:val="auto"/>
                <w:sz w:val="20"/>
              </w:rPr>
            </w:pPr>
          </w:p>
        </w:tc>
        <w:tc>
          <w:tcPr>
            <w:tcW w:w="1550" w:type="dxa"/>
            <w:gridSpan w:val="2"/>
          </w:tcPr>
          <w:p w14:paraId="14217D48">
            <w:pPr>
              <w:pStyle w:val="22"/>
              <w:spacing w:before="161"/>
              <w:ind w:left="483"/>
              <w:rPr>
                <w:rFonts w:ascii="Times New Roman" w:eastAsia="Times New Roman"/>
                <w:color w:val="auto"/>
                <w:sz w:val="21"/>
              </w:rPr>
            </w:pPr>
            <w:r>
              <w:rPr>
                <w:color w:val="auto"/>
                <w:spacing w:val="-19"/>
                <w:sz w:val="21"/>
              </w:rPr>
              <w:t xml:space="preserve">项目 </w:t>
            </w:r>
            <w:r>
              <w:rPr>
                <w:rFonts w:ascii="Times New Roman" w:eastAsia="Times New Roman"/>
                <w:color w:val="auto"/>
                <w:spacing w:val="-10"/>
                <w:sz w:val="21"/>
              </w:rPr>
              <w:t>1</w:t>
            </w:r>
          </w:p>
        </w:tc>
        <w:tc>
          <w:tcPr>
            <w:tcW w:w="1840" w:type="dxa"/>
            <w:gridSpan w:val="3"/>
          </w:tcPr>
          <w:p w14:paraId="42D0F94A">
            <w:pPr>
              <w:pStyle w:val="22"/>
              <w:spacing w:before="161"/>
              <w:jc w:val="center"/>
              <w:rPr>
                <w:rFonts w:ascii="Times New Roman" w:eastAsia="Times New Roman"/>
                <w:color w:val="auto"/>
                <w:sz w:val="21"/>
              </w:rPr>
            </w:pPr>
            <w:r>
              <w:rPr>
                <w:color w:val="auto"/>
                <w:spacing w:val="-19"/>
                <w:sz w:val="21"/>
              </w:rPr>
              <w:t xml:space="preserve">项目 </w:t>
            </w:r>
            <w:r>
              <w:rPr>
                <w:rFonts w:ascii="Times New Roman" w:eastAsia="Times New Roman"/>
                <w:color w:val="auto"/>
                <w:spacing w:val="-10"/>
                <w:sz w:val="21"/>
              </w:rPr>
              <w:t>2</w:t>
            </w:r>
          </w:p>
        </w:tc>
        <w:tc>
          <w:tcPr>
            <w:tcW w:w="1515" w:type="dxa"/>
            <w:gridSpan w:val="3"/>
          </w:tcPr>
          <w:p w14:paraId="2C40449E">
            <w:pPr>
              <w:pStyle w:val="22"/>
              <w:spacing w:before="161"/>
              <w:ind w:left="439"/>
              <w:rPr>
                <w:rFonts w:ascii="Times New Roman" w:eastAsia="Times New Roman"/>
                <w:color w:val="auto"/>
                <w:sz w:val="21"/>
              </w:rPr>
            </w:pPr>
            <w:r>
              <w:rPr>
                <w:color w:val="auto"/>
                <w:spacing w:val="-19"/>
                <w:sz w:val="21"/>
              </w:rPr>
              <w:t xml:space="preserve">项目 </w:t>
            </w:r>
            <w:r>
              <w:rPr>
                <w:rFonts w:ascii="Times New Roman" w:eastAsia="Times New Roman"/>
                <w:color w:val="auto"/>
                <w:spacing w:val="-10"/>
                <w:sz w:val="21"/>
              </w:rPr>
              <w:t>3</w:t>
            </w:r>
          </w:p>
        </w:tc>
        <w:tc>
          <w:tcPr>
            <w:tcW w:w="1612" w:type="dxa"/>
            <w:gridSpan w:val="2"/>
          </w:tcPr>
          <w:p w14:paraId="686E4E63">
            <w:pPr>
              <w:pStyle w:val="22"/>
              <w:spacing w:before="161"/>
              <w:ind w:left="482"/>
              <w:rPr>
                <w:rFonts w:ascii="Times New Roman" w:eastAsia="Times New Roman"/>
                <w:color w:val="auto"/>
                <w:sz w:val="21"/>
              </w:rPr>
            </w:pPr>
            <w:r>
              <w:rPr>
                <w:color w:val="auto"/>
                <w:spacing w:val="-20"/>
                <w:sz w:val="21"/>
              </w:rPr>
              <w:t xml:space="preserve">项目 </w:t>
            </w:r>
            <w:r>
              <w:rPr>
                <w:rFonts w:ascii="Times New Roman" w:eastAsia="Times New Roman"/>
                <w:color w:val="auto"/>
                <w:spacing w:val="-10"/>
                <w:sz w:val="21"/>
              </w:rPr>
              <w:t>4</w:t>
            </w:r>
          </w:p>
        </w:tc>
        <w:tc>
          <w:tcPr>
            <w:tcW w:w="1481" w:type="dxa"/>
          </w:tcPr>
          <w:p w14:paraId="6505F249">
            <w:pPr>
              <w:pStyle w:val="22"/>
              <w:spacing w:before="161"/>
              <w:ind w:left="54" w:right="81"/>
              <w:jc w:val="center"/>
              <w:rPr>
                <w:color w:val="auto"/>
                <w:sz w:val="21"/>
              </w:rPr>
            </w:pPr>
            <w:r>
              <w:rPr>
                <w:color w:val="auto"/>
                <w:spacing w:val="-5"/>
                <w:sz w:val="21"/>
              </w:rPr>
              <w:t>……</w:t>
            </w:r>
          </w:p>
        </w:tc>
      </w:tr>
      <w:tr w14:paraId="2FB07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627" w:type="dxa"/>
            <w:gridSpan w:val="2"/>
          </w:tcPr>
          <w:p w14:paraId="40A1D929">
            <w:pPr>
              <w:pStyle w:val="22"/>
              <w:spacing w:before="161"/>
              <w:ind w:left="392"/>
              <w:rPr>
                <w:color w:val="auto"/>
                <w:sz w:val="21"/>
              </w:rPr>
            </w:pPr>
            <w:r>
              <w:rPr>
                <w:color w:val="auto"/>
                <w:spacing w:val="-7"/>
                <w:sz w:val="21"/>
              </w:rPr>
              <w:t>项目名称</w:t>
            </w:r>
          </w:p>
        </w:tc>
        <w:tc>
          <w:tcPr>
            <w:tcW w:w="1550" w:type="dxa"/>
            <w:gridSpan w:val="2"/>
          </w:tcPr>
          <w:p w14:paraId="602F3680">
            <w:pPr>
              <w:pStyle w:val="22"/>
              <w:rPr>
                <w:rFonts w:ascii="Times New Roman"/>
                <w:color w:val="auto"/>
                <w:sz w:val="20"/>
              </w:rPr>
            </w:pPr>
          </w:p>
        </w:tc>
        <w:tc>
          <w:tcPr>
            <w:tcW w:w="1840" w:type="dxa"/>
            <w:gridSpan w:val="3"/>
          </w:tcPr>
          <w:p w14:paraId="13FE4955">
            <w:pPr>
              <w:pStyle w:val="22"/>
              <w:rPr>
                <w:rFonts w:ascii="Times New Roman"/>
                <w:color w:val="auto"/>
                <w:sz w:val="20"/>
              </w:rPr>
            </w:pPr>
          </w:p>
        </w:tc>
        <w:tc>
          <w:tcPr>
            <w:tcW w:w="1515" w:type="dxa"/>
            <w:gridSpan w:val="3"/>
          </w:tcPr>
          <w:p w14:paraId="43214D83">
            <w:pPr>
              <w:pStyle w:val="22"/>
              <w:rPr>
                <w:rFonts w:ascii="Times New Roman"/>
                <w:color w:val="auto"/>
                <w:sz w:val="20"/>
              </w:rPr>
            </w:pPr>
          </w:p>
        </w:tc>
        <w:tc>
          <w:tcPr>
            <w:tcW w:w="1612" w:type="dxa"/>
            <w:gridSpan w:val="2"/>
          </w:tcPr>
          <w:p w14:paraId="59F3BF52">
            <w:pPr>
              <w:pStyle w:val="22"/>
              <w:rPr>
                <w:rFonts w:ascii="Times New Roman"/>
                <w:color w:val="auto"/>
                <w:sz w:val="20"/>
              </w:rPr>
            </w:pPr>
          </w:p>
        </w:tc>
        <w:tc>
          <w:tcPr>
            <w:tcW w:w="1481" w:type="dxa"/>
          </w:tcPr>
          <w:p w14:paraId="120A28A8">
            <w:pPr>
              <w:pStyle w:val="22"/>
              <w:rPr>
                <w:rFonts w:ascii="Times New Roman"/>
                <w:color w:val="auto"/>
                <w:sz w:val="20"/>
              </w:rPr>
            </w:pPr>
          </w:p>
        </w:tc>
      </w:tr>
      <w:tr w14:paraId="02ED6D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1627" w:type="dxa"/>
            <w:gridSpan w:val="2"/>
          </w:tcPr>
          <w:p w14:paraId="426E9F21">
            <w:pPr>
              <w:pStyle w:val="22"/>
              <w:spacing w:before="131"/>
              <w:ind w:left="392"/>
              <w:rPr>
                <w:color w:val="auto"/>
                <w:sz w:val="21"/>
              </w:rPr>
            </w:pPr>
            <w:r>
              <w:rPr>
                <w:color w:val="auto"/>
                <w:spacing w:val="-7"/>
                <w:sz w:val="21"/>
              </w:rPr>
              <w:t>建设单位</w:t>
            </w:r>
          </w:p>
        </w:tc>
        <w:tc>
          <w:tcPr>
            <w:tcW w:w="1550" w:type="dxa"/>
            <w:gridSpan w:val="2"/>
          </w:tcPr>
          <w:p w14:paraId="2A2B719F">
            <w:pPr>
              <w:pStyle w:val="22"/>
              <w:rPr>
                <w:rFonts w:ascii="Times New Roman"/>
                <w:color w:val="auto"/>
                <w:sz w:val="20"/>
              </w:rPr>
            </w:pPr>
          </w:p>
        </w:tc>
        <w:tc>
          <w:tcPr>
            <w:tcW w:w="1840" w:type="dxa"/>
            <w:gridSpan w:val="3"/>
          </w:tcPr>
          <w:p w14:paraId="01B7C3D5">
            <w:pPr>
              <w:pStyle w:val="22"/>
              <w:rPr>
                <w:rFonts w:ascii="Times New Roman"/>
                <w:color w:val="auto"/>
                <w:sz w:val="20"/>
              </w:rPr>
            </w:pPr>
          </w:p>
        </w:tc>
        <w:tc>
          <w:tcPr>
            <w:tcW w:w="1515" w:type="dxa"/>
            <w:gridSpan w:val="3"/>
          </w:tcPr>
          <w:p w14:paraId="23BCDC6B">
            <w:pPr>
              <w:pStyle w:val="22"/>
              <w:rPr>
                <w:rFonts w:ascii="Times New Roman"/>
                <w:color w:val="auto"/>
                <w:sz w:val="20"/>
              </w:rPr>
            </w:pPr>
          </w:p>
        </w:tc>
        <w:tc>
          <w:tcPr>
            <w:tcW w:w="1612" w:type="dxa"/>
            <w:gridSpan w:val="2"/>
          </w:tcPr>
          <w:p w14:paraId="7E1CED11">
            <w:pPr>
              <w:pStyle w:val="22"/>
              <w:rPr>
                <w:rFonts w:ascii="Times New Roman"/>
                <w:color w:val="auto"/>
                <w:sz w:val="20"/>
              </w:rPr>
            </w:pPr>
          </w:p>
        </w:tc>
        <w:tc>
          <w:tcPr>
            <w:tcW w:w="1481" w:type="dxa"/>
          </w:tcPr>
          <w:p w14:paraId="598C2EC8">
            <w:pPr>
              <w:pStyle w:val="22"/>
              <w:rPr>
                <w:rFonts w:ascii="Times New Roman"/>
                <w:color w:val="auto"/>
                <w:sz w:val="20"/>
              </w:rPr>
            </w:pPr>
          </w:p>
        </w:tc>
      </w:tr>
      <w:tr w14:paraId="3BC01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1627" w:type="dxa"/>
            <w:gridSpan w:val="2"/>
          </w:tcPr>
          <w:p w14:paraId="1519F6DD">
            <w:pPr>
              <w:pStyle w:val="22"/>
              <w:spacing w:before="130"/>
              <w:ind w:left="392"/>
              <w:rPr>
                <w:color w:val="auto"/>
                <w:sz w:val="21"/>
              </w:rPr>
            </w:pPr>
            <w:r>
              <w:rPr>
                <w:color w:val="auto"/>
                <w:spacing w:val="-7"/>
                <w:sz w:val="21"/>
              </w:rPr>
              <w:t>建设规模</w:t>
            </w:r>
          </w:p>
        </w:tc>
        <w:tc>
          <w:tcPr>
            <w:tcW w:w="1550" w:type="dxa"/>
            <w:gridSpan w:val="2"/>
          </w:tcPr>
          <w:p w14:paraId="28F50FBF">
            <w:pPr>
              <w:pStyle w:val="22"/>
              <w:rPr>
                <w:rFonts w:ascii="Times New Roman"/>
                <w:color w:val="auto"/>
                <w:sz w:val="20"/>
              </w:rPr>
            </w:pPr>
          </w:p>
        </w:tc>
        <w:tc>
          <w:tcPr>
            <w:tcW w:w="1840" w:type="dxa"/>
            <w:gridSpan w:val="3"/>
          </w:tcPr>
          <w:p w14:paraId="06E7C415">
            <w:pPr>
              <w:pStyle w:val="22"/>
              <w:rPr>
                <w:rFonts w:ascii="Times New Roman"/>
                <w:color w:val="auto"/>
                <w:sz w:val="20"/>
              </w:rPr>
            </w:pPr>
          </w:p>
        </w:tc>
        <w:tc>
          <w:tcPr>
            <w:tcW w:w="1515" w:type="dxa"/>
            <w:gridSpan w:val="3"/>
          </w:tcPr>
          <w:p w14:paraId="24DD3ABD">
            <w:pPr>
              <w:pStyle w:val="22"/>
              <w:rPr>
                <w:rFonts w:ascii="Times New Roman"/>
                <w:color w:val="auto"/>
                <w:sz w:val="20"/>
              </w:rPr>
            </w:pPr>
          </w:p>
        </w:tc>
        <w:tc>
          <w:tcPr>
            <w:tcW w:w="1612" w:type="dxa"/>
            <w:gridSpan w:val="2"/>
          </w:tcPr>
          <w:p w14:paraId="610EADD9">
            <w:pPr>
              <w:pStyle w:val="22"/>
              <w:rPr>
                <w:rFonts w:ascii="Times New Roman"/>
                <w:color w:val="auto"/>
                <w:sz w:val="20"/>
              </w:rPr>
            </w:pPr>
          </w:p>
        </w:tc>
        <w:tc>
          <w:tcPr>
            <w:tcW w:w="1481" w:type="dxa"/>
          </w:tcPr>
          <w:p w14:paraId="2B86A649">
            <w:pPr>
              <w:pStyle w:val="22"/>
              <w:rPr>
                <w:rFonts w:ascii="Times New Roman"/>
                <w:color w:val="auto"/>
                <w:sz w:val="20"/>
              </w:rPr>
            </w:pPr>
          </w:p>
        </w:tc>
      </w:tr>
      <w:tr w14:paraId="6327D4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1627" w:type="dxa"/>
            <w:gridSpan w:val="2"/>
          </w:tcPr>
          <w:p w14:paraId="7939E4A4">
            <w:pPr>
              <w:pStyle w:val="22"/>
              <w:spacing w:before="131"/>
              <w:ind w:left="392"/>
              <w:rPr>
                <w:color w:val="auto"/>
                <w:sz w:val="21"/>
              </w:rPr>
            </w:pPr>
            <w:r>
              <w:rPr>
                <w:color w:val="auto"/>
                <w:spacing w:val="-7"/>
                <w:sz w:val="21"/>
              </w:rPr>
              <w:t>开工日期</w:t>
            </w:r>
          </w:p>
        </w:tc>
        <w:tc>
          <w:tcPr>
            <w:tcW w:w="1550" w:type="dxa"/>
            <w:gridSpan w:val="2"/>
          </w:tcPr>
          <w:p w14:paraId="3459149E">
            <w:pPr>
              <w:pStyle w:val="22"/>
              <w:rPr>
                <w:rFonts w:ascii="Times New Roman"/>
                <w:color w:val="auto"/>
                <w:sz w:val="20"/>
              </w:rPr>
            </w:pPr>
          </w:p>
        </w:tc>
        <w:tc>
          <w:tcPr>
            <w:tcW w:w="1840" w:type="dxa"/>
            <w:gridSpan w:val="3"/>
          </w:tcPr>
          <w:p w14:paraId="3B051AAA">
            <w:pPr>
              <w:pStyle w:val="22"/>
              <w:rPr>
                <w:rFonts w:ascii="Times New Roman"/>
                <w:color w:val="auto"/>
                <w:sz w:val="20"/>
              </w:rPr>
            </w:pPr>
          </w:p>
        </w:tc>
        <w:tc>
          <w:tcPr>
            <w:tcW w:w="1515" w:type="dxa"/>
            <w:gridSpan w:val="3"/>
          </w:tcPr>
          <w:p w14:paraId="09C5C693">
            <w:pPr>
              <w:pStyle w:val="22"/>
              <w:rPr>
                <w:rFonts w:ascii="Times New Roman"/>
                <w:color w:val="auto"/>
                <w:sz w:val="20"/>
              </w:rPr>
            </w:pPr>
          </w:p>
        </w:tc>
        <w:tc>
          <w:tcPr>
            <w:tcW w:w="1612" w:type="dxa"/>
            <w:gridSpan w:val="2"/>
          </w:tcPr>
          <w:p w14:paraId="5B9CFB19">
            <w:pPr>
              <w:pStyle w:val="22"/>
              <w:rPr>
                <w:rFonts w:ascii="Times New Roman"/>
                <w:color w:val="auto"/>
                <w:sz w:val="20"/>
              </w:rPr>
            </w:pPr>
          </w:p>
        </w:tc>
        <w:tc>
          <w:tcPr>
            <w:tcW w:w="1481" w:type="dxa"/>
          </w:tcPr>
          <w:p w14:paraId="54813F32">
            <w:pPr>
              <w:pStyle w:val="22"/>
              <w:rPr>
                <w:rFonts w:ascii="Times New Roman"/>
                <w:color w:val="auto"/>
                <w:sz w:val="20"/>
              </w:rPr>
            </w:pPr>
          </w:p>
        </w:tc>
      </w:tr>
      <w:tr w14:paraId="165A1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627" w:type="dxa"/>
            <w:gridSpan w:val="2"/>
          </w:tcPr>
          <w:p w14:paraId="1B83FA2F">
            <w:pPr>
              <w:pStyle w:val="22"/>
              <w:spacing w:before="134"/>
              <w:ind w:left="392"/>
              <w:rPr>
                <w:color w:val="auto"/>
                <w:sz w:val="21"/>
              </w:rPr>
            </w:pPr>
            <w:r>
              <w:rPr>
                <w:color w:val="auto"/>
                <w:spacing w:val="-7"/>
                <w:sz w:val="21"/>
              </w:rPr>
              <w:t>竣工日期</w:t>
            </w:r>
          </w:p>
        </w:tc>
        <w:tc>
          <w:tcPr>
            <w:tcW w:w="1550" w:type="dxa"/>
            <w:gridSpan w:val="2"/>
          </w:tcPr>
          <w:p w14:paraId="7F5128BC">
            <w:pPr>
              <w:pStyle w:val="22"/>
              <w:rPr>
                <w:rFonts w:ascii="Times New Roman"/>
                <w:color w:val="auto"/>
                <w:sz w:val="20"/>
              </w:rPr>
            </w:pPr>
          </w:p>
        </w:tc>
        <w:tc>
          <w:tcPr>
            <w:tcW w:w="1840" w:type="dxa"/>
            <w:gridSpan w:val="3"/>
          </w:tcPr>
          <w:p w14:paraId="1C9D004A">
            <w:pPr>
              <w:pStyle w:val="22"/>
              <w:rPr>
                <w:rFonts w:ascii="Times New Roman"/>
                <w:color w:val="auto"/>
                <w:sz w:val="20"/>
              </w:rPr>
            </w:pPr>
          </w:p>
        </w:tc>
        <w:tc>
          <w:tcPr>
            <w:tcW w:w="1515" w:type="dxa"/>
            <w:gridSpan w:val="3"/>
          </w:tcPr>
          <w:p w14:paraId="73B52952">
            <w:pPr>
              <w:pStyle w:val="22"/>
              <w:rPr>
                <w:rFonts w:ascii="Times New Roman"/>
                <w:color w:val="auto"/>
                <w:sz w:val="20"/>
              </w:rPr>
            </w:pPr>
          </w:p>
        </w:tc>
        <w:tc>
          <w:tcPr>
            <w:tcW w:w="1612" w:type="dxa"/>
            <w:gridSpan w:val="2"/>
          </w:tcPr>
          <w:p w14:paraId="2F33723A">
            <w:pPr>
              <w:pStyle w:val="22"/>
              <w:rPr>
                <w:rFonts w:ascii="Times New Roman"/>
                <w:color w:val="auto"/>
                <w:sz w:val="20"/>
              </w:rPr>
            </w:pPr>
          </w:p>
        </w:tc>
        <w:tc>
          <w:tcPr>
            <w:tcW w:w="1481" w:type="dxa"/>
          </w:tcPr>
          <w:p w14:paraId="0B97F71E">
            <w:pPr>
              <w:pStyle w:val="22"/>
              <w:rPr>
                <w:rFonts w:ascii="Times New Roman"/>
                <w:color w:val="auto"/>
                <w:sz w:val="20"/>
              </w:rPr>
            </w:pPr>
          </w:p>
        </w:tc>
      </w:tr>
      <w:tr w14:paraId="3B405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1627" w:type="dxa"/>
            <w:gridSpan w:val="2"/>
          </w:tcPr>
          <w:p w14:paraId="7C4B94C0">
            <w:pPr>
              <w:pStyle w:val="22"/>
              <w:spacing w:before="135"/>
              <w:ind w:left="392"/>
              <w:rPr>
                <w:color w:val="auto"/>
                <w:sz w:val="21"/>
              </w:rPr>
            </w:pPr>
            <w:r>
              <w:rPr>
                <w:color w:val="auto"/>
                <w:spacing w:val="-7"/>
                <w:sz w:val="21"/>
              </w:rPr>
              <w:t>人员角色</w:t>
            </w:r>
          </w:p>
        </w:tc>
        <w:tc>
          <w:tcPr>
            <w:tcW w:w="1550" w:type="dxa"/>
            <w:gridSpan w:val="2"/>
          </w:tcPr>
          <w:p w14:paraId="769A9A05">
            <w:pPr>
              <w:pStyle w:val="22"/>
              <w:rPr>
                <w:rFonts w:ascii="Times New Roman"/>
                <w:color w:val="auto"/>
                <w:sz w:val="20"/>
              </w:rPr>
            </w:pPr>
          </w:p>
        </w:tc>
        <w:tc>
          <w:tcPr>
            <w:tcW w:w="1840" w:type="dxa"/>
            <w:gridSpan w:val="3"/>
          </w:tcPr>
          <w:p w14:paraId="0F138181">
            <w:pPr>
              <w:pStyle w:val="22"/>
              <w:rPr>
                <w:rFonts w:ascii="Times New Roman"/>
                <w:color w:val="auto"/>
                <w:sz w:val="20"/>
              </w:rPr>
            </w:pPr>
          </w:p>
        </w:tc>
        <w:tc>
          <w:tcPr>
            <w:tcW w:w="1515" w:type="dxa"/>
            <w:gridSpan w:val="3"/>
          </w:tcPr>
          <w:p w14:paraId="1FF7D0B2">
            <w:pPr>
              <w:pStyle w:val="22"/>
              <w:rPr>
                <w:rFonts w:ascii="Times New Roman"/>
                <w:color w:val="auto"/>
                <w:sz w:val="20"/>
              </w:rPr>
            </w:pPr>
          </w:p>
        </w:tc>
        <w:tc>
          <w:tcPr>
            <w:tcW w:w="1612" w:type="dxa"/>
            <w:gridSpan w:val="2"/>
          </w:tcPr>
          <w:p w14:paraId="7919A805">
            <w:pPr>
              <w:pStyle w:val="22"/>
              <w:rPr>
                <w:rFonts w:ascii="Times New Roman"/>
                <w:color w:val="auto"/>
                <w:sz w:val="20"/>
              </w:rPr>
            </w:pPr>
          </w:p>
        </w:tc>
        <w:tc>
          <w:tcPr>
            <w:tcW w:w="1481" w:type="dxa"/>
          </w:tcPr>
          <w:p w14:paraId="6C2B88EC">
            <w:pPr>
              <w:pStyle w:val="22"/>
              <w:rPr>
                <w:rFonts w:ascii="Times New Roman"/>
                <w:color w:val="auto"/>
                <w:sz w:val="20"/>
              </w:rPr>
            </w:pPr>
          </w:p>
        </w:tc>
      </w:tr>
      <w:tr w14:paraId="04335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627" w:type="dxa"/>
            <w:gridSpan w:val="2"/>
          </w:tcPr>
          <w:p w14:paraId="60681A1E">
            <w:pPr>
              <w:pStyle w:val="22"/>
              <w:spacing w:before="135"/>
              <w:ind w:left="286"/>
              <w:rPr>
                <w:color w:val="auto"/>
                <w:sz w:val="21"/>
              </w:rPr>
            </w:pPr>
            <w:r>
              <w:rPr>
                <w:color w:val="auto"/>
                <w:spacing w:val="-4"/>
                <w:sz w:val="21"/>
              </w:rPr>
              <w:t>在建或已完</w:t>
            </w:r>
          </w:p>
        </w:tc>
        <w:tc>
          <w:tcPr>
            <w:tcW w:w="1550" w:type="dxa"/>
            <w:gridSpan w:val="2"/>
          </w:tcPr>
          <w:p w14:paraId="0D9CD313">
            <w:pPr>
              <w:pStyle w:val="22"/>
              <w:rPr>
                <w:rFonts w:ascii="Times New Roman"/>
                <w:color w:val="auto"/>
                <w:sz w:val="20"/>
              </w:rPr>
            </w:pPr>
          </w:p>
        </w:tc>
        <w:tc>
          <w:tcPr>
            <w:tcW w:w="1840" w:type="dxa"/>
            <w:gridSpan w:val="3"/>
          </w:tcPr>
          <w:p w14:paraId="495B30B5">
            <w:pPr>
              <w:pStyle w:val="22"/>
              <w:rPr>
                <w:rFonts w:ascii="Times New Roman"/>
                <w:color w:val="auto"/>
                <w:sz w:val="20"/>
              </w:rPr>
            </w:pPr>
          </w:p>
        </w:tc>
        <w:tc>
          <w:tcPr>
            <w:tcW w:w="1515" w:type="dxa"/>
            <w:gridSpan w:val="3"/>
          </w:tcPr>
          <w:p w14:paraId="37FFA28B">
            <w:pPr>
              <w:pStyle w:val="22"/>
              <w:rPr>
                <w:rFonts w:ascii="Times New Roman"/>
                <w:color w:val="auto"/>
                <w:sz w:val="20"/>
              </w:rPr>
            </w:pPr>
          </w:p>
        </w:tc>
        <w:tc>
          <w:tcPr>
            <w:tcW w:w="1612" w:type="dxa"/>
            <w:gridSpan w:val="2"/>
          </w:tcPr>
          <w:p w14:paraId="6CF5330D">
            <w:pPr>
              <w:pStyle w:val="22"/>
              <w:rPr>
                <w:rFonts w:ascii="Times New Roman"/>
                <w:color w:val="auto"/>
                <w:sz w:val="20"/>
              </w:rPr>
            </w:pPr>
          </w:p>
        </w:tc>
        <w:tc>
          <w:tcPr>
            <w:tcW w:w="1481" w:type="dxa"/>
          </w:tcPr>
          <w:p w14:paraId="66A2990C">
            <w:pPr>
              <w:pStyle w:val="22"/>
              <w:rPr>
                <w:rFonts w:ascii="Times New Roman"/>
                <w:color w:val="auto"/>
                <w:sz w:val="20"/>
              </w:rPr>
            </w:pPr>
          </w:p>
        </w:tc>
      </w:tr>
      <w:tr w14:paraId="0D6ED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1627" w:type="dxa"/>
            <w:gridSpan w:val="2"/>
          </w:tcPr>
          <w:p w14:paraId="65041751">
            <w:pPr>
              <w:pStyle w:val="22"/>
              <w:spacing w:before="135"/>
              <w:ind w:left="392"/>
              <w:rPr>
                <w:color w:val="auto"/>
                <w:sz w:val="21"/>
              </w:rPr>
            </w:pPr>
            <w:r>
              <w:rPr>
                <w:color w:val="auto"/>
                <w:spacing w:val="-7"/>
                <w:sz w:val="21"/>
              </w:rPr>
              <w:t>工程质量</w:t>
            </w:r>
          </w:p>
        </w:tc>
        <w:tc>
          <w:tcPr>
            <w:tcW w:w="1550" w:type="dxa"/>
            <w:gridSpan w:val="2"/>
          </w:tcPr>
          <w:p w14:paraId="7DD3E206">
            <w:pPr>
              <w:pStyle w:val="22"/>
              <w:rPr>
                <w:rFonts w:ascii="Times New Roman"/>
                <w:color w:val="auto"/>
                <w:sz w:val="20"/>
              </w:rPr>
            </w:pPr>
          </w:p>
        </w:tc>
        <w:tc>
          <w:tcPr>
            <w:tcW w:w="1840" w:type="dxa"/>
            <w:gridSpan w:val="3"/>
          </w:tcPr>
          <w:p w14:paraId="25410ED6">
            <w:pPr>
              <w:pStyle w:val="22"/>
              <w:rPr>
                <w:rFonts w:ascii="Times New Roman"/>
                <w:color w:val="auto"/>
                <w:sz w:val="20"/>
              </w:rPr>
            </w:pPr>
          </w:p>
        </w:tc>
        <w:tc>
          <w:tcPr>
            <w:tcW w:w="1515" w:type="dxa"/>
            <w:gridSpan w:val="3"/>
          </w:tcPr>
          <w:p w14:paraId="4FE47987">
            <w:pPr>
              <w:pStyle w:val="22"/>
              <w:rPr>
                <w:rFonts w:ascii="Times New Roman"/>
                <w:color w:val="auto"/>
                <w:sz w:val="20"/>
              </w:rPr>
            </w:pPr>
          </w:p>
        </w:tc>
        <w:tc>
          <w:tcPr>
            <w:tcW w:w="1612" w:type="dxa"/>
            <w:gridSpan w:val="2"/>
          </w:tcPr>
          <w:p w14:paraId="4B282626">
            <w:pPr>
              <w:pStyle w:val="22"/>
              <w:rPr>
                <w:rFonts w:ascii="Times New Roman"/>
                <w:color w:val="auto"/>
                <w:sz w:val="20"/>
              </w:rPr>
            </w:pPr>
          </w:p>
        </w:tc>
        <w:tc>
          <w:tcPr>
            <w:tcW w:w="1481" w:type="dxa"/>
          </w:tcPr>
          <w:p w14:paraId="6BFDB84F">
            <w:pPr>
              <w:pStyle w:val="22"/>
              <w:rPr>
                <w:rFonts w:ascii="Times New Roman"/>
                <w:color w:val="auto"/>
                <w:sz w:val="20"/>
              </w:rPr>
            </w:pPr>
          </w:p>
        </w:tc>
      </w:tr>
      <w:tr w14:paraId="63A38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627" w:type="dxa"/>
            <w:gridSpan w:val="2"/>
          </w:tcPr>
          <w:p w14:paraId="460C145D">
            <w:pPr>
              <w:pStyle w:val="22"/>
              <w:spacing w:before="135"/>
              <w:ind w:left="392"/>
              <w:rPr>
                <w:color w:val="auto"/>
                <w:sz w:val="21"/>
              </w:rPr>
            </w:pPr>
            <w:r>
              <w:rPr>
                <w:color w:val="auto"/>
                <w:spacing w:val="-7"/>
                <w:sz w:val="21"/>
              </w:rPr>
              <w:t>受奖情况</w:t>
            </w:r>
          </w:p>
        </w:tc>
        <w:tc>
          <w:tcPr>
            <w:tcW w:w="1550" w:type="dxa"/>
            <w:gridSpan w:val="2"/>
          </w:tcPr>
          <w:p w14:paraId="75A9CC39">
            <w:pPr>
              <w:pStyle w:val="22"/>
              <w:rPr>
                <w:rFonts w:ascii="Times New Roman"/>
                <w:color w:val="auto"/>
                <w:sz w:val="20"/>
              </w:rPr>
            </w:pPr>
          </w:p>
        </w:tc>
        <w:tc>
          <w:tcPr>
            <w:tcW w:w="1840" w:type="dxa"/>
            <w:gridSpan w:val="3"/>
          </w:tcPr>
          <w:p w14:paraId="145F35D7">
            <w:pPr>
              <w:pStyle w:val="22"/>
              <w:rPr>
                <w:rFonts w:ascii="Times New Roman"/>
                <w:color w:val="auto"/>
                <w:sz w:val="20"/>
              </w:rPr>
            </w:pPr>
          </w:p>
        </w:tc>
        <w:tc>
          <w:tcPr>
            <w:tcW w:w="1515" w:type="dxa"/>
            <w:gridSpan w:val="3"/>
          </w:tcPr>
          <w:p w14:paraId="12F7D25E">
            <w:pPr>
              <w:pStyle w:val="22"/>
              <w:rPr>
                <w:rFonts w:ascii="Times New Roman"/>
                <w:color w:val="auto"/>
                <w:sz w:val="20"/>
              </w:rPr>
            </w:pPr>
          </w:p>
        </w:tc>
        <w:tc>
          <w:tcPr>
            <w:tcW w:w="1612" w:type="dxa"/>
            <w:gridSpan w:val="2"/>
          </w:tcPr>
          <w:p w14:paraId="19B88FAF">
            <w:pPr>
              <w:pStyle w:val="22"/>
              <w:rPr>
                <w:rFonts w:ascii="Times New Roman"/>
                <w:color w:val="auto"/>
                <w:sz w:val="20"/>
              </w:rPr>
            </w:pPr>
          </w:p>
        </w:tc>
        <w:tc>
          <w:tcPr>
            <w:tcW w:w="1481" w:type="dxa"/>
          </w:tcPr>
          <w:p w14:paraId="4DFF802E">
            <w:pPr>
              <w:pStyle w:val="22"/>
              <w:rPr>
                <w:rFonts w:ascii="Times New Roman"/>
                <w:color w:val="auto"/>
                <w:sz w:val="20"/>
              </w:rPr>
            </w:pPr>
          </w:p>
        </w:tc>
      </w:tr>
    </w:tbl>
    <w:p w14:paraId="586867E6">
      <w:pPr>
        <w:pStyle w:val="12"/>
        <w:spacing w:before="0"/>
        <w:rPr>
          <w:color w:val="auto"/>
        </w:rPr>
      </w:pPr>
      <w:r>
        <w:rPr>
          <w:color w:val="auto"/>
          <w:spacing w:val="-5"/>
        </w:rPr>
        <w:t>备注：</w:t>
      </w:r>
    </w:p>
    <w:p w14:paraId="22F0A9F5">
      <w:pPr>
        <w:pStyle w:val="21"/>
        <w:numPr>
          <w:ilvl w:val="0"/>
          <w:numId w:val="59"/>
        </w:numPr>
        <w:tabs>
          <w:tab w:val="left" w:pos="1416"/>
        </w:tabs>
        <w:spacing w:before="1" w:after="0" w:line="240" w:lineRule="auto"/>
        <w:ind w:left="1416" w:right="0" w:hanging="208"/>
        <w:jc w:val="left"/>
        <w:rPr>
          <w:color w:val="auto"/>
          <w:sz w:val="21"/>
        </w:rPr>
      </w:pPr>
      <w:r>
        <w:rPr>
          <w:color w:val="auto"/>
          <w:spacing w:val="-3"/>
          <w:sz w:val="21"/>
        </w:rPr>
        <w:t>项目数可以根据需要增加。</w:t>
      </w:r>
    </w:p>
    <w:p w14:paraId="6DB9D01A">
      <w:pPr>
        <w:pStyle w:val="21"/>
        <w:numPr>
          <w:ilvl w:val="0"/>
          <w:numId w:val="59"/>
        </w:numPr>
        <w:tabs>
          <w:tab w:val="left" w:pos="1416"/>
        </w:tabs>
        <w:spacing w:before="135" w:after="0" w:line="357" w:lineRule="auto"/>
        <w:ind w:left="788" w:right="791" w:firstLine="420"/>
        <w:jc w:val="left"/>
        <w:rPr>
          <w:color w:val="auto"/>
          <w:sz w:val="21"/>
        </w:rPr>
      </w:pPr>
      <w:r>
        <w:rPr>
          <w:color w:val="auto"/>
          <w:sz w:val="21"/>
        </w:rPr>
        <w:t>本表后附项目经理的学历证、安全生产考核合格证（B</w:t>
      </w:r>
      <w:r>
        <w:rPr>
          <w:color w:val="auto"/>
          <w:spacing w:val="-26"/>
          <w:sz w:val="21"/>
        </w:rPr>
        <w:t xml:space="preserve"> 类</w:t>
      </w:r>
      <w:r>
        <w:rPr>
          <w:color w:val="auto"/>
          <w:sz w:val="21"/>
        </w:rPr>
        <w:t>）、本表所列证书复印件并加盖</w:t>
      </w:r>
      <w:r>
        <w:rPr>
          <w:color w:val="auto"/>
          <w:spacing w:val="-2"/>
          <w:sz w:val="21"/>
        </w:rPr>
        <w:t>供应商电子签章。</w:t>
      </w:r>
    </w:p>
    <w:p w14:paraId="50029B95">
      <w:pPr>
        <w:spacing w:after="0" w:line="357" w:lineRule="auto"/>
        <w:jc w:val="left"/>
        <w:rPr>
          <w:color w:val="auto"/>
          <w:sz w:val="21"/>
        </w:rPr>
        <w:sectPr>
          <w:pgSz w:w="11910" w:h="16840"/>
          <w:pgMar w:top="1380" w:right="740" w:bottom="1180" w:left="800" w:header="0" w:footer="989" w:gutter="0"/>
          <w:cols w:space="720" w:num="1"/>
        </w:sectPr>
      </w:pPr>
    </w:p>
    <w:p w14:paraId="6ACF171B">
      <w:pPr>
        <w:pStyle w:val="9"/>
        <w:spacing w:after="3"/>
        <w:ind w:left="3253"/>
        <w:jc w:val="left"/>
        <w:rPr>
          <w:color w:val="auto"/>
        </w:rPr>
      </w:pPr>
      <w:r>
        <w:rPr>
          <w:color w:val="auto"/>
          <w:spacing w:val="-2"/>
        </w:rPr>
        <w:t>项目技术负责人（项目总工）</w:t>
      </w:r>
      <w:r>
        <w:rPr>
          <w:color w:val="auto"/>
          <w:spacing w:val="-5"/>
        </w:rPr>
        <w:t>简历表</w:t>
      </w:r>
    </w:p>
    <w:tbl>
      <w:tblPr>
        <w:tblStyle w:val="16"/>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4"/>
        <w:gridCol w:w="164"/>
        <w:gridCol w:w="308"/>
        <w:gridCol w:w="880"/>
        <w:gridCol w:w="668"/>
        <w:gridCol w:w="320"/>
        <w:gridCol w:w="234"/>
        <w:gridCol w:w="1283"/>
        <w:gridCol w:w="134"/>
        <w:gridCol w:w="242"/>
        <w:gridCol w:w="1136"/>
        <w:gridCol w:w="449"/>
        <w:gridCol w:w="1161"/>
        <w:gridCol w:w="1480"/>
      </w:tblGrid>
      <w:tr w14:paraId="1E98A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154" w:type="dxa"/>
          </w:tcPr>
          <w:p w14:paraId="7D07D96F">
            <w:pPr>
              <w:pStyle w:val="22"/>
              <w:spacing w:before="160"/>
              <w:ind w:left="6"/>
              <w:jc w:val="center"/>
              <w:rPr>
                <w:color w:val="auto"/>
                <w:sz w:val="21"/>
              </w:rPr>
            </w:pPr>
            <w:r>
              <w:rPr>
                <w:color w:val="auto"/>
                <w:spacing w:val="-8"/>
                <w:sz w:val="21"/>
              </w:rPr>
              <w:t>姓名</w:t>
            </w:r>
          </w:p>
        </w:tc>
        <w:tc>
          <w:tcPr>
            <w:tcW w:w="2340" w:type="dxa"/>
            <w:gridSpan w:val="5"/>
          </w:tcPr>
          <w:p w14:paraId="6CA3E4BE">
            <w:pPr>
              <w:pStyle w:val="22"/>
              <w:rPr>
                <w:rFonts w:ascii="Times New Roman"/>
                <w:color w:val="auto"/>
                <w:sz w:val="20"/>
              </w:rPr>
            </w:pPr>
          </w:p>
        </w:tc>
        <w:tc>
          <w:tcPr>
            <w:tcW w:w="1893" w:type="dxa"/>
            <w:gridSpan w:val="4"/>
          </w:tcPr>
          <w:p w14:paraId="39DC8E13">
            <w:pPr>
              <w:pStyle w:val="22"/>
              <w:spacing w:before="160"/>
              <w:ind w:left="7"/>
              <w:jc w:val="center"/>
              <w:rPr>
                <w:color w:val="auto"/>
                <w:sz w:val="21"/>
              </w:rPr>
            </w:pPr>
            <w:r>
              <w:rPr>
                <w:color w:val="auto"/>
                <w:spacing w:val="-8"/>
                <w:sz w:val="21"/>
              </w:rPr>
              <w:t>性别</w:t>
            </w:r>
          </w:p>
        </w:tc>
        <w:tc>
          <w:tcPr>
            <w:tcW w:w="1585" w:type="dxa"/>
            <w:gridSpan w:val="2"/>
          </w:tcPr>
          <w:p w14:paraId="565F1497">
            <w:pPr>
              <w:pStyle w:val="22"/>
              <w:rPr>
                <w:rFonts w:ascii="Times New Roman"/>
                <w:color w:val="auto"/>
                <w:sz w:val="20"/>
              </w:rPr>
            </w:pPr>
          </w:p>
        </w:tc>
        <w:tc>
          <w:tcPr>
            <w:tcW w:w="1161" w:type="dxa"/>
          </w:tcPr>
          <w:p w14:paraId="075D44DE">
            <w:pPr>
              <w:pStyle w:val="22"/>
              <w:spacing w:before="160"/>
              <w:ind w:left="2" w:right="44"/>
              <w:jc w:val="center"/>
              <w:rPr>
                <w:color w:val="auto"/>
                <w:sz w:val="21"/>
              </w:rPr>
            </w:pPr>
            <w:r>
              <w:rPr>
                <w:color w:val="auto"/>
                <w:spacing w:val="-8"/>
                <w:sz w:val="21"/>
              </w:rPr>
              <w:t>年龄</w:t>
            </w:r>
          </w:p>
        </w:tc>
        <w:tc>
          <w:tcPr>
            <w:tcW w:w="1480" w:type="dxa"/>
          </w:tcPr>
          <w:p w14:paraId="1955C76A">
            <w:pPr>
              <w:pStyle w:val="22"/>
              <w:rPr>
                <w:rFonts w:ascii="Times New Roman"/>
                <w:color w:val="auto"/>
                <w:sz w:val="20"/>
              </w:rPr>
            </w:pPr>
          </w:p>
        </w:tc>
      </w:tr>
      <w:tr w14:paraId="31030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1154" w:type="dxa"/>
          </w:tcPr>
          <w:p w14:paraId="0C74E03E">
            <w:pPr>
              <w:pStyle w:val="22"/>
              <w:spacing w:before="172"/>
              <w:ind w:left="6"/>
              <w:jc w:val="center"/>
              <w:rPr>
                <w:color w:val="auto"/>
                <w:sz w:val="21"/>
              </w:rPr>
            </w:pPr>
            <w:r>
              <w:rPr>
                <w:color w:val="auto"/>
                <w:spacing w:val="-8"/>
                <w:sz w:val="21"/>
              </w:rPr>
              <w:t>岗位</w:t>
            </w:r>
          </w:p>
        </w:tc>
        <w:tc>
          <w:tcPr>
            <w:tcW w:w="2340" w:type="dxa"/>
            <w:gridSpan w:val="5"/>
          </w:tcPr>
          <w:p w14:paraId="18FE314A">
            <w:pPr>
              <w:pStyle w:val="22"/>
              <w:spacing w:before="35"/>
              <w:ind w:left="853" w:right="110" w:hanging="735"/>
              <w:rPr>
                <w:color w:val="auto"/>
                <w:sz w:val="21"/>
              </w:rPr>
            </w:pPr>
            <w:r>
              <w:rPr>
                <w:color w:val="auto"/>
                <w:spacing w:val="-2"/>
                <w:sz w:val="21"/>
              </w:rPr>
              <w:t>项目技术负责人（项目</w:t>
            </w:r>
            <w:r>
              <w:rPr>
                <w:color w:val="auto"/>
                <w:spacing w:val="-4"/>
                <w:sz w:val="21"/>
              </w:rPr>
              <w:t>总工）</w:t>
            </w:r>
          </w:p>
        </w:tc>
        <w:tc>
          <w:tcPr>
            <w:tcW w:w="1893" w:type="dxa"/>
            <w:gridSpan w:val="4"/>
          </w:tcPr>
          <w:p w14:paraId="7AD58C33">
            <w:pPr>
              <w:pStyle w:val="22"/>
              <w:spacing w:before="172"/>
              <w:ind w:left="7"/>
              <w:jc w:val="center"/>
              <w:rPr>
                <w:color w:val="auto"/>
                <w:sz w:val="21"/>
              </w:rPr>
            </w:pPr>
            <w:r>
              <w:rPr>
                <w:color w:val="auto"/>
                <w:spacing w:val="-8"/>
                <w:sz w:val="21"/>
              </w:rPr>
              <w:t>职称</w:t>
            </w:r>
          </w:p>
        </w:tc>
        <w:tc>
          <w:tcPr>
            <w:tcW w:w="1585" w:type="dxa"/>
            <w:gridSpan w:val="2"/>
          </w:tcPr>
          <w:p w14:paraId="7F32A37D">
            <w:pPr>
              <w:pStyle w:val="22"/>
              <w:rPr>
                <w:rFonts w:ascii="Times New Roman"/>
                <w:color w:val="auto"/>
                <w:sz w:val="20"/>
              </w:rPr>
            </w:pPr>
          </w:p>
        </w:tc>
        <w:tc>
          <w:tcPr>
            <w:tcW w:w="1161" w:type="dxa"/>
          </w:tcPr>
          <w:p w14:paraId="16C05E33">
            <w:pPr>
              <w:pStyle w:val="22"/>
              <w:spacing w:before="172"/>
              <w:ind w:left="2" w:right="44"/>
              <w:jc w:val="center"/>
              <w:rPr>
                <w:color w:val="auto"/>
                <w:sz w:val="21"/>
              </w:rPr>
            </w:pPr>
            <w:r>
              <w:rPr>
                <w:color w:val="auto"/>
                <w:spacing w:val="-8"/>
                <w:sz w:val="21"/>
              </w:rPr>
              <w:t>学历</w:t>
            </w:r>
          </w:p>
        </w:tc>
        <w:tc>
          <w:tcPr>
            <w:tcW w:w="1480" w:type="dxa"/>
          </w:tcPr>
          <w:p w14:paraId="6518D7FE">
            <w:pPr>
              <w:pStyle w:val="22"/>
              <w:rPr>
                <w:rFonts w:ascii="Times New Roman"/>
                <w:color w:val="auto"/>
                <w:sz w:val="20"/>
              </w:rPr>
            </w:pPr>
          </w:p>
        </w:tc>
      </w:tr>
      <w:tr w14:paraId="0FEF0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1154" w:type="dxa"/>
          </w:tcPr>
          <w:p w14:paraId="51C69231">
            <w:pPr>
              <w:pStyle w:val="22"/>
              <w:spacing w:before="36"/>
              <w:ind w:left="366" w:right="146" w:hanging="209"/>
              <w:rPr>
                <w:color w:val="auto"/>
                <w:sz w:val="21"/>
              </w:rPr>
            </w:pPr>
            <w:r>
              <w:rPr>
                <w:color w:val="auto"/>
                <w:spacing w:val="-4"/>
                <w:sz w:val="21"/>
              </w:rPr>
              <w:t>从业开始</w:t>
            </w:r>
            <w:r>
              <w:rPr>
                <w:color w:val="auto"/>
                <w:spacing w:val="-6"/>
                <w:sz w:val="21"/>
              </w:rPr>
              <w:t>时间</w:t>
            </w:r>
          </w:p>
        </w:tc>
        <w:tc>
          <w:tcPr>
            <w:tcW w:w="2340" w:type="dxa"/>
            <w:gridSpan w:val="5"/>
          </w:tcPr>
          <w:p w14:paraId="7F129050">
            <w:pPr>
              <w:pStyle w:val="22"/>
              <w:rPr>
                <w:rFonts w:ascii="Times New Roman"/>
                <w:color w:val="auto"/>
                <w:sz w:val="20"/>
              </w:rPr>
            </w:pPr>
          </w:p>
        </w:tc>
        <w:tc>
          <w:tcPr>
            <w:tcW w:w="1893" w:type="dxa"/>
            <w:gridSpan w:val="4"/>
          </w:tcPr>
          <w:p w14:paraId="096A2607">
            <w:pPr>
              <w:pStyle w:val="22"/>
              <w:spacing w:before="173"/>
              <w:ind w:left="316"/>
              <w:rPr>
                <w:color w:val="auto"/>
                <w:sz w:val="21"/>
              </w:rPr>
            </w:pPr>
            <w:r>
              <w:rPr>
                <w:color w:val="auto"/>
                <w:spacing w:val="-4"/>
                <w:sz w:val="21"/>
              </w:rPr>
              <w:t>职称获得时间</w:t>
            </w:r>
          </w:p>
        </w:tc>
        <w:tc>
          <w:tcPr>
            <w:tcW w:w="1585" w:type="dxa"/>
            <w:gridSpan w:val="2"/>
          </w:tcPr>
          <w:p w14:paraId="64016153">
            <w:pPr>
              <w:pStyle w:val="22"/>
              <w:rPr>
                <w:rFonts w:ascii="Times New Roman"/>
                <w:color w:val="auto"/>
                <w:sz w:val="20"/>
              </w:rPr>
            </w:pPr>
          </w:p>
        </w:tc>
        <w:tc>
          <w:tcPr>
            <w:tcW w:w="1161" w:type="dxa"/>
          </w:tcPr>
          <w:p w14:paraId="4589A895">
            <w:pPr>
              <w:pStyle w:val="22"/>
              <w:spacing w:before="173"/>
              <w:ind w:right="44"/>
              <w:jc w:val="center"/>
              <w:rPr>
                <w:color w:val="auto"/>
                <w:sz w:val="21"/>
              </w:rPr>
            </w:pPr>
            <w:r>
              <w:rPr>
                <w:color w:val="auto"/>
                <w:spacing w:val="-7"/>
                <w:sz w:val="21"/>
              </w:rPr>
              <w:t>毕业时间</w:t>
            </w:r>
          </w:p>
        </w:tc>
        <w:tc>
          <w:tcPr>
            <w:tcW w:w="1480" w:type="dxa"/>
          </w:tcPr>
          <w:p w14:paraId="586E98E3">
            <w:pPr>
              <w:pStyle w:val="22"/>
              <w:rPr>
                <w:rFonts w:ascii="Times New Roman"/>
                <w:color w:val="auto"/>
                <w:sz w:val="20"/>
              </w:rPr>
            </w:pPr>
          </w:p>
        </w:tc>
      </w:tr>
      <w:tr w14:paraId="6C58B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318" w:type="dxa"/>
            <w:gridSpan w:val="2"/>
          </w:tcPr>
          <w:p w14:paraId="5D066AF5">
            <w:pPr>
              <w:pStyle w:val="22"/>
              <w:spacing w:before="24"/>
              <w:ind w:left="553" w:right="123" w:hanging="420"/>
              <w:rPr>
                <w:color w:val="auto"/>
                <w:sz w:val="21"/>
              </w:rPr>
            </w:pPr>
            <w:r>
              <w:rPr>
                <w:color w:val="auto"/>
                <w:spacing w:val="-2"/>
                <w:sz w:val="21"/>
              </w:rPr>
              <w:t>担任……年</w:t>
            </w:r>
            <w:r>
              <w:rPr>
                <w:color w:val="auto"/>
                <w:spacing w:val="-10"/>
                <w:sz w:val="21"/>
              </w:rPr>
              <w:t>限</w:t>
            </w:r>
          </w:p>
        </w:tc>
        <w:tc>
          <w:tcPr>
            <w:tcW w:w="2410" w:type="dxa"/>
            <w:gridSpan w:val="5"/>
          </w:tcPr>
          <w:p w14:paraId="46341D3B">
            <w:pPr>
              <w:pStyle w:val="22"/>
              <w:rPr>
                <w:rFonts w:ascii="Times New Roman"/>
                <w:color w:val="auto"/>
                <w:sz w:val="20"/>
              </w:rPr>
            </w:pPr>
          </w:p>
        </w:tc>
        <w:tc>
          <w:tcPr>
            <w:tcW w:w="1283" w:type="dxa"/>
          </w:tcPr>
          <w:p w14:paraId="05134259">
            <w:pPr>
              <w:pStyle w:val="22"/>
              <w:spacing w:before="24"/>
              <w:ind w:left="569" w:right="180" w:hanging="317"/>
              <w:rPr>
                <w:color w:val="auto"/>
                <w:sz w:val="21"/>
              </w:rPr>
            </w:pPr>
            <w:r>
              <w:rPr>
                <w:color w:val="auto"/>
                <w:spacing w:val="-4"/>
                <w:sz w:val="21"/>
              </w:rPr>
              <w:t>身份证号</w:t>
            </w:r>
            <w:r>
              <w:rPr>
                <w:color w:val="auto"/>
                <w:spacing w:val="-10"/>
                <w:sz w:val="21"/>
              </w:rPr>
              <w:t>码</w:t>
            </w:r>
          </w:p>
        </w:tc>
        <w:tc>
          <w:tcPr>
            <w:tcW w:w="4602" w:type="dxa"/>
            <w:gridSpan w:val="6"/>
          </w:tcPr>
          <w:p w14:paraId="58590422">
            <w:pPr>
              <w:pStyle w:val="22"/>
              <w:rPr>
                <w:rFonts w:ascii="Times New Roman"/>
                <w:color w:val="auto"/>
                <w:sz w:val="20"/>
              </w:rPr>
            </w:pPr>
          </w:p>
        </w:tc>
      </w:tr>
      <w:tr w14:paraId="1E632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318" w:type="dxa"/>
            <w:gridSpan w:val="2"/>
          </w:tcPr>
          <w:p w14:paraId="353FDBF4">
            <w:pPr>
              <w:pStyle w:val="22"/>
              <w:spacing w:before="161"/>
              <w:ind w:left="238"/>
              <w:rPr>
                <w:color w:val="auto"/>
                <w:sz w:val="21"/>
              </w:rPr>
            </w:pPr>
            <w:r>
              <w:rPr>
                <w:color w:val="auto"/>
                <w:spacing w:val="-7"/>
                <w:sz w:val="21"/>
              </w:rPr>
              <w:t>证书名称</w:t>
            </w:r>
          </w:p>
        </w:tc>
        <w:tc>
          <w:tcPr>
            <w:tcW w:w="1188" w:type="dxa"/>
            <w:gridSpan w:val="2"/>
          </w:tcPr>
          <w:p w14:paraId="7F0C183B">
            <w:pPr>
              <w:pStyle w:val="22"/>
              <w:spacing w:before="161"/>
              <w:ind w:left="173"/>
              <w:rPr>
                <w:color w:val="auto"/>
                <w:sz w:val="21"/>
              </w:rPr>
            </w:pPr>
            <w:r>
              <w:rPr>
                <w:color w:val="auto"/>
                <w:spacing w:val="-7"/>
                <w:sz w:val="21"/>
              </w:rPr>
              <w:t>注册专业</w:t>
            </w:r>
          </w:p>
        </w:tc>
        <w:tc>
          <w:tcPr>
            <w:tcW w:w="1222" w:type="dxa"/>
            <w:gridSpan w:val="3"/>
          </w:tcPr>
          <w:p w14:paraId="308EA123">
            <w:pPr>
              <w:pStyle w:val="22"/>
              <w:spacing w:before="161"/>
              <w:ind w:left="401"/>
              <w:rPr>
                <w:color w:val="auto"/>
                <w:sz w:val="21"/>
              </w:rPr>
            </w:pPr>
            <w:r>
              <w:rPr>
                <w:color w:val="auto"/>
                <w:spacing w:val="-8"/>
                <w:sz w:val="21"/>
              </w:rPr>
              <w:t>级别</w:t>
            </w:r>
          </w:p>
        </w:tc>
        <w:tc>
          <w:tcPr>
            <w:tcW w:w="1417" w:type="dxa"/>
            <w:gridSpan w:val="2"/>
          </w:tcPr>
          <w:p w14:paraId="40FB637C">
            <w:pPr>
              <w:pStyle w:val="22"/>
              <w:spacing w:before="161"/>
              <w:ind w:left="288"/>
              <w:rPr>
                <w:color w:val="auto"/>
                <w:sz w:val="21"/>
              </w:rPr>
            </w:pPr>
            <w:r>
              <w:rPr>
                <w:color w:val="auto"/>
                <w:spacing w:val="-7"/>
                <w:sz w:val="21"/>
              </w:rPr>
              <w:t>证书编号</w:t>
            </w:r>
          </w:p>
        </w:tc>
        <w:tc>
          <w:tcPr>
            <w:tcW w:w="1378" w:type="dxa"/>
            <w:gridSpan w:val="2"/>
          </w:tcPr>
          <w:p w14:paraId="504F3EE8">
            <w:pPr>
              <w:pStyle w:val="22"/>
              <w:spacing w:before="161"/>
              <w:ind w:left="287"/>
              <w:rPr>
                <w:color w:val="auto"/>
                <w:sz w:val="21"/>
              </w:rPr>
            </w:pPr>
            <w:r>
              <w:rPr>
                <w:color w:val="auto"/>
                <w:spacing w:val="-7"/>
                <w:sz w:val="21"/>
              </w:rPr>
              <w:t>注册时间</w:t>
            </w:r>
          </w:p>
        </w:tc>
        <w:tc>
          <w:tcPr>
            <w:tcW w:w="1610" w:type="dxa"/>
            <w:gridSpan w:val="2"/>
          </w:tcPr>
          <w:p w14:paraId="456C270F">
            <w:pPr>
              <w:pStyle w:val="22"/>
              <w:spacing w:before="161"/>
              <w:ind w:left="435"/>
              <w:rPr>
                <w:color w:val="auto"/>
                <w:sz w:val="21"/>
              </w:rPr>
            </w:pPr>
            <w:r>
              <w:rPr>
                <w:color w:val="auto"/>
                <w:spacing w:val="-7"/>
                <w:sz w:val="21"/>
              </w:rPr>
              <w:t>注册单位</w:t>
            </w:r>
          </w:p>
        </w:tc>
        <w:tc>
          <w:tcPr>
            <w:tcW w:w="1480" w:type="dxa"/>
          </w:tcPr>
          <w:p w14:paraId="056BF78C">
            <w:pPr>
              <w:pStyle w:val="22"/>
              <w:spacing w:before="161"/>
              <w:ind w:left="81" w:right="4"/>
              <w:jc w:val="center"/>
              <w:rPr>
                <w:color w:val="auto"/>
                <w:sz w:val="21"/>
              </w:rPr>
            </w:pPr>
            <w:r>
              <w:rPr>
                <w:color w:val="auto"/>
                <w:spacing w:val="-4"/>
                <w:sz w:val="21"/>
              </w:rPr>
              <w:t>注册有效期</w:t>
            </w:r>
          </w:p>
        </w:tc>
      </w:tr>
      <w:tr w14:paraId="15F2C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318" w:type="dxa"/>
            <w:gridSpan w:val="2"/>
          </w:tcPr>
          <w:p w14:paraId="17D1FFCA">
            <w:pPr>
              <w:pStyle w:val="22"/>
              <w:rPr>
                <w:rFonts w:ascii="Times New Roman"/>
                <w:color w:val="auto"/>
                <w:sz w:val="20"/>
              </w:rPr>
            </w:pPr>
          </w:p>
        </w:tc>
        <w:tc>
          <w:tcPr>
            <w:tcW w:w="1188" w:type="dxa"/>
            <w:gridSpan w:val="2"/>
          </w:tcPr>
          <w:p w14:paraId="42E3CA8D">
            <w:pPr>
              <w:pStyle w:val="22"/>
              <w:rPr>
                <w:rFonts w:ascii="Times New Roman"/>
                <w:color w:val="auto"/>
                <w:sz w:val="20"/>
              </w:rPr>
            </w:pPr>
          </w:p>
        </w:tc>
        <w:tc>
          <w:tcPr>
            <w:tcW w:w="1222" w:type="dxa"/>
            <w:gridSpan w:val="3"/>
          </w:tcPr>
          <w:p w14:paraId="56071C1B">
            <w:pPr>
              <w:pStyle w:val="22"/>
              <w:rPr>
                <w:rFonts w:ascii="Times New Roman"/>
                <w:color w:val="auto"/>
                <w:sz w:val="20"/>
              </w:rPr>
            </w:pPr>
          </w:p>
        </w:tc>
        <w:tc>
          <w:tcPr>
            <w:tcW w:w="1417" w:type="dxa"/>
            <w:gridSpan w:val="2"/>
          </w:tcPr>
          <w:p w14:paraId="76D3E125">
            <w:pPr>
              <w:pStyle w:val="22"/>
              <w:rPr>
                <w:rFonts w:ascii="Times New Roman"/>
                <w:color w:val="auto"/>
                <w:sz w:val="20"/>
              </w:rPr>
            </w:pPr>
          </w:p>
        </w:tc>
        <w:tc>
          <w:tcPr>
            <w:tcW w:w="1378" w:type="dxa"/>
            <w:gridSpan w:val="2"/>
          </w:tcPr>
          <w:p w14:paraId="57166265">
            <w:pPr>
              <w:pStyle w:val="22"/>
              <w:rPr>
                <w:rFonts w:ascii="Times New Roman"/>
                <w:color w:val="auto"/>
                <w:sz w:val="20"/>
              </w:rPr>
            </w:pPr>
          </w:p>
        </w:tc>
        <w:tc>
          <w:tcPr>
            <w:tcW w:w="1610" w:type="dxa"/>
            <w:gridSpan w:val="2"/>
          </w:tcPr>
          <w:p w14:paraId="5621728D">
            <w:pPr>
              <w:pStyle w:val="22"/>
              <w:rPr>
                <w:rFonts w:ascii="Times New Roman"/>
                <w:color w:val="auto"/>
                <w:sz w:val="20"/>
              </w:rPr>
            </w:pPr>
          </w:p>
        </w:tc>
        <w:tc>
          <w:tcPr>
            <w:tcW w:w="1480" w:type="dxa"/>
          </w:tcPr>
          <w:p w14:paraId="7F3CA3B3">
            <w:pPr>
              <w:pStyle w:val="22"/>
              <w:rPr>
                <w:rFonts w:ascii="Times New Roman"/>
                <w:color w:val="auto"/>
                <w:sz w:val="20"/>
              </w:rPr>
            </w:pPr>
          </w:p>
        </w:tc>
      </w:tr>
      <w:tr w14:paraId="0AC07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318" w:type="dxa"/>
            <w:gridSpan w:val="2"/>
          </w:tcPr>
          <w:p w14:paraId="357C5833">
            <w:pPr>
              <w:pStyle w:val="22"/>
              <w:rPr>
                <w:rFonts w:ascii="Times New Roman"/>
                <w:color w:val="auto"/>
                <w:sz w:val="20"/>
              </w:rPr>
            </w:pPr>
          </w:p>
        </w:tc>
        <w:tc>
          <w:tcPr>
            <w:tcW w:w="1188" w:type="dxa"/>
            <w:gridSpan w:val="2"/>
          </w:tcPr>
          <w:p w14:paraId="3FC7341C">
            <w:pPr>
              <w:pStyle w:val="22"/>
              <w:rPr>
                <w:rFonts w:ascii="Times New Roman"/>
                <w:color w:val="auto"/>
                <w:sz w:val="20"/>
              </w:rPr>
            </w:pPr>
          </w:p>
        </w:tc>
        <w:tc>
          <w:tcPr>
            <w:tcW w:w="1222" w:type="dxa"/>
            <w:gridSpan w:val="3"/>
          </w:tcPr>
          <w:p w14:paraId="0D4E4A6A">
            <w:pPr>
              <w:pStyle w:val="22"/>
              <w:rPr>
                <w:rFonts w:ascii="Times New Roman"/>
                <w:color w:val="auto"/>
                <w:sz w:val="20"/>
              </w:rPr>
            </w:pPr>
          </w:p>
        </w:tc>
        <w:tc>
          <w:tcPr>
            <w:tcW w:w="1417" w:type="dxa"/>
            <w:gridSpan w:val="2"/>
          </w:tcPr>
          <w:p w14:paraId="7A231515">
            <w:pPr>
              <w:pStyle w:val="22"/>
              <w:rPr>
                <w:rFonts w:ascii="Times New Roman"/>
                <w:color w:val="auto"/>
                <w:sz w:val="20"/>
              </w:rPr>
            </w:pPr>
          </w:p>
        </w:tc>
        <w:tc>
          <w:tcPr>
            <w:tcW w:w="1378" w:type="dxa"/>
            <w:gridSpan w:val="2"/>
          </w:tcPr>
          <w:p w14:paraId="3B228B53">
            <w:pPr>
              <w:pStyle w:val="22"/>
              <w:rPr>
                <w:rFonts w:ascii="Times New Roman"/>
                <w:color w:val="auto"/>
                <w:sz w:val="20"/>
              </w:rPr>
            </w:pPr>
          </w:p>
        </w:tc>
        <w:tc>
          <w:tcPr>
            <w:tcW w:w="1610" w:type="dxa"/>
            <w:gridSpan w:val="2"/>
          </w:tcPr>
          <w:p w14:paraId="6490C3E3">
            <w:pPr>
              <w:pStyle w:val="22"/>
              <w:rPr>
                <w:rFonts w:ascii="Times New Roman"/>
                <w:color w:val="auto"/>
                <w:sz w:val="20"/>
              </w:rPr>
            </w:pPr>
          </w:p>
        </w:tc>
        <w:tc>
          <w:tcPr>
            <w:tcW w:w="1480" w:type="dxa"/>
          </w:tcPr>
          <w:p w14:paraId="03737A2D">
            <w:pPr>
              <w:pStyle w:val="22"/>
              <w:rPr>
                <w:rFonts w:ascii="Times New Roman"/>
                <w:color w:val="auto"/>
                <w:sz w:val="20"/>
              </w:rPr>
            </w:pPr>
          </w:p>
        </w:tc>
      </w:tr>
      <w:tr w14:paraId="09B02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9613" w:type="dxa"/>
            <w:gridSpan w:val="14"/>
          </w:tcPr>
          <w:p w14:paraId="203BA710">
            <w:pPr>
              <w:pStyle w:val="22"/>
              <w:spacing w:before="169"/>
              <w:ind w:left="14"/>
              <w:jc w:val="center"/>
              <w:rPr>
                <w:color w:val="auto"/>
                <w:sz w:val="21"/>
              </w:rPr>
            </w:pPr>
            <w:r>
              <w:rPr>
                <w:color w:val="auto"/>
                <w:spacing w:val="-3"/>
                <w:sz w:val="21"/>
              </w:rPr>
              <w:t>在建和已完工程项目情况</w:t>
            </w:r>
          </w:p>
        </w:tc>
      </w:tr>
      <w:tr w14:paraId="56398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626" w:type="dxa"/>
            <w:gridSpan w:val="3"/>
          </w:tcPr>
          <w:p w14:paraId="68EA98AD">
            <w:pPr>
              <w:pStyle w:val="22"/>
              <w:rPr>
                <w:rFonts w:ascii="Times New Roman"/>
                <w:color w:val="auto"/>
                <w:sz w:val="20"/>
              </w:rPr>
            </w:pPr>
          </w:p>
        </w:tc>
        <w:tc>
          <w:tcPr>
            <w:tcW w:w="1548" w:type="dxa"/>
            <w:gridSpan w:val="2"/>
          </w:tcPr>
          <w:p w14:paraId="73717061">
            <w:pPr>
              <w:pStyle w:val="22"/>
              <w:spacing w:before="161"/>
              <w:ind w:left="484"/>
              <w:rPr>
                <w:rFonts w:ascii="Times New Roman" w:eastAsia="Times New Roman"/>
                <w:color w:val="auto"/>
                <w:sz w:val="21"/>
              </w:rPr>
            </w:pPr>
            <w:r>
              <w:rPr>
                <w:color w:val="auto"/>
                <w:spacing w:val="-19"/>
                <w:sz w:val="21"/>
              </w:rPr>
              <w:t xml:space="preserve">项目 </w:t>
            </w:r>
            <w:r>
              <w:rPr>
                <w:rFonts w:ascii="Times New Roman" w:eastAsia="Times New Roman"/>
                <w:color w:val="auto"/>
                <w:spacing w:val="-10"/>
                <w:sz w:val="21"/>
              </w:rPr>
              <w:t>1</w:t>
            </w:r>
          </w:p>
        </w:tc>
        <w:tc>
          <w:tcPr>
            <w:tcW w:w="1837" w:type="dxa"/>
            <w:gridSpan w:val="3"/>
          </w:tcPr>
          <w:p w14:paraId="66B2FA05">
            <w:pPr>
              <w:pStyle w:val="22"/>
              <w:spacing w:before="161"/>
              <w:ind w:left="8"/>
              <w:jc w:val="center"/>
              <w:rPr>
                <w:rFonts w:ascii="Times New Roman" w:eastAsia="Times New Roman"/>
                <w:color w:val="auto"/>
                <w:sz w:val="21"/>
              </w:rPr>
            </w:pPr>
            <w:r>
              <w:rPr>
                <w:color w:val="auto"/>
                <w:spacing w:val="-19"/>
                <w:sz w:val="21"/>
              </w:rPr>
              <w:t xml:space="preserve">项目 </w:t>
            </w:r>
            <w:r>
              <w:rPr>
                <w:rFonts w:ascii="Times New Roman" w:eastAsia="Times New Roman"/>
                <w:color w:val="auto"/>
                <w:spacing w:val="-10"/>
                <w:sz w:val="21"/>
              </w:rPr>
              <w:t>2</w:t>
            </w:r>
          </w:p>
        </w:tc>
        <w:tc>
          <w:tcPr>
            <w:tcW w:w="1512" w:type="dxa"/>
            <w:gridSpan w:val="3"/>
          </w:tcPr>
          <w:p w14:paraId="03A0BA6E">
            <w:pPr>
              <w:pStyle w:val="22"/>
              <w:spacing w:before="161"/>
              <w:ind w:left="445"/>
              <w:rPr>
                <w:rFonts w:ascii="Times New Roman" w:eastAsia="Times New Roman"/>
                <w:color w:val="auto"/>
                <w:sz w:val="21"/>
              </w:rPr>
            </w:pPr>
            <w:r>
              <w:rPr>
                <w:color w:val="auto"/>
                <w:spacing w:val="-19"/>
                <w:sz w:val="21"/>
              </w:rPr>
              <w:t xml:space="preserve">项目 </w:t>
            </w:r>
            <w:r>
              <w:rPr>
                <w:rFonts w:ascii="Times New Roman" w:eastAsia="Times New Roman"/>
                <w:color w:val="auto"/>
                <w:spacing w:val="-10"/>
                <w:sz w:val="21"/>
              </w:rPr>
              <w:t>3</w:t>
            </w:r>
          </w:p>
        </w:tc>
        <w:tc>
          <w:tcPr>
            <w:tcW w:w="1610" w:type="dxa"/>
            <w:gridSpan w:val="2"/>
          </w:tcPr>
          <w:p w14:paraId="5870D57D">
            <w:pPr>
              <w:pStyle w:val="22"/>
              <w:spacing w:before="161"/>
              <w:ind w:left="491"/>
              <w:rPr>
                <w:rFonts w:ascii="Times New Roman" w:eastAsia="Times New Roman"/>
                <w:color w:val="auto"/>
                <w:sz w:val="21"/>
              </w:rPr>
            </w:pPr>
            <w:r>
              <w:rPr>
                <w:color w:val="auto"/>
                <w:spacing w:val="-20"/>
                <w:sz w:val="21"/>
              </w:rPr>
              <w:t xml:space="preserve">项目 </w:t>
            </w:r>
            <w:r>
              <w:rPr>
                <w:rFonts w:ascii="Times New Roman" w:eastAsia="Times New Roman"/>
                <w:color w:val="auto"/>
                <w:spacing w:val="-10"/>
                <w:sz w:val="21"/>
              </w:rPr>
              <w:t>4</w:t>
            </w:r>
          </w:p>
        </w:tc>
        <w:tc>
          <w:tcPr>
            <w:tcW w:w="1480" w:type="dxa"/>
          </w:tcPr>
          <w:p w14:paraId="02D4BDD8">
            <w:pPr>
              <w:pStyle w:val="22"/>
              <w:spacing w:before="161"/>
              <w:ind w:left="77" w:right="81"/>
              <w:jc w:val="center"/>
              <w:rPr>
                <w:color w:val="auto"/>
                <w:sz w:val="21"/>
              </w:rPr>
            </w:pPr>
            <w:r>
              <w:rPr>
                <w:color w:val="auto"/>
                <w:spacing w:val="-5"/>
                <w:sz w:val="21"/>
              </w:rPr>
              <w:t>……</w:t>
            </w:r>
          </w:p>
        </w:tc>
      </w:tr>
      <w:tr w14:paraId="7E4C5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626" w:type="dxa"/>
            <w:gridSpan w:val="3"/>
          </w:tcPr>
          <w:p w14:paraId="0C3EA1E6">
            <w:pPr>
              <w:pStyle w:val="22"/>
              <w:spacing w:before="160"/>
              <w:ind w:left="392"/>
              <w:rPr>
                <w:color w:val="auto"/>
                <w:sz w:val="21"/>
              </w:rPr>
            </w:pPr>
            <w:r>
              <w:rPr>
                <w:color w:val="auto"/>
                <w:spacing w:val="-7"/>
                <w:sz w:val="21"/>
              </w:rPr>
              <w:t>项目名称</w:t>
            </w:r>
          </w:p>
        </w:tc>
        <w:tc>
          <w:tcPr>
            <w:tcW w:w="1548" w:type="dxa"/>
            <w:gridSpan w:val="2"/>
          </w:tcPr>
          <w:p w14:paraId="3AC9DF6E">
            <w:pPr>
              <w:pStyle w:val="22"/>
              <w:rPr>
                <w:rFonts w:ascii="Times New Roman"/>
                <w:color w:val="auto"/>
                <w:sz w:val="20"/>
              </w:rPr>
            </w:pPr>
          </w:p>
        </w:tc>
        <w:tc>
          <w:tcPr>
            <w:tcW w:w="1837" w:type="dxa"/>
            <w:gridSpan w:val="3"/>
          </w:tcPr>
          <w:p w14:paraId="7090AFBB">
            <w:pPr>
              <w:pStyle w:val="22"/>
              <w:rPr>
                <w:rFonts w:ascii="Times New Roman"/>
                <w:color w:val="auto"/>
                <w:sz w:val="20"/>
              </w:rPr>
            </w:pPr>
          </w:p>
        </w:tc>
        <w:tc>
          <w:tcPr>
            <w:tcW w:w="1512" w:type="dxa"/>
            <w:gridSpan w:val="3"/>
          </w:tcPr>
          <w:p w14:paraId="3266009A">
            <w:pPr>
              <w:pStyle w:val="22"/>
              <w:rPr>
                <w:rFonts w:ascii="Times New Roman"/>
                <w:color w:val="auto"/>
                <w:sz w:val="20"/>
              </w:rPr>
            </w:pPr>
          </w:p>
        </w:tc>
        <w:tc>
          <w:tcPr>
            <w:tcW w:w="1610" w:type="dxa"/>
            <w:gridSpan w:val="2"/>
          </w:tcPr>
          <w:p w14:paraId="362E9751">
            <w:pPr>
              <w:pStyle w:val="22"/>
              <w:rPr>
                <w:rFonts w:ascii="Times New Roman"/>
                <w:color w:val="auto"/>
                <w:sz w:val="20"/>
              </w:rPr>
            </w:pPr>
          </w:p>
        </w:tc>
        <w:tc>
          <w:tcPr>
            <w:tcW w:w="1480" w:type="dxa"/>
          </w:tcPr>
          <w:p w14:paraId="2B1221AE">
            <w:pPr>
              <w:pStyle w:val="22"/>
              <w:rPr>
                <w:rFonts w:ascii="Times New Roman"/>
                <w:color w:val="auto"/>
                <w:sz w:val="20"/>
              </w:rPr>
            </w:pPr>
          </w:p>
        </w:tc>
      </w:tr>
      <w:tr w14:paraId="64DB8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1626" w:type="dxa"/>
            <w:gridSpan w:val="3"/>
          </w:tcPr>
          <w:p w14:paraId="423B6350">
            <w:pPr>
              <w:pStyle w:val="22"/>
              <w:spacing w:before="131"/>
              <w:ind w:left="392"/>
              <w:rPr>
                <w:color w:val="auto"/>
                <w:sz w:val="21"/>
              </w:rPr>
            </w:pPr>
            <w:r>
              <w:rPr>
                <w:color w:val="auto"/>
                <w:spacing w:val="-7"/>
                <w:sz w:val="21"/>
              </w:rPr>
              <w:t>建设单位</w:t>
            </w:r>
          </w:p>
        </w:tc>
        <w:tc>
          <w:tcPr>
            <w:tcW w:w="1548" w:type="dxa"/>
            <w:gridSpan w:val="2"/>
          </w:tcPr>
          <w:p w14:paraId="3BB35E9E">
            <w:pPr>
              <w:pStyle w:val="22"/>
              <w:rPr>
                <w:rFonts w:ascii="Times New Roman"/>
                <w:color w:val="auto"/>
                <w:sz w:val="20"/>
              </w:rPr>
            </w:pPr>
          </w:p>
        </w:tc>
        <w:tc>
          <w:tcPr>
            <w:tcW w:w="1837" w:type="dxa"/>
            <w:gridSpan w:val="3"/>
          </w:tcPr>
          <w:p w14:paraId="1616BC89">
            <w:pPr>
              <w:pStyle w:val="22"/>
              <w:rPr>
                <w:rFonts w:ascii="Times New Roman"/>
                <w:color w:val="auto"/>
                <w:sz w:val="20"/>
              </w:rPr>
            </w:pPr>
          </w:p>
        </w:tc>
        <w:tc>
          <w:tcPr>
            <w:tcW w:w="1512" w:type="dxa"/>
            <w:gridSpan w:val="3"/>
          </w:tcPr>
          <w:p w14:paraId="6BC73ECE">
            <w:pPr>
              <w:pStyle w:val="22"/>
              <w:rPr>
                <w:rFonts w:ascii="Times New Roman"/>
                <w:color w:val="auto"/>
                <w:sz w:val="20"/>
              </w:rPr>
            </w:pPr>
          </w:p>
        </w:tc>
        <w:tc>
          <w:tcPr>
            <w:tcW w:w="1610" w:type="dxa"/>
            <w:gridSpan w:val="2"/>
          </w:tcPr>
          <w:p w14:paraId="7B0121A0">
            <w:pPr>
              <w:pStyle w:val="22"/>
              <w:rPr>
                <w:rFonts w:ascii="Times New Roman"/>
                <w:color w:val="auto"/>
                <w:sz w:val="20"/>
              </w:rPr>
            </w:pPr>
          </w:p>
        </w:tc>
        <w:tc>
          <w:tcPr>
            <w:tcW w:w="1480" w:type="dxa"/>
          </w:tcPr>
          <w:p w14:paraId="74D75C63">
            <w:pPr>
              <w:pStyle w:val="22"/>
              <w:rPr>
                <w:rFonts w:ascii="Times New Roman"/>
                <w:color w:val="auto"/>
                <w:sz w:val="20"/>
              </w:rPr>
            </w:pPr>
          </w:p>
        </w:tc>
      </w:tr>
      <w:tr w14:paraId="3C1480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1" w:hRule="atLeast"/>
        </w:trPr>
        <w:tc>
          <w:tcPr>
            <w:tcW w:w="1626" w:type="dxa"/>
            <w:gridSpan w:val="3"/>
          </w:tcPr>
          <w:p w14:paraId="2D1CB4E7">
            <w:pPr>
              <w:pStyle w:val="22"/>
              <w:spacing w:before="130"/>
              <w:ind w:left="392"/>
              <w:rPr>
                <w:color w:val="auto"/>
                <w:sz w:val="21"/>
              </w:rPr>
            </w:pPr>
            <w:r>
              <w:rPr>
                <w:color w:val="auto"/>
                <w:spacing w:val="-7"/>
                <w:sz w:val="21"/>
              </w:rPr>
              <w:t>建设规模</w:t>
            </w:r>
          </w:p>
        </w:tc>
        <w:tc>
          <w:tcPr>
            <w:tcW w:w="1548" w:type="dxa"/>
            <w:gridSpan w:val="2"/>
          </w:tcPr>
          <w:p w14:paraId="15FEEFBB">
            <w:pPr>
              <w:pStyle w:val="22"/>
              <w:rPr>
                <w:rFonts w:ascii="Times New Roman"/>
                <w:color w:val="auto"/>
                <w:sz w:val="20"/>
              </w:rPr>
            </w:pPr>
          </w:p>
        </w:tc>
        <w:tc>
          <w:tcPr>
            <w:tcW w:w="1837" w:type="dxa"/>
            <w:gridSpan w:val="3"/>
          </w:tcPr>
          <w:p w14:paraId="3851D48F">
            <w:pPr>
              <w:pStyle w:val="22"/>
              <w:rPr>
                <w:rFonts w:ascii="Times New Roman"/>
                <w:color w:val="auto"/>
                <w:sz w:val="20"/>
              </w:rPr>
            </w:pPr>
          </w:p>
        </w:tc>
        <w:tc>
          <w:tcPr>
            <w:tcW w:w="1512" w:type="dxa"/>
            <w:gridSpan w:val="3"/>
          </w:tcPr>
          <w:p w14:paraId="3B204272">
            <w:pPr>
              <w:pStyle w:val="22"/>
              <w:rPr>
                <w:rFonts w:ascii="Times New Roman"/>
                <w:color w:val="auto"/>
                <w:sz w:val="20"/>
              </w:rPr>
            </w:pPr>
          </w:p>
        </w:tc>
        <w:tc>
          <w:tcPr>
            <w:tcW w:w="1610" w:type="dxa"/>
            <w:gridSpan w:val="2"/>
          </w:tcPr>
          <w:p w14:paraId="426A6501">
            <w:pPr>
              <w:pStyle w:val="22"/>
              <w:rPr>
                <w:rFonts w:ascii="Times New Roman"/>
                <w:color w:val="auto"/>
                <w:sz w:val="20"/>
              </w:rPr>
            </w:pPr>
          </w:p>
        </w:tc>
        <w:tc>
          <w:tcPr>
            <w:tcW w:w="1480" w:type="dxa"/>
          </w:tcPr>
          <w:p w14:paraId="3965E3B7">
            <w:pPr>
              <w:pStyle w:val="22"/>
              <w:rPr>
                <w:rFonts w:ascii="Times New Roman"/>
                <w:color w:val="auto"/>
                <w:sz w:val="20"/>
              </w:rPr>
            </w:pPr>
          </w:p>
        </w:tc>
      </w:tr>
      <w:tr w14:paraId="1E62E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0" w:hRule="atLeast"/>
        </w:trPr>
        <w:tc>
          <w:tcPr>
            <w:tcW w:w="1626" w:type="dxa"/>
            <w:gridSpan w:val="3"/>
          </w:tcPr>
          <w:p w14:paraId="674A2294">
            <w:pPr>
              <w:pStyle w:val="22"/>
              <w:spacing w:before="131"/>
              <w:ind w:left="392"/>
              <w:rPr>
                <w:color w:val="auto"/>
                <w:sz w:val="21"/>
              </w:rPr>
            </w:pPr>
            <w:r>
              <w:rPr>
                <w:color w:val="auto"/>
                <w:spacing w:val="-7"/>
                <w:sz w:val="21"/>
              </w:rPr>
              <w:t>开工日期</w:t>
            </w:r>
          </w:p>
        </w:tc>
        <w:tc>
          <w:tcPr>
            <w:tcW w:w="1548" w:type="dxa"/>
            <w:gridSpan w:val="2"/>
          </w:tcPr>
          <w:p w14:paraId="42CFC8A8">
            <w:pPr>
              <w:pStyle w:val="22"/>
              <w:rPr>
                <w:rFonts w:ascii="Times New Roman"/>
                <w:color w:val="auto"/>
                <w:sz w:val="20"/>
              </w:rPr>
            </w:pPr>
          </w:p>
        </w:tc>
        <w:tc>
          <w:tcPr>
            <w:tcW w:w="1837" w:type="dxa"/>
            <w:gridSpan w:val="3"/>
          </w:tcPr>
          <w:p w14:paraId="77CB5448">
            <w:pPr>
              <w:pStyle w:val="22"/>
              <w:rPr>
                <w:rFonts w:ascii="Times New Roman"/>
                <w:color w:val="auto"/>
                <w:sz w:val="20"/>
              </w:rPr>
            </w:pPr>
          </w:p>
        </w:tc>
        <w:tc>
          <w:tcPr>
            <w:tcW w:w="1512" w:type="dxa"/>
            <w:gridSpan w:val="3"/>
          </w:tcPr>
          <w:p w14:paraId="42B0AF8D">
            <w:pPr>
              <w:pStyle w:val="22"/>
              <w:rPr>
                <w:rFonts w:ascii="Times New Roman"/>
                <w:color w:val="auto"/>
                <w:sz w:val="20"/>
              </w:rPr>
            </w:pPr>
          </w:p>
        </w:tc>
        <w:tc>
          <w:tcPr>
            <w:tcW w:w="1610" w:type="dxa"/>
            <w:gridSpan w:val="2"/>
          </w:tcPr>
          <w:p w14:paraId="3949D365">
            <w:pPr>
              <w:pStyle w:val="22"/>
              <w:rPr>
                <w:rFonts w:ascii="Times New Roman"/>
                <w:color w:val="auto"/>
                <w:sz w:val="20"/>
              </w:rPr>
            </w:pPr>
          </w:p>
        </w:tc>
        <w:tc>
          <w:tcPr>
            <w:tcW w:w="1480" w:type="dxa"/>
          </w:tcPr>
          <w:p w14:paraId="49103FB4">
            <w:pPr>
              <w:pStyle w:val="22"/>
              <w:rPr>
                <w:rFonts w:ascii="Times New Roman"/>
                <w:color w:val="auto"/>
                <w:sz w:val="20"/>
              </w:rPr>
            </w:pPr>
          </w:p>
        </w:tc>
      </w:tr>
      <w:tr w14:paraId="1F037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1626" w:type="dxa"/>
            <w:gridSpan w:val="3"/>
          </w:tcPr>
          <w:p w14:paraId="5A23B2F6">
            <w:pPr>
              <w:pStyle w:val="22"/>
              <w:spacing w:before="132"/>
              <w:ind w:left="392"/>
              <w:rPr>
                <w:color w:val="auto"/>
                <w:sz w:val="21"/>
              </w:rPr>
            </w:pPr>
            <w:r>
              <w:rPr>
                <w:color w:val="auto"/>
                <w:spacing w:val="-7"/>
                <w:sz w:val="21"/>
              </w:rPr>
              <w:t>竣工日期</w:t>
            </w:r>
          </w:p>
        </w:tc>
        <w:tc>
          <w:tcPr>
            <w:tcW w:w="1548" w:type="dxa"/>
            <w:gridSpan w:val="2"/>
          </w:tcPr>
          <w:p w14:paraId="33FC466F">
            <w:pPr>
              <w:pStyle w:val="22"/>
              <w:rPr>
                <w:rFonts w:ascii="Times New Roman"/>
                <w:color w:val="auto"/>
                <w:sz w:val="20"/>
              </w:rPr>
            </w:pPr>
          </w:p>
        </w:tc>
        <w:tc>
          <w:tcPr>
            <w:tcW w:w="1837" w:type="dxa"/>
            <w:gridSpan w:val="3"/>
          </w:tcPr>
          <w:p w14:paraId="6EF5009E">
            <w:pPr>
              <w:pStyle w:val="22"/>
              <w:rPr>
                <w:rFonts w:ascii="Times New Roman"/>
                <w:color w:val="auto"/>
                <w:sz w:val="20"/>
              </w:rPr>
            </w:pPr>
          </w:p>
        </w:tc>
        <w:tc>
          <w:tcPr>
            <w:tcW w:w="1512" w:type="dxa"/>
            <w:gridSpan w:val="3"/>
          </w:tcPr>
          <w:p w14:paraId="720870FD">
            <w:pPr>
              <w:pStyle w:val="22"/>
              <w:rPr>
                <w:rFonts w:ascii="Times New Roman"/>
                <w:color w:val="auto"/>
                <w:sz w:val="20"/>
              </w:rPr>
            </w:pPr>
          </w:p>
        </w:tc>
        <w:tc>
          <w:tcPr>
            <w:tcW w:w="1610" w:type="dxa"/>
            <w:gridSpan w:val="2"/>
          </w:tcPr>
          <w:p w14:paraId="1DFB0DA4">
            <w:pPr>
              <w:pStyle w:val="22"/>
              <w:rPr>
                <w:rFonts w:ascii="Times New Roman"/>
                <w:color w:val="auto"/>
                <w:sz w:val="20"/>
              </w:rPr>
            </w:pPr>
          </w:p>
        </w:tc>
        <w:tc>
          <w:tcPr>
            <w:tcW w:w="1480" w:type="dxa"/>
          </w:tcPr>
          <w:p w14:paraId="017249FB">
            <w:pPr>
              <w:pStyle w:val="22"/>
              <w:rPr>
                <w:rFonts w:ascii="Times New Roman"/>
                <w:color w:val="auto"/>
                <w:sz w:val="20"/>
              </w:rPr>
            </w:pPr>
          </w:p>
        </w:tc>
      </w:tr>
      <w:tr w14:paraId="1D5FFF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9" w:hRule="atLeast"/>
        </w:trPr>
        <w:tc>
          <w:tcPr>
            <w:tcW w:w="1626" w:type="dxa"/>
            <w:gridSpan w:val="3"/>
          </w:tcPr>
          <w:p w14:paraId="3A5556DA">
            <w:pPr>
              <w:pStyle w:val="22"/>
              <w:spacing w:before="135"/>
              <w:ind w:left="392"/>
              <w:rPr>
                <w:color w:val="auto"/>
                <w:sz w:val="21"/>
              </w:rPr>
            </w:pPr>
            <w:r>
              <w:rPr>
                <w:color w:val="auto"/>
                <w:spacing w:val="-7"/>
                <w:sz w:val="21"/>
              </w:rPr>
              <w:t>人员角色</w:t>
            </w:r>
          </w:p>
        </w:tc>
        <w:tc>
          <w:tcPr>
            <w:tcW w:w="1548" w:type="dxa"/>
            <w:gridSpan w:val="2"/>
          </w:tcPr>
          <w:p w14:paraId="04973995">
            <w:pPr>
              <w:pStyle w:val="22"/>
              <w:rPr>
                <w:rFonts w:ascii="Times New Roman"/>
                <w:color w:val="auto"/>
                <w:sz w:val="20"/>
              </w:rPr>
            </w:pPr>
          </w:p>
        </w:tc>
        <w:tc>
          <w:tcPr>
            <w:tcW w:w="1837" w:type="dxa"/>
            <w:gridSpan w:val="3"/>
          </w:tcPr>
          <w:p w14:paraId="35A6C946">
            <w:pPr>
              <w:pStyle w:val="22"/>
              <w:rPr>
                <w:rFonts w:ascii="Times New Roman"/>
                <w:color w:val="auto"/>
                <w:sz w:val="20"/>
              </w:rPr>
            </w:pPr>
          </w:p>
        </w:tc>
        <w:tc>
          <w:tcPr>
            <w:tcW w:w="1512" w:type="dxa"/>
            <w:gridSpan w:val="3"/>
          </w:tcPr>
          <w:p w14:paraId="7FEE28BB">
            <w:pPr>
              <w:pStyle w:val="22"/>
              <w:rPr>
                <w:rFonts w:ascii="Times New Roman"/>
                <w:color w:val="auto"/>
                <w:sz w:val="20"/>
              </w:rPr>
            </w:pPr>
          </w:p>
        </w:tc>
        <w:tc>
          <w:tcPr>
            <w:tcW w:w="1610" w:type="dxa"/>
            <w:gridSpan w:val="2"/>
          </w:tcPr>
          <w:p w14:paraId="11FA49A2">
            <w:pPr>
              <w:pStyle w:val="22"/>
              <w:rPr>
                <w:rFonts w:ascii="Times New Roman"/>
                <w:color w:val="auto"/>
                <w:sz w:val="20"/>
              </w:rPr>
            </w:pPr>
          </w:p>
        </w:tc>
        <w:tc>
          <w:tcPr>
            <w:tcW w:w="1480" w:type="dxa"/>
          </w:tcPr>
          <w:p w14:paraId="573B770E">
            <w:pPr>
              <w:pStyle w:val="22"/>
              <w:rPr>
                <w:rFonts w:ascii="Times New Roman"/>
                <w:color w:val="auto"/>
                <w:sz w:val="20"/>
              </w:rPr>
            </w:pPr>
          </w:p>
        </w:tc>
      </w:tr>
      <w:tr w14:paraId="74B2DE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1626" w:type="dxa"/>
            <w:gridSpan w:val="3"/>
          </w:tcPr>
          <w:p w14:paraId="60F75D1E">
            <w:pPr>
              <w:pStyle w:val="22"/>
              <w:spacing w:before="135"/>
              <w:ind w:left="286"/>
              <w:rPr>
                <w:color w:val="auto"/>
                <w:sz w:val="21"/>
              </w:rPr>
            </w:pPr>
            <w:r>
              <w:rPr>
                <w:color w:val="auto"/>
                <w:spacing w:val="-4"/>
                <w:sz w:val="21"/>
              </w:rPr>
              <w:t>在建或已完</w:t>
            </w:r>
          </w:p>
        </w:tc>
        <w:tc>
          <w:tcPr>
            <w:tcW w:w="1548" w:type="dxa"/>
            <w:gridSpan w:val="2"/>
          </w:tcPr>
          <w:p w14:paraId="484345EC">
            <w:pPr>
              <w:pStyle w:val="22"/>
              <w:rPr>
                <w:rFonts w:ascii="Times New Roman"/>
                <w:color w:val="auto"/>
                <w:sz w:val="20"/>
              </w:rPr>
            </w:pPr>
          </w:p>
        </w:tc>
        <w:tc>
          <w:tcPr>
            <w:tcW w:w="1837" w:type="dxa"/>
            <w:gridSpan w:val="3"/>
          </w:tcPr>
          <w:p w14:paraId="7CB67F19">
            <w:pPr>
              <w:pStyle w:val="22"/>
              <w:rPr>
                <w:rFonts w:ascii="Times New Roman"/>
                <w:color w:val="auto"/>
                <w:sz w:val="20"/>
              </w:rPr>
            </w:pPr>
          </w:p>
        </w:tc>
        <w:tc>
          <w:tcPr>
            <w:tcW w:w="1512" w:type="dxa"/>
            <w:gridSpan w:val="3"/>
          </w:tcPr>
          <w:p w14:paraId="605ABA99">
            <w:pPr>
              <w:pStyle w:val="22"/>
              <w:rPr>
                <w:rFonts w:ascii="Times New Roman"/>
                <w:color w:val="auto"/>
                <w:sz w:val="20"/>
              </w:rPr>
            </w:pPr>
          </w:p>
        </w:tc>
        <w:tc>
          <w:tcPr>
            <w:tcW w:w="1610" w:type="dxa"/>
            <w:gridSpan w:val="2"/>
          </w:tcPr>
          <w:p w14:paraId="21CB9C20">
            <w:pPr>
              <w:pStyle w:val="22"/>
              <w:rPr>
                <w:rFonts w:ascii="Times New Roman"/>
                <w:color w:val="auto"/>
                <w:sz w:val="20"/>
              </w:rPr>
            </w:pPr>
          </w:p>
        </w:tc>
        <w:tc>
          <w:tcPr>
            <w:tcW w:w="1480" w:type="dxa"/>
          </w:tcPr>
          <w:p w14:paraId="29377C24">
            <w:pPr>
              <w:pStyle w:val="22"/>
              <w:rPr>
                <w:rFonts w:ascii="Times New Roman"/>
                <w:color w:val="auto"/>
                <w:sz w:val="20"/>
              </w:rPr>
            </w:pPr>
          </w:p>
        </w:tc>
      </w:tr>
      <w:tr w14:paraId="6692D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626" w:type="dxa"/>
            <w:gridSpan w:val="3"/>
          </w:tcPr>
          <w:p w14:paraId="2ADA4C5F">
            <w:pPr>
              <w:pStyle w:val="22"/>
              <w:spacing w:before="136"/>
              <w:ind w:left="392"/>
              <w:rPr>
                <w:color w:val="auto"/>
                <w:sz w:val="21"/>
              </w:rPr>
            </w:pPr>
            <w:r>
              <w:rPr>
                <w:color w:val="auto"/>
                <w:spacing w:val="-7"/>
                <w:sz w:val="21"/>
              </w:rPr>
              <w:t>工程质量</w:t>
            </w:r>
          </w:p>
        </w:tc>
        <w:tc>
          <w:tcPr>
            <w:tcW w:w="1548" w:type="dxa"/>
            <w:gridSpan w:val="2"/>
          </w:tcPr>
          <w:p w14:paraId="6E76A04B">
            <w:pPr>
              <w:pStyle w:val="22"/>
              <w:rPr>
                <w:rFonts w:ascii="Times New Roman"/>
                <w:color w:val="auto"/>
                <w:sz w:val="20"/>
              </w:rPr>
            </w:pPr>
          </w:p>
        </w:tc>
        <w:tc>
          <w:tcPr>
            <w:tcW w:w="1837" w:type="dxa"/>
            <w:gridSpan w:val="3"/>
          </w:tcPr>
          <w:p w14:paraId="4F5D60AF">
            <w:pPr>
              <w:pStyle w:val="22"/>
              <w:rPr>
                <w:rFonts w:ascii="Times New Roman"/>
                <w:color w:val="auto"/>
                <w:sz w:val="20"/>
              </w:rPr>
            </w:pPr>
          </w:p>
        </w:tc>
        <w:tc>
          <w:tcPr>
            <w:tcW w:w="1512" w:type="dxa"/>
            <w:gridSpan w:val="3"/>
          </w:tcPr>
          <w:p w14:paraId="0CFBE299">
            <w:pPr>
              <w:pStyle w:val="22"/>
              <w:rPr>
                <w:rFonts w:ascii="Times New Roman"/>
                <w:color w:val="auto"/>
                <w:sz w:val="20"/>
              </w:rPr>
            </w:pPr>
          </w:p>
        </w:tc>
        <w:tc>
          <w:tcPr>
            <w:tcW w:w="1610" w:type="dxa"/>
            <w:gridSpan w:val="2"/>
          </w:tcPr>
          <w:p w14:paraId="18435944">
            <w:pPr>
              <w:pStyle w:val="22"/>
              <w:rPr>
                <w:rFonts w:ascii="Times New Roman"/>
                <w:color w:val="auto"/>
                <w:sz w:val="20"/>
              </w:rPr>
            </w:pPr>
          </w:p>
        </w:tc>
        <w:tc>
          <w:tcPr>
            <w:tcW w:w="1480" w:type="dxa"/>
          </w:tcPr>
          <w:p w14:paraId="3DF7B300">
            <w:pPr>
              <w:pStyle w:val="22"/>
              <w:rPr>
                <w:rFonts w:ascii="Times New Roman"/>
                <w:color w:val="auto"/>
                <w:sz w:val="20"/>
              </w:rPr>
            </w:pPr>
          </w:p>
        </w:tc>
      </w:tr>
      <w:tr w14:paraId="36035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626" w:type="dxa"/>
            <w:gridSpan w:val="3"/>
          </w:tcPr>
          <w:p w14:paraId="76FE8FCD">
            <w:pPr>
              <w:pStyle w:val="22"/>
              <w:spacing w:before="136"/>
              <w:ind w:left="392"/>
              <w:rPr>
                <w:color w:val="auto"/>
                <w:sz w:val="21"/>
              </w:rPr>
            </w:pPr>
            <w:r>
              <w:rPr>
                <w:color w:val="auto"/>
                <w:spacing w:val="-7"/>
                <w:sz w:val="21"/>
              </w:rPr>
              <w:t>受奖情况</w:t>
            </w:r>
          </w:p>
        </w:tc>
        <w:tc>
          <w:tcPr>
            <w:tcW w:w="1548" w:type="dxa"/>
            <w:gridSpan w:val="2"/>
          </w:tcPr>
          <w:p w14:paraId="3790648F">
            <w:pPr>
              <w:pStyle w:val="22"/>
              <w:rPr>
                <w:rFonts w:ascii="Times New Roman"/>
                <w:color w:val="auto"/>
                <w:sz w:val="20"/>
              </w:rPr>
            </w:pPr>
          </w:p>
        </w:tc>
        <w:tc>
          <w:tcPr>
            <w:tcW w:w="1837" w:type="dxa"/>
            <w:gridSpan w:val="3"/>
          </w:tcPr>
          <w:p w14:paraId="122834D8">
            <w:pPr>
              <w:pStyle w:val="22"/>
              <w:rPr>
                <w:rFonts w:ascii="Times New Roman"/>
                <w:color w:val="auto"/>
                <w:sz w:val="20"/>
              </w:rPr>
            </w:pPr>
          </w:p>
        </w:tc>
        <w:tc>
          <w:tcPr>
            <w:tcW w:w="1512" w:type="dxa"/>
            <w:gridSpan w:val="3"/>
          </w:tcPr>
          <w:p w14:paraId="6DF0486D">
            <w:pPr>
              <w:pStyle w:val="22"/>
              <w:rPr>
                <w:rFonts w:ascii="Times New Roman"/>
                <w:color w:val="auto"/>
                <w:sz w:val="20"/>
              </w:rPr>
            </w:pPr>
          </w:p>
        </w:tc>
        <w:tc>
          <w:tcPr>
            <w:tcW w:w="1610" w:type="dxa"/>
            <w:gridSpan w:val="2"/>
          </w:tcPr>
          <w:p w14:paraId="2DC4E417">
            <w:pPr>
              <w:pStyle w:val="22"/>
              <w:rPr>
                <w:rFonts w:ascii="Times New Roman"/>
                <w:color w:val="auto"/>
                <w:sz w:val="20"/>
              </w:rPr>
            </w:pPr>
          </w:p>
        </w:tc>
        <w:tc>
          <w:tcPr>
            <w:tcW w:w="1480" w:type="dxa"/>
          </w:tcPr>
          <w:p w14:paraId="4EFD8FBC">
            <w:pPr>
              <w:pStyle w:val="22"/>
              <w:rPr>
                <w:rFonts w:ascii="Times New Roman"/>
                <w:color w:val="auto"/>
                <w:sz w:val="20"/>
              </w:rPr>
            </w:pPr>
          </w:p>
        </w:tc>
      </w:tr>
    </w:tbl>
    <w:p w14:paraId="04E5AE67">
      <w:pPr>
        <w:pStyle w:val="12"/>
        <w:spacing w:before="1"/>
        <w:rPr>
          <w:color w:val="auto"/>
        </w:rPr>
      </w:pPr>
      <w:r>
        <w:rPr>
          <w:color w:val="auto"/>
          <w:spacing w:val="-5"/>
        </w:rPr>
        <w:t>备注：</w:t>
      </w:r>
    </w:p>
    <w:p w14:paraId="23523B3A">
      <w:pPr>
        <w:pStyle w:val="21"/>
        <w:numPr>
          <w:ilvl w:val="0"/>
          <w:numId w:val="60"/>
        </w:numPr>
        <w:tabs>
          <w:tab w:val="left" w:pos="1416"/>
        </w:tabs>
        <w:spacing w:before="135" w:after="0" w:line="240" w:lineRule="auto"/>
        <w:ind w:left="1416" w:right="0" w:hanging="208"/>
        <w:jc w:val="left"/>
        <w:rPr>
          <w:color w:val="auto"/>
          <w:sz w:val="21"/>
        </w:rPr>
      </w:pPr>
      <w:r>
        <w:rPr>
          <w:color w:val="auto"/>
          <w:spacing w:val="-3"/>
          <w:sz w:val="21"/>
        </w:rPr>
        <w:t>项目数可以根据需要增加。</w:t>
      </w:r>
    </w:p>
    <w:p w14:paraId="1EA26D1E">
      <w:pPr>
        <w:pStyle w:val="21"/>
        <w:numPr>
          <w:ilvl w:val="0"/>
          <w:numId w:val="60"/>
        </w:numPr>
        <w:tabs>
          <w:tab w:val="left" w:pos="1421"/>
        </w:tabs>
        <w:spacing w:before="135" w:after="0" w:line="357" w:lineRule="auto"/>
        <w:ind w:left="788" w:right="791" w:firstLine="420"/>
        <w:jc w:val="left"/>
        <w:rPr>
          <w:color w:val="auto"/>
          <w:sz w:val="21"/>
        </w:rPr>
      </w:pPr>
      <w:r>
        <w:rPr>
          <w:color w:val="auto"/>
          <w:spacing w:val="4"/>
          <w:w w:val="99"/>
          <w:sz w:val="21"/>
        </w:rPr>
        <w:t>本表后附项目技术负责人（项目总工）</w:t>
      </w:r>
      <w:r>
        <w:rPr>
          <w:color w:val="auto"/>
          <w:spacing w:val="3"/>
          <w:w w:val="99"/>
          <w:sz w:val="21"/>
        </w:rPr>
        <w:t>的学历证、本表所列证书复印件并加盖供应商电</w:t>
      </w:r>
      <w:r>
        <w:rPr>
          <w:color w:val="auto"/>
          <w:spacing w:val="-1"/>
          <w:w w:val="99"/>
          <w:sz w:val="21"/>
        </w:rPr>
        <w:t>子签章。</w:t>
      </w:r>
    </w:p>
    <w:p w14:paraId="4E773793">
      <w:pPr>
        <w:spacing w:after="0" w:line="357" w:lineRule="auto"/>
        <w:jc w:val="left"/>
        <w:rPr>
          <w:color w:val="auto"/>
          <w:sz w:val="21"/>
        </w:rPr>
        <w:sectPr>
          <w:pgSz w:w="11910" w:h="16840"/>
          <w:pgMar w:top="1380" w:right="740" w:bottom="1180" w:left="800" w:header="0" w:footer="989" w:gutter="0"/>
          <w:cols w:space="720" w:num="1"/>
        </w:sectPr>
      </w:pPr>
    </w:p>
    <w:p w14:paraId="7E117A4A">
      <w:pPr>
        <w:pStyle w:val="9"/>
        <w:spacing w:after="3"/>
        <w:ind w:right="836"/>
        <w:rPr>
          <w:color w:val="auto"/>
        </w:rPr>
      </w:pPr>
      <w:r>
        <w:rPr>
          <w:color w:val="auto"/>
          <w:spacing w:val="-3"/>
        </w:rPr>
        <w:t>专职安全生产管理人员</w:t>
      </w:r>
    </w:p>
    <w:tbl>
      <w:tblPr>
        <w:tblStyle w:val="16"/>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2"/>
        <w:gridCol w:w="433"/>
        <w:gridCol w:w="879"/>
        <w:gridCol w:w="667"/>
        <w:gridCol w:w="319"/>
        <w:gridCol w:w="233"/>
        <w:gridCol w:w="1282"/>
        <w:gridCol w:w="133"/>
        <w:gridCol w:w="241"/>
        <w:gridCol w:w="1135"/>
        <w:gridCol w:w="448"/>
        <w:gridCol w:w="1160"/>
        <w:gridCol w:w="1479"/>
      </w:tblGrid>
      <w:tr w14:paraId="79682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192" w:type="dxa"/>
          </w:tcPr>
          <w:p w14:paraId="1802C64A">
            <w:pPr>
              <w:pStyle w:val="22"/>
              <w:spacing w:before="160"/>
              <w:ind w:left="47" w:right="76"/>
              <w:jc w:val="center"/>
              <w:rPr>
                <w:color w:val="auto"/>
                <w:sz w:val="21"/>
              </w:rPr>
            </w:pPr>
            <w:r>
              <w:rPr>
                <w:color w:val="auto"/>
                <w:spacing w:val="-8"/>
                <w:sz w:val="21"/>
              </w:rPr>
              <w:t>姓名</w:t>
            </w:r>
          </w:p>
        </w:tc>
        <w:tc>
          <w:tcPr>
            <w:tcW w:w="2298" w:type="dxa"/>
            <w:gridSpan w:val="4"/>
          </w:tcPr>
          <w:p w14:paraId="68D17F0C">
            <w:pPr>
              <w:pStyle w:val="22"/>
              <w:rPr>
                <w:rFonts w:ascii="Times New Roman"/>
                <w:color w:val="auto"/>
                <w:sz w:val="20"/>
              </w:rPr>
            </w:pPr>
          </w:p>
        </w:tc>
        <w:tc>
          <w:tcPr>
            <w:tcW w:w="1889" w:type="dxa"/>
            <w:gridSpan w:val="4"/>
          </w:tcPr>
          <w:p w14:paraId="2F0AB54A">
            <w:pPr>
              <w:pStyle w:val="22"/>
              <w:spacing w:before="160"/>
              <w:ind w:left="19"/>
              <w:jc w:val="center"/>
              <w:rPr>
                <w:color w:val="auto"/>
                <w:sz w:val="21"/>
              </w:rPr>
            </w:pPr>
            <w:r>
              <w:rPr>
                <w:color w:val="auto"/>
                <w:spacing w:val="-8"/>
                <w:sz w:val="21"/>
              </w:rPr>
              <w:t>性别</w:t>
            </w:r>
          </w:p>
        </w:tc>
        <w:tc>
          <w:tcPr>
            <w:tcW w:w="1583" w:type="dxa"/>
            <w:gridSpan w:val="2"/>
          </w:tcPr>
          <w:p w14:paraId="53893093">
            <w:pPr>
              <w:pStyle w:val="22"/>
              <w:rPr>
                <w:rFonts w:ascii="Times New Roman"/>
                <w:color w:val="auto"/>
                <w:sz w:val="20"/>
              </w:rPr>
            </w:pPr>
          </w:p>
        </w:tc>
        <w:tc>
          <w:tcPr>
            <w:tcW w:w="1160" w:type="dxa"/>
          </w:tcPr>
          <w:p w14:paraId="5F20AA6A">
            <w:pPr>
              <w:pStyle w:val="22"/>
              <w:spacing w:before="160"/>
              <w:ind w:left="2" w:right="23"/>
              <w:jc w:val="center"/>
              <w:rPr>
                <w:color w:val="auto"/>
                <w:sz w:val="21"/>
              </w:rPr>
            </w:pPr>
            <w:r>
              <w:rPr>
                <w:color w:val="auto"/>
                <w:spacing w:val="-8"/>
                <w:sz w:val="21"/>
              </w:rPr>
              <w:t>年龄</w:t>
            </w:r>
          </w:p>
        </w:tc>
        <w:tc>
          <w:tcPr>
            <w:tcW w:w="1479" w:type="dxa"/>
          </w:tcPr>
          <w:p w14:paraId="604C3760">
            <w:pPr>
              <w:pStyle w:val="22"/>
              <w:rPr>
                <w:rFonts w:ascii="Times New Roman"/>
                <w:color w:val="auto"/>
                <w:sz w:val="20"/>
              </w:rPr>
            </w:pPr>
          </w:p>
        </w:tc>
      </w:tr>
      <w:tr w14:paraId="4664F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1192" w:type="dxa"/>
          </w:tcPr>
          <w:p w14:paraId="33207CBA">
            <w:pPr>
              <w:pStyle w:val="22"/>
              <w:spacing w:before="172"/>
              <w:ind w:left="47" w:right="76"/>
              <w:jc w:val="center"/>
              <w:rPr>
                <w:color w:val="auto"/>
                <w:sz w:val="21"/>
              </w:rPr>
            </w:pPr>
            <w:r>
              <w:rPr>
                <w:color w:val="auto"/>
                <w:spacing w:val="-8"/>
                <w:sz w:val="21"/>
              </w:rPr>
              <w:t>岗位</w:t>
            </w:r>
          </w:p>
        </w:tc>
        <w:tc>
          <w:tcPr>
            <w:tcW w:w="2298" w:type="dxa"/>
            <w:gridSpan w:val="4"/>
          </w:tcPr>
          <w:p w14:paraId="77CEBDC6">
            <w:pPr>
              <w:pStyle w:val="22"/>
              <w:spacing w:before="172"/>
              <w:ind w:left="81"/>
              <w:rPr>
                <w:color w:val="auto"/>
                <w:sz w:val="21"/>
              </w:rPr>
            </w:pPr>
            <w:r>
              <w:rPr>
                <w:color w:val="auto"/>
                <w:spacing w:val="-3"/>
                <w:sz w:val="21"/>
              </w:rPr>
              <w:t>专职安全生产管理人员</w:t>
            </w:r>
          </w:p>
        </w:tc>
        <w:tc>
          <w:tcPr>
            <w:tcW w:w="1889" w:type="dxa"/>
            <w:gridSpan w:val="4"/>
          </w:tcPr>
          <w:p w14:paraId="2CEEE9C0">
            <w:pPr>
              <w:pStyle w:val="22"/>
              <w:spacing w:before="172"/>
              <w:ind w:left="19"/>
              <w:jc w:val="center"/>
              <w:rPr>
                <w:color w:val="auto"/>
                <w:sz w:val="21"/>
              </w:rPr>
            </w:pPr>
            <w:r>
              <w:rPr>
                <w:color w:val="auto"/>
                <w:spacing w:val="-8"/>
                <w:sz w:val="21"/>
              </w:rPr>
              <w:t>职称</w:t>
            </w:r>
          </w:p>
        </w:tc>
        <w:tc>
          <w:tcPr>
            <w:tcW w:w="1583" w:type="dxa"/>
            <w:gridSpan w:val="2"/>
          </w:tcPr>
          <w:p w14:paraId="1FA9B167">
            <w:pPr>
              <w:pStyle w:val="22"/>
              <w:rPr>
                <w:rFonts w:ascii="Times New Roman"/>
                <w:color w:val="auto"/>
                <w:sz w:val="20"/>
              </w:rPr>
            </w:pPr>
          </w:p>
        </w:tc>
        <w:tc>
          <w:tcPr>
            <w:tcW w:w="1160" w:type="dxa"/>
          </w:tcPr>
          <w:p w14:paraId="4C3CB81C">
            <w:pPr>
              <w:pStyle w:val="22"/>
              <w:spacing w:before="172"/>
              <w:ind w:left="2" w:right="23"/>
              <w:jc w:val="center"/>
              <w:rPr>
                <w:color w:val="auto"/>
                <w:sz w:val="21"/>
              </w:rPr>
            </w:pPr>
            <w:r>
              <w:rPr>
                <w:color w:val="auto"/>
                <w:spacing w:val="-8"/>
                <w:sz w:val="21"/>
              </w:rPr>
              <w:t>学历</w:t>
            </w:r>
          </w:p>
        </w:tc>
        <w:tc>
          <w:tcPr>
            <w:tcW w:w="1479" w:type="dxa"/>
          </w:tcPr>
          <w:p w14:paraId="0868C7B5">
            <w:pPr>
              <w:pStyle w:val="22"/>
              <w:rPr>
                <w:rFonts w:ascii="Times New Roman"/>
                <w:color w:val="auto"/>
                <w:sz w:val="20"/>
              </w:rPr>
            </w:pPr>
          </w:p>
        </w:tc>
      </w:tr>
      <w:tr w14:paraId="1A361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1192" w:type="dxa"/>
          </w:tcPr>
          <w:p w14:paraId="6E2AB1DC">
            <w:pPr>
              <w:pStyle w:val="22"/>
              <w:spacing w:before="36"/>
              <w:ind w:left="366" w:right="184" w:hanging="209"/>
              <w:rPr>
                <w:color w:val="auto"/>
                <w:sz w:val="21"/>
              </w:rPr>
            </w:pPr>
            <w:r>
              <w:rPr>
                <w:color w:val="auto"/>
                <w:spacing w:val="-4"/>
                <w:sz w:val="21"/>
              </w:rPr>
              <w:t>从业开始</w:t>
            </w:r>
            <w:r>
              <w:rPr>
                <w:color w:val="auto"/>
                <w:spacing w:val="-6"/>
                <w:sz w:val="21"/>
              </w:rPr>
              <w:t>时间</w:t>
            </w:r>
          </w:p>
        </w:tc>
        <w:tc>
          <w:tcPr>
            <w:tcW w:w="2298" w:type="dxa"/>
            <w:gridSpan w:val="4"/>
          </w:tcPr>
          <w:p w14:paraId="4E120609">
            <w:pPr>
              <w:pStyle w:val="22"/>
              <w:rPr>
                <w:rFonts w:ascii="Times New Roman"/>
                <w:color w:val="auto"/>
                <w:sz w:val="20"/>
              </w:rPr>
            </w:pPr>
          </w:p>
        </w:tc>
        <w:tc>
          <w:tcPr>
            <w:tcW w:w="1889" w:type="dxa"/>
            <w:gridSpan w:val="4"/>
          </w:tcPr>
          <w:p w14:paraId="0A2DE098">
            <w:pPr>
              <w:pStyle w:val="22"/>
              <w:spacing w:before="173"/>
              <w:ind w:left="320"/>
              <w:rPr>
                <w:color w:val="auto"/>
                <w:sz w:val="21"/>
              </w:rPr>
            </w:pPr>
            <w:r>
              <w:rPr>
                <w:color w:val="auto"/>
                <w:spacing w:val="-4"/>
                <w:sz w:val="21"/>
              </w:rPr>
              <w:t>职称获得时间</w:t>
            </w:r>
          </w:p>
        </w:tc>
        <w:tc>
          <w:tcPr>
            <w:tcW w:w="1583" w:type="dxa"/>
            <w:gridSpan w:val="2"/>
          </w:tcPr>
          <w:p w14:paraId="73F5BC84">
            <w:pPr>
              <w:pStyle w:val="22"/>
              <w:rPr>
                <w:rFonts w:ascii="Times New Roman"/>
                <w:color w:val="auto"/>
                <w:sz w:val="20"/>
              </w:rPr>
            </w:pPr>
          </w:p>
        </w:tc>
        <w:tc>
          <w:tcPr>
            <w:tcW w:w="1160" w:type="dxa"/>
          </w:tcPr>
          <w:p w14:paraId="532A8D6D">
            <w:pPr>
              <w:pStyle w:val="22"/>
              <w:spacing w:before="173"/>
              <w:ind w:right="23"/>
              <w:jc w:val="center"/>
              <w:rPr>
                <w:color w:val="auto"/>
                <w:sz w:val="21"/>
              </w:rPr>
            </w:pPr>
            <w:r>
              <w:rPr>
                <w:color w:val="auto"/>
                <w:spacing w:val="-7"/>
                <w:sz w:val="21"/>
              </w:rPr>
              <w:t>毕业时间</w:t>
            </w:r>
          </w:p>
        </w:tc>
        <w:tc>
          <w:tcPr>
            <w:tcW w:w="1479" w:type="dxa"/>
          </w:tcPr>
          <w:p w14:paraId="10067ACE">
            <w:pPr>
              <w:pStyle w:val="22"/>
              <w:rPr>
                <w:rFonts w:ascii="Times New Roman"/>
                <w:color w:val="auto"/>
                <w:sz w:val="20"/>
              </w:rPr>
            </w:pPr>
          </w:p>
        </w:tc>
      </w:tr>
      <w:tr w14:paraId="46065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192" w:type="dxa"/>
          </w:tcPr>
          <w:p w14:paraId="0105D0A9">
            <w:pPr>
              <w:pStyle w:val="22"/>
              <w:spacing w:before="24"/>
              <w:ind w:left="404" w:right="146" w:hanging="209"/>
              <w:rPr>
                <w:color w:val="auto"/>
                <w:sz w:val="21"/>
              </w:rPr>
            </w:pPr>
            <w:r>
              <w:rPr>
                <w:color w:val="auto"/>
                <w:spacing w:val="-4"/>
                <w:sz w:val="21"/>
              </w:rPr>
              <w:t>担任……</w:t>
            </w:r>
            <w:r>
              <w:rPr>
                <w:color w:val="auto"/>
                <w:spacing w:val="-6"/>
                <w:sz w:val="21"/>
              </w:rPr>
              <w:t>年限</w:t>
            </w:r>
          </w:p>
        </w:tc>
        <w:tc>
          <w:tcPr>
            <w:tcW w:w="2531" w:type="dxa"/>
            <w:gridSpan w:val="5"/>
          </w:tcPr>
          <w:p w14:paraId="7D2B99FF">
            <w:pPr>
              <w:pStyle w:val="22"/>
              <w:rPr>
                <w:rFonts w:ascii="Times New Roman"/>
                <w:color w:val="auto"/>
                <w:sz w:val="20"/>
              </w:rPr>
            </w:pPr>
          </w:p>
        </w:tc>
        <w:tc>
          <w:tcPr>
            <w:tcW w:w="1282" w:type="dxa"/>
          </w:tcPr>
          <w:p w14:paraId="6A4550A2">
            <w:pPr>
              <w:pStyle w:val="22"/>
              <w:spacing w:before="24"/>
              <w:ind w:left="574" w:right="174" w:hanging="317"/>
              <w:rPr>
                <w:color w:val="auto"/>
                <w:sz w:val="21"/>
              </w:rPr>
            </w:pPr>
            <w:r>
              <w:rPr>
                <w:color w:val="auto"/>
                <w:spacing w:val="-4"/>
                <w:sz w:val="21"/>
              </w:rPr>
              <w:t>身份证号</w:t>
            </w:r>
            <w:r>
              <w:rPr>
                <w:color w:val="auto"/>
                <w:spacing w:val="-10"/>
                <w:sz w:val="21"/>
              </w:rPr>
              <w:t>码</w:t>
            </w:r>
          </w:p>
        </w:tc>
        <w:tc>
          <w:tcPr>
            <w:tcW w:w="4596" w:type="dxa"/>
            <w:gridSpan w:val="6"/>
          </w:tcPr>
          <w:p w14:paraId="5E36D97F">
            <w:pPr>
              <w:pStyle w:val="22"/>
              <w:rPr>
                <w:rFonts w:ascii="Times New Roman"/>
                <w:color w:val="auto"/>
                <w:sz w:val="20"/>
              </w:rPr>
            </w:pPr>
          </w:p>
        </w:tc>
      </w:tr>
      <w:tr w14:paraId="3AC1D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192" w:type="dxa"/>
          </w:tcPr>
          <w:p w14:paraId="12FEEA88">
            <w:pPr>
              <w:pStyle w:val="22"/>
              <w:spacing w:before="161"/>
              <w:ind w:left="76" w:right="29"/>
              <w:jc w:val="center"/>
              <w:rPr>
                <w:color w:val="auto"/>
                <w:sz w:val="21"/>
              </w:rPr>
            </w:pPr>
            <w:r>
              <w:rPr>
                <w:color w:val="auto"/>
                <w:spacing w:val="-7"/>
                <w:sz w:val="21"/>
              </w:rPr>
              <w:t>证书名称</w:t>
            </w:r>
          </w:p>
        </w:tc>
        <w:tc>
          <w:tcPr>
            <w:tcW w:w="1312" w:type="dxa"/>
            <w:gridSpan w:val="2"/>
          </w:tcPr>
          <w:p w14:paraId="2B274DCC">
            <w:pPr>
              <w:pStyle w:val="22"/>
              <w:spacing w:before="161"/>
              <w:ind w:left="256"/>
              <w:rPr>
                <w:color w:val="auto"/>
                <w:sz w:val="21"/>
              </w:rPr>
            </w:pPr>
            <w:r>
              <w:rPr>
                <w:color w:val="auto"/>
                <w:spacing w:val="-7"/>
                <w:sz w:val="21"/>
              </w:rPr>
              <w:t>注册专业</w:t>
            </w:r>
          </w:p>
        </w:tc>
        <w:tc>
          <w:tcPr>
            <w:tcW w:w="1219" w:type="dxa"/>
            <w:gridSpan w:val="3"/>
          </w:tcPr>
          <w:p w14:paraId="540FDF0E">
            <w:pPr>
              <w:pStyle w:val="22"/>
              <w:spacing w:before="161"/>
              <w:ind w:left="403"/>
              <w:rPr>
                <w:color w:val="auto"/>
                <w:sz w:val="21"/>
              </w:rPr>
            </w:pPr>
            <w:r>
              <w:rPr>
                <w:color w:val="auto"/>
                <w:spacing w:val="-8"/>
                <w:sz w:val="21"/>
              </w:rPr>
              <w:t>级别</w:t>
            </w:r>
          </w:p>
        </w:tc>
        <w:tc>
          <w:tcPr>
            <w:tcW w:w="1415" w:type="dxa"/>
            <w:gridSpan w:val="2"/>
          </w:tcPr>
          <w:p w14:paraId="1A4BDE99">
            <w:pPr>
              <w:pStyle w:val="22"/>
              <w:spacing w:before="161"/>
              <w:ind w:left="293"/>
              <w:rPr>
                <w:color w:val="auto"/>
                <w:sz w:val="21"/>
              </w:rPr>
            </w:pPr>
            <w:r>
              <w:rPr>
                <w:color w:val="auto"/>
                <w:spacing w:val="-7"/>
                <w:sz w:val="21"/>
              </w:rPr>
              <w:t>证书编号</w:t>
            </w:r>
          </w:p>
        </w:tc>
        <w:tc>
          <w:tcPr>
            <w:tcW w:w="1376" w:type="dxa"/>
            <w:gridSpan w:val="2"/>
          </w:tcPr>
          <w:p w14:paraId="4738E024">
            <w:pPr>
              <w:pStyle w:val="22"/>
              <w:spacing w:before="161"/>
              <w:ind w:left="294"/>
              <w:rPr>
                <w:color w:val="auto"/>
                <w:sz w:val="21"/>
              </w:rPr>
            </w:pPr>
            <w:r>
              <w:rPr>
                <w:color w:val="auto"/>
                <w:spacing w:val="-7"/>
                <w:sz w:val="21"/>
              </w:rPr>
              <w:t>注册时间</w:t>
            </w:r>
          </w:p>
        </w:tc>
        <w:tc>
          <w:tcPr>
            <w:tcW w:w="1608" w:type="dxa"/>
            <w:gridSpan w:val="2"/>
          </w:tcPr>
          <w:p w14:paraId="247933B4">
            <w:pPr>
              <w:pStyle w:val="22"/>
              <w:spacing w:before="161"/>
              <w:ind w:left="444"/>
              <w:rPr>
                <w:color w:val="auto"/>
                <w:sz w:val="21"/>
              </w:rPr>
            </w:pPr>
            <w:r>
              <w:rPr>
                <w:color w:val="auto"/>
                <w:spacing w:val="-7"/>
                <w:sz w:val="21"/>
              </w:rPr>
              <w:t>注册单位</w:t>
            </w:r>
          </w:p>
        </w:tc>
        <w:tc>
          <w:tcPr>
            <w:tcW w:w="1479" w:type="dxa"/>
          </w:tcPr>
          <w:p w14:paraId="021C306F">
            <w:pPr>
              <w:pStyle w:val="22"/>
              <w:spacing w:before="161"/>
              <w:ind w:left="100"/>
              <w:jc w:val="center"/>
              <w:rPr>
                <w:color w:val="auto"/>
                <w:sz w:val="21"/>
              </w:rPr>
            </w:pPr>
            <w:r>
              <w:rPr>
                <w:color w:val="auto"/>
                <w:spacing w:val="-4"/>
                <w:sz w:val="21"/>
              </w:rPr>
              <w:t>注册有效期</w:t>
            </w:r>
          </w:p>
        </w:tc>
      </w:tr>
      <w:tr w14:paraId="78891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1192" w:type="dxa"/>
          </w:tcPr>
          <w:p w14:paraId="564E9BC9">
            <w:pPr>
              <w:pStyle w:val="22"/>
              <w:spacing w:line="237" w:lineRule="auto"/>
              <w:ind w:left="195" w:right="146"/>
              <w:jc w:val="center"/>
              <w:rPr>
                <w:color w:val="auto"/>
                <w:sz w:val="21"/>
              </w:rPr>
            </w:pPr>
            <w:r>
              <w:rPr>
                <w:color w:val="auto"/>
                <w:spacing w:val="-4"/>
                <w:sz w:val="21"/>
              </w:rPr>
              <w:t>安全生产</w:t>
            </w:r>
            <w:r>
              <w:rPr>
                <w:color w:val="auto"/>
                <w:spacing w:val="-7"/>
                <w:sz w:val="21"/>
              </w:rPr>
              <w:t>考核合格</w:t>
            </w:r>
          </w:p>
          <w:p w14:paraId="33888747">
            <w:pPr>
              <w:pStyle w:val="22"/>
              <w:spacing w:before="1" w:line="255" w:lineRule="exact"/>
              <w:ind w:left="73" w:right="29"/>
              <w:jc w:val="center"/>
              <w:rPr>
                <w:color w:val="auto"/>
                <w:sz w:val="21"/>
              </w:rPr>
            </w:pPr>
            <w:r>
              <w:rPr>
                <w:color w:val="auto"/>
                <w:spacing w:val="-8"/>
                <w:sz w:val="21"/>
              </w:rPr>
              <w:t>证书</w:t>
            </w:r>
          </w:p>
        </w:tc>
        <w:tc>
          <w:tcPr>
            <w:tcW w:w="1312" w:type="dxa"/>
            <w:gridSpan w:val="2"/>
          </w:tcPr>
          <w:p w14:paraId="5F29CE9A">
            <w:pPr>
              <w:pStyle w:val="22"/>
              <w:rPr>
                <w:rFonts w:ascii="Times New Roman"/>
                <w:color w:val="auto"/>
                <w:sz w:val="20"/>
              </w:rPr>
            </w:pPr>
          </w:p>
        </w:tc>
        <w:tc>
          <w:tcPr>
            <w:tcW w:w="1219" w:type="dxa"/>
            <w:gridSpan w:val="3"/>
          </w:tcPr>
          <w:p w14:paraId="42B16400">
            <w:pPr>
              <w:pStyle w:val="22"/>
              <w:spacing w:before="268"/>
              <w:ind w:left="410"/>
              <w:rPr>
                <w:color w:val="auto"/>
                <w:sz w:val="21"/>
              </w:rPr>
            </w:pPr>
            <w:r>
              <w:rPr>
                <w:rFonts w:ascii="Times New Roman" w:eastAsia="Times New Roman"/>
                <w:color w:val="auto"/>
                <w:sz w:val="21"/>
              </w:rPr>
              <w:t>C</w:t>
            </w:r>
            <w:r>
              <w:rPr>
                <w:rFonts w:ascii="Times New Roman" w:eastAsia="Times New Roman"/>
                <w:color w:val="auto"/>
                <w:spacing w:val="-2"/>
                <w:sz w:val="21"/>
              </w:rPr>
              <w:t xml:space="preserve"> </w:t>
            </w:r>
            <w:r>
              <w:rPr>
                <w:color w:val="auto"/>
                <w:spacing w:val="-10"/>
                <w:sz w:val="21"/>
              </w:rPr>
              <w:t>类</w:t>
            </w:r>
          </w:p>
        </w:tc>
        <w:tc>
          <w:tcPr>
            <w:tcW w:w="1415" w:type="dxa"/>
            <w:gridSpan w:val="2"/>
          </w:tcPr>
          <w:p w14:paraId="14F8AFDB">
            <w:pPr>
              <w:pStyle w:val="22"/>
              <w:rPr>
                <w:rFonts w:ascii="Times New Roman"/>
                <w:color w:val="auto"/>
                <w:sz w:val="20"/>
              </w:rPr>
            </w:pPr>
          </w:p>
        </w:tc>
        <w:tc>
          <w:tcPr>
            <w:tcW w:w="1376" w:type="dxa"/>
            <w:gridSpan w:val="2"/>
          </w:tcPr>
          <w:p w14:paraId="6151E1CF">
            <w:pPr>
              <w:pStyle w:val="22"/>
              <w:rPr>
                <w:rFonts w:ascii="Times New Roman"/>
                <w:color w:val="auto"/>
                <w:sz w:val="20"/>
              </w:rPr>
            </w:pPr>
          </w:p>
        </w:tc>
        <w:tc>
          <w:tcPr>
            <w:tcW w:w="1608" w:type="dxa"/>
            <w:gridSpan w:val="2"/>
          </w:tcPr>
          <w:p w14:paraId="7559978E">
            <w:pPr>
              <w:pStyle w:val="22"/>
              <w:rPr>
                <w:rFonts w:ascii="Times New Roman"/>
                <w:color w:val="auto"/>
                <w:sz w:val="20"/>
              </w:rPr>
            </w:pPr>
          </w:p>
        </w:tc>
        <w:tc>
          <w:tcPr>
            <w:tcW w:w="1479" w:type="dxa"/>
          </w:tcPr>
          <w:p w14:paraId="79027B07">
            <w:pPr>
              <w:pStyle w:val="22"/>
              <w:rPr>
                <w:rFonts w:ascii="Times New Roman"/>
                <w:color w:val="auto"/>
                <w:sz w:val="20"/>
              </w:rPr>
            </w:pPr>
          </w:p>
        </w:tc>
      </w:tr>
      <w:tr w14:paraId="7BD7A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192" w:type="dxa"/>
          </w:tcPr>
          <w:p w14:paraId="3203EA3F">
            <w:pPr>
              <w:pStyle w:val="22"/>
              <w:rPr>
                <w:rFonts w:ascii="Times New Roman"/>
                <w:color w:val="auto"/>
                <w:sz w:val="20"/>
              </w:rPr>
            </w:pPr>
          </w:p>
        </w:tc>
        <w:tc>
          <w:tcPr>
            <w:tcW w:w="1312" w:type="dxa"/>
            <w:gridSpan w:val="2"/>
          </w:tcPr>
          <w:p w14:paraId="7682897F">
            <w:pPr>
              <w:pStyle w:val="22"/>
              <w:rPr>
                <w:rFonts w:ascii="Times New Roman"/>
                <w:color w:val="auto"/>
                <w:sz w:val="20"/>
              </w:rPr>
            </w:pPr>
          </w:p>
        </w:tc>
        <w:tc>
          <w:tcPr>
            <w:tcW w:w="1219" w:type="dxa"/>
            <w:gridSpan w:val="3"/>
          </w:tcPr>
          <w:p w14:paraId="31A1961B">
            <w:pPr>
              <w:pStyle w:val="22"/>
              <w:rPr>
                <w:rFonts w:ascii="Times New Roman"/>
                <w:color w:val="auto"/>
                <w:sz w:val="20"/>
              </w:rPr>
            </w:pPr>
          </w:p>
        </w:tc>
        <w:tc>
          <w:tcPr>
            <w:tcW w:w="1415" w:type="dxa"/>
            <w:gridSpan w:val="2"/>
          </w:tcPr>
          <w:p w14:paraId="74207D1B">
            <w:pPr>
              <w:pStyle w:val="22"/>
              <w:rPr>
                <w:rFonts w:ascii="Times New Roman"/>
                <w:color w:val="auto"/>
                <w:sz w:val="20"/>
              </w:rPr>
            </w:pPr>
          </w:p>
        </w:tc>
        <w:tc>
          <w:tcPr>
            <w:tcW w:w="1376" w:type="dxa"/>
            <w:gridSpan w:val="2"/>
          </w:tcPr>
          <w:p w14:paraId="647DD533">
            <w:pPr>
              <w:pStyle w:val="22"/>
              <w:rPr>
                <w:rFonts w:ascii="Times New Roman"/>
                <w:color w:val="auto"/>
                <w:sz w:val="20"/>
              </w:rPr>
            </w:pPr>
          </w:p>
        </w:tc>
        <w:tc>
          <w:tcPr>
            <w:tcW w:w="1608" w:type="dxa"/>
            <w:gridSpan w:val="2"/>
          </w:tcPr>
          <w:p w14:paraId="200A9F09">
            <w:pPr>
              <w:pStyle w:val="22"/>
              <w:rPr>
                <w:rFonts w:ascii="Times New Roman"/>
                <w:color w:val="auto"/>
                <w:sz w:val="20"/>
              </w:rPr>
            </w:pPr>
          </w:p>
        </w:tc>
        <w:tc>
          <w:tcPr>
            <w:tcW w:w="1479" w:type="dxa"/>
          </w:tcPr>
          <w:p w14:paraId="4F12BB99">
            <w:pPr>
              <w:pStyle w:val="22"/>
              <w:rPr>
                <w:rFonts w:ascii="Times New Roman"/>
                <w:color w:val="auto"/>
                <w:sz w:val="20"/>
              </w:rPr>
            </w:pPr>
          </w:p>
        </w:tc>
      </w:tr>
      <w:tr w14:paraId="5FE2A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9601" w:type="dxa"/>
            <w:gridSpan w:val="13"/>
          </w:tcPr>
          <w:p w14:paraId="0C53AEAC">
            <w:pPr>
              <w:pStyle w:val="22"/>
              <w:spacing w:before="171"/>
              <w:ind w:left="26"/>
              <w:jc w:val="center"/>
              <w:rPr>
                <w:color w:val="auto"/>
                <w:sz w:val="21"/>
              </w:rPr>
            </w:pPr>
            <w:r>
              <w:rPr>
                <w:color w:val="auto"/>
                <w:spacing w:val="-3"/>
                <w:sz w:val="21"/>
              </w:rPr>
              <w:t>在建和已完工程项目情况</w:t>
            </w:r>
          </w:p>
        </w:tc>
      </w:tr>
      <w:tr w14:paraId="6EF55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625" w:type="dxa"/>
            <w:gridSpan w:val="2"/>
          </w:tcPr>
          <w:p w14:paraId="77E6E5F6">
            <w:pPr>
              <w:pStyle w:val="22"/>
              <w:rPr>
                <w:rFonts w:ascii="Times New Roman"/>
                <w:color w:val="auto"/>
                <w:sz w:val="20"/>
              </w:rPr>
            </w:pPr>
          </w:p>
        </w:tc>
        <w:tc>
          <w:tcPr>
            <w:tcW w:w="1546" w:type="dxa"/>
            <w:gridSpan w:val="2"/>
          </w:tcPr>
          <w:p w14:paraId="45B26E10">
            <w:pPr>
              <w:pStyle w:val="22"/>
              <w:spacing w:before="160"/>
              <w:ind w:left="485"/>
              <w:rPr>
                <w:rFonts w:ascii="Times New Roman" w:eastAsia="Times New Roman"/>
                <w:color w:val="auto"/>
                <w:sz w:val="21"/>
              </w:rPr>
            </w:pPr>
            <w:r>
              <w:rPr>
                <w:color w:val="auto"/>
                <w:spacing w:val="-19"/>
                <w:sz w:val="21"/>
              </w:rPr>
              <w:t xml:space="preserve">项目 </w:t>
            </w:r>
            <w:r>
              <w:rPr>
                <w:rFonts w:ascii="Times New Roman" w:eastAsia="Times New Roman"/>
                <w:color w:val="auto"/>
                <w:spacing w:val="-10"/>
                <w:sz w:val="21"/>
              </w:rPr>
              <w:t>1</w:t>
            </w:r>
          </w:p>
        </w:tc>
        <w:tc>
          <w:tcPr>
            <w:tcW w:w="1834" w:type="dxa"/>
            <w:gridSpan w:val="3"/>
          </w:tcPr>
          <w:p w14:paraId="7B9C0142">
            <w:pPr>
              <w:pStyle w:val="22"/>
              <w:spacing w:before="160"/>
              <w:ind w:left="17"/>
              <w:jc w:val="center"/>
              <w:rPr>
                <w:rFonts w:ascii="Times New Roman" w:eastAsia="Times New Roman"/>
                <w:color w:val="auto"/>
                <w:sz w:val="21"/>
              </w:rPr>
            </w:pPr>
            <w:r>
              <w:rPr>
                <w:color w:val="auto"/>
                <w:spacing w:val="-19"/>
                <w:sz w:val="21"/>
              </w:rPr>
              <w:t xml:space="preserve">项目 </w:t>
            </w:r>
            <w:r>
              <w:rPr>
                <w:rFonts w:ascii="Times New Roman" w:eastAsia="Times New Roman"/>
                <w:color w:val="auto"/>
                <w:spacing w:val="-10"/>
                <w:sz w:val="21"/>
              </w:rPr>
              <w:t>2</w:t>
            </w:r>
          </w:p>
        </w:tc>
        <w:tc>
          <w:tcPr>
            <w:tcW w:w="1509" w:type="dxa"/>
            <w:gridSpan w:val="3"/>
          </w:tcPr>
          <w:p w14:paraId="69A77F45">
            <w:pPr>
              <w:pStyle w:val="22"/>
              <w:spacing w:before="160"/>
              <w:ind w:left="451"/>
              <w:rPr>
                <w:rFonts w:ascii="Times New Roman" w:eastAsia="Times New Roman"/>
                <w:color w:val="auto"/>
                <w:sz w:val="21"/>
              </w:rPr>
            </w:pPr>
            <w:r>
              <w:rPr>
                <w:color w:val="auto"/>
                <w:spacing w:val="-19"/>
                <w:sz w:val="21"/>
              </w:rPr>
              <w:t xml:space="preserve">项目 </w:t>
            </w:r>
            <w:r>
              <w:rPr>
                <w:rFonts w:ascii="Times New Roman" w:eastAsia="Times New Roman"/>
                <w:color w:val="auto"/>
                <w:spacing w:val="-10"/>
                <w:sz w:val="21"/>
              </w:rPr>
              <w:t>3</w:t>
            </w:r>
          </w:p>
        </w:tc>
        <w:tc>
          <w:tcPr>
            <w:tcW w:w="1608" w:type="dxa"/>
            <w:gridSpan w:val="2"/>
          </w:tcPr>
          <w:p w14:paraId="5F5A269D">
            <w:pPr>
              <w:pStyle w:val="22"/>
              <w:spacing w:before="160"/>
              <w:ind w:left="500"/>
              <w:rPr>
                <w:rFonts w:ascii="Times New Roman" w:eastAsia="Times New Roman"/>
                <w:color w:val="auto"/>
                <w:sz w:val="21"/>
              </w:rPr>
            </w:pPr>
            <w:r>
              <w:rPr>
                <w:color w:val="auto"/>
                <w:spacing w:val="-20"/>
                <w:sz w:val="21"/>
              </w:rPr>
              <w:t xml:space="preserve">项目 </w:t>
            </w:r>
            <w:r>
              <w:rPr>
                <w:rFonts w:ascii="Times New Roman" w:eastAsia="Times New Roman"/>
                <w:color w:val="auto"/>
                <w:spacing w:val="-10"/>
                <w:sz w:val="21"/>
              </w:rPr>
              <w:t>4</w:t>
            </w:r>
          </w:p>
        </w:tc>
        <w:tc>
          <w:tcPr>
            <w:tcW w:w="1479" w:type="dxa"/>
          </w:tcPr>
          <w:p w14:paraId="2ED0BC8D">
            <w:pPr>
              <w:pStyle w:val="22"/>
              <w:spacing w:before="160"/>
              <w:ind w:left="100" w:right="84"/>
              <w:jc w:val="center"/>
              <w:rPr>
                <w:color w:val="auto"/>
                <w:sz w:val="21"/>
              </w:rPr>
            </w:pPr>
            <w:r>
              <w:rPr>
                <w:color w:val="auto"/>
                <w:spacing w:val="-5"/>
                <w:sz w:val="21"/>
              </w:rPr>
              <w:t>……</w:t>
            </w:r>
          </w:p>
        </w:tc>
      </w:tr>
      <w:tr w14:paraId="19007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625" w:type="dxa"/>
            <w:gridSpan w:val="2"/>
          </w:tcPr>
          <w:p w14:paraId="520CCED5">
            <w:pPr>
              <w:pStyle w:val="22"/>
              <w:spacing w:before="159"/>
              <w:ind w:left="392"/>
              <w:rPr>
                <w:color w:val="auto"/>
                <w:sz w:val="21"/>
              </w:rPr>
            </w:pPr>
            <w:r>
              <w:rPr>
                <w:color w:val="auto"/>
                <w:spacing w:val="-7"/>
                <w:sz w:val="21"/>
              </w:rPr>
              <w:t>项目名称</w:t>
            </w:r>
          </w:p>
        </w:tc>
        <w:tc>
          <w:tcPr>
            <w:tcW w:w="1546" w:type="dxa"/>
            <w:gridSpan w:val="2"/>
          </w:tcPr>
          <w:p w14:paraId="790603FF">
            <w:pPr>
              <w:pStyle w:val="22"/>
              <w:rPr>
                <w:rFonts w:ascii="Times New Roman"/>
                <w:color w:val="auto"/>
                <w:sz w:val="20"/>
              </w:rPr>
            </w:pPr>
          </w:p>
        </w:tc>
        <w:tc>
          <w:tcPr>
            <w:tcW w:w="1834" w:type="dxa"/>
            <w:gridSpan w:val="3"/>
          </w:tcPr>
          <w:p w14:paraId="1F417549">
            <w:pPr>
              <w:pStyle w:val="22"/>
              <w:rPr>
                <w:rFonts w:ascii="Times New Roman"/>
                <w:color w:val="auto"/>
                <w:sz w:val="20"/>
              </w:rPr>
            </w:pPr>
          </w:p>
        </w:tc>
        <w:tc>
          <w:tcPr>
            <w:tcW w:w="1509" w:type="dxa"/>
            <w:gridSpan w:val="3"/>
          </w:tcPr>
          <w:p w14:paraId="6036341A">
            <w:pPr>
              <w:pStyle w:val="22"/>
              <w:rPr>
                <w:rFonts w:ascii="Times New Roman"/>
                <w:color w:val="auto"/>
                <w:sz w:val="20"/>
              </w:rPr>
            </w:pPr>
          </w:p>
        </w:tc>
        <w:tc>
          <w:tcPr>
            <w:tcW w:w="1608" w:type="dxa"/>
            <w:gridSpan w:val="2"/>
          </w:tcPr>
          <w:p w14:paraId="70FC8BEE">
            <w:pPr>
              <w:pStyle w:val="22"/>
              <w:rPr>
                <w:rFonts w:ascii="Times New Roman"/>
                <w:color w:val="auto"/>
                <w:sz w:val="20"/>
              </w:rPr>
            </w:pPr>
          </w:p>
        </w:tc>
        <w:tc>
          <w:tcPr>
            <w:tcW w:w="1479" w:type="dxa"/>
          </w:tcPr>
          <w:p w14:paraId="65C1F280">
            <w:pPr>
              <w:pStyle w:val="22"/>
              <w:rPr>
                <w:rFonts w:ascii="Times New Roman"/>
                <w:color w:val="auto"/>
                <w:sz w:val="20"/>
              </w:rPr>
            </w:pPr>
          </w:p>
        </w:tc>
      </w:tr>
      <w:tr w14:paraId="3E569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1625" w:type="dxa"/>
            <w:gridSpan w:val="2"/>
          </w:tcPr>
          <w:p w14:paraId="697D8B2E">
            <w:pPr>
              <w:pStyle w:val="22"/>
              <w:spacing w:before="130"/>
              <w:ind w:left="392"/>
              <w:rPr>
                <w:color w:val="auto"/>
                <w:sz w:val="21"/>
              </w:rPr>
            </w:pPr>
            <w:r>
              <w:rPr>
                <w:color w:val="auto"/>
                <w:spacing w:val="-7"/>
                <w:sz w:val="21"/>
              </w:rPr>
              <w:t>建设单位</w:t>
            </w:r>
          </w:p>
        </w:tc>
        <w:tc>
          <w:tcPr>
            <w:tcW w:w="1546" w:type="dxa"/>
            <w:gridSpan w:val="2"/>
          </w:tcPr>
          <w:p w14:paraId="087BB2DA">
            <w:pPr>
              <w:pStyle w:val="22"/>
              <w:rPr>
                <w:rFonts w:ascii="Times New Roman"/>
                <w:color w:val="auto"/>
                <w:sz w:val="20"/>
              </w:rPr>
            </w:pPr>
          </w:p>
        </w:tc>
        <w:tc>
          <w:tcPr>
            <w:tcW w:w="1834" w:type="dxa"/>
            <w:gridSpan w:val="3"/>
          </w:tcPr>
          <w:p w14:paraId="25E5C003">
            <w:pPr>
              <w:pStyle w:val="22"/>
              <w:rPr>
                <w:rFonts w:ascii="Times New Roman"/>
                <w:color w:val="auto"/>
                <w:sz w:val="20"/>
              </w:rPr>
            </w:pPr>
          </w:p>
        </w:tc>
        <w:tc>
          <w:tcPr>
            <w:tcW w:w="1509" w:type="dxa"/>
            <w:gridSpan w:val="3"/>
          </w:tcPr>
          <w:p w14:paraId="42ECA0AA">
            <w:pPr>
              <w:pStyle w:val="22"/>
              <w:rPr>
                <w:rFonts w:ascii="Times New Roman"/>
                <w:color w:val="auto"/>
                <w:sz w:val="20"/>
              </w:rPr>
            </w:pPr>
          </w:p>
        </w:tc>
        <w:tc>
          <w:tcPr>
            <w:tcW w:w="1608" w:type="dxa"/>
            <w:gridSpan w:val="2"/>
          </w:tcPr>
          <w:p w14:paraId="5D254087">
            <w:pPr>
              <w:pStyle w:val="22"/>
              <w:rPr>
                <w:rFonts w:ascii="Times New Roman"/>
                <w:color w:val="auto"/>
                <w:sz w:val="20"/>
              </w:rPr>
            </w:pPr>
          </w:p>
        </w:tc>
        <w:tc>
          <w:tcPr>
            <w:tcW w:w="1479" w:type="dxa"/>
          </w:tcPr>
          <w:p w14:paraId="24B5EC32">
            <w:pPr>
              <w:pStyle w:val="22"/>
              <w:rPr>
                <w:rFonts w:ascii="Times New Roman"/>
                <w:color w:val="auto"/>
                <w:sz w:val="20"/>
              </w:rPr>
            </w:pPr>
          </w:p>
        </w:tc>
      </w:tr>
      <w:tr w14:paraId="44843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1625" w:type="dxa"/>
            <w:gridSpan w:val="2"/>
          </w:tcPr>
          <w:p w14:paraId="217AC58E">
            <w:pPr>
              <w:pStyle w:val="22"/>
              <w:spacing w:before="131"/>
              <w:ind w:left="392"/>
              <w:rPr>
                <w:color w:val="auto"/>
                <w:sz w:val="21"/>
              </w:rPr>
            </w:pPr>
            <w:r>
              <w:rPr>
                <w:color w:val="auto"/>
                <w:spacing w:val="-7"/>
                <w:sz w:val="21"/>
              </w:rPr>
              <w:t>建设规模</w:t>
            </w:r>
          </w:p>
        </w:tc>
        <w:tc>
          <w:tcPr>
            <w:tcW w:w="1546" w:type="dxa"/>
            <w:gridSpan w:val="2"/>
          </w:tcPr>
          <w:p w14:paraId="2B2D18EF">
            <w:pPr>
              <w:pStyle w:val="22"/>
              <w:rPr>
                <w:rFonts w:ascii="Times New Roman"/>
                <w:color w:val="auto"/>
                <w:sz w:val="20"/>
              </w:rPr>
            </w:pPr>
          </w:p>
        </w:tc>
        <w:tc>
          <w:tcPr>
            <w:tcW w:w="1834" w:type="dxa"/>
            <w:gridSpan w:val="3"/>
          </w:tcPr>
          <w:p w14:paraId="2231E99D">
            <w:pPr>
              <w:pStyle w:val="22"/>
              <w:rPr>
                <w:rFonts w:ascii="Times New Roman"/>
                <w:color w:val="auto"/>
                <w:sz w:val="20"/>
              </w:rPr>
            </w:pPr>
          </w:p>
        </w:tc>
        <w:tc>
          <w:tcPr>
            <w:tcW w:w="1509" w:type="dxa"/>
            <w:gridSpan w:val="3"/>
          </w:tcPr>
          <w:p w14:paraId="1FD498AC">
            <w:pPr>
              <w:pStyle w:val="22"/>
              <w:rPr>
                <w:rFonts w:ascii="Times New Roman"/>
                <w:color w:val="auto"/>
                <w:sz w:val="20"/>
              </w:rPr>
            </w:pPr>
          </w:p>
        </w:tc>
        <w:tc>
          <w:tcPr>
            <w:tcW w:w="1608" w:type="dxa"/>
            <w:gridSpan w:val="2"/>
          </w:tcPr>
          <w:p w14:paraId="5EE84018">
            <w:pPr>
              <w:pStyle w:val="22"/>
              <w:rPr>
                <w:rFonts w:ascii="Times New Roman"/>
                <w:color w:val="auto"/>
                <w:sz w:val="20"/>
              </w:rPr>
            </w:pPr>
          </w:p>
        </w:tc>
        <w:tc>
          <w:tcPr>
            <w:tcW w:w="1479" w:type="dxa"/>
          </w:tcPr>
          <w:p w14:paraId="4DB9ECB3">
            <w:pPr>
              <w:pStyle w:val="22"/>
              <w:rPr>
                <w:rFonts w:ascii="Times New Roman"/>
                <w:color w:val="auto"/>
                <w:sz w:val="20"/>
              </w:rPr>
            </w:pPr>
          </w:p>
        </w:tc>
      </w:tr>
      <w:tr w14:paraId="33402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1625" w:type="dxa"/>
            <w:gridSpan w:val="2"/>
          </w:tcPr>
          <w:p w14:paraId="789F88A6">
            <w:pPr>
              <w:pStyle w:val="22"/>
              <w:spacing w:before="130"/>
              <w:ind w:left="392"/>
              <w:rPr>
                <w:color w:val="auto"/>
                <w:sz w:val="21"/>
              </w:rPr>
            </w:pPr>
            <w:r>
              <w:rPr>
                <w:color w:val="auto"/>
                <w:spacing w:val="-7"/>
                <w:sz w:val="21"/>
              </w:rPr>
              <w:t>开工日期</w:t>
            </w:r>
          </w:p>
        </w:tc>
        <w:tc>
          <w:tcPr>
            <w:tcW w:w="1546" w:type="dxa"/>
            <w:gridSpan w:val="2"/>
          </w:tcPr>
          <w:p w14:paraId="243B94C7">
            <w:pPr>
              <w:pStyle w:val="22"/>
              <w:rPr>
                <w:rFonts w:ascii="Times New Roman"/>
                <w:color w:val="auto"/>
                <w:sz w:val="20"/>
              </w:rPr>
            </w:pPr>
          </w:p>
        </w:tc>
        <w:tc>
          <w:tcPr>
            <w:tcW w:w="1834" w:type="dxa"/>
            <w:gridSpan w:val="3"/>
          </w:tcPr>
          <w:p w14:paraId="1696A1DD">
            <w:pPr>
              <w:pStyle w:val="22"/>
              <w:rPr>
                <w:rFonts w:ascii="Times New Roman"/>
                <w:color w:val="auto"/>
                <w:sz w:val="20"/>
              </w:rPr>
            </w:pPr>
          </w:p>
        </w:tc>
        <w:tc>
          <w:tcPr>
            <w:tcW w:w="1509" w:type="dxa"/>
            <w:gridSpan w:val="3"/>
          </w:tcPr>
          <w:p w14:paraId="6EEBE510">
            <w:pPr>
              <w:pStyle w:val="22"/>
              <w:rPr>
                <w:rFonts w:ascii="Times New Roman"/>
                <w:color w:val="auto"/>
                <w:sz w:val="20"/>
              </w:rPr>
            </w:pPr>
          </w:p>
        </w:tc>
        <w:tc>
          <w:tcPr>
            <w:tcW w:w="1608" w:type="dxa"/>
            <w:gridSpan w:val="2"/>
          </w:tcPr>
          <w:p w14:paraId="27B9C49E">
            <w:pPr>
              <w:pStyle w:val="22"/>
              <w:rPr>
                <w:rFonts w:ascii="Times New Roman"/>
                <w:color w:val="auto"/>
                <w:sz w:val="20"/>
              </w:rPr>
            </w:pPr>
          </w:p>
        </w:tc>
        <w:tc>
          <w:tcPr>
            <w:tcW w:w="1479" w:type="dxa"/>
          </w:tcPr>
          <w:p w14:paraId="3175C88E">
            <w:pPr>
              <w:pStyle w:val="22"/>
              <w:rPr>
                <w:rFonts w:ascii="Times New Roman"/>
                <w:color w:val="auto"/>
                <w:sz w:val="20"/>
              </w:rPr>
            </w:pPr>
          </w:p>
        </w:tc>
      </w:tr>
      <w:tr w14:paraId="1A7BCB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1625" w:type="dxa"/>
            <w:gridSpan w:val="2"/>
          </w:tcPr>
          <w:p w14:paraId="55F3B334">
            <w:pPr>
              <w:pStyle w:val="22"/>
              <w:spacing w:before="136"/>
              <w:ind w:left="392"/>
              <w:rPr>
                <w:color w:val="auto"/>
                <w:sz w:val="21"/>
              </w:rPr>
            </w:pPr>
            <w:r>
              <w:rPr>
                <w:color w:val="auto"/>
                <w:spacing w:val="-7"/>
                <w:sz w:val="21"/>
              </w:rPr>
              <w:t>竣工日期</w:t>
            </w:r>
          </w:p>
        </w:tc>
        <w:tc>
          <w:tcPr>
            <w:tcW w:w="1546" w:type="dxa"/>
            <w:gridSpan w:val="2"/>
          </w:tcPr>
          <w:p w14:paraId="408614C8">
            <w:pPr>
              <w:pStyle w:val="22"/>
              <w:rPr>
                <w:rFonts w:ascii="Times New Roman"/>
                <w:color w:val="auto"/>
                <w:sz w:val="20"/>
              </w:rPr>
            </w:pPr>
          </w:p>
        </w:tc>
        <w:tc>
          <w:tcPr>
            <w:tcW w:w="1834" w:type="dxa"/>
            <w:gridSpan w:val="3"/>
          </w:tcPr>
          <w:p w14:paraId="53494D45">
            <w:pPr>
              <w:pStyle w:val="22"/>
              <w:rPr>
                <w:rFonts w:ascii="Times New Roman"/>
                <w:color w:val="auto"/>
                <w:sz w:val="20"/>
              </w:rPr>
            </w:pPr>
          </w:p>
        </w:tc>
        <w:tc>
          <w:tcPr>
            <w:tcW w:w="1509" w:type="dxa"/>
            <w:gridSpan w:val="3"/>
          </w:tcPr>
          <w:p w14:paraId="075AB3EB">
            <w:pPr>
              <w:pStyle w:val="22"/>
              <w:rPr>
                <w:rFonts w:ascii="Times New Roman"/>
                <w:color w:val="auto"/>
                <w:sz w:val="20"/>
              </w:rPr>
            </w:pPr>
          </w:p>
        </w:tc>
        <w:tc>
          <w:tcPr>
            <w:tcW w:w="1608" w:type="dxa"/>
            <w:gridSpan w:val="2"/>
          </w:tcPr>
          <w:p w14:paraId="7A552423">
            <w:pPr>
              <w:pStyle w:val="22"/>
              <w:rPr>
                <w:rFonts w:ascii="Times New Roman"/>
                <w:color w:val="auto"/>
                <w:sz w:val="20"/>
              </w:rPr>
            </w:pPr>
          </w:p>
        </w:tc>
        <w:tc>
          <w:tcPr>
            <w:tcW w:w="1479" w:type="dxa"/>
          </w:tcPr>
          <w:p w14:paraId="184F57AA">
            <w:pPr>
              <w:pStyle w:val="22"/>
              <w:rPr>
                <w:rFonts w:ascii="Times New Roman"/>
                <w:color w:val="auto"/>
                <w:sz w:val="20"/>
              </w:rPr>
            </w:pPr>
          </w:p>
        </w:tc>
      </w:tr>
      <w:tr w14:paraId="5A927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625" w:type="dxa"/>
            <w:gridSpan w:val="2"/>
          </w:tcPr>
          <w:p w14:paraId="5CFA7E2A">
            <w:pPr>
              <w:pStyle w:val="22"/>
              <w:spacing w:before="136"/>
              <w:ind w:left="392"/>
              <w:rPr>
                <w:color w:val="auto"/>
                <w:sz w:val="21"/>
              </w:rPr>
            </w:pPr>
            <w:r>
              <w:rPr>
                <w:color w:val="auto"/>
                <w:spacing w:val="-7"/>
                <w:sz w:val="21"/>
              </w:rPr>
              <w:t>人员角色</w:t>
            </w:r>
          </w:p>
        </w:tc>
        <w:tc>
          <w:tcPr>
            <w:tcW w:w="1546" w:type="dxa"/>
            <w:gridSpan w:val="2"/>
          </w:tcPr>
          <w:p w14:paraId="4930FC75">
            <w:pPr>
              <w:pStyle w:val="22"/>
              <w:rPr>
                <w:rFonts w:ascii="Times New Roman"/>
                <w:color w:val="auto"/>
                <w:sz w:val="20"/>
              </w:rPr>
            </w:pPr>
          </w:p>
        </w:tc>
        <w:tc>
          <w:tcPr>
            <w:tcW w:w="1834" w:type="dxa"/>
            <w:gridSpan w:val="3"/>
          </w:tcPr>
          <w:p w14:paraId="74579F50">
            <w:pPr>
              <w:pStyle w:val="22"/>
              <w:rPr>
                <w:rFonts w:ascii="Times New Roman"/>
                <w:color w:val="auto"/>
                <w:sz w:val="20"/>
              </w:rPr>
            </w:pPr>
          </w:p>
        </w:tc>
        <w:tc>
          <w:tcPr>
            <w:tcW w:w="1509" w:type="dxa"/>
            <w:gridSpan w:val="3"/>
          </w:tcPr>
          <w:p w14:paraId="41A34946">
            <w:pPr>
              <w:pStyle w:val="22"/>
              <w:rPr>
                <w:rFonts w:ascii="Times New Roman"/>
                <w:color w:val="auto"/>
                <w:sz w:val="20"/>
              </w:rPr>
            </w:pPr>
          </w:p>
        </w:tc>
        <w:tc>
          <w:tcPr>
            <w:tcW w:w="1608" w:type="dxa"/>
            <w:gridSpan w:val="2"/>
          </w:tcPr>
          <w:p w14:paraId="21F39331">
            <w:pPr>
              <w:pStyle w:val="22"/>
              <w:rPr>
                <w:rFonts w:ascii="Times New Roman"/>
                <w:color w:val="auto"/>
                <w:sz w:val="20"/>
              </w:rPr>
            </w:pPr>
          </w:p>
        </w:tc>
        <w:tc>
          <w:tcPr>
            <w:tcW w:w="1479" w:type="dxa"/>
          </w:tcPr>
          <w:p w14:paraId="025E65A4">
            <w:pPr>
              <w:pStyle w:val="22"/>
              <w:rPr>
                <w:rFonts w:ascii="Times New Roman"/>
                <w:color w:val="auto"/>
                <w:sz w:val="20"/>
              </w:rPr>
            </w:pPr>
          </w:p>
        </w:tc>
      </w:tr>
      <w:tr w14:paraId="527D5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1625" w:type="dxa"/>
            <w:gridSpan w:val="2"/>
          </w:tcPr>
          <w:p w14:paraId="647D32F1">
            <w:pPr>
              <w:pStyle w:val="22"/>
              <w:spacing w:before="136"/>
              <w:ind w:left="286"/>
              <w:rPr>
                <w:color w:val="auto"/>
                <w:sz w:val="21"/>
              </w:rPr>
            </w:pPr>
            <w:r>
              <w:rPr>
                <w:color w:val="auto"/>
                <w:spacing w:val="-4"/>
                <w:sz w:val="21"/>
              </w:rPr>
              <w:t>在建或已完</w:t>
            </w:r>
          </w:p>
        </w:tc>
        <w:tc>
          <w:tcPr>
            <w:tcW w:w="1546" w:type="dxa"/>
            <w:gridSpan w:val="2"/>
          </w:tcPr>
          <w:p w14:paraId="20489601">
            <w:pPr>
              <w:pStyle w:val="22"/>
              <w:rPr>
                <w:rFonts w:ascii="Times New Roman"/>
                <w:color w:val="auto"/>
                <w:sz w:val="20"/>
              </w:rPr>
            </w:pPr>
          </w:p>
        </w:tc>
        <w:tc>
          <w:tcPr>
            <w:tcW w:w="1834" w:type="dxa"/>
            <w:gridSpan w:val="3"/>
          </w:tcPr>
          <w:p w14:paraId="7B4AA712">
            <w:pPr>
              <w:pStyle w:val="22"/>
              <w:rPr>
                <w:rFonts w:ascii="Times New Roman"/>
                <w:color w:val="auto"/>
                <w:sz w:val="20"/>
              </w:rPr>
            </w:pPr>
          </w:p>
        </w:tc>
        <w:tc>
          <w:tcPr>
            <w:tcW w:w="1509" w:type="dxa"/>
            <w:gridSpan w:val="3"/>
          </w:tcPr>
          <w:p w14:paraId="3D51DA57">
            <w:pPr>
              <w:pStyle w:val="22"/>
              <w:rPr>
                <w:rFonts w:ascii="Times New Roman"/>
                <w:color w:val="auto"/>
                <w:sz w:val="20"/>
              </w:rPr>
            </w:pPr>
          </w:p>
        </w:tc>
        <w:tc>
          <w:tcPr>
            <w:tcW w:w="1608" w:type="dxa"/>
            <w:gridSpan w:val="2"/>
          </w:tcPr>
          <w:p w14:paraId="1D1A4F76">
            <w:pPr>
              <w:pStyle w:val="22"/>
              <w:rPr>
                <w:rFonts w:ascii="Times New Roman"/>
                <w:color w:val="auto"/>
                <w:sz w:val="20"/>
              </w:rPr>
            </w:pPr>
          </w:p>
        </w:tc>
        <w:tc>
          <w:tcPr>
            <w:tcW w:w="1479" w:type="dxa"/>
          </w:tcPr>
          <w:p w14:paraId="77FCE0D5">
            <w:pPr>
              <w:pStyle w:val="22"/>
              <w:rPr>
                <w:rFonts w:ascii="Times New Roman"/>
                <w:color w:val="auto"/>
                <w:sz w:val="20"/>
              </w:rPr>
            </w:pPr>
          </w:p>
        </w:tc>
      </w:tr>
      <w:tr w14:paraId="69533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625" w:type="dxa"/>
            <w:gridSpan w:val="2"/>
          </w:tcPr>
          <w:p w14:paraId="64F1E2CB">
            <w:pPr>
              <w:pStyle w:val="22"/>
              <w:spacing w:before="134"/>
              <w:ind w:left="392"/>
              <w:rPr>
                <w:color w:val="auto"/>
                <w:sz w:val="21"/>
              </w:rPr>
            </w:pPr>
            <w:r>
              <w:rPr>
                <w:color w:val="auto"/>
                <w:spacing w:val="-7"/>
                <w:sz w:val="21"/>
              </w:rPr>
              <w:t>工程质量</w:t>
            </w:r>
          </w:p>
        </w:tc>
        <w:tc>
          <w:tcPr>
            <w:tcW w:w="1546" w:type="dxa"/>
            <w:gridSpan w:val="2"/>
          </w:tcPr>
          <w:p w14:paraId="1429FF80">
            <w:pPr>
              <w:pStyle w:val="22"/>
              <w:rPr>
                <w:rFonts w:ascii="Times New Roman"/>
                <w:color w:val="auto"/>
                <w:sz w:val="20"/>
              </w:rPr>
            </w:pPr>
          </w:p>
        </w:tc>
        <w:tc>
          <w:tcPr>
            <w:tcW w:w="1834" w:type="dxa"/>
            <w:gridSpan w:val="3"/>
          </w:tcPr>
          <w:p w14:paraId="7368DAFD">
            <w:pPr>
              <w:pStyle w:val="22"/>
              <w:rPr>
                <w:rFonts w:ascii="Times New Roman"/>
                <w:color w:val="auto"/>
                <w:sz w:val="20"/>
              </w:rPr>
            </w:pPr>
          </w:p>
        </w:tc>
        <w:tc>
          <w:tcPr>
            <w:tcW w:w="1509" w:type="dxa"/>
            <w:gridSpan w:val="3"/>
          </w:tcPr>
          <w:p w14:paraId="525A2863">
            <w:pPr>
              <w:pStyle w:val="22"/>
              <w:rPr>
                <w:rFonts w:ascii="Times New Roman"/>
                <w:color w:val="auto"/>
                <w:sz w:val="20"/>
              </w:rPr>
            </w:pPr>
          </w:p>
        </w:tc>
        <w:tc>
          <w:tcPr>
            <w:tcW w:w="1608" w:type="dxa"/>
            <w:gridSpan w:val="2"/>
          </w:tcPr>
          <w:p w14:paraId="45A4BF5B">
            <w:pPr>
              <w:pStyle w:val="22"/>
              <w:rPr>
                <w:rFonts w:ascii="Times New Roman"/>
                <w:color w:val="auto"/>
                <w:sz w:val="20"/>
              </w:rPr>
            </w:pPr>
          </w:p>
        </w:tc>
        <w:tc>
          <w:tcPr>
            <w:tcW w:w="1479" w:type="dxa"/>
          </w:tcPr>
          <w:p w14:paraId="433EAC5D">
            <w:pPr>
              <w:pStyle w:val="22"/>
              <w:rPr>
                <w:rFonts w:ascii="Times New Roman"/>
                <w:color w:val="auto"/>
                <w:sz w:val="20"/>
              </w:rPr>
            </w:pPr>
          </w:p>
        </w:tc>
      </w:tr>
      <w:tr w14:paraId="72A97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625" w:type="dxa"/>
            <w:gridSpan w:val="2"/>
          </w:tcPr>
          <w:p w14:paraId="3FD76500">
            <w:pPr>
              <w:pStyle w:val="22"/>
              <w:spacing w:before="134"/>
              <w:ind w:left="392"/>
              <w:rPr>
                <w:color w:val="auto"/>
                <w:sz w:val="21"/>
              </w:rPr>
            </w:pPr>
            <w:r>
              <w:rPr>
                <w:color w:val="auto"/>
                <w:spacing w:val="-7"/>
                <w:sz w:val="21"/>
              </w:rPr>
              <w:t>受奖情况</w:t>
            </w:r>
          </w:p>
        </w:tc>
        <w:tc>
          <w:tcPr>
            <w:tcW w:w="1546" w:type="dxa"/>
            <w:gridSpan w:val="2"/>
          </w:tcPr>
          <w:p w14:paraId="656968FC">
            <w:pPr>
              <w:pStyle w:val="22"/>
              <w:rPr>
                <w:rFonts w:ascii="Times New Roman"/>
                <w:color w:val="auto"/>
                <w:sz w:val="20"/>
              </w:rPr>
            </w:pPr>
          </w:p>
        </w:tc>
        <w:tc>
          <w:tcPr>
            <w:tcW w:w="1834" w:type="dxa"/>
            <w:gridSpan w:val="3"/>
          </w:tcPr>
          <w:p w14:paraId="0D7EC932">
            <w:pPr>
              <w:pStyle w:val="22"/>
              <w:rPr>
                <w:rFonts w:ascii="Times New Roman"/>
                <w:color w:val="auto"/>
                <w:sz w:val="20"/>
              </w:rPr>
            </w:pPr>
          </w:p>
        </w:tc>
        <w:tc>
          <w:tcPr>
            <w:tcW w:w="1509" w:type="dxa"/>
            <w:gridSpan w:val="3"/>
          </w:tcPr>
          <w:p w14:paraId="2AD962E4">
            <w:pPr>
              <w:pStyle w:val="22"/>
              <w:rPr>
                <w:rFonts w:ascii="Times New Roman"/>
                <w:color w:val="auto"/>
                <w:sz w:val="20"/>
              </w:rPr>
            </w:pPr>
          </w:p>
        </w:tc>
        <w:tc>
          <w:tcPr>
            <w:tcW w:w="1608" w:type="dxa"/>
            <w:gridSpan w:val="2"/>
          </w:tcPr>
          <w:p w14:paraId="19E0D9ED">
            <w:pPr>
              <w:pStyle w:val="22"/>
              <w:rPr>
                <w:rFonts w:ascii="Times New Roman"/>
                <w:color w:val="auto"/>
                <w:sz w:val="20"/>
              </w:rPr>
            </w:pPr>
          </w:p>
        </w:tc>
        <w:tc>
          <w:tcPr>
            <w:tcW w:w="1479" w:type="dxa"/>
          </w:tcPr>
          <w:p w14:paraId="236561E6">
            <w:pPr>
              <w:pStyle w:val="22"/>
              <w:rPr>
                <w:rFonts w:ascii="Times New Roman"/>
                <w:color w:val="auto"/>
                <w:sz w:val="20"/>
              </w:rPr>
            </w:pPr>
          </w:p>
        </w:tc>
      </w:tr>
    </w:tbl>
    <w:p w14:paraId="4FEE8F5F">
      <w:pPr>
        <w:pStyle w:val="12"/>
        <w:spacing w:before="3"/>
        <w:rPr>
          <w:color w:val="auto"/>
        </w:rPr>
      </w:pPr>
      <w:r>
        <w:rPr>
          <w:color w:val="auto"/>
          <w:spacing w:val="-5"/>
        </w:rPr>
        <w:t>备注：</w:t>
      </w:r>
    </w:p>
    <w:p w14:paraId="52F9E50B">
      <w:pPr>
        <w:pStyle w:val="21"/>
        <w:numPr>
          <w:ilvl w:val="0"/>
          <w:numId w:val="61"/>
        </w:numPr>
        <w:tabs>
          <w:tab w:val="left" w:pos="1416"/>
        </w:tabs>
        <w:spacing w:before="135" w:after="0" w:line="240" w:lineRule="auto"/>
        <w:ind w:left="1416" w:right="0" w:hanging="208"/>
        <w:jc w:val="left"/>
        <w:rPr>
          <w:color w:val="auto"/>
          <w:sz w:val="21"/>
        </w:rPr>
      </w:pPr>
      <w:r>
        <w:rPr>
          <w:color w:val="auto"/>
          <w:spacing w:val="-3"/>
          <w:sz w:val="21"/>
        </w:rPr>
        <w:t>供应商可以根据项目情况增减表格内容，项目数可以根据需要增加。</w:t>
      </w:r>
    </w:p>
    <w:p w14:paraId="0F7E19B3">
      <w:pPr>
        <w:pStyle w:val="21"/>
        <w:numPr>
          <w:ilvl w:val="0"/>
          <w:numId w:val="61"/>
        </w:numPr>
        <w:tabs>
          <w:tab w:val="left" w:pos="1416"/>
        </w:tabs>
        <w:spacing w:before="135" w:after="0" w:line="357" w:lineRule="auto"/>
        <w:ind w:left="788" w:right="791" w:firstLine="420"/>
        <w:jc w:val="left"/>
        <w:rPr>
          <w:color w:val="auto"/>
          <w:sz w:val="21"/>
        </w:rPr>
      </w:pPr>
      <w:r>
        <w:rPr>
          <w:color w:val="auto"/>
          <w:sz w:val="21"/>
        </w:rPr>
        <w:t>本表后附专职安全生产管理人员的学历证、安全生产考核合格证（C</w:t>
      </w:r>
      <w:r>
        <w:rPr>
          <w:color w:val="auto"/>
          <w:spacing w:val="-26"/>
          <w:sz w:val="21"/>
        </w:rPr>
        <w:t xml:space="preserve"> 类</w:t>
      </w:r>
      <w:r>
        <w:rPr>
          <w:color w:val="auto"/>
          <w:sz w:val="21"/>
        </w:rPr>
        <w:t>）、本表所列证书</w:t>
      </w:r>
      <w:r>
        <w:rPr>
          <w:color w:val="auto"/>
          <w:spacing w:val="-2"/>
          <w:sz w:val="21"/>
        </w:rPr>
        <w:t>复印件并加盖供应商电子签章。</w:t>
      </w:r>
    </w:p>
    <w:p w14:paraId="55AA596F">
      <w:pPr>
        <w:spacing w:after="0" w:line="357" w:lineRule="auto"/>
        <w:jc w:val="left"/>
        <w:rPr>
          <w:color w:val="auto"/>
          <w:sz w:val="21"/>
        </w:rPr>
        <w:sectPr>
          <w:pgSz w:w="11910" w:h="16840"/>
          <w:pgMar w:top="1380" w:right="740" w:bottom="1180" w:left="800" w:header="0" w:footer="989" w:gutter="0"/>
          <w:cols w:space="720" w:num="1"/>
        </w:sectPr>
      </w:pPr>
    </w:p>
    <w:p w14:paraId="1D9BFF21">
      <w:pPr>
        <w:pStyle w:val="10"/>
        <w:spacing w:before="38"/>
        <w:ind w:left="788" w:firstLine="0"/>
        <w:rPr>
          <w:color w:val="auto"/>
        </w:rPr>
      </w:pPr>
      <w:r>
        <w:rPr>
          <w:color w:val="auto"/>
          <w:spacing w:val="-2"/>
        </w:rPr>
        <w:t>其他文书、文件格式</w:t>
      </w:r>
    </w:p>
    <w:p w14:paraId="0F4B1BB2">
      <w:pPr>
        <w:pStyle w:val="12"/>
        <w:spacing w:before="148"/>
        <w:ind w:left="0"/>
        <w:rPr>
          <w:b/>
          <w:color w:val="auto"/>
          <w:sz w:val="32"/>
        </w:rPr>
      </w:pPr>
    </w:p>
    <w:p w14:paraId="4391294E">
      <w:pPr>
        <w:pStyle w:val="5"/>
        <w:spacing w:before="0"/>
        <w:rPr>
          <w:color w:val="auto"/>
        </w:rPr>
      </w:pPr>
      <w:r>
        <w:rPr>
          <w:color w:val="auto"/>
          <w:spacing w:val="-2"/>
        </w:rPr>
        <w:t>中小企业声明函（工程</w:t>
      </w:r>
      <w:r>
        <w:rPr>
          <w:color w:val="auto"/>
          <w:spacing w:val="-10"/>
        </w:rPr>
        <w:t>）</w:t>
      </w:r>
    </w:p>
    <w:p w14:paraId="1A03EA2C">
      <w:pPr>
        <w:pStyle w:val="11"/>
        <w:spacing w:before="158"/>
        <w:ind w:left="0" w:right="932"/>
        <w:jc w:val="right"/>
        <w:rPr>
          <w:color w:val="auto"/>
        </w:rPr>
      </w:pPr>
      <w:r>
        <w:rPr>
          <w:color w:val="auto"/>
        </w:rPr>
        <w:t>本公司（联合体）</w:t>
      </w:r>
      <w:r>
        <w:rPr>
          <w:color w:val="auto"/>
          <w:spacing w:val="-1"/>
        </w:rPr>
        <w:t>郑重声明，根据《政府采购促进中小企业发展管理办法》</w:t>
      </w:r>
    </w:p>
    <w:p w14:paraId="6FE10505">
      <w:pPr>
        <w:pStyle w:val="11"/>
        <w:spacing w:before="187"/>
        <w:ind w:left="0" w:right="930"/>
        <w:jc w:val="right"/>
        <w:rPr>
          <w:color w:val="auto"/>
        </w:rPr>
      </w:pPr>
      <w:r>
        <w:rPr>
          <w:color w:val="auto"/>
        </w:rPr>
        <w:t>（财库〔2020〕46</w:t>
      </w:r>
      <w:r>
        <w:rPr>
          <w:color w:val="auto"/>
          <w:spacing w:val="43"/>
          <w:w w:val="150"/>
        </w:rPr>
        <w:t xml:space="preserve"> </w:t>
      </w:r>
      <w:r>
        <w:rPr>
          <w:color w:val="auto"/>
        </w:rPr>
        <w:t>号）的规定，本公司（联合体）参加</w:t>
      </w:r>
      <w:r>
        <w:rPr>
          <w:color w:val="auto"/>
          <w:u w:val="single"/>
        </w:rPr>
        <w:t>（单位名称）</w:t>
      </w:r>
      <w:r>
        <w:rPr>
          <w:color w:val="auto"/>
          <w:u w:val="none"/>
        </w:rPr>
        <w:t>的</w:t>
      </w:r>
      <w:r>
        <w:rPr>
          <w:color w:val="auto"/>
          <w:u w:val="single"/>
        </w:rPr>
        <w:t>（</w:t>
      </w:r>
      <w:r>
        <w:rPr>
          <w:color w:val="auto"/>
          <w:spacing w:val="-4"/>
          <w:u w:val="single"/>
        </w:rPr>
        <w:t>项目名</w:t>
      </w:r>
    </w:p>
    <w:p w14:paraId="18124A31">
      <w:pPr>
        <w:pStyle w:val="11"/>
        <w:spacing w:before="190" w:line="384" w:lineRule="auto"/>
        <w:ind w:right="930"/>
        <w:rPr>
          <w:color w:val="auto"/>
        </w:rPr>
      </w:pPr>
      <w:r>
        <w:rPr>
          <w:color w:val="auto"/>
          <w:spacing w:val="-2"/>
          <w:u w:val="single"/>
        </w:rPr>
        <w:t>称）</w:t>
      </w:r>
      <w:r>
        <w:rPr>
          <w:color w:val="auto"/>
          <w:spacing w:val="-2"/>
          <w:u w:val="none"/>
        </w:rPr>
        <w:t>采购活动，工程的施工单位全部为符合政策要求的中小企业。相关企业（含联合体中的中小企业、签订分包意向协议的中小企业）的具体情况如下：</w:t>
      </w:r>
    </w:p>
    <w:p w14:paraId="6A7E2CE9">
      <w:pPr>
        <w:pStyle w:val="11"/>
        <w:spacing w:before="120"/>
        <w:ind w:left="1559"/>
        <w:rPr>
          <w:color w:val="auto"/>
        </w:rPr>
      </w:pPr>
      <w:r>
        <w:rPr>
          <w:color w:val="auto"/>
        </w:rPr>
        <w:t>1.</w:t>
      </w:r>
      <w:r>
        <w:rPr>
          <w:color w:val="auto"/>
          <w:u w:val="single"/>
        </w:rPr>
        <w:t>（标的名称）</w:t>
      </w:r>
      <w:r>
        <w:rPr>
          <w:color w:val="auto"/>
          <w:u w:val="none"/>
        </w:rPr>
        <w:t>，属于</w:t>
      </w:r>
      <w:r>
        <w:rPr>
          <w:color w:val="auto"/>
          <w:u w:val="single"/>
        </w:rPr>
        <w:t>（采购文件中明确的所属行业）</w:t>
      </w:r>
      <w:r>
        <w:rPr>
          <w:color w:val="auto"/>
          <w:u w:val="none"/>
        </w:rPr>
        <w:t>；承建企业为</w:t>
      </w:r>
      <w:r>
        <w:rPr>
          <w:color w:val="auto"/>
          <w:u w:val="single"/>
        </w:rPr>
        <w:t>（</w:t>
      </w:r>
      <w:r>
        <w:rPr>
          <w:color w:val="auto"/>
          <w:spacing w:val="-10"/>
          <w:u w:val="single"/>
        </w:rPr>
        <w:t>企</w:t>
      </w:r>
    </w:p>
    <w:p w14:paraId="753AD122">
      <w:pPr>
        <w:pStyle w:val="11"/>
        <w:tabs>
          <w:tab w:val="left" w:pos="3668"/>
          <w:tab w:val="left" w:pos="6071"/>
          <w:tab w:val="left" w:pos="8711"/>
        </w:tabs>
        <w:spacing w:before="189" w:line="384" w:lineRule="auto"/>
        <w:ind w:right="932"/>
        <w:rPr>
          <w:color w:val="auto"/>
        </w:rPr>
      </w:pPr>
      <w:r>
        <w:rPr>
          <w:color w:val="auto"/>
          <w:spacing w:val="-2"/>
          <w:u w:val="single"/>
        </w:rPr>
        <w:t>业名称）</w:t>
      </w:r>
      <w:r>
        <w:rPr>
          <w:color w:val="auto"/>
          <w:spacing w:val="-2"/>
          <w:u w:val="none"/>
        </w:rPr>
        <w:t>，从业人员</w:t>
      </w:r>
      <w:r>
        <w:rPr>
          <w:rFonts w:ascii="Times New Roman" w:eastAsia="Times New Roman"/>
          <w:color w:val="auto"/>
          <w:u w:val="single"/>
        </w:rPr>
        <w:tab/>
      </w:r>
      <w:r>
        <w:rPr>
          <w:color w:val="auto"/>
          <w:spacing w:val="-2"/>
          <w:u w:val="none"/>
        </w:rPr>
        <w:t>人，营业收入为</w:t>
      </w:r>
      <w:r>
        <w:rPr>
          <w:rFonts w:ascii="Times New Roman" w:eastAsia="Times New Roman"/>
          <w:color w:val="auto"/>
          <w:u w:val="single"/>
        </w:rPr>
        <w:tab/>
      </w:r>
      <w:r>
        <w:rPr>
          <w:color w:val="auto"/>
          <w:spacing w:val="-2"/>
          <w:u w:val="none"/>
        </w:rPr>
        <w:t>万元，资产总额为</w:t>
      </w:r>
      <w:r>
        <w:rPr>
          <w:rFonts w:ascii="Times New Roman" w:eastAsia="Times New Roman"/>
          <w:color w:val="auto"/>
          <w:u w:val="single"/>
        </w:rPr>
        <w:tab/>
      </w:r>
      <w:r>
        <w:rPr>
          <w:color w:val="auto"/>
          <w:spacing w:val="-4"/>
          <w:u w:val="none"/>
        </w:rPr>
        <w:t>万元，</w:t>
      </w:r>
      <w:r>
        <w:rPr>
          <w:color w:val="auto"/>
          <w:spacing w:val="-2"/>
          <w:u w:val="none"/>
        </w:rPr>
        <w:t>属于</w:t>
      </w:r>
      <w:r>
        <w:rPr>
          <w:color w:val="auto"/>
          <w:spacing w:val="-2"/>
          <w:u w:val="single"/>
        </w:rPr>
        <w:t>（中型企业、小型企业、微型企业）</w:t>
      </w:r>
      <w:r>
        <w:rPr>
          <w:color w:val="auto"/>
          <w:spacing w:val="-2"/>
          <w:u w:val="none"/>
        </w:rPr>
        <w:t>；</w:t>
      </w:r>
    </w:p>
    <w:p w14:paraId="690F8922">
      <w:pPr>
        <w:pStyle w:val="11"/>
        <w:spacing w:before="22"/>
        <w:ind w:left="1559"/>
        <w:rPr>
          <w:color w:val="auto"/>
        </w:rPr>
      </w:pPr>
      <w:r>
        <w:rPr>
          <w:color w:val="auto"/>
        </w:rPr>
        <w:t>2.</w:t>
      </w:r>
      <w:r>
        <w:rPr>
          <w:color w:val="auto"/>
          <w:u w:val="single"/>
        </w:rPr>
        <w:t>（标的名称）</w:t>
      </w:r>
      <w:r>
        <w:rPr>
          <w:color w:val="auto"/>
          <w:u w:val="none"/>
        </w:rPr>
        <w:t>，属于</w:t>
      </w:r>
      <w:r>
        <w:rPr>
          <w:color w:val="auto"/>
          <w:u w:val="single"/>
        </w:rPr>
        <w:t>（采购文件中明确的所属行业）</w:t>
      </w:r>
      <w:r>
        <w:rPr>
          <w:color w:val="auto"/>
          <w:u w:val="none"/>
        </w:rPr>
        <w:t>；承建企业为</w:t>
      </w:r>
      <w:r>
        <w:rPr>
          <w:color w:val="auto"/>
          <w:u w:val="single"/>
        </w:rPr>
        <w:t>（</w:t>
      </w:r>
      <w:r>
        <w:rPr>
          <w:color w:val="auto"/>
          <w:spacing w:val="-5"/>
          <w:u w:val="single"/>
        </w:rPr>
        <w:t>企业</w:t>
      </w:r>
    </w:p>
    <w:p w14:paraId="1B1F39DD">
      <w:pPr>
        <w:pStyle w:val="11"/>
        <w:tabs>
          <w:tab w:val="left" w:pos="3447"/>
          <w:tab w:val="left" w:pos="5864"/>
          <w:tab w:val="left" w:pos="8526"/>
        </w:tabs>
        <w:spacing w:before="187" w:line="384" w:lineRule="auto"/>
        <w:ind w:right="872"/>
        <w:rPr>
          <w:color w:val="auto"/>
        </w:rPr>
      </w:pPr>
      <w:r>
        <w:rPr>
          <w:color w:val="auto"/>
          <w:spacing w:val="-2"/>
          <w:u w:val="single"/>
        </w:rPr>
        <w:t>名称）</w:t>
      </w:r>
      <w:r>
        <w:rPr>
          <w:color w:val="auto"/>
          <w:spacing w:val="-2"/>
          <w:u w:val="none"/>
        </w:rPr>
        <w:t>，从业人员</w:t>
      </w:r>
      <w:r>
        <w:rPr>
          <w:rFonts w:ascii="Times New Roman" w:eastAsia="Times New Roman"/>
          <w:color w:val="auto"/>
          <w:u w:val="single"/>
        </w:rPr>
        <w:tab/>
      </w:r>
      <w:r>
        <w:rPr>
          <w:color w:val="auto"/>
          <w:spacing w:val="-2"/>
          <w:u w:val="none"/>
        </w:rPr>
        <w:t>人，营业收入为</w:t>
      </w:r>
      <w:r>
        <w:rPr>
          <w:rFonts w:ascii="Times New Roman" w:eastAsia="Times New Roman"/>
          <w:color w:val="auto"/>
          <w:u w:val="single"/>
        </w:rPr>
        <w:tab/>
      </w:r>
      <w:r>
        <w:rPr>
          <w:color w:val="auto"/>
          <w:spacing w:val="-2"/>
          <w:u w:val="none"/>
        </w:rPr>
        <w:t>万元，资产总额为</w:t>
      </w:r>
      <w:r>
        <w:rPr>
          <w:rFonts w:ascii="Times New Roman" w:eastAsia="Times New Roman"/>
          <w:color w:val="auto"/>
          <w:u w:val="single"/>
        </w:rPr>
        <w:tab/>
      </w:r>
      <w:r>
        <w:rPr>
          <w:color w:val="auto"/>
          <w:spacing w:val="-4"/>
          <w:u w:val="none"/>
        </w:rPr>
        <w:t>万元，属</w:t>
      </w:r>
      <w:r>
        <w:rPr>
          <w:color w:val="auto"/>
          <w:spacing w:val="-2"/>
          <w:u w:val="none"/>
        </w:rPr>
        <w:t>于</w:t>
      </w:r>
      <w:r>
        <w:rPr>
          <w:color w:val="auto"/>
          <w:spacing w:val="-2"/>
          <w:u w:val="single"/>
        </w:rPr>
        <w:t>（中型企业、小型企业、微型企业）</w:t>
      </w:r>
      <w:r>
        <w:rPr>
          <w:color w:val="auto"/>
          <w:spacing w:val="-2"/>
          <w:u w:val="none"/>
        </w:rPr>
        <w:t>；</w:t>
      </w:r>
    </w:p>
    <w:p w14:paraId="6F00D3CE">
      <w:pPr>
        <w:spacing w:before="36"/>
        <w:ind w:left="1492" w:right="0" w:firstLine="0"/>
        <w:jc w:val="left"/>
        <w:rPr>
          <w:color w:val="auto"/>
          <w:sz w:val="24"/>
        </w:rPr>
      </w:pPr>
      <w:r>
        <w:rPr>
          <w:color w:val="auto"/>
          <w:spacing w:val="-5"/>
          <w:sz w:val="24"/>
        </w:rPr>
        <w:t>……</w:t>
      </w:r>
    </w:p>
    <w:p w14:paraId="23D7C443">
      <w:pPr>
        <w:pStyle w:val="11"/>
        <w:spacing w:before="307" w:line="386" w:lineRule="auto"/>
        <w:ind w:right="932" w:firstLine="703"/>
        <w:rPr>
          <w:color w:val="auto"/>
        </w:rPr>
      </w:pPr>
      <w:r>
        <w:rPr>
          <w:color w:val="auto"/>
          <w:spacing w:val="-2"/>
        </w:rPr>
        <w:t>以上企业，不属于大企业的分支机构，不存在控股股东为大企业的情形，也不存在与大企业的负责人为同一人的情形。</w:t>
      </w:r>
    </w:p>
    <w:p w14:paraId="2F09FCB6">
      <w:pPr>
        <w:pStyle w:val="11"/>
        <w:spacing w:before="116"/>
        <w:ind w:left="1492"/>
        <w:rPr>
          <w:color w:val="auto"/>
        </w:rPr>
      </w:pPr>
      <w:r>
        <w:rPr>
          <w:color w:val="auto"/>
          <w:spacing w:val="-1"/>
        </w:rPr>
        <w:t>本企业对上述声明内容的真实性负责。如有虚假，将依法承担相应责任。</w:t>
      </w:r>
    </w:p>
    <w:p w14:paraId="27A75A95">
      <w:pPr>
        <w:pStyle w:val="11"/>
        <w:spacing w:before="308" w:line="477" w:lineRule="auto"/>
        <w:ind w:left="6412" w:right="2033"/>
        <w:rPr>
          <w:color w:val="auto"/>
        </w:rPr>
      </w:pPr>
      <w:r>
        <w:rPr>
          <w:color w:val="auto"/>
          <w:spacing w:val="-2"/>
        </w:rPr>
        <w:t>企业名称（章）：</w:t>
      </w:r>
      <w:r>
        <w:rPr>
          <w:color w:val="auto"/>
        </w:rPr>
        <w:t>日 期：</w:t>
      </w:r>
    </w:p>
    <w:p w14:paraId="205B6F83">
      <w:pPr>
        <w:pStyle w:val="12"/>
        <w:spacing w:before="44" w:line="458" w:lineRule="auto"/>
        <w:ind w:right="968" w:firstLine="420"/>
        <w:rPr>
          <w:color w:val="auto"/>
        </w:rPr>
      </w:pPr>
      <w:r>
        <w:rPr>
          <w:color w:val="auto"/>
          <w:spacing w:val="-2"/>
        </w:rPr>
        <w:t>注：1.对于联合体中由中小企业承担的部分，或者分包给中小企业的部分，供应商应当在声明函“项目名称”部分标明联合体中中小企业承担的具体内容或者中小企业的具体分包内</w:t>
      </w:r>
      <w:r>
        <w:rPr>
          <w:color w:val="auto"/>
          <w:spacing w:val="40"/>
        </w:rPr>
        <w:t xml:space="preserve"> </w:t>
      </w:r>
      <w:r>
        <w:rPr>
          <w:color w:val="auto"/>
          <w:spacing w:val="-6"/>
        </w:rPr>
        <w:t>容。</w:t>
      </w:r>
    </w:p>
    <w:p w14:paraId="170A4A5C">
      <w:pPr>
        <w:pStyle w:val="12"/>
        <w:spacing w:before="0" w:line="458" w:lineRule="auto"/>
        <w:ind w:right="915" w:firstLine="420"/>
        <w:jc w:val="both"/>
        <w:rPr>
          <w:color w:val="auto"/>
        </w:rPr>
      </w:pPr>
      <w:r>
        <w:rPr>
          <w:color w:val="auto"/>
          <w:spacing w:val="-2"/>
        </w:rPr>
        <w:t>2.享受《政府采购促进中小企业发展管理办法》（财库〔2020〕46</w:t>
      </w:r>
      <w:r>
        <w:rPr>
          <w:color w:val="auto"/>
          <w:spacing w:val="-3"/>
        </w:rPr>
        <w:t xml:space="preserve"> 号</w:t>
      </w:r>
      <w:r>
        <w:rPr>
          <w:color w:val="auto"/>
          <w:spacing w:val="-2"/>
        </w:rPr>
        <w:t>）规定的中小企业扶持政策的，采购人、采购代理机构应当随成交结果公开成交供应商的《中小企业声明函》。从业人员、营业收入、资产总额填报上一年度数据，无上一年度数据的新成立企业可不填报。</w:t>
      </w:r>
    </w:p>
    <w:p w14:paraId="643DD938">
      <w:pPr>
        <w:spacing w:after="0" w:line="458" w:lineRule="auto"/>
        <w:jc w:val="both"/>
        <w:rPr>
          <w:color w:val="auto"/>
        </w:rPr>
        <w:sectPr>
          <w:pgSz w:w="11910" w:h="16840"/>
          <w:pgMar w:top="1380" w:right="740" w:bottom="1180" w:left="800" w:header="0" w:footer="989" w:gutter="0"/>
          <w:cols w:space="720" w:num="1"/>
        </w:sectPr>
      </w:pPr>
    </w:p>
    <w:p w14:paraId="5149ADD3">
      <w:pPr>
        <w:pStyle w:val="5"/>
        <w:spacing w:before="32"/>
        <w:rPr>
          <w:color w:val="auto"/>
        </w:rPr>
      </w:pPr>
      <w:r>
        <w:rPr>
          <w:color w:val="auto"/>
          <w:spacing w:val="-3"/>
        </w:rPr>
        <w:t>残疾人福利性单位声明函</w:t>
      </w:r>
    </w:p>
    <w:p w14:paraId="7D75B192">
      <w:pPr>
        <w:pStyle w:val="12"/>
        <w:spacing w:before="216"/>
        <w:ind w:left="0"/>
        <w:rPr>
          <w:b/>
          <w:color w:val="auto"/>
          <w:sz w:val="32"/>
        </w:rPr>
      </w:pPr>
    </w:p>
    <w:p w14:paraId="5D1CDE47">
      <w:pPr>
        <w:pStyle w:val="11"/>
        <w:tabs>
          <w:tab w:val="left" w:pos="5000"/>
          <w:tab w:val="left" w:pos="6687"/>
        </w:tabs>
        <w:spacing w:before="1" w:line="360" w:lineRule="auto"/>
        <w:ind w:right="788" w:firstLine="480"/>
        <w:jc w:val="both"/>
        <w:rPr>
          <w:color w:val="auto"/>
        </w:rPr>
      </w:pPr>
      <w:r>
        <w:rPr>
          <w:color w:val="auto"/>
        </w:rPr>
        <w:t>本单位郑重声明，根据《财政部 民政部 中国残疾人联合会关于促进残疾人就业政府采购政策的通知》（财库〔2017〕141 号）的规定，本单位为符合条件的残</w:t>
      </w:r>
      <w:r>
        <w:rPr>
          <w:color w:val="auto"/>
          <w:spacing w:val="-2"/>
        </w:rPr>
        <w:t>疾人福利性单位，且本单位参加</w:t>
      </w:r>
      <w:r>
        <w:rPr>
          <w:rFonts w:ascii="Times New Roman" w:eastAsia="Times New Roman"/>
          <w:color w:val="auto"/>
          <w:u w:val="single"/>
        </w:rPr>
        <w:tab/>
      </w:r>
      <w:r>
        <w:rPr>
          <w:color w:val="auto"/>
          <w:spacing w:val="-4"/>
          <w:u w:val="none"/>
        </w:rPr>
        <w:t>单位的</w:t>
      </w:r>
      <w:r>
        <w:rPr>
          <w:rFonts w:ascii="Times New Roman" w:eastAsia="Times New Roman"/>
          <w:color w:val="auto"/>
          <w:u w:val="single"/>
        </w:rPr>
        <w:tab/>
      </w:r>
      <w:r>
        <w:rPr>
          <w:color w:val="auto"/>
          <w:spacing w:val="-2"/>
          <w:u w:val="none"/>
        </w:rPr>
        <w:t>项目采购活动提供本单位制造的货物（由本单位承担工程/提供服务），或者提供其他残疾人福利性单位制造的货物（不包括使用非残疾人福利性单位注册商标的货物）。</w:t>
      </w:r>
    </w:p>
    <w:p w14:paraId="45782701">
      <w:pPr>
        <w:pStyle w:val="11"/>
        <w:spacing w:line="307" w:lineRule="exact"/>
        <w:ind w:left="1268"/>
        <w:rPr>
          <w:color w:val="auto"/>
        </w:rPr>
      </w:pPr>
      <w:r>
        <w:rPr>
          <w:color w:val="auto"/>
          <w:spacing w:val="-1"/>
        </w:rPr>
        <w:t>本单位对上述声明的真实性负责。如有虚假，将依法承担相应责任。</w:t>
      </w:r>
    </w:p>
    <w:p w14:paraId="2D4534F1">
      <w:pPr>
        <w:pStyle w:val="12"/>
        <w:spacing w:before="0"/>
        <w:ind w:left="0"/>
        <w:rPr>
          <w:color w:val="auto"/>
          <w:sz w:val="24"/>
        </w:rPr>
      </w:pPr>
    </w:p>
    <w:p w14:paraId="2CCD4893">
      <w:pPr>
        <w:pStyle w:val="12"/>
        <w:spacing w:before="0"/>
        <w:ind w:left="0"/>
        <w:rPr>
          <w:color w:val="auto"/>
          <w:sz w:val="24"/>
        </w:rPr>
      </w:pPr>
    </w:p>
    <w:p w14:paraId="7CC4990A">
      <w:pPr>
        <w:pStyle w:val="12"/>
        <w:spacing w:before="0"/>
        <w:ind w:left="0"/>
        <w:rPr>
          <w:color w:val="auto"/>
          <w:sz w:val="24"/>
        </w:rPr>
      </w:pPr>
    </w:p>
    <w:p w14:paraId="3BEE3C62">
      <w:pPr>
        <w:pStyle w:val="12"/>
        <w:spacing w:before="307"/>
        <w:ind w:left="0"/>
        <w:rPr>
          <w:color w:val="auto"/>
          <w:sz w:val="24"/>
        </w:rPr>
      </w:pPr>
    </w:p>
    <w:p w14:paraId="49726310">
      <w:pPr>
        <w:pStyle w:val="11"/>
        <w:ind w:left="0" w:right="5015"/>
        <w:jc w:val="right"/>
        <w:rPr>
          <w:color w:val="auto"/>
        </w:rPr>
      </w:pPr>
      <w:r>
        <w:rPr>
          <w:color w:val="auto"/>
        </w:rPr>
        <w:t>单位名称（盖章</w:t>
      </w:r>
      <w:r>
        <w:rPr>
          <w:color w:val="auto"/>
          <w:spacing w:val="-5"/>
        </w:rPr>
        <w:t>）：</w:t>
      </w:r>
    </w:p>
    <w:p w14:paraId="01319DB5">
      <w:pPr>
        <w:pStyle w:val="11"/>
        <w:tabs>
          <w:tab w:val="left" w:pos="479"/>
        </w:tabs>
        <w:spacing w:before="156"/>
        <w:ind w:left="0" w:right="5015"/>
        <w:jc w:val="right"/>
        <w:rPr>
          <w:color w:val="auto"/>
        </w:rPr>
      </w:pPr>
      <w:r>
        <w:rPr>
          <w:color w:val="auto"/>
          <w:spacing w:val="-10"/>
        </w:rPr>
        <w:t>日</w:t>
      </w:r>
      <w:r>
        <w:rPr>
          <w:color w:val="auto"/>
        </w:rPr>
        <w:tab/>
      </w:r>
      <w:r>
        <w:rPr>
          <w:color w:val="auto"/>
        </w:rPr>
        <w:t>期</w:t>
      </w:r>
      <w:r>
        <w:rPr>
          <w:color w:val="auto"/>
          <w:spacing w:val="-10"/>
        </w:rPr>
        <w:t>：</w:t>
      </w:r>
    </w:p>
    <w:p w14:paraId="7B8DA208">
      <w:pPr>
        <w:pStyle w:val="12"/>
        <w:spacing w:before="0"/>
        <w:ind w:left="0"/>
        <w:rPr>
          <w:color w:val="auto"/>
          <w:sz w:val="24"/>
        </w:rPr>
      </w:pPr>
    </w:p>
    <w:p w14:paraId="7F9A7C1A">
      <w:pPr>
        <w:pStyle w:val="12"/>
        <w:spacing w:before="0"/>
        <w:ind w:left="0"/>
        <w:rPr>
          <w:color w:val="auto"/>
          <w:sz w:val="24"/>
        </w:rPr>
      </w:pPr>
    </w:p>
    <w:p w14:paraId="50F5307C">
      <w:pPr>
        <w:pStyle w:val="12"/>
        <w:spacing w:before="0"/>
        <w:ind w:left="0"/>
        <w:rPr>
          <w:color w:val="auto"/>
          <w:sz w:val="24"/>
        </w:rPr>
      </w:pPr>
    </w:p>
    <w:p w14:paraId="262DEF8A">
      <w:pPr>
        <w:pStyle w:val="12"/>
        <w:spacing w:before="306"/>
        <w:ind w:left="0"/>
        <w:rPr>
          <w:color w:val="auto"/>
          <w:sz w:val="24"/>
        </w:rPr>
      </w:pPr>
    </w:p>
    <w:p w14:paraId="2ECCF497">
      <w:pPr>
        <w:pStyle w:val="12"/>
        <w:spacing w:before="0" w:line="357" w:lineRule="auto"/>
        <w:ind w:right="757" w:firstLine="420"/>
        <w:jc w:val="both"/>
        <w:rPr>
          <w:color w:val="auto"/>
        </w:rPr>
      </w:pPr>
      <w:r>
        <w:rPr>
          <w:color w:val="auto"/>
          <w:spacing w:val="3"/>
          <w:w w:val="99"/>
        </w:rPr>
        <w:t>注：请根据自己的真实情况出具《残疾人福利性单位声明函》。依法享受中小企业优惠政</w:t>
      </w:r>
      <w:r>
        <w:rPr>
          <w:color w:val="auto"/>
          <w:spacing w:val="-1"/>
          <w:w w:val="99"/>
        </w:rPr>
        <w:t>策的，采购人或者采购代理机构在公告成交结果时，同时公告其《残疾人福利性单位声明函》，接受社会监督。</w:t>
      </w:r>
    </w:p>
    <w:p w14:paraId="655E99F2">
      <w:pPr>
        <w:spacing w:after="0" w:line="357" w:lineRule="auto"/>
        <w:jc w:val="both"/>
        <w:rPr>
          <w:color w:val="auto"/>
        </w:rPr>
        <w:sectPr>
          <w:pgSz w:w="11910" w:h="16840"/>
          <w:pgMar w:top="1480" w:right="740" w:bottom="1180" w:left="800" w:header="0" w:footer="989" w:gutter="0"/>
          <w:cols w:space="720" w:num="1"/>
        </w:sectPr>
      </w:pPr>
    </w:p>
    <w:p w14:paraId="7AF60B35">
      <w:pPr>
        <w:pStyle w:val="9"/>
        <w:spacing w:before="26"/>
        <w:ind w:left="788"/>
        <w:jc w:val="left"/>
        <w:rPr>
          <w:color w:val="auto"/>
        </w:rPr>
      </w:pPr>
      <w:r>
        <w:rPr>
          <w:color w:val="auto"/>
          <w:spacing w:val="-4"/>
        </w:rPr>
        <w:t>最后报价表格式</w:t>
      </w:r>
    </w:p>
    <w:p w14:paraId="54B0EBA8">
      <w:pPr>
        <w:pStyle w:val="6"/>
        <w:spacing w:before="308"/>
        <w:ind w:right="933"/>
        <w:jc w:val="center"/>
        <w:rPr>
          <w:rFonts w:hint="eastAsia" w:eastAsia="宋体"/>
          <w:color w:val="auto"/>
          <w:lang w:eastAsia="zh-CN"/>
        </w:rPr>
      </w:pPr>
      <w:r>
        <w:rPr>
          <w:rFonts w:hint="eastAsia"/>
          <w:color w:val="auto"/>
          <w:spacing w:val="-38"/>
          <w:lang w:eastAsia="zh-CN"/>
        </w:rPr>
        <w:t>广西冠宁工程咨询有限公司</w:t>
      </w:r>
    </w:p>
    <w:p w14:paraId="2C0F9C04">
      <w:pPr>
        <w:pStyle w:val="6"/>
        <w:spacing w:before="95" w:line="288" w:lineRule="auto"/>
        <w:ind w:left="2372" w:right="2368"/>
        <w:jc w:val="center"/>
        <w:rPr>
          <w:rFonts w:hint="eastAsia" w:eastAsia="宋体"/>
          <w:color w:val="auto"/>
          <w:lang w:eastAsia="zh-CN"/>
        </w:rPr>
      </w:pPr>
      <w:r>
        <w:rPr>
          <w:rFonts w:hint="eastAsia"/>
          <w:color w:val="auto"/>
          <w:spacing w:val="-8"/>
          <w:lang w:eastAsia="zh-CN"/>
        </w:rPr>
        <w:t>里当鸡现代化产业育种孵化厂配套设施项目</w:t>
      </w:r>
      <w:r>
        <w:rPr>
          <w:color w:val="auto"/>
          <w:spacing w:val="-8"/>
        </w:rPr>
        <w:t xml:space="preserve"> </w:t>
      </w:r>
      <w:r>
        <w:rPr>
          <w:rFonts w:hint="eastAsia"/>
          <w:color w:val="auto"/>
          <w:spacing w:val="-2"/>
          <w:lang w:eastAsia="zh-CN"/>
        </w:rPr>
        <w:t>NNZC2026-C2-240129-GXGN</w:t>
      </w:r>
    </w:p>
    <w:p w14:paraId="23C695AE">
      <w:pPr>
        <w:pStyle w:val="6"/>
        <w:spacing w:before="3"/>
        <w:ind w:right="833"/>
        <w:jc w:val="center"/>
        <w:rPr>
          <w:color w:val="auto"/>
        </w:rPr>
      </w:pPr>
      <w:r>
        <w:rPr>
          <w:color w:val="auto"/>
          <w:spacing w:val="-12"/>
        </w:rPr>
        <w:t>最后报价</w:t>
      </w:r>
    </w:p>
    <w:p w14:paraId="303A937F">
      <w:pPr>
        <w:pStyle w:val="12"/>
        <w:spacing w:before="9"/>
        <w:ind w:left="0"/>
        <w:rPr>
          <w:color w:val="auto"/>
          <w:sz w:val="3"/>
        </w:rPr>
      </w:pPr>
      <w:r>
        <w:rPr>
          <w:color w:val="auto"/>
        </w:rPr>
        <mc:AlternateContent>
          <mc:Choice Requires="wps">
            <w:drawing>
              <wp:anchor distT="0" distB="0" distL="0" distR="0" simplePos="0" relativeHeight="251664384" behindDoc="1" locked="0" layoutInCell="1" allowOverlap="1">
                <wp:simplePos x="0" y="0"/>
                <wp:positionH relativeFrom="page">
                  <wp:posOffset>894080</wp:posOffset>
                </wp:positionH>
                <wp:positionV relativeFrom="paragraph">
                  <wp:posOffset>45720</wp:posOffset>
                </wp:positionV>
                <wp:extent cx="5600700" cy="19685"/>
                <wp:effectExtent l="0" t="0" r="0" b="0"/>
                <wp:wrapTopAndBottom/>
                <wp:docPr id="11" name="Graphic 11"/>
                <wp:cNvGraphicFramePr/>
                <a:graphic xmlns:a="http://schemas.openxmlformats.org/drawingml/2006/main">
                  <a:graphicData uri="http://schemas.microsoft.com/office/word/2010/wordprocessingShape">
                    <wps:wsp>
                      <wps:cNvSpPr/>
                      <wps:spPr>
                        <a:xfrm>
                          <a:off x="0" y="0"/>
                          <a:ext cx="5600700" cy="19685"/>
                        </a:xfrm>
                        <a:custGeom>
                          <a:avLst/>
                          <a:gdLst/>
                          <a:ahLst/>
                          <a:cxnLst/>
                          <a:rect l="l" t="t" r="r" b="b"/>
                          <a:pathLst>
                            <a:path w="5600700" h="19685">
                              <a:moveTo>
                                <a:pt x="5600700" y="19684"/>
                              </a:moveTo>
                              <a:lnTo>
                                <a:pt x="0" y="19049"/>
                              </a:lnTo>
                              <a:lnTo>
                                <a:pt x="0" y="0"/>
                              </a:lnTo>
                              <a:lnTo>
                                <a:pt x="5600700" y="634"/>
                              </a:lnTo>
                              <a:lnTo>
                                <a:pt x="5600700" y="19684"/>
                              </a:lnTo>
                              <a:close/>
                            </a:path>
                          </a:pathLst>
                        </a:custGeom>
                        <a:solidFill>
                          <a:srgbClr val="000000"/>
                        </a:solidFill>
                      </wps:spPr>
                      <wps:bodyPr wrap="square" lIns="0" tIns="0" rIns="0" bIns="0" rtlCol="0">
                        <a:noAutofit/>
                      </wps:bodyPr>
                    </wps:wsp>
                  </a:graphicData>
                </a:graphic>
              </wp:anchor>
            </w:drawing>
          </mc:Choice>
          <mc:Fallback>
            <w:pict>
              <v:shape id="Graphic 11" o:spid="_x0000_s1026" o:spt="100" style="position:absolute;left:0pt;margin-left:70.4pt;margin-top:3.6pt;height:1.55pt;width:441pt;mso-position-horizontal-relative:page;mso-wrap-distance-bottom:0pt;mso-wrap-distance-top:0pt;z-index:-251652096;mso-width-relative:page;mso-height-relative:page;" fillcolor="#000000" filled="t" stroked="f" coordsize="5600700,19685" o:gfxdata="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kGxo8dUAAAAJAQAADwAAAAAAAAABACAAAAAiAAAAZHJzL2Rvd25yZXYueG1sUEsBAhQAFAAAAAgA&#10;h07iQHW6K4coAgAA6AQAAA4AAAAAAAAAAQAgAAAAJAEAAGRycy9lMm9Eb2MueG1sUEsFBgAAAAAG&#10;AAYAWQEAAL4FAAAAAA==&#10;" path="m5600700,19684l0,19049,0,0,5600700,634,5600700,19684xe">
                <v:fill on="t" focussize="0,0"/>
                <v:stroke on="f"/>
                <v:imagedata o:title=""/>
                <o:lock v:ext="edit" aspectratio="f"/>
                <v:textbox inset="0mm,0mm,0mm,0mm"/>
                <w10:wrap type="topAndBottom"/>
              </v:shape>
            </w:pict>
          </mc:Fallback>
        </mc:AlternateContent>
      </w:r>
    </w:p>
    <w:p w14:paraId="1A93EE48">
      <w:pPr>
        <w:pStyle w:val="12"/>
        <w:spacing w:before="145"/>
        <w:ind w:left="0"/>
        <w:rPr>
          <w:color w:val="auto"/>
          <w:sz w:val="20"/>
        </w:rPr>
      </w:pPr>
    </w:p>
    <w:tbl>
      <w:tblPr>
        <w:tblStyle w:val="16"/>
        <w:tblW w:w="0" w:type="auto"/>
        <w:tblInd w:w="5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4550"/>
        <w:gridCol w:w="1117"/>
        <w:gridCol w:w="1568"/>
        <w:gridCol w:w="1289"/>
      </w:tblGrid>
      <w:tr w14:paraId="16CC4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0" w:hRule="atLeast"/>
        </w:trPr>
        <w:tc>
          <w:tcPr>
            <w:tcW w:w="664" w:type="dxa"/>
          </w:tcPr>
          <w:p w14:paraId="476E90E8">
            <w:pPr>
              <w:pStyle w:val="22"/>
              <w:spacing w:line="500" w:lineRule="exact"/>
              <w:ind w:left="211" w:right="200"/>
              <w:rPr>
                <w:color w:val="auto"/>
                <w:sz w:val="24"/>
              </w:rPr>
            </w:pPr>
            <w:r>
              <w:rPr>
                <w:color w:val="auto"/>
                <w:spacing w:val="-10"/>
                <w:sz w:val="24"/>
              </w:rPr>
              <w:t>序号</w:t>
            </w:r>
          </w:p>
        </w:tc>
        <w:tc>
          <w:tcPr>
            <w:tcW w:w="4550" w:type="dxa"/>
          </w:tcPr>
          <w:p w14:paraId="4F282FF0">
            <w:pPr>
              <w:pStyle w:val="22"/>
              <w:spacing w:before="95"/>
              <w:rPr>
                <w:color w:val="auto"/>
                <w:sz w:val="24"/>
              </w:rPr>
            </w:pPr>
          </w:p>
          <w:p w14:paraId="40AA23DA">
            <w:pPr>
              <w:pStyle w:val="22"/>
              <w:ind w:left="7"/>
              <w:jc w:val="center"/>
              <w:rPr>
                <w:color w:val="auto"/>
                <w:sz w:val="24"/>
              </w:rPr>
            </w:pPr>
            <w:r>
              <w:rPr>
                <w:color w:val="auto"/>
                <w:spacing w:val="-3"/>
                <w:sz w:val="24"/>
              </w:rPr>
              <w:t>标的名称</w:t>
            </w:r>
          </w:p>
        </w:tc>
        <w:tc>
          <w:tcPr>
            <w:tcW w:w="1117" w:type="dxa"/>
          </w:tcPr>
          <w:p w14:paraId="11408E63">
            <w:pPr>
              <w:pStyle w:val="22"/>
              <w:spacing w:line="500" w:lineRule="exact"/>
              <w:ind w:left="317" w:right="187" w:hanging="120"/>
              <w:rPr>
                <w:color w:val="auto"/>
                <w:sz w:val="24"/>
              </w:rPr>
            </w:pPr>
            <w:r>
              <w:rPr>
                <w:color w:val="auto"/>
                <w:spacing w:val="-4"/>
                <w:sz w:val="24"/>
              </w:rPr>
              <w:t>数量及</w:t>
            </w:r>
            <w:r>
              <w:rPr>
                <w:color w:val="auto"/>
                <w:spacing w:val="-6"/>
                <w:sz w:val="24"/>
              </w:rPr>
              <w:t>单位</w:t>
            </w:r>
          </w:p>
        </w:tc>
        <w:tc>
          <w:tcPr>
            <w:tcW w:w="1568" w:type="dxa"/>
          </w:tcPr>
          <w:p w14:paraId="779F1FEF">
            <w:pPr>
              <w:pStyle w:val="22"/>
              <w:spacing w:before="157"/>
              <w:ind w:left="302"/>
              <w:rPr>
                <w:color w:val="auto"/>
                <w:sz w:val="24"/>
              </w:rPr>
            </w:pPr>
            <w:r>
              <w:rPr>
                <w:color w:val="auto"/>
                <w:spacing w:val="-3"/>
                <w:sz w:val="24"/>
              </w:rPr>
              <w:t>最后报价</w:t>
            </w:r>
          </w:p>
          <w:p w14:paraId="1F5E6F8B">
            <w:pPr>
              <w:pStyle w:val="22"/>
              <w:spacing w:before="188"/>
              <w:ind w:left="422"/>
              <w:rPr>
                <w:color w:val="auto"/>
                <w:sz w:val="24"/>
              </w:rPr>
            </w:pPr>
            <w:r>
              <w:rPr>
                <w:color w:val="auto"/>
                <w:sz w:val="24"/>
              </w:rPr>
              <w:t>（元</w:t>
            </w:r>
            <w:r>
              <w:rPr>
                <w:color w:val="auto"/>
                <w:spacing w:val="-10"/>
                <w:sz w:val="24"/>
              </w:rPr>
              <w:t>）</w:t>
            </w:r>
          </w:p>
        </w:tc>
        <w:tc>
          <w:tcPr>
            <w:tcW w:w="1289" w:type="dxa"/>
          </w:tcPr>
          <w:p w14:paraId="64BE459B">
            <w:pPr>
              <w:pStyle w:val="22"/>
              <w:spacing w:before="95"/>
              <w:rPr>
                <w:color w:val="auto"/>
                <w:sz w:val="24"/>
              </w:rPr>
            </w:pPr>
          </w:p>
          <w:p w14:paraId="3D2AE416">
            <w:pPr>
              <w:pStyle w:val="22"/>
              <w:ind w:left="402"/>
              <w:rPr>
                <w:color w:val="auto"/>
                <w:sz w:val="24"/>
              </w:rPr>
            </w:pPr>
            <w:r>
              <w:rPr>
                <w:color w:val="auto"/>
                <w:spacing w:val="-5"/>
                <w:sz w:val="24"/>
              </w:rPr>
              <w:t>备注</w:t>
            </w:r>
          </w:p>
        </w:tc>
      </w:tr>
      <w:tr w14:paraId="248E5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6" w:hRule="atLeast"/>
        </w:trPr>
        <w:tc>
          <w:tcPr>
            <w:tcW w:w="664" w:type="dxa"/>
          </w:tcPr>
          <w:p w14:paraId="268B3A8E">
            <w:pPr>
              <w:pStyle w:val="22"/>
              <w:spacing w:before="263"/>
              <w:ind w:left="8"/>
              <w:jc w:val="center"/>
              <w:rPr>
                <w:color w:val="auto"/>
                <w:sz w:val="24"/>
              </w:rPr>
            </w:pPr>
            <w:r>
              <w:rPr>
                <w:color w:val="auto"/>
                <w:spacing w:val="-10"/>
                <w:sz w:val="24"/>
              </w:rPr>
              <w:t>1</w:t>
            </w:r>
          </w:p>
        </w:tc>
        <w:tc>
          <w:tcPr>
            <w:tcW w:w="4550" w:type="dxa"/>
          </w:tcPr>
          <w:p w14:paraId="023E154C">
            <w:pPr>
              <w:pStyle w:val="22"/>
              <w:spacing w:before="227"/>
              <w:ind w:left="7"/>
              <w:jc w:val="center"/>
              <w:rPr>
                <w:rFonts w:hint="eastAsia" w:eastAsia="宋体"/>
                <w:color w:val="auto"/>
                <w:sz w:val="24"/>
                <w:lang w:eastAsia="zh-CN"/>
              </w:rPr>
            </w:pPr>
            <w:r>
              <w:rPr>
                <w:rFonts w:hint="eastAsia"/>
                <w:color w:val="auto"/>
                <w:sz w:val="24"/>
                <w:lang w:eastAsia="zh-CN"/>
              </w:rPr>
              <w:t>里当鸡现代化产业育种孵化厂配套设施项目</w:t>
            </w:r>
          </w:p>
        </w:tc>
        <w:tc>
          <w:tcPr>
            <w:tcW w:w="1117" w:type="dxa"/>
          </w:tcPr>
          <w:p w14:paraId="1B0CDF3B">
            <w:pPr>
              <w:pStyle w:val="22"/>
              <w:spacing w:before="122"/>
              <w:ind w:left="346"/>
              <w:rPr>
                <w:color w:val="auto"/>
                <w:sz w:val="24"/>
              </w:rPr>
            </w:pPr>
            <w:r>
              <w:rPr>
                <w:color w:val="auto"/>
                <w:sz w:val="24"/>
              </w:rPr>
              <w:t>1</w:t>
            </w:r>
            <w:r>
              <w:rPr>
                <w:color w:val="auto"/>
                <w:spacing w:val="-35"/>
                <w:sz w:val="24"/>
              </w:rPr>
              <w:t xml:space="preserve"> 项</w:t>
            </w:r>
          </w:p>
        </w:tc>
        <w:tc>
          <w:tcPr>
            <w:tcW w:w="1568" w:type="dxa"/>
          </w:tcPr>
          <w:p w14:paraId="0D68F611">
            <w:pPr>
              <w:pStyle w:val="22"/>
              <w:rPr>
                <w:rFonts w:ascii="Times New Roman"/>
                <w:color w:val="auto"/>
                <w:sz w:val="26"/>
              </w:rPr>
            </w:pPr>
          </w:p>
        </w:tc>
        <w:tc>
          <w:tcPr>
            <w:tcW w:w="1289" w:type="dxa"/>
          </w:tcPr>
          <w:p w14:paraId="77D6E6C8">
            <w:pPr>
              <w:pStyle w:val="22"/>
              <w:rPr>
                <w:rFonts w:ascii="Times New Roman"/>
                <w:color w:val="auto"/>
                <w:sz w:val="26"/>
              </w:rPr>
            </w:pPr>
          </w:p>
        </w:tc>
      </w:tr>
      <w:tr w14:paraId="70D82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9188" w:type="dxa"/>
            <w:gridSpan w:val="5"/>
          </w:tcPr>
          <w:p w14:paraId="07B729C0">
            <w:pPr>
              <w:pStyle w:val="22"/>
              <w:tabs>
                <w:tab w:val="left" w:pos="3827"/>
                <w:tab w:val="left" w:pos="5507"/>
              </w:tabs>
              <w:spacing w:before="157"/>
              <w:ind w:left="107"/>
              <w:rPr>
                <w:color w:val="auto"/>
                <w:sz w:val="24"/>
              </w:rPr>
            </w:pPr>
            <w:r>
              <w:rPr>
                <w:color w:val="auto"/>
                <w:sz w:val="24"/>
              </w:rPr>
              <w:t>合计金额大写：人民</w:t>
            </w:r>
            <w:r>
              <w:rPr>
                <w:color w:val="auto"/>
                <w:spacing w:val="-10"/>
                <w:sz w:val="24"/>
              </w:rPr>
              <w:t>币</w:t>
            </w:r>
            <w:r>
              <w:rPr>
                <w:rFonts w:ascii="Times New Roman" w:hAnsi="Times New Roman" w:eastAsia="Times New Roman"/>
                <w:color w:val="auto"/>
                <w:sz w:val="24"/>
                <w:u w:val="single"/>
              </w:rPr>
              <w:tab/>
            </w:r>
            <w:r>
              <w:rPr>
                <w:color w:val="auto"/>
                <w:spacing w:val="-5"/>
                <w:sz w:val="24"/>
                <w:u w:val="none"/>
              </w:rPr>
              <w:t>（¥</w:t>
            </w:r>
            <w:r>
              <w:rPr>
                <w:rFonts w:ascii="Times New Roman" w:hAnsi="Times New Roman" w:eastAsia="Times New Roman"/>
                <w:color w:val="auto"/>
                <w:sz w:val="24"/>
                <w:u w:val="single"/>
              </w:rPr>
              <w:tab/>
            </w:r>
            <w:r>
              <w:rPr>
                <w:color w:val="auto"/>
                <w:spacing w:val="-10"/>
                <w:sz w:val="24"/>
                <w:u w:val="none"/>
              </w:rPr>
              <w:t>）</w:t>
            </w:r>
          </w:p>
        </w:tc>
      </w:tr>
    </w:tbl>
    <w:p w14:paraId="59540735">
      <w:pPr>
        <w:pStyle w:val="12"/>
        <w:spacing w:before="0"/>
        <w:ind w:left="0"/>
        <w:rPr>
          <w:color w:val="auto"/>
          <w:sz w:val="24"/>
        </w:rPr>
      </w:pPr>
    </w:p>
    <w:p w14:paraId="0EFFF3A9">
      <w:pPr>
        <w:pStyle w:val="12"/>
        <w:spacing w:before="33"/>
        <w:ind w:left="0"/>
        <w:rPr>
          <w:color w:val="auto"/>
          <w:sz w:val="24"/>
        </w:rPr>
      </w:pPr>
    </w:p>
    <w:p w14:paraId="1B67E826">
      <w:pPr>
        <w:pStyle w:val="11"/>
        <w:rPr>
          <w:color w:val="auto"/>
        </w:rPr>
      </w:pPr>
      <w:r>
        <w:rPr>
          <w:color w:val="auto"/>
        </w:rPr>
        <w:t>供应商（电子签章</w:t>
      </w:r>
      <w:r>
        <w:rPr>
          <w:color w:val="auto"/>
          <w:spacing w:val="-5"/>
        </w:rPr>
        <w:t>）：</w:t>
      </w:r>
    </w:p>
    <w:p w14:paraId="47CD6F41">
      <w:pPr>
        <w:pStyle w:val="12"/>
        <w:spacing w:before="0"/>
        <w:ind w:left="0"/>
        <w:rPr>
          <w:color w:val="auto"/>
          <w:sz w:val="24"/>
        </w:rPr>
      </w:pPr>
    </w:p>
    <w:p w14:paraId="67F928DE">
      <w:pPr>
        <w:pStyle w:val="12"/>
        <w:spacing w:before="62"/>
        <w:ind w:left="0"/>
        <w:rPr>
          <w:color w:val="auto"/>
          <w:sz w:val="24"/>
        </w:rPr>
      </w:pPr>
    </w:p>
    <w:p w14:paraId="391E545C">
      <w:pPr>
        <w:pStyle w:val="11"/>
        <w:rPr>
          <w:color w:val="auto"/>
        </w:rPr>
      </w:pPr>
      <w:r>
        <w:rPr>
          <w:color w:val="auto"/>
          <w:spacing w:val="-4"/>
        </w:rPr>
        <w:t>日期：</w:t>
      </w:r>
    </w:p>
    <w:p w14:paraId="510772F3">
      <w:pPr>
        <w:pStyle w:val="12"/>
        <w:spacing w:before="0"/>
        <w:ind w:left="0"/>
        <w:rPr>
          <w:color w:val="auto"/>
          <w:sz w:val="24"/>
        </w:rPr>
      </w:pPr>
    </w:p>
    <w:p w14:paraId="20616E56">
      <w:pPr>
        <w:pStyle w:val="12"/>
        <w:spacing w:before="0"/>
        <w:ind w:left="0"/>
        <w:rPr>
          <w:color w:val="auto"/>
          <w:sz w:val="24"/>
        </w:rPr>
      </w:pPr>
    </w:p>
    <w:p w14:paraId="517F5759">
      <w:pPr>
        <w:pStyle w:val="12"/>
        <w:spacing w:before="216"/>
        <w:ind w:left="0"/>
        <w:rPr>
          <w:color w:val="auto"/>
          <w:sz w:val="24"/>
        </w:rPr>
      </w:pPr>
    </w:p>
    <w:p w14:paraId="284CA151">
      <w:pPr>
        <w:pStyle w:val="9"/>
        <w:spacing w:before="0" w:line="360" w:lineRule="auto"/>
        <w:ind w:left="788" w:right="1424"/>
        <w:jc w:val="both"/>
        <w:rPr>
          <w:color w:val="auto"/>
        </w:rPr>
      </w:pPr>
      <w:r>
        <w:rPr>
          <w:color w:val="auto"/>
          <w:spacing w:val="-2"/>
        </w:rPr>
        <w:t>注：磋商小组发起新一轮报价的时候需作为附件上传，供应商最后报价的时候需填写好此表并按要求上传。供应商最后报价如果与首次报价不一致的，还需上传已标价工程量清单（含所有子表）作为</w:t>
      </w:r>
      <w:r>
        <w:rPr>
          <w:color w:val="auto"/>
          <w:spacing w:val="-4"/>
        </w:rPr>
        <w:t>附件。</w:t>
      </w:r>
    </w:p>
    <w:p w14:paraId="473EB54C">
      <w:pPr>
        <w:spacing w:after="0" w:line="360" w:lineRule="auto"/>
        <w:jc w:val="both"/>
        <w:rPr>
          <w:color w:val="auto"/>
        </w:rPr>
        <w:sectPr>
          <w:pgSz w:w="11910" w:h="16840"/>
          <w:pgMar w:top="1800" w:right="740" w:bottom="1180" w:left="800" w:header="0" w:footer="989" w:gutter="0"/>
          <w:cols w:space="720" w:num="1"/>
        </w:sectPr>
      </w:pPr>
    </w:p>
    <w:p w14:paraId="36409621">
      <w:pPr>
        <w:pStyle w:val="4"/>
        <w:spacing w:before="27"/>
        <w:ind w:right="840"/>
        <w:rPr>
          <w:color w:val="auto"/>
        </w:rPr>
      </w:pPr>
      <w:r>
        <w:rPr>
          <w:color w:val="auto"/>
          <w:spacing w:val="-4"/>
        </w:rPr>
        <w:t>质疑函（格式</w:t>
      </w:r>
      <w:r>
        <w:rPr>
          <w:color w:val="auto"/>
          <w:spacing w:val="-10"/>
        </w:rPr>
        <w:t>）</w:t>
      </w:r>
    </w:p>
    <w:p w14:paraId="1388F783">
      <w:pPr>
        <w:pStyle w:val="10"/>
        <w:spacing w:before="424"/>
        <w:ind w:left="1268" w:firstLine="0"/>
        <w:rPr>
          <w:color w:val="auto"/>
        </w:rPr>
      </w:pPr>
      <w:r>
        <w:rPr>
          <w:color w:val="auto"/>
          <w:spacing w:val="-1"/>
        </w:rPr>
        <w:t>一、质疑供应商基本信息：</w:t>
      </w:r>
    </w:p>
    <w:p w14:paraId="1186052D">
      <w:pPr>
        <w:pStyle w:val="11"/>
        <w:tabs>
          <w:tab w:val="left" w:pos="7447"/>
        </w:tabs>
        <w:spacing w:before="154"/>
        <w:ind w:left="1268"/>
        <w:rPr>
          <w:rFonts w:ascii="Times New Roman" w:eastAsia="Times New Roman"/>
          <w:color w:val="auto"/>
        </w:rPr>
      </w:pPr>
      <w:r>
        <w:rPr>
          <w:color w:val="auto"/>
        </w:rPr>
        <w:t>质疑供应商</w:t>
      </w:r>
      <w:r>
        <w:rPr>
          <w:color w:val="auto"/>
          <w:spacing w:val="-10"/>
        </w:rPr>
        <w:t>：</w:t>
      </w:r>
      <w:r>
        <w:rPr>
          <w:rFonts w:ascii="Times New Roman" w:eastAsia="Times New Roman"/>
          <w:color w:val="auto"/>
          <w:u w:val="single"/>
        </w:rPr>
        <w:tab/>
      </w:r>
    </w:p>
    <w:p w14:paraId="5A0795E8">
      <w:pPr>
        <w:pStyle w:val="11"/>
        <w:tabs>
          <w:tab w:val="left" w:pos="4748"/>
          <w:tab w:val="left" w:pos="7028"/>
          <w:tab w:val="left" w:pos="8047"/>
          <w:tab w:val="left" w:pos="9634"/>
        </w:tabs>
        <w:spacing w:before="156" w:line="357" w:lineRule="auto"/>
        <w:ind w:left="1268" w:right="729"/>
        <w:rPr>
          <w:rFonts w:ascii="Times New Roman" w:eastAsia="Times New Roman"/>
          <w:color w:val="auto"/>
        </w:rPr>
      </w:pPr>
      <w:r>
        <w:rPr>
          <w:color w:val="auto"/>
          <w:spacing w:val="-4"/>
        </w:rPr>
        <w:t>地址：</w:t>
      </w:r>
      <w:r>
        <w:rPr>
          <w:rFonts w:ascii="Times New Roman" w:eastAsia="Times New Roman"/>
          <w:color w:val="auto"/>
          <w:u w:val="single"/>
        </w:rPr>
        <w:tab/>
      </w:r>
      <w:r>
        <w:rPr>
          <w:rFonts w:ascii="Times New Roman" w:eastAsia="Times New Roman"/>
          <w:color w:val="auto"/>
          <w:u w:val="single"/>
        </w:rPr>
        <w:tab/>
      </w:r>
      <w:r>
        <w:rPr>
          <w:color w:val="auto"/>
          <w:spacing w:val="-4"/>
          <w:u w:val="none"/>
        </w:rPr>
        <w:t>邮编：</w:t>
      </w:r>
      <w:r>
        <w:rPr>
          <w:rFonts w:ascii="Times New Roman" w:eastAsia="Times New Roman"/>
          <w:color w:val="auto"/>
          <w:u w:val="single"/>
        </w:rPr>
        <w:tab/>
      </w:r>
      <w:r>
        <w:rPr>
          <w:rFonts w:ascii="Times New Roman" w:eastAsia="Times New Roman"/>
          <w:color w:val="auto"/>
          <w:u w:val="single"/>
        </w:rPr>
        <w:tab/>
      </w:r>
      <w:r>
        <w:rPr>
          <w:rFonts w:ascii="Times New Roman" w:eastAsia="Times New Roman"/>
          <w:color w:val="auto"/>
          <w:u w:val="none"/>
        </w:rPr>
        <w:t xml:space="preserve"> </w:t>
      </w:r>
      <w:r>
        <w:rPr>
          <w:color w:val="auto"/>
          <w:spacing w:val="-4"/>
          <w:u w:val="none"/>
        </w:rPr>
        <w:t>联系人：</w:t>
      </w:r>
      <w:r>
        <w:rPr>
          <w:rFonts w:ascii="Times New Roman" w:eastAsia="Times New Roman"/>
          <w:color w:val="auto"/>
          <w:u w:val="single"/>
        </w:rPr>
        <w:tab/>
      </w:r>
      <w:r>
        <w:rPr>
          <w:color w:val="auto"/>
          <w:spacing w:val="-4"/>
          <w:u w:val="none"/>
        </w:rPr>
        <w:t>联系电话：</w:t>
      </w:r>
      <w:r>
        <w:rPr>
          <w:rFonts w:ascii="Times New Roman" w:eastAsia="Times New Roman"/>
          <w:color w:val="auto"/>
          <w:u w:val="single"/>
        </w:rPr>
        <w:tab/>
      </w:r>
      <w:r>
        <w:rPr>
          <w:rFonts w:ascii="Times New Roman" w:eastAsia="Times New Roman"/>
          <w:color w:val="auto"/>
          <w:u w:val="single"/>
        </w:rPr>
        <w:tab/>
      </w:r>
    </w:p>
    <w:p w14:paraId="75426CC7">
      <w:pPr>
        <w:pStyle w:val="11"/>
        <w:tabs>
          <w:tab w:val="left" w:pos="5167"/>
        </w:tabs>
        <w:spacing w:before="3" w:line="357" w:lineRule="auto"/>
        <w:ind w:left="1268" w:right="5196"/>
        <w:rPr>
          <w:rFonts w:ascii="Times New Roman" w:eastAsia="Times New Roman"/>
          <w:color w:val="auto"/>
        </w:rPr>
      </w:pPr>
      <w:r>
        <w:rPr>
          <w:color w:val="auto"/>
          <w:spacing w:val="-2"/>
        </w:rPr>
        <w:t>授权代表：</w:t>
      </w:r>
      <w:r>
        <w:rPr>
          <w:rFonts w:ascii="Times New Roman" w:eastAsia="Times New Roman"/>
          <w:color w:val="auto"/>
          <w:u w:val="single"/>
        </w:rPr>
        <w:tab/>
      </w:r>
      <w:r>
        <w:rPr>
          <w:rFonts w:ascii="Times New Roman" w:eastAsia="Times New Roman"/>
          <w:color w:val="auto"/>
          <w:u w:val="none"/>
        </w:rPr>
        <w:t xml:space="preserve"> </w:t>
      </w:r>
      <w:r>
        <w:rPr>
          <w:color w:val="auto"/>
          <w:u w:val="none"/>
        </w:rPr>
        <w:t>联系电话</w:t>
      </w:r>
      <w:r>
        <w:rPr>
          <w:color w:val="auto"/>
          <w:spacing w:val="-10"/>
          <w:u w:val="none"/>
        </w:rPr>
        <w:t>：</w:t>
      </w:r>
      <w:r>
        <w:rPr>
          <w:rFonts w:ascii="Times New Roman" w:eastAsia="Times New Roman"/>
          <w:color w:val="auto"/>
          <w:u w:val="single"/>
        </w:rPr>
        <w:tab/>
      </w:r>
    </w:p>
    <w:p w14:paraId="54680639">
      <w:pPr>
        <w:tabs>
          <w:tab w:val="left" w:pos="4028"/>
          <w:tab w:val="left" w:pos="6967"/>
        </w:tabs>
        <w:spacing w:before="4" w:line="357" w:lineRule="auto"/>
        <w:ind w:left="1268" w:right="3396" w:firstLine="0"/>
        <w:jc w:val="left"/>
        <w:rPr>
          <w:b/>
          <w:color w:val="auto"/>
          <w:sz w:val="24"/>
        </w:rPr>
      </w:pPr>
      <w:r>
        <w:rPr>
          <w:color w:val="auto"/>
          <w:spacing w:val="-4"/>
          <w:sz w:val="24"/>
        </w:rPr>
        <w:t>地址：</w:t>
      </w:r>
      <w:r>
        <w:rPr>
          <w:rFonts w:ascii="Times New Roman" w:eastAsia="Times New Roman"/>
          <w:color w:val="auto"/>
          <w:sz w:val="24"/>
          <w:u w:val="single"/>
        </w:rPr>
        <w:tab/>
      </w:r>
      <w:r>
        <w:rPr>
          <w:color w:val="auto"/>
          <w:spacing w:val="-4"/>
          <w:sz w:val="24"/>
          <w:u w:val="none"/>
        </w:rPr>
        <w:t>邮编：</w:t>
      </w:r>
      <w:r>
        <w:rPr>
          <w:rFonts w:ascii="Times New Roman" w:eastAsia="Times New Roman"/>
          <w:color w:val="auto"/>
          <w:sz w:val="24"/>
          <w:u w:val="single"/>
        </w:rPr>
        <w:tab/>
      </w:r>
      <w:r>
        <w:rPr>
          <w:rFonts w:ascii="Times New Roman" w:eastAsia="Times New Roman"/>
          <w:color w:val="auto"/>
          <w:sz w:val="24"/>
          <w:u w:val="none"/>
        </w:rPr>
        <w:t xml:space="preserve"> </w:t>
      </w:r>
      <w:r>
        <w:rPr>
          <w:b/>
          <w:color w:val="auto"/>
          <w:spacing w:val="-2"/>
          <w:sz w:val="24"/>
          <w:u w:val="none"/>
        </w:rPr>
        <w:t>二、质疑项目基本情况：</w:t>
      </w:r>
    </w:p>
    <w:p w14:paraId="34500350">
      <w:pPr>
        <w:pStyle w:val="11"/>
        <w:tabs>
          <w:tab w:val="left" w:pos="7704"/>
        </w:tabs>
        <w:spacing w:before="4" w:line="360" w:lineRule="auto"/>
        <w:ind w:left="1285" w:right="2659"/>
        <w:jc w:val="both"/>
        <w:rPr>
          <w:color w:val="auto"/>
        </w:rPr>
      </w:pPr>
      <w:r>
        <w:rPr>
          <w:color w:val="auto"/>
          <w:spacing w:val="-2"/>
        </w:rPr>
        <w:t>质疑项目的名称：</w:t>
      </w:r>
      <w:r>
        <w:rPr>
          <w:rFonts w:ascii="Times New Roman" w:eastAsia="Times New Roman"/>
          <w:color w:val="auto"/>
          <w:u w:val="single"/>
        </w:rPr>
        <w:tab/>
      </w:r>
      <w:r>
        <w:rPr>
          <w:rFonts w:ascii="Times New Roman" w:eastAsia="Times New Roman"/>
          <w:color w:val="auto"/>
          <w:u w:val="none"/>
        </w:rPr>
        <w:t xml:space="preserve"> </w:t>
      </w:r>
      <w:r>
        <w:rPr>
          <w:color w:val="auto"/>
          <w:spacing w:val="-2"/>
          <w:u w:val="none"/>
        </w:rPr>
        <w:t>质疑项目的编号：</w:t>
      </w:r>
      <w:r>
        <w:rPr>
          <w:rFonts w:ascii="Times New Roman" w:eastAsia="Times New Roman"/>
          <w:color w:val="auto"/>
          <w:u w:val="single"/>
        </w:rPr>
        <w:tab/>
      </w:r>
      <w:r>
        <w:rPr>
          <w:rFonts w:ascii="Times New Roman" w:eastAsia="Times New Roman"/>
          <w:color w:val="auto"/>
          <w:u w:val="none"/>
        </w:rPr>
        <w:t xml:space="preserve"> </w:t>
      </w:r>
      <w:r>
        <w:rPr>
          <w:color w:val="auto"/>
          <w:spacing w:val="-2"/>
          <w:u w:val="none"/>
        </w:rPr>
        <w:t>采购人名称：</w:t>
      </w:r>
      <w:r>
        <w:rPr>
          <w:rFonts w:ascii="Times New Roman" w:eastAsia="Times New Roman"/>
          <w:color w:val="auto"/>
          <w:u w:val="single"/>
        </w:rPr>
        <w:tab/>
      </w:r>
      <w:r>
        <w:rPr>
          <w:rFonts w:ascii="Times New Roman" w:eastAsia="Times New Roman"/>
          <w:color w:val="auto"/>
          <w:u w:val="none"/>
        </w:rPr>
        <w:t xml:space="preserve"> </w:t>
      </w:r>
      <w:r>
        <w:rPr>
          <w:color w:val="auto"/>
          <w:spacing w:val="-2"/>
          <w:u w:val="none"/>
        </w:rPr>
        <w:t>质疑事项：</w:t>
      </w:r>
    </w:p>
    <w:p w14:paraId="460E48FC">
      <w:pPr>
        <w:pStyle w:val="11"/>
        <w:tabs>
          <w:tab w:val="left" w:pos="2725"/>
          <w:tab w:val="left" w:pos="9144"/>
        </w:tabs>
        <w:spacing w:line="307" w:lineRule="exact"/>
        <w:ind w:left="1165"/>
        <w:rPr>
          <w:rFonts w:ascii="Times New Roman" w:hAnsi="Times New Roman" w:eastAsia="Times New Roman"/>
          <w:color w:val="auto"/>
        </w:rPr>
      </w:pPr>
      <w:r>
        <w:rPr>
          <w:color w:val="auto"/>
        </w:rPr>
        <w:t>□采购文</w:t>
      </w:r>
      <w:r>
        <w:rPr>
          <w:color w:val="auto"/>
          <w:spacing w:val="-10"/>
        </w:rPr>
        <w:t>件</w:t>
      </w:r>
      <w:r>
        <w:rPr>
          <w:color w:val="auto"/>
        </w:rPr>
        <w:tab/>
      </w:r>
      <w:r>
        <w:rPr>
          <w:color w:val="auto"/>
        </w:rPr>
        <w:t>采购文件获取日期</w:t>
      </w:r>
      <w:r>
        <w:rPr>
          <w:color w:val="auto"/>
          <w:spacing w:val="-10"/>
        </w:rPr>
        <w:t>：</w:t>
      </w:r>
      <w:r>
        <w:rPr>
          <w:rFonts w:ascii="Times New Roman" w:hAnsi="Times New Roman" w:eastAsia="Times New Roman"/>
          <w:color w:val="auto"/>
          <w:u w:val="single"/>
        </w:rPr>
        <w:tab/>
      </w:r>
    </w:p>
    <w:p w14:paraId="189A998B">
      <w:pPr>
        <w:pStyle w:val="11"/>
        <w:spacing w:before="154"/>
        <w:ind w:left="1165"/>
        <w:rPr>
          <w:color w:val="auto"/>
        </w:rPr>
      </w:pPr>
      <w:r>
        <w:rPr>
          <w:color w:val="auto"/>
          <w:spacing w:val="-2"/>
        </w:rPr>
        <w:t>□采购过程</w:t>
      </w:r>
    </w:p>
    <w:p w14:paraId="2870F7D8">
      <w:pPr>
        <w:pStyle w:val="11"/>
        <w:spacing w:before="156"/>
        <w:ind w:left="1165"/>
        <w:rPr>
          <w:color w:val="auto"/>
        </w:rPr>
      </w:pPr>
      <w:r>
        <w:rPr>
          <w:color w:val="auto"/>
          <w:spacing w:val="-2"/>
        </w:rPr>
        <w:t>□成交结果</w:t>
      </w:r>
    </w:p>
    <w:p w14:paraId="5E97D38C">
      <w:pPr>
        <w:pStyle w:val="10"/>
        <w:spacing w:before="156"/>
        <w:ind w:left="1285" w:firstLine="0"/>
        <w:rPr>
          <w:color w:val="auto"/>
        </w:rPr>
      </w:pPr>
      <w:r>
        <w:rPr>
          <w:color w:val="auto"/>
          <w:spacing w:val="-1"/>
        </w:rPr>
        <w:t>三、质疑事项具体内容</w:t>
      </w:r>
    </w:p>
    <w:p w14:paraId="26300CB6">
      <w:pPr>
        <w:pStyle w:val="11"/>
        <w:tabs>
          <w:tab w:val="left" w:pos="9634"/>
        </w:tabs>
        <w:spacing w:before="153" w:line="360" w:lineRule="auto"/>
        <w:ind w:left="1285" w:right="729"/>
        <w:jc w:val="both"/>
        <w:rPr>
          <w:color w:val="auto"/>
        </w:rPr>
      </w:pPr>
      <w:r>
        <w:rPr>
          <w:color w:val="auto"/>
        </w:rPr>
        <w:t>质疑事项</w:t>
      </w:r>
      <w:r>
        <w:rPr>
          <w:color w:val="auto"/>
          <w:spacing w:val="-41"/>
        </w:rPr>
        <w:t xml:space="preserve"> </w:t>
      </w:r>
      <w:r>
        <w:rPr>
          <w:color w:val="auto"/>
        </w:rPr>
        <w:t>1：</w:t>
      </w:r>
      <w:r>
        <w:rPr>
          <w:rFonts w:ascii="Times New Roman" w:eastAsia="Times New Roman"/>
          <w:color w:val="auto"/>
          <w:u w:val="single"/>
        </w:rPr>
        <w:tab/>
      </w:r>
      <w:r>
        <w:rPr>
          <w:rFonts w:ascii="Times New Roman" w:eastAsia="Times New Roman"/>
          <w:color w:val="auto"/>
          <w:u w:val="none"/>
        </w:rPr>
        <w:t xml:space="preserve"> </w:t>
      </w:r>
      <w:r>
        <w:rPr>
          <w:color w:val="auto"/>
          <w:spacing w:val="-2"/>
          <w:u w:val="none"/>
        </w:rPr>
        <w:t>事实依据：</w:t>
      </w:r>
      <w:r>
        <w:rPr>
          <w:rFonts w:ascii="Times New Roman" w:eastAsia="Times New Roman"/>
          <w:color w:val="auto"/>
          <w:u w:val="single"/>
        </w:rPr>
        <w:tab/>
      </w:r>
      <w:r>
        <w:rPr>
          <w:rFonts w:ascii="Times New Roman" w:eastAsia="Times New Roman"/>
          <w:color w:val="auto"/>
          <w:u w:val="none"/>
        </w:rPr>
        <w:t xml:space="preserve"> </w:t>
      </w:r>
      <w:r>
        <w:rPr>
          <w:color w:val="auto"/>
          <w:spacing w:val="-2"/>
          <w:u w:val="none"/>
        </w:rPr>
        <w:t>法律依据：</w:t>
      </w:r>
      <w:r>
        <w:rPr>
          <w:rFonts w:ascii="Times New Roman" w:eastAsia="Times New Roman"/>
          <w:color w:val="auto"/>
          <w:u w:val="single"/>
        </w:rPr>
        <w:tab/>
      </w:r>
      <w:r>
        <w:rPr>
          <w:rFonts w:ascii="Times New Roman" w:eastAsia="Times New Roman"/>
          <w:color w:val="auto"/>
          <w:u w:val="none"/>
        </w:rPr>
        <w:t xml:space="preserve"> </w:t>
      </w:r>
      <w:r>
        <w:rPr>
          <w:color w:val="auto"/>
          <w:u w:val="none"/>
        </w:rPr>
        <w:t>质疑事项</w:t>
      </w:r>
      <w:r>
        <w:rPr>
          <w:color w:val="auto"/>
          <w:spacing w:val="-41"/>
          <w:u w:val="none"/>
        </w:rPr>
        <w:t xml:space="preserve"> </w:t>
      </w:r>
      <w:r>
        <w:rPr>
          <w:color w:val="auto"/>
          <w:u w:val="none"/>
        </w:rPr>
        <w:t>2：</w:t>
      </w:r>
    </w:p>
    <w:p w14:paraId="0FDF5D8B">
      <w:pPr>
        <w:spacing w:before="0" w:line="307" w:lineRule="exact"/>
        <w:ind w:left="1285" w:right="0" w:firstLine="0"/>
        <w:jc w:val="left"/>
        <w:rPr>
          <w:color w:val="auto"/>
          <w:sz w:val="24"/>
        </w:rPr>
      </w:pPr>
      <w:r>
        <w:rPr>
          <w:color w:val="auto"/>
          <w:spacing w:val="-5"/>
          <w:sz w:val="24"/>
        </w:rPr>
        <w:t>……</w:t>
      </w:r>
    </w:p>
    <w:p w14:paraId="67BD570A">
      <w:pPr>
        <w:pStyle w:val="11"/>
        <w:spacing w:before="156"/>
        <w:ind w:left="1285"/>
        <w:rPr>
          <w:color w:val="auto"/>
        </w:rPr>
      </w:pPr>
      <w:r>
        <w:rPr>
          <w:color w:val="auto"/>
          <w:spacing w:val="-1"/>
        </w:rPr>
        <w:t>四、与质疑事项相关的质疑请求：</w:t>
      </w:r>
    </w:p>
    <w:p w14:paraId="6A13FF24">
      <w:pPr>
        <w:pStyle w:val="11"/>
        <w:tabs>
          <w:tab w:val="left" w:pos="9634"/>
        </w:tabs>
        <w:spacing w:before="154"/>
        <w:ind w:left="1285"/>
        <w:rPr>
          <w:rFonts w:ascii="Times New Roman" w:eastAsia="Times New Roman"/>
          <w:color w:val="auto"/>
        </w:rPr>
      </w:pPr>
      <w:r>
        <w:rPr>
          <w:color w:val="auto"/>
        </w:rPr>
        <w:t>请求</w:t>
      </w:r>
      <w:r>
        <w:rPr>
          <w:color w:val="auto"/>
          <w:spacing w:val="-10"/>
        </w:rPr>
        <w:t>：</w:t>
      </w:r>
      <w:r>
        <w:rPr>
          <w:rFonts w:ascii="Times New Roman" w:eastAsia="Times New Roman"/>
          <w:color w:val="auto"/>
          <w:u w:val="single"/>
        </w:rPr>
        <w:tab/>
      </w:r>
    </w:p>
    <w:p w14:paraId="3006E8BB">
      <w:pPr>
        <w:pStyle w:val="12"/>
        <w:spacing w:before="0"/>
        <w:ind w:left="0"/>
        <w:rPr>
          <w:rFonts w:ascii="Times New Roman"/>
          <w:color w:val="auto"/>
          <w:sz w:val="24"/>
        </w:rPr>
      </w:pPr>
    </w:p>
    <w:p w14:paraId="05F115E5">
      <w:pPr>
        <w:pStyle w:val="12"/>
        <w:spacing w:before="69"/>
        <w:ind w:left="0"/>
        <w:rPr>
          <w:rFonts w:ascii="Times New Roman"/>
          <w:color w:val="auto"/>
          <w:sz w:val="24"/>
        </w:rPr>
      </w:pPr>
    </w:p>
    <w:p w14:paraId="1361364B">
      <w:pPr>
        <w:pStyle w:val="11"/>
        <w:tabs>
          <w:tab w:val="left" w:pos="7645"/>
        </w:tabs>
        <w:spacing w:before="1"/>
        <w:ind w:left="1285"/>
        <w:rPr>
          <w:color w:val="auto"/>
        </w:rPr>
      </w:pPr>
      <w:r>
        <w:rPr>
          <w:color w:val="auto"/>
        </w:rPr>
        <w:t>签字（签章</w:t>
      </w:r>
      <w:r>
        <w:rPr>
          <w:color w:val="auto"/>
          <w:spacing w:val="-5"/>
        </w:rPr>
        <w:t>）：</w:t>
      </w:r>
      <w:r>
        <w:rPr>
          <w:color w:val="auto"/>
        </w:rPr>
        <w:tab/>
      </w:r>
      <w:r>
        <w:rPr>
          <w:color w:val="auto"/>
        </w:rPr>
        <w:t>公章</w:t>
      </w:r>
      <w:r>
        <w:rPr>
          <w:color w:val="auto"/>
          <w:spacing w:val="-10"/>
        </w:rPr>
        <w:t>：</w:t>
      </w:r>
    </w:p>
    <w:p w14:paraId="36D2D8E8">
      <w:pPr>
        <w:pStyle w:val="11"/>
        <w:spacing w:before="156"/>
        <w:ind w:left="1268"/>
        <w:rPr>
          <w:color w:val="auto"/>
        </w:rPr>
      </w:pPr>
      <w:r>
        <w:rPr>
          <w:color w:val="auto"/>
          <w:spacing w:val="-4"/>
        </w:rPr>
        <w:t>日期：</w:t>
      </w:r>
    </w:p>
    <w:p w14:paraId="53380EB0">
      <w:pPr>
        <w:spacing w:after="0"/>
        <w:rPr>
          <w:color w:val="auto"/>
        </w:rPr>
        <w:sectPr>
          <w:pgSz w:w="11910" w:h="16840"/>
          <w:pgMar w:top="1420" w:right="740" w:bottom="1180" w:left="800" w:header="0" w:footer="989" w:gutter="0"/>
          <w:cols w:space="720" w:num="1"/>
        </w:sectPr>
      </w:pPr>
    </w:p>
    <w:p w14:paraId="7592DE8A">
      <w:pPr>
        <w:pStyle w:val="10"/>
        <w:spacing w:before="38"/>
        <w:ind w:left="788" w:firstLine="0"/>
        <w:rPr>
          <w:color w:val="auto"/>
        </w:rPr>
      </w:pPr>
      <w:r>
        <w:rPr>
          <w:color w:val="auto"/>
          <w:spacing w:val="-4"/>
        </w:rPr>
        <w:t>说明：</w:t>
      </w:r>
    </w:p>
    <w:p w14:paraId="670247C2">
      <w:pPr>
        <w:pStyle w:val="10"/>
        <w:numPr>
          <w:ilvl w:val="0"/>
          <w:numId w:val="62"/>
        </w:numPr>
        <w:tabs>
          <w:tab w:val="left" w:pos="1409"/>
        </w:tabs>
        <w:spacing w:before="156" w:after="0" w:line="240" w:lineRule="auto"/>
        <w:ind w:left="1409" w:right="0" w:hanging="241"/>
        <w:jc w:val="left"/>
        <w:rPr>
          <w:color w:val="auto"/>
        </w:rPr>
      </w:pPr>
      <w:r>
        <w:rPr>
          <w:color w:val="auto"/>
          <w:spacing w:val="-1"/>
        </w:rPr>
        <w:t>供应商提出质疑时，应提交质疑函和必要的证明材料。</w:t>
      </w:r>
    </w:p>
    <w:p w14:paraId="5990EC34">
      <w:pPr>
        <w:pStyle w:val="10"/>
        <w:numPr>
          <w:ilvl w:val="0"/>
          <w:numId w:val="62"/>
        </w:numPr>
        <w:tabs>
          <w:tab w:val="left" w:pos="1415"/>
        </w:tabs>
        <w:spacing w:before="154" w:after="0" w:line="360" w:lineRule="auto"/>
        <w:ind w:left="812" w:right="791" w:firstLine="355"/>
        <w:jc w:val="both"/>
        <w:rPr>
          <w:color w:val="auto"/>
        </w:rPr>
      </w:pPr>
      <w:r>
        <w:rPr>
          <w:color w:val="auto"/>
          <w:spacing w:val="5"/>
        </w:rPr>
        <w:t>质疑供应商若委托代理人进行质疑的，质疑函应按要求列明“授权代表”的</w:t>
      </w:r>
      <w:r>
        <w:rPr>
          <w:color w:val="auto"/>
          <w:spacing w:val="1"/>
        </w:rPr>
        <w:t>有关内容，并在附件中提交由质疑供应商签署的授权委托书。授权委托书应载明代</w:t>
      </w:r>
      <w:r>
        <w:rPr>
          <w:color w:val="auto"/>
        </w:rPr>
        <w:t>理人的姓名或者名称、代理事项、具体权限、期限和相关事项。</w:t>
      </w:r>
    </w:p>
    <w:p w14:paraId="1D01DCDD">
      <w:pPr>
        <w:pStyle w:val="10"/>
        <w:numPr>
          <w:ilvl w:val="0"/>
          <w:numId w:val="62"/>
        </w:numPr>
        <w:tabs>
          <w:tab w:val="left" w:pos="1409"/>
        </w:tabs>
        <w:spacing w:before="0" w:after="0" w:line="310" w:lineRule="exact"/>
        <w:ind w:left="1409" w:right="0" w:hanging="241"/>
        <w:jc w:val="left"/>
        <w:rPr>
          <w:color w:val="auto"/>
        </w:rPr>
      </w:pPr>
      <w:r>
        <w:rPr>
          <w:color w:val="auto"/>
          <w:spacing w:val="-1"/>
        </w:rPr>
        <w:t>质疑函的质疑事项应具体、明确，并有必要的事实依据和法律依据。</w:t>
      </w:r>
    </w:p>
    <w:p w14:paraId="4481D272">
      <w:pPr>
        <w:pStyle w:val="10"/>
        <w:numPr>
          <w:ilvl w:val="0"/>
          <w:numId w:val="62"/>
        </w:numPr>
        <w:tabs>
          <w:tab w:val="left" w:pos="1409"/>
        </w:tabs>
        <w:spacing w:before="153" w:after="0" w:line="240" w:lineRule="auto"/>
        <w:ind w:left="1409" w:right="0" w:hanging="241"/>
        <w:jc w:val="left"/>
        <w:rPr>
          <w:color w:val="auto"/>
        </w:rPr>
      </w:pPr>
      <w:r>
        <w:rPr>
          <w:color w:val="auto"/>
          <w:spacing w:val="-1"/>
        </w:rPr>
        <w:t>质疑函的质疑请求应与质疑事项相关。</w:t>
      </w:r>
    </w:p>
    <w:p w14:paraId="698A44BC">
      <w:pPr>
        <w:pStyle w:val="10"/>
        <w:numPr>
          <w:ilvl w:val="0"/>
          <w:numId w:val="62"/>
        </w:numPr>
        <w:tabs>
          <w:tab w:val="left" w:pos="1415"/>
        </w:tabs>
        <w:spacing w:before="156" w:after="0" w:line="360" w:lineRule="auto"/>
        <w:ind w:left="812" w:right="791" w:firstLine="355"/>
        <w:jc w:val="left"/>
        <w:rPr>
          <w:color w:val="auto"/>
        </w:rPr>
      </w:pPr>
      <w:r>
        <w:rPr>
          <w:color w:val="auto"/>
          <w:spacing w:val="5"/>
        </w:rPr>
        <w:t>质疑供应商为法人或者其他组织的，质疑函应由法定代表人、主要负责人，</w:t>
      </w:r>
      <w:r>
        <w:rPr>
          <w:color w:val="auto"/>
        </w:rPr>
        <w:t>或者其授权代表签字或者盖章，并加盖公章。</w:t>
      </w:r>
    </w:p>
    <w:p w14:paraId="0AAC5C89">
      <w:pPr>
        <w:spacing w:after="0" w:line="360" w:lineRule="auto"/>
        <w:jc w:val="left"/>
        <w:rPr>
          <w:color w:val="auto"/>
        </w:rPr>
        <w:sectPr>
          <w:pgSz w:w="11910" w:h="16840"/>
          <w:pgMar w:top="1380" w:right="740" w:bottom="1180" w:left="800" w:header="0" w:footer="989" w:gutter="0"/>
          <w:cols w:space="720" w:num="1"/>
        </w:sectPr>
      </w:pPr>
    </w:p>
    <w:p w14:paraId="6FE51C58">
      <w:pPr>
        <w:pStyle w:val="4"/>
        <w:spacing w:before="27"/>
        <w:ind w:right="840"/>
        <w:rPr>
          <w:color w:val="auto"/>
        </w:rPr>
      </w:pPr>
      <w:r>
        <w:rPr>
          <w:color w:val="auto"/>
          <w:spacing w:val="-4"/>
        </w:rPr>
        <w:t>投诉书（格式</w:t>
      </w:r>
      <w:r>
        <w:rPr>
          <w:color w:val="auto"/>
          <w:spacing w:val="-10"/>
        </w:rPr>
        <w:t>）</w:t>
      </w:r>
    </w:p>
    <w:p w14:paraId="702F709F">
      <w:pPr>
        <w:pStyle w:val="10"/>
        <w:spacing w:before="424"/>
        <w:ind w:left="1268" w:firstLine="0"/>
        <w:rPr>
          <w:color w:val="auto"/>
        </w:rPr>
      </w:pPr>
      <w:r>
        <w:rPr>
          <w:color w:val="auto"/>
          <w:spacing w:val="-1"/>
        </w:rPr>
        <w:t>一、投诉相关主体基本情况：</w:t>
      </w:r>
    </w:p>
    <w:p w14:paraId="5FFC9C5E">
      <w:pPr>
        <w:pStyle w:val="11"/>
        <w:tabs>
          <w:tab w:val="left" w:pos="7028"/>
          <w:tab w:val="left" w:pos="7447"/>
          <w:tab w:val="left" w:pos="9634"/>
        </w:tabs>
        <w:spacing w:before="154" w:line="360" w:lineRule="auto"/>
        <w:ind w:left="1268" w:right="729"/>
        <w:jc w:val="both"/>
        <w:rPr>
          <w:rFonts w:ascii="Times New Roman" w:eastAsia="Times New Roman"/>
          <w:color w:val="auto"/>
        </w:rPr>
      </w:pPr>
      <w:r>
        <w:rPr>
          <w:color w:val="auto"/>
          <w:spacing w:val="-4"/>
        </w:rPr>
        <w:t>供应商：</w:t>
      </w:r>
      <w:r>
        <w:rPr>
          <w:rFonts w:ascii="Times New Roman" w:eastAsia="Times New Roman"/>
          <w:color w:val="auto"/>
          <w:u w:val="single"/>
        </w:rPr>
        <w:tab/>
      </w:r>
      <w:r>
        <w:rPr>
          <w:rFonts w:ascii="Times New Roman" w:eastAsia="Times New Roman"/>
          <w:color w:val="auto"/>
          <w:u w:val="single"/>
        </w:rPr>
        <w:tab/>
      </w:r>
      <w:r>
        <w:rPr>
          <w:rFonts w:ascii="Times New Roman" w:eastAsia="Times New Roman"/>
          <w:color w:val="auto"/>
          <w:u w:val="single"/>
        </w:rPr>
        <w:tab/>
      </w:r>
      <w:r>
        <w:rPr>
          <w:rFonts w:ascii="Times New Roman" w:eastAsia="Times New Roman"/>
          <w:color w:val="auto"/>
          <w:u w:val="none"/>
        </w:rPr>
        <w:t xml:space="preserve"> </w:t>
      </w:r>
      <w:r>
        <w:rPr>
          <w:color w:val="auto"/>
          <w:spacing w:val="-4"/>
          <w:u w:val="none"/>
        </w:rPr>
        <w:t>地址：</w:t>
      </w:r>
      <w:r>
        <w:rPr>
          <w:rFonts w:ascii="Times New Roman" w:eastAsia="Times New Roman"/>
          <w:color w:val="auto"/>
          <w:u w:val="single"/>
        </w:rPr>
        <w:tab/>
      </w:r>
      <w:r>
        <w:rPr>
          <w:color w:val="auto"/>
          <w:spacing w:val="-4"/>
          <w:u w:val="none"/>
        </w:rPr>
        <w:t>邮编：</w:t>
      </w:r>
      <w:r>
        <w:rPr>
          <w:rFonts w:ascii="Times New Roman" w:eastAsia="Times New Roman"/>
          <w:color w:val="auto"/>
          <w:u w:val="single"/>
        </w:rPr>
        <w:tab/>
      </w:r>
      <w:r>
        <w:rPr>
          <w:rFonts w:ascii="Times New Roman" w:eastAsia="Times New Roman"/>
          <w:color w:val="auto"/>
          <w:u w:val="none"/>
        </w:rPr>
        <w:t xml:space="preserve"> </w:t>
      </w:r>
      <w:r>
        <w:rPr>
          <w:color w:val="auto"/>
          <w:spacing w:val="-2"/>
          <w:u w:val="none"/>
        </w:rPr>
        <w:t>法定代表人/主要负责人：</w:t>
      </w:r>
      <w:r>
        <w:rPr>
          <w:rFonts w:ascii="Times New Roman" w:eastAsia="Times New Roman"/>
          <w:color w:val="auto"/>
          <w:u w:val="single"/>
        </w:rPr>
        <w:tab/>
      </w:r>
      <w:r>
        <w:rPr>
          <w:rFonts w:ascii="Times New Roman" w:eastAsia="Times New Roman"/>
          <w:color w:val="auto"/>
          <w:u w:val="single"/>
        </w:rPr>
        <w:tab/>
      </w:r>
      <w:r>
        <w:rPr>
          <w:rFonts w:ascii="Times New Roman" w:eastAsia="Times New Roman"/>
          <w:color w:val="auto"/>
          <w:u w:val="single"/>
        </w:rPr>
        <w:tab/>
      </w:r>
      <w:r>
        <w:rPr>
          <w:rFonts w:ascii="Times New Roman" w:eastAsia="Times New Roman"/>
          <w:color w:val="auto"/>
          <w:u w:val="none"/>
        </w:rPr>
        <w:t xml:space="preserve"> </w:t>
      </w:r>
      <w:r>
        <w:rPr>
          <w:color w:val="auto"/>
          <w:spacing w:val="-2"/>
          <w:u w:val="none"/>
        </w:rPr>
        <w:t>联系电话：</w:t>
      </w:r>
      <w:r>
        <w:rPr>
          <w:rFonts w:ascii="Times New Roman" w:eastAsia="Times New Roman"/>
          <w:color w:val="auto"/>
          <w:u w:val="single"/>
        </w:rPr>
        <w:tab/>
      </w:r>
      <w:r>
        <w:rPr>
          <w:rFonts w:ascii="Times New Roman" w:eastAsia="Times New Roman"/>
          <w:color w:val="auto"/>
          <w:u w:val="single"/>
        </w:rPr>
        <w:tab/>
      </w:r>
    </w:p>
    <w:p w14:paraId="74D638ED">
      <w:pPr>
        <w:pStyle w:val="11"/>
        <w:tabs>
          <w:tab w:val="left" w:pos="7388"/>
          <w:tab w:val="left" w:pos="9247"/>
          <w:tab w:val="left" w:pos="9634"/>
        </w:tabs>
        <w:spacing w:line="360" w:lineRule="auto"/>
        <w:ind w:left="1268" w:right="729"/>
        <w:rPr>
          <w:rFonts w:ascii="Times New Roman" w:eastAsia="Times New Roman"/>
          <w:color w:val="auto"/>
        </w:rPr>
      </w:pPr>
      <w:r>
        <w:rPr>
          <w:color w:val="auto"/>
          <w:spacing w:val="-2"/>
        </w:rPr>
        <w:t>授权代表：</w:t>
      </w:r>
      <w:r>
        <w:rPr>
          <w:rFonts w:ascii="Times New Roman" w:eastAsia="Times New Roman"/>
          <w:color w:val="auto"/>
          <w:u w:val="single"/>
        </w:rPr>
        <w:tab/>
      </w:r>
      <w:r>
        <w:rPr>
          <w:color w:val="auto"/>
          <w:spacing w:val="-2"/>
          <w:u w:val="none"/>
        </w:rPr>
        <w:t>联系电话：</w:t>
      </w:r>
      <w:r>
        <w:rPr>
          <w:rFonts w:ascii="Times New Roman" w:eastAsia="Times New Roman"/>
          <w:color w:val="auto"/>
          <w:u w:val="single"/>
        </w:rPr>
        <w:tab/>
      </w:r>
      <w:r>
        <w:rPr>
          <w:rFonts w:ascii="Times New Roman" w:eastAsia="Times New Roman"/>
          <w:color w:val="auto"/>
          <w:u w:val="single"/>
        </w:rPr>
        <w:tab/>
      </w:r>
      <w:r>
        <w:rPr>
          <w:rFonts w:ascii="Times New Roman" w:eastAsia="Times New Roman"/>
          <w:color w:val="auto"/>
          <w:u w:val="none"/>
        </w:rPr>
        <w:t xml:space="preserve"> </w:t>
      </w:r>
      <w:r>
        <w:rPr>
          <w:color w:val="auto"/>
          <w:spacing w:val="-4"/>
          <w:u w:val="none"/>
        </w:rPr>
        <w:t>地址：</w:t>
      </w:r>
      <w:r>
        <w:rPr>
          <w:rFonts w:ascii="Times New Roman" w:eastAsia="Times New Roman"/>
          <w:color w:val="auto"/>
          <w:u w:val="single"/>
        </w:rPr>
        <w:tab/>
      </w:r>
      <w:r>
        <w:rPr>
          <w:rFonts w:ascii="Times New Roman" w:eastAsia="Times New Roman"/>
          <w:color w:val="auto"/>
          <w:u w:val="single"/>
        </w:rPr>
        <w:tab/>
      </w:r>
    </w:p>
    <w:p w14:paraId="58A887C7">
      <w:pPr>
        <w:pStyle w:val="11"/>
        <w:tabs>
          <w:tab w:val="left" w:pos="3127"/>
        </w:tabs>
        <w:spacing w:line="360" w:lineRule="auto"/>
        <w:ind w:left="1268" w:right="7236"/>
        <w:rPr>
          <w:color w:val="auto"/>
        </w:rPr>
      </w:pPr>
      <w:r>
        <w:rPr>
          <w:color w:val="auto"/>
          <w:spacing w:val="-4"/>
        </w:rPr>
        <w:t>邮编：</w:t>
      </w:r>
      <w:r>
        <w:rPr>
          <w:rFonts w:ascii="Times New Roman" w:eastAsia="Times New Roman"/>
          <w:color w:val="auto"/>
          <w:u w:val="single"/>
        </w:rPr>
        <w:tab/>
      </w:r>
      <w:r>
        <w:rPr>
          <w:rFonts w:ascii="Times New Roman" w:eastAsia="Times New Roman"/>
          <w:color w:val="auto"/>
          <w:u w:val="none"/>
        </w:rPr>
        <w:t xml:space="preserve"> </w:t>
      </w:r>
      <w:r>
        <w:rPr>
          <w:color w:val="auto"/>
          <w:u w:val="none"/>
        </w:rPr>
        <w:t>被投诉人</w:t>
      </w:r>
      <w:r>
        <w:rPr>
          <w:color w:val="auto"/>
          <w:spacing w:val="-41"/>
          <w:u w:val="none"/>
        </w:rPr>
        <w:t xml:space="preserve"> </w:t>
      </w:r>
      <w:r>
        <w:rPr>
          <w:color w:val="auto"/>
          <w:u w:val="none"/>
        </w:rPr>
        <w:t>1：</w:t>
      </w:r>
    </w:p>
    <w:p w14:paraId="57FC4470">
      <w:pPr>
        <w:pStyle w:val="11"/>
        <w:tabs>
          <w:tab w:val="left" w:pos="3127"/>
          <w:tab w:val="left" w:pos="9247"/>
        </w:tabs>
        <w:spacing w:line="360" w:lineRule="auto"/>
        <w:ind w:left="1268" w:right="1116"/>
        <w:rPr>
          <w:rFonts w:ascii="Times New Roman" w:eastAsia="Times New Roman"/>
          <w:color w:val="auto"/>
        </w:rPr>
      </w:pPr>
      <w:r>
        <w:rPr>
          <w:color w:val="auto"/>
          <w:spacing w:val="-4"/>
        </w:rPr>
        <w:t>地址：</w:t>
      </w:r>
      <w:r>
        <w:rPr>
          <w:rFonts w:ascii="Times New Roman" w:eastAsia="Times New Roman"/>
          <w:color w:val="auto"/>
          <w:u w:val="single"/>
        </w:rPr>
        <w:tab/>
      </w:r>
      <w:r>
        <w:rPr>
          <w:rFonts w:ascii="Times New Roman" w:eastAsia="Times New Roman"/>
          <w:color w:val="auto"/>
          <w:u w:val="single"/>
        </w:rPr>
        <w:tab/>
      </w:r>
      <w:r>
        <w:rPr>
          <w:rFonts w:ascii="Times New Roman" w:eastAsia="Times New Roman"/>
          <w:color w:val="auto"/>
          <w:u w:val="none"/>
        </w:rPr>
        <w:t xml:space="preserve"> </w:t>
      </w:r>
      <w:r>
        <w:rPr>
          <w:color w:val="auto"/>
          <w:spacing w:val="-4"/>
          <w:u w:val="none"/>
        </w:rPr>
        <w:t>邮编：</w:t>
      </w:r>
      <w:r>
        <w:rPr>
          <w:rFonts w:ascii="Times New Roman" w:eastAsia="Times New Roman"/>
          <w:color w:val="auto"/>
          <w:u w:val="single"/>
        </w:rPr>
        <w:tab/>
      </w:r>
    </w:p>
    <w:p w14:paraId="1917447C">
      <w:pPr>
        <w:pStyle w:val="11"/>
        <w:tabs>
          <w:tab w:val="left" w:pos="7988"/>
          <w:tab w:val="left" w:pos="9634"/>
        </w:tabs>
        <w:spacing w:line="357" w:lineRule="auto"/>
        <w:ind w:left="1268" w:right="729"/>
        <w:rPr>
          <w:color w:val="auto"/>
        </w:rPr>
      </w:pPr>
      <w:r>
        <w:rPr>
          <w:color w:val="auto"/>
          <w:spacing w:val="-4"/>
        </w:rPr>
        <w:t>联系人：</w:t>
      </w:r>
      <w:r>
        <w:rPr>
          <w:rFonts w:ascii="Times New Roman" w:eastAsia="Times New Roman"/>
          <w:color w:val="auto"/>
          <w:u w:val="single"/>
        </w:rPr>
        <w:tab/>
      </w:r>
      <w:r>
        <w:rPr>
          <w:color w:val="auto"/>
          <w:spacing w:val="-2"/>
          <w:u w:val="none"/>
        </w:rPr>
        <w:t>联系电话：</w:t>
      </w:r>
      <w:r>
        <w:rPr>
          <w:rFonts w:ascii="Times New Roman" w:eastAsia="Times New Roman"/>
          <w:color w:val="auto"/>
          <w:u w:val="single"/>
        </w:rPr>
        <w:tab/>
      </w:r>
      <w:r>
        <w:rPr>
          <w:rFonts w:ascii="Times New Roman" w:eastAsia="Times New Roman"/>
          <w:color w:val="auto"/>
          <w:u w:val="none"/>
        </w:rPr>
        <w:t xml:space="preserve"> </w:t>
      </w:r>
      <w:r>
        <w:rPr>
          <w:color w:val="auto"/>
          <w:u w:val="none"/>
        </w:rPr>
        <w:t>被投诉人</w:t>
      </w:r>
      <w:r>
        <w:rPr>
          <w:color w:val="auto"/>
          <w:spacing w:val="-41"/>
          <w:u w:val="none"/>
        </w:rPr>
        <w:t xml:space="preserve"> </w:t>
      </w:r>
      <w:r>
        <w:rPr>
          <w:color w:val="auto"/>
          <w:u w:val="none"/>
        </w:rPr>
        <w:t>2：</w:t>
      </w:r>
    </w:p>
    <w:p w14:paraId="5BF64690">
      <w:pPr>
        <w:spacing w:before="0"/>
        <w:ind w:left="1268" w:right="0" w:firstLine="0"/>
        <w:jc w:val="left"/>
        <w:rPr>
          <w:color w:val="auto"/>
          <w:sz w:val="24"/>
        </w:rPr>
      </w:pPr>
      <w:r>
        <w:rPr>
          <w:color w:val="auto"/>
          <w:spacing w:val="-5"/>
          <w:sz w:val="24"/>
        </w:rPr>
        <w:t>……</w:t>
      </w:r>
    </w:p>
    <w:p w14:paraId="4084A57A">
      <w:pPr>
        <w:tabs>
          <w:tab w:val="left" w:pos="7508"/>
          <w:tab w:val="left" w:pos="9634"/>
        </w:tabs>
        <w:spacing w:before="147" w:line="360" w:lineRule="auto"/>
        <w:ind w:left="1268" w:right="729" w:firstLine="0"/>
        <w:jc w:val="both"/>
        <w:rPr>
          <w:b/>
          <w:color w:val="auto"/>
          <w:sz w:val="24"/>
        </w:rPr>
      </w:pPr>
      <w:r>
        <w:rPr>
          <w:color w:val="auto"/>
          <w:spacing w:val="-2"/>
          <w:sz w:val="24"/>
        </w:rPr>
        <w:t>相关供应商：</w:t>
      </w:r>
      <w:r>
        <w:rPr>
          <w:rFonts w:ascii="Times New Roman" w:eastAsia="Times New Roman"/>
          <w:color w:val="auto"/>
          <w:sz w:val="24"/>
          <w:u w:val="single"/>
        </w:rPr>
        <w:tab/>
      </w:r>
      <w:r>
        <w:rPr>
          <w:rFonts w:ascii="Times New Roman" w:eastAsia="Times New Roman"/>
          <w:color w:val="auto"/>
          <w:sz w:val="24"/>
          <w:u w:val="single"/>
        </w:rPr>
        <w:tab/>
      </w:r>
      <w:r>
        <w:rPr>
          <w:rFonts w:ascii="Times New Roman" w:eastAsia="Times New Roman"/>
          <w:color w:val="auto"/>
          <w:sz w:val="24"/>
          <w:u w:val="none"/>
        </w:rPr>
        <w:t xml:space="preserve"> </w:t>
      </w:r>
      <w:r>
        <w:rPr>
          <w:color w:val="auto"/>
          <w:spacing w:val="-4"/>
          <w:sz w:val="24"/>
          <w:u w:val="none"/>
        </w:rPr>
        <w:t>地址：</w:t>
      </w:r>
      <w:r>
        <w:rPr>
          <w:rFonts w:ascii="Times New Roman" w:eastAsia="Times New Roman"/>
          <w:color w:val="auto"/>
          <w:sz w:val="24"/>
          <w:u w:val="single"/>
        </w:rPr>
        <w:tab/>
      </w:r>
      <w:r>
        <w:rPr>
          <w:color w:val="auto"/>
          <w:spacing w:val="-4"/>
          <w:sz w:val="24"/>
          <w:u w:val="none"/>
        </w:rPr>
        <w:t>邮编：</w:t>
      </w:r>
      <w:r>
        <w:rPr>
          <w:rFonts w:ascii="Times New Roman" w:eastAsia="Times New Roman"/>
          <w:color w:val="auto"/>
          <w:sz w:val="24"/>
          <w:u w:val="single"/>
        </w:rPr>
        <w:tab/>
      </w:r>
      <w:r>
        <w:rPr>
          <w:rFonts w:ascii="Times New Roman" w:eastAsia="Times New Roman"/>
          <w:color w:val="auto"/>
          <w:sz w:val="24"/>
          <w:u w:val="none"/>
        </w:rPr>
        <w:t xml:space="preserve"> </w:t>
      </w:r>
      <w:r>
        <w:rPr>
          <w:color w:val="auto"/>
          <w:spacing w:val="-4"/>
          <w:sz w:val="24"/>
          <w:u w:val="none"/>
        </w:rPr>
        <w:t>联系人：</w:t>
      </w:r>
      <w:r>
        <w:rPr>
          <w:rFonts w:ascii="Times New Roman" w:eastAsia="Times New Roman"/>
          <w:color w:val="auto"/>
          <w:sz w:val="24"/>
          <w:u w:val="single"/>
        </w:rPr>
        <w:tab/>
      </w:r>
      <w:r>
        <w:rPr>
          <w:color w:val="auto"/>
          <w:spacing w:val="-2"/>
          <w:sz w:val="24"/>
          <w:u w:val="none"/>
        </w:rPr>
        <w:t>联系电话：</w:t>
      </w:r>
      <w:r>
        <w:rPr>
          <w:rFonts w:ascii="Times New Roman" w:eastAsia="Times New Roman"/>
          <w:color w:val="auto"/>
          <w:sz w:val="24"/>
          <w:u w:val="single"/>
        </w:rPr>
        <w:tab/>
      </w:r>
      <w:r>
        <w:rPr>
          <w:rFonts w:ascii="Times New Roman" w:eastAsia="Times New Roman"/>
          <w:color w:val="auto"/>
          <w:sz w:val="24"/>
          <w:u w:val="none"/>
        </w:rPr>
        <w:t xml:space="preserve"> </w:t>
      </w:r>
      <w:r>
        <w:rPr>
          <w:b/>
          <w:color w:val="auto"/>
          <w:spacing w:val="-2"/>
          <w:sz w:val="24"/>
          <w:u w:val="none"/>
        </w:rPr>
        <w:t>二、投诉项目基本情况：</w:t>
      </w:r>
    </w:p>
    <w:p w14:paraId="04109490">
      <w:pPr>
        <w:pStyle w:val="11"/>
        <w:tabs>
          <w:tab w:val="left" w:pos="8304"/>
          <w:tab w:val="left" w:pos="9634"/>
        </w:tabs>
        <w:spacing w:line="360" w:lineRule="auto"/>
        <w:ind w:left="1285" w:right="729"/>
        <w:rPr>
          <w:rFonts w:ascii="Times New Roman" w:eastAsia="Times New Roman"/>
          <w:color w:val="auto"/>
        </w:rPr>
      </w:pPr>
      <w:r>
        <w:rPr>
          <w:color w:val="auto"/>
          <w:spacing w:val="-2"/>
        </w:rPr>
        <w:t>采购项目的名称：</w:t>
      </w:r>
      <w:r>
        <w:rPr>
          <w:rFonts w:ascii="Times New Roman" w:eastAsia="Times New Roman"/>
          <w:color w:val="auto"/>
          <w:u w:val="single"/>
        </w:rPr>
        <w:tab/>
      </w:r>
      <w:r>
        <w:rPr>
          <w:rFonts w:ascii="Times New Roman" w:eastAsia="Times New Roman"/>
          <w:color w:val="auto"/>
          <w:u w:val="single"/>
        </w:rPr>
        <w:tab/>
      </w:r>
      <w:r>
        <w:rPr>
          <w:rFonts w:ascii="Times New Roman" w:eastAsia="Times New Roman"/>
          <w:color w:val="auto"/>
          <w:u w:val="none"/>
        </w:rPr>
        <w:t xml:space="preserve"> </w:t>
      </w:r>
      <w:r>
        <w:rPr>
          <w:color w:val="auto"/>
          <w:spacing w:val="-2"/>
          <w:u w:val="none"/>
        </w:rPr>
        <w:t>采购项目的编号：</w:t>
      </w:r>
      <w:r>
        <w:rPr>
          <w:rFonts w:ascii="Times New Roman" w:eastAsia="Times New Roman"/>
          <w:color w:val="auto"/>
          <w:u w:val="single"/>
        </w:rPr>
        <w:tab/>
      </w:r>
    </w:p>
    <w:p w14:paraId="75B0CE30">
      <w:pPr>
        <w:pStyle w:val="11"/>
        <w:tabs>
          <w:tab w:val="left" w:pos="9634"/>
        </w:tabs>
        <w:spacing w:line="360" w:lineRule="auto"/>
        <w:ind w:left="1285" w:right="729"/>
        <w:jc w:val="both"/>
        <w:rPr>
          <w:b/>
          <w:color w:val="auto"/>
        </w:rPr>
      </w:pPr>
      <w:r>
        <w:rPr>
          <w:color w:val="auto"/>
          <w:spacing w:val="-2"/>
        </w:rPr>
        <w:t>采购人名称：</w:t>
      </w:r>
      <w:r>
        <w:rPr>
          <w:rFonts w:ascii="Times New Roman" w:eastAsia="Times New Roman"/>
          <w:color w:val="auto"/>
          <w:u w:val="single"/>
        </w:rPr>
        <w:tab/>
      </w:r>
      <w:r>
        <w:rPr>
          <w:rFonts w:ascii="Times New Roman" w:eastAsia="Times New Roman"/>
          <w:color w:val="auto"/>
          <w:u w:val="none"/>
        </w:rPr>
        <w:t xml:space="preserve"> </w:t>
      </w:r>
      <w:r>
        <w:rPr>
          <w:color w:val="auto"/>
          <w:spacing w:val="-2"/>
          <w:u w:val="none"/>
        </w:rPr>
        <w:t>代理机构名称：</w:t>
      </w:r>
      <w:r>
        <w:rPr>
          <w:rFonts w:ascii="Times New Roman" w:eastAsia="Times New Roman"/>
          <w:color w:val="auto"/>
          <w:u w:val="single"/>
        </w:rPr>
        <w:tab/>
      </w:r>
      <w:r>
        <w:rPr>
          <w:rFonts w:ascii="Times New Roman" w:eastAsia="Times New Roman"/>
          <w:color w:val="auto"/>
          <w:u w:val="none"/>
        </w:rPr>
        <w:t xml:space="preserve"> </w:t>
      </w:r>
      <w:r>
        <w:rPr>
          <w:color w:val="auto"/>
          <w:spacing w:val="-2"/>
          <w:u w:val="none"/>
        </w:rPr>
        <w:t>采购文件公告：</w:t>
      </w:r>
      <w:r>
        <w:rPr>
          <w:color w:val="auto"/>
          <w:spacing w:val="-2"/>
          <w:u w:val="single"/>
        </w:rPr>
        <w:t>是/否</w:t>
      </w:r>
      <w:r>
        <w:rPr>
          <w:color w:val="auto"/>
          <w:spacing w:val="-2"/>
          <w:u w:val="none"/>
        </w:rPr>
        <w:t>公告期限：</w:t>
      </w:r>
      <w:r>
        <w:rPr>
          <w:rFonts w:ascii="Times New Roman" w:eastAsia="Times New Roman"/>
          <w:color w:val="auto"/>
          <w:u w:val="single"/>
        </w:rPr>
        <w:tab/>
      </w:r>
      <w:r>
        <w:rPr>
          <w:rFonts w:ascii="Times New Roman" w:eastAsia="Times New Roman"/>
          <w:color w:val="auto"/>
          <w:u w:val="none"/>
        </w:rPr>
        <w:t xml:space="preserve"> </w:t>
      </w:r>
      <w:r>
        <w:rPr>
          <w:color w:val="auto"/>
          <w:spacing w:val="-2"/>
          <w:u w:val="none"/>
        </w:rPr>
        <w:t>采购结果公告：</w:t>
      </w:r>
      <w:r>
        <w:rPr>
          <w:color w:val="auto"/>
          <w:spacing w:val="-2"/>
          <w:u w:val="single"/>
        </w:rPr>
        <w:t>是/否</w:t>
      </w:r>
      <w:r>
        <w:rPr>
          <w:color w:val="auto"/>
          <w:spacing w:val="-2"/>
          <w:u w:val="none"/>
        </w:rPr>
        <w:t>公告期限：</w:t>
      </w:r>
      <w:r>
        <w:rPr>
          <w:rFonts w:ascii="Times New Roman" w:eastAsia="Times New Roman"/>
          <w:color w:val="auto"/>
          <w:u w:val="single"/>
        </w:rPr>
        <w:tab/>
      </w:r>
      <w:r>
        <w:rPr>
          <w:rFonts w:ascii="Times New Roman" w:eastAsia="Times New Roman"/>
          <w:color w:val="auto"/>
          <w:u w:val="none"/>
        </w:rPr>
        <w:t xml:space="preserve"> </w:t>
      </w:r>
      <w:r>
        <w:rPr>
          <w:b/>
          <w:color w:val="auto"/>
          <w:spacing w:val="-2"/>
          <w:u w:val="none"/>
        </w:rPr>
        <w:t>三、质疑基本情况</w:t>
      </w:r>
    </w:p>
    <w:p w14:paraId="51C626A7">
      <w:pPr>
        <w:pStyle w:val="11"/>
        <w:tabs>
          <w:tab w:val="left" w:pos="2972"/>
          <w:tab w:val="left" w:pos="3584"/>
          <w:tab w:val="left" w:pos="4196"/>
          <w:tab w:val="left" w:pos="8847"/>
        </w:tabs>
        <w:spacing w:line="360" w:lineRule="auto"/>
        <w:ind w:right="791" w:firstLine="480"/>
        <w:rPr>
          <w:color w:val="auto"/>
        </w:rPr>
      </w:pPr>
      <w:r>
        <w:rPr>
          <w:color w:val="auto"/>
          <w:spacing w:val="-4"/>
        </w:rPr>
        <w:t>投诉人于</w:t>
      </w:r>
      <w:r>
        <w:rPr>
          <w:rFonts w:ascii="Times New Roman" w:eastAsia="Times New Roman"/>
          <w:color w:val="auto"/>
          <w:u w:val="single"/>
        </w:rPr>
        <w:tab/>
      </w:r>
      <w:r>
        <w:rPr>
          <w:color w:val="auto"/>
          <w:spacing w:val="-10"/>
          <w:u w:val="none"/>
        </w:rPr>
        <w:t>年</w:t>
      </w:r>
      <w:r>
        <w:rPr>
          <w:rFonts w:ascii="Times New Roman" w:eastAsia="Times New Roman"/>
          <w:color w:val="auto"/>
          <w:u w:val="single"/>
        </w:rPr>
        <w:tab/>
      </w:r>
      <w:r>
        <w:rPr>
          <w:color w:val="auto"/>
          <w:spacing w:val="-10"/>
          <w:u w:val="none"/>
        </w:rPr>
        <w:t>月</w:t>
      </w:r>
      <w:r>
        <w:rPr>
          <w:rFonts w:ascii="Times New Roman" w:eastAsia="Times New Roman"/>
          <w:color w:val="auto"/>
          <w:u w:val="single"/>
        </w:rPr>
        <w:tab/>
      </w:r>
      <w:r>
        <w:rPr>
          <w:color w:val="auto"/>
          <w:spacing w:val="-4"/>
          <w:u w:val="none"/>
        </w:rPr>
        <w:t>日，向</w:t>
      </w:r>
      <w:r>
        <w:rPr>
          <w:rFonts w:ascii="Times New Roman" w:eastAsia="Times New Roman"/>
          <w:color w:val="auto"/>
          <w:u w:val="single"/>
        </w:rPr>
        <w:tab/>
      </w:r>
      <w:r>
        <w:rPr>
          <w:color w:val="auto"/>
          <w:spacing w:val="-4"/>
          <w:u w:val="none"/>
        </w:rPr>
        <w:t>提出质</w:t>
      </w:r>
      <w:r>
        <w:rPr>
          <w:color w:val="auto"/>
          <w:spacing w:val="-2"/>
          <w:u w:val="none"/>
        </w:rPr>
        <w:t>疑，质疑事项为：</w:t>
      </w:r>
    </w:p>
    <w:p w14:paraId="5CA38CAD">
      <w:pPr>
        <w:pStyle w:val="12"/>
        <w:spacing w:before="2"/>
        <w:ind w:left="0"/>
        <w:rPr>
          <w:color w:val="auto"/>
          <w:sz w:val="18"/>
        </w:rPr>
      </w:pPr>
      <w:r>
        <w:rPr>
          <w:color w:val="auto"/>
        </w:rPr>
        <mc:AlternateContent>
          <mc:Choice Requires="wps">
            <w:drawing>
              <wp:anchor distT="0" distB="0" distL="0" distR="0" simplePos="0" relativeHeight="251664384" behindDoc="1" locked="0" layoutInCell="1" allowOverlap="1">
                <wp:simplePos x="0" y="0"/>
                <wp:positionH relativeFrom="page">
                  <wp:posOffset>1465580</wp:posOffset>
                </wp:positionH>
                <wp:positionV relativeFrom="paragraph">
                  <wp:posOffset>165100</wp:posOffset>
                </wp:positionV>
                <wp:extent cx="5122545" cy="1270"/>
                <wp:effectExtent l="0" t="0" r="0" b="0"/>
                <wp:wrapTopAndBottom/>
                <wp:docPr id="12" name="Graphic 12"/>
                <wp:cNvGraphicFramePr/>
                <a:graphic xmlns:a="http://schemas.openxmlformats.org/drawingml/2006/main">
                  <a:graphicData uri="http://schemas.microsoft.com/office/word/2010/wordprocessingShape">
                    <wps:wsp>
                      <wps:cNvSpPr/>
                      <wps:spPr>
                        <a:xfrm>
                          <a:off x="0" y="0"/>
                          <a:ext cx="5122545" cy="1270"/>
                        </a:xfrm>
                        <a:custGeom>
                          <a:avLst/>
                          <a:gdLst/>
                          <a:ahLst/>
                          <a:cxnLst/>
                          <a:rect l="l" t="t" r="r" b="b"/>
                          <a:pathLst>
                            <a:path w="5122545">
                              <a:moveTo>
                                <a:pt x="0" y="0"/>
                              </a:moveTo>
                              <a:lnTo>
                                <a:pt x="5122545" y="0"/>
                              </a:lnTo>
                            </a:path>
                          </a:pathLst>
                        </a:custGeom>
                        <a:ln w="7620">
                          <a:solidFill>
                            <a:srgbClr val="000000"/>
                          </a:solidFill>
                          <a:prstDash val="solid"/>
                        </a:ln>
                      </wps:spPr>
                      <wps:bodyPr wrap="square" lIns="0" tIns="0" rIns="0" bIns="0" rtlCol="0">
                        <a:noAutofit/>
                      </wps:bodyPr>
                    </wps:wsp>
                  </a:graphicData>
                </a:graphic>
              </wp:anchor>
            </w:drawing>
          </mc:Choice>
          <mc:Fallback>
            <w:pict>
              <v:shape id="Graphic 12" o:spid="_x0000_s1026" o:spt="100" style="position:absolute;left:0pt;margin-left:115.4pt;margin-top:13pt;height:0.1pt;width:403.35pt;mso-position-horizontal-relative:page;mso-wrap-distance-bottom:0pt;mso-wrap-distance-top:0pt;z-index:-251652096;mso-width-relative:page;mso-height-relative:page;" filled="f" stroked="t" coordsize="5122545,1" o:gfxdata="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HaIjkNcAAAAKAQAADwAAAAAAAAAB&#10;ACAAAAAiAAAAZHJzL2Rvd25yZXYueG1sUEsBAhQAFAAAAAgAh07iQGSvXV0RAgAAfAQAAA4AAAAA&#10;AAAAAQAgAAAAJgEAAGRycy9lMm9Eb2MueG1sUEsFBgAAAAAGAAYAWQEAAKkFAAAAAA==&#10;" path="m0,0l5122545,0e">
                <v:fill on="f" focussize="0,0"/>
                <v:stroke weight="0.6pt" color="#000000" joinstyle="round"/>
                <v:imagedata o:title=""/>
                <o:lock v:ext="edit" aspectratio="f"/>
                <v:textbox inset="0mm,0mm,0mm,0mm"/>
                <w10:wrap type="topAndBottom"/>
              </v:shape>
            </w:pict>
          </mc:Fallback>
        </mc:AlternateContent>
      </w:r>
    </w:p>
    <w:p w14:paraId="73EC0C89">
      <w:pPr>
        <w:spacing w:after="0"/>
        <w:rPr>
          <w:color w:val="auto"/>
          <w:sz w:val="18"/>
        </w:rPr>
        <w:sectPr>
          <w:pgSz w:w="11910" w:h="16840"/>
          <w:pgMar w:top="1420" w:right="740" w:bottom="1180" w:left="800" w:header="0" w:footer="989" w:gutter="0"/>
          <w:cols w:space="720" w:num="1"/>
        </w:sectPr>
      </w:pPr>
    </w:p>
    <w:p w14:paraId="7C60E492">
      <w:pPr>
        <w:pStyle w:val="12"/>
        <w:spacing w:before="0" w:line="20" w:lineRule="exact"/>
        <w:ind w:left="1508"/>
        <w:rPr>
          <w:color w:val="auto"/>
          <w:sz w:val="2"/>
        </w:rPr>
      </w:pPr>
      <w:r>
        <w:rPr>
          <w:color w:val="auto"/>
          <w:sz w:val="2"/>
        </w:rPr>
        <mc:AlternateContent>
          <mc:Choice Requires="wpg">
            <w:drawing>
              <wp:inline distT="0" distB="0" distL="0" distR="0">
                <wp:extent cx="5122545" cy="7620"/>
                <wp:effectExtent l="9525" t="0" r="1904" b="1905"/>
                <wp:docPr id="13" name="Group 13"/>
                <wp:cNvGraphicFramePr/>
                <a:graphic xmlns:a="http://schemas.openxmlformats.org/drawingml/2006/main">
                  <a:graphicData uri="http://schemas.microsoft.com/office/word/2010/wordprocessingGroup">
                    <wpg:wgp>
                      <wpg:cNvGrpSpPr/>
                      <wpg:grpSpPr>
                        <a:xfrm>
                          <a:off x="0" y="0"/>
                          <a:ext cx="5122545" cy="7620"/>
                          <a:chOff x="0" y="0"/>
                          <a:chExt cx="5122545" cy="7620"/>
                        </a:xfrm>
                      </wpg:grpSpPr>
                      <wps:wsp>
                        <wps:cNvPr id="14" name="Graphic 14"/>
                        <wps:cNvSpPr/>
                        <wps:spPr>
                          <a:xfrm>
                            <a:off x="0" y="3810"/>
                            <a:ext cx="5122545" cy="1270"/>
                          </a:xfrm>
                          <a:custGeom>
                            <a:avLst/>
                            <a:gdLst/>
                            <a:ahLst/>
                            <a:cxnLst/>
                            <a:rect l="l" t="t" r="r" b="b"/>
                            <a:pathLst>
                              <a:path w="5122545">
                                <a:moveTo>
                                  <a:pt x="0" y="0"/>
                                </a:moveTo>
                                <a:lnTo>
                                  <a:pt x="5122545" y="0"/>
                                </a:lnTo>
                              </a:path>
                            </a:pathLst>
                          </a:custGeom>
                          <a:ln w="7620">
                            <a:solidFill>
                              <a:srgbClr val="000000"/>
                            </a:solidFill>
                            <a:prstDash val="solid"/>
                          </a:ln>
                        </wps:spPr>
                        <wps:bodyPr wrap="square" lIns="0" tIns="0" rIns="0" bIns="0" rtlCol="0">
                          <a:noAutofit/>
                        </wps:bodyPr>
                      </wps:wsp>
                    </wpg:wgp>
                  </a:graphicData>
                </a:graphic>
              </wp:inline>
            </w:drawing>
          </mc:Choice>
          <mc:Fallback>
            <w:pict>
              <v:group id="Group 13" o:spid="_x0000_s1026" o:spt="203" style="height:0.6pt;width:403.35pt;" coordsize="5122545,7620" o:gfxdata="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MfB&#10;Jj3UAAAAAwEAAA8AAAAAAAAAAQAgAAAAIgAAAGRycy9kb3ducmV2LnhtbFBLAQIUABQAAAAIAIdO&#10;4kBaT88LYAIAAKsFAAAOAAAAAAAAAAEAIAAAACMBAABkcnMvZTJvRG9jLnhtbFBLBQYAAAAABgAG&#10;AFkBAAD1BQAAAAA=&#10;">
                <o:lock v:ext="edit" aspectratio="f"/>
                <v:shape id="Graphic 14" o:spid="_x0000_s1026" o:spt="100" style="position:absolute;left:0;top:3810;height:1270;width:5122545;" filled="f" stroked="t" coordsize="5122545,1" o:gfxdata="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Bq52a5AAAA2wAA&#10;AA8AAAAAAAAAAQAgAAAAIgAAAGRycy9kb3ducmV2LnhtbFBLAQIUABQAAAAIAIdO4kAzLwWeOwAA&#10;ADkAAAAQAAAAAAAAAAEAIAAAAAgBAABkcnMvc2hhcGV4bWwueG1sUEsFBgAAAAAGAAYAWwEAALID&#10;AAAAAA==&#10;" path="m0,0l5122545,0e">
                  <v:fill on="f" focussize="0,0"/>
                  <v:stroke weight="0.6pt" color="#000000" joinstyle="round"/>
                  <v:imagedata o:title=""/>
                  <o:lock v:ext="edit" aspectratio="f"/>
                  <v:textbox inset="0mm,0mm,0mm,0mm"/>
                </v:shape>
                <w10:wrap type="none"/>
                <w10:anchorlock/>
              </v:group>
            </w:pict>
          </mc:Fallback>
        </mc:AlternateContent>
      </w:r>
    </w:p>
    <w:p w14:paraId="013CFE2E">
      <w:pPr>
        <w:pStyle w:val="11"/>
        <w:tabs>
          <w:tab w:val="left" w:pos="4083"/>
          <w:tab w:val="left" w:pos="4695"/>
          <w:tab w:val="left" w:pos="5312"/>
        </w:tabs>
        <w:spacing w:before="186" w:line="357" w:lineRule="auto"/>
        <w:ind w:right="788" w:firstLine="480"/>
        <w:rPr>
          <w:color w:val="auto"/>
        </w:rPr>
      </w:pPr>
      <w:r>
        <w:rPr>
          <w:color w:val="auto"/>
          <w:spacing w:val="-2"/>
          <w:u w:val="single"/>
        </w:rPr>
        <w:t>采购人/代理机构</w:t>
      </w:r>
      <w:r>
        <w:rPr>
          <w:color w:val="auto"/>
          <w:spacing w:val="-2"/>
          <w:u w:val="none"/>
        </w:rPr>
        <w:t>于</w:t>
      </w:r>
      <w:r>
        <w:rPr>
          <w:rFonts w:ascii="Times New Roman" w:eastAsia="Times New Roman"/>
          <w:color w:val="auto"/>
          <w:u w:val="single"/>
        </w:rPr>
        <w:tab/>
      </w:r>
      <w:r>
        <w:rPr>
          <w:color w:val="auto"/>
          <w:spacing w:val="-10"/>
          <w:u w:val="none"/>
        </w:rPr>
        <w:t>年</w:t>
      </w:r>
      <w:r>
        <w:rPr>
          <w:rFonts w:ascii="Times New Roman" w:eastAsia="Times New Roman"/>
          <w:color w:val="auto"/>
          <w:u w:val="single"/>
        </w:rPr>
        <w:tab/>
      </w:r>
      <w:r>
        <w:rPr>
          <w:color w:val="auto"/>
          <w:spacing w:val="-10"/>
          <w:u w:val="none"/>
        </w:rPr>
        <w:t>月</w:t>
      </w:r>
      <w:r>
        <w:rPr>
          <w:rFonts w:ascii="Times New Roman" w:eastAsia="Times New Roman"/>
          <w:color w:val="auto"/>
          <w:u w:val="single"/>
        </w:rPr>
        <w:tab/>
      </w:r>
      <w:r>
        <w:rPr>
          <w:color w:val="auto"/>
          <w:spacing w:val="-2"/>
          <w:u w:val="none"/>
        </w:rPr>
        <w:t>日，就质疑事项作出了答复/没有在法定期限内作出答复。</w:t>
      </w:r>
    </w:p>
    <w:p w14:paraId="5BA4ABF9">
      <w:pPr>
        <w:pStyle w:val="10"/>
        <w:spacing w:before="4"/>
        <w:ind w:left="1285" w:firstLine="0"/>
        <w:rPr>
          <w:color w:val="auto"/>
        </w:rPr>
      </w:pPr>
      <w:r>
        <w:rPr>
          <w:color w:val="auto"/>
          <w:spacing w:val="-1"/>
        </w:rPr>
        <w:t>四、投诉事项具体内容</w:t>
      </w:r>
    </w:p>
    <w:p w14:paraId="3E06CE27">
      <w:pPr>
        <w:pStyle w:val="11"/>
        <w:tabs>
          <w:tab w:val="left" w:pos="9634"/>
        </w:tabs>
        <w:spacing w:before="154" w:line="360" w:lineRule="auto"/>
        <w:ind w:left="1268" w:right="729" w:firstLine="16"/>
        <w:rPr>
          <w:rFonts w:ascii="Times New Roman" w:eastAsia="Times New Roman"/>
          <w:color w:val="auto"/>
        </w:rPr>
      </w:pPr>
      <w:r>
        <w:rPr>
          <w:color w:val="auto"/>
        </w:rPr>
        <w:t>投诉事项</w:t>
      </w:r>
      <w:r>
        <w:rPr>
          <w:color w:val="auto"/>
          <w:spacing w:val="-41"/>
        </w:rPr>
        <w:t xml:space="preserve"> </w:t>
      </w:r>
      <w:r>
        <w:rPr>
          <w:color w:val="auto"/>
        </w:rPr>
        <w:t>1：</w:t>
      </w:r>
      <w:r>
        <w:rPr>
          <w:rFonts w:ascii="Times New Roman" w:eastAsia="Times New Roman"/>
          <w:color w:val="auto"/>
          <w:u w:val="single"/>
        </w:rPr>
        <w:tab/>
      </w:r>
      <w:r>
        <w:rPr>
          <w:rFonts w:ascii="Times New Roman" w:eastAsia="Times New Roman"/>
          <w:color w:val="auto"/>
          <w:u w:val="none"/>
        </w:rPr>
        <w:t xml:space="preserve"> </w:t>
      </w:r>
      <w:r>
        <w:rPr>
          <w:color w:val="auto"/>
          <w:u w:val="none"/>
        </w:rPr>
        <w:t xml:space="preserve">事实依据： </w:t>
      </w:r>
      <w:r>
        <w:rPr>
          <w:rFonts w:ascii="Times New Roman" w:eastAsia="Times New Roman"/>
          <w:color w:val="auto"/>
          <w:u w:val="single"/>
        </w:rPr>
        <w:tab/>
      </w:r>
    </w:p>
    <w:p w14:paraId="08173106">
      <w:pPr>
        <w:pStyle w:val="12"/>
        <w:spacing w:before="18"/>
        <w:ind w:left="0"/>
        <w:rPr>
          <w:rFonts w:ascii="Times New Roman"/>
          <w:color w:val="auto"/>
          <w:sz w:val="20"/>
        </w:rPr>
      </w:pPr>
      <w:r>
        <w:rPr>
          <w:color w:val="auto"/>
        </w:rPr>
        <mc:AlternateContent>
          <mc:Choice Requires="wps">
            <w:drawing>
              <wp:anchor distT="0" distB="0" distL="0" distR="0" simplePos="0" relativeHeight="251665408" behindDoc="1" locked="0" layoutInCell="1" allowOverlap="1">
                <wp:simplePos x="0" y="0"/>
                <wp:positionH relativeFrom="page">
                  <wp:posOffset>1323975</wp:posOffset>
                </wp:positionH>
                <wp:positionV relativeFrom="paragraph">
                  <wp:posOffset>172720</wp:posOffset>
                </wp:positionV>
                <wp:extent cx="5264150" cy="1270"/>
                <wp:effectExtent l="0" t="0" r="0" b="0"/>
                <wp:wrapTopAndBottom/>
                <wp:docPr id="15" name="Graphic 15"/>
                <wp:cNvGraphicFramePr/>
                <a:graphic xmlns:a="http://schemas.openxmlformats.org/drawingml/2006/main">
                  <a:graphicData uri="http://schemas.microsoft.com/office/word/2010/wordprocessingShape">
                    <wps:wsp>
                      <wps:cNvSpPr/>
                      <wps:spPr>
                        <a:xfrm>
                          <a:off x="0" y="0"/>
                          <a:ext cx="5264150" cy="1270"/>
                        </a:xfrm>
                        <a:custGeom>
                          <a:avLst/>
                          <a:gdLst/>
                          <a:ahLst/>
                          <a:cxnLst/>
                          <a:rect l="l" t="t" r="r" b="b"/>
                          <a:pathLst>
                            <a:path w="5264150">
                              <a:moveTo>
                                <a:pt x="0" y="0"/>
                              </a:moveTo>
                              <a:lnTo>
                                <a:pt x="5264150" y="0"/>
                              </a:lnTo>
                            </a:path>
                          </a:pathLst>
                        </a:custGeom>
                        <a:ln w="7620">
                          <a:solidFill>
                            <a:srgbClr val="000000"/>
                          </a:solidFill>
                          <a:prstDash val="solid"/>
                        </a:ln>
                      </wps:spPr>
                      <wps:bodyPr wrap="square" lIns="0" tIns="0" rIns="0" bIns="0" rtlCol="0">
                        <a:noAutofit/>
                      </wps:bodyPr>
                    </wps:wsp>
                  </a:graphicData>
                </a:graphic>
              </wp:anchor>
            </w:drawing>
          </mc:Choice>
          <mc:Fallback>
            <w:pict>
              <v:shape id="Graphic 15" o:spid="_x0000_s1026" o:spt="100" style="position:absolute;left:0pt;margin-left:104.25pt;margin-top:13.6pt;height:0.1pt;width:414.5pt;mso-position-horizontal-relative:page;mso-wrap-distance-bottom:0pt;mso-wrap-distance-top:0pt;z-index:-251651072;mso-width-relative:page;mso-height-relative:page;" filled="f" stroked="t" coordsize="5264150,1" o:gfxdata="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aZhFatcAAAAKAQAADwAAAAAAAAAB&#10;ACAAAAAiAAAAZHJzL2Rvd25yZXYueG1sUEsBAhQAFAAAAAgAh07iQHG8rQwRAgAAfAQAAA4AAAAA&#10;AAAAAQAgAAAAJgEAAGRycy9lMm9Eb2MueG1sUEsFBgAAAAAGAAYAWQEAAKkFAAAAAA==&#10;" path="m0,0l5264150,0e">
                <v:fill on="f" focussize="0,0"/>
                <v:stroke weight="0.6pt" color="#000000" joinstyle="round"/>
                <v:imagedata o:title=""/>
                <o:lock v:ext="edit" aspectratio="f"/>
                <v:textbox inset="0mm,0mm,0mm,0mm"/>
                <w10:wrap type="topAndBottom"/>
              </v:shape>
            </w:pict>
          </mc:Fallback>
        </mc:AlternateContent>
      </w:r>
    </w:p>
    <w:p w14:paraId="690C5AF3">
      <w:pPr>
        <w:pStyle w:val="11"/>
        <w:tabs>
          <w:tab w:val="left" w:pos="9634"/>
        </w:tabs>
        <w:spacing w:before="187"/>
        <w:ind w:left="1268"/>
        <w:rPr>
          <w:rFonts w:ascii="Times New Roman" w:eastAsia="Times New Roman"/>
          <w:color w:val="auto"/>
        </w:rPr>
      </w:pPr>
      <w:r>
        <w:rPr>
          <w:color w:val="auto"/>
        </w:rPr>
        <w:t xml:space="preserve">法律依据： </w:t>
      </w:r>
      <w:r>
        <w:rPr>
          <w:rFonts w:ascii="Times New Roman" w:eastAsia="Times New Roman"/>
          <w:color w:val="auto"/>
          <w:u w:val="single"/>
        </w:rPr>
        <w:tab/>
      </w:r>
    </w:p>
    <w:p w14:paraId="7AA85863">
      <w:pPr>
        <w:pStyle w:val="12"/>
        <w:spacing w:before="172"/>
        <w:ind w:left="0"/>
        <w:rPr>
          <w:rFonts w:ascii="Times New Roman"/>
          <w:color w:val="auto"/>
          <w:sz w:val="20"/>
        </w:rPr>
      </w:pPr>
      <w:r>
        <w:rPr>
          <w:color w:val="auto"/>
        </w:rPr>
        <mc:AlternateContent>
          <mc:Choice Requires="wps">
            <w:drawing>
              <wp:anchor distT="0" distB="0" distL="0" distR="0" simplePos="0" relativeHeight="251666432" behindDoc="1" locked="0" layoutInCell="1" allowOverlap="1">
                <wp:simplePos x="0" y="0"/>
                <wp:positionH relativeFrom="page">
                  <wp:posOffset>1323975</wp:posOffset>
                </wp:positionH>
                <wp:positionV relativeFrom="paragraph">
                  <wp:posOffset>269875</wp:posOffset>
                </wp:positionV>
                <wp:extent cx="5264150" cy="1270"/>
                <wp:effectExtent l="0" t="0" r="0" b="0"/>
                <wp:wrapTopAndBottom/>
                <wp:docPr id="16" name="Graphic 16"/>
                <wp:cNvGraphicFramePr/>
                <a:graphic xmlns:a="http://schemas.openxmlformats.org/drawingml/2006/main">
                  <a:graphicData uri="http://schemas.microsoft.com/office/word/2010/wordprocessingShape">
                    <wps:wsp>
                      <wps:cNvSpPr/>
                      <wps:spPr>
                        <a:xfrm>
                          <a:off x="0" y="0"/>
                          <a:ext cx="5264150" cy="1270"/>
                        </a:xfrm>
                        <a:custGeom>
                          <a:avLst/>
                          <a:gdLst/>
                          <a:ahLst/>
                          <a:cxnLst/>
                          <a:rect l="l" t="t" r="r" b="b"/>
                          <a:pathLst>
                            <a:path w="5264150">
                              <a:moveTo>
                                <a:pt x="0" y="0"/>
                              </a:moveTo>
                              <a:lnTo>
                                <a:pt x="5264150" y="0"/>
                              </a:lnTo>
                            </a:path>
                          </a:pathLst>
                        </a:custGeom>
                        <a:ln w="7620">
                          <a:solidFill>
                            <a:srgbClr val="000000"/>
                          </a:solidFill>
                          <a:prstDash val="solid"/>
                        </a:ln>
                      </wps:spPr>
                      <wps:bodyPr wrap="square" lIns="0" tIns="0" rIns="0" bIns="0" rtlCol="0">
                        <a:noAutofit/>
                      </wps:bodyPr>
                    </wps:wsp>
                  </a:graphicData>
                </a:graphic>
              </wp:anchor>
            </w:drawing>
          </mc:Choice>
          <mc:Fallback>
            <w:pict>
              <v:shape id="Graphic 16" o:spid="_x0000_s1026" o:spt="100" style="position:absolute;left:0pt;margin-left:104.25pt;margin-top:21.25pt;height:0.1pt;width:414.5pt;mso-position-horizontal-relative:page;mso-wrap-distance-bottom:0pt;mso-wrap-distance-top:0pt;z-index:-251650048;mso-width-relative:page;mso-height-relative:page;" filled="f" stroked="t" coordsize="5264150,1" o:gfxdata="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2J3pitcAAAAKAQAADwAAAAAAAAAB&#10;ACAAAAAiAAAAZHJzL2Rvd25yZXYueG1sUEsBAhQAFAAAAAgAh07iQDzO4q4RAgAAfAQAAA4AAAAA&#10;AAAAAQAgAAAAJgEAAGRycy9lMm9Eb2MueG1sUEsFBgAAAAAGAAYAWQEAAKkFAAAAAA==&#10;" path="m0,0l5264150,0e">
                <v:fill on="f" focussize="0,0"/>
                <v:stroke weight="0.6pt" color="#000000" joinstyle="round"/>
                <v:imagedata o:title=""/>
                <o:lock v:ext="edit" aspectratio="f"/>
                <v:textbox inset="0mm,0mm,0mm,0mm"/>
                <w10:wrap type="topAndBottom"/>
              </v:shape>
            </w:pict>
          </mc:Fallback>
        </mc:AlternateContent>
      </w:r>
    </w:p>
    <w:p w14:paraId="29443908">
      <w:pPr>
        <w:pStyle w:val="11"/>
        <w:spacing w:before="190"/>
        <w:ind w:left="1285"/>
        <w:rPr>
          <w:color w:val="auto"/>
        </w:rPr>
      </w:pPr>
      <w:r>
        <w:rPr>
          <w:color w:val="auto"/>
          <w:spacing w:val="-12"/>
        </w:rPr>
        <w:t xml:space="preserve">投诉事项 </w:t>
      </w:r>
      <w:r>
        <w:rPr>
          <w:color w:val="auto"/>
          <w:spacing w:val="-5"/>
        </w:rPr>
        <w:t>2：</w:t>
      </w:r>
    </w:p>
    <w:p w14:paraId="60063D89">
      <w:pPr>
        <w:spacing w:before="153"/>
        <w:ind w:left="1285" w:right="0" w:firstLine="0"/>
        <w:jc w:val="left"/>
        <w:rPr>
          <w:color w:val="auto"/>
          <w:sz w:val="24"/>
        </w:rPr>
      </w:pPr>
      <w:r>
        <w:rPr>
          <w:color w:val="auto"/>
          <w:spacing w:val="-5"/>
          <w:sz w:val="24"/>
        </w:rPr>
        <w:t>……</w:t>
      </w:r>
    </w:p>
    <w:p w14:paraId="0450D20D">
      <w:pPr>
        <w:pStyle w:val="10"/>
        <w:spacing w:before="156"/>
        <w:ind w:left="1285" w:firstLine="0"/>
        <w:rPr>
          <w:color w:val="auto"/>
        </w:rPr>
      </w:pPr>
      <w:r>
        <w:rPr>
          <w:color w:val="auto"/>
          <w:spacing w:val="-1"/>
        </w:rPr>
        <w:t>五、与投诉事项相关的投诉请求：</w:t>
      </w:r>
    </w:p>
    <w:p w14:paraId="4460C113">
      <w:pPr>
        <w:pStyle w:val="11"/>
        <w:tabs>
          <w:tab w:val="left" w:pos="9634"/>
        </w:tabs>
        <w:spacing w:before="156"/>
        <w:ind w:left="1285"/>
        <w:rPr>
          <w:rFonts w:ascii="Times New Roman" w:eastAsia="Times New Roman"/>
          <w:color w:val="auto"/>
        </w:rPr>
      </w:pPr>
      <w:r>
        <w:rPr>
          <w:color w:val="auto"/>
        </w:rPr>
        <w:t>请求</w:t>
      </w:r>
      <w:r>
        <w:rPr>
          <w:color w:val="auto"/>
          <w:spacing w:val="-10"/>
        </w:rPr>
        <w:t>：</w:t>
      </w:r>
      <w:r>
        <w:rPr>
          <w:rFonts w:ascii="Times New Roman" w:eastAsia="Times New Roman"/>
          <w:color w:val="auto"/>
          <w:u w:val="single"/>
        </w:rPr>
        <w:tab/>
      </w:r>
    </w:p>
    <w:p w14:paraId="02541111">
      <w:pPr>
        <w:pStyle w:val="12"/>
        <w:spacing w:before="0"/>
        <w:ind w:left="0"/>
        <w:rPr>
          <w:rFonts w:ascii="Times New Roman"/>
          <w:color w:val="auto"/>
          <w:sz w:val="24"/>
        </w:rPr>
      </w:pPr>
    </w:p>
    <w:p w14:paraId="3CBCB61F">
      <w:pPr>
        <w:pStyle w:val="12"/>
        <w:spacing w:before="70"/>
        <w:ind w:left="0"/>
        <w:rPr>
          <w:rFonts w:ascii="Times New Roman"/>
          <w:color w:val="auto"/>
          <w:sz w:val="24"/>
        </w:rPr>
      </w:pPr>
    </w:p>
    <w:p w14:paraId="33ABD2B2">
      <w:pPr>
        <w:pStyle w:val="11"/>
        <w:tabs>
          <w:tab w:val="left" w:pos="7645"/>
        </w:tabs>
        <w:ind w:left="1285"/>
        <w:rPr>
          <w:color w:val="auto"/>
        </w:rPr>
      </w:pPr>
      <w:r>
        <w:rPr>
          <w:color w:val="auto"/>
        </w:rPr>
        <w:t>签字（签章</w:t>
      </w:r>
      <w:r>
        <w:rPr>
          <w:color w:val="auto"/>
          <w:spacing w:val="-5"/>
        </w:rPr>
        <w:t>）：</w:t>
      </w:r>
      <w:r>
        <w:rPr>
          <w:color w:val="auto"/>
        </w:rPr>
        <w:tab/>
      </w:r>
      <w:r>
        <w:rPr>
          <w:color w:val="auto"/>
        </w:rPr>
        <w:t>公章</w:t>
      </w:r>
      <w:r>
        <w:rPr>
          <w:color w:val="auto"/>
          <w:spacing w:val="-10"/>
        </w:rPr>
        <w:t>：</w:t>
      </w:r>
    </w:p>
    <w:p w14:paraId="4B73F85F">
      <w:pPr>
        <w:pStyle w:val="11"/>
        <w:spacing w:before="153"/>
        <w:ind w:left="1285"/>
        <w:rPr>
          <w:color w:val="auto"/>
        </w:rPr>
      </w:pPr>
      <w:r>
        <w:rPr>
          <w:color w:val="auto"/>
          <w:spacing w:val="-4"/>
        </w:rPr>
        <w:t>日期：</w:t>
      </w:r>
    </w:p>
    <w:p w14:paraId="4DE280DE">
      <w:pPr>
        <w:pStyle w:val="12"/>
        <w:spacing w:before="310"/>
        <w:ind w:left="0"/>
        <w:rPr>
          <w:color w:val="auto"/>
          <w:sz w:val="24"/>
        </w:rPr>
      </w:pPr>
    </w:p>
    <w:p w14:paraId="44601526">
      <w:pPr>
        <w:pStyle w:val="10"/>
        <w:ind w:left="788" w:firstLine="0"/>
        <w:rPr>
          <w:color w:val="auto"/>
        </w:rPr>
      </w:pPr>
      <w:r>
        <w:rPr>
          <w:color w:val="auto"/>
          <w:spacing w:val="-4"/>
        </w:rPr>
        <w:t>说明：</w:t>
      </w:r>
    </w:p>
    <w:p w14:paraId="7CCCD73F">
      <w:pPr>
        <w:pStyle w:val="10"/>
        <w:numPr>
          <w:ilvl w:val="0"/>
          <w:numId w:val="63"/>
        </w:numPr>
        <w:tabs>
          <w:tab w:val="left" w:pos="1415"/>
        </w:tabs>
        <w:spacing w:before="156" w:after="0" w:line="357" w:lineRule="auto"/>
        <w:ind w:left="812" w:right="791" w:firstLine="355"/>
        <w:jc w:val="left"/>
        <w:rPr>
          <w:color w:val="auto"/>
        </w:rPr>
      </w:pPr>
      <w:r>
        <w:rPr>
          <w:color w:val="auto"/>
          <w:spacing w:val="5"/>
        </w:rPr>
        <w:t>投诉人提起投诉时，应当提交投诉书和必要的证明材料，并按照被投诉人和</w:t>
      </w:r>
      <w:r>
        <w:rPr>
          <w:color w:val="auto"/>
        </w:rPr>
        <w:t>与投诉事项有关的供应商数量提供投诉书副本。</w:t>
      </w:r>
    </w:p>
    <w:p w14:paraId="6D2EAAE6">
      <w:pPr>
        <w:pStyle w:val="10"/>
        <w:numPr>
          <w:ilvl w:val="0"/>
          <w:numId w:val="63"/>
        </w:numPr>
        <w:tabs>
          <w:tab w:val="left" w:pos="1415"/>
        </w:tabs>
        <w:spacing w:before="4" w:after="0" w:line="360" w:lineRule="auto"/>
        <w:ind w:left="812" w:right="791" w:firstLine="355"/>
        <w:jc w:val="both"/>
        <w:rPr>
          <w:color w:val="auto"/>
        </w:rPr>
      </w:pPr>
      <w:r>
        <w:rPr>
          <w:color w:val="auto"/>
          <w:spacing w:val="5"/>
        </w:rPr>
        <w:t>投诉人若委托代理人进行投诉的，投诉书应按要求列明“授权代表”的有关</w:t>
      </w:r>
      <w:r>
        <w:rPr>
          <w:color w:val="auto"/>
          <w:spacing w:val="1"/>
        </w:rPr>
        <w:t>内容，并在附件中提交由投诉人签署的授权委托书。授权委托书应当载明代理人的</w:t>
      </w:r>
      <w:r>
        <w:rPr>
          <w:color w:val="auto"/>
        </w:rPr>
        <w:t>姓名或者名称、代理事项、具体权限、期限和相关事项。</w:t>
      </w:r>
    </w:p>
    <w:p w14:paraId="6300BB13">
      <w:pPr>
        <w:pStyle w:val="10"/>
        <w:numPr>
          <w:ilvl w:val="0"/>
          <w:numId w:val="63"/>
        </w:numPr>
        <w:tabs>
          <w:tab w:val="left" w:pos="1409"/>
        </w:tabs>
        <w:spacing w:before="0" w:after="0" w:line="310" w:lineRule="exact"/>
        <w:ind w:left="1409" w:right="0" w:hanging="241"/>
        <w:jc w:val="left"/>
        <w:rPr>
          <w:color w:val="auto"/>
        </w:rPr>
      </w:pPr>
      <w:r>
        <w:rPr>
          <w:color w:val="auto"/>
          <w:spacing w:val="-1"/>
        </w:rPr>
        <w:t>投诉书应简要列明质疑事项，质疑函、质疑答复等作为附件材料提供。</w:t>
      </w:r>
    </w:p>
    <w:p w14:paraId="3B744BC8">
      <w:pPr>
        <w:pStyle w:val="10"/>
        <w:numPr>
          <w:ilvl w:val="0"/>
          <w:numId w:val="63"/>
        </w:numPr>
        <w:tabs>
          <w:tab w:val="left" w:pos="1409"/>
        </w:tabs>
        <w:spacing w:before="153" w:after="0" w:line="240" w:lineRule="auto"/>
        <w:ind w:left="1409" w:right="0" w:hanging="241"/>
        <w:jc w:val="left"/>
        <w:rPr>
          <w:color w:val="auto"/>
        </w:rPr>
      </w:pPr>
      <w:r>
        <w:rPr>
          <w:color w:val="auto"/>
          <w:spacing w:val="-1"/>
        </w:rPr>
        <w:t>投诉书的投诉事项应具体、明确，并有必要的事实依据和法律依据。</w:t>
      </w:r>
    </w:p>
    <w:p w14:paraId="11C5DF13">
      <w:pPr>
        <w:pStyle w:val="10"/>
        <w:numPr>
          <w:ilvl w:val="0"/>
          <w:numId w:val="63"/>
        </w:numPr>
        <w:tabs>
          <w:tab w:val="left" w:pos="1409"/>
        </w:tabs>
        <w:spacing w:before="154" w:after="0" w:line="240" w:lineRule="auto"/>
        <w:ind w:left="1409" w:right="0" w:hanging="241"/>
        <w:jc w:val="left"/>
        <w:rPr>
          <w:color w:val="auto"/>
        </w:rPr>
      </w:pPr>
      <w:r>
        <w:rPr>
          <w:color w:val="auto"/>
          <w:spacing w:val="-1"/>
        </w:rPr>
        <w:t>投诉书的投诉请求应与投诉事项相关。</w:t>
      </w:r>
    </w:p>
    <w:p w14:paraId="69947BD2">
      <w:pPr>
        <w:pStyle w:val="10"/>
        <w:numPr>
          <w:ilvl w:val="0"/>
          <w:numId w:val="63"/>
        </w:numPr>
        <w:tabs>
          <w:tab w:val="left" w:pos="1415"/>
        </w:tabs>
        <w:spacing w:before="156" w:after="0" w:line="357" w:lineRule="auto"/>
        <w:ind w:left="812" w:right="791" w:firstLine="355"/>
        <w:jc w:val="left"/>
        <w:rPr>
          <w:color w:val="auto"/>
        </w:rPr>
      </w:pPr>
      <w:r>
        <w:rPr>
          <w:color w:val="auto"/>
          <w:spacing w:val="5"/>
        </w:rPr>
        <w:t>投诉人为法人或者其他组织的，投诉书应由法定代表人、主要负责人，或者</w:t>
      </w:r>
      <w:r>
        <w:rPr>
          <w:color w:val="auto"/>
        </w:rPr>
        <w:t>其授权代表签字或者盖章，并加盖公章。</w:t>
      </w:r>
    </w:p>
    <w:p w14:paraId="01C4384D">
      <w:pPr>
        <w:spacing w:after="0" w:line="357" w:lineRule="auto"/>
        <w:jc w:val="left"/>
        <w:rPr>
          <w:color w:val="auto"/>
        </w:rPr>
        <w:sectPr>
          <w:pgSz w:w="11910" w:h="16840"/>
          <w:pgMar w:top="1680" w:right="740" w:bottom="1180" w:left="800" w:header="0" w:footer="989" w:gutter="0"/>
          <w:cols w:space="720" w:num="1"/>
        </w:sectPr>
      </w:pPr>
    </w:p>
    <w:p w14:paraId="1C72D857">
      <w:pPr>
        <w:pStyle w:val="12"/>
        <w:spacing w:before="0"/>
        <w:ind w:left="0"/>
        <w:rPr>
          <w:b/>
          <w:color w:val="auto"/>
          <w:sz w:val="44"/>
        </w:rPr>
      </w:pPr>
    </w:p>
    <w:p w14:paraId="5CC4A0FB">
      <w:pPr>
        <w:pStyle w:val="12"/>
        <w:spacing w:before="0"/>
        <w:ind w:left="0"/>
        <w:rPr>
          <w:b/>
          <w:color w:val="auto"/>
          <w:sz w:val="44"/>
        </w:rPr>
      </w:pPr>
    </w:p>
    <w:p w14:paraId="6CD379A3">
      <w:pPr>
        <w:pStyle w:val="12"/>
        <w:spacing w:before="0"/>
        <w:ind w:left="0"/>
        <w:rPr>
          <w:b/>
          <w:color w:val="auto"/>
          <w:sz w:val="44"/>
        </w:rPr>
      </w:pPr>
    </w:p>
    <w:p w14:paraId="4EE67F2D">
      <w:pPr>
        <w:pStyle w:val="12"/>
        <w:spacing w:before="0"/>
        <w:ind w:left="0"/>
        <w:rPr>
          <w:b/>
          <w:color w:val="auto"/>
          <w:sz w:val="44"/>
        </w:rPr>
      </w:pPr>
    </w:p>
    <w:p w14:paraId="61389491">
      <w:pPr>
        <w:pStyle w:val="12"/>
        <w:spacing w:before="0"/>
        <w:ind w:left="0"/>
        <w:rPr>
          <w:b/>
          <w:color w:val="auto"/>
          <w:sz w:val="44"/>
        </w:rPr>
      </w:pPr>
    </w:p>
    <w:p w14:paraId="247E7A8A">
      <w:pPr>
        <w:pStyle w:val="12"/>
        <w:spacing w:before="0"/>
        <w:ind w:left="0"/>
        <w:rPr>
          <w:b/>
          <w:color w:val="auto"/>
          <w:sz w:val="44"/>
        </w:rPr>
      </w:pPr>
    </w:p>
    <w:p w14:paraId="214A5C82">
      <w:pPr>
        <w:pStyle w:val="12"/>
        <w:spacing w:before="167"/>
        <w:ind w:left="0"/>
        <w:rPr>
          <w:b/>
          <w:color w:val="auto"/>
          <w:sz w:val="44"/>
        </w:rPr>
      </w:pPr>
    </w:p>
    <w:p w14:paraId="5C6E9B34">
      <w:pPr>
        <w:pStyle w:val="3"/>
        <w:spacing w:before="0"/>
        <w:rPr>
          <w:color w:val="auto"/>
        </w:rPr>
      </w:pPr>
      <w:bookmarkStart w:id="16" w:name="第七章 合同文本"/>
      <w:bookmarkEnd w:id="16"/>
      <w:bookmarkStart w:id="17" w:name="_bookmark6"/>
      <w:bookmarkEnd w:id="17"/>
      <w:r>
        <w:rPr>
          <w:color w:val="auto"/>
          <w:spacing w:val="-5"/>
        </w:rPr>
        <w:t>第七章 合同文本</w:t>
      </w:r>
    </w:p>
    <w:p w14:paraId="1EAA5853">
      <w:pPr>
        <w:spacing w:after="0"/>
        <w:rPr>
          <w:color w:val="auto"/>
        </w:rPr>
        <w:sectPr>
          <w:pgSz w:w="11910" w:h="16840"/>
          <w:pgMar w:top="1920" w:right="740" w:bottom="1180" w:left="800" w:header="0" w:footer="989" w:gutter="0"/>
          <w:cols w:space="720" w:num="1"/>
        </w:sectPr>
      </w:pPr>
    </w:p>
    <w:p w14:paraId="66CC2DCE">
      <w:pPr>
        <w:pStyle w:val="3"/>
        <w:bidi w:val="0"/>
        <w:rPr>
          <w:rFonts w:hint="eastAsia" w:ascii="宋体" w:hAnsi="宋体" w:eastAsia="宋体" w:cs="宋体"/>
          <w:color w:val="auto"/>
          <w:highlight w:val="none"/>
        </w:rPr>
      </w:pPr>
      <w:bookmarkStart w:id="18" w:name="_Toc20458"/>
      <w:r>
        <w:rPr>
          <w:rFonts w:hint="eastAsia" w:ascii="宋体" w:hAnsi="宋体" w:eastAsia="宋体" w:cs="宋体"/>
          <w:color w:val="auto"/>
          <w:highlight w:val="none"/>
        </w:rPr>
        <w:t>第一部分 合同协议书</w:t>
      </w:r>
      <w:bookmarkEnd w:id="18"/>
    </w:p>
    <w:p w14:paraId="64883020">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p w14:paraId="140697BD">
      <w:pPr>
        <w:pStyle w:val="12"/>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textAlignment w:val="baseline"/>
        <w:rPr>
          <w:rFonts w:hint="eastAsia" w:ascii="宋体" w:hAnsi="宋体" w:eastAsia="宋体" w:cs="宋体"/>
          <w:color w:val="auto"/>
          <w:spacing w:val="0"/>
          <w:w w:val="100"/>
          <w:position w:val="0"/>
          <w:sz w:val="24"/>
          <w:szCs w:val="24"/>
          <w:highlight w:val="none"/>
          <w:u w:val="single"/>
        </w:rPr>
      </w:pPr>
      <w:r>
        <w:rPr>
          <w:rFonts w:hint="eastAsia" w:ascii="宋体" w:hAnsi="宋体" w:eastAsia="宋体" w:cs="宋体"/>
          <w:color w:val="auto"/>
          <w:spacing w:val="0"/>
          <w:w w:val="100"/>
          <w:position w:val="0"/>
          <w:sz w:val="24"/>
          <w:szCs w:val="24"/>
          <w:highlight w:val="none"/>
        </w:rPr>
        <w:t>发包人（全称）：</w:t>
      </w:r>
      <w:r>
        <w:rPr>
          <w:rFonts w:hint="eastAsia" w:ascii="宋体" w:hAnsi="宋体" w:eastAsia="宋体" w:cs="宋体"/>
          <w:color w:val="auto"/>
          <w:spacing w:val="0"/>
          <w:w w:val="100"/>
          <w:position w:val="0"/>
          <w:sz w:val="24"/>
          <w:szCs w:val="24"/>
          <w:highlight w:val="none"/>
          <w:u w:val="single"/>
          <w:lang w:val="en-US" w:eastAsia="zh-CN"/>
        </w:rPr>
        <w:t xml:space="preserve">    </w:t>
      </w:r>
      <w:r>
        <w:rPr>
          <w:rFonts w:hint="eastAsia" w:cs="宋体"/>
          <w:color w:val="auto"/>
          <w:spacing w:val="0"/>
          <w:w w:val="100"/>
          <w:position w:val="0"/>
          <w:sz w:val="24"/>
          <w:szCs w:val="24"/>
          <w:highlight w:val="none"/>
          <w:u w:val="single"/>
          <w:lang w:val="en-US" w:eastAsia="zh-CN"/>
        </w:rPr>
        <w:t xml:space="preserve">             </w:t>
      </w:r>
      <w:r>
        <w:rPr>
          <w:rFonts w:hint="eastAsia" w:ascii="宋体" w:hAnsi="宋体" w:eastAsia="宋体" w:cs="宋体"/>
          <w:color w:val="auto"/>
          <w:spacing w:val="0"/>
          <w:w w:val="100"/>
          <w:position w:val="0"/>
          <w:sz w:val="24"/>
          <w:szCs w:val="24"/>
          <w:highlight w:val="none"/>
          <w:u w:val="single"/>
          <w:lang w:val="en-US" w:eastAsia="zh-CN"/>
        </w:rPr>
        <w:t xml:space="preserve">      </w:t>
      </w:r>
    </w:p>
    <w:p w14:paraId="0683B22B">
      <w:pPr>
        <w:pStyle w:val="12"/>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承包人（全称）：</w:t>
      </w:r>
      <w:r>
        <w:rPr>
          <w:rFonts w:hint="eastAsia" w:ascii="宋体" w:hAnsi="宋体" w:eastAsia="宋体" w:cs="宋体"/>
          <w:color w:val="auto"/>
          <w:spacing w:val="0"/>
          <w:w w:val="100"/>
          <w:position w:val="0"/>
          <w:sz w:val="24"/>
          <w:szCs w:val="24"/>
          <w:highlight w:val="none"/>
          <w:u w:val="single" w:color="auto"/>
        </w:rPr>
        <w:t xml:space="preserve"> </w:t>
      </w:r>
      <w:r>
        <w:rPr>
          <w:rFonts w:hint="eastAsia" w:cs="宋体"/>
          <w:color w:val="auto"/>
          <w:spacing w:val="0"/>
          <w:w w:val="100"/>
          <w:position w:val="0"/>
          <w:sz w:val="24"/>
          <w:szCs w:val="24"/>
          <w:highlight w:val="none"/>
          <w:u w:val="single" w:color="auto"/>
          <w:lang w:val="en-US" w:eastAsia="zh-CN"/>
        </w:rPr>
        <w:t xml:space="preserve">                      </w:t>
      </w:r>
      <w:r>
        <w:rPr>
          <w:rFonts w:hint="eastAsia" w:ascii="宋体" w:hAnsi="宋体" w:eastAsia="宋体" w:cs="宋体"/>
          <w:color w:val="auto"/>
          <w:spacing w:val="0"/>
          <w:w w:val="100"/>
          <w:position w:val="0"/>
          <w:sz w:val="24"/>
          <w:szCs w:val="24"/>
          <w:highlight w:val="none"/>
          <w:u w:val="single" w:color="auto"/>
        </w:rPr>
        <w:t xml:space="preserve"> </w:t>
      </w:r>
    </w:p>
    <w:p w14:paraId="18AEBD94">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根据《中华人民共和国民法典》、《中华人民共和国建筑法》及有关法律规定，遵循平等、 自愿、公平和诚实信用的原则，双方就</w:t>
      </w:r>
      <w:r>
        <w:rPr>
          <w:rFonts w:hint="eastAsia" w:ascii="宋体" w:hAnsi="宋体" w:eastAsia="宋体" w:cs="宋体"/>
          <w:color w:val="auto"/>
          <w:spacing w:val="0"/>
          <w:w w:val="100"/>
          <w:position w:val="0"/>
          <w:sz w:val="24"/>
          <w:szCs w:val="24"/>
          <w:highlight w:val="none"/>
          <w:u w:val="single" w:color="auto"/>
        </w:rPr>
        <w:t xml:space="preserve"> </w:t>
      </w:r>
      <w:r>
        <w:rPr>
          <w:rFonts w:hint="eastAsia" w:cs="宋体"/>
          <w:color w:val="auto"/>
          <w:spacing w:val="0"/>
          <w:w w:val="100"/>
          <w:position w:val="0"/>
          <w:sz w:val="24"/>
          <w:szCs w:val="24"/>
          <w:highlight w:val="none"/>
          <w:u w:val="single" w:color="auto"/>
          <w:lang w:val="en-US" w:eastAsia="zh-CN"/>
        </w:rPr>
        <w:t xml:space="preserve">                </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工程施工及有关事项协 商一致，共同达成如下协议：</w:t>
      </w:r>
    </w:p>
    <w:p w14:paraId="4FB6DB59">
      <w:pPr>
        <w:keepNext w:val="0"/>
        <w:keepLines w:val="0"/>
        <w:pageBreakBefore w:val="0"/>
        <w:widowControl/>
        <w:kinsoku w:val="0"/>
        <w:wordWrap/>
        <w:overflowPunct/>
        <w:topLinePunct w:val="0"/>
        <w:autoSpaceDE w:val="0"/>
        <w:autoSpaceDN w:val="0"/>
        <w:bidi w:val="0"/>
        <w:adjustRightInd w:val="0"/>
        <w:snapToGrid w:val="0"/>
        <w:spacing w:line="48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一、工程概况</w:t>
      </w:r>
    </w:p>
    <w:p w14:paraId="62D31689">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lang w:val="en-US" w:eastAsia="zh-CN"/>
        </w:rPr>
        <w:t>1.</w:t>
      </w:r>
      <w:r>
        <w:rPr>
          <w:rFonts w:hint="eastAsia" w:ascii="宋体" w:hAnsi="宋体" w:eastAsia="宋体" w:cs="宋体"/>
          <w:color w:val="auto"/>
          <w:spacing w:val="0"/>
          <w:w w:val="100"/>
          <w:position w:val="0"/>
          <w:sz w:val="24"/>
          <w:szCs w:val="24"/>
          <w:highlight w:val="none"/>
        </w:rPr>
        <w:t>工程名称：</w:t>
      </w:r>
      <w:r>
        <w:rPr>
          <w:rFonts w:hint="eastAsia" w:ascii="宋体" w:hAnsi="宋体" w:eastAsia="宋体" w:cs="宋体"/>
          <w:color w:val="auto"/>
          <w:spacing w:val="0"/>
          <w:w w:val="100"/>
          <w:position w:val="0"/>
          <w:sz w:val="24"/>
          <w:szCs w:val="24"/>
          <w:highlight w:val="none"/>
          <w:u w:val="single" w:color="auto"/>
        </w:rPr>
        <w:t xml:space="preserve">  </w:t>
      </w:r>
      <w:r>
        <w:rPr>
          <w:rFonts w:hint="eastAsia" w:cs="宋体"/>
          <w:color w:val="auto"/>
          <w:spacing w:val="0"/>
          <w:w w:val="100"/>
          <w:position w:val="0"/>
          <w:sz w:val="24"/>
          <w:szCs w:val="24"/>
          <w:highlight w:val="none"/>
          <w:u w:val="single" w:color="auto"/>
          <w:lang w:val="en-US" w:eastAsia="zh-CN"/>
        </w:rPr>
        <w:t xml:space="preserve">                                 </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w:t>
      </w:r>
    </w:p>
    <w:p w14:paraId="48C8F815">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u w:val="none" w:color="auto"/>
          <w:lang w:val="en-US"/>
        </w:rPr>
      </w:pPr>
      <w:r>
        <w:rPr>
          <w:rFonts w:hint="eastAsia" w:ascii="宋体" w:hAnsi="宋体" w:eastAsia="宋体" w:cs="宋体"/>
          <w:color w:val="auto"/>
          <w:spacing w:val="0"/>
          <w:w w:val="100"/>
          <w:position w:val="0"/>
          <w:sz w:val="24"/>
          <w:szCs w:val="24"/>
          <w:highlight w:val="none"/>
          <w:lang w:val="en-US" w:eastAsia="zh-CN"/>
        </w:rPr>
        <w:t>2.</w:t>
      </w:r>
      <w:r>
        <w:rPr>
          <w:rFonts w:hint="eastAsia" w:ascii="宋体" w:hAnsi="宋体" w:eastAsia="宋体" w:cs="宋体"/>
          <w:color w:val="auto"/>
          <w:spacing w:val="0"/>
          <w:w w:val="100"/>
          <w:position w:val="0"/>
          <w:sz w:val="24"/>
          <w:szCs w:val="24"/>
          <w:highlight w:val="none"/>
        </w:rPr>
        <w:t>工程地点：</w:t>
      </w:r>
      <w:r>
        <w:rPr>
          <w:rFonts w:hint="eastAsia" w:ascii="宋体" w:hAnsi="宋体" w:eastAsia="宋体" w:cs="宋体"/>
          <w:color w:val="auto"/>
          <w:spacing w:val="0"/>
          <w:w w:val="100"/>
          <w:position w:val="0"/>
          <w:sz w:val="24"/>
          <w:szCs w:val="24"/>
          <w:highlight w:val="none"/>
          <w:u w:val="single" w:color="auto"/>
        </w:rPr>
        <w:t xml:space="preserve">  </w:t>
      </w:r>
      <w:r>
        <w:rPr>
          <w:rFonts w:hint="eastAsia" w:cs="宋体"/>
          <w:color w:val="auto"/>
          <w:spacing w:val="0"/>
          <w:w w:val="100"/>
          <w:position w:val="0"/>
          <w:sz w:val="24"/>
          <w:szCs w:val="24"/>
          <w:highlight w:val="none"/>
          <w:u w:val="single" w:color="auto"/>
          <w:lang w:val="en-US" w:eastAsia="zh-CN"/>
        </w:rPr>
        <w:t xml:space="preserve">                                 </w:t>
      </w:r>
      <w:r>
        <w:rPr>
          <w:rFonts w:hint="eastAsia" w:ascii="宋体" w:hAnsi="宋体" w:eastAsia="宋体" w:cs="宋体"/>
          <w:color w:val="auto"/>
          <w:spacing w:val="0"/>
          <w:w w:val="100"/>
          <w:position w:val="0"/>
          <w:sz w:val="24"/>
          <w:szCs w:val="24"/>
          <w:highlight w:val="none"/>
          <w:u w:val="single" w:color="auto"/>
          <w:lang w:val="en-US" w:eastAsia="zh-CN"/>
        </w:rPr>
        <w:t xml:space="preserve">  </w:t>
      </w:r>
      <w:r>
        <w:rPr>
          <w:rFonts w:hint="eastAsia" w:ascii="宋体" w:hAnsi="宋体" w:eastAsia="宋体" w:cs="宋体"/>
          <w:color w:val="auto"/>
          <w:spacing w:val="0"/>
          <w:w w:val="100"/>
          <w:position w:val="0"/>
          <w:sz w:val="24"/>
          <w:szCs w:val="24"/>
          <w:highlight w:val="none"/>
          <w:u w:val="none" w:color="auto"/>
          <w:lang w:val="en-US" w:eastAsia="zh-CN"/>
        </w:rPr>
        <w:t>。</w:t>
      </w:r>
    </w:p>
    <w:p w14:paraId="0AD0F95F">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lang w:val="en-US" w:eastAsia="zh-CN"/>
        </w:rPr>
        <w:t>3.</w:t>
      </w:r>
      <w:r>
        <w:rPr>
          <w:rFonts w:hint="eastAsia" w:ascii="宋体" w:hAnsi="宋体" w:eastAsia="宋体" w:cs="宋体"/>
          <w:color w:val="auto"/>
          <w:spacing w:val="0"/>
          <w:w w:val="100"/>
          <w:position w:val="0"/>
          <w:sz w:val="24"/>
          <w:szCs w:val="24"/>
          <w:highlight w:val="none"/>
        </w:rPr>
        <w:t>工程立项批准文号：</w:t>
      </w:r>
      <w:r>
        <w:rPr>
          <w:rFonts w:hint="eastAsia" w:ascii="宋体" w:hAnsi="宋体" w:eastAsia="宋体" w:cs="宋体"/>
          <w:color w:val="auto"/>
          <w:spacing w:val="0"/>
          <w:w w:val="100"/>
          <w:position w:val="0"/>
          <w:sz w:val="24"/>
          <w:szCs w:val="24"/>
          <w:highlight w:val="none"/>
          <w:u w:val="single" w:color="auto"/>
        </w:rPr>
        <w:t xml:space="preserve"> </w:t>
      </w:r>
      <w:r>
        <w:rPr>
          <w:rFonts w:hint="eastAsia" w:cs="宋体"/>
          <w:color w:val="auto"/>
          <w:spacing w:val="0"/>
          <w:w w:val="100"/>
          <w:position w:val="0"/>
          <w:sz w:val="24"/>
          <w:szCs w:val="24"/>
          <w:highlight w:val="none"/>
          <w:u w:val="single" w:color="auto"/>
          <w:lang w:val="en-US" w:eastAsia="zh-CN"/>
        </w:rPr>
        <w:t xml:space="preserve">                            </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w:t>
      </w:r>
    </w:p>
    <w:p w14:paraId="012CD536">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lang w:val="en-US" w:eastAsia="zh-CN"/>
        </w:rPr>
        <w:t>4.</w:t>
      </w:r>
      <w:r>
        <w:rPr>
          <w:rFonts w:hint="eastAsia" w:ascii="宋体" w:hAnsi="宋体" w:eastAsia="宋体" w:cs="宋体"/>
          <w:color w:val="auto"/>
          <w:spacing w:val="0"/>
          <w:w w:val="100"/>
          <w:position w:val="0"/>
          <w:sz w:val="24"/>
          <w:szCs w:val="24"/>
          <w:highlight w:val="none"/>
        </w:rPr>
        <w:t>资金来源：</w:t>
      </w:r>
      <w:r>
        <w:rPr>
          <w:rFonts w:hint="eastAsia" w:ascii="宋体" w:hAnsi="宋体" w:eastAsia="宋体" w:cs="宋体"/>
          <w:color w:val="auto"/>
          <w:spacing w:val="0"/>
          <w:w w:val="100"/>
          <w:position w:val="0"/>
          <w:sz w:val="24"/>
          <w:szCs w:val="24"/>
          <w:highlight w:val="none"/>
          <w:u w:val="single" w:color="auto"/>
        </w:rPr>
        <w:t xml:space="preserve">  </w:t>
      </w:r>
      <w:r>
        <w:rPr>
          <w:rFonts w:hint="eastAsia" w:cs="宋体"/>
          <w:color w:val="auto"/>
          <w:spacing w:val="0"/>
          <w:w w:val="100"/>
          <w:position w:val="0"/>
          <w:sz w:val="24"/>
          <w:szCs w:val="24"/>
          <w:highlight w:val="none"/>
          <w:u w:val="single" w:color="auto"/>
          <w:lang w:val="en-US" w:eastAsia="zh-CN"/>
        </w:rPr>
        <w:t xml:space="preserve">                 </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w:t>
      </w:r>
    </w:p>
    <w:p w14:paraId="3A4C4044">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u w:val="single" w:color="auto"/>
        </w:rPr>
      </w:pPr>
      <w:r>
        <w:rPr>
          <w:rFonts w:hint="eastAsia" w:ascii="宋体" w:hAnsi="宋体" w:eastAsia="宋体" w:cs="宋体"/>
          <w:color w:val="auto"/>
          <w:spacing w:val="0"/>
          <w:w w:val="100"/>
          <w:position w:val="0"/>
          <w:sz w:val="24"/>
          <w:szCs w:val="24"/>
          <w:highlight w:val="none"/>
          <w:lang w:val="en-US" w:eastAsia="zh-CN"/>
        </w:rPr>
        <w:t>5.</w:t>
      </w:r>
      <w:r>
        <w:rPr>
          <w:rFonts w:hint="eastAsia" w:ascii="宋体" w:hAnsi="宋体" w:eastAsia="宋体" w:cs="宋体"/>
          <w:color w:val="auto"/>
          <w:spacing w:val="0"/>
          <w:w w:val="100"/>
          <w:position w:val="0"/>
          <w:sz w:val="24"/>
          <w:szCs w:val="24"/>
          <w:highlight w:val="none"/>
        </w:rPr>
        <w:t>工程内容：</w:t>
      </w:r>
      <w:r>
        <w:rPr>
          <w:rFonts w:hint="eastAsia" w:ascii="宋体" w:hAnsi="宋体" w:eastAsia="宋体" w:cs="宋体"/>
          <w:color w:val="auto"/>
          <w:spacing w:val="0"/>
          <w:w w:val="100"/>
          <w:position w:val="0"/>
          <w:sz w:val="24"/>
          <w:szCs w:val="24"/>
          <w:highlight w:val="none"/>
          <w:u w:val="single" w:color="auto"/>
        </w:rPr>
        <w:t xml:space="preserve"> 建设混凝土路面1600平方米及排水等;二层门式刚架轻钢结构3517平方米孵化厂房的电气、给排水等工程建设；建设一层门式刚架轻钢结构附属用房125平方米等，具体内容详见施工图纸及工程量清单。</w:t>
      </w:r>
    </w:p>
    <w:p w14:paraId="614C6392">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lang w:val="en-US" w:eastAsia="zh-CN"/>
        </w:rPr>
        <w:t>6.</w:t>
      </w:r>
      <w:r>
        <w:rPr>
          <w:rFonts w:hint="eastAsia" w:ascii="宋体" w:hAnsi="宋体" w:eastAsia="宋体" w:cs="宋体"/>
          <w:color w:val="auto"/>
          <w:spacing w:val="0"/>
          <w:w w:val="100"/>
          <w:position w:val="0"/>
          <w:sz w:val="24"/>
          <w:szCs w:val="24"/>
          <w:highlight w:val="none"/>
        </w:rPr>
        <w:t>工程承包范围：</w:t>
      </w:r>
    </w:p>
    <w:p w14:paraId="3CD06CA6">
      <w:pPr>
        <w:keepNext w:val="0"/>
        <w:keepLines w:val="0"/>
        <w:pageBreakBefore w:val="0"/>
        <w:widowControl/>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color w:val="auto"/>
          <w:spacing w:val="0"/>
          <w:w w:val="100"/>
          <w:position w:val="0"/>
          <w:sz w:val="24"/>
          <w:szCs w:val="24"/>
          <w:highlight w:val="none"/>
          <w:u w:val="single" w:color="auto"/>
        </w:rPr>
      </w:pPr>
      <w:r>
        <w:rPr>
          <w:rFonts w:hint="eastAsia" w:ascii="宋体" w:hAnsi="宋体" w:eastAsia="宋体" w:cs="宋体"/>
          <w:color w:val="auto"/>
          <w:spacing w:val="0"/>
          <w:w w:val="100"/>
          <w:position w:val="0"/>
          <w:sz w:val="24"/>
          <w:szCs w:val="24"/>
          <w:highlight w:val="none"/>
          <w:u w:val="single" w:color="auto"/>
        </w:rPr>
        <w:t>以工程量清单、图纸所包含的内容为准</w:t>
      </w:r>
    </w:p>
    <w:p w14:paraId="75ABDE01">
      <w:pPr>
        <w:keepNext w:val="0"/>
        <w:keepLines w:val="0"/>
        <w:pageBreakBefore w:val="0"/>
        <w:widowControl/>
        <w:kinsoku w:val="0"/>
        <w:wordWrap/>
        <w:overflowPunct/>
        <w:topLinePunct w:val="0"/>
        <w:autoSpaceDE w:val="0"/>
        <w:autoSpaceDN w:val="0"/>
        <w:bidi w:val="0"/>
        <w:adjustRightInd w:val="0"/>
        <w:snapToGrid w:val="0"/>
        <w:spacing w:line="48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二、合同工期</w:t>
      </w:r>
    </w:p>
    <w:p w14:paraId="0F2EB372">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计划开工日期：</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 xml:space="preserve"> 年</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 xml:space="preserve"> 月</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 xml:space="preserve"> 日。（具体以发包人书面通知为准）</w:t>
      </w:r>
    </w:p>
    <w:p w14:paraId="31CD9112">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计划竣工日期：</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 xml:space="preserve"> 年</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 xml:space="preserve"> 月</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 xml:space="preserve"> 日。</w:t>
      </w:r>
    </w:p>
    <w:p w14:paraId="225E05FC">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工期总日历天数：</w:t>
      </w:r>
      <w:r>
        <w:rPr>
          <w:rFonts w:hint="eastAsia" w:ascii="宋体" w:hAnsi="宋体" w:eastAsia="宋体" w:cs="宋体"/>
          <w:color w:val="auto"/>
          <w:spacing w:val="0"/>
          <w:w w:val="100"/>
          <w:position w:val="0"/>
          <w:sz w:val="24"/>
          <w:szCs w:val="24"/>
          <w:highlight w:val="none"/>
          <w:u w:val="single" w:color="auto"/>
        </w:rPr>
        <w:t xml:space="preserve">  </w:t>
      </w:r>
      <w:r>
        <w:rPr>
          <w:rFonts w:hint="eastAsia" w:cs="宋体"/>
          <w:color w:val="auto"/>
          <w:spacing w:val="0"/>
          <w:w w:val="100"/>
          <w:position w:val="0"/>
          <w:sz w:val="24"/>
          <w:szCs w:val="24"/>
          <w:highlight w:val="none"/>
          <w:u w:val="single" w:color="auto"/>
          <w:lang w:val="en-US" w:eastAsia="zh-CN"/>
        </w:rPr>
        <w:t>180</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 xml:space="preserve"> 天。工期总日历天数与根据前述计划开竣工日期计算的工期天 数不一致的，以工期总日历天数为准。</w:t>
      </w:r>
    </w:p>
    <w:p w14:paraId="0419E218">
      <w:pPr>
        <w:keepNext w:val="0"/>
        <w:keepLines w:val="0"/>
        <w:pageBreakBefore w:val="0"/>
        <w:widowControl/>
        <w:kinsoku w:val="0"/>
        <w:wordWrap/>
        <w:overflowPunct/>
        <w:topLinePunct w:val="0"/>
        <w:autoSpaceDE w:val="0"/>
        <w:autoSpaceDN w:val="0"/>
        <w:bidi w:val="0"/>
        <w:adjustRightInd w:val="0"/>
        <w:snapToGrid w:val="0"/>
        <w:spacing w:line="48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三、质量标准</w:t>
      </w:r>
    </w:p>
    <w:p w14:paraId="7B2FF719">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工程质量符合</w:t>
      </w:r>
      <w:r>
        <w:rPr>
          <w:rFonts w:hint="eastAsia" w:ascii="宋体" w:hAnsi="宋体" w:eastAsia="宋体" w:cs="宋体"/>
          <w:color w:val="auto"/>
          <w:spacing w:val="0"/>
          <w:w w:val="100"/>
          <w:position w:val="0"/>
          <w:sz w:val="24"/>
          <w:szCs w:val="24"/>
          <w:highlight w:val="none"/>
          <w:u w:val="single"/>
          <w:lang w:val="en-US" w:eastAsia="zh-CN"/>
        </w:rPr>
        <w:t xml:space="preserve">    </w:t>
      </w:r>
      <w:r>
        <w:rPr>
          <w:rFonts w:hint="eastAsia" w:ascii="宋体" w:hAnsi="宋体" w:eastAsia="宋体" w:cs="宋体"/>
          <w:color w:val="auto"/>
          <w:spacing w:val="0"/>
          <w:w w:val="100"/>
          <w:position w:val="0"/>
          <w:sz w:val="24"/>
          <w:szCs w:val="24"/>
          <w:highlight w:val="none"/>
          <w:u w:val="single" w:color="auto"/>
        </w:rPr>
        <w:t>合格</w:t>
      </w:r>
      <w:r>
        <w:rPr>
          <w:rFonts w:hint="eastAsia" w:ascii="宋体" w:hAnsi="宋体" w:eastAsia="宋体" w:cs="宋体"/>
          <w:color w:val="auto"/>
          <w:spacing w:val="0"/>
          <w:w w:val="100"/>
          <w:position w:val="0"/>
          <w:sz w:val="24"/>
          <w:szCs w:val="24"/>
          <w:highlight w:val="none"/>
          <w:u w:val="single" w:color="auto"/>
          <w:lang w:val="en-US" w:eastAsia="zh-CN"/>
        </w:rPr>
        <w:t xml:space="preserve"> </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 xml:space="preserve"> </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标准。</w:t>
      </w:r>
    </w:p>
    <w:p w14:paraId="661F83E9">
      <w:pPr>
        <w:keepNext w:val="0"/>
        <w:keepLines w:val="0"/>
        <w:pageBreakBefore w:val="0"/>
        <w:widowControl/>
        <w:kinsoku w:val="0"/>
        <w:wordWrap/>
        <w:overflowPunct/>
        <w:topLinePunct w:val="0"/>
        <w:autoSpaceDE w:val="0"/>
        <w:autoSpaceDN w:val="0"/>
        <w:bidi w:val="0"/>
        <w:adjustRightInd w:val="0"/>
        <w:snapToGrid w:val="0"/>
        <w:spacing w:line="48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四、签约合同价与合同价格形式</w:t>
      </w:r>
    </w:p>
    <w:p w14:paraId="31BC3CCD">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lang w:val="en-US" w:eastAsia="zh-CN"/>
        </w:rPr>
        <w:t>1.</w:t>
      </w:r>
      <w:r>
        <w:rPr>
          <w:rFonts w:hint="eastAsia" w:ascii="宋体" w:hAnsi="宋体" w:eastAsia="宋体" w:cs="宋体"/>
          <w:color w:val="auto"/>
          <w:spacing w:val="0"/>
          <w:w w:val="100"/>
          <w:position w:val="0"/>
          <w:sz w:val="24"/>
          <w:szCs w:val="24"/>
          <w:highlight w:val="none"/>
        </w:rPr>
        <w:t>签约合同价为：</w:t>
      </w:r>
    </w:p>
    <w:p w14:paraId="7C9548BF">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人民币（大写）</w:t>
      </w:r>
      <w:r>
        <w:rPr>
          <w:rFonts w:hint="eastAsia" w:ascii="宋体" w:hAnsi="宋体" w:eastAsia="宋体" w:cs="宋体"/>
          <w:color w:val="auto"/>
          <w:spacing w:val="0"/>
          <w:w w:val="100"/>
          <w:position w:val="0"/>
          <w:sz w:val="24"/>
          <w:szCs w:val="24"/>
          <w:highlight w:val="none"/>
          <w:u w:val="single" w:color="auto"/>
        </w:rPr>
        <w:t xml:space="preserve">  </w:t>
      </w:r>
      <w:r>
        <w:rPr>
          <w:rFonts w:hint="eastAsia" w:cs="宋体"/>
          <w:color w:val="auto"/>
          <w:spacing w:val="0"/>
          <w:w w:val="100"/>
          <w:position w:val="0"/>
          <w:sz w:val="24"/>
          <w:szCs w:val="24"/>
          <w:highlight w:val="none"/>
          <w:u w:val="single" w:color="auto"/>
          <w:lang w:val="en-US" w:eastAsia="zh-CN"/>
        </w:rPr>
        <w:t xml:space="preserve">                     </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 xml:space="preserve"> ( ¥</w:t>
      </w:r>
      <w:r>
        <w:rPr>
          <w:rFonts w:hint="eastAsia" w:ascii="宋体" w:hAnsi="宋体" w:eastAsia="宋体" w:cs="宋体"/>
          <w:color w:val="auto"/>
          <w:spacing w:val="0"/>
          <w:w w:val="100"/>
          <w:position w:val="0"/>
          <w:sz w:val="24"/>
          <w:szCs w:val="24"/>
          <w:highlight w:val="none"/>
          <w:u w:val="single" w:color="auto"/>
        </w:rPr>
        <w:t xml:space="preserve">  </w:t>
      </w:r>
      <w:r>
        <w:rPr>
          <w:rFonts w:hint="eastAsia" w:cs="宋体"/>
          <w:color w:val="auto"/>
          <w:spacing w:val="0"/>
          <w:w w:val="100"/>
          <w:position w:val="0"/>
          <w:sz w:val="24"/>
          <w:szCs w:val="24"/>
          <w:highlight w:val="none"/>
          <w:u w:val="single" w:color="auto"/>
          <w:lang w:val="en-US" w:eastAsia="zh-CN"/>
        </w:rPr>
        <w:t xml:space="preserve">               </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元）；</w:t>
      </w:r>
    </w:p>
    <w:p w14:paraId="7EDFB278">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其中：</w:t>
      </w:r>
    </w:p>
    <w:p w14:paraId="5F13C4AD">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（1）安全文明施工费：</w:t>
      </w:r>
    </w:p>
    <w:p w14:paraId="735F39AC">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人民币（大写）</w:t>
      </w:r>
      <w:r>
        <w:rPr>
          <w:rFonts w:hint="eastAsia" w:ascii="宋体" w:hAnsi="宋体" w:eastAsia="宋体" w:cs="宋体"/>
          <w:color w:val="auto"/>
          <w:spacing w:val="0"/>
          <w:w w:val="100"/>
          <w:position w:val="0"/>
          <w:sz w:val="24"/>
          <w:szCs w:val="24"/>
          <w:highlight w:val="none"/>
          <w:u w:val="single" w:color="auto"/>
        </w:rPr>
        <w:t xml:space="preserve">  </w:t>
      </w:r>
      <w:r>
        <w:rPr>
          <w:rFonts w:hint="eastAsia" w:cs="宋体"/>
          <w:color w:val="auto"/>
          <w:spacing w:val="0"/>
          <w:w w:val="100"/>
          <w:position w:val="0"/>
          <w:sz w:val="24"/>
          <w:szCs w:val="24"/>
          <w:highlight w:val="none"/>
          <w:u w:val="single" w:color="auto"/>
          <w:lang w:val="en-US" w:eastAsia="zh-CN"/>
        </w:rPr>
        <w:t xml:space="preserve">                          </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 xml:space="preserve"> ( ¥</w:t>
      </w:r>
      <w:r>
        <w:rPr>
          <w:rFonts w:hint="eastAsia" w:ascii="宋体" w:hAnsi="宋体" w:eastAsia="宋体" w:cs="宋体"/>
          <w:color w:val="auto"/>
          <w:spacing w:val="0"/>
          <w:w w:val="100"/>
          <w:position w:val="0"/>
          <w:sz w:val="24"/>
          <w:szCs w:val="24"/>
          <w:highlight w:val="none"/>
          <w:u w:val="single" w:color="auto"/>
        </w:rPr>
        <w:t xml:space="preserve">  </w:t>
      </w:r>
      <w:r>
        <w:rPr>
          <w:rFonts w:hint="eastAsia" w:cs="宋体"/>
          <w:color w:val="auto"/>
          <w:spacing w:val="0"/>
          <w:w w:val="100"/>
          <w:position w:val="0"/>
          <w:sz w:val="24"/>
          <w:szCs w:val="24"/>
          <w:highlight w:val="none"/>
          <w:u w:val="single" w:color="auto"/>
          <w:lang w:val="en-US" w:eastAsia="zh-CN"/>
        </w:rPr>
        <w:t xml:space="preserve">                 </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 xml:space="preserve"> 元）；</w:t>
      </w:r>
    </w:p>
    <w:p w14:paraId="4D33BFAC">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（2）材料和工程设备暂估价金额：</w:t>
      </w:r>
    </w:p>
    <w:p w14:paraId="6CA71A94">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人民币（大写）</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 xml:space="preserve">  ( ¥</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 xml:space="preserve"> 元）；</w:t>
      </w:r>
    </w:p>
    <w:p w14:paraId="7E8AF47D">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（3）专业工程暂估价金额：</w:t>
      </w:r>
    </w:p>
    <w:p w14:paraId="72AA642F">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人民币（大写）</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 xml:space="preserve">  ( ¥</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 xml:space="preserve"> 元）；</w:t>
      </w:r>
    </w:p>
    <w:p w14:paraId="5560E6BE">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（4）暂列金额：</w:t>
      </w:r>
    </w:p>
    <w:p w14:paraId="34AD301D">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人民币（大写）</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 xml:space="preserve">  ( ¥</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 xml:space="preserve"> 元）。</w:t>
      </w:r>
    </w:p>
    <w:p w14:paraId="4DAE7AE2">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lang w:val="en-US" w:eastAsia="zh-CN"/>
        </w:rPr>
        <w:t>2.</w:t>
      </w:r>
      <w:r>
        <w:rPr>
          <w:rFonts w:hint="eastAsia" w:ascii="宋体" w:hAnsi="宋体" w:eastAsia="宋体" w:cs="宋体"/>
          <w:color w:val="auto"/>
          <w:spacing w:val="0"/>
          <w:w w:val="100"/>
          <w:position w:val="0"/>
          <w:sz w:val="24"/>
          <w:szCs w:val="24"/>
          <w:highlight w:val="none"/>
        </w:rPr>
        <w:t xml:space="preserve">合同价格形式：   </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固定综合单价</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w:t>
      </w:r>
    </w:p>
    <w:p w14:paraId="2D109CC6">
      <w:pPr>
        <w:keepNext w:val="0"/>
        <w:keepLines w:val="0"/>
        <w:pageBreakBefore w:val="0"/>
        <w:widowControl/>
        <w:kinsoku w:val="0"/>
        <w:wordWrap/>
        <w:overflowPunct/>
        <w:topLinePunct w:val="0"/>
        <w:autoSpaceDE w:val="0"/>
        <w:autoSpaceDN w:val="0"/>
        <w:bidi w:val="0"/>
        <w:adjustRightInd w:val="0"/>
        <w:snapToGrid w:val="0"/>
        <w:spacing w:line="48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五、项目经理</w:t>
      </w:r>
    </w:p>
    <w:p w14:paraId="4F40546A">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承包人项目经理：</w:t>
      </w:r>
      <w:r>
        <w:rPr>
          <w:rFonts w:hint="eastAsia" w:ascii="宋体" w:hAnsi="宋体" w:eastAsia="宋体" w:cs="宋体"/>
          <w:color w:val="auto"/>
          <w:spacing w:val="0"/>
          <w:w w:val="100"/>
          <w:position w:val="0"/>
          <w:sz w:val="24"/>
          <w:szCs w:val="24"/>
          <w:highlight w:val="none"/>
          <w:u w:val="single" w:color="auto"/>
        </w:rPr>
        <w:t xml:space="preserve">    </w:t>
      </w:r>
      <w:r>
        <w:rPr>
          <w:rFonts w:hint="eastAsia" w:cs="宋体"/>
          <w:color w:val="auto"/>
          <w:spacing w:val="0"/>
          <w:w w:val="100"/>
          <w:position w:val="0"/>
          <w:sz w:val="24"/>
          <w:szCs w:val="24"/>
          <w:highlight w:val="none"/>
          <w:u w:val="single" w:color="auto"/>
          <w:lang w:val="en-US" w:eastAsia="zh-CN"/>
        </w:rPr>
        <w:t xml:space="preserve">      </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w:t>
      </w:r>
    </w:p>
    <w:p w14:paraId="6B6E5C36">
      <w:pPr>
        <w:keepNext w:val="0"/>
        <w:keepLines w:val="0"/>
        <w:pageBreakBefore w:val="0"/>
        <w:widowControl/>
        <w:kinsoku w:val="0"/>
        <w:wordWrap/>
        <w:overflowPunct/>
        <w:topLinePunct w:val="0"/>
        <w:autoSpaceDE w:val="0"/>
        <w:autoSpaceDN w:val="0"/>
        <w:bidi w:val="0"/>
        <w:adjustRightInd w:val="0"/>
        <w:snapToGrid w:val="0"/>
        <w:spacing w:line="48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六、合同文件构成</w:t>
      </w:r>
    </w:p>
    <w:p w14:paraId="086B9F8E">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本协议书与下列文件一起构成合同文件：</w:t>
      </w:r>
    </w:p>
    <w:p w14:paraId="54159CCB">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（1）中标通知书；</w:t>
      </w:r>
    </w:p>
    <w:p w14:paraId="73BD2E47">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（2）投标函及其附录（如有）；</w:t>
      </w:r>
    </w:p>
    <w:p w14:paraId="7A425464">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（3）专用合同条款及其附件；</w:t>
      </w:r>
    </w:p>
    <w:p w14:paraId="07831121">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（4）通用合同条款；</w:t>
      </w:r>
    </w:p>
    <w:p w14:paraId="306901C3">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（5）</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技术标准和要求</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w:t>
      </w:r>
    </w:p>
    <w:p w14:paraId="12C29BB5">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（6）</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图纸</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w:t>
      </w:r>
    </w:p>
    <w:p w14:paraId="678CCAD6">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（7）</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已标价工程量清单</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w:t>
      </w:r>
    </w:p>
    <w:p w14:paraId="60E5AFAB">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（8）其他合同文件：</w:t>
      </w:r>
    </w:p>
    <w:p w14:paraId="72AFE43E">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jc w:val="both"/>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上述各项合同文件包括合同当事人就该项合同文件所作出的补充和修改，属于同一类内容 的文件，应以最新签署的为准（违反招标文件实质性内容的约定除外）。专用合同条款及其附件 须经合同当事人签字或盖章。</w:t>
      </w:r>
    </w:p>
    <w:p w14:paraId="2D5A83A7">
      <w:pPr>
        <w:keepNext w:val="0"/>
        <w:keepLines w:val="0"/>
        <w:pageBreakBefore w:val="0"/>
        <w:widowControl/>
        <w:kinsoku w:val="0"/>
        <w:wordWrap/>
        <w:overflowPunct/>
        <w:topLinePunct w:val="0"/>
        <w:autoSpaceDE w:val="0"/>
        <w:autoSpaceDN w:val="0"/>
        <w:bidi w:val="0"/>
        <w:adjustRightInd w:val="0"/>
        <w:snapToGrid w:val="0"/>
        <w:spacing w:line="48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七、承诺</w:t>
      </w:r>
    </w:p>
    <w:p w14:paraId="306165DD">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1.  发包人承诺按照法律规定履行项目审批手续、筹集工程建设资金并按照合同约定的期限 和方式支付合同价款。</w:t>
      </w:r>
    </w:p>
    <w:p w14:paraId="5796BD37">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2.  承包人承诺按照法律规定及合同约定组织完成工程施工，确保工程质量和安全，不进行 转包及违法分包，并在缺陷责任期及保修期内承担相应的工程维修责任。</w:t>
      </w:r>
    </w:p>
    <w:p w14:paraId="3A03DFCB">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3.  发包人和承包人通过招投标形式签订合同的，双方理解并承诺不再就同一工程另行签订 与合同实质性内容相背离的协议。</w:t>
      </w:r>
    </w:p>
    <w:p w14:paraId="2256EE16">
      <w:pPr>
        <w:keepNext w:val="0"/>
        <w:keepLines w:val="0"/>
        <w:pageBreakBefore w:val="0"/>
        <w:widowControl/>
        <w:kinsoku w:val="0"/>
        <w:wordWrap/>
        <w:overflowPunct/>
        <w:topLinePunct w:val="0"/>
        <w:autoSpaceDE w:val="0"/>
        <w:autoSpaceDN w:val="0"/>
        <w:bidi w:val="0"/>
        <w:adjustRightInd w:val="0"/>
        <w:snapToGrid w:val="0"/>
        <w:spacing w:line="48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八、词语含义</w:t>
      </w:r>
    </w:p>
    <w:p w14:paraId="71467B52">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本协议书中词语含义与第二部分通用合同条款中赋予的含义相同。</w:t>
      </w:r>
    </w:p>
    <w:p w14:paraId="4559E663">
      <w:pPr>
        <w:keepNext w:val="0"/>
        <w:keepLines w:val="0"/>
        <w:pageBreakBefore w:val="0"/>
        <w:widowControl/>
        <w:kinsoku w:val="0"/>
        <w:wordWrap/>
        <w:overflowPunct/>
        <w:topLinePunct w:val="0"/>
        <w:autoSpaceDE w:val="0"/>
        <w:autoSpaceDN w:val="0"/>
        <w:bidi w:val="0"/>
        <w:adjustRightInd w:val="0"/>
        <w:snapToGrid w:val="0"/>
        <w:spacing w:line="48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九、签订时间</w:t>
      </w:r>
    </w:p>
    <w:p w14:paraId="7F154A75">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本合同于</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 xml:space="preserve"> 年 </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 xml:space="preserve">  </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 xml:space="preserve"> 月</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 xml:space="preserve">  </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 xml:space="preserve"> 日签订。</w:t>
      </w:r>
    </w:p>
    <w:p w14:paraId="3F2DFCD1">
      <w:pPr>
        <w:keepNext w:val="0"/>
        <w:keepLines w:val="0"/>
        <w:pageBreakBefore w:val="0"/>
        <w:widowControl/>
        <w:kinsoku w:val="0"/>
        <w:wordWrap/>
        <w:overflowPunct/>
        <w:topLinePunct w:val="0"/>
        <w:autoSpaceDE w:val="0"/>
        <w:autoSpaceDN w:val="0"/>
        <w:bidi w:val="0"/>
        <w:adjustRightInd w:val="0"/>
        <w:snapToGrid w:val="0"/>
        <w:spacing w:line="48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十、签订地点</w:t>
      </w:r>
    </w:p>
    <w:p w14:paraId="1CA05025">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本合同在</w:t>
      </w:r>
      <w:r>
        <w:rPr>
          <w:rFonts w:hint="eastAsia" w:ascii="宋体" w:hAnsi="宋体" w:eastAsia="宋体" w:cs="宋体"/>
          <w:color w:val="auto"/>
          <w:spacing w:val="0"/>
          <w:w w:val="100"/>
          <w:position w:val="0"/>
          <w:sz w:val="24"/>
          <w:szCs w:val="24"/>
          <w:highlight w:val="none"/>
          <w:u w:val="single" w:color="auto"/>
        </w:rPr>
        <w:t xml:space="preserve">  </w:t>
      </w:r>
      <w:r>
        <w:rPr>
          <w:rFonts w:hint="eastAsia" w:cs="宋体"/>
          <w:color w:val="auto"/>
          <w:spacing w:val="0"/>
          <w:w w:val="100"/>
          <w:position w:val="0"/>
          <w:sz w:val="24"/>
          <w:szCs w:val="24"/>
          <w:highlight w:val="none"/>
          <w:u w:val="single" w:color="auto"/>
          <w:lang w:val="en-US" w:eastAsia="zh-CN"/>
        </w:rPr>
        <w:t xml:space="preserve">                 </w:t>
      </w:r>
      <w:r>
        <w:rPr>
          <w:rFonts w:hint="eastAsia" w:ascii="宋体" w:hAnsi="宋体" w:eastAsia="宋体" w:cs="宋体"/>
          <w:color w:val="auto"/>
          <w:spacing w:val="0"/>
          <w:w w:val="100"/>
          <w:position w:val="0"/>
          <w:sz w:val="24"/>
          <w:szCs w:val="24"/>
          <w:highlight w:val="none"/>
          <w:u w:val="single" w:color="auto"/>
          <w:lang w:val="en-US" w:eastAsia="zh-CN"/>
        </w:rPr>
        <w:t xml:space="preserve"> </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签订。</w:t>
      </w:r>
    </w:p>
    <w:p w14:paraId="2CA451FC">
      <w:pPr>
        <w:keepNext w:val="0"/>
        <w:keepLines w:val="0"/>
        <w:pageBreakBefore w:val="0"/>
        <w:widowControl/>
        <w:kinsoku w:val="0"/>
        <w:wordWrap/>
        <w:overflowPunct/>
        <w:topLinePunct w:val="0"/>
        <w:autoSpaceDE w:val="0"/>
        <w:autoSpaceDN w:val="0"/>
        <w:bidi w:val="0"/>
        <w:adjustRightInd w:val="0"/>
        <w:snapToGrid w:val="0"/>
        <w:spacing w:line="48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十一、补充协议</w:t>
      </w:r>
    </w:p>
    <w:p w14:paraId="5C9B6660">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合同未尽事宜，合同当事人另行签订补充协议，补充协议是合同的组成部分。</w:t>
      </w:r>
    </w:p>
    <w:p w14:paraId="5AD16D52">
      <w:pPr>
        <w:keepNext w:val="0"/>
        <w:keepLines w:val="0"/>
        <w:pageBreakBefore w:val="0"/>
        <w:widowControl/>
        <w:kinsoku w:val="0"/>
        <w:wordWrap/>
        <w:overflowPunct/>
        <w:topLinePunct w:val="0"/>
        <w:autoSpaceDE w:val="0"/>
        <w:autoSpaceDN w:val="0"/>
        <w:bidi w:val="0"/>
        <w:adjustRightInd w:val="0"/>
        <w:snapToGrid w:val="0"/>
        <w:spacing w:line="48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十二、合同生效</w:t>
      </w:r>
    </w:p>
    <w:p w14:paraId="222A60E2">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本合同自</w:t>
      </w:r>
      <w:r>
        <w:rPr>
          <w:rFonts w:hint="eastAsia" w:ascii="宋体" w:hAnsi="宋体" w:eastAsia="宋体" w:cs="宋体"/>
          <w:color w:val="auto"/>
          <w:spacing w:val="0"/>
          <w:w w:val="100"/>
          <w:position w:val="0"/>
          <w:sz w:val="24"/>
          <w:szCs w:val="24"/>
          <w:highlight w:val="none"/>
          <w:u w:val="single" w:color="auto"/>
        </w:rPr>
        <w:t xml:space="preserve">   双方签字盖章之日起 </w:t>
      </w:r>
      <w:r>
        <w:rPr>
          <w:rFonts w:hint="eastAsia" w:ascii="宋体" w:hAnsi="宋体" w:eastAsia="宋体" w:cs="宋体"/>
          <w:color w:val="auto"/>
          <w:spacing w:val="0"/>
          <w:w w:val="100"/>
          <w:position w:val="0"/>
          <w:sz w:val="24"/>
          <w:szCs w:val="24"/>
          <w:highlight w:val="none"/>
        </w:rPr>
        <w:t xml:space="preserve"> 生效。</w:t>
      </w:r>
    </w:p>
    <w:p w14:paraId="5D16472D">
      <w:pPr>
        <w:keepNext w:val="0"/>
        <w:keepLines w:val="0"/>
        <w:pageBreakBefore w:val="0"/>
        <w:widowControl/>
        <w:kinsoku w:val="0"/>
        <w:wordWrap/>
        <w:overflowPunct/>
        <w:topLinePunct w:val="0"/>
        <w:autoSpaceDE w:val="0"/>
        <w:autoSpaceDN w:val="0"/>
        <w:bidi w:val="0"/>
        <w:adjustRightInd w:val="0"/>
        <w:snapToGrid w:val="0"/>
        <w:spacing w:line="480" w:lineRule="auto"/>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十三、合同份数</w:t>
      </w:r>
    </w:p>
    <w:p w14:paraId="11530235">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48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本合同一式</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陆</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 xml:space="preserve">份，均具有同等法律效力，发包人执 </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贰</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份，承包人执</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肆</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份。</w:t>
      </w:r>
    </w:p>
    <w:p w14:paraId="0B51668A">
      <w:pPr>
        <w:pStyle w:val="12"/>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4"/>
          <w:szCs w:val="24"/>
          <w:highlight w:val="none"/>
        </w:rPr>
      </w:pPr>
    </w:p>
    <w:tbl>
      <w:tblPr>
        <w:tblStyle w:val="17"/>
        <w:tblW w:w="9572" w:type="dxa"/>
        <w:tblInd w:w="12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31"/>
        <w:gridCol w:w="4841"/>
      </w:tblGrid>
      <w:tr w14:paraId="72E3F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4731" w:type="dxa"/>
            <w:tcBorders>
              <w:tl2br w:val="nil"/>
              <w:tr2bl w:val="nil"/>
            </w:tcBorders>
            <w:noWrap w:val="0"/>
            <w:vAlign w:val="center"/>
          </w:tcPr>
          <w:p w14:paraId="178816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0"/>
                <w:w w:val="100"/>
                <w:position w:val="0"/>
                <w:sz w:val="24"/>
                <w:szCs w:val="24"/>
                <w:highlight w:val="none"/>
              </w:rPr>
              <w:t>发包人：</w:t>
            </w:r>
            <w:r>
              <w:rPr>
                <w:rFonts w:hint="eastAsia" w:ascii="宋体" w:hAnsi="宋体" w:eastAsia="宋体" w:cs="宋体"/>
                <w:color w:val="auto"/>
                <w:spacing w:val="0"/>
                <w:w w:val="100"/>
                <w:position w:val="0"/>
                <w:sz w:val="24"/>
                <w:szCs w:val="24"/>
                <w:highlight w:val="none"/>
                <w:u w:val="single"/>
                <w:lang w:val="en-US" w:eastAsia="zh-CN"/>
              </w:rPr>
              <w:t>马山县农业农村局</w:t>
            </w:r>
            <w:r>
              <w:rPr>
                <w:rFonts w:hint="eastAsia" w:ascii="宋体" w:hAnsi="宋体" w:eastAsia="宋体" w:cs="宋体"/>
                <w:color w:val="auto"/>
                <w:spacing w:val="0"/>
                <w:w w:val="100"/>
                <w:position w:val="0"/>
                <w:sz w:val="24"/>
                <w:szCs w:val="24"/>
                <w:highlight w:val="none"/>
                <w:u w:val="single"/>
              </w:rPr>
              <w:t xml:space="preserve">  </w:t>
            </w:r>
            <w:r>
              <w:rPr>
                <w:rFonts w:hint="eastAsia" w:ascii="宋体" w:hAnsi="宋体" w:eastAsia="宋体" w:cs="宋体"/>
                <w:color w:val="auto"/>
                <w:spacing w:val="0"/>
                <w:w w:val="100"/>
                <w:position w:val="0"/>
                <w:sz w:val="24"/>
                <w:szCs w:val="24"/>
                <w:highlight w:val="none"/>
              </w:rPr>
              <w:t>（公章）</w:t>
            </w:r>
          </w:p>
        </w:tc>
        <w:tc>
          <w:tcPr>
            <w:tcW w:w="4841" w:type="dxa"/>
            <w:tcBorders>
              <w:tl2br w:val="nil"/>
              <w:tr2bl w:val="nil"/>
            </w:tcBorders>
            <w:noWrap w:val="0"/>
            <w:vAlign w:val="center"/>
          </w:tcPr>
          <w:p w14:paraId="2E63E9B4">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0"/>
                <w:w w:val="100"/>
                <w:position w:val="0"/>
                <w:sz w:val="24"/>
                <w:szCs w:val="24"/>
                <w:highlight w:val="none"/>
              </w:rPr>
              <w:t>承包人：</w:t>
            </w:r>
            <w:r>
              <w:rPr>
                <w:rFonts w:hint="eastAsia" w:cs="宋体"/>
                <w:color w:val="auto"/>
                <w:spacing w:val="-11"/>
                <w:w w:val="100"/>
                <w:position w:val="0"/>
                <w:sz w:val="24"/>
                <w:szCs w:val="24"/>
                <w:highlight w:val="none"/>
                <w:u w:val="single"/>
                <w:lang w:val="en-US" w:eastAsia="zh-CN"/>
              </w:rPr>
              <w:t xml:space="preserve">              </w:t>
            </w:r>
            <w:r>
              <w:rPr>
                <w:rFonts w:hint="eastAsia" w:ascii="宋体" w:hAnsi="宋体" w:eastAsia="宋体" w:cs="宋体"/>
                <w:color w:val="auto"/>
                <w:spacing w:val="-11"/>
                <w:w w:val="100"/>
                <w:position w:val="0"/>
                <w:sz w:val="24"/>
                <w:szCs w:val="24"/>
                <w:highlight w:val="none"/>
                <w:u w:val="single"/>
              </w:rPr>
              <w:t xml:space="preserve"> </w:t>
            </w:r>
            <w:r>
              <w:rPr>
                <w:rFonts w:hint="eastAsia" w:ascii="宋体" w:hAnsi="宋体" w:eastAsia="宋体" w:cs="宋体"/>
                <w:color w:val="auto"/>
                <w:spacing w:val="-11"/>
                <w:w w:val="100"/>
                <w:position w:val="0"/>
                <w:sz w:val="24"/>
                <w:szCs w:val="24"/>
                <w:highlight w:val="none"/>
              </w:rPr>
              <w:t>（公章）</w:t>
            </w:r>
          </w:p>
        </w:tc>
      </w:tr>
      <w:tr w14:paraId="6BD5E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1" w:hRule="exact"/>
        </w:trPr>
        <w:tc>
          <w:tcPr>
            <w:tcW w:w="4731" w:type="dxa"/>
            <w:tcBorders>
              <w:tl2br w:val="nil"/>
              <w:tr2bl w:val="nil"/>
            </w:tcBorders>
            <w:noWrap w:val="0"/>
            <w:vAlign w:val="center"/>
          </w:tcPr>
          <w:p w14:paraId="23F06E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法定代表人或其委托代理人：</w:t>
            </w:r>
          </w:p>
          <w:p w14:paraId="461B08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960" w:firstLineChars="400"/>
              <w:jc w:val="both"/>
              <w:textAlignment w:val="auto"/>
              <w:rPr>
                <w:rFonts w:hint="eastAsia" w:ascii="宋体" w:hAnsi="宋体" w:eastAsia="宋体" w:cs="宋体"/>
                <w:snapToGrid w:val="0"/>
                <w:color w:val="auto"/>
                <w:kern w:val="28"/>
                <w:sz w:val="24"/>
                <w:szCs w:val="24"/>
                <w:highlight w:val="none"/>
              </w:rPr>
            </w:pPr>
            <w:r>
              <w:rPr>
                <w:rFonts w:hint="eastAsia" w:ascii="宋体" w:hAnsi="宋体" w:eastAsia="宋体" w:cs="宋体"/>
                <w:color w:val="auto"/>
                <w:spacing w:val="0"/>
                <w:w w:val="100"/>
                <w:position w:val="0"/>
                <w:sz w:val="24"/>
                <w:szCs w:val="24"/>
                <w:highlight w:val="none"/>
              </w:rPr>
              <w:t xml:space="preserve">（签字） </w:t>
            </w:r>
          </w:p>
        </w:tc>
        <w:tc>
          <w:tcPr>
            <w:tcW w:w="4841" w:type="dxa"/>
            <w:tcBorders>
              <w:tl2br w:val="nil"/>
              <w:tr2bl w:val="nil"/>
            </w:tcBorders>
            <w:noWrap w:val="0"/>
            <w:vAlign w:val="center"/>
          </w:tcPr>
          <w:p w14:paraId="1B223907">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both"/>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法定代表人或其委托代理人：</w:t>
            </w:r>
          </w:p>
          <w:p w14:paraId="00C2B394">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960" w:firstLineChars="400"/>
              <w:jc w:val="both"/>
              <w:textAlignment w:val="baseline"/>
              <w:rPr>
                <w:rFonts w:hint="eastAsia" w:ascii="宋体" w:hAnsi="宋体" w:eastAsia="宋体" w:cs="宋体"/>
                <w:snapToGrid w:val="0"/>
                <w:color w:val="auto"/>
                <w:kern w:val="28"/>
                <w:sz w:val="24"/>
                <w:szCs w:val="24"/>
                <w:highlight w:val="none"/>
                <w:u w:val="single"/>
              </w:rPr>
            </w:pPr>
            <w:r>
              <w:rPr>
                <w:rFonts w:hint="eastAsia" w:ascii="宋体" w:hAnsi="宋体" w:eastAsia="宋体" w:cs="宋体"/>
                <w:color w:val="auto"/>
                <w:spacing w:val="0"/>
                <w:w w:val="100"/>
                <w:position w:val="0"/>
                <w:sz w:val="24"/>
                <w:szCs w:val="24"/>
                <w:highlight w:val="none"/>
              </w:rPr>
              <w:t>（签字）</w:t>
            </w:r>
          </w:p>
        </w:tc>
      </w:tr>
      <w:tr w14:paraId="719A4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4731" w:type="dxa"/>
            <w:tcBorders>
              <w:tl2br w:val="nil"/>
              <w:tr2bl w:val="nil"/>
            </w:tcBorders>
            <w:noWrap w:val="0"/>
            <w:vAlign w:val="center"/>
          </w:tcPr>
          <w:p w14:paraId="084ED5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snapToGrid w:val="0"/>
                <w:color w:val="auto"/>
                <w:kern w:val="28"/>
                <w:sz w:val="24"/>
                <w:szCs w:val="24"/>
                <w:highlight w:val="none"/>
                <w:u w:val="single"/>
                <w:lang w:val="en-US" w:eastAsia="zh-CN"/>
              </w:rPr>
            </w:pPr>
            <w:r>
              <w:rPr>
                <w:rFonts w:hint="eastAsia" w:ascii="宋体" w:hAnsi="宋体" w:eastAsia="宋体" w:cs="宋体"/>
                <w:color w:val="auto"/>
                <w:spacing w:val="0"/>
                <w:w w:val="100"/>
                <w:position w:val="0"/>
                <w:sz w:val="24"/>
                <w:szCs w:val="24"/>
                <w:highlight w:val="none"/>
              </w:rPr>
              <w:t>统一社会信用代码：</w:t>
            </w:r>
            <w:r>
              <w:rPr>
                <w:rFonts w:hint="eastAsia" w:ascii="宋体" w:hAnsi="宋体" w:eastAsia="宋体" w:cs="宋体"/>
                <w:color w:val="auto"/>
                <w:spacing w:val="0"/>
                <w:w w:val="100"/>
                <w:position w:val="0"/>
                <w:sz w:val="24"/>
                <w:szCs w:val="24"/>
                <w:highlight w:val="none"/>
                <w:u w:val="single" w:color="auto"/>
                <w:lang w:val="en-US" w:eastAsia="zh-CN"/>
              </w:rPr>
              <w:t>11450124MB17684332</w:t>
            </w:r>
            <w:r>
              <w:rPr>
                <w:rFonts w:hint="eastAsia" w:ascii="宋体" w:hAnsi="宋体" w:eastAsia="宋体" w:cs="宋体"/>
                <w:color w:val="auto"/>
                <w:spacing w:val="0"/>
                <w:w w:val="100"/>
                <w:position w:val="0"/>
                <w:sz w:val="24"/>
                <w:szCs w:val="24"/>
                <w:highlight w:val="none"/>
              </w:rPr>
              <w:t xml:space="preserve">  </w:t>
            </w:r>
          </w:p>
        </w:tc>
        <w:tc>
          <w:tcPr>
            <w:tcW w:w="4841" w:type="dxa"/>
            <w:tcBorders>
              <w:tl2br w:val="nil"/>
              <w:tr2bl w:val="nil"/>
            </w:tcBorders>
            <w:noWrap w:val="0"/>
            <w:vAlign w:val="center"/>
          </w:tcPr>
          <w:p w14:paraId="46B57B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snapToGrid w:val="0"/>
                <w:color w:val="auto"/>
                <w:kern w:val="28"/>
                <w:sz w:val="24"/>
                <w:szCs w:val="24"/>
                <w:highlight w:val="none"/>
                <w:u w:val="single"/>
                <w:lang w:val="en-US" w:eastAsia="zh-CN"/>
              </w:rPr>
            </w:pPr>
            <w:r>
              <w:rPr>
                <w:rFonts w:hint="eastAsia" w:ascii="宋体" w:hAnsi="宋体" w:eastAsia="宋体" w:cs="宋体"/>
                <w:color w:val="auto"/>
                <w:spacing w:val="0"/>
                <w:w w:val="100"/>
                <w:position w:val="0"/>
                <w:sz w:val="24"/>
                <w:szCs w:val="24"/>
                <w:highlight w:val="none"/>
              </w:rPr>
              <w:t>统一社会信用代码：</w:t>
            </w:r>
            <w:r>
              <w:rPr>
                <w:rFonts w:hint="eastAsia" w:ascii="宋体" w:hAnsi="宋体" w:eastAsia="宋体" w:cs="宋体"/>
                <w:color w:val="auto"/>
                <w:spacing w:val="0"/>
                <w:w w:val="100"/>
                <w:position w:val="0"/>
                <w:sz w:val="24"/>
                <w:szCs w:val="24"/>
                <w:highlight w:val="none"/>
                <w:u w:val="single" w:color="auto"/>
                <w:lang w:val="en-US" w:eastAsia="zh-CN"/>
              </w:rPr>
              <w:t xml:space="preserve">               </w:t>
            </w:r>
            <w:r>
              <w:rPr>
                <w:rFonts w:hint="eastAsia" w:ascii="宋体" w:hAnsi="宋体" w:eastAsia="宋体" w:cs="宋体"/>
                <w:color w:val="auto"/>
                <w:spacing w:val="0"/>
                <w:w w:val="100"/>
                <w:position w:val="0"/>
                <w:sz w:val="24"/>
                <w:szCs w:val="24"/>
                <w:highlight w:val="none"/>
              </w:rPr>
              <w:t xml:space="preserve">  </w:t>
            </w:r>
          </w:p>
        </w:tc>
      </w:tr>
      <w:tr w14:paraId="4357D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exact"/>
        </w:trPr>
        <w:tc>
          <w:tcPr>
            <w:tcW w:w="4731" w:type="dxa"/>
            <w:tcBorders>
              <w:tl2br w:val="nil"/>
              <w:tr2bl w:val="nil"/>
            </w:tcBorders>
            <w:noWrap w:val="0"/>
            <w:vAlign w:val="center"/>
          </w:tcPr>
          <w:p w14:paraId="373981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color w:val="auto"/>
                <w:spacing w:val="0"/>
                <w:w w:val="100"/>
                <w:position w:val="0"/>
                <w:sz w:val="24"/>
                <w:szCs w:val="24"/>
                <w:highlight w:val="none"/>
                <w:u w:val="single" w:color="auto"/>
              </w:rPr>
            </w:pPr>
            <w:r>
              <w:rPr>
                <w:rFonts w:hint="eastAsia" w:ascii="宋体" w:hAnsi="宋体" w:eastAsia="宋体" w:cs="宋体"/>
                <w:color w:val="auto"/>
                <w:spacing w:val="0"/>
                <w:w w:val="100"/>
                <w:position w:val="0"/>
                <w:sz w:val="24"/>
                <w:szCs w:val="24"/>
                <w:highlight w:val="none"/>
              </w:rPr>
              <w:t>地  址：</w:t>
            </w:r>
            <w:r>
              <w:rPr>
                <w:rFonts w:hint="eastAsia" w:ascii="宋体" w:hAnsi="宋体" w:eastAsia="宋体" w:cs="宋体"/>
                <w:color w:val="auto"/>
                <w:spacing w:val="0"/>
                <w:w w:val="100"/>
                <w:position w:val="0"/>
                <w:sz w:val="24"/>
                <w:szCs w:val="24"/>
                <w:highlight w:val="none"/>
                <w:u w:val="single" w:color="auto"/>
              </w:rPr>
              <w:t>南宁市马山县新兴大道</w:t>
            </w:r>
          </w:p>
          <w:p w14:paraId="2684AD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960" w:firstLineChars="400"/>
              <w:jc w:val="both"/>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pacing w:val="0"/>
                <w:w w:val="100"/>
                <w:position w:val="0"/>
                <w:sz w:val="24"/>
                <w:szCs w:val="24"/>
                <w:highlight w:val="none"/>
                <w:u w:val="single" w:color="auto"/>
              </w:rPr>
              <w:t xml:space="preserve">南二巷 1 号 </w:t>
            </w:r>
            <w:r>
              <w:rPr>
                <w:rFonts w:hint="eastAsia" w:ascii="宋体" w:hAnsi="宋体" w:eastAsia="宋体" w:cs="宋体"/>
                <w:color w:val="auto"/>
                <w:spacing w:val="0"/>
                <w:w w:val="100"/>
                <w:position w:val="0"/>
                <w:sz w:val="24"/>
                <w:szCs w:val="24"/>
                <w:highlight w:val="none"/>
                <w:u w:val="single" w:color="auto"/>
                <w:lang w:val="en-US" w:eastAsia="zh-CN"/>
              </w:rPr>
              <w:t xml:space="preserve">        </w:t>
            </w:r>
          </w:p>
        </w:tc>
        <w:tc>
          <w:tcPr>
            <w:tcW w:w="4841" w:type="dxa"/>
            <w:tcBorders>
              <w:tl2br w:val="nil"/>
              <w:tr2bl w:val="nil"/>
            </w:tcBorders>
            <w:noWrap w:val="0"/>
            <w:vAlign w:val="center"/>
          </w:tcPr>
          <w:p w14:paraId="0BE8FDF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960" w:firstLineChars="400"/>
              <w:jc w:val="both"/>
              <w:textAlignment w:val="auto"/>
              <w:rPr>
                <w:rFonts w:hint="eastAsia" w:ascii="宋体" w:hAnsi="宋体" w:eastAsia="宋体" w:cs="宋体"/>
                <w:snapToGrid w:val="0"/>
                <w:color w:val="auto"/>
                <w:kern w:val="28"/>
                <w:sz w:val="24"/>
                <w:szCs w:val="24"/>
                <w:highlight w:val="none"/>
                <w:u w:val="single"/>
                <w:lang w:val="en-US" w:eastAsia="zh-CN"/>
              </w:rPr>
            </w:pPr>
            <w:r>
              <w:rPr>
                <w:rFonts w:hint="eastAsia" w:ascii="宋体" w:hAnsi="宋体" w:eastAsia="宋体" w:cs="宋体"/>
                <w:color w:val="auto"/>
                <w:spacing w:val="0"/>
                <w:w w:val="100"/>
                <w:position w:val="0"/>
                <w:sz w:val="24"/>
                <w:szCs w:val="24"/>
                <w:highlight w:val="none"/>
              </w:rPr>
              <w:t>地  址：</w:t>
            </w:r>
            <w:r>
              <w:rPr>
                <w:rFonts w:hint="eastAsia" w:ascii="宋体" w:hAnsi="宋体" w:eastAsia="宋体" w:cs="宋体"/>
                <w:color w:val="auto"/>
                <w:spacing w:val="0"/>
                <w:w w:val="100"/>
                <w:position w:val="0"/>
                <w:sz w:val="24"/>
                <w:szCs w:val="24"/>
                <w:highlight w:val="none"/>
                <w:u w:val="single" w:color="auto"/>
                <w:lang w:val="en-US" w:eastAsia="zh-CN"/>
              </w:rPr>
              <w:t xml:space="preserve">               </w:t>
            </w:r>
            <w:r>
              <w:rPr>
                <w:rFonts w:hint="eastAsia" w:ascii="宋体" w:hAnsi="宋体" w:eastAsia="宋体" w:cs="宋体"/>
                <w:color w:val="auto"/>
                <w:spacing w:val="0"/>
                <w:w w:val="100"/>
                <w:position w:val="0"/>
                <w:sz w:val="24"/>
                <w:szCs w:val="24"/>
                <w:highlight w:val="none"/>
                <w:u w:val="single" w:color="auto"/>
              </w:rPr>
              <w:t xml:space="preserve"> </w:t>
            </w:r>
          </w:p>
        </w:tc>
      </w:tr>
      <w:tr w14:paraId="6B78D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4731" w:type="dxa"/>
            <w:tcBorders>
              <w:tl2br w:val="nil"/>
              <w:tr2bl w:val="nil"/>
            </w:tcBorders>
            <w:noWrap w:val="0"/>
            <w:vAlign w:val="center"/>
          </w:tcPr>
          <w:p w14:paraId="1C5FEF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pacing w:val="0"/>
                <w:w w:val="100"/>
                <w:position w:val="0"/>
                <w:sz w:val="24"/>
                <w:szCs w:val="24"/>
                <w:highlight w:val="none"/>
              </w:rPr>
              <w:t>邮政编码：</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 xml:space="preserve"> 530600</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 xml:space="preserve"> </w:t>
            </w:r>
          </w:p>
        </w:tc>
        <w:tc>
          <w:tcPr>
            <w:tcW w:w="4841" w:type="dxa"/>
            <w:tcBorders>
              <w:tl2br w:val="nil"/>
              <w:tr2bl w:val="nil"/>
            </w:tcBorders>
            <w:noWrap w:val="0"/>
            <w:vAlign w:val="center"/>
          </w:tcPr>
          <w:p w14:paraId="34F06E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snapToGrid w:val="0"/>
                <w:color w:val="auto"/>
                <w:kern w:val="28"/>
                <w:sz w:val="24"/>
                <w:szCs w:val="24"/>
                <w:highlight w:val="none"/>
                <w:u w:val="single"/>
                <w:lang w:val="en-US" w:eastAsia="zh-CN"/>
              </w:rPr>
            </w:pPr>
            <w:r>
              <w:rPr>
                <w:rFonts w:hint="eastAsia" w:ascii="宋体" w:hAnsi="宋体" w:eastAsia="宋体" w:cs="宋体"/>
                <w:color w:val="auto"/>
                <w:spacing w:val="0"/>
                <w:w w:val="100"/>
                <w:position w:val="0"/>
                <w:sz w:val="24"/>
                <w:szCs w:val="24"/>
                <w:highlight w:val="none"/>
              </w:rPr>
              <w:t>邮政编码：</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 xml:space="preserve">        </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 xml:space="preserve"> </w:t>
            </w:r>
          </w:p>
        </w:tc>
      </w:tr>
      <w:tr w14:paraId="2A745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4731" w:type="dxa"/>
            <w:tcBorders>
              <w:tl2br w:val="nil"/>
              <w:tr2bl w:val="nil"/>
            </w:tcBorders>
            <w:noWrap w:val="0"/>
            <w:vAlign w:val="center"/>
          </w:tcPr>
          <w:p w14:paraId="3A6E174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pacing w:val="0"/>
                <w:w w:val="100"/>
                <w:position w:val="0"/>
                <w:sz w:val="24"/>
                <w:szCs w:val="24"/>
                <w:highlight w:val="none"/>
              </w:rPr>
              <w:t>法定代表人：</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 xml:space="preserve">    </w:t>
            </w:r>
            <w:r>
              <w:rPr>
                <w:rFonts w:hint="eastAsia" w:ascii="宋体" w:hAnsi="宋体" w:eastAsia="宋体" w:cs="宋体"/>
                <w:color w:val="auto"/>
                <w:spacing w:val="0"/>
                <w:w w:val="100"/>
                <w:position w:val="0"/>
                <w:sz w:val="24"/>
                <w:szCs w:val="24"/>
                <w:highlight w:val="none"/>
                <w:u w:val="single" w:color="auto"/>
              </w:rPr>
              <w:t xml:space="preserve">    </w:t>
            </w:r>
          </w:p>
        </w:tc>
        <w:tc>
          <w:tcPr>
            <w:tcW w:w="4841" w:type="dxa"/>
            <w:tcBorders>
              <w:tl2br w:val="nil"/>
              <w:tr2bl w:val="nil"/>
            </w:tcBorders>
            <w:noWrap w:val="0"/>
            <w:vAlign w:val="center"/>
          </w:tcPr>
          <w:p w14:paraId="7BB937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pacing w:val="0"/>
                <w:w w:val="100"/>
                <w:position w:val="0"/>
                <w:sz w:val="24"/>
                <w:szCs w:val="24"/>
                <w:highlight w:val="none"/>
              </w:rPr>
              <w:t>法定代表人：</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 xml:space="preserve">        </w:t>
            </w:r>
            <w:r>
              <w:rPr>
                <w:rFonts w:hint="eastAsia" w:ascii="宋体" w:hAnsi="宋体" w:eastAsia="宋体" w:cs="宋体"/>
                <w:color w:val="auto"/>
                <w:spacing w:val="0"/>
                <w:w w:val="100"/>
                <w:position w:val="0"/>
                <w:sz w:val="24"/>
                <w:szCs w:val="24"/>
                <w:highlight w:val="none"/>
                <w:u w:val="single" w:color="auto"/>
              </w:rPr>
              <w:t xml:space="preserve">     </w:t>
            </w:r>
          </w:p>
        </w:tc>
      </w:tr>
      <w:tr w14:paraId="5BA70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4731" w:type="dxa"/>
            <w:tcBorders>
              <w:tl2br w:val="nil"/>
              <w:tr2bl w:val="nil"/>
            </w:tcBorders>
            <w:noWrap w:val="0"/>
            <w:vAlign w:val="center"/>
          </w:tcPr>
          <w:p w14:paraId="71E3C8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0"/>
                <w:w w:val="100"/>
                <w:position w:val="0"/>
                <w:sz w:val="24"/>
                <w:szCs w:val="24"/>
                <w:highlight w:val="none"/>
              </w:rPr>
              <w:t>委托代理人：</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w:t>
            </w:r>
            <w:r>
              <w:rPr>
                <w:rFonts w:hint="eastAsia" w:ascii="宋体" w:hAnsi="宋体" w:eastAsia="宋体" w:cs="宋体"/>
                <w:color w:val="auto"/>
                <w:spacing w:val="0"/>
                <w:w w:val="100"/>
                <w:position w:val="0"/>
                <w:sz w:val="24"/>
                <w:szCs w:val="24"/>
                <w:highlight w:val="none"/>
                <w:u w:val="single" w:color="auto"/>
              </w:rPr>
              <w:t xml:space="preserve">          </w:t>
            </w:r>
          </w:p>
        </w:tc>
        <w:tc>
          <w:tcPr>
            <w:tcW w:w="4841" w:type="dxa"/>
            <w:tcBorders>
              <w:tl2br w:val="nil"/>
              <w:tr2bl w:val="nil"/>
            </w:tcBorders>
            <w:noWrap w:val="0"/>
            <w:vAlign w:val="center"/>
          </w:tcPr>
          <w:p w14:paraId="36C66B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pacing w:val="0"/>
                <w:w w:val="100"/>
                <w:position w:val="0"/>
                <w:sz w:val="24"/>
                <w:szCs w:val="24"/>
                <w:highlight w:val="none"/>
              </w:rPr>
              <w:t>委托代理人：</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 xml:space="preserve"> </w:t>
            </w:r>
            <w:r>
              <w:rPr>
                <w:rFonts w:hint="eastAsia" w:ascii="宋体" w:hAnsi="宋体" w:eastAsia="宋体" w:cs="宋体"/>
                <w:color w:val="auto"/>
                <w:spacing w:val="0"/>
                <w:w w:val="100"/>
                <w:position w:val="0"/>
                <w:sz w:val="24"/>
                <w:szCs w:val="24"/>
                <w:highlight w:val="none"/>
                <w:u w:val="single" w:color="auto"/>
              </w:rPr>
              <w:t xml:space="preserve">         </w:t>
            </w:r>
          </w:p>
        </w:tc>
      </w:tr>
      <w:tr w14:paraId="6B8FF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4731" w:type="dxa"/>
            <w:tcBorders>
              <w:tl2br w:val="nil"/>
              <w:tr2bl w:val="nil"/>
            </w:tcBorders>
            <w:noWrap w:val="0"/>
            <w:vAlign w:val="center"/>
          </w:tcPr>
          <w:p w14:paraId="58B5AF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0"/>
                <w:w w:val="100"/>
                <w:position w:val="0"/>
                <w:sz w:val="24"/>
                <w:szCs w:val="24"/>
                <w:highlight w:val="none"/>
              </w:rPr>
              <w:t>电  话：</w:t>
            </w:r>
            <w:r>
              <w:rPr>
                <w:rFonts w:hint="eastAsia" w:ascii="宋体" w:hAnsi="宋体" w:eastAsia="宋体" w:cs="宋体"/>
                <w:color w:val="auto"/>
                <w:spacing w:val="0"/>
                <w:w w:val="100"/>
                <w:position w:val="0"/>
                <w:sz w:val="24"/>
                <w:szCs w:val="24"/>
                <w:highlight w:val="none"/>
                <w:u w:val="single" w:color="auto"/>
              </w:rPr>
              <w:t xml:space="preserve">    0771-6820957    </w:t>
            </w:r>
            <w:r>
              <w:rPr>
                <w:rFonts w:hint="eastAsia" w:ascii="宋体" w:hAnsi="宋体" w:eastAsia="宋体" w:cs="宋体"/>
                <w:color w:val="auto"/>
                <w:spacing w:val="0"/>
                <w:w w:val="100"/>
                <w:position w:val="0"/>
                <w:sz w:val="24"/>
                <w:szCs w:val="24"/>
                <w:highlight w:val="none"/>
              </w:rPr>
              <w:t xml:space="preserve"> </w:t>
            </w:r>
          </w:p>
        </w:tc>
        <w:tc>
          <w:tcPr>
            <w:tcW w:w="4841" w:type="dxa"/>
            <w:tcBorders>
              <w:tl2br w:val="nil"/>
              <w:tr2bl w:val="nil"/>
            </w:tcBorders>
            <w:shd w:val="clear" w:color="auto" w:fill="auto"/>
            <w:noWrap w:val="0"/>
            <w:vAlign w:val="center"/>
          </w:tcPr>
          <w:p w14:paraId="5FA59C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spacing w:val="0"/>
                <w:w w:val="100"/>
                <w:position w:val="0"/>
                <w:sz w:val="24"/>
                <w:szCs w:val="24"/>
                <w:highlight w:val="none"/>
              </w:rPr>
              <w:t>电  话：</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 xml:space="preserve">                 </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rPr>
              <w:t xml:space="preserve"> </w:t>
            </w:r>
          </w:p>
        </w:tc>
      </w:tr>
      <w:tr w14:paraId="7D98E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4731" w:type="dxa"/>
            <w:tcBorders>
              <w:tl2br w:val="nil"/>
              <w:tr2bl w:val="nil"/>
            </w:tcBorders>
            <w:noWrap w:val="0"/>
            <w:vAlign w:val="center"/>
          </w:tcPr>
          <w:p w14:paraId="55FCED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snapToGrid w:val="0"/>
                <w:color w:val="auto"/>
                <w:kern w:val="28"/>
                <w:sz w:val="24"/>
                <w:szCs w:val="24"/>
                <w:highlight w:val="none"/>
              </w:rPr>
            </w:pPr>
            <w:r>
              <w:rPr>
                <w:rFonts w:hint="eastAsia" w:ascii="宋体" w:hAnsi="宋体" w:eastAsia="宋体" w:cs="宋体"/>
                <w:color w:val="auto"/>
                <w:spacing w:val="0"/>
                <w:w w:val="100"/>
                <w:position w:val="0"/>
                <w:sz w:val="24"/>
                <w:szCs w:val="24"/>
                <w:highlight w:val="none"/>
              </w:rPr>
              <w:t>传  真：</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 xml:space="preserve">       /</w:t>
            </w:r>
            <w:r>
              <w:rPr>
                <w:rFonts w:hint="eastAsia" w:ascii="宋体" w:hAnsi="宋体" w:eastAsia="宋体" w:cs="宋体"/>
                <w:color w:val="auto"/>
                <w:spacing w:val="0"/>
                <w:w w:val="100"/>
                <w:position w:val="0"/>
                <w:sz w:val="24"/>
                <w:szCs w:val="24"/>
                <w:highlight w:val="none"/>
                <w:u w:val="single" w:color="auto"/>
              </w:rPr>
              <w:t xml:space="preserve">    </w:t>
            </w:r>
          </w:p>
        </w:tc>
        <w:tc>
          <w:tcPr>
            <w:tcW w:w="4841" w:type="dxa"/>
            <w:tcBorders>
              <w:tl2br w:val="nil"/>
              <w:tr2bl w:val="nil"/>
            </w:tcBorders>
            <w:shd w:val="clear" w:color="auto" w:fill="auto"/>
            <w:noWrap w:val="0"/>
            <w:vAlign w:val="center"/>
          </w:tcPr>
          <w:p w14:paraId="560F2C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snapToGrid w:val="0"/>
                <w:color w:val="auto"/>
                <w:kern w:val="28"/>
                <w:sz w:val="24"/>
                <w:szCs w:val="24"/>
                <w:highlight w:val="none"/>
                <w:u w:val="single"/>
                <w:lang w:val="en-US" w:eastAsia="zh-CN" w:bidi="ar-SA"/>
              </w:rPr>
            </w:pPr>
            <w:r>
              <w:rPr>
                <w:rFonts w:hint="eastAsia" w:ascii="宋体" w:hAnsi="宋体" w:eastAsia="宋体" w:cs="宋体"/>
                <w:color w:val="auto"/>
                <w:spacing w:val="0"/>
                <w:w w:val="100"/>
                <w:position w:val="0"/>
                <w:sz w:val="24"/>
                <w:szCs w:val="24"/>
                <w:highlight w:val="none"/>
              </w:rPr>
              <w:t>传  真：</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 xml:space="preserve">             </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 xml:space="preserve"> </w:t>
            </w:r>
            <w:r>
              <w:rPr>
                <w:rFonts w:hint="eastAsia" w:ascii="宋体" w:hAnsi="宋体" w:eastAsia="宋体" w:cs="宋体"/>
                <w:color w:val="auto"/>
                <w:spacing w:val="0"/>
                <w:w w:val="100"/>
                <w:position w:val="0"/>
                <w:sz w:val="24"/>
                <w:szCs w:val="24"/>
                <w:highlight w:val="none"/>
                <w:u w:val="single" w:color="auto"/>
              </w:rPr>
              <w:t xml:space="preserve"> </w:t>
            </w:r>
          </w:p>
        </w:tc>
      </w:tr>
      <w:tr w14:paraId="7F082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4731" w:type="dxa"/>
            <w:tcBorders>
              <w:tl2br w:val="nil"/>
              <w:tr2bl w:val="nil"/>
            </w:tcBorders>
            <w:noWrap w:val="0"/>
            <w:vAlign w:val="center"/>
          </w:tcPr>
          <w:p w14:paraId="61AC5D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snapToGrid w:val="0"/>
                <w:color w:val="auto"/>
                <w:kern w:val="28"/>
                <w:sz w:val="24"/>
                <w:szCs w:val="24"/>
                <w:highlight w:val="none"/>
              </w:rPr>
            </w:pPr>
            <w:r>
              <w:rPr>
                <w:rFonts w:hint="eastAsia" w:ascii="宋体" w:hAnsi="宋体" w:eastAsia="宋体" w:cs="宋体"/>
                <w:color w:val="auto"/>
                <w:spacing w:val="0"/>
                <w:w w:val="100"/>
                <w:position w:val="0"/>
                <w:sz w:val="24"/>
                <w:szCs w:val="24"/>
                <w:highlight w:val="none"/>
              </w:rPr>
              <w:t>电子信箱：</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w:t>
            </w:r>
            <w:r>
              <w:rPr>
                <w:rFonts w:hint="eastAsia" w:ascii="宋体" w:hAnsi="宋体" w:eastAsia="宋体" w:cs="宋体"/>
                <w:color w:val="auto"/>
                <w:spacing w:val="0"/>
                <w:w w:val="100"/>
                <w:position w:val="0"/>
                <w:sz w:val="24"/>
                <w:szCs w:val="24"/>
                <w:highlight w:val="none"/>
                <w:u w:val="single" w:color="auto"/>
              </w:rPr>
              <w:t xml:space="preserve">          </w:t>
            </w:r>
          </w:p>
        </w:tc>
        <w:tc>
          <w:tcPr>
            <w:tcW w:w="4841" w:type="dxa"/>
            <w:tcBorders>
              <w:tl2br w:val="nil"/>
              <w:tr2bl w:val="nil"/>
            </w:tcBorders>
            <w:shd w:val="clear" w:color="auto" w:fill="auto"/>
            <w:noWrap w:val="0"/>
            <w:vAlign w:val="center"/>
          </w:tcPr>
          <w:p w14:paraId="4A7B82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default" w:ascii="宋体" w:hAnsi="宋体" w:eastAsia="宋体" w:cs="宋体"/>
                <w:snapToGrid w:val="0"/>
                <w:color w:val="auto"/>
                <w:kern w:val="28"/>
                <w:sz w:val="24"/>
                <w:szCs w:val="24"/>
                <w:highlight w:val="none"/>
                <w:u w:val="single"/>
                <w:lang w:val="en-US" w:eastAsia="zh-CN" w:bidi="ar-SA"/>
              </w:rPr>
            </w:pPr>
            <w:r>
              <w:rPr>
                <w:rFonts w:hint="eastAsia" w:ascii="宋体" w:hAnsi="宋体" w:eastAsia="宋体" w:cs="宋体"/>
                <w:color w:val="auto"/>
                <w:spacing w:val="0"/>
                <w:w w:val="100"/>
                <w:position w:val="0"/>
                <w:sz w:val="24"/>
                <w:szCs w:val="24"/>
                <w:highlight w:val="none"/>
              </w:rPr>
              <w:t>电子信箱：</w:t>
            </w:r>
            <w:r>
              <w:rPr>
                <w:rFonts w:hint="eastAsia" w:ascii="宋体" w:hAnsi="宋体" w:eastAsia="宋体" w:cs="宋体"/>
                <w:color w:val="auto"/>
                <w:spacing w:val="0"/>
                <w:w w:val="100"/>
                <w:position w:val="0"/>
                <w:sz w:val="24"/>
                <w:szCs w:val="24"/>
                <w:highlight w:val="none"/>
                <w:u w:val="single" w:color="auto"/>
                <w:lang w:val="en-US" w:eastAsia="zh-CN"/>
              </w:rPr>
              <w:t xml:space="preserve">                   </w:t>
            </w:r>
          </w:p>
        </w:tc>
      </w:tr>
      <w:tr w14:paraId="2FDA6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4731" w:type="dxa"/>
            <w:tcBorders>
              <w:tl2br w:val="nil"/>
              <w:tr2bl w:val="nil"/>
            </w:tcBorders>
            <w:noWrap w:val="0"/>
            <w:vAlign w:val="center"/>
          </w:tcPr>
          <w:p w14:paraId="45F43B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开户银行：</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w:t>
            </w:r>
            <w:r>
              <w:rPr>
                <w:rFonts w:hint="eastAsia" w:ascii="宋体" w:hAnsi="宋体" w:eastAsia="宋体" w:cs="宋体"/>
                <w:color w:val="auto"/>
                <w:spacing w:val="0"/>
                <w:w w:val="100"/>
                <w:position w:val="0"/>
                <w:sz w:val="24"/>
                <w:szCs w:val="24"/>
                <w:highlight w:val="none"/>
                <w:u w:val="single" w:color="auto"/>
              </w:rPr>
              <w:t xml:space="preserve">           </w:t>
            </w:r>
          </w:p>
        </w:tc>
        <w:tc>
          <w:tcPr>
            <w:tcW w:w="4841" w:type="dxa"/>
            <w:tcBorders>
              <w:tl2br w:val="nil"/>
              <w:tr2bl w:val="nil"/>
            </w:tcBorders>
            <w:shd w:val="clear" w:color="auto" w:fill="auto"/>
            <w:noWrap w:val="0"/>
            <w:vAlign w:val="center"/>
          </w:tcPr>
          <w:p w14:paraId="01A1C7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default"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11"/>
                <w:w w:val="100"/>
                <w:position w:val="0"/>
                <w:sz w:val="24"/>
                <w:szCs w:val="24"/>
                <w:highlight w:val="none"/>
              </w:rPr>
              <w:t>开户银行：</w:t>
            </w:r>
            <w:r>
              <w:rPr>
                <w:rFonts w:hint="eastAsia" w:ascii="宋体" w:hAnsi="宋体" w:eastAsia="宋体" w:cs="宋体"/>
                <w:color w:val="auto"/>
                <w:spacing w:val="-11"/>
                <w:w w:val="100"/>
                <w:position w:val="0"/>
                <w:sz w:val="24"/>
                <w:szCs w:val="24"/>
                <w:highlight w:val="none"/>
                <w:u w:val="single" w:color="auto"/>
                <w:lang w:val="en-US" w:eastAsia="zh-CN"/>
              </w:rPr>
              <w:t xml:space="preserve">                         </w:t>
            </w:r>
          </w:p>
        </w:tc>
      </w:tr>
      <w:tr w14:paraId="075F2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4731" w:type="dxa"/>
            <w:tcBorders>
              <w:tl2br w:val="nil"/>
              <w:tr2bl w:val="nil"/>
            </w:tcBorders>
            <w:noWrap w:val="0"/>
            <w:vAlign w:val="center"/>
          </w:tcPr>
          <w:p w14:paraId="23F624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账  号：</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w:t>
            </w:r>
            <w:r>
              <w:rPr>
                <w:rFonts w:hint="eastAsia" w:ascii="宋体" w:hAnsi="宋体" w:eastAsia="宋体" w:cs="宋体"/>
                <w:color w:val="auto"/>
                <w:spacing w:val="0"/>
                <w:w w:val="100"/>
                <w:position w:val="0"/>
                <w:sz w:val="24"/>
                <w:szCs w:val="24"/>
                <w:highlight w:val="none"/>
                <w:u w:val="single" w:color="auto"/>
              </w:rPr>
              <w:t xml:space="preserve">           </w:t>
            </w:r>
          </w:p>
        </w:tc>
        <w:tc>
          <w:tcPr>
            <w:tcW w:w="4841" w:type="dxa"/>
            <w:tcBorders>
              <w:tl2br w:val="nil"/>
              <w:tr2bl w:val="nil"/>
            </w:tcBorders>
            <w:shd w:val="clear" w:color="auto" w:fill="auto"/>
            <w:noWrap w:val="0"/>
            <w:vAlign w:val="center"/>
          </w:tcPr>
          <w:p w14:paraId="456FF4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账  号：</w:t>
            </w:r>
            <w:r>
              <w:rPr>
                <w:rFonts w:hint="eastAsia"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 xml:space="preserve">                   </w:t>
            </w:r>
            <w:r>
              <w:rPr>
                <w:rFonts w:hint="eastAsia" w:ascii="宋体" w:hAnsi="宋体" w:eastAsia="宋体" w:cs="宋体"/>
                <w:color w:val="auto"/>
                <w:spacing w:val="0"/>
                <w:w w:val="100"/>
                <w:position w:val="0"/>
                <w:sz w:val="24"/>
                <w:szCs w:val="24"/>
                <w:highlight w:val="none"/>
                <w:u w:val="single" w:color="auto"/>
              </w:rPr>
              <w:t xml:space="preserve"> </w:t>
            </w:r>
          </w:p>
        </w:tc>
      </w:tr>
    </w:tbl>
    <w:p w14:paraId="3571EAB3">
      <w:pPr>
        <w:bidi w:val="0"/>
        <w:rPr>
          <w:rFonts w:hint="eastAsia" w:ascii="宋体" w:hAnsi="宋体" w:eastAsia="宋体" w:cs="宋体"/>
          <w:color w:val="auto"/>
        </w:rPr>
      </w:pPr>
      <w:r>
        <w:rPr>
          <w:rFonts w:hint="eastAsia" w:ascii="宋体" w:hAnsi="宋体" w:eastAsia="宋体" w:cs="宋体"/>
          <w:color w:val="auto"/>
          <w:spacing w:val="0"/>
          <w:w w:val="100"/>
          <w:position w:val="0"/>
          <w:sz w:val="21"/>
          <w:szCs w:val="21"/>
          <w:highlight w:val="none"/>
        </w:rPr>
        <w:t xml:space="preserve">          </w:t>
      </w:r>
      <w:bookmarkStart w:id="19" w:name="bookmark130"/>
      <w:bookmarkEnd w:id="19"/>
      <w:bookmarkStart w:id="20" w:name="bookmark129"/>
      <w:bookmarkEnd w:id="20"/>
    </w:p>
    <w:p w14:paraId="2F7F39BB">
      <w:pPr>
        <w:bidi w:val="0"/>
        <w:rPr>
          <w:rFonts w:hint="eastAsia" w:ascii="宋体" w:hAnsi="宋体" w:eastAsia="宋体" w:cs="宋体"/>
          <w:color w:val="auto"/>
        </w:rPr>
      </w:pPr>
    </w:p>
    <w:p w14:paraId="085AEAF2">
      <w:pPr>
        <w:bidi w:val="0"/>
        <w:rPr>
          <w:rFonts w:hint="eastAsia" w:ascii="宋体" w:hAnsi="宋体" w:eastAsia="宋体" w:cs="宋体"/>
          <w:color w:val="auto"/>
        </w:rPr>
      </w:pPr>
    </w:p>
    <w:p w14:paraId="6DA3B33F">
      <w:pPr>
        <w:pStyle w:val="3"/>
        <w:bidi w:val="0"/>
        <w:rPr>
          <w:rFonts w:hint="eastAsia" w:ascii="宋体" w:hAnsi="宋体" w:eastAsia="宋体" w:cs="宋体"/>
          <w:color w:val="auto"/>
          <w:highlight w:val="none"/>
        </w:rPr>
      </w:pPr>
      <w:bookmarkStart w:id="21" w:name="_Toc4715"/>
      <w:r>
        <w:rPr>
          <w:rFonts w:hint="eastAsia" w:ascii="宋体" w:hAnsi="宋体" w:eastAsia="宋体" w:cs="宋体"/>
          <w:color w:val="auto"/>
          <w:highlight w:val="none"/>
        </w:rPr>
        <w:t>第二部分 通用合同条款</w:t>
      </w:r>
      <w:bookmarkEnd w:id="21"/>
    </w:p>
    <w:p w14:paraId="43FC587E">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p w14:paraId="58F4B646">
      <w:pPr>
        <w:pStyle w:val="12"/>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2"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b/>
          <w:bCs/>
          <w:color w:val="auto"/>
          <w:spacing w:val="0"/>
          <w:w w:val="100"/>
          <w:position w:val="0"/>
          <w:sz w:val="21"/>
          <w:szCs w:val="21"/>
          <w:highlight w:val="none"/>
        </w:rPr>
        <w:t>采用《建设工程施工合同（示范文本）》（GF—2017—0201）。</w:t>
      </w:r>
    </w:p>
    <w:p w14:paraId="09059124">
      <w:pPr>
        <w:pageBreakBefore w:val="0"/>
        <w:widowControl w:val="0"/>
        <w:wordWrap/>
        <w:overflowPunct/>
        <w:topLinePunct w:val="0"/>
        <w:bidi w:val="0"/>
        <w:spacing w:beforeAutospacing="0" w:afterAutospacing="0" w:line="360" w:lineRule="auto"/>
        <w:ind w:left="0" w:leftChars="0" w:right="0" w:rightChars="0"/>
        <w:rPr>
          <w:rFonts w:hint="eastAsia" w:ascii="宋体" w:hAnsi="宋体" w:eastAsia="宋体" w:cs="宋体"/>
          <w:color w:val="auto"/>
          <w:highlight w:val="none"/>
        </w:rPr>
      </w:pPr>
      <w:bookmarkStart w:id="22" w:name="bookmark153"/>
      <w:bookmarkEnd w:id="22"/>
    </w:p>
    <w:p w14:paraId="50E115D6">
      <w:pPr>
        <w:pageBreakBefore w:val="0"/>
        <w:widowControl w:val="0"/>
        <w:wordWrap/>
        <w:overflowPunct/>
        <w:topLinePunct w:val="0"/>
        <w:bidi w:val="0"/>
        <w:spacing w:beforeAutospacing="0" w:afterAutospacing="0" w:line="360" w:lineRule="auto"/>
        <w:ind w:left="0" w:leftChars="0" w:right="0" w:rightChars="0"/>
        <w:rPr>
          <w:rFonts w:hint="eastAsia" w:ascii="宋体" w:hAnsi="宋体" w:eastAsia="宋体" w:cs="宋体"/>
          <w:color w:val="auto"/>
          <w:highlight w:val="none"/>
        </w:rPr>
      </w:pPr>
    </w:p>
    <w:p w14:paraId="0B9D19F6">
      <w:pPr>
        <w:pageBreakBefore w:val="0"/>
        <w:widowControl w:val="0"/>
        <w:wordWrap/>
        <w:overflowPunct/>
        <w:topLinePunct w:val="0"/>
        <w:bidi w:val="0"/>
        <w:spacing w:beforeAutospacing="0" w:afterAutospacing="0" w:line="360" w:lineRule="auto"/>
        <w:ind w:left="0" w:leftChars="0" w:right="0" w:rightChars="0"/>
        <w:rPr>
          <w:rFonts w:hint="eastAsia" w:ascii="宋体" w:hAnsi="宋体" w:eastAsia="宋体" w:cs="宋体"/>
          <w:color w:val="auto"/>
          <w:highlight w:val="none"/>
        </w:rPr>
      </w:pPr>
    </w:p>
    <w:p w14:paraId="34333907">
      <w:pPr>
        <w:pStyle w:val="3"/>
        <w:bidi w:val="0"/>
        <w:rPr>
          <w:rFonts w:hint="eastAsia" w:ascii="宋体" w:hAnsi="宋体" w:eastAsia="宋体" w:cs="宋体"/>
          <w:color w:val="auto"/>
          <w:spacing w:val="0"/>
          <w:w w:val="100"/>
          <w:position w:val="0"/>
          <w:sz w:val="21"/>
          <w:highlight w:val="none"/>
        </w:rPr>
      </w:pPr>
      <w:bookmarkStart w:id="23" w:name="_Toc6208"/>
      <w:r>
        <w:rPr>
          <w:rFonts w:hint="eastAsia" w:ascii="宋体" w:hAnsi="宋体" w:eastAsia="宋体" w:cs="宋体"/>
          <w:color w:val="auto"/>
          <w:highlight w:val="none"/>
        </w:rPr>
        <w:t>第三部分 专用合同条款</w:t>
      </w:r>
      <w:bookmarkEnd w:id="23"/>
    </w:p>
    <w:p w14:paraId="3DEBDDCD">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color w:val="auto"/>
          <w:spacing w:val="0"/>
          <w:w w:val="100"/>
          <w:position w:val="0"/>
          <w:szCs w:val="21"/>
          <w:highlight w:val="none"/>
        </w:rPr>
      </w:pPr>
      <w:bookmarkStart w:id="24" w:name="_Toc15494"/>
      <w:bookmarkStart w:id="25" w:name="_Toc13403"/>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rPr>
        <w:t xml:space="preserve"> 一般约定</w:t>
      </w:r>
      <w:bookmarkEnd w:id="24"/>
      <w:bookmarkEnd w:id="25"/>
    </w:p>
    <w:p w14:paraId="1A3A6010">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1.1</w:t>
      </w:r>
      <w:r>
        <w:rPr>
          <w:rFonts w:hint="eastAsia" w:ascii="宋体" w:hAnsi="宋体" w:eastAsia="宋体" w:cs="宋体"/>
          <w:b/>
          <w:bCs/>
          <w:color w:val="auto"/>
          <w:sz w:val="21"/>
          <w:szCs w:val="21"/>
          <w:highlight w:val="none"/>
        </w:rPr>
        <w:t>词语定义</w:t>
      </w:r>
    </w:p>
    <w:p w14:paraId="1E993410">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1.1.1  合同</w:t>
      </w:r>
    </w:p>
    <w:p w14:paraId="5897B4B1">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u w:val="single" w:color="auto"/>
        </w:rPr>
      </w:pPr>
      <w:r>
        <w:rPr>
          <w:rFonts w:hint="eastAsia" w:ascii="宋体" w:hAnsi="宋体" w:eastAsia="宋体" w:cs="宋体"/>
          <w:color w:val="auto"/>
          <w:spacing w:val="0"/>
          <w:w w:val="100"/>
          <w:position w:val="0"/>
          <w:sz w:val="21"/>
          <w:szCs w:val="21"/>
          <w:highlight w:val="none"/>
        </w:rPr>
        <w:fldChar w:fldCharType="begin"/>
      </w:r>
      <w:r>
        <w:rPr>
          <w:rFonts w:hint="eastAsia" w:ascii="宋体" w:hAnsi="宋体" w:eastAsia="宋体" w:cs="宋体"/>
          <w:color w:val="auto"/>
          <w:spacing w:val="0"/>
          <w:w w:val="100"/>
          <w:position w:val="0"/>
          <w:sz w:val="21"/>
          <w:szCs w:val="21"/>
          <w:highlight w:val="none"/>
        </w:rPr>
        <w:instrText xml:space="preserve"> HYPERLINK "1.1.1.10" </w:instrText>
      </w:r>
      <w:r>
        <w:rPr>
          <w:rFonts w:hint="eastAsia" w:ascii="宋体" w:hAnsi="宋体" w:eastAsia="宋体" w:cs="宋体"/>
          <w:color w:val="auto"/>
          <w:spacing w:val="0"/>
          <w:w w:val="100"/>
          <w:position w:val="0"/>
          <w:sz w:val="21"/>
          <w:szCs w:val="21"/>
          <w:highlight w:val="none"/>
        </w:rPr>
        <w:fldChar w:fldCharType="separate"/>
      </w:r>
      <w:r>
        <w:rPr>
          <w:rFonts w:hint="eastAsia" w:ascii="宋体" w:hAnsi="宋体" w:eastAsia="宋体" w:cs="宋体"/>
          <w:color w:val="auto"/>
          <w:spacing w:val="0"/>
          <w:w w:val="100"/>
          <w:position w:val="0"/>
          <w:sz w:val="21"/>
          <w:szCs w:val="21"/>
          <w:highlight w:val="none"/>
        </w:rPr>
        <w:t>1.1.1.10</w:t>
      </w:r>
      <w:r>
        <w:rPr>
          <w:rFonts w:hint="eastAsia" w:ascii="宋体" w:hAnsi="宋体" w:eastAsia="宋体" w:cs="宋体"/>
          <w:color w:val="auto"/>
          <w:spacing w:val="0"/>
          <w:w w:val="100"/>
          <w:position w:val="0"/>
          <w:sz w:val="21"/>
          <w:szCs w:val="21"/>
          <w:highlight w:val="none"/>
        </w:rPr>
        <w:fldChar w:fldCharType="end"/>
      </w:r>
      <w:r>
        <w:rPr>
          <w:rFonts w:hint="eastAsia" w:ascii="宋体" w:hAnsi="宋体" w:eastAsia="宋体" w:cs="宋体"/>
          <w:color w:val="auto"/>
          <w:spacing w:val="0"/>
          <w:w w:val="100"/>
          <w:position w:val="0"/>
          <w:sz w:val="21"/>
          <w:szCs w:val="21"/>
          <w:highlight w:val="none"/>
        </w:rPr>
        <w:t xml:space="preserve">  其他合同文件包括：</w:t>
      </w:r>
      <w:r>
        <w:rPr>
          <w:rFonts w:hint="eastAsia" w:ascii="宋体" w:hAnsi="宋体" w:eastAsia="宋体" w:cs="宋体"/>
          <w:color w:val="auto"/>
          <w:spacing w:val="0"/>
          <w:w w:val="100"/>
          <w:position w:val="0"/>
          <w:sz w:val="21"/>
          <w:szCs w:val="21"/>
          <w:highlight w:val="none"/>
          <w:u w:val="single" w:color="auto"/>
          <w:lang w:val="en-US" w:eastAsia="zh-CN"/>
        </w:rPr>
        <w:t xml:space="preserve"> 履行合同过程中双方工地代表人书面确认的对合同内容有实 </w:t>
      </w:r>
    </w:p>
    <w:p w14:paraId="68BCE8E6">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u w:val="single"/>
          <w:lang w:val="en-US" w:eastAsia="zh-CN"/>
        </w:rPr>
      </w:pPr>
      <w:r>
        <w:rPr>
          <w:rFonts w:hint="eastAsia" w:ascii="宋体" w:hAnsi="宋体" w:eastAsia="宋体" w:cs="宋体"/>
          <w:color w:val="auto"/>
          <w:spacing w:val="0"/>
          <w:w w:val="100"/>
          <w:position w:val="0"/>
          <w:sz w:val="21"/>
          <w:szCs w:val="21"/>
          <w:highlight w:val="none"/>
          <w:u w:val="single" w:color="auto"/>
          <w:lang w:val="en-US" w:eastAsia="zh-CN"/>
        </w:rPr>
        <w:t>质性影响的会议纪要、签证、设计变更等资料</w:t>
      </w:r>
      <w:r>
        <w:rPr>
          <w:rFonts w:hint="eastAsia" w:ascii="宋体" w:hAnsi="宋体" w:eastAsia="宋体" w:cs="宋体"/>
          <w:color w:val="auto"/>
          <w:spacing w:val="0"/>
          <w:w w:val="100"/>
          <w:position w:val="0"/>
          <w:sz w:val="21"/>
          <w:szCs w:val="21"/>
          <w:highlight w:val="none"/>
          <w:u w:val="single"/>
          <w:lang w:val="en-US" w:eastAsia="zh-CN"/>
        </w:rPr>
        <w:t xml:space="preserve"> 。</w:t>
      </w:r>
    </w:p>
    <w:p w14:paraId="25E761D1">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1.1.2  合同当事人及其他相关方</w:t>
      </w:r>
    </w:p>
    <w:p w14:paraId="365E06A7">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1.1.2.4  监理人：</w:t>
      </w:r>
    </w:p>
    <w:p w14:paraId="553D77C6">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rPr>
        <w:t>名    称：</w:t>
      </w:r>
      <w:r>
        <w:rPr>
          <w:rFonts w:hint="eastAsia" w:ascii="宋体" w:hAnsi="宋体" w:eastAsia="宋体" w:cs="宋体"/>
          <w:color w:val="auto"/>
          <w:spacing w:val="0"/>
          <w:w w:val="100"/>
          <w:position w:val="0"/>
          <w:sz w:val="21"/>
          <w:szCs w:val="21"/>
          <w:highlight w:val="none"/>
          <w:u w:val="single" w:color="auto"/>
        </w:rPr>
        <w:t xml:space="preserve"> </w:t>
      </w:r>
      <w:r>
        <w:rPr>
          <w:rFonts w:hint="eastAsia"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09993D3E">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资质类别和等级：</w:t>
      </w:r>
      <w:r>
        <w:rPr>
          <w:rFonts w:hint="eastAsia" w:ascii="宋体" w:hAnsi="宋体" w:eastAsia="宋体" w:cs="宋体"/>
          <w:color w:val="auto"/>
          <w:spacing w:val="0"/>
          <w:w w:val="100"/>
          <w:position w:val="0"/>
          <w:sz w:val="21"/>
          <w:szCs w:val="21"/>
          <w:highlight w:val="none"/>
          <w:u w:val="single" w:color="auto"/>
        </w:rPr>
        <w:t xml:space="preserve">  </w:t>
      </w:r>
      <w:r>
        <w:rPr>
          <w:rFonts w:hint="eastAsia"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65233A71">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联系电话：</w:t>
      </w:r>
      <w:r>
        <w:rPr>
          <w:rFonts w:hint="eastAsia" w:ascii="宋体" w:hAnsi="宋体" w:eastAsia="宋体" w:cs="宋体"/>
          <w:color w:val="auto"/>
          <w:spacing w:val="0"/>
          <w:w w:val="100"/>
          <w:position w:val="0"/>
          <w:sz w:val="21"/>
          <w:szCs w:val="21"/>
          <w:highlight w:val="none"/>
          <w:u w:val="single" w:color="auto"/>
        </w:rPr>
        <w:t xml:space="preserve">  </w:t>
      </w:r>
      <w:r>
        <w:rPr>
          <w:rFonts w:hint="eastAsia"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5532362E">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电子信箱：</w:t>
      </w:r>
      <w:r>
        <w:rPr>
          <w:rFonts w:hint="eastAsia" w:ascii="宋体" w:hAnsi="宋体" w:eastAsia="宋体" w:cs="宋体"/>
          <w:color w:val="auto"/>
          <w:spacing w:val="0"/>
          <w:w w:val="100"/>
          <w:position w:val="0"/>
          <w:sz w:val="21"/>
          <w:szCs w:val="21"/>
          <w:highlight w:val="none"/>
          <w:u w:val="single" w:color="auto"/>
        </w:rPr>
        <w:t xml:space="preserve"> </w:t>
      </w:r>
      <w:r>
        <w:rPr>
          <w:rFonts w:hint="eastAsia"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2D4C3465">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通信地址：</w:t>
      </w:r>
      <w:r>
        <w:rPr>
          <w:rFonts w:hint="eastAsia" w:ascii="宋体" w:hAnsi="宋体" w:eastAsia="宋体" w:cs="宋体"/>
          <w:color w:val="auto"/>
          <w:spacing w:val="0"/>
          <w:w w:val="100"/>
          <w:position w:val="0"/>
          <w:sz w:val="21"/>
          <w:szCs w:val="21"/>
          <w:highlight w:val="none"/>
          <w:u w:val="single" w:color="auto"/>
        </w:rPr>
        <w:t xml:space="preserve"> </w:t>
      </w:r>
      <w:r>
        <w:rPr>
          <w:rFonts w:hint="eastAsia"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2D85FD40">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bookmarkStart w:id="26" w:name="_Toc19210"/>
      <w:bookmarkStart w:id="27" w:name="_Toc5335"/>
      <w:r>
        <w:rPr>
          <w:rFonts w:hint="eastAsia" w:ascii="宋体" w:hAnsi="宋体" w:eastAsia="宋体" w:cs="宋体"/>
          <w:color w:val="auto"/>
          <w:spacing w:val="0"/>
          <w:w w:val="100"/>
          <w:position w:val="0"/>
          <w:sz w:val="21"/>
          <w:szCs w:val="21"/>
          <w:highlight w:val="none"/>
        </w:rPr>
        <w:t>1.1.2.5  设计人：</w:t>
      </w:r>
      <w:bookmarkEnd w:id="26"/>
      <w:bookmarkEnd w:id="27"/>
    </w:p>
    <w:p w14:paraId="15572712">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名    称：</w:t>
      </w:r>
      <w:r>
        <w:rPr>
          <w:rFonts w:hint="eastAsia" w:ascii="宋体" w:hAnsi="宋体" w:eastAsia="宋体" w:cs="宋体"/>
          <w:color w:val="auto"/>
          <w:spacing w:val="0"/>
          <w:w w:val="100"/>
          <w:position w:val="0"/>
          <w:sz w:val="21"/>
          <w:szCs w:val="21"/>
          <w:highlight w:val="none"/>
          <w:u w:val="single" w:color="auto"/>
        </w:rPr>
        <w:t xml:space="preserve">  </w:t>
      </w:r>
      <w:r>
        <w:rPr>
          <w:rFonts w:hint="eastAsia"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51217632">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资质类别和等级：</w:t>
      </w:r>
      <w:r>
        <w:rPr>
          <w:rFonts w:hint="eastAsia" w:ascii="宋体" w:hAnsi="宋体" w:eastAsia="宋体" w:cs="宋体"/>
          <w:color w:val="auto"/>
          <w:spacing w:val="0"/>
          <w:w w:val="100"/>
          <w:position w:val="0"/>
          <w:sz w:val="21"/>
          <w:szCs w:val="21"/>
          <w:highlight w:val="none"/>
          <w:u w:val="single" w:color="auto"/>
        </w:rPr>
        <w:t xml:space="preserve"> </w:t>
      </w:r>
      <w:r>
        <w:rPr>
          <w:rFonts w:hint="eastAsia"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30627A5F">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联系电话：</w:t>
      </w:r>
      <w:r>
        <w:rPr>
          <w:rFonts w:hint="eastAsia" w:ascii="宋体" w:hAnsi="宋体" w:eastAsia="宋体" w:cs="宋体"/>
          <w:color w:val="auto"/>
          <w:spacing w:val="0"/>
          <w:w w:val="100"/>
          <w:position w:val="0"/>
          <w:sz w:val="21"/>
          <w:szCs w:val="21"/>
          <w:highlight w:val="none"/>
          <w:u w:val="single" w:color="auto"/>
        </w:rPr>
        <w:t xml:space="preserve">  </w:t>
      </w:r>
      <w:r>
        <w:rPr>
          <w:rFonts w:hint="eastAsia"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7F3BC99D">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电子信箱：</w:t>
      </w:r>
      <w:r>
        <w:rPr>
          <w:rFonts w:hint="eastAsia" w:ascii="宋体" w:hAnsi="宋体" w:eastAsia="宋体" w:cs="宋体"/>
          <w:color w:val="auto"/>
          <w:spacing w:val="0"/>
          <w:w w:val="100"/>
          <w:position w:val="0"/>
          <w:sz w:val="21"/>
          <w:szCs w:val="21"/>
          <w:highlight w:val="none"/>
          <w:u w:val="single" w:color="auto"/>
        </w:rPr>
        <w:t xml:space="preserve"> </w:t>
      </w:r>
      <w:r>
        <w:rPr>
          <w:rFonts w:hint="eastAsia"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6EDD03EF">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通信地址：</w:t>
      </w:r>
      <w:r>
        <w:rPr>
          <w:rFonts w:hint="eastAsia"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1950A016">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1.1.3  工程和设备</w:t>
      </w:r>
    </w:p>
    <w:p w14:paraId="32A18961">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b w:val="0"/>
          <w:bCs w:val="0"/>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1.1.3.7  作为施工现场组成部分的其他场所包括：</w:t>
      </w:r>
      <w:r>
        <w:rPr>
          <w:rFonts w:hint="eastAsia" w:ascii="宋体" w:hAnsi="宋体" w:eastAsia="宋体" w:cs="宋体"/>
          <w:color w:val="auto"/>
          <w:spacing w:val="0"/>
          <w:w w:val="100"/>
          <w:position w:val="0"/>
          <w:sz w:val="21"/>
          <w:szCs w:val="21"/>
          <w:highlight w:val="none"/>
          <w:u w:val="single" w:color="auto"/>
        </w:rPr>
        <w:tab/>
      </w:r>
      <w:r>
        <w:rPr>
          <w:rFonts w:hint="eastAsia" w:ascii="宋体" w:hAnsi="宋体" w:eastAsia="宋体" w:cs="宋体"/>
          <w:b w:val="0"/>
          <w:bCs w:val="0"/>
          <w:color w:val="auto"/>
          <w:spacing w:val="0"/>
          <w:w w:val="100"/>
          <w:position w:val="0"/>
          <w:sz w:val="21"/>
          <w:szCs w:val="21"/>
          <w:highlight w:val="none"/>
          <w:u w:val="single" w:color="auto"/>
        </w:rPr>
        <w:t>包括用于建设永久工程和临时工程的工程用地，也包括用于承包人施工所需的场地，如临时建筑用地、仓储用地、组装用地等</w:t>
      </w:r>
      <w:r>
        <w:rPr>
          <w:rFonts w:hint="eastAsia" w:ascii="宋体" w:hAnsi="宋体" w:eastAsia="宋体" w:cs="宋体"/>
          <w:b w:val="0"/>
          <w:bCs w:val="0"/>
          <w:color w:val="auto"/>
          <w:spacing w:val="0"/>
          <w:w w:val="100"/>
          <w:position w:val="0"/>
          <w:sz w:val="21"/>
          <w:szCs w:val="21"/>
          <w:highlight w:val="none"/>
          <w:u w:val="single" w:color="auto"/>
          <w:lang w:val="en-US" w:eastAsia="zh-CN"/>
        </w:rPr>
        <w:t xml:space="preserve"> </w:t>
      </w:r>
      <w:r>
        <w:rPr>
          <w:rFonts w:hint="eastAsia" w:ascii="宋体" w:hAnsi="宋体" w:eastAsia="宋体" w:cs="宋体"/>
          <w:b w:val="0"/>
          <w:bCs w:val="0"/>
          <w:color w:val="auto"/>
          <w:spacing w:val="0"/>
          <w:w w:val="100"/>
          <w:position w:val="0"/>
          <w:sz w:val="21"/>
          <w:szCs w:val="21"/>
          <w:highlight w:val="none"/>
        </w:rPr>
        <w:t>。</w:t>
      </w:r>
    </w:p>
    <w:p w14:paraId="70AF345C">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right="0" w:rightChars="0" w:firstLine="420" w:firstLineChars="200"/>
        <w:textAlignment w:val="baseline"/>
        <w:rPr>
          <w:rFonts w:hint="eastAsia" w:ascii="宋体" w:hAnsi="宋体" w:eastAsia="宋体" w:cs="宋体"/>
          <w:b w:val="0"/>
          <w:bCs w:val="0"/>
          <w:color w:val="auto"/>
          <w:spacing w:val="0"/>
          <w:w w:val="100"/>
          <w:position w:val="0"/>
          <w:sz w:val="21"/>
          <w:szCs w:val="21"/>
          <w:highlight w:val="none"/>
        </w:rPr>
      </w:pPr>
      <w:r>
        <w:rPr>
          <w:rFonts w:hint="eastAsia" w:ascii="宋体" w:hAnsi="宋体" w:eastAsia="宋体" w:cs="宋体"/>
          <w:b w:val="0"/>
          <w:bCs w:val="0"/>
          <w:color w:val="auto"/>
          <w:spacing w:val="0"/>
          <w:w w:val="100"/>
          <w:position w:val="0"/>
          <w:highlight w:val="none"/>
        </w:rPr>
        <w:fldChar w:fldCharType="begin"/>
      </w:r>
      <w:r>
        <w:rPr>
          <w:rFonts w:hint="eastAsia" w:ascii="宋体" w:hAnsi="宋体" w:eastAsia="宋体" w:cs="宋体"/>
          <w:b w:val="0"/>
          <w:bCs w:val="0"/>
          <w:color w:val="auto"/>
          <w:spacing w:val="0"/>
          <w:w w:val="100"/>
          <w:position w:val="0"/>
          <w:highlight w:val="none"/>
        </w:rPr>
        <w:instrText xml:space="preserve"> HYPERLINK "1.1.3.9" </w:instrText>
      </w:r>
      <w:r>
        <w:rPr>
          <w:rFonts w:hint="eastAsia" w:ascii="宋体" w:hAnsi="宋体" w:eastAsia="宋体" w:cs="宋体"/>
          <w:b w:val="0"/>
          <w:bCs w:val="0"/>
          <w:color w:val="auto"/>
          <w:spacing w:val="0"/>
          <w:w w:val="100"/>
          <w:position w:val="0"/>
          <w:highlight w:val="none"/>
        </w:rPr>
        <w:fldChar w:fldCharType="separate"/>
      </w:r>
      <w:r>
        <w:rPr>
          <w:rFonts w:hint="eastAsia" w:ascii="宋体" w:hAnsi="宋体" w:eastAsia="宋体" w:cs="宋体"/>
          <w:b w:val="0"/>
          <w:bCs w:val="0"/>
          <w:color w:val="auto"/>
          <w:spacing w:val="0"/>
          <w:w w:val="100"/>
          <w:position w:val="0"/>
          <w:sz w:val="21"/>
          <w:szCs w:val="21"/>
          <w:highlight w:val="none"/>
        </w:rPr>
        <w:t>1.1.3.9</w:t>
      </w:r>
      <w:r>
        <w:rPr>
          <w:rFonts w:hint="eastAsia" w:ascii="宋体" w:hAnsi="宋体" w:eastAsia="宋体" w:cs="宋体"/>
          <w:b w:val="0"/>
          <w:bCs w:val="0"/>
          <w:color w:val="auto"/>
          <w:spacing w:val="0"/>
          <w:w w:val="100"/>
          <w:position w:val="0"/>
          <w:sz w:val="21"/>
          <w:szCs w:val="21"/>
          <w:highlight w:val="none"/>
        </w:rPr>
        <w:fldChar w:fldCharType="end"/>
      </w:r>
      <w:r>
        <w:rPr>
          <w:rFonts w:hint="eastAsia" w:ascii="宋体" w:hAnsi="宋体" w:eastAsia="宋体" w:cs="宋体"/>
          <w:b w:val="0"/>
          <w:bCs w:val="0"/>
          <w:color w:val="auto"/>
          <w:spacing w:val="0"/>
          <w:w w:val="100"/>
          <w:position w:val="0"/>
          <w:sz w:val="21"/>
          <w:szCs w:val="21"/>
          <w:highlight w:val="none"/>
        </w:rPr>
        <w:t xml:space="preserve">  永久占地包括：</w:t>
      </w:r>
      <w:r>
        <w:rPr>
          <w:rFonts w:hint="eastAsia" w:ascii="宋体" w:hAnsi="宋体" w:eastAsia="宋体" w:cs="宋体"/>
          <w:b w:val="0"/>
          <w:bCs w:val="0"/>
          <w:color w:val="auto"/>
          <w:spacing w:val="0"/>
          <w:w w:val="100"/>
          <w:position w:val="0"/>
          <w:sz w:val="21"/>
          <w:szCs w:val="21"/>
          <w:highlight w:val="none"/>
          <w:u w:val="single" w:color="auto"/>
        </w:rPr>
        <w:t xml:space="preserve">     项目建设用地         </w:t>
      </w:r>
      <w:r>
        <w:rPr>
          <w:rFonts w:hint="eastAsia" w:ascii="宋体" w:hAnsi="宋体" w:eastAsia="宋体" w:cs="宋体"/>
          <w:b w:val="0"/>
          <w:bCs w:val="0"/>
          <w:color w:val="auto"/>
          <w:spacing w:val="0"/>
          <w:w w:val="100"/>
          <w:position w:val="0"/>
          <w:sz w:val="21"/>
          <w:szCs w:val="21"/>
          <w:highlight w:val="none"/>
        </w:rPr>
        <w:t>。</w:t>
      </w:r>
    </w:p>
    <w:p w14:paraId="4FCD1B7B">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right="0" w:rightChars="0" w:firstLine="420" w:firstLineChars="200"/>
        <w:textAlignment w:val="baseline"/>
        <w:rPr>
          <w:rFonts w:hint="eastAsia" w:ascii="宋体" w:hAnsi="宋体" w:eastAsia="宋体" w:cs="宋体"/>
          <w:b w:val="0"/>
          <w:bCs w:val="0"/>
          <w:color w:val="auto"/>
          <w:spacing w:val="0"/>
          <w:w w:val="100"/>
          <w:position w:val="0"/>
          <w:sz w:val="21"/>
          <w:szCs w:val="21"/>
          <w:highlight w:val="none"/>
        </w:rPr>
      </w:pPr>
      <w:r>
        <w:rPr>
          <w:rFonts w:hint="eastAsia" w:ascii="宋体" w:hAnsi="宋体" w:eastAsia="宋体" w:cs="宋体"/>
          <w:b w:val="0"/>
          <w:bCs w:val="0"/>
          <w:color w:val="auto"/>
          <w:spacing w:val="0"/>
          <w:w w:val="100"/>
          <w:position w:val="0"/>
          <w:highlight w:val="none"/>
        </w:rPr>
        <w:fldChar w:fldCharType="begin"/>
      </w:r>
      <w:r>
        <w:rPr>
          <w:rFonts w:hint="eastAsia" w:ascii="宋体" w:hAnsi="宋体" w:eastAsia="宋体" w:cs="宋体"/>
          <w:b w:val="0"/>
          <w:bCs w:val="0"/>
          <w:color w:val="auto"/>
          <w:spacing w:val="0"/>
          <w:w w:val="100"/>
          <w:position w:val="0"/>
          <w:highlight w:val="none"/>
        </w:rPr>
        <w:instrText xml:space="preserve"> HYPERLINK "1.1.3.10" </w:instrText>
      </w:r>
      <w:r>
        <w:rPr>
          <w:rFonts w:hint="eastAsia" w:ascii="宋体" w:hAnsi="宋体" w:eastAsia="宋体" w:cs="宋体"/>
          <w:b w:val="0"/>
          <w:bCs w:val="0"/>
          <w:color w:val="auto"/>
          <w:spacing w:val="0"/>
          <w:w w:val="100"/>
          <w:position w:val="0"/>
          <w:highlight w:val="none"/>
        </w:rPr>
        <w:fldChar w:fldCharType="separate"/>
      </w:r>
      <w:r>
        <w:rPr>
          <w:rFonts w:hint="eastAsia" w:ascii="宋体" w:hAnsi="宋体" w:eastAsia="宋体" w:cs="宋体"/>
          <w:b w:val="0"/>
          <w:bCs w:val="0"/>
          <w:color w:val="auto"/>
          <w:spacing w:val="0"/>
          <w:w w:val="100"/>
          <w:position w:val="0"/>
          <w:sz w:val="21"/>
          <w:szCs w:val="21"/>
          <w:highlight w:val="none"/>
        </w:rPr>
        <w:t>1.1.3.10</w:t>
      </w:r>
      <w:r>
        <w:rPr>
          <w:rFonts w:hint="eastAsia" w:ascii="宋体" w:hAnsi="宋体" w:eastAsia="宋体" w:cs="宋体"/>
          <w:b w:val="0"/>
          <w:bCs w:val="0"/>
          <w:color w:val="auto"/>
          <w:spacing w:val="0"/>
          <w:w w:val="100"/>
          <w:position w:val="0"/>
          <w:sz w:val="21"/>
          <w:szCs w:val="21"/>
          <w:highlight w:val="none"/>
        </w:rPr>
        <w:fldChar w:fldCharType="end"/>
      </w:r>
      <w:r>
        <w:rPr>
          <w:rFonts w:hint="eastAsia" w:ascii="宋体" w:hAnsi="宋体" w:eastAsia="宋体" w:cs="宋体"/>
          <w:b w:val="0"/>
          <w:bCs w:val="0"/>
          <w:color w:val="auto"/>
          <w:spacing w:val="0"/>
          <w:w w:val="100"/>
          <w:position w:val="0"/>
          <w:sz w:val="21"/>
          <w:szCs w:val="21"/>
          <w:highlight w:val="none"/>
        </w:rPr>
        <w:t xml:space="preserve">  临时占地包括：</w:t>
      </w:r>
      <w:r>
        <w:rPr>
          <w:rFonts w:hint="eastAsia" w:ascii="宋体" w:hAnsi="宋体" w:eastAsia="宋体" w:cs="宋体"/>
          <w:b w:val="0"/>
          <w:bCs w:val="0"/>
          <w:color w:val="auto"/>
          <w:spacing w:val="0"/>
          <w:w w:val="100"/>
          <w:position w:val="0"/>
          <w:sz w:val="21"/>
          <w:szCs w:val="21"/>
          <w:highlight w:val="none"/>
          <w:u w:val="single" w:color="auto"/>
        </w:rPr>
        <w:t xml:space="preserve"> 临时工程的工程用地、承包人的临时建筑用地、仓储用地、组装用地等 </w:t>
      </w:r>
      <w:r>
        <w:rPr>
          <w:rFonts w:hint="eastAsia" w:ascii="宋体" w:hAnsi="宋体" w:eastAsia="宋体" w:cs="宋体"/>
          <w:b w:val="0"/>
          <w:bCs w:val="0"/>
          <w:color w:val="auto"/>
          <w:spacing w:val="0"/>
          <w:w w:val="100"/>
          <w:position w:val="0"/>
          <w:sz w:val="21"/>
          <w:szCs w:val="21"/>
          <w:highlight w:val="none"/>
        </w:rPr>
        <w:t>。</w:t>
      </w:r>
    </w:p>
    <w:p w14:paraId="528A2677">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1.3  法律</w:t>
      </w:r>
    </w:p>
    <w:p w14:paraId="66FAC8BA">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u w:val="single" w:color="auto"/>
        </w:rPr>
      </w:pPr>
      <w:r>
        <w:rPr>
          <w:rFonts w:hint="eastAsia" w:ascii="宋体" w:hAnsi="宋体" w:eastAsia="宋体" w:cs="宋体"/>
          <w:color w:val="auto"/>
          <w:spacing w:val="0"/>
          <w:w w:val="100"/>
          <w:position w:val="0"/>
          <w:sz w:val="21"/>
          <w:szCs w:val="21"/>
          <w:highlight w:val="none"/>
        </w:rPr>
        <w:t>适用于合同的其他规范性文件：</w:t>
      </w:r>
      <w:r>
        <w:rPr>
          <w:rFonts w:hint="eastAsia" w:ascii="宋体" w:hAnsi="宋体" w:eastAsia="宋体" w:cs="宋体"/>
          <w:color w:val="auto"/>
          <w:spacing w:val="0"/>
          <w:w w:val="100"/>
          <w:position w:val="0"/>
          <w:sz w:val="21"/>
          <w:szCs w:val="21"/>
          <w:highlight w:val="none"/>
          <w:u w:val="single" w:color="auto"/>
        </w:rPr>
        <w:t xml:space="preserve"> 《中华人民共和国建筑法》《中华人民共和国民法典》《建筑施工合同管理办法》</w:t>
      </w:r>
      <w:r>
        <w:rPr>
          <w:rFonts w:hint="eastAsia" w:ascii="宋体" w:hAnsi="宋体" w:eastAsia="宋体" w:cs="宋体"/>
          <w:color w:val="auto"/>
          <w:spacing w:val="0"/>
          <w:w w:val="100"/>
          <w:position w:val="0"/>
          <w:sz w:val="21"/>
          <w:szCs w:val="21"/>
          <w:highlight w:val="none"/>
          <w:u w:val="single" w:color="auto"/>
          <w:lang w:val="en-US" w:eastAsia="zh-CN"/>
        </w:rPr>
        <w:t>等</w:t>
      </w:r>
      <w:r>
        <w:rPr>
          <w:rFonts w:hint="eastAsia" w:ascii="宋体" w:hAnsi="宋体" w:eastAsia="宋体" w:cs="宋体"/>
          <w:color w:val="auto"/>
          <w:spacing w:val="0"/>
          <w:w w:val="100"/>
          <w:position w:val="0"/>
          <w:sz w:val="21"/>
          <w:szCs w:val="21"/>
          <w:highlight w:val="none"/>
          <w:u w:val="single" w:color="auto"/>
        </w:rPr>
        <w:t>现行的国家法律和行政法规及部门规章，工程所在地政府、行政主管部门的有关法规和规章及规范性文件。</w:t>
      </w:r>
    </w:p>
    <w:p w14:paraId="08988AFE">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1.4  标准和规范</w:t>
      </w:r>
    </w:p>
    <w:p w14:paraId="4977B002">
      <w:pPr>
        <w:pStyle w:val="23"/>
        <w:keepNext w:val="0"/>
        <w:keepLines w:val="0"/>
        <w:pageBreakBefore w:val="0"/>
        <w:tabs>
          <w:tab w:val="left" w:pos="7015"/>
        </w:tabs>
        <w:wordWrap/>
        <w:topLinePunct w:val="0"/>
        <w:bidi w:val="0"/>
        <w:spacing w:line="360" w:lineRule="auto"/>
        <w:ind w:firstLine="420" w:firstLineChars="200"/>
        <w:jc w:val="left"/>
        <w:rPr>
          <w:rStyle w:val="18"/>
          <w:rFonts w:hint="eastAsia" w:ascii="宋体" w:hAnsi="宋体" w:eastAsia="宋体" w:cs="宋体"/>
          <w:color w:val="auto"/>
          <w:spacing w:val="0"/>
          <w:kern w:val="0"/>
          <w:szCs w:val="21"/>
          <w:highlight w:val="none"/>
        </w:rPr>
      </w:pPr>
      <w:r>
        <w:rPr>
          <w:rFonts w:hint="eastAsia" w:ascii="宋体" w:hAnsi="宋体" w:eastAsia="宋体" w:cs="宋体"/>
          <w:color w:val="auto"/>
          <w:spacing w:val="0"/>
          <w:w w:val="100"/>
          <w:position w:val="0"/>
          <w:sz w:val="21"/>
          <w:szCs w:val="21"/>
          <w:highlight w:val="none"/>
        </w:rPr>
        <w:t>1.4.1  适用于工程的标准规范包括</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u w:val="single"/>
          <w:lang w:val="en-US" w:eastAsia="zh-CN"/>
        </w:rPr>
        <w:t xml:space="preserve"> </w:t>
      </w:r>
      <w:r>
        <w:rPr>
          <w:rStyle w:val="18"/>
          <w:rFonts w:hint="eastAsia" w:ascii="宋体" w:hAnsi="宋体" w:eastAsia="宋体" w:cs="宋体"/>
          <w:color w:val="auto"/>
          <w:spacing w:val="0"/>
          <w:kern w:val="0"/>
          <w:szCs w:val="21"/>
          <w:highlight w:val="none"/>
          <w:u w:val="single"/>
        </w:rPr>
        <w:t>国家现行有效的有关建设项目管理、施工、验收及保修等规范和标准，以及项目主管部门批准的文件。发包人根据本工程具体情况，依照国家有关标准制订的施工技术规定及验收办法</w:t>
      </w:r>
      <w:r>
        <w:rPr>
          <w:rStyle w:val="18"/>
          <w:rFonts w:hint="eastAsia" w:ascii="宋体" w:hAnsi="宋体" w:eastAsia="宋体" w:cs="宋体"/>
          <w:color w:val="auto"/>
          <w:spacing w:val="0"/>
          <w:kern w:val="0"/>
          <w:szCs w:val="21"/>
          <w:highlight w:val="none"/>
        </w:rPr>
        <w:t>。</w:t>
      </w:r>
    </w:p>
    <w:p w14:paraId="13761557">
      <w:pPr>
        <w:pStyle w:val="23"/>
        <w:keepNext w:val="0"/>
        <w:keepLines w:val="0"/>
        <w:pageBreakBefore w:val="0"/>
        <w:tabs>
          <w:tab w:val="left" w:pos="7015"/>
        </w:tabs>
        <w:wordWrap/>
        <w:topLinePunct w:val="0"/>
        <w:bidi w:val="0"/>
        <w:spacing w:line="360" w:lineRule="auto"/>
        <w:ind w:firstLine="420" w:firstLineChars="200"/>
        <w:jc w:val="left"/>
        <w:rPr>
          <w:rStyle w:val="18"/>
          <w:rFonts w:hint="eastAsia" w:ascii="宋体" w:hAnsi="宋体" w:eastAsia="宋体" w:cs="宋体"/>
          <w:color w:val="auto"/>
          <w:spacing w:val="0"/>
          <w:kern w:val="0"/>
          <w:szCs w:val="21"/>
          <w:highlight w:val="none"/>
          <w:u w:val="none" w:color="auto"/>
          <w:lang w:eastAsia="zh-CN"/>
        </w:rPr>
      </w:pPr>
      <w:r>
        <w:rPr>
          <w:rFonts w:hint="eastAsia" w:ascii="宋体" w:hAnsi="宋体" w:eastAsia="宋体" w:cs="宋体"/>
          <w:color w:val="auto"/>
          <w:spacing w:val="0"/>
          <w:w w:val="100"/>
          <w:position w:val="0"/>
          <w:sz w:val="21"/>
          <w:szCs w:val="21"/>
          <w:highlight w:val="none"/>
        </w:rPr>
        <w:t>1.4.2  发包人提供国外标准、规范的名称：</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 xml:space="preserve">    /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none" w:color="auto"/>
          <w:lang w:eastAsia="zh-CN"/>
        </w:rPr>
        <w:t>；</w:t>
      </w:r>
    </w:p>
    <w:p w14:paraId="6DC5CD9F">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kern w:val="2"/>
          <w:position w:val="0"/>
          <w:sz w:val="21"/>
          <w:szCs w:val="21"/>
          <w:highlight w:val="none"/>
          <w:lang w:val="en-US" w:eastAsia="zh-CN" w:bidi="ar-SA"/>
        </w:rPr>
        <w:t>发包人提供国外标准、规范的份数：</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4D7054F9">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发包人提供国外标准、规范的名称：</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2179427F">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highlight w:val="none"/>
          <w:u w:val="single"/>
          <w:lang w:val="en-US" w:eastAsia="zh-CN"/>
        </w:rPr>
      </w:pPr>
      <w:r>
        <w:rPr>
          <w:rFonts w:hint="eastAsia" w:ascii="宋体" w:hAnsi="宋体" w:eastAsia="宋体" w:cs="宋体"/>
          <w:color w:val="auto"/>
          <w:spacing w:val="0"/>
          <w:w w:val="100"/>
          <w:position w:val="0"/>
          <w:sz w:val="21"/>
          <w:szCs w:val="21"/>
          <w:highlight w:val="none"/>
        </w:rPr>
        <w:t>1.4.3 发包人对工程的技术标准和功能要求的特殊要求：</w:t>
      </w:r>
      <w:r>
        <w:rPr>
          <w:rFonts w:hint="eastAsia" w:cs="宋体"/>
          <w:color w:val="auto"/>
          <w:spacing w:val="0"/>
          <w:w w:val="100"/>
          <w:position w:val="0"/>
          <w:sz w:val="21"/>
          <w:szCs w:val="21"/>
          <w:highlight w:val="none"/>
          <w:u w:val="single"/>
          <w:lang w:val="en-US" w:eastAsia="zh-CN"/>
        </w:rPr>
        <w:t xml:space="preserve">                         </w:t>
      </w:r>
      <w:r>
        <w:rPr>
          <w:rFonts w:hint="eastAsia" w:ascii="宋体" w:hAnsi="宋体" w:eastAsia="宋体" w:cs="宋体"/>
          <w:color w:val="auto"/>
          <w:spacing w:val="0"/>
          <w:w w:val="100"/>
          <w:position w:val="0"/>
          <w:sz w:val="21"/>
          <w:szCs w:val="21"/>
          <w:highlight w:val="none"/>
          <w:u w:val="single"/>
          <w:lang w:val="en-US" w:eastAsia="zh-CN"/>
        </w:rPr>
        <w:t xml:space="preserve"> 。</w:t>
      </w:r>
    </w:p>
    <w:p w14:paraId="48168C09">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1.5  合同文件的优先顺序</w:t>
      </w:r>
    </w:p>
    <w:p w14:paraId="3E4520F4">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合同文件组成及优先顺序为：</w:t>
      </w:r>
    </w:p>
    <w:p w14:paraId="0DA4BB36">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（1）合同协议书；</w:t>
      </w:r>
    </w:p>
    <w:p w14:paraId="6148B4EE">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（2）中标通知书；</w:t>
      </w:r>
    </w:p>
    <w:p w14:paraId="65C6BDFE">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（3）投标函及投标函附录；</w:t>
      </w:r>
    </w:p>
    <w:p w14:paraId="7B8C7F22">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（4）专用合同条款；</w:t>
      </w:r>
    </w:p>
    <w:p w14:paraId="08E1B828">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（5）通用合同条款；</w:t>
      </w:r>
    </w:p>
    <w:p w14:paraId="076000C7">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（6）技术标准和要求；</w:t>
      </w:r>
    </w:p>
    <w:p w14:paraId="6B058399">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（7）图纸；</w:t>
      </w:r>
    </w:p>
    <w:p w14:paraId="5572C4A0">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（8）已标价工程量清单；</w:t>
      </w:r>
    </w:p>
    <w:p w14:paraId="7D73CA71">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（9）其他合同文件：</w:t>
      </w:r>
    </w:p>
    <w:p w14:paraId="4BF00056">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上述各项合同文件包括合同当事人就该项合同文件所作出的补充和修改，属于同一类内容的文件，应以最新签署的为准（违反招标文件实质性内容的约定除外）。专用合同条款及其附 件须经合同当事人签字或盖章。</w:t>
      </w:r>
    </w:p>
    <w:p w14:paraId="2C9F923B">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1.6  图纸和承包人文件</w:t>
      </w:r>
    </w:p>
    <w:p w14:paraId="530F2EBC">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1.6.1  图纸的提供</w:t>
      </w:r>
    </w:p>
    <w:p w14:paraId="742ED4D6">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发包人向承包人提供图纸的期限：</w:t>
      </w:r>
      <w:r>
        <w:rPr>
          <w:rFonts w:hint="eastAsia" w:ascii="宋体" w:hAnsi="宋体" w:eastAsia="宋体" w:cs="宋体"/>
          <w:color w:val="auto"/>
          <w:spacing w:val="0"/>
          <w:w w:val="100"/>
          <w:position w:val="0"/>
          <w:sz w:val="21"/>
          <w:szCs w:val="21"/>
          <w:highlight w:val="none"/>
          <w:u w:val="single" w:color="auto"/>
        </w:rPr>
        <w:t xml:space="preserve">   合同生效后 7 天内   </w:t>
      </w:r>
      <w:r>
        <w:rPr>
          <w:rFonts w:hint="eastAsia" w:ascii="宋体" w:hAnsi="宋体" w:eastAsia="宋体" w:cs="宋体"/>
          <w:color w:val="auto"/>
          <w:spacing w:val="0"/>
          <w:w w:val="100"/>
          <w:position w:val="0"/>
          <w:sz w:val="21"/>
          <w:szCs w:val="21"/>
          <w:highlight w:val="none"/>
        </w:rPr>
        <w:t>；</w:t>
      </w:r>
    </w:p>
    <w:p w14:paraId="05F04D5D">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发包人向承包人提供图纸的数量：</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 xml:space="preserve">1 </w:t>
      </w:r>
      <w:r>
        <w:rPr>
          <w:rFonts w:hint="eastAsia" w:ascii="宋体" w:hAnsi="宋体" w:eastAsia="宋体" w:cs="宋体"/>
          <w:color w:val="auto"/>
          <w:spacing w:val="0"/>
          <w:w w:val="100"/>
          <w:position w:val="0"/>
          <w:sz w:val="21"/>
          <w:szCs w:val="21"/>
          <w:highlight w:val="none"/>
        </w:rPr>
        <w:t xml:space="preserve"> 套（承包人需要增加图纸套数的，发包人应代为复制，复制费用由承包人承担）；</w:t>
      </w:r>
    </w:p>
    <w:p w14:paraId="3F85B078">
      <w:pPr>
        <w:keepNext w:val="0"/>
        <w:keepLines w:val="0"/>
        <w:pageBreakBefore w:val="0"/>
        <w:widowControl/>
        <w:suppressLineNumbers w:val="0"/>
        <w:wordWrap/>
        <w:topLinePunct w:val="0"/>
        <w:bidi w:val="0"/>
        <w:spacing w:line="360" w:lineRule="auto"/>
        <w:ind w:firstLine="420" w:firstLineChars="200"/>
        <w:jc w:val="left"/>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发包人向承包人提供图纸的内容：</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snapToGrid w:val="0"/>
          <w:color w:val="auto"/>
          <w:spacing w:val="0"/>
          <w:w w:val="100"/>
          <w:kern w:val="0"/>
          <w:position w:val="0"/>
          <w:sz w:val="21"/>
          <w:szCs w:val="21"/>
          <w:highlight w:val="none"/>
          <w:u w:val="single" w:color="auto"/>
          <w:lang w:val="en-US" w:eastAsia="en-US" w:bidi="ar-SA"/>
        </w:rPr>
        <w:t xml:space="preserve">   </w:t>
      </w:r>
      <w:r>
        <w:rPr>
          <w:rFonts w:hint="eastAsia" w:ascii="宋体" w:hAnsi="宋体" w:eastAsia="宋体" w:cs="宋体"/>
          <w:snapToGrid w:val="0"/>
          <w:color w:val="auto"/>
          <w:spacing w:val="0"/>
          <w:w w:val="100"/>
          <w:kern w:val="0"/>
          <w:position w:val="0"/>
          <w:sz w:val="21"/>
          <w:szCs w:val="21"/>
          <w:highlight w:val="none"/>
          <w:u w:val="single" w:color="auto"/>
          <w:lang w:val="en-US" w:eastAsia="zh-CN" w:bidi="ar-SA"/>
        </w:rPr>
        <w:t>经审图单位盖章合格的全套施工图</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50A3F945">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1.6.4  承包人文件</w:t>
      </w:r>
    </w:p>
    <w:p w14:paraId="414577CC">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需要由承包人提供的文件，包括：</w:t>
      </w:r>
      <w:r>
        <w:rPr>
          <w:rFonts w:hint="eastAsia" w:ascii="宋体" w:hAnsi="宋体" w:eastAsia="宋体" w:cs="宋体"/>
          <w:b w:val="0"/>
          <w:bCs w:val="0"/>
          <w:color w:val="auto"/>
          <w:spacing w:val="0"/>
          <w:w w:val="100"/>
          <w:position w:val="0"/>
          <w:sz w:val="21"/>
          <w:szCs w:val="21"/>
          <w:highlight w:val="none"/>
          <w:u w:val="single" w:color="auto"/>
        </w:rPr>
        <w:t xml:space="preserve"> (1)除专用合同条款第 3.1(5)目约定的由承包人提供的设计文件外，本项约定的其他应由承包人提供的文件，包括必要的加工图和大样图，均不是合同计量与支付的依据文件。由承包人提供的文件范围： 工程建设项目竣工验收前，承包人应根据合同工作内容要求，分别整理竣工验收资料（含竣工图），汇总为完整的建设项目竣工资料 报发包人（费用由承包人负责）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023694DB">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承包人提供的文件的期限为：</w:t>
      </w:r>
      <w:r>
        <w:rPr>
          <w:rFonts w:hint="eastAsia" w:ascii="宋体" w:hAnsi="宋体" w:eastAsia="宋体" w:cs="宋体"/>
          <w:color w:val="auto"/>
          <w:spacing w:val="0"/>
          <w:w w:val="100"/>
          <w:position w:val="0"/>
          <w:sz w:val="21"/>
          <w:szCs w:val="21"/>
          <w:highlight w:val="none"/>
          <w:u w:val="single" w:color="auto"/>
        </w:rPr>
        <w:t xml:space="preserve"> 竣工验收正式通过后5天（工程造价在 500 万元以下含 500万元）、10天（工程造价在500万元至1000万元之间含1000万元）、15天（工程造价在1000万元以上）  </w:t>
      </w:r>
      <w:r>
        <w:rPr>
          <w:rFonts w:hint="eastAsia" w:ascii="宋体" w:hAnsi="宋体" w:eastAsia="宋体" w:cs="宋体"/>
          <w:color w:val="auto"/>
          <w:spacing w:val="0"/>
          <w:w w:val="100"/>
          <w:position w:val="0"/>
          <w:sz w:val="21"/>
          <w:szCs w:val="21"/>
          <w:highlight w:val="none"/>
        </w:rPr>
        <w:t>；</w:t>
      </w:r>
    </w:p>
    <w:p w14:paraId="4C5D65A2">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承包人提供的文件的数量为：</w:t>
      </w:r>
      <w:r>
        <w:rPr>
          <w:rFonts w:hint="eastAsia" w:ascii="宋体" w:hAnsi="宋体" w:eastAsia="宋体" w:cs="宋体"/>
          <w:color w:val="auto"/>
          <w:spacing w:val="0"/>
          <w:w w:val="100"/>
          <w:position w:val="0"/>
          <w:sz w:val="21"/>
          <w:szCs w:val="21"/>
          <w:highlight w:val="none"/>
          <w:u w:val="single" w:color="auto"/>
        </w:rPr>
        <w:t xml:space="preserve">  提供竣工图的数量为6套   </w:t>
      </w:r>
      <w:r>
        <w:rPr>
          <w:rFonts w:hint="eastAsia" w:ascii="宋体" w:hAnsi="宋体" w:eastAsia="宋体" w:cs="宋体"/>
          <w:color w:val="auto"/>
          <w:spacing w:val="0"/>
          <w:w w:val="100"/>
          <w:position w:val="0"/>
          <w:sz w:val="21"/>
          <w:szCs w:val="21"/>
          <w:highlight w:val="none"/>
        </w:rPr>
        <w:t>；</w:t>
      </w:r>
    </w:p>
    <w:p w14:paraId="47D20276">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承包人提供的文件的形式为：</w:t>
      </w:r>
      <w:r>
        <w:rPr>
          <w:rFonts w:hint="eastAsia" w:ascii="宋体" w:hAnsi="宋体" w:eastAsia="宋体" w:cs="宋体"/>
          <w:color w:val="auto"/>
          <w:spacing w:val="0"/>
          <w:w w:val="100"/>
          <w:position w:val="0"/>
          <w:sz w:val="21"/>
          <w:szCs w:val="21"/>
          <w:highlight w:val="none"/>
          <w:u w:val="single" w:color="auto"/>
        </w:rPr>
        <w:t xml:space="preserve">           书面及电子版             </w:t>
      </w:r>
      <w:r>
        <w:rPr>
          <w:rFonts w:hint="eastAsia" w:ascii="宋体" w:hAnsi="宋体" w:eastAsia="宋体" w:cs="宋体"/>
          <w:color w:val="auto"/>
          <w:spacing w:val="0"/>
          <w:w w:val="100"/>
          <w:position w:val="0"/>
          <w:sz w:val="21"/>
          <w:szCs w:val="21"/>
          <w:highlight w:val="none"/>
        </w:rPr>
        <w:t>；</w:t>
      </w:r>
    </w:p>
    <w:p w14:paraId="660B8D4B">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发包人审批承包人文件的期限：</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4FD6996D">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1.6.5  现场图纸准备</w:t>
      </w:r>
    </w:p>
    <w:p w14:paraId="1F3F0874">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关于现场图纸准备的约定：</w:t>
      </w:r>
      <w:r>
        <w:rPr>
          <w:rFonts w:hint="eastAsia" w:ascii="宋体" w:hAnsi="宋体" w:eastAsia="宋体" w:cs="宋体"/>
          <w:color w:val="auto"/>
          <w:spacing w:val="0"/>
          <w:w w:val="100"/>
          <w:position w:val="0"/>
          <w:sz w:val="21"/>
          <w:szCs w:val="21"/>
          <w:highlight w:val="none"/>
          <w:u w:val="single" w:color="auto"/>
        </w:rPr>
        <w:t xml:space="preserve"> 没有发包人的书面同意，承包方不得将本工程的图纸和相关的文件资料借给他人套用。如发现承包人擅自出借图纸导致他人套用，承包人按工程结算总价的万分之三（0.03%）向发包人支付违约金。</w:t>
      </w:r>
    </w:p>
    <w:p w14:paraId="6B4A8965">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1.7  联络</w:t>
      </w:r>
    </w:p>
    <w:p w14:paraId="0C82F1FB">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 xml:space="preserve">1.7.1 发包人和承包人应当在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7</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 xml:space="preserve"> 天内将与合同有关的通知、批准、证明、证书、指示、指 令、要求、请求、同意、意见、确定和决定等书面函件送达对方当事人。</w:t>
      </w:r>
    </w:p>
    <w:p w14:paraId="7C54446C">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1.7.2  发包人接收文件的地点：</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工程项目部</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2C1662E6">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发包人指定的接收人为：</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发包人现场代表</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35A0252E">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b w:val="0"/>
          <w:bCs w:val="0"/>
          <w:color w:val="auto"/>
          <w:sz w:val="21"/>
          <w:szCs w:val="21"/>
          <w:highlight w:val="none"/>
          <w:u w:val="single"/>
          <w:lang w:eastAsia="zh-CN"/>
        </w:rPr>
      </w:pPr>
      <w:r>
        <w:rPr>
          <w:rFonts w:hint="eastAsia" w:ascii="宋体" w:hAnsi="宋体" w:eastAsia="宋体" w:cs="宋体"/>
          <w:b w:val="0"/>
          <w:bCs w:val="0"/>
          <w:color w:val="auto"/>
          <w:sz w:val="21"/>
          <w:szCs w:val="21"/>
          <w:highlight w:val="none"/>
        </w:rPr>
        <w:t>承包人接收文件的地点：</w:t>
      </w:r>
      <w:r>
        <w:rPr>
          <w:rFonts w:hint="eastAsia" w:ascii="宋体" w:hAnsi="宋体" w:eastAsia="宋体" w:cs="宋体"/>
          <w:b w:val="0"/>
          <w:bCs w:val="0"/>
          <w:color w:val="auto"/>
          <w:sz w:val="21"/>
          <w:szCs w:val="21"/>
          <w:highlight w:val="none"/>
          <w:u w:val="single"/>
        </w:rPr>
        <w:t xml:space="preserve"> 承包人施工场地管理机构办公地点</w:t>
      </w:r>
      <w:r>
        <w:rPr>
          <w:rFonts w:hint="eastAsia" w:ascii="宋体" w:hAnsi="宋体" w:eastAsia="宋体" w:cs="宋体"/>
          <w:b w:val="0"/>
          <w:bCs w:val="0"/>
          <w:color w:val="auto"/>
          <w:sz w:val="21"/>
          <w:szCs w:val="21"/>
          <w:highlight w:val="none"/>
          <w:u w:val="single"/>
          <w:lang w:eastAsia="zh-CN"/>
        </w:rPr>
        <w:t>。</w:t>
      </w:r>
    </w:p>
    <w:p w14:paraId="73EFD3E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承包人指定的接收人为： </w:t>
      </w:r>
      <w:r>
        <w:rPr>
          <w:rFonts w:hint="eastAsia" w:ascii="宋体" w:hAnsi="宋体" w:eastAsia="宋体" w:cs="宋体"/>
          <w:b w:val="0"/>
          <w:bCs w:val="0"/>
          <w:color w:val="auto"/>
          <w:sz w:val="21"/>
          <w:szCs w:val="21"/>
          <w:highlight w:val="none"/>
          <w:u w:val="single"/>
        </w:rPr>
        <w:t>合同协议书中载明的承包人项目经理本人或项目经理的授权人</w:t>
      </w:r>
      <w:r>
        <w:rPr>
          <w:rFonts w:hint="eastAsia" w:ascii="宋体" w:hAnsi="宋体" w:eastAsia="宋体" w:cs="宋体"/>
          <w:b w:val="0"/>
          <w:bCs w:val="0"/>
          <w:color w:val="auto"/>
          <w:sz w:val="21"/>
          <w:szCs w:val="21"/>
          <w:highlight w:val="none"/>
        </w:rPr>
        <w:t>。</w:t>
      </w:r>
    </w:p>
    <w:p w14:paraId="169EF14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监理人接收文件的地点：</w:t>
      </w:r>
      <w:r>
        <w:rPr>
          <w:rFonts w:hint="eastAsia" w:ascii="宋体" w:hAnsi="宋体" w:eastAsia="宋体" w:cs="宋体"/>
          <w:b w:val="0"/>
          <w:bCs w:val="0"/>
          <w:color w:val="auto"/>
          <w:sz w:val="21"/>
          <w:szCs w:val="21"/>
          <w:highlight w:val="none"/>
          <w:u w:val="single"/>
        </w:rPr>
        <w:t>监理人施工场地管理机构办公地点</w:t>
      </w:r>
      <w:r>
        <w:rPr>
          <w:rFonts w:hint="eastAsia" w:ascii="宋体" w:hAnsi="宋体" w:eastAsia="宋体" w:cs="宋体"/>
          <w:b w:val="0"/>
          <w:bCs w:val="0"/>
          <w:color w:val="auto"/>
          <w:sz w:val="21"/>
          <w:szCs w:val="21"/>
          <w:highlight w:val="none"/>
        </w:rPr>
        <w:t>；</w:t>
      </w:r>
    </w:p>
    <w:p w14:paraId="0EF9265E">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监理人指定的接收人为：</w:t>
      </w:r>
      <w:r>
        <w:rPr>
          <w:rFonts w:hint="eastAsia" w:ascii="宋体" w:hAnsi="宋体" w:eastAsia="宋体" w:cs="宋体"/>
          <w:b w:val="0"/>
          <w:bCs w:val="0"/>
          <w:color w:val="auto"/>
          <w:sz w:val="21"/>
          <w:szCs w:val="21"/>
          <w:highlight w:val="none"/>
          <w:u w:val="single"/>
        </w:rPr>
        <w:t xml:space="preserve"> 项目总监理工程师或其授权代表人</w:t>
      </w:r>
      <w:r>
        <w:rPr>
          <w:rFonts w:hint="eastAsia" w:ascii="宋体" w:hAnsi="宋体" w:eastAsia="宋体" w:cs="宋体"/>
          <w:b w:val="0"/>
          <w:bCs w:val="0"/>
          <w:color w:val="auto"/>
          <w:sz w:val="21"/>
          <w:szCs w:val="21"/>
          <w:highlight w:val="none"/>
        </w:rPr>
        <w:t xml:space="preserve"> 。</w:t>
      </w:r>
    </w:p>
    <w:p w14:paraId="13CA4313">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1.10  交通运输</w:t>
      </w:r>
    </w:p>
    <w:p w14:paraId="573E833A">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1.10.1  出入现场的权利</w:t>
      </w:r>
    </w:p>
    <w:p w14:paraId="49881FA0">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关于出入现场的权利的约定：</w:t>
      </w:r>
      <w:r>
        <w:rPr>
          <w:rFonts w:hint="eastAsia" w:ascii="宋体" w:hAnsi="宋体" w:eastAsia="宋体" w:cs="宋体"/>
          <w:color w:val="auto"/>
          <w:spacing w:val="0"/>
          <w:w w:val="100"/>
          <w:position w:val="0"/>
          <w:sz w:val="21"/>
          <w:szCs w:val="21"/>
          <w:highlight w:val="none"/>
          <w:u w:val="single" w:color="auto"/>
        </w:rPr>
        <w:t xml:space="preserve">   各参建单位以及建设行政</w:t>
      </w:r>
      <w:r>
        <w:rPr>
          <w:rFonts w:hint="eastAsia" w:ascii="宋体" w:hAnsi="宋体" w:eastAsia="宋体" w:cs="宋体"/>
          <w:color w:val="auto"/>
          <w:spacing w:val="0"/>
          <w:w w:val="100"/>
          <w:position w:val="0"/>
          <w:sz w:val="21"/>
          <w:szCs w:val="21"/>
          <w:highlight w:val="none"/>
          <w:u w:val="single" w:color="auto"/>
          <w:lang w:eastAsia="zh-CN"/>
        </w:rPr>
        <w:t>管理</w:t>
      </w:r>
      <w:r>
        <w:rPr>
          <w:rFonts w:hint="eastAsia" w:ascii="宋体" w:hAnsi="宋体" w:eastAsia="宋体" w:cs="宋体"/>
          <w:color w:val="auto"/>
          <w:spacing w:val="0"/>
          <w:w w:val="100"/>
          <w:position w:val="0"/>
          <w:sz w:val="21"/>
          <w:szCs w:val="21"/>
          <w:highlight w:val="none"/>
          <w:u w:val="single" w:color="auto"/>
        </w:rPr>
        <w:t xml:space="preserve">部门均可出入现场  </w:t>
      </w:r>
      <w:r>
        <w:rPr>
          <w:rFonts w:hint="eastAsia" w:ascii="宋体" w:hAnsi="宋体" w:eastAsia="宋体" w:cs="宋体"/>
          <w:color w:val="auto"/>
          <w:spacing w:val="0"/>
          <w:w w:val="100"/>
          <w:position w:val="0"/>
          <w:sz w:val="21"/>
          <w:szCs w:val="21"/>
          <w:highlight w:val="none"/>
        </w:rPr>
        <w:t>。</w:t>
      </w:r>
    </w:p>
    <w:p w14:paraId="0DD49472">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1.10.3  场内交通</w:t>
      </w:r>
    </w:p>
    <w:p w14:paraId="1D095584">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关于场外交通和场内交通的边界的约定：</w:t>
      </w:r>
      <w:r>
        <w:rPr>
          <w:rFonts w:hint="eastAsia" w:ascii="宋体" w:hAnsi="宋体" w:eastAsia="宋体" w:cs="宋体"/>
          <w:color w:val="auto"/>
          <w:spacing w:val="0"/>
          <w:w w:val="100"/>
          <w:position w:val="0"/>
          <w:sz w:val="21"/>
          <w:szCs w:val="21"/>
          <w:highlight w:val="none"/>
          <w:u w:val="single" w:color="auto"/>
        </w:rPr>
        <w:t xml:space="preserve"> 原则上以施工场地（或称工地、现场）边界的内、外进行界定，既施工场地边界以内为场内道路，施工场地边界以外为场外道路。</w:t>
      </w:r>
    </w:p>
    <w:p w14:paraId="19A6B594">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lang w:eastAsia="zh-CN"/>
        </w:rPr>
      </w:pPr>
      <w:r>
        <w:rPr>
          <w:rFonts w:hint="eastAsia" w:ascii="宋体" w:hAnsi="宋体" w:eastAsia="宋体" w:cs="宋体"/>
          <w:color w:val="auto"/>
          <w:spacing w:val="0"/>
          <w:w w:val="100"/>
          <w:position w:val="0"/>
          <w:sz w:val="21"/>
          <w:szCs w:val="21"/>
          <w:highlight w:val="none"/>
        </w:rPr>
        <w:t>关于发包人向承包人免费提供满足工程施工需要的场内道路和交通设施的约定：</w:t>
      </w:r>
      <w:r>
        <w:rPr>
          <w:rFonts w:hint="eastAsia" w:ascii="宋体" w:hAnsi="宋体" w:eastAsia="宋体" w:cs="宋体"/>
          <w:color w:val="auto"/>
          <w:spacing w:val="0"/>
          <w:w w:val="100"/>
          <w:position w:val="0"/>
          <w:sz w:val="21"/>
          <w:szCs w:val="21"/>
          <w:highlight w:val="none"/>
          <w:u w:val="single" w:color="auto"/>
        </w:rPr>
        <w:t xml:space="preserve"> 由承包人根据现场实际自行考虑，费用自理</w:t>
      </w:r>
      <w:r>
        <w:rPr>
          <w:rFonts w:hint="eastAsia" w:ascii="宋体" w:hAnsi="宋体" w:eastAsia="宋体" w:cs="宋体"/>
          <w:color w:val="auto"/>
          <w:spacing w:val="0"/>
          <w:w w:val="100"/>
          <w:position w:val="0"/>
          <w:sz w:val="21"/>
          <w:szCs w:val="21"/>
          <w:highlight w:val="none"/>
          <w:u w:val="single" w:color="auto"/>
          <w:lang w:eastAsia="zh-CN"/>
        </w:rPr>
        <w:t>。</w:t>
      </w:r>
    </w:p>
    <w:p w14:paraId="6B7612D8">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1.10.4  超大件和超重件的运输</w:t>
      </w:r>
    </w:p>
    <w:p w14:paraId="71DE8F08">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运输超大件或超重件所需的道路和桥梁临时加固改造费用和其他有关费用由</w:t>
      </w:r>
      <w:r>
        <w:rPr>
          <w:rFonts w:hint="eastAsia" w:ascii="宋体" w:hAnsi="宋体" w:eastAsia="宋体" w:cs="宋体"/>
          <w:color w:val="auto"/>
          <w:spacing w:val="0"/>
          <w:w w:val="100"/>
          <w:position w:val="0"/>
          <w:sz w:val="21"/>
          <w:szCs w:val="21"/>
          <w:highlight w:val="none"/>
          <w:u w:val="single" w:color="auto"/>
        </w:rPr>
        <w:t xml:space="preserve">  承包人</w:t>
      </w:r>
      <w:r>
        <w:rPr>
          <w:rFonts w:hint="eastAsia" w:ascii="宋体" w:hAnsi="宋体" w:eastAsia="宋体" w:cs="宋体"/>
          <w:color w:val="auto"/>
          <w:spacing w:val="0"/>
          <w:w w:val="100"/>
          <w:position w:val="0"/>
          <w:sz w:val="21"/>
          <w:szCs w:val="21"/>
          <w:highlight w:val="none"/>
        </w:rPr>
        <w:t xml:space="preserve"> 承担。</w:t>
      </w:r>
    </w:p>
    <w:p w14:paraId="13E67BFB">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1.11  知识产权</w:t>
      </w:r>
    </w:p>
    <w:p w14:paraId="498460A5">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baseline"/>
        <w:rPr>
          <w:rFonts w:hint="eastAsia" w:ascii="宋体" w:hAnsi="宋体" w:eastAsia="宋体" w:cs="宋体"/>
          <w:color w:val="auto"/>
          <w:spacing w:val="0"/>
          <w:w w:val="100"/>
          <w:position w:val="0"/>
          <w:sz w:val="21"/>
          <w:szCs w:val="21"/>
          <w:highlight w:val="none"/>
          <w:u w:val="single"/>
          <w:lang w:eastAsia="zh-CN"/>
        </w:rPr>
      </w:pPr>
      <w:r>
        <w:rPr>
          <w:rFonts w:hint="eastAsia" w:ascii="宋体" w:hAnsi="宋体" w:eastAsia="宋体" w:cs="宋体"/>
          <w:color w:val="auto"/>
          <w:spacing w:val="0"/>
          <w:w w:val="100"/>
          <w:position w:val="0"/>
          <w:sz w:val="21"/>
          <w:szCs w:val="21"/>
          <w:highlight w:val="none"/>
        </w:rPr>
        <w:t>1.11.1  关于发包人提供给承包人的图纸、发包人为实施工程自行编制或委托编制的技术规范以及反映 发包人关于合同要求或其他类似性质的文件的著作权的归属：</w:t>
      </w:r>
      <w:r>
        <w:rPr>
          <w:rFonts w:hint="eastAsia" w:ascii="宋体" w:hAnsi="宋体" w:eastAsia="宋体" w:cs="宋体"/>
          <w:color w:val="auto"/>
          <w:spacing w:val="0"/>
          <w:w w:val="100"/>
          <w:position w:val="0"/>
          <w:sz w:val="21"/>
          <w:szCs w:val="21"/>
          <w:highlight w:val="none"/>
          <w:u w:val="single"/>
        </w:rPr>
        <w:t>发包人</w:t>
      </w:r>
      <w:r>
        <w:rPr>
          <w:rFonts w:hint="eastAsia" w:ascii="宋体" w:hAnsi="宋体" w:eastAsia="宋体" w:cs="宋体"/>
          <w:color w:val="auto"/>
          <w:spacing w:val="0"/>
          <w:w w:val="100"/>
          <w:position w:val="0"/>
          <w:sz w:val="21"/>
          <w:szCs w:val="21"/>
          <w:highlight w:val="none"/>
          <w:u w:val="single"/>
          <w:lang w:eastAsia="zh-CN"/>
        </w:rPr>
        <w:t>。</w:t>
      </w:r>
    </w:p>
    <w:p w14:paraId="2FE868D2">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baseline"/>
        <w:rPr>
          <w:rFonts w:hint="eastAsia" w:ascii="宋体" w:hAnsi="宋体" w:eastAsia="宋体" w:cs="宋体"/>
          <w:color w:val="auto"/>
          <w:spacing w:val="0"/>
          <w:w w:val="100"/>
          <w:position w:val="0"/>
          <w:sz w:val="21"/>
          <w:szCs w:val="21"/>
          <w:highlight w:val="none"/>
          <w:u w:val="single" w:color="auto"/>
        </w:rPr>
      </w:pPr>
      <w:r>
        <w:rPr>
          <w:rFonts w:hint="eastAsia" w:ascii="宋体" w:hAnsi="宋体" w:eastAsia="宋体" w:cs="宋体"/>
          <w:color w:val="auto"/>
          <w:spacing w:val="0"/>
          <w:w w:val="100"/>
          <w:position w:val="0"/>
          <w:sz w:val="21"/>
          <w:szCs w:val="21"/>
          <w:highlight w:val="none"/>
        </w:rPr>
        <w:t>关于发包人提供的上述文件的使用限制的要求：</w:t>
      </w:r>
      <w:r>
        <w:rPr>
          <w:rFonts w:hint="eastAsia" w:ascii="宋体" w:hAnsi="宋体" w:eastAsia="宋体" w:cs="宋体"/>
          <w:color w:val="auto"/>
          <w:spacing w:val="0"/>
          <w:w w:val="100"/>
          <w:position w:val="0"/>
          <w:sz w:val="21"/>
          <w:szCs w:val="21"/>
          <w:highlight w:val="none"/>
          <w:u w:val="single" w:color="auto"/>
        </w:rPr>
        <w:t xml:space="preserve">  承包人可以为实现合同目的而复制、使用此类文件，但不能用于与合同无关的其他事项。未经发包人书面同意，承包人不得为了合同以外的目的而复制、使用上述文件或将之提供给任何第三方。 </w:t>
      </w:r>
    </w:p>
    <w:p w14:paraId="178F8565">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1.11.2  关于承包人为实施工程所编制文件的著作权的归属：</w:t>
      </w:r>
      <w:r>
        <w:rPr>
          <w:rFonts w:hint="eastAsia" w:ascii="宋体" w:hAnsi="宋体" w:eastAsia="宋体" w:cs="宋体"/>
          <w:color w:val="auto"/>
          <w:spacing w:val="0"/>
          <w:w w:val="100"/>
          <w:position w:val="0"/>
          <w:sz w:val="21"/>
          <w:szCs w:val="21"/>
          <w:highlight w:val="none"/>
          <w:u w:val="single" w:color="auto"/>
        </w:rPr>
        <w:t xml:space="preserve">       发包人      </w:t>
      </w:r>
      <w:r>
        <w:rPr>
          <w:rFonts w:hint="eastAsia" w:ascii="宋体" w:hAnsi="宋体" w:eastAsia="宋体" w:cs="宋体"/>
          <w:color w:val="auto"/>
          <w:spacing w:val="0"/>
          <w:w w:val="100"/>
          <w:position w:val="0"/>
          <w:sz w:val="21"/>
          <w:szCs w:val="21"/>
          <w:highlight w:val="none"/>
        </w:rPr>
        <w:t xml:space="preserve">。 </w:t>
      </w:r>
    </w:p>
    <w:p w14:paraId="6C97B1E9">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关于承包人提供的上述文件的使用限制的要求：</w:t>
      </w:r>
      <w:r>
        <w:rPr>
          <w:rFonts w:hint="eastAsia" w:ascii="宋体" w:hAnsi="宋体" w:eastAsia="宋体" w:cs="宋体"/>
          <w:color w:val="auto"/>
          <w:spacing w:val="0"/>
          <w:w w:val="100"/>
          <w:position w:val="0"/>
          <w:sz w:val="21"/>
          <w:szCs w:val="21"/>
          <w:highlight w:val="none"/>
          <w:u w:val="single" w:color="auto"/>
        </w:rPr>
        <w:t xml:space="preserve">  承包人可因实施工程的运行、调试、维修、改造等目的而复制、使用此类文件，但不能用于与合同无关的其他事项。未经发包人书面同意，承包人不得为了合同以外的目的而复制、使用上述文件或将之提供给任何第三方  </w:t>
      </w:r>
      <w:r>
        <w:rPr>
          <w:rFonts w:hint="eastAsia" w:ascii="宋体" w:hAnsi="宋体" w:eastAsia="宋体" w:cs="宋体"/>
          <w:color w:val="auto"/>
          <w:spacing w:val="0"/>
          <w:w w:val="100"/>
          <w:position w:val="0"/>
          <w:sz w:val="21"/>
          <w:szCs w:val="21"/>
          <w:highlight w:val="none"/>
        </w:rPr>
        <w:t>。</w:t>
      </w:r>
    </w:p>
    <w:p w14:paraId="7233634C">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u w:val="single"/>
          <w:lang w:val="en-US" w:eastAsia="zh-CN"/>
        </w:rPr>
      </w:pPr>
      <w:r>
        <w:rPr>
          <w:rFonts w:hint="eastAsia" w:ascii="宋体" w:hAnsi="宋体" w:eastAsia="宋体" w:cs="宋体"/>
          <w:color w:val="auto"/>
          <w:spacing w:val="0"/>
          <w:w w:val="100"/>
          <w:position w:val="0"/>
          <w:sz w:val="21"/>
          <w:szCs w:val="21"/>
          <w:highlight w:val="none"/>
        </w:rPr>
        <w:t>1.11.4  承包人在施工过程中所采用的专利、专有技术、技术秘密的使用费的承担方式：</w:t>
      </w:r>
      <w:r>
        <w:rPr>
          <w:rFonts w:hint="eastAsia" w:ascii="宋体" w:hAnsi="宋体" w:eastAsia="宋体" w:cs="宋体"/>
          <w:color w:val="auto"/>
          <w:spacing w:val="0"/>
          <w:w w:val="100"/>
          <w:position w:val="0"/>
          <w:sz w:val="21"/>
          <w:szCs w:val="21"/>
          <w:highlight w:val="none"/>
          <w:u w:val="single"/>
          <w:lang w:val="en-US" w:eastAsia="zh-CN"/>
        </w:rPr>
        <w:t xml:space="preserve"> 由承包人承担  。</w:t>
      </w:r>
    </w:p>
    <w:p w14:paraId="2BAE1609">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1.13 工程量清单错误的修正</w:t>
      </w:r>
    </w:p>
    <w:p w14:paraId="0C4E4325">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 xml:space="preserve">出现工程量清单工程量偏差时，是否调整合同价格： </w:t>
      </w:r>
      <w:r>
        <w:rPr>
          <w:rFonts w:hint="eastAsia" w:ascii="宋体" w:hAnsi="宋体" w:eastAsia="宋体" w:cs="宋体"/>
          <w:color w:val="auto"/>
          <w:spacing w:val="0"/>
          <w:w w:val="100"/>
          <w:position w:val="0"/>
          <w:sz w:val="21"/>
          <w:szCs w:val="21"/>
          <w:highlight w:val="none"/>
          <w:u w:val="single" w:color="auto"/>
          <w:lang w:eastAsia="zh-CN"/>
        </w:rPr>
        <w:t>☑</w:t>
      </w:r>
      <w:r>
        <w:rPr>
          <w:rFonts w:hint="eastAsia" w:ascii="宋体" w:hAnsi="宋体" w:eastAsia="宋体" w:cs="宋体"/>
          <w:color w:val="auto"/>
          <w:spacing w:val="0"/>
          <w:w w:val="100"/>
          <w:position w:val="0"/>
          <w:sz w:val="21"/>
          <w:szCs w:val="21"/>
          <w:highlight w:val="none"/>
          <w:u w:val="single" w:color="auto"/>
        </w:rPr>
        <w:t xml:space="preserve">是  </w:t>
      </w:r>
      <w:r>
        <w:rPr>
          <w:rFonts w:hint="eastAsia" w:ascii="宋体" w:hAnsi="宋体" w:eastAsia="宋体" w:cs="宋体"/>
          <w:color w:val="auto"/>
          <w:spacing w:val="0"/>
          <w:w w:val="100"/>
          <w:position w:val="0"/>
          <w:sz w:val="21"/>
          <w:szCs w:val="21"/>
          <w:highlight w:val="none"/>
          <w:u w:val="single" w:color="auto"/>
          <w:lang w:eastAsia="zh-CN"/>
        </w:rPr>
        <w:t>□</w:t>
      </w:r>
      <w:r>
        <w:rPr>
          <w:rFonts w:hint="eastAsia" w:ascii="宋体" w:hAnsi="宋体" w:eastAsia="宋体" w:cs="宋体"/>
          <w:color w:val="auto"/>
          <w:spacing w:val="0"/>
          <w:w w:val="100"/>
          <w:position w:val="0"/>
          <w:sz w:val="21"/>
          <w:szCs w:val="21"/>
          <w:highlight w:val="none"/>
          <w:u w:val="single" w:color="auto"/>
        </w:rPr>
        <w:t>否</w:t>
      </w:r>
      <w:r>
        <w:rPr>
          <w:rFonts w:hint="eastAsia" w:ascii="宋体" w:hAnsi="宋体" w:eastAsia="宋体" w:cs="宋体"/>
          <w:color w:val="auto"/>
          <w:spacing w:val="0"/>
          <w:w w:val="100"/>
          <w:position w:val="0"/>
          <w:sz w:val="21"/>
          <w:szCs w:val="21"/>
          <w:highlight w:val="none"/>
        </w:rPr>
        <w:t>。</w:t>
      </w:r>
    </w:p>
    <w:p w14:paraId="4CB46FCB">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rPr>
        <w:t>允许调整合同价格的工程量偏差范围及其调整办法：</w:t>
      </w:r>
    </w:p>
    <w:p w14:paraId="786186D6">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 xml:space="preserve"> 除严重不平衡报价外，无论分部分项工程量清单项目中的工程量变化多少均不调整 。</w:t>
      </w:r>
    </w:p>
    <w:p w14:paraId="63C0E893">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承包人实际完成的某单项清单项目工程量与招标工程量清单工程量偏差超过</w:t>
      </w:r>
      <w:r>
        <w:rPr>
          <w:rFonts w:hint="eastAsia" w:ascii="宋体" w:hAnsi="宋体" w:eastAsia="宋体" w:cs="宋体"/>
          <w:color w:val="auto"/>
          <w:spacing w:val="0"/>
          <w:w w:val="100"/>
          <w:position w:val="0"/>
          <w:sz w:val="21"/>
          <w:szCs w:val="21"/>
          <w:highlight w:val="none"/>
          <w:u w:val="single"/>
        </w:rPr>
        <w:t xml:space="preserve">  </w:t>
      </w:r>
      <w:r>
        <w:rPr>
          <w:rFonts w:hint="eastAsia" w:ascii="宋体" w:hAnsi="宋体" w:eastAsia="宋体" w:cs="宋体"/>
          <w:color w:val="auto"/>
          <w:spacing w:val="0"/>
          <w:w w:val="100"/>
          <w:position w:val="0"/>
          <w:sz w:val="21"/>
          <w:szCs w:val="21"/>
          <w:highlight w:val="none"/>
          <w:u w:val="single"/>
          <w:lang w:val="en-US" w:eastAsia="zh-CN"/>
        </w:rPr>
        <w:t>15</w:t>
      </w:r>
      <w:r>
        <w:rPr>
          <w:rFonts w:hint="eastAsia" w:ascii="宋体" w:hAnsi="宋体" w:eastAsia="宋体" w:cs="宋体"/>
          <w:color w:val="auto"/>
          <w:spacing w:val="0"/>
          <w:w w:val="100"/>
          <w:position w:val="0"/>
          <w:sz w:val="21"/>
          <w:szCs w:val="21"/>
          <w:highlight w:val="none"/>
          <w:u w:val="single"/>
        </w:rPr>
        <w:t xml:space="preserve">  %</w:t>
      </w:r>
      <w:r>
        <w:rPr>
          <w:rFonts w:hint="eastAsia" w:ascii="宋体" w:hAnsi="宋体" w:eastAsia="宋体" w:cs="宋体"/>
          <w:color w:val="auto"/>
          <w:spacing w:val="0"/>
          <w:w w:val="100"/>
          <w:position w:val="0"/>
          <w:sz w:val="21"/>
          <w:szCs w:val="21"/>
          <w:highlight w:val="none"/>
        </w:rPr>
        <w:t>且该单项清单造价超过合同总价</w:t>
      </w:r>
      <w:r>
        <w:rPr>
          <w:rFonts w:hint="eastAsia" w:ascii="宋体" w:hAnsi="宋体" w:eastAsia="宋体" w:cs="宋体"/>
          <w:color w:val="auto"/>
          <w:spacing w:val="0"/>
          <w:w w:val="100"/>
          <w:position w:val="0"/>
          <w:sz w:val="21"/>
          <w:szCs w:val="21"/>
          <w:highlight w:val="none"/>
          <w:u w:val="single"/>
        </w:rPr>
        <w:t xml:space="preserve"> </w:t>
      </w:r>
      <w:r>
        <w:rPr>
          <w:rFonts w:hint="eastAsia" w:ascii="宋体" w:hAnsi="宋体" w:eastAsia="宋体" w:cs="宋体"/>
          <w:color w:val="auto"/>
          <w:spacing w:val="0"/>
          <w:w w:val="100"/>
          <w:position w:val="0"/>
          <w:sz w:val="21"/>
          <w:szCs w:val="21"/>
          <w:highlight w:val="none"/>
          <w:u w:val="single"/>
          <w:lang w:val="en-US" w:eastAsia="zh-CN"/>
        </w:rPr>
        <w:t xml:space="preserve"> 1</w:t>
      </w:r>
      <w:r>
        <w:rPr>
          <w:rFonts w:hint="eastAsia" w:ascii="宋体" w:hAnsi="宋体" w:eastAsia="宋体" w:cs="宋体"/>
          <w:color w:val="auto"/>
          <w:spacing w:val="0"/>
          <w:w w:val="100"/>
          <w:position w:val="0"/>
          <w:sz w:val="21"/>
          <w:szCs w:val="21"/>
          <w:highlight w:val="none"/>
          <w:u w:val="single"/>
        </w:rPr>
        <w:t xml:space="preserve"> %</w:t>
      </w:r>
      <w:r>
        <w:rPr>
          <w:rFonts w:hint="eastAsia" w:ascii="宋体" w:hAnsi="宋体" w:eastAsia="宋体" w:cs="宋体"/>
          <w:color w:val="auto"/>
          <w:spacing w:val="0"/>
          <w:w w:val="100"/>
          <w:position w:val="0"/>
          <w:sz w:val="21"/>
          <w:szCs w:val="21"/>
          <w:highlight w:val="none"/>
          <w:u w:val="single"/>
          <w:lang w:val="en-US" w:eastAsia="zh-CN"/>
        </w:rPr>
        <w:t xml:space="preserve"> </w:t>
      </w:r>
      <w:r>
        <w:rPr>
          <w:rFonts w:hint="eastAsia" w:ascii="宋体" w:hAnsi="宋体" w:eastAsia="宋体" w:cs="宋体"/>
          <w:color w:val="auto"/>
          <w:spacing w:val="0"/>
          <w:w w:val="100"/>
          <w:position w:val="0"/>
          <w:sz w:val="21"/>
          <w:szCs w:val="21"/>
          <w:highlight w:val="none"/>
        </w:rPr>
        <w:t>以上的，超过后增加部分工程量或减少后剩余部分工程量的综合单价按以下方法调整：</w:t>
      </w:r>
      <w:r>
        <w:rPr>
          <w:rFonts w:hint="eastAsia" w:ascii="宋体" w:hAnsi="宋体" w:eastAsia="宋体" w:cs="宋体"/>
          <w:color w:val="auto"/>
          <w:spacing w:val="0"/>
          <w:w w:val="100"/>
          <w:position w:val="0"/>
          <w:sz w:val="21"/>
          <w:szCs w:val="21"/>
          <w:highlight w:val="none"/>
          <w:u w:val="single"/>
          <w:lang w:val="en-US" w:eastAsia="zh-CN"/>
        </w:rPr>
        <w:t xml:space="preserve">  </w:t>
      </w:r>
      <w:r>
        <w:rPr>
          <w:rStyle w:val="18"/>
          <w:rFonts w:hint="eastAsia" w:ascii="宋体" w:hAnsi="宋体" w:eastAsia="宋体" w:cs="宋体"/>
          <w:color w:val="auto"/>
          <w:spacing w:val="0"/>
          <w:sz w:val="21"/>
          <w:szCs w:val="21"/>
          <w:highlight w:val="none"/>
          <w:u w:val="single" w:color="auto"/>
        </w:rPr>
        <w:t>有定额的套定额计算，执行本招标文件工程计价参考依据，并乘以下浮系数（中标价/招标控制价）结算，其中材料价格有信息价的按施工期间信息价的平均价计取，无信息价的由发包人、监理单位及承包人根据市场价格协商议定。</w:t>
      </w:r>
      <w:r>
        <w:rPr>
          <w:rFonts w:hint="eastAsia" w:ascii="宋体" w:hAnsi="宋体" w:eastAsia="宋体" w:cs="宋体"/>
          <w:color w:val="auto"/>
          <w:spacing w:val="0"/>
          <w:w w:val="100"/>
          <w:position w:val="0"/>
          <w:sz w:val="21"/>
          <w:szCs w:val="21"/>
          <w:highlight w:val="none"/>
          <w:u w:val="single"/>
          <w:lang w:val="en-US" w:eastAsia="zh-CN"/>
        </w:rPr>
        <w:t xml:space="preserve">   </w:t>
      </w:r>
      <w:r>
        <w:rPr>
          <w:rFonts w:hint="eastAsia" w:ascii="宋体" w:hAnsi="宋体" w:eastAsia="宋体" w:cs="宋体"/>
          <w:color w:val="auto"/>
          <w:spacing w:val="0"/>
          <w:w w:val="100"/>
          <w:position w:val="0"/>
          <w:sz w:val="21"/>
          <w:szCs w:val="21"/>
          <w:highlight w:val="none"/>
        </w:rPr>
        <w:t xml:space="preserve">                       </w:t>
      </w:r>
    </w:p>
    <w:p w14:paraId="09FC1485">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2. 发包人</w:t>
      </w:r>
    </w:p>
    <w:p w14:paraId="5B0E29A0">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2.2  发包人代表</w:t>
      </w:r>
    </w:p>
    <w:p w14:paraId="2D0E652C">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发包人代表：</w:t>
      </w:r>
    </w:p>
    <w:p w14:paraId="2C88A706">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姓    名：</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窦艳霞</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07B6F223">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身份证号：</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51DC799C">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职    务：</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74338FE7">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联系电话：</w:t>
      </w:r>
      <w:r>
        <w:rPr>
          <w:rFonts w:hint="eastAsia" w:ascii="宋体" w:hAnsi="宋体" w:eastAsia="宋体" w:cs="宋体"/>
          <w:color w:val="auto"/>
          <w:spacing w:val="0"/>
          <w:w w:val="100"/>
          <w:position w:val="0"/>
          <w:sz w:val="21"/>
          <w:szCs w:val="21"/>
          <w:highlight w:val="none"/>
          <w:u w:val="single" w:color="auto"/>
        </w:rPr>
        <w:t xml:space="preserve">     </w:t>
      </w:r>
      <w:bookmarkStart w:id="28" w:name="OLE_LINK2"/>
      <w:r>
        <w:rPr>
          <w:rFonts w:hint="eastAsia" w:ascii="宋体" w:hAnsi="宋体" w:eastAsia="宋体" w:cs="宋体"/>
          <w:color w:val="auto"/>
          <w:spacing w:val="0"/>
          <w:w w:val="100"/>
          <w:position w:val="0"/>
          <w:sz w:val="21"/>
          <w:szCs w:val="21"/>
          <w:highlight w:val="none"/>
          <w:u w:val="single" w:color="auto"/>
          <w:lang w:val="en-US" w:eastAsia="zh-CN"/>
        </w:rPr>
        <w:t>0771-6820957</w:t>
      </w:r>
      <w:r>
        <w:rPr>
          <w:rFonts w:hint="eastAsia" w:ascii="宋体" w:hAnsi="宋体" w:eastAsia="宋体" w:cs="宋体"/>
          <w:color w:val="auto"/>
          <w:spacing w:val="0"/>
          <w:w w:val="100"/>
          <w:position w:val="0"/>
          <w:sz w:val="21"/>
          <w:szCs w:val="21"/>
          <w:highlight w:val="none"/>
          <w:u w:val="single" w:color="auto"/>
        </w:rPr>
        <w:t xml:space="preserve">   </w:t>
      </w:r>
      <w:bookmarkEnd w:id="28"/>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053A00CC">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电子信箱：</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532CC847">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通信地址：</w:t>
      </w:r>
      <w:r>
        <w:rPr>
          <w:rFonts w:hint="eastAsia" w:ascii="宋体" w:hAnsi="宋体" w:eastAsia="宋体" w:cs="宋体"/>
          <w:color w:val="auto"/>
          <w:spacing w:val="0"/>
          <w:w w:val="100"/>
          <w:position w:val="0"/>
          <w:sz w:val="21"/>
          <w:szCs w:val="21"/>
          <w:highlight w:val="none"/>
          <w:u w:val="single" w:color="auto"/>
        </w:rPr>
        <w:t xml:space="preserve">   </w:t>
      </w:r>
      <w:bookmarkStart w:id="29" w:name="OLE_LINK8"/>
      <w:r>
        <w:rPr>
          <w:rFonts w:hint="eastAsia" w:ascii="宋体" w:hAnsi="宋体" w:eastAsia="宋体" w:cs="宋体"/>
          <w:color w:val="auto"/>
          <w:spacing w:val="0"/>
          <w:w w:val="100"/>
          <w:position w:val="0"/>
          <w:sz w:val="21"/>
          <w:szCs w:val="21"/>
          <w:highlight w:val="none"/>
          <w:u w:val="single" w:color="auto"/>
          <w:lang w:val="en-US" w:eastAsia="zh-CN"/>
        </w:rPr>
        <w:t>南宁市马山县新兴大道南二巷1号</w:t>
      </w:r>
      <w:bookmarkEnd w:id="29"/>
      <w:r>
        <w:rPr>
          <w:rFonts w:hint="eastAsia" w:ascii="宋体" w:hAnsi="宋体" w:eastAsia="宋体"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19710E08">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发包人对发包人代表的授权范围如下：</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19537EDD">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2.4  施工现场、施工条件和基础资料的提供</w:t>
      </w:r>
    </w:p>
    <w:p w14:paraId="7C887762">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2.4.1  提供施工现场</w:t>
      </w:r>
    </w:p>
    <w:p w14:paraId="0052B9D1">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关于发包人移交施工现场的期限要求：</w:t>
      </w:r>
      <w:r>
        <w:rPr>
          <w:rFonts w:hint="eastAsia" w:ascii="宋体" w:hAnsi="宋体" w:eastAsia="宋体" w:cs="宋体"/>
          <w:color w:val="auto"/>
          <w:spacing w:val="0"/>
          <w:w w:val="100"/>
          <w:position w:val="0"/>
          <w:sz w:val="21"/>
          <w:szCs w:val="21"/>
          <w:highlight w:val="none"/>
          <w:u w:val="single" w:color="auto"/>
        </w:rPr>
        <w:t xml:space="preserve">  施工场地应当在监理人发出的开工通知中载明的开工日期前7天具备施工条并移交给承包人   </w:t>
      </w:r>
      <w:r>
        <w:rPr>
          <w:rFonts w:hint="eastAsia" w:ascii="宋体" w:hAnsi="宋体" w:eastAsia="宋体" w:cs="宋体"/>
          <w:color w:val="auto"/>
          <w:spacing w:val="0"/>
          <w:w w:val="100"/>
          <w:position w:val="0"/>
          <w:sz w:val="21"/>
          <w:szCs w:val="21"/>
          <w:highlight w:val="none"/>
        </w:rPr>
        <w:t>。</w:t>
      </w:r>
    </w:p>
    <w:p w14:paraId="0A6CA9CA">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2.4.2  提供施工条件</w:t>
      </w:r>
    </w:p>
    <w:p w14:paraId="0E90AD01">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关于发包人应负责提供施工所需要的条件，包括：</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55483053">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2.5  资金来源证明及支付担保</w:t>
      </w:r>
    </w:p>
    <w:p w14:paraId="70326401">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发包人提供资金来源证明的期限要求：</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763D5B40">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发包人是否提供支付担保：</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 xml:space="preserve"> 。【发包人要求承包人提供履约担保的，应当同时向承包人提供工程款支付担保。工程款支付担保可以全额担保，也可以分阶段担保。 分阶段担保的，除保修金以外的全部款项，完成一个阶段清算后再进入下一阶段，有效期截至工程竣工结算款支付完毕。发包人未按合同约定及时支付工程款的，工程担保保证人需承担担 保责任。对政府投资项目，由建设单位提供落实财政资金来源的证明文件。】</w:t>
      </w:r>
    </w:p>
    <w:p w14:paraId="6D2149B7">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发包人提供支付担保的形式：可以是银行转账、电汇或网上支付、保函（银行保函、电子 保函、保证保险保函、工程担保保函）等形式。工程担保保证人应将出具的保函相关信息录入 “广西建筑市场监管云”平台（</w:t>
      </w:r>
      <w:r>
        <w:rPr>
          <w:rFonts w:hint="eastAsia" w:ascii="宋体" w:hAnsi="宋体" w:eastAsia="宋体" w:cs="宋体"/>
          <w:color w:val="auto"/>
          <w:spacing w:val="0"/>
          <w:w w:val="100"/>
          <w:position w:val="0"/>
          <w:highlight w:val="none"/>
        </w:rPr>
        <w:fldChar w:fldCharType="begin"/>
      </w:r>
      <w:r>
        <w:rPr>
          <w:rFonts w:hint="eastAsia" w:ascii="宋体" w:hAnsi="宋体" w:eastAsia="宋体" w:cs="宋体"/>
          <w:color w:val="auto"/>
          <w:spacing w:val="0"/>
          <w:w w:val="100"/>
          <w:position w:val="0"/>
          <w:highlight w:val="none"/>
        </w:rPr>
        <w:instrText xml:space="preserve"> HYPERLINK "http://gxjzsc.caihcloud.com" </w:instrText>
      </w:r>
      <w:r>
        <w:rPr>
          <w:rFonts w:hint="eastAsia" w:ascii="宋体" w:hAnsi="宋体" w:eastAsia="宋体" w:cs="宋体"/>
          <w:color w:val="auto"/>
          <w:spacing w:val="0"/>
          <w:w w:val="100"/>
          <w:position w:val="0"/>
          <w:highlight w:val="none"/>
        </w:rPr>
        <w:fldChar w:fldCharType="separate"/>
      </w:r>
      <w:r>
        <w:rPr>
          <w:rFonts w:hint="eastAsia" w:ascii="宋体" w:hAnsi="宋体" w:eastAsia="宋体" w:cs="宋体"/>
          <w:color w:val="auto"/>
          <w:spacing w:val="0"/>
          <w:w w:val="100"/>
          <w:position w:val="0"/>
          <w:sz w:val="21"/>
          <w:szCs w:val="21"/>
          <w:highlight w:val="none"/>
        </w:rPr>
        <w:t>http://gxjzsc.caihcloud.com</w:t>
      </w:r>
      <w:r>
        <w:rPr>
          <w:rFonts w:hint="eastAsia" w:ascii="宋体" w:hAnsi="宋体" w:eastAsia="宋体" w:cs="宋体"/>
          <w:color w:val="auto"/>
          <w:spacing w:val="0"/>
          <w:w w:val="100"/>
          <w:position w:val="0"/>
          <w:sz w:val="21"/>
          <w:szCs w:val="21"/>
          <w:highlight w:val="none"/>
        </w:rPr>
        <w:fldChar w:fldCharType="end"/>
      </w:r>
      <w:r>
        <w:rPr>
          <w:rFonts w:hint="eastAsia" w:ascii="宋体" w:hAnsi="宋体" w:eastAsia="宋体" w:cs="宋体"/>
          <w:color w:val="auto"/>
          <w:spacing w:val="0"/>
          <w:w w:val="100"/>
          <w:position w:val="0"/>
          <w:sz w:val="21"/>
          <w:szCs w:val="21"/>
          <w:highlight w:val="none"/>
        </w:rPr>
        <w:t>），以实现保函查询及验真功能。</w:t>
      </w:r>
    </w:p>
    <w:p w14:paraId="18545B3A">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发包人提供的支付担保格式见合同附件 9。</w:t>
      </w:r>
    </w:p>
    <w:p w14:paraId="2684754E">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 承包人</w:t>
      </w:r>
    </w:p>
    <w:p w14:paraId="407C4540">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3.1  承包人的一般义务</w:t>
      </w:r>
    </w:p>
    <w:p w14:paraId="0ACB7B11">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u w:val="single" w:color="auto"/>
        </w:rPr>
      </w:pPr>
      <w:r>
        <w:rPr>
          <w:rFonts w:hint="eastAsia" w:ascii="宋体" w:hAnsi="宋体" w:eastAsia="宋体" w:cs="宋体"/>
          <w:color w:val="auto"/>
          <w:spacing w:val="0"/>
          <w:w w:val="100"/>
          <w:position w:val="0"/>
          <w:sz w:val="21"/>
          <w:szCs w:val="21"/>
          <w:highlight w:val="none"/>
        </w:rPr>
        <w:t>承包人提交的竣工资料的内容：</w:t>
      </w:r>
      <w:r>
        <w:rPr>
          <w:rFonts w:hint="eastAsia" w:ascii="宋体" w:hAnsi="宋体" w:eastAsia="宋体" w:cs="宋体"/>
          <w:color w:val="auto"/>
          <w:spacing w:val="0"/>
          <w:w w:val="100"/>
          <w:position w:val="0"/>
          <w:sz w:val="21"/>
          <w:szCs w:val="21"/>
          <w:highlight w:val="none"/>
          <w:u w:val="single" w:color="auto"/>
        </w:rPr>
        <w:t>按照国家及地方的标准、规范及行业管理规定要求执行以及发包人、监理人要求执行  。</w:t>
      </w:r>
    </w:p>
    <w:p w14:paraId="55E56A93">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承包人需要提交的竣工资料套数：</w:t>
      </w:r>
      <w:r>
        <w:rPr>
          <w:rFonts w:hint="eastAsia" w:ascii="宋体" w:hAnsi="宋体" w:eastAsia="宋体" w:cs="宋体"/>
          <w:color w:val="auto"/>
          <w:spacing w:val="0"/>
          <w:w w:val="100"/>
          <w:position w:val="0"/>
          <w:sz w:val="21"/>
          <w:szCs w:val="21"/>
          <w:highlight w:val="none"/>
          <w:u w:val="single" w:color="auto"/>
        </w:rPr>
        <w:t xml:space="preserve">       一式六套     </w:t>
      </w:r>
      <w:r>
        <w:rPr>
          <w:rFonts w:hint="eastAsia" w:ascii="宋体" w:hAnsi="宋体" w:eastAsia="宋体" w:cs="宋体"/>
          <w:color w:val="auto"/>
          <w:spacing w:val="0"/>
          <w:w w:val="100"/>
          <w:position w:val="0"/>
          <w:sz w:val="21"/>
          <w:szCs w:val="21"/>
          <w:highlight w:val="none"/>
        </w:rPr>
        <w:t>。</w:t>
      </w:r>
    </w:p>
    <w:p w14:paraId="63A366FE">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承包人提交的竣工资料的费用承担：</w:t>
      </w:r>
      <w:r>
        <w:rPr>
          <w:rFonts w:hint="eastAsia" w:ascii="宋体" w:hAnsi="宋体" w:eastAsia="宋体" w:cs="宋体"/>
          <w:color w:val="auto"/>
          <w:spacing w:val="0"/>
          <w:w w:val="100"/>
          <w:position w:val="0"/>
          <w:sz w:val="21"/>
          <w:szCs w:val="21"/>
          <w:highlight w:val="none"/>
          <w:u w:val="single" w:color="auto"/>
        </w:rPr>
        <w:t xml:space="preserve">    由承包人承担       </w:t>
      </w:r>
      <w:r>
        <w:rPr>
          <w:rFonts w:hint="eastAsia" w:ascii="宋体" w:hAnsi="宋体" w:eastAsia="宋体" w:cs="宋体"/>
          <w:color w:val="auto"/>
          <w:spacing w:val="0"/>
          <w:w w:val="100"/>
          <w:position w:val="0"/>
          <w:sz w:val="21"/>
          <w:szCs w:val="21"/>
          <w:highlight w:val="none"/>
        </w:rPr>
        <w:t>。</w:t>
      </w:r>
    </w:p>
    <w:p w14:paraId="60B3367F">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承包人提交的竣工资料移交时间：</w:t>
      </w:r>
      <w:r>
        <w:rPr>
          <w:rFonts w:hint="eastAsia" w:ascii="宋体" w:hAnsi="宋体" w:eastAsia="宋体" w:cs="宋体"/>
          <w:color w:val="auto"/>
          <w:spacing w:val="0"/>
          <w:w w:val="100"/>
          <w:position w:val="0"/>
          <w:sz w:val="21"/>
          <w:szCs w:val="21"/>
          <w:highlight w:val="none"/>
          <w:u w:val="single" w:color="auto"/>
        </w:rPr>
        <w:t xml:space="preserve">    竣工验收合格后28天内   </w:t>
      </w:r>
      <w:r>
        <w:rPr>
          <w:rFonts w:hint="eastAsia" w:ascii="宋体" w:hAnsi="宋体" w:eastAsia="宋体" w:cs="宋体"/>
          <w:color w:val="auto"/>
          <w:spacing w:val="0"/>
          <w:w w:val="100"/>
          <w:position w:val="0"/>
          <w:sz w:val="21"/>
          <w:szCs w:val="21"/>
          <w:highlight w:val="none"/>
        </w:rPr>
        <w:t>。</w:t>
      </w:r>
    </w:p>
    <w:p w14:paraId="19318F56">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承包人提交的竣工资料形式要求：</w:t>
      </w:r>
      <w:r>
        <w:rPr>
          <w:rFonts w:hint="eastAsia" w:ascii="宋体" w:hAnsi="宋体" w:eastAsia="宋体" w:cs="宋体"/>
          <w:color w:val="auto"/>
          <w:spacing w:val="0"/>
          <w:w w:val="100"/>
          <w:position w:val="0"/>
          <w:sz w:val="21"/>
          <w:szCs w:val="21"/>
          <w:highlight w:val="none"/>
          <w:u w:val="single" w:color="auto"/>
        </w:rPr>
        <w:t xml:space="preserve">  纸质及电子文档并装订成册  </w:t>
      </w:r>
      <w:r>
        <w:rPr>
          <w:rFonts w:hint="eastAsia" w:ascii="宋体" w:hAnsi="宋体" w:eastAsia="宋体" w:cs="宋体"/>
          <w:color w:val="auto"/>
          <w:spacing w:val="0"/>
          <w:w w:val="100"/>
          <w:position w:val="0"/>
          <w:sz w:val="21"/>
          <w:szCs w:val="21"/>
          <w:highlight w:val="none"/>
        </w:rPr>
        <w:t>。</w:t>
      </w:r>
    </w:p>
    <w:p w14:paraId="5FC901F3">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承包人应履行的其他义务：</w:t>
      </w:r>
      <w:r>
        <w:rPr>
          <w:rFonts w:hint="eastAsia" w:ascii="宋体" w:hAnsi="宋体" w:eastAsia="宋体" w:cs="宋体"/>
          <w:color w:val="auto"/>
          <w:spacing w:val="0"/>
          <w:w w:val="100"/>
          <w:position w:val="0"/>
          <w:sz w:val="21"/>
          <w:szCs w:val="21"/>
          <w:highlight w:val="none"/>
          <w:u w:val="single" w:color="auto"/>
        </w:rPr>
        <w:t xml:space="preserve">对开工的项目，须组建项目工会。 </w:t>
      </w:r>
    </w:p>
    <w:p w14:paraId="642D260A">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3.2  项目经理</w:t>
      </w:r>
    </w:p>
    <w:p w14:paraId="44ED0BA1">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3.2.1  项目经理：</w:t>
      </w:r>
    </w:p>
    <w:p w14:paraId="0C3C560C">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姓    名：</w:t>
      </w:r>
      <w:r>
        <w:rPr>
          <w:rFonts w:hint="eastAsia" w:ascii="宋体" w:hAnsi="宋体" w:eastAsia="宋体" w:cs="宋体"/>
          <w:color w:val="auto"/>
          <w:spacing w:val="0"/>
          <w:w w:val="100"/>
          <w:position w:val="0"/>
          <w:sz w:val="21"/>
          <w:szCs w:val="21"/>
          <w:highlight w:val="none"/>
          <w:u w:val="single" w:color="auto"/>
        </w:rPr>
        <w:t xml:space="preserve">       </w:t>
      </w:r>
      <w:r>
        <w:rPr>
          <w:rFonts w:hint="eastAsia"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68C4FBB4">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身份证号：</w:t>
      </w:r>
      <w:r>
        <w:rPr>
          <w:rFonts w:hint="eastAsia" w:ascii="宋体" w:hAnsi="宋体" w:eastAsia="宋体" w:cs="宋体"/>
          <w:color w:val="auto"/>
          <w:spacing w:val="0"/>
          <w:w w:val="100"/>
          <w:position w:val="0"/>
          <w:sz w:val="21"/>
          <w:szCs w:val="21"/>
          <w:highlight w:val="none"/>
          <w:u w:val="single" w:color="auto"/>
        </w:rPr>
        <w:t xml:space="preserve">   </w:t>
      </w:r>
      <w:r>
        <w:rPr>
          <w:rFonts w:hint="eastAsia"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4796CC9A">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建造师执业资格等级：</w:t>
      </w:r>
      <w:r>
        <w:rPr>
          <w:rFonts w:hint="eastAsia" w:ascii="宋体" w:hAnsi="宋体" w:eastAsia="宋体" w:cs="宋体"/>
          <w:color w:val="auto"/>
          <w:spacing w:val="0"/>
          <w:w w:val="100"/>
          <w:position w:val="0"/>
          <w:sz w:val="21"/>
          <w:szCs w:val="21"/>
          <w:highlight w:val="none"/>
          <w:u w:val="single" w:color="auto"/>
        </w:rPr>
        <w:t xml:space="preserve">       </w:t>
      </w:r>
      <w:r>
        <w:rPr>
          <w:rFonts w:hint="eastAsia"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1A0B1F5B">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建造师注册证书号：</w:t>
      </w:r>
      <w:r>
        <w:rPr>
          <w:rFonts w:hint="eastAsia" w:ascii="宋体" w:hAnsi="宋体" w:eastAsia="宋体" w:cs="宋体"/>
          <w:color w:val="auto"/>
          <w:spacing w:val="0"/>
          <w:w w:val="100"/>
          <w:position w:val="0"/>
          <w:sz w:val="21"/>
          <w:szCs w:val="21"/>
          <w:highlight w:val="none"/>
          <w:u w:val="single" w:color="auto"/>
        </w:rPr>
        <w:t xml:space="preserve">  </w:t>
      </w:r>
      <w:r>
        <w:rPr>
          <w:rFonts w:hint="eastAsia"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rPr>
        <w:t>；</w:t>
      </w:r>
    </w:p>
    <w:p w14:paraId="190ED2A7">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安全生产考核合格证书号：</w:t>
      </w:r>
      <w:r>
        <w:rPr>
          <w:rFonts w:hint="eastAsia" w:ascii="宋体" w:hAnsi="宋体" w:eastAsia="宋体" w:cs="宋体"/>
          <w:color w:val="auto"/>
          <w:spacing w:val="0"/>
          <w:w w:val="100"/>
          <w:position w:val="0"/>
          <w:sz w:val="21"/>
          <w:szCs w:val="21"/>
          <w:highlight w:val="none"/>
          <w:u w:val="single" w:color="auto"/>
        </w:rPr>
        <w:t xml:space="preserve"> </w:t>
      </w:r>
      <w:r>
        <w:rPr>
          <w:rFonts w:hint="eastAsia"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rPr>
        <w:t>；</w:t>
      </w:r>
    </w:p>
    <w:p w14:paraId="096B638B">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联系电话：</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r>
        <w:rPr>
          <w:rFonts w:hint="eastAsia"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38EE344E">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电子信箱：</w:t>
      </w:r>
      <w:r>
        <w:rPr>
          <w:rFonts w:hint="eastAsia" w:ascii="宋体" w:hAnsi="宋体" w:eastAsia="宋体" w:cs="宋体"/>
          <w:color w:val="auto"/>
          <w:spacing w:val="0"/>
          <w:w w:val="100"/>
          <w:position w:val="0"/>
          <w:sz w:val="21"/>
          <w:szCs w:val="21"/>
          <w:highlight w:val="none"/>
          <w:u w:val="single" w:color="auto"/>
        </w:rPr>
        <w:t xml:space="preserve">         </w:t>
      </w:r>
      <w:r>
        <w:rPr>
          <w:rFonts w:hint="eastAsia"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3A6E8881">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通信地址：</w:t>
      </w:r>
      <w:r>
        <w:rPr>
          <w:rFonts w:hint="eastAsia" w:ascii="宋体" w:hAnsi="宋体" w:eastAsia="宋体" w:cs="宋体"/>
          <w:color w:val="auto"/>
          <w:spacing w:val="0"/>
          <w:w w:val="100"/>
          <w:position w:val="0"/>
          <w:sz w:val="21"/>
          <w:szCs w:val="21"/>
          <w:highlight w:val="none"/>
          <w:u w:val="single" w:color="auto"/>
        </w:rPr>
        <w:t xml:space="preserve"> </w:t>
      </w:r>
      <w:r>
        <w:rPr>
          <w:rFonts w:hint="eastAsia"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482713A8">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承包人对项目经理的授权范围如下：</w:t>
      </w:r>
      <w:r>
        <w:rPr>
          <w:rFonts w:hint="eastAsia" w:ascii="宋体" w:hAnsi="宋体" w:eastAsia="宋体" w:cs="宋体"/>
          <w:color w:val="auto"/>
          <w:spacing w:val="0"/>
          <w:w w:val="100"/>
          <w:position w:val="0"/>
          <w:sz w:val="21"/>
          <w:szCs w:val="21"/>
          <w:highlight w:val="none"/>
          <w:u w:val="single" w:color="auto"/>
        </w:rPr>
        <w:t xml:space="preserve"> 项目经理仅限于工程的现场施工管理，但未经承包人盖章同意，不得以承包人名义（或本工程项目部）向外融资、采购材料设备、租用建筑周转材料、雇佣劳动力、签订分包合同等从事一切为承包人设立义务或责任的行为。项目经理不得向发包人收取或委托支付任何款项</w:t>
      </w:r>
      <w:r>
        <w:rPr>
          <w:rFonts w:hint="eastAsia" w:ascii="宋体" w:hAnsi="宋体" w:eastAsia="宋体" w:cs="宋体"/>
          <w:color w:val="auto"/>
          <w:spacing w:val="0"/>
          <w:w w:val="100"/>
          <w:position w:val="0"/>
          <w:sz w:val="21"/>
          <w:szCs w:val="21"/>
          <w:highlight w:val="none"/>
        </w:rPr>
        <w:t xml:space="preserve">。 </w:t>
      </w:r>
    </w:p>
    <w:p w14:paraId="5978119E">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u w:val="single" w:color="auto"/>
          <w:lang w:val="en-US" w:eastAsia="zh-CN"/>
        </w:rPr>
      </w:pPr>
      <w:r>
        <w:rPr>
          <w:rFonts w:hint="eastAsia" w:ascii="宋体" w:hAnsi="宋体" w:eastAsia="宋体" w:cs="宋体"/>
          <w:color w:val="auto"/>
          <w:spacing w:val="0"/>
          <w:w w:val="100"/>
          <w:position w:val="0"/>
          <w:sz w:val="21"/>
          <w:szCs w:val="21"/>
          <w:highlight w:val="none"/>
          <w:u w:val="none" w:color="auto"/>
          <w:lang w:val="en-US" w:eastAsia="zh-CN"/>
        </w:rPr>
        <w:t>关于项目经理每月在施工现场的时间要求：</w:t>
      </w:r>
      <w:r>
        <w:rPr>
          <w:rFonts w:hint="eastAsia" w:ascii="宋体" w:hAnsi="宋体" w:eastAsia="宋体" w:cs="宋体"/>
          <w:color w:val="auto"/>
          <w:spacing w:val="0"/>
          <w:w w:val="100"/>
          <w:position w:val="0"/>
          <w:sz w:val="21"/>
          <w:szCs w:val="21"/>
          <w:highlight w:val="none"/>
          <w:u w:val="single" w:color="auto"/>
          <w:lang w:val="en-US" w:eastAsia="zh-CN"/>
        </w:rPr>
        <w:t xml:space="preserve"> 每月在施工现场时间不得少于 20 个工作日  。 </w:t>
      </w:r>
    </w:p>
    <w:p w14:paraId="5016C904">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u w:val="single" w:color="auto"/>
          <w:lang w:val="en-US" w:eastAsia="zh-CN"/>
        </w:rPr>
      </w:pPr>
      <w:r>
        <w:rPr>
          <w:rFonts w:hint="eastAsia" w:ascii="宋体" w:hAnsi="宋体" w:eastAsia="宋体" w:cs="宋体"/>
          <w:color w:val="auto"/>
          <w:spacing w:val="0"/>
          <w:w w:val="100"/>
          <w:position w:val="0"/>
          <w:sz w:val="21"/>
          <w:szCs w:val="21"/>
          <w:highlight w:val="none"/>
          <w:u w:val="none" w:color="auto"/>
          <w:lang w:val="en-US" w:eastAsia="zh-CN"/>
        </w:rPr>
        <w:t>承包人未提交劳动合同，以及没有为项目经理缴纳社会保险证明的违约责任：</w:t>
      </w:r>
      <w:r>
        <w:rPr>
          <w:rFonts w:hint="eastAsia" w:ascii="宋体" w:hAnsi="宋体" w:eastAsia="宋体" w:cs="宋体"/>
          <w:color w:val="auto"/>
          <w:spacing w:val="0"/>
          <w:w w:val="100"/>
          <w:position w:val="0"/>
          <w:sz w:val="21"/>
          <w:szCs w:val="21"/>
          <w:highlight w:val="none"/>
          <w:u w:val="single" w:color="auto"/>
          <w:lang w:val="en-US" w:eastAsia="zh-CN"/>
        </w:rPr>
        <w:t xml:space="preserve">       /         。</w:t>
      </w:r>
    </w:p>
    <w:p w14:paraId="4455E9FD">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项目经理未经批准，擅自离开施工现场的违约责任：</w:t>
      </w:r>
      <w:r>
        <w:rPr>
          <w:rFonts w:hint="eastAsia" w:ascii="宋体" w:hAnsi="宋体" w:eastAsia="宋体" w:cs="宋体"/>
          <w:color w:val="auto"/>
          <w:spacing w:val="0"/>
          <w:w w:val="100"/>
          <w:position w:val="0"/>
          <w:sz w:val="21"/>
          <w:szCs w:val="21"/>
          <w:highlight w:val="none"/>
          <w:u w:val="single" w:color="auto"/>
        </w:rPr>
        <w:t>项目经理每月在岗带班时间不得少于当月施工时间的 80%。未经发包人同意或正当理由，项目经理每月在岗带班时间少于当月施工时间 80%的，少在岗带班一天，发包人有权处违约金</w:t>
      </w:r>
      <w:r>
        <w:rPr>
          <w:rFonts w:hint="eastAsia" w:ascii="宋体" w:hAnsi="宋体" w:eastAsia="宋体" w:cs="宋体"/>
          <w:color w:val="auto"/>
          <w:spacing w:val="0"/>
          <w:w w:val="100"/>
          <w:position w:val="0"/>
          <w:sz w:val="21"/>
          <w:szCs w:val="21"/>
          <w:highlight w:val="none"/>
          <w:u w:val="single" w:color="auto"/>
          <w:lang w:val="en-US" w:eastAsia="zh-CN"/>
        </w:rPr>
        <w:t xml:space="preserve"> 5000</w:t>
      </w:r>
      <w:r>
        <w:rPr>
          <w:rFonts w:hint="eastAsia" w:ascii="宋体" w:hAnsi="宋体" w:eastAsia="宋体" w:cs="宋体"/>
          <w:color w:val="auto"/>
          <w:spacing w:val="0"/>
          <w:w w:val="100"/>
          <w:position w:val="0"/>
          <w:sz w:val="21"/>
          <w:szCs w:val="21"/>
          <w:highlight w:val="none"/>
          <w:u w:val="single" w:color="auto"/>
        </w:rPr>
        <w:t xml:space="preserve">元/日（人民币）  </w:t>
      </w:r>
      <w:r>
        <w:rPr>
          <w:rFonts w:hint="eastAsia" w:ascii="宋体" w:hAnsi="宋体" w:eastAsia="宋体" w:cs="宋体"/>
          <w:color w:val="auto"/>
          <w:spacing w:val="0"/>
          <w:w w:val="100"/>
          <w:position w:val="0"/>
          <w:sz w:val="21"/>
          <w:szCs w:val="21"/>
          <w:highlight w:val="none"/>
        </w:rPr>
        <w:t>。</w:t>
      </w:r>
    </w:p>
    <w:p w14:paraId="0D3059E9">
      <w:pPr>
        <w:pStyle w:val="12"/>
        <w:keepNext w:val="0"/>
        <w:keepLines w:val="0"/>
        <w:pageBreakBefore w:val="0"/>
        <w:widowControl w:val="0"/>
        <w:kinsoku w:val="0"/>
        <w:wordWrap/>
        <w:overflowPunct w:val="0"/>
        <w:topLinePunct w:val="0"/>
        <w:autoSpaceDE w:val="0"/>
        <w:autoSpaceDN w:val="0"/>
        <w:bidi w:val="0"/>
        <w:adjustRightInd w:val="0"/>
        <w:snapToGrid w:val="0"/>
        <w:spacing w:beforeAutospacing="0" w:afterAutospacing="0" w:line="360" w:lineRule="auto"/>
        <w:ind w:left="0" w:leftChars="0" w:right="0" w:rightChars="0" w:firstLine="420" w:firstLineChars="200"/>
        <w:jc w:val="left"/>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3.2.3  承包人擅自更换项目经理的违约责任：</w:t>
      </w:r>
      <w:r>
        <w:rPr>
          <w:rFonts w:hint="eastAsia" w:ascii="宋体" w:hAnsi="宋体" w:eastAsia="宋体" w:cs="宋体"/>
          <w:color w:val="auto"/>
          <w:spacing w:val="0"/>
          <w:w w:val="100"/>
          <w:position w:val="0"/>
          <w:sz w:val="21"/>
          <w:szCs w:val="21"/>
          <w:highlight w:val="none"/>
          <w:u w:val="single" w:color="auto"/>
        </w:rPr>
        <w:t>承包人项目经理必须与承包人投标时所承诺的人员一致，并在（开工日期）</w:t>
      </w:r>
      <w:r>
        <w:rPr>
          <w:rFonts w:hint="eastAsia" w:ascii="宋体" w:hAnsi="宋体" w:eastAsia="宋体"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前到</w:t>
      </w:r>
      <w:r>
        <w:rPr>
          <w:rFonts w:hint="eastAsia" w:ascii="宋体" w:hAnsi="宋体" w:eastAsia="宋体" w:cs="宋体"/>
          <w:color w:val="auto"/>
          <w:spacing w:val="0"/>
          <w:w w:val="100"/>
          <w:position w:val="0"/>
          <w:sz w:val="21"/>
          <w:szCs w:val="21"/>
          <w:highlight w:val="none"/>
        </w:rPr>
        <w:t xml:space="preserve">任。在监理人向承包人颁发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（竣工证明材料名称） </w:t>
      </w:r>
      <w:r>
        <w:rPr>
          <w:rFonts w:hint="eastAsia" w:ascii="宋体" w:hAnsi="宋体" w:eastAsia="宋体" w:cs="宋体"/>
          <w:color w:val="auto"/>
          <w:spacing w:val="0"/>
          <w:w w:val="100"/>
          <w:position w:val="0"/>
          <w:sz w:val="21"/>
          <w:szCs w:val="21"/>
          <w:highlight w:val="none"/>
        </w:rPr>
        <w:t xml:space="preserve"> 前， 项目经理不得同时兼任其他任何项目的项目经理（符合《广西壮族自治区建筑市场诚信卡管理  暂行办法》第十六条第一款及桂建管﹝2016﹞70 号、桂建管〔2019〕26 号和桂建管〔2020〕11  号文除外）。未经发包人书面同意，承包人擅自更换项目经理的视为违约，违约金处</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 xml:space="preserve">50000 </w:t>
      </w:r>
      <w:r>
        <w:rPr>
          <w:rFonts w:hint="eastAsia" w:ascii="宋体" w:hAnsi="宋体" w:eastAsia="宋体" w:cs="宋体"/>
          <w:color w:val="auto"/>
          <w:spacing w:val="0"/>
          <w:w w:val="100"/>
          <w:position w:val="0"/>
          <w:sz w:val="21"/>
          <w:szCs w:val="21"/>
          <w:highlight w:val="none"/>
        </w:rPr>
        <w:t>元/人• 次（人民币）。</w:t>
      </w:r>
    </w:p>
    <w:p w14:paraId="4B84696F">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3.2.4  承包人无正当理由拒绝更换项目经理的违约责任：</w:t>
      </w:r>
      <w:r>
        <w:rPr>
          <w:rFonts w:hint="eastAsia" w:ascii="宋体" w:hAnsi="宋体" w:eastAsia="宋体" w:cs="宋体"/>
          <w:color w:val="auto"/>
          <w:spacing w:val="0"/>
          <w:w w:val="100"/>
          <w:position w:val="0"/>
          <w:sz w:val="21"/>
          <w:szCs w:val="21"/>
          <w:highlight w:val="none"/>
          <w:u w:val="single" w:color="auto"/>
        </w:rPr>
        <w:t>因承包人项目经理不称职，发包人要求调换而未及时调换的，视为承包人违约，必须向发包人交纳处罚金</w:t>
      </w:r>
      <w:r>
        <w:rPr>
          <w:rFonts w:hint="eastAsia" w:ascii="宋体" w:hAnsi="宋体" w:eastAsia="宋体" w:cs="宋体"/>
          <w:color w:val="auto"/>
          <w:spacing w:val="0"/>
          <w:w w:val="100"/>
          <w:position w:val="0"/>
          <w:sz w:val="21"/>
          <w:szCs w:val="21"/>
          <w:highlight w:val="none"/>
          <w:u w:val="single" w:color="auto"/>
          <w:lang w:val="en-US" w:eastAsia="zh-CN"/>
        </w:rPr>
        <w:t>50000</w:t>
      </w:r>
      <w:r>
        <w:rPr>
          <w:rFonts w:hint="eastAsia" w:ascii="宋体" w:hAnsi="宋体" w:eastAsia="宋体" w:cs="宋体"/>
          <w:color w:val="auto"/>
          <w:spacing w:val="0"/>
          <w:w w:val="100"/>
          <w:position w:val="0"/>
          <w:sz w:val="21"/>
          <w:szCs w:val="21"/>
          <w:highlight w:val="none"/>
          <w:u w:val="single" w:color="auto"/>
        </w:rPr>
        <w:t>元/人•次（人民币）</w:t>
      </w:r>
      <w:r>
        <w:rPr>
          <w:rFonts w:hint="eastAsia" w:ascii="宋体" w:hAnsi="宋体" w:eastAsia="宋体" w:cs="宋体"/>
          <w:color w:val="auto"/>
          <w:spacing w:val="0"/>
          <w:w w:val="100"/>
          <w:position w:val="0"/>
          <w:sz w:val="21"/>
          <w:szCs w:val="21"/>
          <w:highlight w:val="none"/>
        </w:rPr>
        <w:t>。</w:t>
      </w:r>
    </w:p>
    <w:p w14:paraId="2B287089">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3.3  承包人人员</w:t>
      </w:r>
    </w:p>
    <w:p w14:paraId="72F8944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3.3.1  承包人提交项目管理机构及施工现场管理人员安排报告（格式见合同附件 5）的期限：</w:t>
      </w:r>
      <w:r>
        <w:rPr>
          <w:rStyle w:val="18"/>
          <w:rFonts w:hint="eastAsia" w:ascii="宋体" w:hAnsi="宋体" w:eastAsia="宋体" w:cs="宋体"/>
          <w:color w:val="auto"/>
          <w:spacing w:val="0"/>
          <w:kern w:val="0"/>
          <w:szCs w:val="21"/>
          <w:highlight w:val="none"/>
          <w:u w:val="single"/>
        </w:rPr>
        <w:t>开工日期前7天</w:t>
      </w:r>
      <w:r>
        <w:rPr>
          <w:rFonts w:hint="eastAsia" w:ascii="宋体" w:hAnsi="宋体" w:eastAsia="宋体" w:cs="宋体"/>
          <w:color w:val="auto"/>
          <w:spacing w:val="0"/>
          <w:w w:val="100"/>
          <w:position w:val="0"/>
          <w:sz w:val="21"/>
          <w:szCs w:val="21"/>
          <w:highlight w:val="none"/>
          <w:u w:val="single"/>
          <w:lang w:val="en-US" w:eastAsia="zh-CN"/>
        </w:rPr>
        <w:t xml:space="preserve">  </w:t>
      </w:r>
      <w:r>
        <w:rPr>
          <w:rFonts w:hint="eastAsia" w:ascii="宋体" w:hAnsi="宋体" w:eastAsia="宋体" w:cs="宋体"/>
          <w:color w:val="auto"/>
          <w:spacing w:val="0"/>
          <w:w w:val="100"/>
          <w:position w:val="0"/>
          <w:sz w:val="21"/>
          <w:szCs w:val="21"/>
          <w:highlight w:val="none"/>
        </w:rPr>
        <w:t>。</w:t>
      </w:r>
    </w:p>
    <w:p w14:paraId="6D19B4F6">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3.3.3  承包人无正当理由拒绝撤换主要施工管理人员的违约责任：</w:t>
      </w:r>
      <w:r>
        <w:rPr>
          <w:rFonts w:hint="eastAsia" w:ascii="宋体" w:hAnsi="宋体" w:eastAsia="宋体" w:cs="宋体"/>
          <w:color w:val="auto"/>
          <w:spacing w:val="0"/>
          <w:w w:val="100"/>
          <w:position w:val="0"/>
          <w:sz w:val="21"/>
          <w:szCs w:val="21"/>
          <w:highlight w:val="none"/>
          <w:u w:val="single" w:color="auto"/>
        </w:rPr>
        <w:t>因承包人主要施工管理人员不称职，发包人要求调换而无正当理由拒绝撤换或未及时调换的，视为承包人违约，必须向发包人交纳处罚金，处罚标准：技术负责人</w:t>
      </w:r>
      <w:r>
        <w:rPr>
          <w:rFonts w:hint="eastAsia" w:ascii="宋体" w:hAnsi="宋体" w:eastAsia="宋体" w:cs="宋体"/>
          <w:color w:val="auto"/>
          <w:spacing w:val="0"/>
          <w:w w:val="100"/>
          <w:position w:val="0"/>
          <w:sz w:val="21"/>
          <w:szCs w:val="21"/>
          <w:highlight w:val="none"/>
          <w:u w:val="single" w:color="auto"/>
          <w:lang w:val="en-US" w:eastAsia="zh-CN"/>
        </w:rPr>
        <w:t>30000</w:t>
      </w:r>
      <w:r>
        <w:rPr>
          <w:rFonts w:hint="eastAsia" w:ascii="宋体" w:hAnsi="宋体" w:eastAsia="宋体" w:cs="宋体"/>
          <w:color w:val="auto"/>
          <w:spacing w:val="0"/>
          <w:w w:val="100"/>
          <w:position w:val="0"/>
          <w:sz w:val="21"/>
          <w:szCs w:val="21"/>
          <w:highlight w:val="none"/>
          <w:u w:val="single" w:color="auto"/>
        </w:rPr>
        <w:t>元/人•次（人民币）；专业工程师</w:t>
      </w:r>
      <w:r>
        <w:rPr>
          <w:rFonts w:hint="eastAsia" w:ascii="宋体" w:hAnsi="宋体" w:eastAsia="宋体" w:cs="宋体"/>
          <w:color w:val="auto"/>
          <w:spacing w:val="0"/>
          <w:w w:val="100"/>
          <w:position w:val="0"/>
          <w:sz w:val="21"/>
          <w:szCs w:val="21"/>
          <w:highlight w:val="none"/>
          <w:u w:val="single" w:color="auto"/>
          <w:lang w:val="en-US" w:eastAsia="zh-CN"/>
        </w:rPr>
        <w:t>10000</w:t>
      </w:r>
      <w:r>
        <w:rPr>
          <w:rFonts w:hint="eastAsia" w:ascii="宋体" w:hAnsi="宋体" w:eastAsia="宋体" w:cs="宋体"/>
          <w:color w:val="auto"/>
          <w:spacing w:val="0"/>
          <w:w w:val="100"/>
          <w:position w:val="0"/>
          <w:sz w:val="21"/>
          <w:szCs w:val="21"/>
          <w:highlight w:val="none"/>
          <w:u w:val="single" w:color="auto"/>
        </w:rPr>
        <w:t>元/人•次（人民币）</w:t>
      </w:r>
      <w:r>
        <w:rPr>
          <w:rFonts w:hint="eastAsia" w:ascii="宋体" w:hAnsi="宋体" w:eastAsia="宋体" w:cs="宋体"/>
          <w:color w:val="auto"/>
          <w:spacing w:val="0"/>
          <w:w w:val="100"/>
          <w:position w:val="0"/>
          <w:sz w:val="21"/>
          <w:szCs w:val="21"/>
          <w:highlight w:val="none"/>
        </w:rPr>
        <w:t>。</w:t>
      </w:r>
    </w:p>
    <w:p w14:paraId="3FF33764">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3.3.4  承包人主要施工管理人员离开施工现场的批准要求：</w:t>
      </w:r>
      <w:r>
        <w:rPr>
          <w:rFonts w:hint="eastAsia" w:ascii="宋体" w:hAnsi="宋体" w:eastAsia="宋体" w:cs="宋体"/>
          <w:color w:val="auto"/>
          <w:spacing w:val="0"/>
          <w:w w:val="100"/>
          <w:position w:val="0"/>
          <w:sz w:val="21"/>
          <w:szCs w:val="21"/>
          <w:highlight w:val="none"/>
          <w:u w:val="single" w:color="auto"/>
        </w:rPr>
        <w:t xml:space="preserve">     需征得发包人同意    </w:t>
      </w:r>
      <w:r>
        <w:rPr>
          <w:rFonts w:hint="eastAsia" w:ascii="宋体" w:hAnsi="宋体" w:eastAsia="宋体" w:cs="宋体"/>
          <w:color w:val="auto"/>
          <w:spacing w:val="0"/>
          <w:w w:val="100"/>
          <w:position w:val="0"/>
          <w:sz w:val="21"/>
          <w:szCs w:val="21"/>
          <w:highlight w:val="none"/>
        </w:rPr>
        <w:t>。</w:t>
      </w:r>
    </w:p>
    <w:p w14:paraId="619AF8B5">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3.3.5  承包人擅自更换主要施工管理人员的违约责任：</w:t>
      </w:r>
      <w:r>
        <w:rPr>
          <w:rFonts w:hint="eastAsia" w:ascii="宋体" w:hAnsi="宋体" w:eastAsia="宋体" w:cs="宋体"/>
          <w:color w:val="auto"/>
          <w:spacing w:val="0"/>
          <w:w w:val="100"/>
          <w:position w:val="0"/>
          <w:sz w:val="21"/>
          <w:szCs w:val="21"/>
          <w:highlight w:val="none"/>
          <w:u w:val="single" w:color="auto"/>
        </w:rPr>
        <w:t>项目技术负责人、专职安全生产管理人员及其承诺的其它在场管理人员未经发包人书面同意不准擅自更换，擅自更换项目技术负责人处</w:t>
      </w:r>
      <w:r>
        <w:rPr>
          <w:rFonts w:hint="eastAsia" w:ascii="宋体" w:hAnsi="宋体" w:eastAsia="宋体" w:cs="宋体"/>
          <w:color w:val="auto"/>
          <w:spacing w:val="0"/>
          <w:w w:val="100"/>
          <w:position w:val="0"/>
          <w:sz w:val="21"/>
          <w:szCs w:val="21"/>
          <w:highlight w:val="none"/>
          <w:u w:val="single" w:color="auto"/>
          <w:lang w:val="en-US" w:eastAsia="zh-CN"/>
        </w:rPr>
        <w:t>30000</w:t>
      </w:r>
      <w:r>
        <w:rPr>
          <w:rFonts w:hint="eastAsia" w:ascii="宋体" w:hAnsi="宋体" w:eastAsia="宋体" w:cs="宋体"/>
          <w:color w:val="auto"/>
          <w:spacing w:val="0"/>
          <w:w w:val="100"/>
          <w:position w:val="0"/>
          <w:sz w:val="21"/>
          <w:szCs w:val="21"/>
          <w:highlight w:val="none"/>
          <w:u w:val="single" w:color="auto"/>
        </w:rPr>
        <w:t>元/人•次（人民币）违约金；擅自更换专职安全生产管理人员处</w:t>
      </w:r>
      <w:r>
        <w:rPr>
          <w:rFonts w:hint="eastAsia" w:ascii="宋体" w:hAnsi="宋体" w:eastAsia="宋体" w:cs="宋体"/>
          <w:color w:val="auto"/>
          <w:spacing w:val="0"/>
          <w:w w:val="100"/>
          <w:position w:val="0"/>
          <w:sz w:val="21"/>
          <w:szCs w:val="21"/>
          <w:highlight w:val="none"/>
          <w:u w:val="single" w:color="auto"/>
          <w:lang w:val="en-US" w:eastAsia="zh-CN"/>
        </w:rPr>
        <w:t>20000</w:t>
      </w:r>
      <w:r>
        <w:rPr>
          <w:rFonts w:hint="eastAsia" w:ascii="宋体" w:hAnsi="宋体" w:eastAsia="宋体" w:cs="宋体"/>
          <w:color w:val="auto"/>
          <w:spacing w:val="0"/>
          <w:w w:val="100"/>
          <w:position w:val="0"/>
          <w:sz w:val="21"/>
          <w:szCs w:val="21"/>
          <w:highlight w:val="none"/>
          <w:u w:val="single" w:color="auto"/>
        </w:rPr>
        <w:t>元/人•次（人民币）</w:t>
      </w:r>
      <w:r>
        <w:rPr>
          <w:rFonts w:hint="eastAsia" w:ascii="宋体" w:hAnsi="宋体" w:eastAsia="宋体" w:cs="宋体"/>
          <w:color w:val="auto"/>
          <w:spacing w:val="0"/>
          <w:w w:val="100"/>
          <w:position w:val="0"/>
          <w:sz w:val="21"/>
          <w:szCs w:val="21"/>
          <w:highlight w:val="none"/>
        </w:rPr>
        <w:t xml:space="preserve"> </w:t>
      </w:r>
      <w:r>
        <w:rPr>
          <w:rFonts w:hint="eastAsia" w:ascii="宋体" w:hAnsi="宋体" w:eastAsia="宋体" w:cs="宋体"/>
          <w:color w:val="auto"/>
          <w:spacing w:val="0"/>
          <w:w w:val="100"/>
          <w:position w:val="0"/>
          <w:sz w:val="21"/>
          <w:szCs w:val="21"/>
          <w:highlight w:val="none"/>
          <w:u w:val="single" w:color="auto"/>
        </w:rPr>
        <w:t>违约金；擅自更换其它在场管理人员处</w:t>
      </w:r>
      <w:r>
        <w:rPr>
          <w:rFonts w:hint="eastAsia" w:ascii="宋体" w:hAnsi="宋体" w:eastAsia="宋体" w:cs="宋体"/>
          <w:color w:val="auto"/>
          <w:spacing w:val="0"/>
          <w:w w:val="100"/>
          <w:position w:val="0"/>
          <w:sz w:val="21"/>
          <w:szCs w:val="21"/>
          <w:highlight w:val="none"/>
          <w:u w:val="single" w:color="auto"/>
          <w:lang w:val="en-US" w:eastAsia="zh-CN"/>
        </w:rPr>
        <w:t>10000</w:t>
      </w:r>
      <w:r>
        <w:rPr>
          <w:rFonts w:hint="eastAsia" w:ascii="宋体" w:hAnsi="宋体" w:eastAsia="宋体" w:cs="宋体"/>
          <w:color w:val="auto"/>
          <w:spacing w:val="0"/>
          <w:w w:val="100"/>
          <w:position w:val="0"/>
          <w:sz w:val="21"/>
          <w:szCs w:val="21"/>
          <w:highlight w:val="none"/>
          <w:u w:val="single" w:color="auto"/>
        </w:rPr>
        <w:t>元/人•次（人民币）违约金</w:t>
      </w:r>
      <w:r>
        <w:rPr>
          <w:rFonts w:hint="eastAsia" w:ascii="宋体" w:hAnsi="宋体" w:eastAsia="宋体" w:cs="宋体"/>
          <w:color w:val="auto"/>
          <w:spacing w:val="0"/>
          <w:w w:val="100"/>
          <w:position w:val="0"/>
          <w:sz w:val="21"/>
          <w:szCs w:val="21"/>
          <w:highlight w:val="none"/>
        </w:rPr>
        <w:t>。</w:t>
      </w:r>
    </w:p>
    <w:p w14:paraId="16F8851A">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承包人主要施工管理人员擅自离开施工现场的违约责任：</w:t>
      </w:r>
      <w:r>
        <w:rPr>
          <w:rFonts w:hint="eastAsia" w:ascii="宋体" w:hAnsi="宋体" w:eastAsia="宋体" w:cs="宋体"/>
          <w:color w:val="auto"/>
          <w:spacing w:val="0"/>
          <w:w w:val="100"/>
          <w:position w:val="0"/>
          <w:sz w:val="21"/>
          <w:szCs w:val="21"/>
          <w:highlight w:val="none"/>
          <w:u w:val="single" w:color="auto"/>
        </w:rPr>
        <w:t>未经发包人同意，项目技术负责人擅自离岗的，视为承包人违约，发包人有权处违约金</w:t>
      </w:r>
      <w:r>
        <w:rPr>
          <w:rFonts w:hint="eastAsia" w:ascii="宋体" w:hAnsi="宋体" w:eastAsia="宋体" w:cs="宋体"/>
          <w:color w:val="auto"/>
          <w:spacing w:val="0"/>
          <w:w w:val="100"/>
          <w:position w:val="0"/>
          <w:sz w:val="21"/>
          <w:szCs w:val="21"/>
          <w:highlight w:val="none"/>
          <w:u w:val="single" w:color="auto"/>
          <w:lang w:val="en-US" w:eastAsia="zh-CN"/>
        </w:rPr>
        <w:t>20000</w:t>
      </w:r>
      <w:r>
        <w:rPr>
          <w:rFonts w:hint="eastAsia" w:ascii="宋体" w:hAnsi="宋体" w:eastAsia="宋体" w:cs="宋体"/>
          <w:color w:val="auto"/>
          <w:spacing w:val="0"/>
          <w:w w:val="100"/>
          <w:position w:val="0"/>
          <w:sz w:val="21"/>
          <w:szCs w:val="21"/>
          <w:highlight w:val="none"/>
          <w:u w:val="single" w:color="auto"/>
        </w:rPr>
        <w:t>元/人•次（人民币）；未经发包人同意，专职安全生产管理人员擅自离岗的，视为承包人违约，发包人有权处违约金</w:t>
      </w:r>
      <w:r>
        <w:rPr>
          <w:rFonts w:hint="eastAsia" w:ascii="宋体" w:hAnsi="宋体" w:eastAsia="宋体" w:cs="宋体"/>
          <w:color w:val="auto"/>
          <w:spacing w:val="0"/>
          <w:w w:val="100"/>
          <w:position w:val="0"/>
          <w:sz w:val="21"/>
          <w:szCs w:val="21"/>
          <w:highlight w:val="none"/>
          <w:u w:val="single" w:color="auto"/>
          <w:lang w:val="en-US" w:eastAsia="zh-CN"/>
        </w:rPr>
        <w:t>10000</w:t>
      </w:r>
      <w:r>
        <w:rPr>
          <w:rFonts w:hint="eastAsia" w:ascii="宋体" w:hAnsi="宋体" w:eastAsia="宋体" w:cs="宋体"/>
          <w:color w:val="auto"/>
          <w:spacing w:val="0"/>
          <w:w w:val="100"/>
          <w:position w:val="0"/>
          <w:sz w:val="21"/>
          <w:szCs w:val="21"/>
          <w:highlight w:val="none"/>
          <w:u w:val="single" w:color="auto"/>
        </w:rPr>
        <w:t>元/人•次（人民币）；其它在场管理人员擅自离岗的，视为承包人违约，发包人有权处违约金</w:t>
      </w:r>
      <w:r>
        <w:rPr>
          <w:rFonts w:hint="eastAsia" w:ascii="宋体" w:hAnsi="宋体" w:eastAsia="宋体" w:cs="宋体"/>
          <w:color w:val="auto"/>
          <w:spacing w:val="0"/>
          <w:w w:val="100"/>
          <w:position w:val="0"/>
          <w:sz w:val="21"/>
          <w:szCs w:val="21"/>
          <w:highlight w:val="none"/>
          <w:u w:val="single" w:color="auto"/>
          <w:lang w:val="en-US" w:eastAsia="zh-CN"/>
        </w:rPr>
        <w:t>5000</w:t>
      </w:r>
      <w:r>
        <w:rPr>
          <w:rFonts w:hint="eastAsia" w:ascii="宋体" w:hAnsi="宋体" w:eastAsia="宋体" w:cs="宋体"/>
          <w:color w:val="auto"/>
          <w:spacing w:val="0"/>
          <w:w w:val="100"/>
          <w:position w:val="0"/>
          <w:sz w:val="21"/>
          <w:szCs w:val="21"/>
          <w:highlight w:val="none"/>
          <w:u w:val="single" w:color="auto"/>
        </w:rPr>
        <w:t>元/人•次（人民币）</w:t>
      </w:r>
      <w:r>
        <w:rPr>
          <w:rFonts w:hint="eastAsia" w:ascii="宋体" w:hAnsi="宋体" w:eastAsia="宋体" w:cs="宋体"/>
          <w:color w:val="auto"/>
          <w:spacing w:val="0"/>
          <w:w w:val="100"/>
          <w:position w:val="0"/>
          <w:sz w:val="21"/>
          <w:szCs w:val="21"/>
          <w:highlight w:val="none"/>
        </w:rPr>
        <w:t>。</w:t>
      </w:r>
    </w:p>
    <w:p w14:paraId="70DB34BB">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3.5  分包</w:t>
      </w:r>
    </w:p>
    <w:p w14:paraId="00C275CD">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3.5.1  分包的一般约定</w:t>
      </w:r>
    </w:p>
    <w:p w14:paraId="281DE0BD">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禁止分包的工程包括：</w:t>
      </w:r>
      <w:r>
        <w:rPr>
          <w:rFonts w:hint="eastAsia" w:ascii="宋体" w:hAnsi="宋体" w:eastAsia="宋体" w:cs="宋体"/>
          <w:color w:val="auto"/>
          <w:spacing w:val="0"/>
          <w:w w:val="100"/>
          <w:position w:val="0"/>
          <w:sz w:val="21"/>
          <w:szCs w:val="21"/>
          <w:highlight w:val="none"/>
          <w:u w:val="single" w:color="auto"/>
        </w:rPr>
        <w:t xml:space="preserve">      主体结构、关键性工作     </w:t>
      </w:r>
      <w:r>
        <w:rPr>
          <w:rFonts w:hint="eastAsia" w:ascii="宋体" w:hAnsi="宋体" w:eastAsia="宋体" w:cs="宋体"/>
          <w:color w:val="auto"/>
          <w:spacing w:val="0"/>
          <w:w w:val="100"/>
          <w:position w:val="0"/>
          <w:sz w:val="21"/>
          <w:szCs w:val="21"/>
          <w:highlight w:val="none"/>
        </w:rPr>
        <w:t>。</w:t>
      </w:r>
    </w:p>
    <w:p w14:paraId="726437E0">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主体结构、关键性工作的范围：</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0D17007F">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3.5.2  分包的确定</w:t>
      </w:r>
    </w:p>
    <w:p w14:paraId="16F1B5D5">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允许分包的专业工程包括：</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无</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w:t>
      </w:r>
    </w:p>
    <w:p w14:paraId="7EDE296A">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其他关于分包的约定：</w:t>
      </w:r>
    </w:p>
    <w:p w14:paraId="220A2360">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（1）除前款约定的分包内容外，经过发包人和监理人同意，承包人可以将其他非主体、非关键性工作分包给第三人，但分包人应当经过发包人和监理人审批。发包人和监理人有权拒绝 承包人的分包请求和承包人选择的分包人。本项目分包人主要施工管理人员名单详见合同附件 6。</w:t>
      </w:r>
    </w:p>
    <w:p w14:paraId="2845C91B">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（2）在相关分包合同签订并报送有关建设行政主管部门备案后 7 天内，承包人应当将一份副本提交给监理人，承包人应保障分包工作不得再次分包。</w:t>
      </w:r>
    </w:p>
    <w:p w14:paraId="76DA4063">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（3）未经承包人和监理人审批同意的分包工程和分包人，承包人有权拒绝验收分包工程和支付相应款项，由此引起的发包人费用增加和(或)延误的工期由发包人承担。</w:t>
      </w:r>
    </w:p>
    <w:p w14:paraId="0793B8DC">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（4）承包人有以下情况之一者，发包人有权解除合同，并视情况扣除其履约保证金：</w:t>
      </w:r>
    </w:p>
    <w:p w14:paraId="35BC52FA">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①个人承包工程，包括本人单位及外单位人员承包，发包人不承认其个人拥有任何资质等级及营业许可资格。没收全部履约保证金。</w:t>
      </w:r>
    </w:p>
    <w:p w14:paraId="100E6A76">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②几个人联合承包工程，就地组织暗分包队伍，不具备完成本工程的技术、机械能力，被发包人判定为没有能力履行的承包人。没收全部履约保证金。</w:t>
      </w:r>
    </w:p>
    <w:p w14:paraId="51B9772E">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③就地转包全部的工程，以谋取高额转让费、管理费的承包人。没收全部履约保证金。</w:t>
      </w:r>
    </w:p>
    <w:p w14:paraId="6053AF42">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④承包人有部分分包现象（其中包括冒充承包人下属单位的挂勾单位，凭口头协议参与施工的分包人及其他暗分包个体户），一经发现核实，发包人将采取驱逐该暗分包人措施。没收全部履约保证金。</w:t>
      </w:r>
    </w:p>
    <w:p w14:paraId="1FFE7331">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3.5.4  分包合同价款</w:t>
      </w:r>
    </w:p>
    <w:p w14:paraId="098D346C">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关于分包合同价款支付的约定：</w:t>
      </w:r>
      <w:r>
        <w:rPr>
          <w:rFonts w:hint="eastAsia" w:ascii="宋体" w:hAnsi="宋体" w:eastAsia="宋体" w:cs="宋体"/>
          <w:color w:val="auto"/>
          <w:spacing w:val="0"/>
          <w:w w:val="100"/>
          <w:position w:val="0"/>
          <w:sz w:val="21"/>
          <w:szCs w:val="21"/>
          <w:highlight w:val="none"/>
          <w:u w:val="single" w:color="auto"/>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377C8C84">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color w:val="auto"/>
          <w:spacing w:val="0"/>
          <w:w w:val="100"/>
          <w:position w:val="0"/>
          <w:sz w:val="21"/>
          <w:szCs w:val="21"/>
          <w:highlight w:val="none"/>
        </w:rPr>
      </w:pPr>
      <w:r>
        <w:rPr>
          <w:rFonts w:hint="eastAsia" w:ascii="宋体" w:hAnsi="宋体" w:eastAsia="宋体" w:cs="宋体"/>
          <w:b/>
          <w:bCs/>
          <w:color w:val="auto"/>
          <w:spacing w:val="0"/>
          <w:w w:val="100"/>
          <w:position w:val="0"/>
          <w:sz w:val="21"/>
          <w:szCs w:val="21"/>
          <w:highlight w:val="none"/>
        </w:rPr>
        <w:t>3.6  工程照管与成品、半成品保护</w:t>
      </w:r>
    </w:p>
    <w:p w14:paraId="78298809">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承包人负责照管工程及工程相关的材料、工程设备的起始时间：</w:t>
      </w:r>
    </w:p>
    <w:p w14:paraId="2BDA2B92">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u w:val="single" w:color="auto"/>
        </w:rPr>
      </w:pPr>
      <w:r>
        <w:rPr>
          <w:rFonts w:hint="eastAsia" w:ascii="宋体" w:hAnsi="宋体" w:eastAsia="宋体" w:cs="宋体"/>
          <w:color w:val="auto"/>
          <w:spacing w:val="0"/>
          <w:w w:val="100"/>
          <w:position w:val="0"/>
          <w:sz w:val="21"/>
          <w:szCs w:val="21"/>
          <w:highlight w:val="none"/>
          <w:u w:val="single" w:color="auto"/>
        </w:rPr>
        <w:t>工程接收证书颁发前，承包人应负责照管和维护工程。工程接收证书颁发时尚有部分未竣工工程的，承包人还应负责该未竣工工程的照管和维护工作，直到竣工后移交给发包人为止。</w:t>
      </w:r>
    </w:p>
    <w:p w14:paraId="4EA9D98E">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u w:val="single" w:color="auto"/>
        </w:rPr>
        <w:t>承包人完成的成品、半成品存在质量问题或安全问题的，应及时整改；未能及时整改的，发包人有权扣除其工程尾款进行维修。</w:t>
      </w:r>
    </w:p>
    <w:p w14:paraId="6D18EC2D">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color w:val="auto"/>
          <w:spacing w:val="0"/>
          <w:w w:val="100"/>
          <w:position w:val="0"/>
          <w:sz w:val="21"/>
          <w:szCs w:val="21"/>
          <w:highlight w:val="none"/>
        </w:rPr>
      </w:pPr>
      <w:r>
        <w:rPr>
          <w:rFonts w:hint="eastAsia" w:ascii="宋体" w:hAnsi="宋体" w:eastAsia="宋体" w:cs="宋体"/>
          <w:b/>
          <w:bCs/>
          <w:color w:val="auto"/>
          <w:spacing w:val="0"/>
          <w:w w:val="100"/>
          <w:position w:val="0"/>
          <w:sz w:val="21"/>
          <w:szCs w:val="21"/>
          <w:highlight w:val="none"/>
        </w:rPr>
        <w:t>3.7  履约保证金</w:t>
      </w:r>
    </w:p>
    <w:p w14:paraId="6829E79C">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baseline"/>
        <w:rPr>
          <w:rFonts w:hint="eastAsia" w:ascii="宋体" w:hAnsi="宋体" w:eastAsia="宋体" w:cs="宋体"/>
          <w:color w:val="auto"/>
          <w:spacing w:val="0"/>
          <w:w w:val="100"/>
          <w:position w:val="0"/>
          <w:sz w:val="21"/>
          <w:szCs w:val="21"/>
          <w:highlight w:val="none"/>
          <w:u w:val="single" w:color="auto"/>
        </w:rPr>
      </w:pPr>
      <w:r>
        <w:rPr>
          <w:rFonts w:hint="eastAsia" w:ascii="宋体" w:hAnsi="宋体" w:eastAsia="宋体" w:cs="宋体"/>
          <w:color w:val="auto"/>
          <w:spacing w:val="0"/>
          <w:w w:val="100"/>
          <w:position w:val="0"/>
          <w:sz w:val="21"/>
          <w:szCs w:val="21"/>
          <w:highlight w:val="none"/>
        </w:rPr>
        <w:t>承包人提供履约担保的形式、金额及期限的：</w:t>
      </w:r>
      <w:r>
        <w:rPr>
          <w:rFonts w:hint="eastAsia" w:ascii="宋体" w:hAnsi="宋体" w:eastAsia="宋体" w:cs="宋体"/>
          <w:color w:val="auto"/>
          <w:spacing w:val="0"/>
          <w:w w:val="100"/>
          <w:position w:val="0"/>
          <w:sz w:val="21"/>
          <w:szCs w:val="21"/>
          <w:highlight w:val="none"/>
          <w:u w:val="single" w:color="auto"/>
        </w:rPr>
        <w:t xml:space="preserve">承包人在收到中标通知书后，须在  </w:t>
      </w:r>
      <w:r>
        <w:rPr>
          <w:rFonts w:hint="eastAsia" w:ascii="宋体" w:hAnsi="宋体" w:eastAsia="宋体" w:cs="宋体"/>
          <w:color w:val="auto"/>
          <w:spacing w:val="0"/>
          <w:w w:val="100"/>
          <w:position w:val="0"/>
          <w:sz w:val="21"/>
          <w:szCs w:val="21"/>
          <w:highlight w:val="none"/>
          <w:u w:val="single" w:color="auto"/>
          <w:lang w:val="en-US" w:eastAsia="zh-CN"/>
        </w:rPr>
        <w:t>10</w:t>
      </w:r>
      <w:r>
        <w:rPr>
          <w:rFonts w:hint="eastAsia" w:ascii="宋体" w:hAnsi="宋体" w:eastAsia="宋体" w:cs="宋体"/>
          <w:color w:val="auto"/>
          <w:spacing w:val="0"/>
          <w:w w:val="100"/>
          <w:position w:val="0"/>
          <w:sz w:val="21"/>
          <w:szCs w:val="21"/>
          <w:highlight w:val="none"/>
          <w:u w:val="single" w:color="auto"/>
        </w:rPr>
        <w:t xml:space="preserve">  日内向发包人提交合同价款扣除发包人材料设备价款、暂估专业工程、暂列金额后的 </w:t>
      </w:r>
      <w:r>
        <w:rPr>
          <w:rFonts w:hint="eastAsia" w:ascii="宋体" w:hAnsi="宋体" w:eastAsia="宋体" w:cs="宋体"/>
          <w:color w:val="auto"/>
          <w:spacing w:val="0"/>
          <w:w w:val="100"/>
          <w:position w:val="0"/>
          <w:sz w:val="21"/>
          <w:szCs w:val="21"/>
          <w:highlight w:val="none"/>
          <w:u w:val="single" w:color="auto"/>
          <w:lang w:val="en-US" w:eastAsia="zh-CN"/>
        </w:rPr>
        <w:t>3</w:t>
      </w:r>
      <w:r>
        <w:rPr>
          <w:rFonts w:hint="eastAsia" w:ascii="宋体" w:hAnsi="宋体" w:eastAsia="宋体" w:cs="宋体"/>
          <w:color w:val="auto"/>
          <w:spacing w:val="0"/>
          <w:w w:val="100"/>
          <w:position w:val="0"/>
          <w:sz w:val="21"/>
          <w:szCs w:val="21"/>
          <w:highlight w:val="none"/>
          <w:u w:val="single" w:color="auto"/>
        </w:rPr>
        <w:t xml:space="preserve"> %的履约担保（格式见合同附件 7）。履约担保的有效期应当自本合同生效之日起至发包人签认并由监理人向承包人出具 （竣工证明材料名称）之日止。如果承包人无法获得一份不带具体截止日期的担保，履约担保中应当有“变更工程竣工日期的，保证期间按照变更后的竣工日期做相应调整”或类似约定的条款。</w:t>
      </w:r>
    </w:p>
    <w:p w14:paraId="0CD08F0B">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承包人提供履约担保的形式：</w:t>
      </w:r>
      <w:r>
        <w:rPr>
          <w:rFonts w:hint="eastAsia" w:ascii="宋体" w:hAnsi="宋体" w:eastAsia="宋体" w:cs="宋体"/>
          <w:color w:val="auto"/>
          <w:spacing w:val="0"/>
          <w:w w:val="100"/>
          <w:position w:val="0"/>
          <w:sz w:val="21"/>
          <w:szCs w:val="21"/>
          <w:highlight w:val="none"/>
          <w:u w:val="none" w:color="auto"/>
        </w:rPr>
        <w:t>可以是</w:t>
      </w:r>
      <w:r>
        <w:rPr>
          <w:rFonts w:hint="eastAsia" w:ascii="宋体" w:hAnsi="宋体" w:eastAsia="宋体" w:cs="宋体"/>
          <w:color w:val="auto"/>
          <w:spacing w:val="0"/>
          <w:w w:val="100"/>
          <w:position w:val="0"/>
          <w:sz w:val="21"/>
          <w:szCs w:val="21"/>
          <w:highlight w:val="none"/>
        </w:rPr>
        <w:t>银行转账、电汇或网上支付、保函（银行保函、电子 保函、保证保险保函、工程担保保函）等形式。</w:t>
      </w:r>
      <w:r>
        <w:rPr>
          <w:rFonts w:hint="eastAsia" w:ascii="宋体" w:hAnsi="宋体" w:eastAsia="宋体" w:cs="宋体"/>
          <w:color w:val="auto"/>
          <w:spacing w:val="0"/>
          <w:w w:val="100"/>
          <w:position w:val="0"/>
          <w:sz w:val="21"/>
          <w:szCs w:val="21"/>
          <w:highlight w:val="none"/>
          <w:u w:val="single" w:color="auto"/>
        </w:rPr>
        <w:t>工程担保保证人应将出具的保函相关信息录入“广西建筑市场监管云”平台（</w:t>
      </w:r>
      <w:r>
        <w:rPr>
          <w:rFonts w:hint="eastAsia" w:ascii="宋体" w:hAnsi="宋体" w:eastAsia="宋体" w:cs="宋体"/>
          <w:color w:val="auto"/>
          <w:spacing w:val="0"/>
          <w:w w:val="100"/>
          <w:position w:val="0"/>
          <w:highlight w:val="none"/>
        </w:rPr>
        <w:fldChar w:fldCharType="begin"/>
      </w:r>
      <w:r>
        <w:rPr>
          <w:rFonts w:hint="eastAsia" w:ascii="宋体" w:hAnsi="宋体" w:eastAsia="宋体" w:cs="宋体"/>
          <w:color w:val="auto"/>
          <w:spacing w:val="0"/>
          <w:w w:val="100"/>
          <w:position w:val="0"/>
          <w:highlight w:val="none"/>
        </w:rPr>
        <w:instrText xml:space="preserve"> HYPERLINK "http://gxjzsc.caihcloud.com" </w:instrText>
      </w:r>
      <w:r>
        <w:rPr>
          <w:rFonts w:hint="eastAsia" w:ascii="宋体" w:hAnsi="宋体" w:eastAsia="宋体" w:cs="宋体"/>
          <w:color w:val="auto"/>
          <w:spacing w:val="0"/>
          <w:w w:val="100"/>
          <w:position w:val="0"/>
          <w:highlight w:val="none"/>
        </w:rPr>
        <w:fldChar w:fldCharType="separate"/>
      </w:r>
      <w:r>
        <w:rPr>
          <w:rFonts w:hint="eastAsia" w:ascii="宋体" w:hAnsi="宋体" w:eastAsia="宋体" w:cs="宋体"/>
          <w:color w:val="auto"/>
          <w:spacing w:val="0"/>
          <w:w w:val="100"/>
          <w:position w:val="0"/>
          <w:sz w:val="21"/>
          <w:szCs w:val="21"/>
          <w:highlight w:val="none"/>
          <w:u w:val="single" w:color="auto"/>
        </w:rPr>
        <w:t>http://gxjzsc.caihcloud.com</w:t>
      </w:r>
      <w:r>
        <w:rPr>
          <w:rFonts w:hint="eastAsia" w:ascii="宋体" w:hAnsi="宋体" w:eastAsia="宋体" w:cs="宋体"/>
          <w:color w:val="auto"/>
          <w:spacing w:val="0"/>
          <w:w w:val="100"/>
          <w:position w:val="0"/>
          <w:sz w:val="21"/>
          <w:szCs w:val="21"/>
          <w:highlight w:val="none"/>
          <w:u w:val="single" w:color="auto"/>
        </w:rPr>
        <w:fldChar w:fldCharType="end"/>
      </w:r>
      <w:r>
        <w:rPr>
          <w:rFonts w:hint="eastAsia" w:ascii="宋体" w:hAnsi="宋体" w:eastAsia="宋体" w:cs="宋体"/>
          <w:color w:val="auto"/>
          <w:spacing w:val="0"/>
          <w:w w:val="100"/>
          <w:position w:val="0"/>
          <w:sz w:val="21"/>
          <w:szCs w:val="21"/>
          <w:highlight w:val="none"/>
          <w:u w:val="single" w:color="auto"/>
        </w:rPr>
        <w:t>），以实现保函查询及验真功能。</w:t>
      </w:r>
    </w:p>
    <w:p w14:paraId="6792A90C">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u w:val="single" w:color="auto"/>
        </w:rPr>
        <w:t>工程竣工验收合格并对验收发现的问题完成整改后的 7 个日历天内，发包人支付履约保证金的 50%；承包人向发包人完成（施工）竣工资料移交手续后，可向发包人申请退还剩余履约保证金，发包人应在收到申请之日起 28 个日历天内扣减承包人赔偿金和其他应从承包人扣回的款项后，将履约保证金的余额退还给承包人。</w:t>
      </w:r>
    </w:p>
    <w:p w14:paraId="4448C964">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color w:val="auto"/>
          <w:spacing w:val="0"/>
          <w:w w:val="100"/>
          <w:position w:val="0"/>
          <w:sz w:val="21"/>
          <w:szCs w:val="21"/>
          <w:highlight w:val="none"/>
        </w:rPr>
      </w:pPr>
      <w:r>
        <w:rPr>
          <w:rFonts w:hint="eastAsia" w:ascii="宋体" w:hAnsi="宋体" w:eastAsia="宋体" w:cs="宋体"/>
          <w:b/>
          <w:bCs/>
          <w:color w:val="auto"/>
          <w:spacing w:val="0"/>
          <w:w w:val="100"/>
          <w:position w:val="0"/>
          <w:sz w:val="21"/>
          <w:szCs w:val="21"/>
          <w:highlight w:val="none"/>
        </w:rPr>
        <w:t>4.  监理人</w:t>
      </w:r>
    </w:p>
    <w:p w14:paraId="38F73235">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color w:val="auto"/>
          <w:spacing w:val="0"/>
          <w:w w:val="100"/>
          <w:position w:val="0"/>
          <w:sz w:val="21"/>
          <w:szCs w:val="21"/>
          <w:highlight w:val="none"/>
        </w:rPr>
      </w:pPr>
      <w:bookmarkStart w:id="30" w:name="4.1监理人的一般规定"/>
      <w:bookmarkEnd w:id="30"/>
      <w:r>
        <w:rPr>
          <w:rFonts w:hint="eastAsia" w:ascii="宋体" w:hAnsi="宋体" w:eastAsia="宋体" w:cs="宋体"/>
          <w:b/>
          <w:bCs/>
          <w:color w:val="auto"/>
          <w:spacing w:val="0"/>
          <w:w w:val="100"/>
          <w:position w:val="0"/>
          <w:sz w:val="21"/>
          <w:szCs w:val="21"/>
          <w:highlight w:val="none"/>
        </w:rPr>
        <w:t>4.1 监理人的一般规定</w:t>
      </w:r>
    </w:p>
    <w:p w14:paraId="30E67F2E">
      <w:pPr>
        <w:pStyle w:val="24"/>
        <w:keepNext w:val="0"/>
        <w:keepLines w:val="0"/>
        <w:pageBreakBefore w:val="0"/>
        <w:widowControl w:val="0"/>
        <w:tabs>
          <w:tab w:val="left" w:pos="6114"/>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关于监理人的监理内容：</w:t>
      </w:r>
      <w:r>
        <w:rPr>
          <w:rFonts w:hint="eastAsia" w:ascii="宋体" w:hAnsi="宋体" w:eastAsia="宋体" w:cs="宋体"/>
          <w:color w:val="auto"/>
          <w:kern w:val="0"/>
          <w:szCs w:val="21"/>
          <w:highlight w:val="none"/>
          <w:u w:val="single"/>
        </w:rPr>
        <w:t>按本项目的监理合同约定</w:t>
      </w:r>
      <w:r>
        <w:rPr>
          <w:rFonts w:hint="eastAsia" w:ascii="宋体" w:hAnsi="宋体" w:eastAsia="宋体" w:cs="宋体"/>
          <w:color w:val="auto"/>
          <w:kern w:val="0"/>
          <w:szCs w:val="21"/>
          <w:highlight w:val="none"/>
        </w:rPr>
        <w:t xml:space="preserve">。 </w:t>
      </w:r>
    </w:p>
    <w:p w14:paraId="5583C0AD">
      <w:pPr>
        <w:pStyle w:val="24"/>
        <w:keepNext w:val="0"/>
        <w:keepLines w:val="0"/>
        <w:pageBreakBefore w:val="0"/>
        <w:widowControl w:val="0"/>
        <w:tabs>
          <w:tab w:val="left" w:pos="6114"/>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关于监理人的监理权限：</w:t>
      </w:r>
      <w:r>
        <w:rPr>
          <w:rFonts w:hint="eastAsia" w:ascii="宋体" w:hAnsi="宋体" w:eastAsia="宋体" w:cs="宋体"/>
          <w:color w:val="auto"/>
          <w:kern w:val="0"/>
          <w:szCs w:val="21"/>
          <w:highlight w:val="none"/>
          <w:u w:val="single"/>
        </w:rPr>
        <w:t>按本项目的监理合同约定</w:t>
      </w:r>
      <w:r>
        <w:rPr>
          <w:rFonts w:hint="eastAsia" w:ascii="宋体" w:hAnsi="宋体" w:eastAsia="宋体" w:cs="宋体"/>
          <w:color w:val="auto"/>
          <w:kern w:val="0"/>
          <w:szCs w:val="21"/>
          <w:highlight w:val="none"/>
        </w:rPr>
        <w:t>。</w:t>
      </w:r>
    </w:p>
    <w:p w14:paraId="74DD4DDF">
      <w:pPr>
        <w:pStyle w:val="24"/>
        <w:keepNext w:val="0"/>
        <w:keepLines w:val="0"/>
        <w:pageBreakBefore w:val="0"/>
        <w:widowControl w:val="0"/>
        <w:tabs>
          <w:tab w:val="left" w:pos="8851"/>
        </w:tabs>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关于监理人在施工现场的办公场所、生活场所的提供和费用承担的约定：</w:t>
      </w:r>
      <w:r>
        <w:rPr>
          <w:rFonts w:hint="eastAsia" w:ascii="宋体" w:hAnsi="宋体" w:eastAsia="宋体" w:cs="宋体"/>
          <w:color w:val="auto"/>
          <w:kern w:val="0"/>
          <w:szCs w:val="21"/>
          <w:highlight w:val="none"/>
          <w:u w:val="single" w:color="000000"/>
        </w:rPr>
        <w:t>承包人应免费向发包人及监理提供满</w:t>
      </w:r>
      <w:r>
        <w:rPr>
          <w:rFonts w:hint="eastAsia" w:ascii="宋体" w:hAnsi="宋体" w:eastAsia="宋体" w:cs="宋体"/>
          <w:color w:val="auto"/>
          <w:spacing w:val="-2"/>
          <w:kern w:val="0"/>
          <w:szCs w:val="21"/>
          <w:highlight w:val="none"/>
          <w:u w:val="single" w:color="000000"/>
        </w:rPr>
        <w:t>足需要但不少于两间办公室及休息室一间，办公室和休息室内应配套桌、椅等办公或休息设施，</w:t>
      </w:r>
      <w:r>
        <w:rPr>
          <w:rFonts w:hint="eastAsia" w:ascii="宋体" w:hAnsi="宋体" w:eastAsia="宋体" w:cs="宋体"/>
          <w:color w:val="auto"/>
          <w:spacing w:val="-81"/>
          <w:kern w:val="0"/>
          <w:szCs w:val="21"/>
          <w:highlight w:val="none"/>
          <w:u w:val="single" w:color="000000"/>
        </w:rPr>
        <w:t xml:space="preserve"> </w:t>
      </w:r>
      <w:r>
        <w:rPr>
          <w:rFonts w:hint="eastAsia" w:ascii="宋体" w:hAnsi="宋体" w:eastAsia="宋体" w:cs="宋体"/>
          <w:color w:val="auto"/>
          <w:kern w:val="0"/>
          <w:szCs w:val="21"/>
          <w:highlight w:val="none"/>
          <w:u w:val="single" w:color="000000"/>
        </w:rPr>
        <w:t>每间办公室约13平方米</w:t>
      </w:r>
      <w:r>
        <w:rPr>
          <w:rFonts w:hint="eastAsia" w:ascii="宋体" w:hAnsi="宋体" w:eastAsia="宋体" w:cs="宋体"/>
          <w:color w:val="auto"/>
          <w:spacing w:val="-55"/>
          <w:kern w:val="0"/>
          <w:szCs w:val="21"/>
          <w:highlight w:val="none"/>
          <w:u w:val="single" w:color="000000"/>
        </w:rPr>
        <w:t xml:space="preserve"> </w:t>
      </w:r>
      <w:r>
        <w:rPr>
          <w:rFonts w:hint="eastAsia" w:ascii="宋体" w:hAnsi="宋体" w:eastAsia="宋体" w:cs="宋体"/>
          <w:b/>
          <w:color w:val="auto"/>
          <w:kern w:val="0"/>
          <w:szCs w:val="21"/>
          <w:highlight w:val="none"/>
          <w:u w:val="single" w:color="000000"/>
        </w:rPr>
        <w:t>。</w:t>
      </w:r>
      <w:r>
        <w:rPr>
          <w:rFonts w:hint="eastAsia" w:ascii="宋体" w:hAnsi="宋体" w:eastAsia="宋体" w:cs="宋体"/>
          <w:color w:val="auto"/>
          <w:kern w:val="0"/>
          <w:szCs w:val="21"/>
          <w:highlight w:val="none"/>
        </w:rPr>
        <w:t>。</w:t>
      </w:r>
    </w:p>
    <w:p w14:paraId="1CD6E59C">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color w:val="auto"/>
          <w:spacing w:val="0"/>
          <w:w w:val="100"/>
          <w:position w:val="0"/>
          <w:sz w:val="21"/>
          <w:szCs w:val="21"/>
          <w:highlight w:val="none"/>
        </w:rPr>
      </w:pPr>
      <w:bookmarkStart w:id="31" w:name="5._工程质量"/>
      <w:bookmarkEnd w:id="31"/>
      <w:bookmarkStart w:id="32" w:name="4.2_监理人员"/>
      <w:bookmarkEnd w:id="32"/>
      <w:r>
        <w:rPr>
          <w:rFonts w:hint="eastAsia" w:ascii="宋体" w:hAnsi="宋体" w:eastAsia="宋体" w:cs="宋体"/>
          <w:b/>
          <w:bCs/>
          <w:color w:val="auto"/>
          <w:spacing w:val="0"/>
          <w:w w:val="100"/>
          <w:position w:val="0"/>
          <w:sz w:val="21"/>
          <w:szCs w:val="21"/>
          <w:highlight w:val="none"/>
        </w:rPr>
        <w:t>4.2 监理人员</w:t>
      </w:r>
    </w:p>
    <w:p w14:paraId="20EE6F8C">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总监理工程师：</w:t>
      </w:r>
    </w:p>
    <w:p w14:paraId="7B6A7BC5">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    名：</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w:t>
      </w:r>
    </w:p>
    <w:p w14:paraId="657EF5B8">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    务：</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w:t>
      </w:r>
    </w:p>
    <w:p w14:paraId="358F8B57">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监理工程师执业资格证书号：</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w:t>
      </w:r>
    </w:p>
    <w:p w14:paraId="41AAA76D">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w:t>
      </w:r>
    </w:p>
    <w:p w14:paraId="180639B1">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电子信箱：</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w:t>
      </w:r>
    </w:p>
    <w:p w14:paraId="5B70D5E8">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通信地址：</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w:t>
      </w:r>
    </w:p>
    <w:p w14:paraId="50BFD117">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关于监理人的其他约定：</w:t>
      </w:r>
      <w:r>
        <w:rPr>
          <w:rFonts w:hint="eastAsia" w:ascii="宋体" w:hAnsi="宋体" w:eastAsia="宋体" w:cs="宋体"/>
          <w:color w:val="auto"/>
          <w:szCs w:val="21"/>
          <w:highlight w:val="none"/>
          <w:u w:val="single"/>
          <w:lang w:val="en-US" w:eastAsia="zh-CN"/>
        </w:rPr>
        <w:t xml:space="preserve">       无          </w:t>
      </w:r>
      <w:r>
        <w:rPr>
          <w:rFonts w:hint="eastAsia" w:ascii="宋体" w:hAnsi="宋体" w:eastAsia="宋体" w:cs="宋体"/>
          <w:color w:val="auto"/>
          <w:szCs w:val="21"/>
          <w:highlight w:val="none"/>
        </w:rPr>
        <w:t>。</w:t>
      </w:r>
    </w:p>
    <w:p w14:paraId="4F6A4805">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color w:val="auto"/>
          <w:spacing w:val="0"/>
          <w:w w:val="100"/>
          <w:position w:val="0"/>
          <w:sz w:val="21"/>
          <w:szCs w:val="21"/>
          <w:highlight w:val="none"/>
          <w:lang w:val="en-US" w:eastAsia="zh-CN"/>
        </w:rPr>
      </w:pPr>
      <w:r>
        <w:rPr>
          <w:rFonts w:hint="eastAsia" w:ascii="宋体" w:hAnsi="宋体" w:eastAsia="宋体" w:cs="宋体"/>
          <w:b/>
          <w:bCs/>
          <w:color w:val="auto"/>
          <w:spacing w:val="0"/>
          <w:w w:val="100"/>
          <w:position w:val="0"/>
          <w:sz w:val="21"/>
          <w:szCs w:val="21"/>
          <w:highlight w:val="none"/>
        </w:rPr>
        <w:t>4.4 商定或确定</w:t>
      </w:r>
    </w:p>
    <w:p w14:paraId="30232F66">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在发包人和承包人不能通过协商达成一致意见时，发包人授权监理人对以下事项进行确定：</w:t>
      </w:r>
    </w:p>
    <w:p w14:paraId="669E95C3">
      <w:pPr>
        <w:pStyle w:val="24"/>
        <w:keepNext w:val="0"/>
        <w:keepLines w:val="0"/>
        <w:pageBreakBefore w:val="0"/>
        <w:widowControl w:val="0"/>
        <w:wordWrap/>
        <w:overflowPunct/>
        <w:topLinePunct w:val="0"/>
        <w:autoSpaceDE w:val="0"/>
        <w:autoSpaceDN w:val="0"/>
        <w:bidi w:val="0"/>
        <w:adjustRightInd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2A33B090">
      <w:pPr>
        <w:pStyle w:val="24"/>
        <w:keepNext w:val="0"/>
        <w:keepLines w:val="0"/>
        <w:pageBreakBefore w:val="0"/>
        <w:widowControl w:val="0"/>
        <w:wordWrap/>
        <w:overflowPunct/>
        <w:topLinePunct w:val="0"/>
        <w:autoSpaceDE w:val="0"/>
        <w:autoSpaceDN w:val="0"/>
        <w:bidi w:val="0"/>
        <w:adjustRightInd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64D74C01">
      <w:pPr>
        <w:pStyle w:val="24"/>
        <w:keepNext w:val="0"/>
        <w:keepLines w:val="0"/>
        <w:pageBreakBefore w:val="0"/>
        <w:widowControl w:val="0"/>
        <w:wordWrap/>
        <w:overflowPunct/>
        <w:topLinePunct w:val="0"/>
        <w:autoSpaceDE w:val="0"/>
        <w:autoSpaceDN w:val="0"/>
        <w:bidi w:val="0"/>
        <w:adjustRightInd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60355890">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color w:val="auto"/>
          <w:spacing w:val="0"/>
          <w:w w:val="100"/>
          <w:position w:val="0"/>
          <w:sz w:val="21"/>
          <w:szCs w:val="21"/>
          <w:highlight w:val="none"/>
        </w:rPr>
      </w:pPr>
      <w:r>
        <w:rPr>
          <w:rFonts w:hint="eastAsia" w:ascii="宋体" w:hAnsi="宋体" w:eastAsia="宋体" w:cs="宋体"/>
          <w:b/>
          <w:bCs/>
          <w:color w:val="auto"/>
          <w:spacing w:val="0"/>
          <w:w w:val="100"/>
          <w:position w:val="0"/>
          <w:sz w:val="21"/>
          <w:szCs w:val="21"/>
          <w:highlight w:val="none"/>
        </w:rPr>
        <w:t>5.  工程质量</w:t>
      </w:r>
    </w:p>
    <w:p w14:paraId="351BBA7C">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color w:val="auto"/>
          <w:spacing w:val="0"/>
          <w:w w:val="100"/>
          <w:position w:val="0"/>
          <w:sz w:val="21"/>
          <w:szCs w:val="21"/>
          <w:highlight w:val="none"/>
        </w:rPr>
      </w:pPr>
      <w:bookmarkStart w:id="33" w:name="5.1_质量要求"/>
      <w:bookmarkEnd w:id="33"/>
      <w:r>
        <w:rPr>
          <w:rFonts w:hint="eastAsia" w:ascii="宋体" w:hAnsi="宋体" w:eastAsia="宋体" w:cs="宋体"/>
          <w:b/>
          <w:bCs/>
          <w:color w:val="auto"/>
          <w:spacing w:val="0"/>
          <w:w w:val="100"/>
          <w:position w:val="0"/>
          <w:sz w:val="21"/>
          <w:szCs w:val="21"/>
          <w:highlight w:val="none"/>
        </w:rPr>
        <w:t>5.1 质量要求</w:t>
      </w:r>
    </w:p>
    <w:p w14:paraId="2010E662">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b/>
          <w:color w:val="auto"/>
          <w:kern w:val="0"/>
          <w:szCs w:val="21"/>
          <w:highlight w:val="none"/>
          <w:u w:val="single"/>
        </w:rPr>
      </w:pPr>
      <w:r>
        <w:rPr>
          <w:rFonts w:hint="eastAsia" w:ascii="宋体" w:hAnsi="宋体" w:eastAsia="宋体" w:cs="宋体"/>
          <w:color w:val="auto"/>
          <w:spacing w:val="2"/>
          <w:kern w:val="0"/>
          <w:szCs w:val="21"/>
          <w:highlight w:val="none"/>
        </w:rPr>
        <w:t>5.1.1</w:t>
      </w:r>
      <w:r>
        <w:rPr>
          <w:rFonts w:hint="eastAsia" w:ascii="宋体" w:hAnsi="宋体" w:eastAsia="宋体" w:cs="宋体"/>
          <w:color w:val="auto"/>
          <w:spacing w:val="16"/>
          <w:kern w:val="0"/>
          <w:szCs w:val="21"/>
          <w:highlight w:val="none"/>
        </w:rPr>
        <w:t xml:space="preserve"> </w:t>
      </w:r>
      <w:r>
        <w:rPr>
          <w:rFonts w:hint="eastAsia" w:ascii="宋体" w:hAnsi="宋体" w:eastAsia="宋体" w:cs="宋体"/>
          <w:color w:val="auto"/>
          <w:kern w:val="0"/>
          <w:szCs w:val="21"/>
          <w:highlight w:val="none"/>
        </w:rPr>
        <w:t>特殊质量标准和要求：</w:t>
      </w:r>
      <w:r>
        <w:rPr>
          <w:rFonts w:hint="eastAsia" w:ascii="宋体" w:hAnsi="宋体" w:eastAsia="宋体" w:cs="宋体"/>
          <w:b/>
          <w:color w:val="auto"/>
          <w:kern w:val="0"/>
          <w:szCs w:val="21"/>
          <w:highlight w:val="none"/>
          <w:u w:val="single"/>
        </w:rPr>
        <w:t>特殊要求：严格执行广西壮族自治区住房和城乡建设厅《关于严格实行房屋建筑和市政基础设施工程质量终身责任承诺、永久性质量责任标牌、终身责任信 息档案等制度的通知》（桂建管[2014]96 号）和南宁市城乡建设委员会《关于落实建设工程质量终 身责任，加强工程质量管理的通知》（南建质安[2014]155 号）要求，落实建设工程质量终身责任。</w:t>
      </w:r>
    </w:p>
    <w:p w14:paraId="50E12E18">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color w:val="auto"/>
          <w:szCs w:val="21"/>
          <w:highlight w:val="none"/>
          <w:u w:val="single"/>
        </w:rPr>
      </w:pPr>
      <w:r>
        <w:rPr>
          <w:rFonts w:hint="eastAsia" w:ascii="宋体" w:hAnsi="宋体" w:eastAsia="宋体" w:cs="宋体"/>
          <w:b/>
          <w:bCs/>
          <w:color w:val="auto"/>
          <w:szCs w:val="21"/>
          <w:highlight w:val="none"/>
          <w:u w:val="single"/>
        </w:rPr>
        <w:t>政府投资工程的工程质量等级最低应为合格工程。本项目应满足由市发展改革委在编制城建计划时对本工程工程质量等级要求。</w:t>
      </w:r>
    </w:p>
    <w:p w14:paraId="54CF6404">
      <w:pPr>
        <w:pStyle w:val="24"/>
        <w:keepNext w:val="0"/>
        <w:keepLines w:val="0"/>
        <w:pageBreakBefore w:val="0"/>
        <w:widowControl w:val="0"/>
        <w:tabs>
          <w:tab w:val="left" w:pos="6234"/>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关于工程奖项的约定：</w:t>
      </w:r>
      <w:r>
        <w:rPr>
          <w:rFonts w:hint="eastAsia" w:ascii="宋体" w:hAnsi="宋体" w:eastAsia="宋体" w:cs="宋体"/>
          <w:color w:val="auto"/>
          <w:spacing w:val="-1"/>
          <w:kern w:val="0"/>
          <w:szCs w:val="21"/>
          <w:highlight w:val="none"/>
          <w:u w:val="single" w:color="000000"/>
        </w:rPr>
        <w:t xml:space="preserve">            </w:t>
      </w:r>
      <w:r>
        <w:rPr>
          <w:rFonts w:hint="eastAsia" w:ascii="宋体" w:hAnsi="宋体" w:eastAsia="宋体" w:cs="宋体"/>
          <w:color w:val="auto"/>
          <w:spacing w:val="-1"/>
          <w:kern w:val="0"/>
          <w:szCs w:val="21"/>
          <w:highlight w:val="none"/>
          <w:u w:val="single" w:color="000000"/>
          <w:lang w:val="en-US" w:eastAsia="zh-CN"/>
        </w:rPr>
        <w:t>/</w:t>
      </w:r>
      <w:r>
        <w:rPr>
          <w:rFonts w:hint="eastAsia" w:ascii="宋体" w:hAnsi="宋体" w:eastAsia="宋体" w:cs="宋体"/>
          <w:color w:val="auto"/>
          <w:spacing w:val="-1"/>
          <w:kern w:val="0"/>
          <w:szCs w:val="21"/>
          <w:highlight w:val="none"/>
          <w:u w:val="single" w:color="000000"/>
        </w:rPr>
        <w:t xml:space="preserve">           </w:t>
      </w:r>
      <w:r>
        <w:rPr>
          <w:rFonts w:hint="eastAsia" w:ascii="宋体" w:hAnsi="宋体" w:eastAsia="宋体" w:cs="宋体"/>
          <w:color w:val="auto"/>
          <w:kern w:val="0"/>
          <w:szCs w:val="21"/>
          <w:highlight w:val="none"/>
        </w:rPr>
        <w:t>。</w:t>
      </w:r>
    </w:p>
    <w:p w14:paraId="30AD69A3">
      <w:pPr>
        <w:pStyle w:val="24"/>
        <w:keepNext w:val="0"/>
        <w:keepLines w:val="0"/>
        <w:pageBreakBefore w:val="0"/>
        <w:widowControl w:val="0"/>
        <w:wordWrap/>
        <w:overflowPunct/>
        <w:topLinePunct w:val="0"/>
        <w:bidi w:val="0"/>
        <w:adjustRightInd w:val="0"/>
        <w:snapToGrid w:val="0"/>
        <w:spacing w:beforeAutospacing="0" w:afterAutospacing="0" w:line="360" w:lineRule="auto"/>
        <w:ind w:left="0" w:leftChars="0" w:right="0" w:rightChars="0"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5.1.4承包人使用不合格材料、工程设备，或采用不适当的施工工艺，或施工不当，造成工程不合格的，监理人可以随时发出指示，要求承包人立即采取措施进行替换、补救或拆除重建，直至达到合同要求的质量标准，由此增加的费用和（或）工期延误由承包人承担。如果承包人未在规定时间内执行监理人的指示，发包人有权雇用他人执行，由此增加的费用和（或）工期延误由承包人承担。</w:t>
      </w:r>
      <w:r>
        <w:rPr>
          <w:rFonts w:hint="eastAsia" w:ascii="宋体" w:hAnsi="宋体" w:eastAsia="宋体" w:cs="宋体"/>
          <w:color w:val="auto"/>
          <w:szCs w:val="21"/>
          <w:highlight w:val="none"/>
        </w:rPr>
        <w:t xml:space="preserve"> </w:t>
      </w:r>
    </w:p>
    <w:p w14:paraId="6EC373C6">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5.3</w:t>
      </w:r>
      <w:r>
        <w:rPr>
          <w:rFonts w:hint="eastAsia" w:ascii="宋体" w:hAnsi="宋体" w:eastAsia="宋体" w:cs="宋体"/>
          <w:color w:val="auto"/>
          <w:spacing w:val="53"/>
          <w:kern w:val="0"/>
          <w:szCs w:val="21"/>
          <w:highlight w:val="none"/>
        </w:rPr>
        <w:t xml:space="preserve"> </w:t>
      </w:r>
      <w:r>
        <w:rPr>
          <w:rFonts w:hint="eastAsia" w:ascii="宋体" w:hAnsi="宋体" w:eastAsia="宋体" w:cs="宋体"/>
          <w:color w:val="auto"/>
          <w:kern w:val="0"/>
          <w:szCs w:val="21"/>
          <w:highlight w:val="none"/>
        </w:rPr>
        <w:t>隐蔽工程检查</w:t>
      </w:r>
    </w:p>
    <w:p w14:paraId="7A7F9CDE">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8" w:firstLineChars="200"/>
        <w:rPr>
          <w:rFonts w:hint="eastAsia" w:ascii="宋体" w:hAnsi="宋体" w:eastAsia="宋体" w:cs="宋体"/>
          <w:b/>
          <w:color w:val="auto"/>
          <w:spacing w:val="3"/>
          <w:kern w:val="0"/>
          <w:szCs w:val="21"/>
          <w:highlight w:val="none"/>
        </w:rPr>
      </w:pPr>
      <w:r>
        <w:rPr>
          <w:rFonts w:hint="eastAsia" w:ascii="宋体" w:hAnsi="宋体" w:eastAsia="宋体" w:cs="宋体"/>
          <w:color w:val="auto"/>
          <w:spacing w:val="2"/>
          <w:kern w:val="0"/>
          <w:szCs w:val="21"/>
          <w:highlight w:val="none"/>
        </w:rPr>
        <w:t xml:space="preserve">5.3.2 </w:t>
      </w:r>
      <w:r>
        <w:rPr>
          <w:rFonts w:hint="eastAsia" w:ascii="宋体" w:hAnsi="宋体" w:eastAsia="宋体" w:cs="宋体"/>
          <w:color w:val="auto"/>
          <w:kern w:val="0"/>
          <w:szCs w:val="21"/>
          <w:highlight w:val="none"/>
        </w:rPr>
        <w:t>承包人提前通知监理人隐蔽工程检查的期限的约定：</w:t>
      </w:r>
      <w:r>
        <w:rPr>
          <w:rFonts w:hint="eastAsia" w:ascii="宋体" w:hAnsi="宋体" w:eastAsia="宋体" w:cs="宋体"/>
          <w:b/>
          <w:color w:val="auto"/>
          <w:kern w:val="0"/>
          <w:szCs w:val="21"/>
          <w:highlight w:val="none"/>
        </w:rPr>
        <w:t>工程隐蔽或中间验收前 12</w:t>
      </w:r>
      <w:r>
        <w:rPr>
          <w:rFonts w:hint="eastAsia" w:ascii="宋体" w:hAnsi="宋体" w:eastAsia="宋体" w:cs="宋体"/>
          <w:b/>
          <w:color w:val="auto"/>
          <w:spacing w:val="-36"/>
          <w:kern w:val="0"/>
          <w:szCs w:val="21"/>
          <w:highlight w:val="none"/>
        </w:rPr>
        <w:t xml:space="preserve"> </w:t>
      </w:r>
      <w:r>
        <w:rPr>
          <w:rFonts w:hint="eastAsia" w:ascii="宋体" w:hAnsi="宋体" w:eastAsia="宋体" w:cs="宋体"/>
          <w:b/>
          <w:color w:val="auto"/>
          <w:kern w:val="0"/>
          <w:szCs w:val="21"/>
          <w:highlight w:val="none"/>
        </w:rPr>
        <w:t>小时以书面形式通知发包人和监理工程师验收的内容、时间、地点，承包人准备验收记录单（最好</w:t>
      </w:r>
      <w:r>
        <w:rPr>
          <w:rFonts w:hint="eastAsia" w:ascii="宋体" w:hAnsi="宋体" w:eastAsia="宋体" w:cs="宋体"/>
          <w:b/>
          <w:color w:val="auto"/>
          <w:spacing w:val="-85"/>
          <w:kern w:val="0"/>
          <w:szCs w:val="21"/>
          <w:highlight w:val="none"/>
        </w:rPr>
        <w:t xml:space="preserve"> </w:t>
      </w:r>
      <w:r>
        <w:rPr>
          <w:rFonts w:hint="eastAsia" w:ascii="宋体" w:hAnsi="宋体" w:eastAsia="宋体" w:cs="宋体"/>
          <w:b/>
          <w:color w:val="auto"/>
          <w:kern w:val="0"/>
          <w:szCs w:val="21"/>
          <w:highlight w:val="none"/>
        </w:rPr>
        <w:t>是印制的表格）由双方签证。验收合格，承包人可进行隐蔽和继续施工；验收不合格，双方商</w:t>
      </w:r>
      <w:r>
        <w:rPr>
          <w:rFonts w:hint="eastAsia" w:ascii="宋体" w:hAnsi="宋体" w:eastAsia="宋体" w:cs="宋体"/>
          <w:b/>
          <w:color w:val="auto"/>
          <w:spacing w:val="-80"/>
          <w:kern w:val="0"/>
          <w:szCs w:val="21"/>
          <w:highlight w:val="none"/>
        </w:rPr>
        <w:t xml:space="preserve"> </w:t>
      </w:r>
      <w:r>
        <w:rPr>
          <w:rFonts w:hint="eastAsia" w:ascii="宋体" w:hAnsi="宋体" w:eastAsia="宋体" w:cs="宋体"/>
          <w:b/>
          <w:color w:val="auto"/>
          <w:spacing w:val="3"/>
          <w:kern w:val="0"/>
          <w:szCs w:val="21"/>
          <w:highlight w:val="none"/>
        </w:rPr>
        <w:t>订时限内修改后按上述循序重新验收。</w:t>
      </w:r>
    </w:p>
    <w:p w14:paraId="116088D1">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rPr>
          <w:rFonts w:hint="eastAsia" w:ascii="宋体" w:hAnsi="宋体" w:eastAsia="宋体" w:cs="宋体"/>
          <w:b/>
          <w:color w:val="auto"/>
          <w:spacing w:val="3"/>
          <w:kern w:val="0"/>
          <w:szCs w:val="21"/>
          <w:highlight w:val="none"/>
        </w:rPr>
      </w:pPr>
      <w:r>
        <w:rPr>
          <w:rFonts w:hint="eastAsia" w:ascii="宋体" w:hAnsi="宋体" w:eastAsia="宋体" w:cs="宋体"/>
          <w:b/>
          <w:bCs/>
          <w:color w:val="auto"/>
          <w:szCs w:val="21"/>
          <w:highlight w:val="none"/>
        </w:rPr>
        <w:t>监理工程师应在承包人约定时间到达现场进行隐蔽中间验收工作（不得以任何理由改期），如果在约定时间超过两小时内工程师未到现场（有发包方现场代表证明），承包人可自行隐蔽继续施工，后果由工程师承担。但在约定时间承包人未到现场及超过约定时间两小时，工程师可另订时间验收，承包人不得有异议且承担由此引发的责任。</w:t>
      </w:r>
    </w:p>
    <w:p w14:paraId="3F3240BB">
      <w:pPr>
        <w:pStyle w:val="24"/>
        <w:keepNext w:val="0"/>
        <w:keepLines w:val="0"/>
        <w:pageBreakBefore w:val="0"/>
        <w:widowControl w:val="0"/>
        <w:tabs>
          <w:tab w:val="left" w:pos="3591"/>
          <w:tab w:val="left" w:pos="4447"/>
        </w:tabs>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监理人不能按时进行检查时，应提前</w:t>
      </w:r>
      <w:r>
        <w:rPr>
          <w:rFonts w:hint="eastAsia" w:ascii="宋体" w:hAnsi="宋体" w:eastAsia="宋体" w:cs="宋体"/>
          <w:b/>
          <w:bCs/>
          <w:color w:val="auto"/>
          <w:kern w:val="0"/>
          <w:szCs w:val="21"/>
          <w:highlight w:val="none"/>
          <w:u w:val="single" w:color="000000"/>
        </w:rPr>
        <w:t>24</w:t>
      </w:r>
      <w:r>
        <w:rPr>
          <w:rFonts w:hint="eastAsia" w:ascii="宋体" w:hAnsi="宋体" w:eastAsia="宋体" w:cs="宋体"/>
          <w:color w:val="auto"/>
          <w:kern w:val="0"/>
          <w:szCs w:val="21"/>
          <w:highlight w:val="none"/>
        </w:rPr>
        <w:t xml:space="preserve">小时提交书面延期要求。 </w:t>
      </w:r>
    </w:p>
    <w:p w14:paraId="067D0794">
      <w:pPr>
        <w:pStyle w:val="24"/>
        <w:keepNext w:val="0"/>
        <w:keepLines w:val="0"/>
        <w:pageBreakBefore w:val="0"/>
        <w:widowControl w:val="0"/>
        <w:tabs>
          <w:tab w:val="left" w:pos="3591"/>
          <w:tab w:val="left" w:pos="4447"/>
        </w:tabs>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关于延期最长不得超过：</w:t>
      </w:r>
      <w:r>
        <w:rPr>
          <w:rFonts w:hint="eastAsia" w:ascii="宋体" w:hAnsi="宋体" w:eastAsia="宋体" w:cs="宋体"/>
          <w:color w:val="auto"/>
          <w:spacing w:val="13"/>
          <w:kern w:val="0"/>
          <w:szCs w:val="21"/>
          <w:highlight w:val="none"/>
          <w:u w:val="single" w:color="000000"/>
        </w:rPr>
        <w:t xml:space="preserve"> </w:t>
      </w:r>
      <w:r>
        <w:rPr>
          <w:rFonts w:hint="eastAsia" w:ascii="宋体" w:hAnsi="宋体" w:eastAsia="宋体" w:cs="宋体"/>
          <w:b/>
          <w:bCs/>
          <w:color w:val="auto"/>
          <w:kern w:val="0"/>
          <w:szCs w:val="21"/>
          <w:highlight w:val="none"/>
          <w:u w:val="single"/>
        </w:rPr>
        <w:t xml:space="preserve">48 </w:t>
      </w:r>
      <w:r>
        <w:rPr>
          <w:rFonts w:hint="eastAsia" w:ascii="宋体" w:hAnsi="宋体" w:eastAsia="宋体" w:cs="宋体"/>
          <w:color w:val="auto"/>
          <w:kern w:val="0"/>
          <w:szCs w:val="21"/>
          <w:highlight w:val="none"/>
        </w:rPr>
        <w:t>小时。</w:t>
      </w:r>
    </w:p>
    <w:p w14:paraId="24B74FEB">
      <w:pPr>
        <w:keepNext w:val="0"/>
        <w:keepLines w:val="0"/>
        <w:pageBreakBefore w:val="0"/>
        <w:widowControl/>
        <w:kinsoku w:val="0"/>
        <w:wordWrap/>
        <w:overflowPunct/>
        <w:topLinePunct w:val="0"/>
        <w:autoSpaceDE w:val="0"/>
        <w:autoSpaceDN w:val="0"/>
        <w:bidi w:val="0"/>
        <w:adjustRightInd w:val="0"/>
        <w:snapToGrid w:val="0"/>
        <w:spacing w:line="360" w:lineRule="auto"/>
        <w:ind w:firstLine="442" w:firstLineChars="200"/>
        <w:textAlignment w:val="baseline"/>
        <w:rPr>
          <w:rFonts w:hint="eastAsia" w:ascii="宋体" w:hAnsi="宋体" w:eastAsia="宋体" w:cs="宋体"/>
          <w:color w:val="auto"/>
          <w:szCs w:val="21"/>
          <w:highlight w:val="none"/>
        </w:rPr>
      </w:pPr>
      <w:bookmarkStart w:id="34" w:name="6._安全文明施工与环境保护"/>
      <w:bookmarkEnd w:id="34"/>
      <w:bookmarkStart w:id="35" w:name="_Toc15272"/>
      <w:bookmarkStart w:id="36" w:name="_Toc24462"/>
      <w:r>
        <w:rPr>
          <w:rFonts w:hint="eastAsia" w:ascii="宋体" w:hAnsi="宋体" w:eastAsia="宋体" w:cs="宋体"/>
          <w:b/>
          <w:color w:val="auto"/>
          <w:kern w:val="0"/>
          <w:szCs w:val="21"/>
          <w:highlight w:val="none"/>
        </w:rPr>
        <w:t>6.</w:t>
      </w:r>
      <w:r>
        <w:rPr>
          <w:rFonts w:hint="eastAsia" w:ascii="宋体" w:hAnsi="宋体" w:eastAsia="宋体" w:cs="宋体"/>
          <w:b/>
          <w:color w:val="auto"/>
          <w:spacing w:val="51"/>
          <w:kern w:val="0"/>
          <w:szCs w:val="21"/>
          <w:highlight w:val="none"/>
        </w:rPr>
        <w:t xml:space="preserve"> </w:t>
      </w:r>
      <w:r>
        <w:rPr>
          <w:rFonts w:hint="eastAsia" w:ascii="宋体" w:hAnsi="宋体" w:eastAsia="宋体" w:cs="宋体"/>
          <w:b/>
          <w:color w:val="auto"/>
          <w:spacing w:val="4"/>
          <w:kern w:val="0"/>
          <w:szCs w:val="21"/>
          <w:highlight w:val="none"/>
        </w:rPr>
        <w:t>安全文明施工与环境保护</w:t>
      </w:r>
      <w:bookmarkEnd w:id="35"/>
      <w:bookmarkEnd w:id="36"/>
    </w:p>
    <w:p w14:paraId="73D90972">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color w:val="auto"/>
          <w:szCs w:val="21"/>
          <w:highlight w:val="none"/>
        </w:rPr>
      </w:pPr>
      <w:bookmarkStart w:id="37" w:name="6.1安全文明施工"/>
      <w:bookmarkEnd w:id="37"/>
      <w:r>
        <w:rPr>
          <w:rFonts w:hint="eastAsia" w:ascii="宋体" w:hAnsi="宋体" w:eastAsia="宋体" w:cs="宋体"/>
          <w:b/>
          <w:color w:val="auto"/>
          <w:spacing w:val="2"/>
          <w:kern w:val="0"/>
          <w:szCs w:val="21"/>
          <w:highlight w:val="none"/>
        </w:rPr>
        <w:t>6.1</w:t>
      </w:r>
      <w:r>
        <w:rPr>
          <w:rFonts w:hint="eastAsia" w:ascii="宋体" w:hAnsi="宋体" w:eastAsia="宋体" w:cs="宋体"/>
          <w:b/>
          <w:color w:val="auto"/>
          <w:spacing w:val="3"/>
          <w:kern w:val="0"/>
          <w:szCs w:val="21"/>
          <w:highlight w:val="none"/>
        </w:rPr>
        <w:t xml:space="preserve"> </w:t>
      </w:r>
      <w:r>
        <w:rPr>
          <w:rFonts w:hint="eastAsia" w:ascii="宋体" w:hAnsi="宋体" w:eastAsia="宋体" w:cs="宋体"/>
          <w:b/>
          <w:color w:val="auto"/>
          <w:spacing w:val="5"/>
          <w:kern w:val="0"/>
          <w:szCs w:val="21"/>
          <w:highlight w:val="none"/>
        </w:rPr>
        <w:t>安全文明施工</w:t>
      </w:r>
    </w:p>
    <w:p w14:paraId="7C43F051">
      <w:pPr>
        <w:pStyle w:val="24"/>
        <w:keepNext w:val="0"/>
        <w:keepLines w:val="0"/>
        <w:pageBreakBefore w:val="0"/>
        <w:widowControl w:val="0"/>
        <w:tabs>
          <w:tab w:val="left" w:pos="8232"/>
        </w:tabs>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6.1.1</w:t>
      </w:r>
      <w:r>
        <w:rPr>
          <w:rFonts w:hint="eastAsia" w:ascii="宋体" w:hAnsi="宋体" w:eastAsia="宋体" w:cs="宋体"/>
          <w:color w:val="auto"/>
          <w:spacing w:val="36"/>
          <w:kern w:val="0"/>
          <w:szCs w:val="21"/>
          <w:highlight w:val="none"/>
        </w:rPr>
        <w:t xml:space="preserve"> </w:t>
      </w:r>
      <w:r>
        <w:rPr>
          <w:rFonts w:hint="eastAsia" w:ascii="宋体" w:hAnsi="宋体" w:eastAsia="宋体" w:cs="宋体"/>
          <w:color w:val="auto"/>
          <w:kern w:val="0"/>
          <w:szCs w:val="21"/>
          <w:highlight w:val="none"/>
        </w:rPr>
        <w:t>项目安全生产的达标目标及相应事项的约定：</w:t>
      </w:r>
      <w:r>
        <w:rPr>
          <w:rFonts w:hint="eastAsia" w:ascii="宋体" w:hAnsi="宋体" w:eastAsia="宋体" w:cs="宋体"/>
          <w:color w:val="auto"/>
          <w:kern w:val="0"/>
          <w:szCs w:val="21"/>
          <w:highlight w:val="none"/>
          <w:u w:val="single" w:color="000000"/>
        </w:rPr>
        <w:t xml:space="preserve">  </w:t>
      </w:r>
      <w:r>
        <w:rPr>
          <w:rFonts w:hint="eastAsia" w:ascii="宋体" w:hAnsi="宋体" w:eastAsia="宋体" w:cs="宋体"/>
          <w:color w:val="auto"/>
          <w:kern w:val="0"/>
          <w:szCs w:val="21"/>
          <w:highlight w:val="none"/>
          <w:u w:val="single"/>
        </w:rPr>
        <w:t xml:space="preserve"> </w:t>
      </w:r>
      <w:bookmarkStart w:id="38" w:name="OLE_LINK1"/>
      <w:r>
        <w:rPr>
          <w:rFonts w:hint="eastAsia" w:ascii="宋体" w:hAnsi="宋体" w:eastAsia="宋体" w:cs="宋体"/>
          <w:b/>
          <w:bCs/>
          <w:color w:val="auto"/>
          <w:kern w:val="0"/>
          <w:szCs w:val="21"/>
          <w:highlight w:val="none"/>
          <w:u w:val="single"/>
        </w:rPr>
        <w:t>按通用条款执行</w:t>
      </w:r>
      <w:bookmarkEnd w:id="38"/>
      <w:r>
        <w:rPr>
          <w:rFonts w:hint="eastAsia" w:ascii="宋体" w:hAnsi="宋体" w:eastAsia="宋体" w:cs="宋体"/>
          <w:b/>
          <w:bCs/>
          <w:color w:val="auto"/>
          <w:kern w:val="0"/>
          <w:szCs w:val="21"/>
          <w:highlight w:val="none"/>
          <w:u w:val="single"/>
        </w:rPr>
        <w:t xml:space="preserve">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w:t>
      </w:r>
    </w:p>
    <w:p w14:paraId="3E11B1EF">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b/>
          <w:color w:val="auto"/>
          <w:w w:val="99"/>
          <w:szCs w:val="21"/>
          <w:highlight w:val="none"/>
        </w:rPr>
      </w:pPr>
      <w:r>
        <w:rPr>
          <w:rFonts w:hint="eastAsia" w:ascii="宋体" w:hAnsi="宋体" w:eastAsia="宋体" w:cs="宋体"/>
          <w:color w:val="auto"/>
          <w:spacing w:val="2"/>
          <w:kern w:val="0"/>
          <w:szCs w:val="21"/>
          <w:highlight w:val="none"/>
        </w:rPr>
        <w:t>6.1.4</w:t>
      </w:r>
      <w:r>
        <w:rPr>
          <w:rFonts w:hint="eastAsia" w:ascii="宋体" w:hAnsi="宋体" w:eastAsia="宋体" w:cs="宋体"/>
          <w:color w:val="auto"/>
          <w:spacing w:val="7"/>
          <w:kern w:val="0"/>
          <w:szCs w:val="21"/>
          <w:highlight w:val="none"/>
        </w:rPr>
        <w:t xml:space="preserve"> </w:t>
      </w:r>
      <w:r>
        <w:rPr>
          <w:rFonts w:hint="eastAsia" w:ascii="宋体" w:hAnsi="宋体" w:eastAsia="宋体" w:cs="宋体"/>
          <w:color w:val="auto"/>
          <w:kern w:val="0"/>
          <w:szCs w:val="21"/>
          <w:highlight w:val="none"/>
        </w:rPr>
        <w:t>关于治安保卫的特别约定：</w:t>
      </w:r>
      <w:r>
        <w:rPr>
          <w:rFonts w:hint="eastAsia" w:ascii="宋体" w:hAnsi="宋体" w:eastAsia="宋体" w:cs="宋体"/>
          <w:b/>
          <w:color w:val="auto"/>
          <w:kern w:val="0"/>
          <w:szCs w:val="21"/>
          <w:highlight w:val="none"/>
          <w:u w:val="single" w:color="000000"/>
        </w:rPr>
        <w:t>承包人应承担施工安全保卫工作及非夜间施工照明的责任，承包人应采取一切合理的预防措施，防止人员伤亡、财产损失事故，费用由承包人承担。</w:t>
      </w:r>
      <w:r>
        <w:rPr>
          <w:rFonts w:hint="eastAsia" w:ascii="宋体" w:hAnsi="宋体" w:eastAsia="宋体" w:cs="宋体"/>
          <w:b/>
          <w:color w:val="auto"/>
          <w:spacing w:val="2"/>
          <w:kern w:val="0"/>
          <w:szCs w:val="21"/>
          <w:highlight w:val="none"/>
          <w:u w:val="single" w:color="000000"/>
        </w:rPr>
        <w:t>承包人生活设施及施工场应自费配备消防设备，防止火灾发生。</w:t>
      </w:r>
      <w:r>
        <w:rPr>
          <w:rFonts w:hint="eastAsia" w:ascii="宋体" w:hAnsi="宋体" w:eastAsia="宋体" w:cs="宋体"/>
          <w:b/>
          <w:color w:val="auto"/>
          <w:w w:val="99"/>
          <w:kern w:val="0"/>
          <w:szCs w:val="21"/>
          <w:highlight w:val="none"/>
        </w:rPr>
        <w:t xml:space="preserve"> </w:t>
      </w:r>
    </w:p>
    <w:p w14:paraId="5106A0BE">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szCs w:val="21"/>
          <w:highlight w:val="none"/>
        </w:rPr>
      </w:pPr>
      <w:r>
        <w:rPr>
          <w:rFonts w:hint="eastAsia" w:ascii="宋体" w:hAnsi="宋体" w:eastAsia="宋体" w:cs="宋体"/>
          <w:color w:val="auto"/>
          <w:spacing w:val="-1"/>
          <w:kern w:val="0"/>
          <w:szCs w:val="21"/>
          <w:highlight w:val="none"/>
        </w:rPr>
        <w:t>关于编制施工场地治安管理计划的约定：</w:t>
      </w:r>
      <w:r>
        <w:rPr>
          <w:rFonts w:hint="eastAsia" w:ascii="宋体" w:hAnsi="宋体" w:eastAsia="宋体" w:cs="宋体"/>
          <w:color w:val="auto"/>
          <w:spacing w:val="-1"/>
          <w:kern w:val="0"/>
          <w:szCs w:val="21"/>
          <w:highlight w:val="none"/>
          <w:u w:val="single" w:color="000000"/>
        </w:rPr>
        <w:t xml:space="preserve"> </w:t>
      </w:r>
      <w:r>
        <w:rPr>
          <w:rFonts w:hint="eastAsia" w:ascii="宋体" w:hAnsi="宋体" w:eastAsia="宋体" w:cs="宋体"/>
          <w:color w:val="auto"/>
          <w:spacing w:val="-1"/>
          <w:kern w:val="0"/>
          <w:szCs w:val="21"/>
          <w:highlight w:val="none"/>
          <w:u w:val="single" w:color="000000"/>
        </w:rPr>
        <w:tab/>
      </w:r>
      <w:r>
        <w:rPr>
          <w:rFonts w:hint="eastAsia" w:ascii="宋体" w:hAnsi="宋体" w:eastAsia="宋体" w:cs="宋体"/>
          <w:b/>
          <w:bCs/>
          <w:color w:val="auto"/>
          <w:kern w:val="0"/>
          <w:szCs w:val="21"/>
          <w:highlight w:val="none"/>
          <w:u w:val="single"/>
        </w:rPr>
        <w:t>按通用条款执行</w:t>
      </w:r>
      <w:r>
        <w:rPr>
          <w:rFonts w:hint="eastAsia" w:ascii="宋体" w:hAnsi="宋体" w:eastAsia="宋体" w:cs="宋体"/>
          <w:color w:val="auto"/>
          <w:spacing w:val="-1"/>
          <w:kern w:val="0"/>
          <w:szCs w:val="21"/>
          <w:highlight w:val="none"/>
          <w:u w:val="single" w:color="000000"/>
        </w:rPr>
        <w:t xml:space="preserve">    </w:t>
      </w:r>
      <w:r>
        <w:rPr>
          <w:rFonts w:hint="eastAsia" w:ascii="宋体" w:hAnsi="宋体" w:eastAsia="宋体" w:cs="宋体"/>
          <w:color w:val="auto"/>
          <w:kern w:val="0"/>
          <w:szCs w:val="21"/>
          <w:highlight w:val="none"/>
        </w:rPr>
        <w:t xml:space="preserve">。 </w:t>
      </w:r>
    </w:p>
    <w:p w14:paraId="3B04017B">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szCs w:val="21"/>
          <w:highlight w:val="none"/>
        </w:rPr>
      </w:pPr>
      <w:r>
        <w:rPr>
          <w:rFonts w:hint="eastAsia" w:ascii="宋体" w:hAnsi="宋体" w:eastAsia="宋体" w:cs="宋体"/>
          <w:color w:val="auto"/>
          <w:spacing w:val="2"/>
          <w:kern w:val="0"/>
          <w:szCs w:val="21"/>
          <w:highlight w:val="none"/>
        </w:rPr>
        <w:t>6.1.5</w:t>
      </w:r>
      <w:r>
        <w:rPr>
          <w:rFonts w:hint="eastAsia" w:ascii="宋体" w:hAnsi="宋体" w:eastAsia="宋体" w:cs="宋体"/>
          <w:color w:val="auto"/>
          <w:kern w:val="0"/>
          <w:szCs w:val="21"/>
          <w:highlight w:val="none"/>
        </w:rPr>
        <w:t>文明施工</w:t>
      </w:r>
    </w:p>
    <w:p w14:paraId="155B6E2A">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kern w:val="0"/>
          <w:szCs w:val="21"/>
          <w:highlight w:val="none"/>
        </w:rPr>
        <w:t>合同当事人对文明施工的要求：</w:t>
      </w:r>
      <w:r>
        <w:rPr>
          <w:rFonts w:hint="eastAsia" w:ascii="宋体" w:hAnsi="宋体" w:eastAsia="宋体" w:cs="宋体"/>
          <w:color w:val="auto"/>
          <w:kern w:val="0"/>
          <w:szCs w:val="21"/>
          <w:highlight w:val="none"/>
          <w:u w:val="single"/>
        </w:rPr>
        <w:t>严格执行《大气污染防治法》（主席令第三十一号）、《南宁市建设工程质量和安全生产管理办法》（南宁市政府令第46号）、《关于推进建筑业改革发展提升工程治理水平的若干意见》（南府规[2016]24号）、《南宁市土方作业文明施工工作导则》、《南宁市建设工程质量安全标准化图集》、《广西壮族自治区建设工程安全文明施工费使用管理细则》（桂建质[2015]16号）、《南宁市建设工程安全防护、文明施工措施费用管理规定》的有关规定，必须与经城管部门及行业协会核查建立的合法合规运输企业名录当中的企业签订运输合同，保证车辆受管控、服务够专业、利益分配较合理；使用符合密闭规定的合法车辆进行散体物料（建筑渣土、垃圾、砂石等）的运输，同时与辖区卫生防疫、环卫管理部门或有合法资质资格的企业签订病媒生物消杀协议、生活垃圾清运协议、在线远程监控扬尘监测协议，采取道路硬化、裸土覆盖、洗车出门、保洁路口、在线监测、抑尘喷淋等有效措施，确保建设工程各项安全防护、文明施工措施及其费用在工地一线按标准落实到位。</w:t>
      </w:r>
    </w:p>
    <w:p w14:paraId="0B0C6242">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spacing w:val="2"/>
          <w:kern w:val="0"/>
          <w:szCs w:val="21"/>
          <w:highlight w:val="none"/>
        </w:rPr>
      </w:pPr>
      <w:r>
        <w:rPr>
          <w:rFonts w:hint="eastAsia" w:ascii="宋体" w:hAnsi="宋体" w:eastAsia="宋体" w:cs="宋体"/>
          <w:color w:val="auto"/>
          <w:spacing w:val="2"/>
          <w:kern w:val="0"/>
          <w:szCs w:val="21"/>
          <w:highlight w:val="none"/>
        </w:rPr>
        <w:t>6.1.6 关于安全文明施工费支付比例和支付期限的约定：</w:t>
      </w:r>
    </w:p>
    <w:p w14:paraId="56539780">
      <w:pPr>
        <w:pStyle w:val="24"/>
        <w:keepNext w:val="0"/>
        <w:keepLines w:val="0"/>
        <w:pageBreakBefore w:val="0"/>
        <w:widowControl w:val="0"/>
        <w:tabs>
          <w:tab w:val="left" w:pos="5378"/>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（1）本合同价款已包含安全文明施工费</w:t>
      </w:r>
      <w:r>
        <w:rPr>
          <w:rFonts w:hint="eastAsia" w:ascii="宋体" w:hAnsi="宋体" w:eastAsia="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元。</w:t>
      </w:r>
    </w:p>
    <w:p w14:paraId="45D71091">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12" w:firstLineChars="200"/>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（2）使用要求：专款专用。具体按</w:t>
      </w:r>
      <w:r>
        <w:rPr>
          <w:rFonts w:hint="eastAsia" w:ascii="宋体" w:hAnsi="宋体" w:eastAsia="宋体" w:cs="宋体"/>
          <w:color w:val="auto"/>
          <w:spacing w:val="-2"/>
          <w:kern w:val="0"/>
          <w:szCs w:val="21"/>
          <w:highlight w:val="none"/>
          <w:u w:val="single" w:color="000000"/>
        </w:rPr>
        <w:t>《广西壮族自治区建设工程安全文明施工费使用管理细</w:t>
      </w:r>
      <w:r>
        <w:rPr>
          <w:rFonts w:hint="eastAsia" w:ascii="宋体" w:hAnsi="宋体" w:eastAsia="宋体" w:cs="宋体"/>
          <w:color w:val="auto"/>
          <w:kern w:val="0"/>
          <w:szCs w:val="21"/>
          <w:highlight w:val="none"/>
          <w:u w:val="single" w:color="000000"/>
        </w:rPr>
        <w:t>则》（桂建质〔2015〕16号）</w:t>
      </w:r>
      <w:r>
        <w:rPr>
          <w:rFonts w:hint="eastAsia" w:ascii="宋体" w:hAnsi="宋体" w:eastAsia="宋体" w:cs="宋体"/>
          <w:color w:val="auto"/>
          <w:szCs w:val="21"/>
          <w:highlight w:val="none"/>
        </w:rPr>
        <w:t>和</w:t>
      </w:r>
      <w:r>
        <w:rPr>
          <w:rFonts w:hint="eastAsia" w:ascii="宋体" w:hAnsi="宋体" w:eastAsia="宋体" w:cs="宋体"/>
          <w:color w:val="auto"/>
          <w:szCs w:val="21"/>
          <w:highlight w:val="none"/>
          <w:u w:val="single"/>
        </w:rPr>
        <w:t>《广西壮族自治区建筑工程安全生产管理办法》（广西壮族自治区人民政府令第124号）、《南宁市建设工程施工现场管理若干规定》（南宁市人民政府令第8号）等南宁</w:t>
      </w:r>
      <w:r>
        <w:rPr>
          <w:rFonts w:hint="eastAsia" w:ascii="宋体" w:hAnsi="宋体" w:eastAsia="宋体" w:cs="宋体"/>
          <w:color w:val="auto"/>
          <w:szCs w:val="21"/>
          <w:highlight w:val="none"/>
        </w:rPr>
        <w:t>市</w:t>
      </w:r>
      <w:r>
        <w:rPr>
          <w:rFonts w:hint="eastAsia" w:ascii="宋体" w:hAnsi="宋体" w:eastAsia="宋体" w:cs="宋体"/>
          <w:color w:val="auto"/>
          <w:kern w:val="0"/>
          <w:szCs w:val="21"/>
          <w:highlight w:val="none"/>
        </w:rPr>
        <w:t>相关规定执行。</w:t>
      </w:r>
    </w:p>
    <w:p w14:paraId="61372E09">
      <w:pPr>
        <w:pStyle w:val="24"/>
        <w:keepNext w:val="0"/>
        <w:keepLines w:val="0"/>
        <w:pageBreakBefore w:val="0"/>
        <w:widowControl w:val="0"/>
        <w:wordWrap/>
        <w:overflowPunct/>
        <w:topLinePunct w:val="0"/>
        <w:autoSpaceDE w:val="0"/>
        <w:autoSpaceDN w:val="0"/>
        <w:bidi w:val="0"/>
        <w:adjustRightInd w:val="0"/>
        <w:spacing w:beforeAutospacing="0" w:afterAutospacing="0" w:line="360" w:lineRule="auto"/>
        <w:ind w:left="0" w:leftChars="0" w:right="0" w:rightChars="0"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（3）支付约定：包含在工程款中与工程进度款同时支付。</w:t>
      </w:r>
    </w:p>
    <w:p w14:paraId="483D0973">
      <w:pPr>
        <w:pStyle w:val="24"/>
        <w:keepNext w:val="0"/>
        <w:keepLines w:val="0"/>
        <w:pageBreakBefore w:val="0"/>
        <w:widowControl w:val="0"/>
        <w:wordWrap/>
        <w:overflowPunct/>
        <w:topLinePunct w:val="0"/>
        <w:autoSpaceDE w:val="0"/>
        <w:autoSpaceDN w:val="0"/>
        <w:bidi w:val="0"/>
        <w:adjustRightInd w:val="0"/>
        <w:spacing w:beforeAutospacing="0" w:afterAutospacing="0" w:line="360" w:lineRule="auto"/>
        <w:ind w:left="0" w:leftChars="0" w:right="0" w:rightChars="0"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（4）建设单位按规定将安全生产费用转入施工单位设立的安全生产费用专户。</w:t>
      </w:r>
    </w:p>
    <w:p w14:paraId="65A2666D">
      <w:pPr>
        <w:pStyle w:val="24"/>
        <w:keepNext w:val="0"/>
        <w:keepLines w:val="0"/>
        <w:pageBreakBefore w:val="0"/>
        <w:widowControl w:val="0"/>
        <w:wordWrap/>
        <w:overflowPunct/>
        <w:topLinePunct w:val="0"/>
        <w:autoSpaceDE w:val="0"/>
        <w:autoSpaceDN w:val="0"/>
        <w:bidi w:val="0"/>
        <w:adjustRightInd w:val="0"/>
        <w:spacing w:beforeAutospacing="0" w:afterAutospacing="0" w:line="360" w:lineRule="auto"/>
        <w:ind w:left="0" w:leftChars="0" w:right="0" w:rightChars="0"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（5）施工单位将安全生产费用使用情况定期报告建设单位和监理单位，并提供相应的材料接受建设行政主管部门对此事项监管。</w:t>
      </w:r>
    </w:p>
    <w:p w14:paraId="44E65BDA">
      <w:pPr>
        <w:pStyle w:val="24"/>
        <w:keepNext w:val="0"/>
        <w:keepLines w:val="0"/>
        <w:pageBreakBefore w:val="0"/>
        <w:widowControl w:val="0"/>
        <w:tabs>
          <w:tab w:val="left" w:pos="4026"/>
        </w:tabs>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strike/>
          <w:color w:val="auto"/>
          <w:kern w:val="0"/>
          <w:szCs w:val="21"/>
          <w:highlight w:val="none"/>
        </w:rPr>
      </w:pPr>
      <w:r>
        <w:rPr>
          <w:rFonts w:hint="eastAsia" w:ascii="宋体" w:hAnsi="宋体" w:eastAsia="宋体" w:cs="宋体"/>
          <w:b/>
          <w:bCs/>
          <w:color w:val="auto"/>
          <w:kern w:val="0"/>
          <w:szCs w:val="21"/>
          <w:highlight w:val="none"/>
        </w:rPr>
        <w:t>（6）安全费用生产专户：</w:t>
      </w:r>
      <w:r>
        <w:rPr>
          <w:rFonts w:hint="eastAsia" w:ascii="宋体" w:hAnsi="宋体" w:eastAsia="宋体" w:cs="宋体"/>
          <w:b/>
          <w:bCs/>
          <w:color w:val="auto"/>
          <w:kern w:val="0"/>
          <w:szCs w:val="21"/>
          <w:highlight w:val="none"/>
          <w:u w:val="single"/>
        </w:rPr>
        <w:t xml:space="preserve">   </w:t>
      </w:r>
      <w:r>
        <w:rPr>
          <w:rFonts w:hint="eastAsia" w:ascii="宋体" w:hAnsi="宋体" w:eastAsia="宋体" w:cs="宋体"/>
          <w:b/>
          <w:bCs/>
          <w:color w:val="auto"/>
          <w:kern w:val="0"/>
          <w:szCs w:val="21"/>
          <w:highlight w:val="none"/>
          <w:u w:val="single"/>
          <w:lang w:val="en-US" w:eastAsia="zh-CN"/>
        </w:rPr>
        <w:t>/</w:t>
      </w:r>
      <w:r>
        <w:rPr>
          <w:rFonts w:hint="eastAsia" w:ascii="宋体" w:hAnsi="宋体" w:eastAsia="宋体" w:cs="宋体"/>
          <w:b/>
          <w:bCs/>
          <w:color w:val="auto"/>
          <w:kern w:val="0"/>
          <w:szCs w:val="21"/>
          <w:highlight w:val="none"/>
          <w:u w:val="single"/>
        </w:rPr>
        <w:t xml:space="preserve">     </w:t>
      </w:r>
      <w:r>
        <w:rPr>
          <w:rFonts w:hint="eastAsia" w:ascii="宋体" w:hAnsi="宋体" w:eastAsia="宋体" w:cs="宋体"/>
          <w:b/>
          <w:bCs/>
          <w:color w:val="auto"/>
          <w:kern w:val="0"/>
          <w:szCs w:val="21"/>
          <w:highlight w:val="none"/>
        </w:rPr>
        <w:t xml:space="preserve"> ，账号：</w:t>
      </w:r>
      <w:r>
        <w:rPr>
          <w:rFonts w:hint="eastAsia" w:ascii="宋体" w:hAnsi="宋体" w:eastAsia="宋体" w:cs="宋体"/>
          <w:b/>
          <w:bCs/>
          <w:color w:val="auto"/>
          <w:kern w:val="0"/>
          <w:szCs w:val="21"/>
          <w:highlight w:val="none"/>
          <w:u w:val="single"/>
        </w:rPr>
        <w:t xml:space="preserve">   </w:t>
      </w:r>
      <w:r>
        <w:rPr>
          <w:rFonts w:hint="eastAsia" w:ascii="宋体" w:hAnsi="宋体" w:eastAsia="宋体" w:cs="宋体"/>
          <w:b/>
          <w:bCs/>
          <w:color w:val="auto"/>
          <w:kern w:val="0"/>
          <w:szCs w:val="21"/>
          <w:highlight w:val="none"/>
          <w:u w:val="single"/>
          <w:lang w:val="en-US" w:eastAsia="zh-CN"/>
        </w:rPr>
        <w:t>/</w:t>
      </w:r>
      <w:r>
        <w:rPr>
          <w:rFonts w:hint="eastAsia" w:ascii="宋体" w:hAnsi="宋体" w:eastAsia="宋体" w:cs="宋体"/>
          <w:b/>
          <w:bCs/>
          <w:color w:val="auto"/>
          <w:kern w:val="0"/>
          <w:szCs w:val="21"/>
          <w:highlight w:val="none"/>
          <w:u w:val="single"/>
        </w:rPr>
        <w:t xml:space="preserve">   </w:t>
      </w:r>
      <w:r>
        <w:rPr>
          <w:rFonts w:hint="eastAsia" w:ascii="宋体" w:hAnsi="宋体" w:eastAsia="宋体" w:cs="宋体"/>
          <w:b/>
          <w:bCs/>
          <w:color w:val="auto"/>
          <w:kern w:val="0"/>
          <w:szCs w:val="21"/>
          <w:highlight w:val="none"/>
        </w:rPr>
        <w:t>，开户行：</w:t>
      </w:r>
      <w:r>
        <w:rPr>
          <w:rFonts w:hint="eastAsia" w:ascii="宋体" w:hAnsi="宋体" w:eastAsia="宋体" w:cs="宋体"/>
          <w:b/>
          <w:bCs/>
          <w:color w:val="auto"/>
          <w:kern w:val="0"/>
          <w:szCs w:val="21"/>
          <w:highlight w:val="none"/>
          <w:u w:val="single"/>
        </w:rPr>
        <w:t xml:space="preserve">      </w:t>
      </w:r>
      <w:r>
        <w:rPr>
          <w:rFonts w:hint="eastAsia" w:ascii="宋体" w:hAnsi="宋体" w:eastAsia="宋体" w:cs="宋体"/>
          <w:b/>
          <w:bCs/>
          <w:color w:val="auto"/>
          <w:kern w:val="0"/>
          <w:szCs w:val="21"/>
          <w:highlight w:val="none"/>
          <w:u w:val="single"/>
          <w:lang w:val="en-US" w:eastAsia="zh-CN"/>
        </w:rPr>
        <w:t>/</w:t>
      </w:r>
      <w:r>
        <w:rPr>
          <w:rFonts w:hint="eastAsia" w:ascii="宋体" w:hAnsi="宋体" w:eastAsia="宋体" w:cs="宋体"/>
          <w:b/>
          <w:bCs/>
          <w:color w:val="auto"/>
          <w:kern w:val="0"/>
          <w:szCs w:val="21"/>
          <w:highlight w:val="none"/>
          <w:u w:val="single"/>
        </w:rPr>
        <w:t xml:space="preserve">     </w:t>
      </w:r>
      <w:r>
        <w:rPr>
          <w:rFonts w:hint="eastAsia" w:ascii="宋体" w:hAnsi="宋体" w:eastAsia="宋体" w:cs="宋体"/>
          <w:b/>
          <w:bCs/>
          <w:color w:val="auto"/>
          <w:kern w:val="0"/>
          <w:szCs w:val="21"/>
          <w:highlight w:val="none"/>
        </w:rPr>
        <w:t xml:space="preserve"> </w:t>
      </w:r>
      <w:r>
        <w:rPr>
          <w:rFonts w:hint="eastAsia" w:ascii="宋体" w:hAnsi="宋体" w:eastAsia="宋体" w:cs="宋体"/>
          <w:color w:val="auto"/>
          <w:kern w:val="0"/>
          <w:szCs w:val="21"/>
          <w:highlight w:val="none"/>
        </w:rPr>
        <w:t xml:space="preserve">    </w:t>
      </w:r>
    </w:p>
    <w:p w14:paraId="785F8D98">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b/>
          <w:color w:val="auto"/>
          <w:w w:val="99"/>
          <w:szCs w:val="21"/>
          <w:highlight w:val="none"/>
        </w:rPr>
      </w:pPr>
      <w:bookmarkStart w:id="39" w:name="6.3环境保护"/>
      <w:bookmarkEnd w:id="39"/>
      <w:r>
        <w:rPr>
          <w:rFonts w:hint="eastAsia" w:ascii="宋体" w:hAnsi="宋体" w:eastAsia="宋体" w:cs="宋体"/>
          <w:b/>
          <w:color w:val="auto"/>
          <w:spacing w:val="2"/>
          <w:kern w:val="0"/>
          <w:szCs w:val="21"/>
          <w:highlight w:val="none"/>
        </w:rPr>
        <w:t>6.3</w:t>
      </w:r>
      <w:r>
        <w:rPr>
          <w:rFonts w:hint="eastAsia" w:ascii="宋体" w:hAnsi="宋体" w:eastAsia="宋体" w:cs="宋体"/>
          <w:b/>
          <w:color w:val="auto"/>
          <w:spacing w:val="7"/>
          <w:kern w:val="0"/>
          <w:szCs w:val="21"/>
          <w:highlight w:val="none"/>
        </w:rPr>
        <w:t xml:space="preserve"> 环境保护</w:t>
      </w:r>
      <w:r>
        <w:rPr>
          <w:rFonts w:hint="eastAsia" w:ascii="宋体" w:hAnsi="宋体" w:eastAsia="宋体" w:cs="宋体"/>
          <w:b/>
          <w:color w:val="auto"/>
          <w:w w:val="99"/>
          <w:kern w:val="0"/>
          <w:szCs w:val="21"/>
          <w:highlight w:val="none"/>
        </w:rPr>
        <w:t xml:space="preserve"> </w:t>
      </w:r>
    </w:p>
    <w:p w14:paraId="0EC2ADCE">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因施工需要，经发包人批准，由承包人办理有关施工场地交通、环卫和施工噪音管理等手续，费用由承包人负责。</w:t>
      </w:r>
    </w:p>
    <w:p w14:paraId="034ECE00">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经过城市道路的施工车辆，必须按交警、城管、运输等部门相关规定执行。由于施工车辆造成的道路、环境等污染，其责任和费用均由承包人承担。</w:t>
      </w:r>
    </w:p>
    <w:p w14:paraId="1B4F437E">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根据《南宁市挥发性有机物污染防治实施方案（2019-2020年）》（南环委办〔2019〕166号）文件精神，宜优先使用低VOCs含量的涂料、油漆和有机溶剂。</w:t>
      </w:r>
    </w:p>
    <w:p w14:paraId="366F817B">
      <w:pPr>
        <w:keepNext w:val="0"/>
        <w:keepLines w:val="0"/>
        <w:pageBreakBefore w:val="0"/>
        <w:widowControl/>
        <w:kinsoku w:val="0"/>
        <w:wordWrap/>
        <w:overflowPunct/>
        <w:topLinePunct w:val="0"/>
        <w:autoSpaceDE w:val="0"/>
        <w:autoSpaceDN w:val="0"/>
        <w:bidi w:val="0"/>
        <w:adjustRightInd w:val="0"/>
        <w:snapToGrid w:val="0"/>
        <w:spacing w:line="360" w:lineRule="auto"/>
        <w:ind w:firstLine="442" w:firstLineChars="200"/>
        <w:textAlignment w:val="baseline"/>
        <w:rPr>
          <w:rFonts w:hint="eastAsia" w:ascii="宋体" w:hAnsi="宋体" w:eastAsia="宋体" w:cs="宋体"/>
          <w:color w:val="auto"/>
          <w:szCs w:val="21"/>
          <w:highlight w:val="none"/>
        </w:rPr>
      </w:pPr>
      <w:bookmarkStart w:id="40" w:name="7._工期和进度"/>
      <w:bookmarkEnd w:id="40"/>
      <w:bookmarkStart w:id="41" w:name="_Toc30103"/>
      <w:bookmarkStart w:id="42" w:name="_Toc7612"/>
      <w:r>
        <w:rPr>
          <w:rFonts w:hint="eastAsia" w:ascii="宋体" w:hAnsi="宋体" w:eastAsia="宋体" w:cs="宋体"/>
          <w:b/>
          <w:color w:val="auto"/>
          <w:kern w:val="0"/>
          <w:szCs w:val="21"/>
          <w:highlight w:val="none"/>
        </w:rPr>
        <w:t xml:space="preserve">7. </w:t>
      </w:r>
      <w:r>
        <w:rPr>
          <w:rFonts w:hint="eastAsia" w:ascii="宋体" w:hAnsi="宋体" w:eastAsia="宋体" w:cs="宋体"/>
          <w:b/>
          <w:color w:val="auto"/>
          <w:spacing w:val="2"/>
          <w:kern w:val="0"/>
          <w:szCs w:val="21"/>
          <w:highlight w:val="none"/>
        </w:rPr>
        <w:t xml:space="preserve"> </w:t>
      </w:r>
      <w:r>
        <w:rPr>
          <w:rFonts w:hint="eastAsia" w:ascii="宋体" w:hAnsi="宋体" w:eastAsia="宋体" w:cs="宋体"/>
          <w:b/>
          <w:color w:val="auto"/>
          <w:spacing w:val="9"/>
          <w:kern w:val="0"/>
          <w:szCs w:val="21"/>
          <w:highlight w:val="none"/>
        </w:rPr>
        <w:t>工期和进度</w:t>
      </w:r>
      <w:bookmarkEnd w:id="41"/>
      <w:bookmarkEnd w:id="42"/>
    </w:p>
    <w:p w14:paraId="2CE70E70">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color w:val="auto"/>
          <w:szCs w:val="21"/>
          <w:highlight w:val="none"/>
        </w:rPr>
      </w:pPr>
      <w:bookmarkStart w:id="43" w:name="7.1_施工组织设计"/>
      <w:bookmarkEnd w:id="43"/>
      <w:r>
        <w:rPr>
          <w:rFonts w:hint="eastAsia" w:ascii="宋体" w:hAnsi="宋体" w:eastAsia="宋体" w:cs="宋体"/>
          <w:b/>
          <w:color w:val="auto"/>
          <w:spacing w:val="2"/>
          <w:kern w:val="0"/>
          <w:szCs w:val="21"/>
          <w:highlight w:val="none"/>
        </w:rPr>
        <w:t>7.1</w:t>
      </w:r>
      <w:r>
        <w:rPr>
          <w:rFonts w:hint="eastAsia" w:ascii="宋体" w:hAnsi="宋体" w:eastAsia="宋体" w:cs="宋体"/>
          <w:b/>
          <w:color w:val="auto"/>
          <w:spacing w:val="51"/>
          <w:kern w:val="0"/>
          <w:szCs w:val="21"/>
          <w:highlight w:val="none"/>
        </w:rPr>
        <w:t xml:space="preserve"> </w:t>
      </w:r>
      <w:r>
        <w:rPr>
          <w:rFonts w:hint="eastAsia" w:ascii="宋体" w:hAnsi="宋体" w:eastAsia="宋体" w:cs="宋体"/>
          <w:b/>
          <w:color w:val="auto"/>
          <w:spacing w:val="7"/>
          <w:kern w:val="0"/>
          <w:szCs w:val="21"/>
          <w:highlight w:val="none"/>
        </w:rPr>
        <w:t>施工组织设计</w:t>
      </w:r>
    </w:p>
    <w:p w14:paraId="71A1D6C3">
      <w:pPr>
        <w:pStyle w:val="24"/>
        <w:keepNext w:val="0"/>
        <w:keepLines w:val="0"/>
        <w:pageBreakBefore w:val="0"/>
        <w:widowControl w:val="0"/>
        <w:tabs>
          <w:tab w:val="left" w:pos="8322"/>
        </w:tabs>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b/>
          <w:bCs/>
          <w:color w:val="auto"/>
          <w:kern w:val="0"/>
          <w:szCs w:val="21"/>
          <w:highlight w:val="none"/>
        </w:rPr>
      </w:pPr>
      <w:r>
        <w:rPr>
          <w:rFonts w:hint="eastAsia" w:ascii="宋体" w:hAnsi="宋体" w:eastAsia="宋体" w:cs="宋体"/>
          <w:color w:val="auto"/>
          <w:spacing w:val="2"/>
          <w:kern w:val="0"/>
          <w:szCs w:val="21"/>
          <w:highlight w:val="none"/>
        </w:rPr>
        <w:t>7.1.1</w:t>
      </w:r>
      <w:r>
        <w:rPr>
          <w:rFonts w:hint="eastAsia" w:ascii="宋体" w:hAnsi="宋体" w:eastAsia="宋体" w:cs="宋体"/>
          <w:color w:val="auto"/>
          <w:spacing w:val="36"/>
          <w:kern w:val="0"/>
          <w:szCs w:val="21"/>
          <w:highlight w:val="none"/>
        </w:rPr>
        <w:t xml:space="preserve"> </w:t>
      </w:r>
      <w:r>
        <w:rPr>
          <w:rFonts w:hint="eastAsia" w:ascii="宋体" w:hAnsi="宋体" w:eastAsia="宋体" w:cs="宋体"/>
          <w:color w:val="auto"/>
          <w:kern w:val="0"/>
          <w:szCs w:val="21"/>
          <w:highlight w:val="none"/>
        </w:rPr>
        <w:t>合同当事人约定的施工组织设计应包括的其他内容：</w:t>
      </w:r>
      <w:r>
        <w:rPr>
          <w:rFonts w:hint="eastAsia" w:ascii="宋体" w:hAnsi="宋体" w:eastAsia="宋体" w:cs="宋体"/>
          <w:color w:val="auto"/>
          <w:kern w:val="0"/>
          <w:szCs w:val="21"/>
          <w:highlight w:val="none"/>
          <w:u w:val="single"/>
        </w:rPr>
        <w:t xml:space="preserve"> </w:t>
      </w:r>
      <w:r>
        <w:rPr>
          <w:rFonts w:hint="eastAsia" w:ascii="宋体" w:hAnsi="宋体" w:eastAsia="宋体" w:cs="宋体"/>
          <w:b/>
          <w:bCs/>
          <w:color w:val="auto"/>
          <w:kern w:val="0"/>
          <w:szCs w:val="21"/>
          <w:highlight w:val="none"/>
          <w:u w:val="single"/>
        </w:rPr>
        <w:t xml:space="preserve">总进度计划须含网络图、横道图等   </w:t>
      </w:r>
    </w:p>
    <w:p w14:paraId="5540C973">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7.1.2</w:t>
      </w:r>
      <w:r>
        <w:rPr>
          <w:rFonts w:hint="eastAsia" w:ascii="宋体" w:hAnsi="宋体" w:eastAsia="宋体" w:cs="宋体"/>
          <w:color w:val="auto"/>
          <w:spacing w:val="41"/>
          <w:kern w:val="0"/>
          <w:szCs w:val="21"/>
          <w:highlight w:val="none"/>
        </w:rPr>
        <w:t xml:space="preserve"> </w:t>
      </w:r>
      <w:r>
        <w:rPr>
          <w:rFonts w:hint="eastAsia" w:ascii="宋体" w:hAnsi="宋体" w:eastAsia="宋体" w:cs="宋体"/>
          <w:color w:val="auto"/>
          <w:kern w:val="0"/>
          <w:szCs w:val="21"/>
          <w:highlight w:val="none"/>
        </w:rPr>
        <w:t>施工组织设计的提交和修改</w:t>
      </w:r>
    </w:p>
    <w:p w14:paraId="0E371ECD">
      <w:pPr>
        <w:pStyle w:val="24"/>
        <w:keepNext w:val="0"/>
        <w:keepLines w:val="0"/>
        <w:pageBreakBefore w:val="0"/>
        <w:widowControl w:val="0"/>
        <w:tabs>
          <w:tab w:val="left" w:pos="8427"/>
        </w:tabs>
        <w:wordWrap/>
        <w:overflowPunct/>
        <w:topLinePunct w:val="0"/>
        <w:bidi w:val="0"/>
        <w:spacing w:beforeAutospacing="0" w:afterAutospacing="0" w:line="360" w:lineRule="auto"/>
        <w:ind w:left="0" w:leftChars="0" w:right="0" w:rightChars="0" w:firstLine="416" w:firstLineChars="200"/>
        <w:rPr>
          <w:rFonts w:hint="eastAsia" w:ascii="宋体" w:hAnsi="宋体" w:eastAsia="宋体" w:cs="宋体"/>
          <w:b/>
          <w:bCs/>
          <w:color w:val="auto"/>
          <w:kern w:val="0"/>
          <w:szCs w:val="21"/>
          <w:highlight w:val="none"/>
        </w:rPr>
      </w:pPr>
      <w:r>
        <w:rPr>
          <w:rFonts w:hint="eastAsia" w:ascii="宋体" w:hAnsi="宋体" w:eastAsia="宋体" w:cs="宋体"/>
          <w:color w:val="auto"/>
          <w:spacing w:val="-1"/>
          <w:kern w:val="0"/>
          <w:szCs w:val="21"/>
          <w:highlight w:val="none"/>
        </w:rPr>
        <w:t>承包人提交详细施工组织设计的期限的约定：</w:t>
      </w:r>
      <w:r>
        <w:rPr>
          <w:rFonts w:hint="eastAsia" w:ascii="宋体" w:hAnsi="宋体" w:eastAsia="宋体" w:cs="宋体"/>
          <w:b/>
          <w:bCs/>
          <w:color w:val="auto"/>
          <w:kern w:val="0"/>
          <w:szCs w:val="21"/>
          <w:highlight w:val="none"/>
        </w:rPr>
        <w:t xml:space="preserve"> </w:t>
      </w:r>
      <w:r>
        <w:rPr>
          <w:rFonts w:hint="eastAsia" w:ascii="宋体" w:hAnsi="宋体" w:eastAsia="宋体" w:cs="宋体"/>
          <w:b/>
          <w:bCs/>
          <w:color w:val="auto"/>
          <w:kern w:val="0"/>
          <w:szCs w:val="21"/>
          <w:highlight w:val="none"/>
          <w:u w:val="single"/>
        </w:rPr>
        <w:t xml:space="preserve">不得晚于第7.3.2项开工通知所载明的开工日期前14天提供可实施的并经监理单位批准的施工组织设计和总进度计划（含进度计划网络图、横道图，施工组织设计应经发包人所在单位技术负责人审批通过）  </w:t>
      </w:r>
      <w:r>
        <w:rPr>
          <w:rFonts w:hint="eastAsia" w:ascii="宋体" w:hAnsi="宋体" w:eastAsia="宋体" w:cs="宋体"/>
          <w:b/>
          <w:bCs/>
          <w:color w:val="auto"/>
          <w:kern w:val="0"/>
          <w:szCs w:val="21"/>
          <w:highlight w:val="none"/>
        </w:rPr>
        <w:t>。</w:t>
      </w:r>
    </w:p>
    <w:p w14:paraId="2A19E4E7">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发包人和监理人在收到详细的施工组织设计后确认或提出修改意见的期限：</w:t>
      </w:r>
      <w:bookmarkStart w:id="44" w:name="7.2_施工进度计划"/>
      <w:bookmarkEnd w:id="44"/>
      <w:r>
        <w:rPr>
          <w:rFonts w:hint="eastAsia" w:ascii="宋体" w:hAnsi="宋体" w:eastAsia="宋体" w:cs="宋体"/>
          <w:b/>
          <w:bCs/>
          <w:color w:val="auto"/>
          <w:szCs w:val="21"/>
          <w:highlight w:val="none"/>
          <w:u w:val="single"/>
        </w:rPr>
        <w:t xml:space="preserve">收到完整资料后14天内进行确认或提出修改意见 </w:t>
      </w:r>
      <w:r>
        <w:rPr>
          <w:rFonts w:hint="eastAsia" w:ascii="宋体" w:hAnsi="宋体" w:eastAsia="宋体" w:cs="宋体"/>
          <w:b/>
          <w:bCs/>
          <w:color w:val="auto"/>
          <w:szCs w:val="21"/>
          <w:highlight w:val="none"/>
        </w:rPr>
        <w:t>。</w:t>
      </w:r>
    </w:p>
    <w:p w14:paraId="5A559DF3">
      <w:pPr>
        <w:pStyle w:val="24"/>
        <w:keepNext w:val="0"/>
        <w:keepLines w:val="0"/>
        <w:pageBreakBefore w:val="0"/>
        <w:widowControl w:val="0"/>
        <w:tabs>
          <w:tab w:val="left" w:pos="8427"/>
        </w:tabs>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color w:val="auto"/>
          <w:kern w:val="0"/>
          <w:szCs w:val="21"/>
          <w:highlight w:val="none"/>
        </w:rPr>
      </w:pPr>
      <w:r>
        <w:rPr>
          <w:rFonts w:hint="eastAsia" w:ascii="宋体" w:hAnsi="宋体" w:eastAsia="宋体" w:cs="宋体"/>
          <w:b/>
          <w:color w:val="auto"/>
          <w:spacing w:val="2"/>
          <w:kern w:val="0"/>
          <w:szCs w:val="21"/>
          <w:highlight w:val="none"/>
        </w:rPr>
        <w:t>7.2</w:t>
      </w:r>
      <w:r>
        <w:rPr>
          <w:rFonts w:hint="eastAsia" w:ascii="宋体" w:hAnsi="宋体" w:eastAsia="宋体" w:cs="宋体"/>
          <w:b/>
          <w:color w:val="auto"/>
          <w:spacing w:val="51"/>
          <w:kern w:val="0"/>
          <w:szCs w:val="21"/>
          <w:highlight w:val="none"/>
        </w:rPr>
        <w:t xml:space="preserve"> </w:t>
      </w:r>
      <w:r>
        <w:rPr>
          <w:rFonts w:hint="eastAsia" w:ascii="宋体" w:hAnsi="宋体" w:eastAsia="宋体" w:cs="宋体"/>
          <w:b/>
          <w:color w:val="auto"/>
          <w:spacing w:val="7"/>
          <w:kern w:val="0"/>
          <w:szCs w:val="21"/>
          <w:highlight w:val="none"/>
        </w:rPr>
        <w:t>施工进度计划</w:t>
      </w:r>
    </w:p>
    <w:p w14:paraId="5B946199">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7.2.1承包人报送施工进度计划和施工方案的期限：年度计划每年12月10日前，季度计划季度结束前10天，月度计划每月20日前。</w:t>
      </w:r>
    </w:p>
    <w:p w14:paraId="44B7E9F0">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监理人批复施工进度计划和施工方案的期限：收到承包人报送的年度和季度计划后5天内，月度计划为收到后3天内批复。</w:t>
      </w:r>
    </w:p>
    <w:p w14:paraId="3404EFF2">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7.2.2 施工进度计划的修订</w:t>
      </w:r>
    </w:p>
    <w:p w14:paraId="5C208C14">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承包人提交合同进度计划修订申请报告，并附有关措施和相关资料的期限：年度计划修订需提前1个月申报，季度计划修订需提前15天申报，月度计划修订需提前5日申报；发包人和监理人在收到修订的施工进度计划后确认或提出修改意见的期限：收到完整资料后7日内进行确认或提出修改意见。</w:t>
      </w:r>
    </w:p>
    <w:p w14:paraId="60F0197E">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spacing w:val="2"/>
          <w:kern w:val="0"/>
          <w:szCs w:val="21"/>
          <w:highlight w:val="none"/>
        </w:rPr>
      </w:pPr>
      <w:r>
        <w:rPr>
          <w:rFonts w:hint="eastAsia" w:ascii="宋体" w:hAnsi="宋体" w:eastAsia="宋体" w:cs="宋体"/>
          <w:color w:val="auto"/>
          <w:spacing w:val="2"/>
          <w:kern w:val="0"/>
          <w:szCs w:val="21"/>
          <w:highlight w:val="none"/>
        </w:rPr>
        <w:t>7.2.2 施工进度计划的修订</w:t>
      </w:r>
    </w:p>
    <w:p w14:paraId="7A9FF0B0">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strike/>
          <w:color w:val="auto"/>
          <w:szCs w:val="21"/>
          <w:highlight w:val="none"/>
        </w:rPr>
      </w:pPr>
      <w:r>
        <w:rPr>
          <w:rFonts w:hint="eastAsia" w:ascii="宋体" w:hAnsi="宋体" w:eastAsia="宋体" w:cs="宋体"/>
          <w:b/>
          <w:bCs/>
          <w:color w:val="auto"/>
          <w:szCs w:val="21"/>
          <w:highlight w:val="none"/>
        </w:rPr>
        <w:t>发包人和监理人在收到修订的施工进度计划后确认或提出修改意见的期限：</w:t>
      </w:r>
      <w:r>
        <w:rPr>
          <w:rFonts w:hint="eastAsia" w:ascii="宋体" w:hAnsi="宋体" w:eastAsia="宋体" w:cs="宋体"/>
          <w:b/>
          <w:bCs/>
          <w:color w:val="auto"/>
          <w:szCs w:val="21"/>
          <w:highlight w:val="none"/>
          <w:u w:val="single"/>
        </w:rPr>
        <w:t xml:space="preserve">收到承包人报送的施工组织设计后14天内  </w:t>
      </w:r>
      <w:r>
        <w:rPr>
          <w:rFonts w:hint="eastAsia" w:ascii="宋体" w:hAnsi="宋体" w:eastAsia="宋体" w:cs="宋体"/>
          <w:b/>
          <w:bCs/>
          <w:color w:val="auto"/>
          <w:szCs w:val="21"/>
          <w:highlight w:val="none"/>
        </w:rPr>
        <w:t>。</w:t>
      </w:r>
    </w:p>
    <w:p w14:paraId="3827DE75">
      <w:pPr>
        <w:pStyle w:val="24"/>
        <w:keepNext w:val="0"/>
        <w:keepLines w:val="0"/>
        <w:pageBreakBefore w:val="0"/>
        <w:widowControl w:val="0"/>
        <w:tabs>
          <w:tab w:val="left" w:pos="8427"/>
        </w:tabs>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color w:val="auto"/>
          <w:kern w:val="0"/>
          <w:szCs w:val="21"/>
          <w:highlight w:val="none"/>
        </w:rPr>
      </w:pPr>
      <w:r>
        <w:rPr>
          <w:rFonts w:hint="eastAsia" w:ascii="宋体" w:hAnsi="宋体" w:eastAsia="宋体" w:cs="宋体"/>
          <w:b/>
          <w:color w:val="auto"/>
          <w:spacing w:val="2"/>
          <w:kern w:val="0"/>
          <w:szCs w:val="21"/>
          <w:highlight w:val="none"/>
        </w:rPr>
        <w:t>7.3</w:t>
      </w:r>
      <w:r>
        <w:rPr>
          <w:rFonts w:hint="eastAsia" w:ascii="宋体" w:hAnsi="宋体" w:eastAsia="宋体" w:cs="宋体"/>
          <w:b/>
          <w:color w:val="auto"/>
          <w:spacing w:val="51"/>
          <w:kern w:val="0"/>
          <w:szCs w:val="21"/>
          <w:highlight w:val="none"/>
        </w:rPr>
        <w:t xml:space="preserve"> </w:t>
      </w:r>
      <w:r>
        <w:rPr>
          <w:rFonts w:hint="eastAsia" w:ascii="宋体" w:hAnsi="宋体" w:eastAsia="宋体" w:cs="宋体"/>
          <w:b/>
          <w:color w:val="auto"/>
          <w:spacing w:val="15"/>
          <w:kern w:val="0"/>
          <w:szCs w:val="21"/>
          <w:highlight w:val="none"/>
        </w:rPr>
        <w:t>开工</w:t>
      </w:r>
    </w:p>
    <w:p w14:paraId="716C027C">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7.3.1</w:t>
      </w:r>
      <w:r>
        <w:rPr>
          <w:rFonts w:hint="eastAsia" w:ascii="宋体" w:hAnsi="宋体" w:eastAsia="宋体" w:cs="宋体"/>
          <w:color w:val="auto"/>
          <w:spacing w:val="41"/>
          <w:kern w:val="0"/>
          <w:szCs w:val="21"/>
          <w:highlight w:val="none"/>
        </w:rPr>
        <w:t xml:space="preserve"> </w:t>
      </w:r>
      <w:r>
        <w:rPr>
          <w:rFonts w:hint="eastAsia" w:ascii="宋体" w:hAnsi="宋体" w:eastAsia="宋体" w:cs="宋体"/>
          <w:color w:val="auto"/>
          <w:kern w:val="0"/>
          <w:szCs w:val="21"/>
          <w:highlight w:val="none"/>
        </w:rPr>
        <w:t>开工准备</w:t>
      </w:r>
    </w:p>
    <w:p w14:paraId="75DBA193">
      <w:pPr>
        <w:pStyle w:val="24"/>
        <w:keepNext w:val="0"/>
        <w:keepLines w:val="0"/>
        <w:pageBreakBefore w:val="0"/>
        <w:widowControl w:val="0"/>
        <w:tabs>
          <w:tab w:val="left" w:pos="6114"/>
          <w:tab w:val="left" w:pos="6234"/>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关于承包人提交工程开工报审表的期限：</w:t>
      </w:r>
      <w:r>
        <w:rPr>
          <w:rFonts w:hint="eastAsia" w:ascii="宋体" w:hAnsi="宋体" w:eastAsia="宋体" w:cs="宋体"/>
          <w:color w:val="auto"/>
          <w:kern w:val="0"/>
          <w:szCs w:val="21"/>
          <w:highlight w:val="none"/>
          <w:u w:val="single"/>
        </w:rPr>
        <w:t>开工日期前7天</w:t>
      </w:r>
      <w:r>
        <w:rPr>
          <w:rFonts w:hint="eastAsia" w:ascii="宋体" w:hAnsi="宋体" w:eastAsia="宋体" w:cs="宋体"/>
          <w:color w:val="auto"/>
          <w:kern w:val="0"/>
          <w:szCs w:val="21"/>
          <w:highlight w:val="none"/>
        </w:rPr>
        <w:t xml:space="preserve">。 </w:t>
      </w:r>
    </w:p>
    <w:p w14:paraId="226CE1F1">
      <w:pPr>
        <w:pStyle w:val="24"/>
        <w:keepNext w:val="0"/>
        <w:keepLines w:val="0"/>
        <w:pageBreakBefore w:val="0"/>
        <w:widowControl w:val="0"/>
        <w:tabs>
          <w:tab w:val="left" w:pos="6114"/>
          <w:tab w:val="left" w:pos="6234"/>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关于发包人应完成的其他开工准备工作及期限：</w:t>
      </w:r>
      <w:r>
        <w:rPr>
          <w:rFonts w:hint="eastAsia" w:ascii="宋体" w:hAnsi="宋体" w:eastAsia="宋体" w:cs="宋体"/>
          <w:color w:val="auto"/>
          <w:kern w:val="0"/>
          <w:szCs w:val="21"/>
          <w:highlight w:val="none"/>
          <w:u w:val="single"/>
        </w:rPr>
        <w:t>开工日期前7天</w:t>
      </w:r>
      <w:r>
        <w:rPr>
          <w:rFonts w:hint="eastAsia" w:ascii="宋体" w:hAnsi="宋体" w:eastAsia="宋体" w:cs="宋体"/>
          <w:color w:val="auto"/>
          <w:kern w:val="0"/>
          <w:szCs w:val="21"/>
          <w:highlight w:val="none"/>
        </w:rPr>
        <w:t>。</w:t>
      </w:r>
    </w:p>
    <w:p w14:paraId="07B648D6">
      <w:pPr>
        <w:pStyle w:val="24"/>
        <w:keepNext w:val="0"/>
        <w:keepLines w:val="0"/>
        <w:pageBreakBefore w:val="0"/>
        <w:widowControl w:val="0"/>
        <w:tabs>
          <w:tab w:val="left" w:pos="6114"/>
          <w:tab w:val="left" w:pos="6234"/>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关于承包人应完成的其他开工准备工作及期限：</w:t>
      </w:r>
      <w:r>
        <w:rPr>
          <w:rFonts w:hint="eastAsia" w:ascii="宋体" w:hAnsi="宋体" w:eastAsia="宋体" w:cs="宋体"/>
          <w:color w:val="auto"/>
          <w:kern w:val="0"/>
          <w:szCs w:val="21"/>
          <w:highlight w:val="none"/>
          <w:u w:val="single"/>
        </w:rPr>
        <w:t>开工日期前7天</w:t>
      </w:r>
      <w:r>
        <w:rPr>
          <w:rFonts w:hint="eastAsia" w:ascii="宋体" w:hAnsi="宋体" w:eastAsia="宋体" w:cs="宋体"/>
          <w:color w:val="auto"/>
          <w:kern w:val="0"/>
          <w:szCs w:val="21"/>
          <w:highlight w:val="none"/>
        </w:rPr>
        <w:t xml:space="preserve">。 </w:t>
      </w:r>
    </w:p>
    <w:p w14:paraId="5A193B61">
      <w:pPr>
        <w:pStyle w:val="24"/>
        <w:keepNext w:val="0"/>
        <w:keepLines w:val="0"/>
        <w:pageBreakBefore w:val="0"/>
        <w:widowControl w:val="0"/>
        <w:tabs>
          <w:tab w:val="left" w:pos="6114"/>
          <w:tab w:val="left" w:pos="6234"/>
        </w:tabs>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7.3.2</w:t>
      </w:r>
      <w:r>
        <w:rPr>
          <w:rFonts w:hint="eastAsia" w:ascii="宋体" w:hAnsi="宋体" w:eastAsia="宋体" w:cs="宋体"/>
          <w:color w:val="auto"/>
          <w:spacing w:val="11"/>
          <w:kern w:val="0"/>
          <w:szCs w:val="21"/>
          <w:highlight w:val="none"/>
        </w:rPr>
        <w:t xml:space="preserve"> </w:t>
      </w:r>
      <w:r>
        <w:rPr>
          <w:rFonts w:hint="eastAsia" w:ascii="宋体" w:hAnsi="宋体" w:eastAsia="宋体" w:cs="宋体"/>
          <w:color w:val="auto"/>
          <w:kern w:val="0"/>
          <w:szCs w:val="21"/>
          <w:highlight w:val="none"/>
        </w:rPr>
        <w:t>开工通知</w:t>
      </w:r>
    </w:p>
    <w:p w14:paraId="6623C39D">
      <w:pPr>
        <w:pStyle w:val="24"/>
        <w:keepNext w:val="0"/>
        <w:keepLines w:val="0"/>
        <w:pageBreakBefore w:val="0"/>
        <w:widowControl w:val="0"/>
        <w:tabs>
          <w:tab w:val="left" w:pos="5919"/>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因发包人原因造成监理人未能在计划开工日期</w:t>
      </w:r>
      <w:r>
        <w:rPr>
          <w:rFonts w:hint="eastAsia" w:ascii="宋体" w:hAnsi="宋体" w:eastAsia="宋体" w:cs="宋体"/>
          <w:color w:val="auto"/>
          <w:kern w:val="0"/>
          <w:szCs w:val="21"/>
          <w:highlight w:val="none"/>
        </w:rPr>
        <w:t>（具体以发包人书面通知为准）</w:t>
      </w:r>
      <w:r>
        <w:rPr>
          <w:rFonts w:hint="eastAsia" w:ascii="宋体" w:hAnsi="宋体" w:eastAsia="宋体" w:cs="宋体"/>
          <w:color w:val="auto"/>
          <w:spacing w:val="-1"/>
          <w:kern w:val="0"/>
          <w:szCs w:val="21"/>
          <w:highlight w:val="none"/>
        </w:rPr>
        <w:t>之日起</w:t>
      </w:r>
      <w:r>
        <w:rPr>
          <w:rFonts w:hint="eastAsia" w:ascii="宋体" w:hAnsi="宋体" w:eastAsia="宋体" w:cs="宋体"/>
          <w:color w:val="auto"/>
          <w:spacing w:val="-1"/>
          <w:kern w:val="0"/>
          <w:szCs w:val="21"/>
          <w:highlight w:val="none"/>
          <w:u w:val="single"/>
          <w:lang w:val="en-US" w:eastAsia="zh-CN"/>
        </w:rPr>
        <w:t xml:space="preserve"> </w:t>
      </w:r>
      <w:r>
        <w:rPr>
          <w:rFonts w:hint="eastAsia" w:ascii="宋体" w:hAnsi="宋体" w:eastAsia="宋体" w:cs="宋体"/>
          <w:b/>
          <w:bCs/>
          <w:color w:val="auto"/>
          <w:spacing w:val="-1"/>
          <w:kern w:val="0"/>
          <w:szCs w:val="21"/>
          <w:highlight w:val="none"/>
          <w:u w:val="single" w:color="000000"/>
        </w:rPr>
        <w:t>90</w:t>
      </w:r>
      <w:r>
        <w:rPr>
          <w:rFonts w:hint="eastAsia" w:ascii="宋体" w:hAnsi="宋体" w:eastAsia="宋体" w:cs="宋体"/>
          <w:color w:val="auto"/>
          <w:spacing w:val="-4"/>
          <w:kern w:val="0"/>
          <w:szCs w:val="21"/>
          <w:highlight w:val="none"/>
        </w:rPr>
        <w:t>天内发出开工通知的，</w:t>
      </w:r>
      <w:bookmarkStart w:id="45" w:name="OLE_LINK3"/>
      <w:r>
        <w:rPr>
          <w:rFonts w:hint="eastAsia" w:ascii="宋体" w:hAnsi="宋体" w:eastAsia="宋体" w:cs="宋体"/>
          <w:b/>
          <w:bCs/>
          <w:color w:val="auto"/>
          <w:kern w:val="0"/>
          <w:szCs w:val="21"/>
          <w:highlight w:val="none"/>
        </w:rPr>
        <w:t>监理工程师以书面形式通知承包人，可推迟开工日期，相应顺延工期，发包人不承担费用。</w:t>
      </w:r>
      <w:bookmarkEnd w:id="45"/>
    </w:p>
    <w:p w14:paraId="1C8722F0">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color w:val="auto"/>
          <w:szCs w:val="21"/>
          <w:highlight w:val="none"/>
        </w:rPr>
      </w:pPr>
      <w:bookmarkStart w:id="46" w:name="7.4_测量放线"/>
      <w:bookmarkEnd w:id="46"/>
      <w:r>
        <w:rPr>
          <w:rFonts w:hint="eastAsia" w:ascii="宋体" w:hAnsi="宋体" w:eastAsia="宋体" w:cs="宋体"/>
          <w:b/>
          <w:color w:val="auto"/>
          <w:spacing w:val="2"/>
          <w:kern w:val="0"/>
          <w:szCs w:val="21"/>
          <w:highlight w:val="none"/>
        </w:rPr>
        <w:t>7.4</w:t>
      </w:r>
      <w:r>
        <w:rPr>
          <w:rFonts w:hint="eastAsia" w:ascii="宋体" w:hAnsi="宋体" w:eastAsia="宋体" w:cs="宋体"/>
          <w:b/>
          <w:color w:val="auto"/>
          <w:spacing w:val="50"/>
          <w:kern w:val="0"/>
          <w:szCs w:val="21"/>
          <w:highlight w:val="none"/>
        </w:rPr>
        <w:t xml:space="preserve"> </w:t>
      </w:r>
      <w:r>
        <w:rPr>
          <w:rFonts w:hint="eastAsia" w:ascii="宋体" w:hAnsi="宋体" w:eastAsia="宋体" w:cs="宋体"/>
          <w:b/>
          <w:color w:val="auto"/>
          <w:spacing w:val="15"/>
          <w:kern w:val="0"/>
          <w:szCs w:val="21"/>
          <w:highlight w:val="none"/>
        </w:rPr>
        <w:t>测量放线</w:t>
      </w:r>
    </w:p>
    <w:p w14:paraId="7814EABD">
      <w:pPr>
        <w:pStyle w:val="24"/>
        <w:keepNext w:val="0"/>
        <w:keepLines w:val="0"/>
        <w:pageBreakBefore w:val="0"/>
        <w:widowControl w:val="0"/>
        <w:tabs>
          <w:tab w:val="left" w:pos="6114"/>
          <w:tab w:val="left" w:pos="6234"/>
        </w:tabs>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spacing w:val="2"/>
          <w:kern w:val="0"/>
          <w:szCs w:val="21"/>
          <w:highlight w:val="none"/>
        </w:rPr>
      </w:pPr>
      <w:r>
        <w:rPr>
          <w:rFonts w:hint="eastAsia" w:ascii="宋体" w:hAnsi="宋体" w:eastAsia="宋体" w:cs="宋体"/>
          <w:color w:val="auto"/>
          <w:spacing w:val="2"/>
          <w:kern w:val="0"/>
          <w:szCs w:val="21"/>
          <w:highlight w:val="none"/>
        </w:rPr>
        <w:t>7.4.1 发包人通过监理人向承包人提供测量基准点、基准线和水准点及其书面资料的期限：</w:t>
      </w:r>
      <w:r>
        <w:rPr>
          <w:rFonts w:hint="eastAsia" w:ascii="宋体" w:hAnsi="宋体" w:eastAsia="宋体" w:cs="宋体"/>
          <w:b/>
          <w:color w:val="auto"/>
          <w:spacing w:val="2"/>
          <w:kern w:val="0"/>
          <w:szCs w:val="21"/>
          <w:highlight w:val="none"/>
        </w:rPr>
        <w:t>开工前7天以书面形式向承包人交验，并在现场组织验点。（备注：承包人发现发包人资料明显错误和疏忽的要及时通知监理人。否则因发包人资料错误造成承包人放线及施工损失的由承包人自行承担。）</w:t>
      </w:r>
    </w:p>
    <w:p w14:paraId="4F71EFFE">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bCs/>
          <w:color w:val="auto"/>
          <w:szCs w:val="21"/>
          <w:highlight w:val="none"/>
          <w:u w:val="single"/>
        </w:rPr>
      </w:pPr>
      <w:r>
        <w:rPr>
          <w:rFonts w:hint="eastAsia" w:ascii="宋体" w:hAnsi="宋体" w:eastAsia="宋体" w:cs="宋体"/>
          <w:b/>
          <w:bCs/>
          <w:color w:val="auto"/>
          <w:szCs w:val="21"/>
          <w:highlight w:val="none"/>
          <w:u w:val="single"/>
        </w:rPr>
        <w:t>承包人测施工控制网的要求：经监理工程师确认满足施工要求。</w:t>
      </w:r>
    </w:p>
    <w:p w14:paraId="0CEC523B">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u w:val="single"/>
        </w:rPr>
        <w:t>承包人及监理人须于收到资料之日起3日内复核完毕</w:t>
      </w:r>
      <w:r>
        <w:rPr>
          <w:rFonts w:hint="eastAsia" w:ascii="宋体" w:hAnsi="宋体" w:eastAsia="宋体" w:cs="宋体"/>
          <w:b/>
          <w:bCs/>
          <w:color w:val="auto"/>
          <w:szCs w:val="21"/>
          <w:highlight w:val="none"/>
        </w:rPr>
        <w:t>。</w:t>
      </w:r>
    </w:p>
    <w:p w14:paraId="2ED685EF">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u w:val="single"/>
        </w:rPr>
        <w:t>承包人</w:t>
      </w:r>
      <w:r>
        <w:rPr>
          <w:rFonts w:hint="eastAsia" w:ascii="宋体" w:hAnsi="宋体" w:eastAsia="宋体" w:cs="宋体"/>
          <w:b/>
          <w:color w:val="auto"/>
          <w:szCs w:val="21"/>
          <w:highlight w:val="none"/>
        </w:rPr>
        <w:t>需完成本工程GPS控制测量(E级Ⅱ)暂定20个点（最终以实际为准），费用已包含在投标报价中，发包人不另外支付任何费用。</w:t>
      </w:r>
    </w:p>
    <w:p w14:paraId="60313852">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color w:val="auto"/>
          <w:szCs w:val="21"/>
          <w:highlight w:val="none"/>
        </w:rPr>
      </w:pPr>
      <w:bookmarkStart w:id="47" w:name="7.5_工期延误"/>
      <w:bookmarkEnd w:id="47"/>
      <w:r>
        <w:rPr>
          <w:rFonts w:hint="eastAsia" w:ascii="宋体" w:hAnsi="宋体" w:eastAsia="宋体" w:cs="宋体"/>
          <w:b/>
          <w:color w:val="auto"/>
          <w:spacing w:val="2"/>
          <w:kern w:val="0"/>
          <w:szCs w:val="21"/>
          <w:highlight w:val="none"/>
        </w:rPr>
        <w:t>7.5</w:t>
      </w:r>
      <w:r>
        <w:rPr>
          <w:rFonts w:hint="eastAsia" w:ascii="宋体" w:hAnsi="宋体" w:eastAsia="宋体" w:cs="宋体"/>
          <w:b/>
          <w:color w:val="auto"/>
          <w:spacing w:val="50"/>
          <w:kern w:val="0"/>
          <w:szCs w:val="21"/>
          <w:highlight w:val="none"/>
        </w:rPr>
        <w:t xml:space="preserve"> </w:t>
      </w:r>
      <w:r>
        <w:rPr>
          <w:rFonts w:hint="eastAsia" w:ascii="宋体" w:hAnsi="宋体" w:eastAsia="宋体" w:cs="宋体"/>
          <w:b/>
          <w:color w:val="auto"/>
          <w:spacing w:val="15"/>
          <w:kern w:val="0"/>
          <w:szCs w:val="21"/>
          <w:highlight w:val="none"/>
        </w:rPr>
        <w:t>工期延误</w:t>
      </w:r>
    </w:p>
    <w:p w14:paraId="03AE1783">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7.5.1</w:t>
      </w:r>
      <w:r>
        <w:rPr>
          <w:rFonts w:hint="eastAsia" w:ascii="宋体" w:hAnsi="宋体" w:eastAsia="宋体" w:cs="宋体"/>
          <w:color w:val="auto"/>
          <w:spacing w:val="41"/>
          <w:kern w:val="0"/>
          <w:szCs w:val="21"/>
          <w:highlight w:val="none"/>
        </w:rPr>
        <w:t xml:space="preserve"> </w:t>
      </w:r>
      <w:r>
        <w:rPr>
          <w:rFonts w:hint="eastAsia" w:ascii="宋体" w:hAnsi="宋体" w:eastAsia="宋体" w:cs="宋体"/>
          <w:color w:val="auto"/>
          <w:kern w:val="0"/>
          <w:szCs w:val="21"/>
          <w:highlight w:val="none"/>
        </w:rPr>
        <w:t>因发包人原因导致工期延误</w:t>
      </w:r>
    </w:p>
    <w:p w14:paraId="1E83F898">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12" w:firstLineChars="200"/>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（7）因发包人原因导致工期延误的其他情形：</w:t>
      </w:r>
      <w:r>
        <w:rPr>
          <w:rFonts w:hint="eastAsia" w:ascii="宋体" w:hAnsi="宋体" w:eastAsia="宋体" w:cs="宋体"/>
          <w:color w:val="auto"/>
          <w:spacing w:val="-2"/>
          <w:kern w:val="0"/>
          <w:szCs w:val="21"/>
          <w:highlight w:val="none"/>
          <w:u w:val="single" w:color="000000"/>
        </w:rPr>
        <w:t>①重大图纸变更影响关健线路工序施工；②</w:t>
      </w:r>
      <w:r>
        <w:rPr>
          <w:rFonts w:hint="eastAsia" w:ascii="宋体" w:hAnsi="宋体" w:eastAsia="宋体" w:cs="宋体"/>
          <w:color w:val="auto"/>
          <w:kern w:val="0"/>
          <w:szCs w:val="21"/>
          <w:highlight w:val="none"/>
          <w:u w:val="single" w:color="000000"/>
        </w:rPr>
        <w:t>施工期间如因停电、停水连续</w:t>
      </w:r>
      <w:r>
        <w:rPr>
          <w:rFonts w:hint="eastAsia" w:ascii="宋体" w:hAnsi="宋体" w:eastAsia="宋体" w:cs="宋体"/>
          <w:color w:val="auto"/>
          <w:spacing w:val="-48"/>
          <w:kern w:val="0"/>
          <w:szCs w:val="21"/>
          <w:highlight w:val="none"/>
          <w:u w:val="single" w:color="000000"/>
        </w:rPr>
        <w:t xml:space="preserve"> </w:t>
      </w:r>
      <w:r>
        <w:rPr>
          <w:rFonts w:hint="eastAsia" w:ascii="宋体" w:hAnsi="宋体" w:eastAsia="宋体" w:cs="宋体"/>
          <w:color w:val="auto"/>
          <w:kern w:val="0"/>
          <w:szCs w:val="21"/>
          <w:highlight w:val="none"/>
          <w:u w:val="single" w:color="000000"/>
        </w:rPr>
        <w:t>8</w:t>
      </w:r>
      <w:r>
        <w:rPr>
          <w:rFonts w:hint="eastAsia" w:ascii="宋体" w:hAnsi="宋体" w:eastAsia="宋体" w:cs="宋体"/>
          <w:color w:val="auto"/>
          <w:spacing w:val="7"/>
          <w:kern w:val="0"/>
          <w:szCs w:val="21"/>
          <w:highlight w:val="none"/>
          <w:u w:val="single" w:color="000000"/>
        </w:rPr>
        <w:t xml:space="preserve"> </w:t>
      </w:r>
      <w:r>
        <w:rPr>
          <w:rFonts w:hint="eastAsia" w:ascii="宋体" w:hAnsi="宋体" w:eastAsia="宋体" w:cs="宋体"/>
          <w:color w:val="auto"/>
          <w:kern w:val="0"/>
          <w:szCs w:val="21"/>
          <w:highlight w:val="none"/>
          <w:u w:val="single" w:color="000000"/>
        </w:rPr>
        <w:t>小时以上或一周内间歇性停水、停电累计</w:t>
      </w:r>
      <w:r>
        <w:rPr>
          <w:rFonts w:hint="eastAsia" w:ascii="宋体" w:hAnsi="宋体" w:eastAsia="宋体" w:cs="宋体"/>
          <w:color w:val="auto"/>
          <w:spacing w:val="-49"/>
          <w:kern w:val="0"/>
          <w:szCs w:val="21"/>
          <w:highlight w:val="none"/>
          <w:u w:val="single" w:color="000000"/>
        </w:rPr>
        <w:t xml:space="preserve"> </w:t>
      </w:r>
      <w:r>
        <w:rPr>
          <w:rFonts w:hint="eastAsia" w:ascii="宋体" w:hAnsi="宋体" w:eastAsia="宋体" w:cs="宋体"/>
          <w:color w:val="auto"/>
          <w:kern w:val="0"/>
          <w:szCs w:val="21"/>
          <w:highlight w:val="none"/>
          <w:u w:val="single" w:color="000000"/>
        </w:rPr>
        <w:t>8小时（含</w:t>
      </w:r>
      <w:r>
        <w:rPr>
          <w:rFonts w:hint="eastAsia" w:ascii="宋体" w:hAnsi="宋体" w:eastAsia="宋体" w:cs="宋体"/>
          <w:color w:val="auto"/>
          <w:spacing w:val="-45"/>
          <w:kern w:val="0"/>
          <w:szCs w:val="21"/>
          <w:highlight w:val="none"/>
          <w:u w:val="single" w:color="000000"/>
        </w:rPr>
        <w:t xml:space="preserve"> </w:t>
      </w:r>
      <w:r>
        <w:rPr>
          <w:rFonts w:hint="eastAsia" w:ascii="宋体" w:hAnsi="宋体" w:eastAsia="宋体" w:cs="宋体"/>
          <w:color w:val="auto"/>
          <w:kern w:val="0"/>
          <w:szCs w:val="21"/>
          <w:highlight w:val="none"/>
          <w:u w:val="single" w:color="000000"/>
        </w:rPr>
        <w:t>8小时）影响正常施工的。③政府指令性停工。④在施工过程中遇到地下障碍物、溶洞、岩石、文物或地下管线的。⑤因发包人未能及时确认变更价格或甲供材料提供延误的。⑥非承包人的责任造</w:t>
      </w:r>
      <w:r>
        <w:rPr>
          <w:rFonts w:hint="eastAsia" w:ascii="宋体" w:hAnsi="宋体" w:eastAsia="宋体" w:cs="宋体"/>
          <w:color w:val="auto"/>
          <w:spacing w:val="-1"/>
          <w:kern w:val="0"/>
          <w:szCs w:val="21"/>
          <w:highlight w:val="none"/>
          <w:u w:val="single" w:color="000000"/>
        </w:rPr>
        <w:t>成的工期延误其他情形</w:t>
      </w:r>
      <w:r>
        <w:rPr>
          <w:rFonts w:hint="eastAsia" w:ascii="宋体" w:hAnsi="宋体" w:eastAsia="宋体" w:cs="宋体"/>
          <w:color w:val="auto"/>
          <w:spacing w:val="-53"/>
          <w:kern w:val="0"/>
          <w:szCs w:val="21"/>
          <w:highlight w:val="none"/>
          <w:u w:val="single" w:color="000000"/>
        </w:rPr>
        <w:t>。</w:t>
      </w:r>
    </w:p>
    <w:p w14:paraId="1CABF27C">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7.5.2</w:t>
      </w:r>
      <w:r>
        <w:rPr>
          <w:rFonts w:hint="eastAsia" w:ascii="宋体" w:hAnsi="宋体" w:eastAsia="宋体" w:cs="宋体"/>
          <w:color w:val="auto"/>
          <w:spacing w:val="41"/>
          <w:kern w:val="0"/>
          <w:szCs w:val="21"/>
          <w:highlight w:val="none"/>
        </w:rPr>
        <w:t xml:space="preserve"> </w:t>
      </w:r>
      <w:r>
        <w:rPr>
          <w:rFonts w:hint="eastAsia" w:ascii="宋体" w:hAnsi="宋体" w:eastAsia="宋体" w:cs="宋体"/>
          <w:color w:val="auto"/>
          <w:kern w:val="0"/>
          <w:szCs w:val="21"/>
          <w:highlight w:val="none"/>
        </w:rPr>
        <w:t>因承包人原因导致工期延误</w:t>
      </w:r>
    </w:p>
    <w:p w14:paraId="70B1B672">
      <w:pPr>
        <w:pStyle w:val="24"/>
        <w:keepNext w:val="0"/>
        <w:keepLines w:val="0"/>
        <w:pageBreakBefore w:val="0"/>
        <w:widowControl w:val="0"/>
        <w:tabs>
          <w:tab w:val="left" w:pos="8547"/>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szCs w:val="21"/>
          <w:highlight w:val="none"/>
        </w:rPr>
      </w:pPr>
      <w:r>
        <w:rPr>
          <w:rFonts w:hint="eastAsia" w:ascii="宋体" w:hAnsi="宋体" w:eastAsia="宋体" w:cs="宋体"/>
          <w:color w:val="auto"/>
          <w:spacing w:val="-1"/>
          <w:kern w:val="0"/>
          <w:szCs w:val="21"/>
          <w:highlight w:val="none"/>
        </w:rPr>
        <w:t>双方约定经监理工程师确认，工期相应顺延的情况：</w:t>
      </w:r>
      <w:r>
        <w:rPr>
          <w:rFonts w:hint="eastAsia" w:ascii="宋体" w:hAnsi="宋体" w:eastAsia="宋体" w:cs="宋体"/>
          <w:b/>
          <w:bCs/>
          <w:color w:val="auto"/>
          <w:kern w:val="0"/>
          <w:szCs w:val="21"/>
          <w:highlight w:val="none"/>
          <w:u w:val="single" w:color="000000"/>
        </w:rPr>
        <w:t>无。</w:t>
      </w:r>
    </w:p>
    <w:p w14:paraId="29277348">
      <w:pPr>
        <w:pStyle w:val="24"/>
        <w:keepNext w:val="0"/>
        <w:keepLines w:val="0"/>
        <w:pageBreakBefore w:val="0"/>
        <w:widowControl w:val="0"/>
        <w:tabs>
          <w:tab w:val="left" w:pos="8547"/>
        </w:tabs>
        <w:wordWrap/>
        <w:overflowPunct/>
        <w:topLinePunct w:val="0"/>
        <w:bidi w:val="0"/>
        <w:spacing w:beforeAutospacing="0" w:afterAutospacing="0" w:line="360" w:lineRule="auto"/>
        <w:ind w:left="0" w:leftChars="0" w:right="0" w:rightChars="0"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因承包人原因造成工期延误，逾期竣工违约金的计算方法为：</w:t>
      </w:r>
      <w:r>
        <w:rPr>
          <w:rFonts w:hint="eastAsia" w:ascii="宋体" w:hAnsi="宋体" w:eastAsia="宋体" w:cs="宋体"/>
          <w:b/>
          <w:bCs/>
          <w:color w:val="auto"/>
          <w:szCs w:val="21"/>
          <w:highlight w:val="none"/>
          <w:u w:val="single"/>
        </w:rPr>
        <w:t>按逾期竣工的单项工程罚款，每延误一天,按单项工程应支付给承包人的结算造价的万分之四 处罚,罚款直接从结算款中扣除。误期时间从规定竣工日期起直到实际竣工日期的天数（扣除发包人批准顺延的工期）。</w:t>
      </w:r>
      <w:r>
        <w:rPr>
          <w:rFonts w:hint="eastAsia" w:ascii="宋体" w:hAnsi="宋体" w:eastAsia="宋体" w:cs="宋体"/>
          <w:b/>
          <w:bCs/>
          <w:color w:val="auto"/>
          <w:szCs w:val="21"/>
          <w:highlight w:val="none"/>
        </w:rPr>
        <w:t>因承包人原因造成工期延误，逾期竣工违约金的上限：</w:t>
      </w:r>
      <w:r>
        <w:rPr>
          <w:rFonts w:hint="eastAsia" w:ascii="宋体" w:hAnsi="宋体" w:eastAsia="宋体" w:cs="宋体"/>
          <w:b/>
          <w:bCs/>
          <w:color w:val="auto"/>
          <w:szCs w:val="21"/>
          <w:highlight w:val="none"/>
          <w:u w:val="single"/>
        </w:rPr>
        <w:t xml:space="preserve">工程结算造价的 5 % </w:t>
      </w:r>
      <w:r>
        <w:rPr>
          <w:rFonts w:hint="eastAsia" w:ascii="宋体" w:hAnsi="宋体" w:eastAsia="宋体" w:cs="宋体"/>
          <w:b/>
          <w:bCs/>
          <w:color w:val="auto"/>
          <w:szCs w:val="21"/>
          <w:highlight w:val="none"/>
        </w:rPr>
        <w:t>。</w:t>
      </w:r>
    </w:p>
    <w:p w14:paraId="6D07E591">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color w:val="auto"/>
          <w:spacing w:val="7"/>
          <w:szCs w:val="21"/>
          <w:highlight w:val="none"/>
        </w:rPr>
      </w:pPr>
      <w:r>
        <w:rPr>
          <w:rFonts w:hint="eastAsia" w:ascii="宋体" w:hAnsi="宋体" w:eastAsia="宋体" w:cs="宋体"/>
          <w:b/>
          <w:color w:val="auto"/>
          <w:spacing w:val="2"/>
          <w:kern w:val="0"/>
          <w:szCs w:val="21"/>
          <w:highlight w:val="none"/>
        </w:rPr>
        <w:t>7.6</w:t>
      </w:r>
      <w:r>
        <w:rPr>
          <w:rFonts w:hint="eastAsia" w:ascii="宋体" w:hAnsi="宋体" w:eastAsia="宋体" w:cs="宋体"/>
          <w:b/>
          <w:color w:val="auto"/>
          <w:spacing w:val="51"/>
          <w:kern w:val="0"/>
          <w:szCs w:val="21"/>
          <w:highlight w:val="none"/>
        </w:rPr>
        <w:t xml:space="preserve"> </w:t>
      </w:r>
      <w:r>
        <w:rPr>
          <w:rFonts w:hint="eastAsia" w:ascii="宋体" w:hAnsi="宋体" w:eastAsia="宋体" w:cs="宋体"/>
          <w:b/>
          <w:color w:val="auto"/>
          <w:spacing w:val="7"/>
          <w:kern w:val="0"/>
          <w:szCs w:val="21"/>
          <w:highlight w:val="none"/>
        </w:rPr>
        <w:t>不利物质条件</w:t>
      </w:r>
    </w:p>
    <w:p w14:paraId="1BAAD772">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不利物质条件的其他情形和有关约定：</w:t>
      </w:r>
      <w:r>
        <w:rPr>
          <w:rFonts w:hint="eastAsia" w:ascii="宋体" w:hAnsi="宋体" w:eastAsia="宋体" w:cs="宋体"/>
          <w:b/>
          <w:bCs/>
          <w:color w:val="auto"/>
          <w:szCs w:val="21"/>
          <w:highlight w:val="none"/>
          <w:u w:val="single"/>
        </w:rPr>
        <w:t xml:space="preserve">在施工过程中遇到地下障碍物、溶洞、岩石、文物或地下管线的  </w:t>
      </w:r>
      <w:r>
        <w:rPr>
          <w:rFonts w:hint="eastAsia" w:ascii="宋体" w:hAnsi="宋体" w:eastAsia="宋体" w:cs="宋体"/>
          <w:b/>
          <w:bCs/>
          <w:color w:val="auto"/>
          <w:szCs w:val="21"/>
          <w:highlight w:val="none"/>
        </w:rPr>
        <w:t>。</w:t>
      </w:r>
    </w:p>
    <w:p w14:paraId="4AA5F17E">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b/>
          <w:color w:val="auto"/>
          <w:w w:val="99"/>
          <w:szCs w:val="21"/>
          <w:highlight w:val="none"/>
        </w:rPr>
      </w:pPr>
      <w:bookmarkStart w:id="48" w:name="7.7异常恶劣的气候条件"/>
      <w:bookmarkEnd w:id="48"/>
      <w:r>
        <w:rPr>
          <w:rFonts w:hint="eastAsia" w:ascii="宋体" w:hAnsi="宋体" w:eastAsia="宋体" w:cs="宋体"/>
          <w:b/>
          <w:color w:val="auto"/>
          <w:spacing w:val="2"/>
          <w:kern w:val="0"/>
          <w:szCs w:val="21"/>
          <w:highlight w:val="none"/>
        </w:rPr>
        <w:t>7.7</w:t>
      </w:r>
      <w:r>
        <w:rPr>
          <w:rFonts w:hint="eastAsia" w:ascii="宋体" w:hAnsi="宋体" w:eastAsia="宋体" w:cs="宋体"/>
          <w:b/>
          <w:color w:val="auto"/>
          <w:spacing w:val="6"/>
          <w:kern w:val="0"/>
          <w:szCs w:val="21"/>
          <w:highlight w:val="none"/>
        </w:rPr>
        <w:t xml:space="preserve"> </w:t>
      </w:r>
      <w:r>
        <w:rPr>
          <w:rFonts w:hint="eastAsia" w:ascii="宋体" w:hAnsi="宋体" w:eastAsia="宋体" w:cs="宋体"/>
          <w:b/>
          <w:color w:val="auto"/>
          <w:spacing w:val="5"/>
          <w:kern w:val="0"/>
          <w:szCs w:val="21"/>
          <w:highlight w:val="none"/>
        </w:rPr>
        <w:t>异常恶劣的气候条件</w:t>
      </w:r>
      <w:r>
        <w:rPr>
          <w:rFonts w:hint="eastAsia" w:ascii="宋体" w:hAnsi="宋体" w:eastAsia="宋体" w:cs="宋体"/>
          <w:b/>
          <w:color w:val="auto"/>
          <w:w w:val="99"/>
          <w:kern w:val="0"/>
          <w:szCs w:val="21"/>
          <w:highlight w:val="none"/>
        </w:rPr>
        <w:t xml:space="preserve"> </w:t>
      </w:r>
    </w:p>
    <w:p w14:paraId="595B0460">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发包人和承包人同意以下情形视为异常恶劣的气候条件：</w:t>
      </w:r>
    </w:p>
    <w:p w14:paraId="53C8D9E5">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spacing w:val="-1"/>
          <w:kern w:val="0"/>
          <w:szCs w:val="21"/>
          <w:highlight w:val="none"/>
          <w:u w:val="single" w:color="000000"/>
        </w:rPr>
      </w:pPr>
      <w:r>
        <w:rPr>
          <w:rFonts w:hint="eastAsia" w:ascii="宋体" w:hAnsi="宋体" w:eastAsia="宋体" w:cs="宋体"/>
          <w:color w:val="auto"/>
          <w:spacing w:val="-1"/>
          <w:kern w:val="0"/>
          <w:szCs w:val="21"/>
          <w:highlight w:val="none"/>
          <w:u w:val="single" w:color="000000"/>
        </w:rPr>
        <w:t>（1） 6 级以上的地震；</w:t>
      </w:r>
    </w:p>
    <w:p w14:paraId="372A85C8">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spacing w:val="-1"/>
          <w:kern w:val="0"/>
          <w:szCs w:val="21"/>
          <w:highlight w:val="none"/>
          <w:u w:val="single" w:color="000000"/>
        </w:rPr>
      </w:pPr>
      <w:r>
        <w:rPr>
          <w:rFonts w:hint="eastAsia" w:ascii="宋体" w:hAnsi="宋体" w:eastAsia="宋体" w:cs="宋体"/>
          <w:color w:val="auto"/>
          <w:spacing w:val="-1"/>
          <w:kern w:val="0"/>
          <w:szCs w:val="21"/>
          <w:highlight w:val="none"/>
          <w:u w:val="single" w:color="000000"/>
        </w:rPr>
        <w:t>（2） 6 级以上的大风；</w:t>
      </w:r>
    </w:p>
    <w:p w14:paraId="1E09B243">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spacing w:val="-1"/>
          <w:kern w:val="0"/>
          <w:szCs w:val="21"/>
          <w:highlight w:val="none"/>
          <w:u w:val="single" w:color="000000"/>
        </w:rPr>
      </w:pPr>
      <w:r>
        <w:rPr>
          <w:rFonts w:hint="eastAsia" w:ascii="宋体" w:hAnsi="宋体" w:eastAsia="宋体" w:cs="宋体"/>
          <w:color w:val="auto"/>
          <w:spacing w:val="-1"/>
          <w:kern w:val="0"/>
          <w:szCs w:val="21"/>
          <w:highlight w:val="none"/>
          <w:u w:val="single" w:color="000000"/>
        </w:rPr>
        <w:t>（3） 日雨量达 100mm 以上的大雨；</w:t>
      </w:r>
    </w:p>
    <w:p w14:paraId="747BFB14">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spacing w:val="-1"/>
          <w:kern w:val="0"/>
          <w:szCs w:val="21"/>
          <w:highlight w:val="none"/>
          <w:u w:val="single" w:color="000000"/>
        </w:rPr>
      </w:pPr>
      <w:r>
        <w:rPr>
          <w:rFonts w:hint="eastAsia" w:ascii="宋体" w:hAnsi="宋体" w:eastAsia="宋体" w:cs="宋体"/>
          <w:color w:val="auto"/>
          <w:spacing w:val="-1"/>
          <w:kern w:val="0"/>
          <w:szCs w:val="21"/>
          <w:highlight w:val="none"/>
          <w:u w:val="single" w:color="000000"/>
        </w:rPr>
        <w:t>（4） 38℃以上高温天气；</w:t>
      </w:r>
    </w:p>
    <w:p w14:paraId="5363813C">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u w:val="single" w:color="000000"/>
        </w:rPr>
        <w:t>（5） 2℃以下低温天气；</w:t>
      </w:r>
      <w:r>
        <w:rPr>
          <w:rFonts w:hint="eastAsia" w:ascii="宋体" w:hAnsi="宋体" w:eastAsia="宋体" w:cs="宋体"/>
          <w:color w:val="auto"/>
          <w:kern w:val="0"/>
          <w:szCs w:val="21"/>
          <w:highlight w:val="none"/>
        </w:rPr>
        <w:t xml:space="preserve">  </w:t>
      </w:r>
    </w:p>
    <w:p w14:paraId="1C28DC88">
      <w:pPr>
        <w:pStyle w:val="24"/>
        <w:keepNext w:val="0"/>
        <w:keepLines w:val="0"/>
        <w:pageBreakBefore w:val="0"/>
        <w:widowControl w:val="0"/>
        <w:tabs>
          <w:tab w:val="left" w:pos="5588"/>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spacing w:val="-1"/>
          <w:kern w:val="0"/>
          <w:szCs w:val="21"/>
          <w:highlight w:val="none"/>
          <w:u w:val="single" w:color="000000"/>
        </w:rPr>
      </w:pPr>
      <w:r>
        <w:rPr>
          <w:rFonts w:hint="eastAsia" w:ascii="宋体" w:hAnsi="宋体" w:eastAsia="宋体" w:cs="宋体"/>
          <w:color w:val="auto"/>
          <w:spacing w:val="-1"/>
          <w:kern w:val="0"/>
          <w:szCs w:val="21"/>
          <w:highlight w:val="none"/>
          <w:u w:val="single" w:color="000000"/>
        </w:rPr>
        <w:t>（6） 20 年以上未发生过的洪水；</w:t>
      </w:r>
    </w:p>
    <w:p w14:paraId="0A927CA6">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异常恶劣的气候条件的认定标准，以政府有关部门的规定为准。</w:t>
      </w:r>
    </w:p>
    <w:p w14:paraId="6961EAB1">
      <w:pPr>
        <w:pStyle w:val="24"/>
        <w:keepNext w:val="0"/>
        <w:keepLines w:val="0"/>
        <w:pageBreakBefore w:val="0"/>
        <w:widowControl w:val="0"/>
        <w:wordWrap/>
        <w:overflowPunct/>
        <w:topLinePunct w:val="0"/>
        <w:bidi w:val="0"/>
        <w:adjustRightInd w:val="0"/>
        <w:snapToGrid w:val="0"/>
        <w:spacing w:beforeAutospacing="0" w:afterAutospacing="0" w:line="360" w:lineRule="auto"/>
        <w:ind w:left="0" w:leftChars="0" w:right="0" w:rightChars="0" w:firstLine="422" w:firstLineChars="200"/>
        <w:rPr>
          <w:rFonts w:hint="eastAsia" w:ascii="宋体" w:hAnsi="宋体" w:eastAsia="宋体" w:cs="宋体"/>
          <w:b/>
          <w:bCs/>
          <w:color w:val="auto"/>
          <w:szCs w:val="21"/>
          <w:highlight w:val="none"/>
          <w:lang w:val="zh-CN"/>
        </w:rPr>
      </w:pPr>
      <w:r>
        <w:rPr>
          <w:rFonts w:hint="eastAsia" w:ascii="宋体" w:hAnsi="宋体" w:eastAsia="宋体" w:cs="宋体"/>
          <w:b/>
          <w:bCs/>
          <w:color w:val="auto"/>
          <w:szCs w:val="21"/>
          <w:highlight w:val="none"/>
          <w:lang w:val="zh-CN"/>
        </w:rPr>
        <w:t>7.8暂停施工</w:t>
      </w:r>
    </w:p>
    <w:p w14:paraId="46AEBE1B">
      <w:pPr>
        <w:pStyle w:val="24"/>
        <w:keepNext w:val="0"/>
        <w:keepLines w:val="0"/>
        <w:pageBreakBefore w:val="0"/>
        <w:widowControl w:val="0"/>
        <w:wordWrap/>
        <w:overflowPunct/>
        <w:topLinePunct w:val="0"/>
        <w:bidi w:val="0"/>
        <w:adjustRightInd w:val="0"/>
        <w:snapToGrid w:val="0"/>
        <w:spacing w:beforeAutospacing="0" w:afterAutospacing="0" w:line="360" w:lineRule="auto"/>
        <w:ind w:left="0" w:leftChars="0" w:right="0" w:rightChars="0"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7.8.1因征地拆迁影响而导致工程暂停施工，工期相应顺延，发包人不承担费用。</w:t>
      </w:r>
    </w:p>
    <w:p w14:paraId="7688C243">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color w:val="auto"/>
          <w:szCs w:val="21"/>
          <w:highlight w:val="none"/>
        </w:rPr>
      </w:pPr>
      <w:bookmarkStart w:id="49" w:name="7.9_提前竣工的奖励"/>
      <w:bookmarkEnd w:id="49"/>
      <w:r>
        <w:rPr>
          <w:rFonts w:hint="eastAsia" w:ascii="宋体" w:hAnsi="宋体" w:eastAsia="宋体" w:cs="宋体"/>
          <w:b/>
          <w:color w:val="auto"/>
          <w:spacing w:val="2"/>
          <w:kern w:val="0"/>
          <w:szCs w:val="21"/>
          <w:highlight w:val="none"/>
        </w:rPr>
        <w:t>7.9</w:t>
      </w:r>
      <w:r>
        <w:rPr>
          <w:rFonts w:hint="eastAsia" w:ascii="宋体" w:hAnsi="宋体" w:eastAsia="宋体" w:cs="宋体"/>
          <w:b/>
          <w:color w:val="auto"/>
          <w:spacing w:val="50"/>
          <w:kern w:val="0"/>
          <w:szCs w:val="21"/>
          <w:highlight w:val="none"/>
        </w:rPr>
        <w:t xml:space="preserve"> </w:t>
      </w:r>
      <w:r>
        <w:rPr>
          <w:rFonts w:hint="eastAsia" w:ascii="宋体" w:hAnsi="宋体" w:eastAsia="宋体" w:cs="宋体"/>
          <w:b/>
          <w:color w:val="auto"/>
          <w:spacing w:val="6"/>
          <w:kern w:val="0"/>
          <w:szCs w:val="21"/>
          <w:highlight w:val="none"/>
        </w:rPr>
        <w:t>提前竣工的奖励</w:t>
      </w:r>
    </w:p>
    <w:p w14:paraId="29CC8797">
      <w:pPr>
        <w:pStyle w:val="24"/>
        <w:keepNext w:val="0"/>
        <w:keepLines w:val="0"/>
        <w:pageBreakBefore w:val="0"/>
        <w:widowControl w:val="0"/>
        <w:tabs>
          <w:tab w:val="left" w:pos="6084"/>
        </w:tabs>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7.9.2</w:t>
      </w:r>
      <w:r>
        <w:rPr>
          <w:rFonts w:hint="eastAsia" w:ascii="宋体" w:hAnsi="宋体" w:eastAsia="宋体" w:cs="宋体"/>
          <w:color w:val="auto"/>
          <w:spacing w:val="10"/>
          <w:kern w:val="0"/>
          <w:szCs w:val="21"/>
          <w:highlight w:val="none"/>
        </w:rPr>
        <w:t xml:space="preserve"> </w:t>
      </w:r>
      <w:r>
        <w:rPr>
          <w:rFonts w:hint="eastAsia" w:ascii="宋体" w:hAnsi="宋体" w:eastAsia="宋体" w:cs="宋体"/>
          <w:color w:val="auto"/>
          <w:kern w:val="0"/>
          <w:szCs w:val="21"/>
          <w:highlight w:val="none"/>
        </w:rPr>
        <w:t>提前竣工的奖励：</w:t>
      </w:r>
      <w:r>
        <w:rPr>
          <w:rFonts w:hint="eastAsia" w:ascii="宋体" w:hAnsi="宋体" w:eastAsia="宋体" w:cs="宋体"/>
          <w:color w:val="auto"/>
          <w:kern w:val="0"/>
          <w:szCs w:val="21"/>
          <w:highlight w:val="none"/>
          <w:u w:val="single" w:color="000000"/>
        </w:rPr>
        <w:t xml:space="preserve"> /</w:t>
      </w:r>
      <w:r>
        <w:rPr>
          <w:rFonts w:hint="eastAsia" w:ascii="宋体" w:hAnsi="宋体" w:eastAsia="宋体" w:cs="宋体"/>
          <w:color w:val="auto"/>
          <w:kern w:val="0"/>
          <w:szCs w:val="21"/>
          <w:highlight w:val="none"/>
        </w:rPr>
        <w:t>。</w:t>
      </w:r>
    </w:p>
    <w:p w14:paraId="73FE2896">
      <w:pPr>
        <w:keepNext w:val="0"/>
        <w:keepLines w:val="0"/>
        <w:pageBreakBefore w:val="0"/>
        <w:widowControl/>
        <w:kinsoku w:val="0"/>
        <w:wordWrap/>
        <w:overflowPunct/>
        <w:topLinePunct w:val="0"/>
        <w:autoSpaceDE w:val="0"/>
        <w:autoSpaceDN w:val="0"/>
        <w:bidi w:val="0"/>
        <w:adjustRightInd w:val="0"/>
        <w:snapToGrid w:val="0"/>
        <w:spacing w:line="360" w:lineRule="auto"/>
        <w:ind w:firstLine="442" w:firstLineChars="200"/>
        <w:textAlignment w:val="baseline"/>
        <w:rPr>
          <w:rFonts w:hint="eastAsia" w:ascii="宋体" w:hAnsi="宋体" w:eastAsia="宋体" w:cs="宋体"/>
          <w:color w:val="auto"/>
          <w:szCs w:val="21"/>
          <w:highlight w:val="none"/>
        </w:rPr>
      </w:pPr>
      <w:bookmarkStart w:id="50" w:name="8._材料与设备"/>
      <w:bookmarkEnd w:id="50"/>
      <w:bookmarkStart w:id="51" w:name="_Toc15707"/>
      <w:bookmarkStart w:id="52" w:name="_Toc9706"/>
      <w:r>
        <w:rPr>
          <w:rFonts w:hint="eastAsia" w:ascii="宋体" w:hAnsi="宋体" w:eastAsia="宋体" w:cs="宋体"/>
          <w:b/>
          <w:color w:val="auto"/>
          <w:kern w:val="0"/>
          <w:szCs w:val="21"/>
          <w:highlight w:val="none"/>
        </w:rPr>
        <w:t xml:space="preserve">8. </w:t>
      </w:r>
      <w:r>
        <w:rPr>
          <w:rFonts w:hint="eastAsia" w:ascii="宋体" w:hAnsi="宋体" w:eastAsia="宋体" w:cs="宋体"/>
          <w:b/>
          <w:color w:val="auto"/>
          <w:spacing w:val="2"/>
          <w:kern w:val="0"/>
          <w:szCs w:val="21"/>
          <w:highlight w:val="none"/>
        </w:rPr>
        <w:t xml:space="preserve"> </w:t>
      </w:r>
      <w:r>
        <w:rPr>
          <w:rFonts w:hint="eastAsia" w:ascii="宋体" w:hAnsi="宋体" w:eastAsia="宋体" w:cs="宋体"/>
          <w:b/>
          <w:color w:val="auto"/>
          <w:spacing w:val="9"/>
          <w:kern w:val="0"/>
          <w:szCs w:val="21"/>
          <w:highlight w:val="none"/>
        </w:rPr>
        <w:t>材料与设备</w:t>
      </w:r>
      <w:bookmarkEnd w:id="51"/>
      <w:bookmarkEnd w:id="52"/>
    </w:p>
    <w:p w14:paraId="13CF6F8C">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b/>
          <w:color w:val="auto"/>
          <w:w w:val="99"/>
          <w:szCs w:val="21"/>
          <w:highlight w:val="none"/>
        </w:rPr>
      </w:pPr>
      <w:bookmarkStart w:id="53" w:name="8.2承包人采购材料与工程设备"/>
      <w:bookmarkEnd w:id="53"/>
      <w:r>
        <w:rPr>
          <w:rFonts w:hint="eastAsia" w:ascii="宋体" w:hAnsi="宋体" w:eastAsia="宋体" w:cs="宋体"/>
          <w:b/>
          <w:color w:val="auto"/>
          <w:spacing w:val="2"/>
          <w:kern w:val="0"/>
          <w:szCs w:val="21"/>
          <w:highlight w:val="none"/>
        </w:rPr>
        <w:t>8.2</w:t>
      </w:r>
      <w:r>
        <w:rPr>
          <w:rFonts w:hint="eastAsia" w:ascii="宋体" w:hAnsi="宋体" w:eastAsia="宋体" w:cs="宋体"/>
          <w:b/>
          <w:color w:val="auto"/>
          <w:spacing w:val="7"/>
          <w:kern w:val="0"/>
          <w:szCs w:val="21"/>
          <w:highlight w:val="none"/>
        </w:rPr>
        <w:t xml:space="preserve"> </w:t>
      </w:r>
      <w:r>
        <w:rPr>
          <w:rFonts w:hint="eastAsia" w:ascii="宋体" w:hAnsi="宋体" w:eastAsia="宋体" w:cs="宋体"/>
          <w:b/>
          <w:color w:val="auto"/>
          <w:spacing w:val="3"/>
          <w:kern w:val="0"/>
          <w:szCs w:val="21"/>
          <w:highlight w:val="none"/>
        </w:rPr>
        <w:t>承包人采购材料与工程设备</w:t>
      </w:r>
      <w:r>
        <w:rPr>
          <w:rFonts w:hint="eastAsia" w:ascii="宋体" w:hAnsi="宋体" w:eastAsia="宋体" w:cs="宋体"/>
          <w:b/>
          <w:color w:val="auto"/>
          <w:w w:val="99"/>
          <w:kern w:val="0"/>
          <w:szCs w:val="21"/>
          <w:highlight w:val="none"/>
        </w:rPr>
        <w:t xml:space="preserve"> </w:t>
      </w:r>
    </w:p>
    <w:p w14:paraId="2C0ACC02">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08" w:firstLineChars="200"/>
        <w:jc w:val="left"/>
        <w:rPr>
          <w:rFonts w:hint="eastAsia" w:ascii="宋体" w:hAnsi="宋体" w:eastAsia="宋体" w:cs="宋体"/>
          <w:color w:val="auto"/>
          <w:szCs w:val="21"/>
          <w:highlight w:val="none"/>
        </w:rPr>
      </w:pPr>
      <w:r>
        <w:rPr>
          <w:rFonts w:hint="eastAsia" w:ascii="宋体" w:hAnsi="宋体" w:eastAsia="宋体" w:cs="宋体"/>
          <w:color w:val="auto"/>
          <w:spacing w:val="-3"/>
          <w:kern w:val="0"/>
          <w:szCs w:val="21"/>
          <w:highlight w:val="none"/>
        </w:rPr>
        <w:t>除已标价工程量清单《发包人提供主要材料和工程设备一览表》（表-21）中明确的材料、</w:t>
      </w:r>
      <w:r>
        <w:rPr>
          <w:rFonts w:hint="eastAsia" w:ascii="宋体" w:hAnsi="宋体" w:eastAsia="宋体" w:cs="宋体"/>
          <w:color w:val="auto"/>
          <w:spacing w:val="-4"/>
          <w:kern w:val="0"/>
          <w:szCs w:val="21"/>
          <w:highlight w:val="none"/>
        </w:rPr>
        <w:t>工程设备外，由承包人负责材料和工程设备的采购、运输和保管。《承包人提供主要材料和工程</w:t>
      </w:r>
      <w:r>
        <w:rPr>
          <w:rFonts w:hint="eastAsia" w:ascii="宋体" w:hAnsi="宋体" w:eastAsia="宋体" w:cs="宋体"/>
          <w:color w:val="auto"/>
          <w:spacing w:val="-87"/>
          <w:kern w:val="0"/>
          <w:szCs w:val="21"/>
          <w:highlight w:val="none"/>
        </w:rPr>
        <w:t xml:space="preserve"> </w:t>
      </w:r>
      <w:r>
        <w:rPr>
          <w:rFonts w:hint="eastAsia" w:ascii="宋体" w:hAnsi="宋体" w:eastAsia="宋体" w:cs="宋体"/>
          <w:color w:val="auto"/>
          <w:spacing w:val="-3"/>
          <w:kern w:val="0"/>
          <w:szCs w:val="21"/>
          <w:highlight w:val="none"/>
        </w:rPr>
        <w:t>设备一览表》（表-22）见已标价工程量清单。发包人负责提供的材料和工程设备的名称、规格、</w:t>
      </w:r>
      <w:r>
        <w:rPr>
          <w:rFonts w:hint="eastAsia" w:ascii="宋体" w:hAnsi="宋体" w:eastAsia="宋体" w:cs="宋体"/>
          <w:color w:val="auto"/>
          <w:spacing w:val="-78"/>
          <w:kern w:val="0"/>
          <w:szCs w:val="21"/>
          <w:highlight w:val="none"/>
        </w:rPr>
        <w:t xml:space="preserve"> </w:t>
      </w:r>
      <w:r>
        <w:rPr>
          <w:rFonts w:hint="eastAsia" w:ascii="宋体" w:hAnsi="宋体" w:eastAsia="宋体" w:cs="宋体"/>
          <w:color w:val="auto"/>
          <w:kern w:val="0"/>
          <w:szCs w:val="21"/>
          <w:highlight w:val="none"/>
        </w:rPr>
        <w:t>数量、价格、交货方式、交货地点和计划交货日期等见合同附件三“发包人提供的材料和工程 设备一览表”。</w:t>
      </w:r>
    </w:p>
    <w:p w14:paraId="35567338">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对发包人在招标时有“参照或相当于**品牌、级别”约定的材料或设备，承包人采购时必须按类似于或优于所约定品牌、等级进行采购，施工期间该部分材料或设备如未超过招标约定</w:t>
      </w:r>
      <w:r>
        <w:rPr>
          <w:rFonts w:hint="eastAsia" w:ascii="宋体" w:hAnsi="宋体" w:eastAsia="宋体" w:cs="宋体"/>
          <w:color w:val="auto"/>
          <w:spacing w:val="-65"/>
          <w:kern w:val="0"/>
          <w:szCs w:val="21"/>
          <w:highlight w:val="none"/>
        </w:rPr>
        <w:t xml:space="preserve"> </w:t>
      </w:r>
      <w:r>
        <w:rPr>
          <w:rFonts w:hint="eastAsia" w:ascii="宋体" w:hAnsi="宋体" w:eastAsia="宋体" w:cs="宋体"/>
          <w:color w:val="auto"/>
          <w:kern w:val="0"/>
          <w:szCs w:val="21"/>
          <w:highlight w:val="none"/>
        </w:rPr>
        <w:t>的风险幅度的，结算时按投标单价支付，不得调整。</w:t>
      </w:r>
    </w:p>
    <w:p w14:paraId="4BA899B7">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满足南宁市城乡建设委员会南宁市工业和信息化委员会关于重新印发《南宁市城乡建设委</w:t>
      </w:r>
      <w:r>
        <w:rPr>
          <w:rFonts w:hint="eastAsia" w:ascii="宋体" w:hAnsi="宋体" w:eastAsia="宋体" w:cs="宋体"/>
          <w:color w:val="auto"/>
          <w:spacing w:val="-2"/>
          <w:kern w:val="0"/>
          <w:szCs w:val="21"/>
          <w:highlight w:val="none"/>
        </w:rPr>
        <w:t>员会和南宁市工业和信息化委员会关于推广应用高性能混凝土的通知》的通知（南建规【2016】</w:t>
      </w:r>
      <w:r>
        <w:rPr>
          <w:rFonts w:hint="eastAsia" w:ascii="宋体" w:hAnsi="宋体" w:eastAsia="宋体" w:cs="宋体"/>
          <w:color w:val="auto"/>
          <w:kern w:val="0"/>
          <w:szCs w:val="21"/>
          <w:highlight w:val="none"/>
        </w:rPr>
        <w:t xml:space="preserve">1号）要求的，本工程必须使用高性能混凝土。 </w:t>
      </w:r>
    </w:p>
    <w:p w14:paraId="351CAFED">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满足南宁市人民政府印发的《南宁市人民政府关于推广使用预拌砂浆的实施意见》（南府规〔2016〕12 号）要求的，本工程必须使用预拌砂浆。 </w:t>
      </w:r>
    </w:p>
    <w:p w14:paraId="26360183">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满足《南宁市松材线虫病防控工作领导小组工作制度》要求，要求涉木产品供货商对应施检疫的产品提供《植物检疫证书》；涉及松木质包装材料的，积极配合林业部门做好检疫工作。</w:t>
      </w:r>
    </w:p>
    <w:p w14:paraId="7E93E7C4">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b/>
          <w:color w:val="auto"/>
          <w:spacing w:val="2"/>
          <w:kern w:val="0"/>
          <w:szCs w:val="21"/>
          <w:highlight w:val="none"/>
        </w:rPr>
      </w:pPr>
      <w:r>
        <w:rPr>
          <w:rFonts w:hint="eastAsia" w:ascii="宋体" w:hAnsi="宋体" w:eastAsia="宋体" w:cs="宋体"/>
          <w:b/>
          <w:color w:val="auto"/>
          <w:spacing w:val="2"/>
          <w:kern w:val="0"/>
          <w:szCs w:val="21"/>
          <w:highlight w:val="none"/>
        </w:rPr>
        <w:t>8.3 材料与工程设备的接收与拒收</w:t>
      </w:r>
    </w:p>
    <w:p w14:paraId="4CDF8EC0">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承包人将由提供的材料和工程设备的供货人及品种、规格、数量和供货时间等报送监理人审批的期限：承包人在材料设备到货前24小时通知工程师清点。</w:t>
      </w:r>
      <w:bookmarkStart w:id="54" w:name="8.4材料与工程设备的保管与使用"/>
      <w:bookmarkEnd w:id="54"/>
    </w:p>
    <w:p w14:paraId="59E33FA0">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b/>
          <w:color w:val="auto"/>
          <w:spacing w:val="2"/>
          <w:kern w:val="0"/>
          <w:szCs w:val="21"/>
          <w:highlight w:val="none"/>
        </w:rPr>
      </w:pPr>
      <w:r>
        <w:rPr>
          <w:rFonts w:hint="eastAsia" w:ascii="宋体" w:hAnsi="宋体" w:eastAsia="宋体" w:cs="宋体"/>
          <w:b/>
          <w:color w:val="auto"/>
          <w:spacing w:val="2"/>
          <w:kern w:val="0"/>
          <w:szCs w:val="21"/>
          <w:highlight w:val="none"/>
        </w:rPr>
        <w:t>8.4 材料与工程设备的保管与使用</w:t>
      </w:r>
    </w:p>
    <w:p w14:paraId="22B6410F">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8.4.1 发包人供应的材料设备的保管费用的承担：材料设备堆放至发包人指定的存放地点后，所发生的一切保管、运输费用均由承包人承担，因保管不力所造成的损失由承包人负责。</w:t>
      </w:r>
    </w:p>
    <w:p w14:paraId="5A464770">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color w:val="auto"/>
          <w:szCs w:val="21"/>
          <w:highlight w:val="none"/>
        </w:rPr>
      </w:pPr>
      <w:bookmarkStart w:id="55" w:name="8.6_样品"/>
      <w:bookmarkEnd w:id="55"/>
      <w:r>
        <w:rPr>
          <w:rFonts w:hint="eastAsia" w:ascii="宋体" w:hAnsi="宋体" w:eastAsia="宋体" w:cs="宋体"/>
          <w:b/>
          <w:color w:val="auto"/>
          <w:spacing w:val="2"/>
          <w:kern w:val="0"/>
          <w:szCs w:val="21"/>
          <w:highlight w:val="none"/>
        </w:rPr>
        <w:t>8.6</w:t>
      </w:r>
      <w:r>
        <w:rPr>
          <w:rFonts w:hint="eastAsia" w:ascii="宋体" w:hAnsi="宋体" w:eastAsia="宋体" w:cs="宋体"/>
          <w:b/>
          <w:color w:val="auto"/>
          <w:spacing w:val="51"/>
          <w:kern w:val="0"/>
          <w:szCs w:val="21"/>
          <w:highlight w:val="none"/>
        </w:rPr>
        <w:t xml:space="preserve"> </w:t>
      </w:r>
      <w:r>
        <w:rPr>
          <w:rFonts w:hint="eastAsia" w:ascii="宋体" w:hAnsi="宋体" w:eastAsia="宋体" w:cs="宋体"/>
          <w:b/>
          <w:color w:val="auto"/>
          <w:spacing w:val="15"/>
          <w:kern w:val="0"/>
          <w:szCs w:val="21"/>
          <w:highlight w:val="none"/>
        </w:rPr>
        <w:t>样品</w:t>
      </w:r>
    </w:p>
    <w:p w14:paraId="704CF381">
      <w:pPr>
        <w:pStyle w:val="24"/>
        <w:keepNext w:val="0"/>
        <w:keepLines w:val="0"/>
        <w:pageBreakBefore w:val="0"/>
        <w:widowControl w:val="0"/>
        <w:tabs>
          <w:tab w:val="left" w:pos="1383"/>
        </w:tabs>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8.6.1</w:t>
      </w:r>
      <w:r>
        <w:rPr>
          <w:rFonts w:hint="eastAsia" w:ascii="宋体" w:hAnsi="宋体" w:eastAsia="宋体" w:cs="宋体"/>
          <w:color w:val="auto"/>
          <w:kern w:val="0"/>
          <w:szCs w:val="21"/>
          <w:highlight w:val="none"/>
        </w:rPr>
        <w:t xml:space="preserve">样品的报送与封存 </w:t>
      </w:r>
    </w:p>
    <w:p w14:paraId="7DC20233">
      <w:pPr>
        <w:pStyle w:val="24"/>
        <w:keepNext w:val="0"/>
        <w:keepLines w:val="0"/>
        <w:pageBreakBefore w:val="0"/>
        <w:widowControl w:val="0"/>
        <w:wordWrap/>
        <w:overflowPunct/>
        <w:topLinePunct w:val="0"/>
        <w:autoSpaceDE w:val="0"/>
        <w:autoSpaceDN w:val="0"/>
        <w:bidi w:val="0"/>
        <w:adjustRightInd w:val="0"/>
        <w:spacing w:beforeAutospacing="0" w:afterAutospacing="0" w:line="360" w:lineRule="auto"/>
        <w:ind w:left="0" w:leftChars="0" w:right="0" w:rightChars="0" w:firstLine="420" w:firstLineChars="200"/>
        <w:jc w:val="left"/>
        <w:rPr>
          <w:rFonts w:hint="eastAsia" w:ascii="宋体" w:hAnsi="宋体" w:eastAsia="宋体" w:cs="宋体"/>
          <w:b/>
          <w:bCs/>
          <w:color w:val="auto"/>
          <w:szCs w:val="21"/>
          <w:highlight w:val="none"/>
          <w:u w:val="single"/>
        </w:rPr>
      </w:pPr>
      <w:r>
        <w:rPr>
          <w:rFonts w:hint="eastAsia" w:ascii="宋体" w:hAnsi="宋体" w:eastAsia="宋体" w:cs="宋体"/>
          <w:color w:val="auto"/>
          <w:szCs w:val="21"/>
          <w:highlight w:val="none"/>
        </w:rPr>
        <w:t>需要承包人报送样品的材料或工程设备，样品的种类、名称、规格、数量要求：</w:t>
      </w:r>
      <w:r>
        <w:rPr>
          <w:rFonts w:hint="eastAsia" w:ascii="宋体" w:hAnsi="宋体" w:eastAsia="宋体" w:cs="宋体"/>
          <w:color w:val="auto"/>
          <w:szCs w:val="21"/>
          <w:highlight w:val="none"/>
          <w:u w:val="single" w:color="000000"/>
        </w:rPr>
        <w:t>主要材料涉及品种、款式、颜色等方面内容的，承包人应提交准备合格的材料样品送发包人选定。</w:t>
      </w:r>
      <w:r>
        <w:rPr>
          <w:rFonts w:hint="eastAsia" w:ascii="宋体" w:hAnsi="宋体" w:eastAsia="宋体" w:cs="宋体"/>
          <w:b/>
          <w:bCs/>
          <w:color w:val="auto"/>
          <w:szCs w:val="21"/>
          <w:highlight w:val="none"/>
          <w:u w:val="single"/>
        </w:rPr>
        <w:t>对关键材料、设备（如配电设备、电箱、开关、电线等）、入户门等，采用提供品牌认定制。由承包方按设计施工图纸所标注的技术指标和要求对具有相应生产资质和生产能力的厂家进行考察，确定其生产的产品质量符合国家技术标准或国家认证产品后，每种产品提交三个以上与投标清单相符或相当的合格产品的生产厂家和产品品牌给发包人进行认定，并作为今后验收的依据。</w:t>
      </w:r>
    </w:p>
    <w:p w14:paraId="79E54CB9">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color w:val="auto"/>
          <w:szCs w:val="21"/>
          <w:highlight w:val="none"/>
        </w:rPr>
      </w:pPr>
      <w:bookmarkStart w:id="56" w:name="8.8_施工设备和临时设施"/>
      <w:bookmarkEnd w:id="56"/>
      <w:r>
        <w:rPr>
          <w:rFonts w:hint="eastAsia" w:ascii="宋体" w:hAnsi="宋体" w:eastAsia="宋体" w:cs="宋体"/>
          <w:b/>
          <w:color w:val="auto"/>
          <w:spacing w:val="2"/>
          <w:kern w:val="0"/>
          <w:szCs w:val="21"/>
          <w:highlight w:val="none"/>
        </w:rPr>
        <w:t>8.8</w:t>
      </w:r>
      <w:r>
        <w:rPr>
          <w:rFonts w:hint="eastAsia" w:ascii="宋体" w:hAnsi="宋体" w:eastAsia="宋体" w:cs="宋体"/>
          <w:b/>
          <w:color w:val="auto"/>
          <w:spacing w:val="46"/>
          <w:kern w:val="0"/>
          <w:szCs w:val="21"/>
          <w:highlight w:val="none"/>
        </w:rPr>
        <w:t xml:space="preserve"> </w:t>
      </w:r>
      <w:r>
        <w:rPr>
          <w:rFonts w:hint="eastAsia" w:ascii="宋体" w:hAnsi="宋体" w:eastAsia="宋体" w:cs="宋体"/>
          <w:b/>
          <w:color w:val="auto"/>
          <w:spacing w:val="5"/>
          <w:kern w:val="0"/>
          <w:szCs w:val="21"/>
          <w:highlight w:val="none"/>
        </w:rPr>
        <w:t>施工设备和临时设施</w:t>
      </w:r>
    </w:p>
    <w:p w14:paraId="0BD91CBA">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spacing w:val="-102"/>
          <w:szCs w:val="21"/>
          <w:highlight w:val="none"/>
        </w:rPr>
      </w:pPr>
      <w:r>
        <w:rPr>
          <w:rFonts w:hint="eastAsia" w:ascii="宋体" w:hAnsi="宋体" w:eastAsia="宋体" w:cs="宋体"/>
          <w:color w:val="auto"/>
          <w:spacing w:val="2"/>
          <w:kern w:val="0"/>
          <w:szCs w:val="21"/>
          <w:highlight w:val="none"/>
        </w:rPr>
        <w:t>8.8.1</w:t>
      </w:r>
      <w:r>
        <w:rPr>
          <w:rFonts w:hint="eastAsia" w:ascii="宋体" w:hAnsi="宋体" w:eastAsia="宋体" w:cs="宋体"/>
          <w:color w:val="auto"/>
          <w:spacing w:val="37"/>
          <w:kern w:val="0"/>
          <w:szCs w:val="21"/>
          <w:highlight w:val="none"/>
        </w:rPr>
        <w:t xml:space="preserve"> </w:t>
      </w:r>
      <w:r>
        <w:rPr>
          <w:rFonts w:hint="eastAsia" w:ascii="宋体" w:hAnsi="宋体" w:eastAsia="宋体" w:cs="宋体"/>
          <w:color w:val="auto"/>
          <w:kern w:val="0"/>
          <w:szCs w:val="21"/>
          <w:highlight w:val="none"/>
        </w:rPr>
        <w:t>承包人提供的施工设备和临时设施</w:t>
      </w:r>
      <w:r>
        <w:rPr>
          <w:rFonts w:hint="eastAsia" w:ascii="宋体" w:hAnsi="宋体" w:eastAsia="宋体" w:cs="宋体"/>
          <w:color w:val="auto"/>
          <w:spacing w:val="-102"/>
          <w:kern w:val="0"/>
          <w:szCs w:val="21"/>
          <w:highlight w:val="none"/>
        </w:rPr>
        <w:t xml:space="preserve"> </w:t>
      </w:r>
    </w:p>
    <w:p w14:paraId="372C811F">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color w:val="auto"/>
          <w:spacing w:val="39"/>
          <w:w w:val="95"/>
          <w:szCs w:val="21"/>
          <w:highlight w:val="none"/>
        </w:rPr>
      </w:pPr>
      <w:r>
        <w:rPr>
          <w:rFonts w:hint="eastAsia" w:ascii="宋体" w:hAnsi="宋体" w:eastAsia="宋体" w:cs="宋体"/>
          <w:b/>
          <w:color w:val="auto"/>
          <w:kern w:val="0"/>
          <w:szCs w:val="21"/>
          <w:highlight w:val="none"/>
        </w:rPr>
        <w:t>除专用合同条款另有约定的其他独立承包人和监理人指示的他人提供条件外，承包人运入施工场地的所有施工设备以及在施工场地建设的临时设施仅限于用于合同工程。</w:t>
      </w:r>
      <w:r>
        <w:rPr>
          <w:rFonts w:hint="eastAsia" w:ascii="宋体" w:hAnsi="宋体" w:eastAsia="宋体" w:cs="宋体"/>
          <w:b/>
          <w:color w:val="auto"/>
          <w:spacing w:val="39"/>
          <w:w w:val="95"/>
          <w:kern w:val="0"/>
          <w:szCs w:val="21"/>
          <w:highlight w:val="none"/>
        </w:rPr>
        <w:t xml:space="preserve"> </w:t>
      </w:r>
    </w:p>
    <w:p w14:paraId="291E7B31">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关于修建临时设施费用承担的约定：</w:t>
      </w:r>
    </w:p>
    <w:p w14:paraId="0732BC52">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szCs w:val="21"/>
          <w:highlight w:val="none"/>
        </w:rPr>
      </w:pPr>
      <w:r>
        <w:rPr>
          <w:rFonts w:hint="eastAsia" w:ascii="宋体" w:hAnsi="宋体" w:eastAsia="宋体" w:cs="宋体"/>
          <w:b/>
          <w:color w:val="auto"/>
          <w:w w:val="99"/>
          <w:kern w:val="0"/>
          <w:szCs w:val="21"/>
          <w:highlight w:val="none"/>
          <w:u w:val="single" w:color="000000"/>
        </w:rPr>
        <w:t>①</w:t>
      </w:r>
      <w:r>
        <w:rPr>
          <w:rFonts w:hint="eastAsia" w:ascii="宋体" w:hAnsi="宋体" w:eastAsia="宋体" w:cs="宋体"/>
          <w:b/>
          <w:color w:val="auto"/>
          <w:kern w:val="0"/>
          <w:szCs w:val="21"/>
          <w:highlight w:val="none"/>
          <w:u w:val="single" w:color="000000"/>
        </w:rPr>
        <w:t>承包人的临时用地（含项目部驻地等）租用费（含拆迁补偿）、临时用地的环保、恢复、临时用地的青苗补偿及地面附着物拆除等费用均由承包人负责，以上费用在投标报价中综合考</w:t>
      </w:r>
      <w:r>
        <w:rPr>
          <w:rFonts w:hint="eastAsia" w:ascii="宋体" w:hAnsi="宋体" w:eastAsia="宋体" w:cs="宋体"/>
          <w:b/>
          <w:color w:val="auto"/>
          <w:spacing w:val="-80"/>
          <w:kern w:val="0"/>
          <w:szCs w:val="21"/>
          <w:highlight w:val="none"/>
          <w:u w:val="single" w:color="000000"/>
        </w:rPr>
        <w:t xml:space="preserve"> </w:t>
      </w:r>
      <w:r>
        <w:rPr>
          <w:rFonts w:hint="eastAsia" w:ascii="宋体" w:hAnsi="宋体" w:eastAsia="宋体" w:cs="宋体"/>
          <w:b/>
          <w:color w:val="auto"/>
          <w:spacing w:val="15"/>
          <w:kern w:val="0"/>
          <w:szCs w:val="21"/>
          <w:highlight w:val="none"/>
          <w:u w:val="single" w:color="000000"/>
        </w:rPr>
        <w:t>虑。</w:t>
      </w:r>
    </w:p>
    <w:p w14:paraId="28051D87">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color w:val="auto"/>
          <w:szCs w:val="21"/>
          <w:highlight w:val="none"/>
        </w:rPr>
      </w:pPr>
      <w:r>
        <w:rPr>
          <w:rFonts w:hint="eastAsia" w:ascii="宋体" w:hAnsi="宋体" w:eastAsia="宋体" w:cs="宋体"/>
          <w:b/>
          <w:color w:val="auto"/>
          <w:kern w:val="0"/>
          <w:szCs w:val="21"/>
          <w:highlight w:val="none"/>
          <w:u w:val="single" w:color="000000"/>
        </w:rPr>
        <w:t>②承包人负责合同实施期间其合同段内临时交通道路（含场内外连接公共交通道路）和交</w:t>
      </w:r>
      <w:r>
        <w:rPr>
          <w:rFonts w:hint="eastAsia" w:ascii="宋体" w:hAnsi="宋体" w:eastAsia="宋体" w:cs="宋体"/>
          <w:b/>
          <w:color w:val="auto"/>
          <w:spacing w:val="2"/>
          <w:kern w:val="0"/>
          <w:szCs w:val="21"/>
          <w:highlight w:val="none"/>
          <w:u w:val="single" w:color="000000"/>
        </w:rPr>
        <w:t>通设施的修建、维修、养护和交通管理工作，并承担一切费用。</w:t>
      </w:r>
    </w:p>
    <w:p w14:paraId="13056C82">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rPr>
          <w:rFonts w:hint="eastAsia" w:ascii="宋体" w:hAnsi="宋体" w:eastAsia="宋体" w:cs="宋体"/>
          <w:color w:val="auto"/>
          <w:szCs w:val="21"/>
          <w:highlight w:val="none"/>
        </w:rPr>
      </w:pPr>
      <w:r>
        <w:rPr>
          <w:rFonts w:hint="eastAsia" w:ascii="宋体" w:hAnsi="宋体" w:eastAsia="宋体" w:cs="宋体"/>
          <w:b/>
          <w:color w:val="auto"/>
          <w:kern w:val="0"/>
          <w:szCs w:val="21"/>
          <w:highlight w:val="none"/>
          <w:u w:val="single" w:color="000000"/>
        </w:rPr>
        <w:t>③承包人修建的临时道路和交通设施，应免费提供给发包人、监理工程师和其他合同段的承包人使用，如共同使用的路基损坏严重，发包人或监理工程师将负责通知有关承包人共同出</w:t>
      </w:r>
      <w:r>
        <w:rPr>
          <w:rFonts w:hint="eastAsia" w:ascii="宋体" w:hAnsi="宋体" w:eastAsia="宋体" w:cs="宋体"/>
          <w:b/>
          <w:color w:val="auto"/>
          <w:spacing w:val="-80"/>
          <w:kern w:val="0"/>
          <w:szCs w:val="21"/>
          <w:highlight w:val="none"/>
          <w:u w:val="single" w:color="000000"/>
        </w:rPr>
        <w:t xml:space="preserve"> </w:t>
      </w:r>
      <w:r>
        <w:rPr>
          <w:rFonts w:hint="eastAsia" w:ascii="宋体" w:hAnsi="宋体" w:eastAsia="宋体" w:cs="宋体"/>
          <w:b/>
          <w:color w:val="auto"/>
          <w:spacing w:val="2"/>
          <w:kern w:val="0"/>
          <w:szCs w:val="21"/>
          <w:highlight w:val="none"/>
          <w:u w:val="single" w:color="000000"/>
        </w:rPr>
        <w:t>资修复，若使用频率相差悬殊，则按比例分摊。</w:t>
      </w:r>
    </w:p>
    <w:p w14:paraId="119EBB2A">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8.8.2</w:t>
      </w:r>
      <w:r>
        <w:rPr>
          <w:rFonts w:hint="eastAsia" w:ascii="宋体" w:hAnsi="宋体" w:eastAsia="宋体" w:cs="宋体"/>
          <w:color w:val="auto"/>
          <w:spacing w:val="40"/>
          <w:kern w:val="0"/>
          <w:szCs w:val="21"/>
          <w:highlight w:val="none"/>
        </w:rPr>
        <w:t xml:space="preserve"> </w:t>
      </w:r>
      <w:r>
        <w:rPr>
          <w:rFonts w:hint="eastAsia" w:ascii="宋体" w:hAnsi="宋体" w:eastAsia="宋体" w:cs="宋体"/>
          <w:color w:val="auto"/>
          <w:kern w:val="0"/>
          <w:szCs w:val="21"/>
          <w:highlight w:val="none"/>
        </w:rPr>
        <w:t>发包人提供的施工设备和临时设施</w:t>
      </w:r>
    </w:p>
    <w:p w14:paraId="2B3A9C3C">
      <w:pPr>
        <w:pStyle w:val="24"/>
        <w:keepNext w:val="0"/>
        <w:keepLines w:val="0"/>
        <w:pageBreakBefore w:val="0"/>
        <w:widowControl w:val="0"/>
        <w:tabs>
          <w:tab w:val="left" w:pos="8217"/>
          <w:tab w:val="left" w:pos="8712"/>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发包人提供的施工设备和临时设施：</w:t>
      </w:r>
      <w:r>
        <w:rPr>
          <w:rFonts w:hint="eastAsia" w:ascii="宋体" w:hAnsi="宋体" w:eastAsia="宋体" w:cs="宋体"/>
          <w:color w:val="auto"/>
          <w:spacing w:val="-1"/>
          <w:kern w:val="0"/>
          <w:szCs w:val="21"/>
          <w:highlight w:val="none"/>
          <w:u w:val="single" w:color="000000"/>
        </w:rPr>
        <w:t xml:space="preserve">  </w:t>
      </w:r>
      <w:r>
        <w:rPr>
          <w:rFonts w:hint="eastAsia" w:ascii="宋体" w:hAnsi="宋体" w:eastAsia="宋体" w:cs="宋体"/>
          <w:color w:val="auto"/>
          <w:spacing w:val="-1"/>
          <w:kern w:val="0"/>
          <w:szCs w:val="21"/>
          <w:highlight w:val="none"/>
          <w:u w:val="single" w:color="000000"/>
          <w:lang w:val="en-US" w:eastAsia="zh-CN"/>
        </w:rPr>
        <w:t>/</w:t>
      </w:r>
      <w:r>
        <w:rPr>
          <w:rFonts w:hint="eastAsia" w:ascii="宋体" w:hAnsi="宋体" w:eastAsia="宋体" w:cs="宋体"/>
          <w:color w:val="auto"/>
          <w:spacing w:val="-1"/>
          <w:kern w:val="0"/>
          <w:szCs w:val="21"/>
          <w:highlight w:val="none"/>
          <w:u w:val="single" w:color="000000"/>
        </w:rPr>
        <w:tab/>
      </w:r>
      <w:r>
        <w:rPr>
          <w:rFonts w:hint="eastAsia" w:ascii="宋体" w:hAnsi="宋体" w:eastAsia="宋体" w:cs="宋体"/>
          <w:color w:val="auto"/>
          <w:kern w:val="0"/>
          <w:szCs w:val="21"/>
          <w:highlight w:val="none"/>
        </w:rPr>
        <w:t xml:space="preserve">。 </w:t>
      </w:r>
    </w:p>
    <w:p w14:paraId="623F5613">
      <w:pPr>
        <w:pStyle w:val="24"/>
        <w:keepNext w:val="0"/>
        <w:keepLines w:val="0"/>
        <w:pageBreakBefore w:val="0"/>
        <w:widowControl w:val="0"/>
        <w:tabs>
          <w:tab w:val="left" w:pos="8217"/>
          <w:tab w:val="left" w:pos="8712"/>
        </w:tabs>
        <w:wordWrap/>
        <w:overflowPunct/>
        <w:topLinePunct w:val="0"/>
        <w:bidi w:val="0"/>
        <w:spacing w:beforeAutospacing="0" w:afterAutospacing="0" w:line="360" w:lineRule="auto"/>
        <w:ind w:left="0" w:leftChars="0" w:right="0" w:rightChars="0" w:firstLine="408"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3"/>
          <w:kern w:val="0"/>
          <w:szCs w:val="21"/>
          <w:highlight w:val="none"/>
        </w:rPr>
        <w:t>发包人提供的施工设备和临时设施的运行、维护、拆除、清运费用的承担人：</w:t>
      </w:r>
      <w:r>
        <w:rPr>
          <w:rFonts w:hint="eastAsia" w:ascii="宋体" w:hAnsi="宋体" w:eastAsia="宋体" w:cs="宋体"/>
          <w:color w:val="auto"/>
          <w:spacing w:val="-3"/>
          <w:kern w:val="0"/>
          <w:szCs w:val="21"/>
          <w:highlight w:val="none"/>
          <w:u w:val="single" w:color="000000"/>
        </w:rPr>
        <w:t xml:space="preserve">  </w:t>
      </w:r>
      <w:r>
        <w:rPr>
          <w:rFonts w:hint="eastAsia" w:ascii="宋体" w:hAnsi="宋体" w:eastAsia="宋体" w:cs="宋体"/>
          <w:b/>
          <w:bCs/>
          <w:color w:val="auto"/>
          <w:kern w:val="0"/>
          <w:szCs w:val="21"/>
          <w:highlight w:val="none"/>
          <w:u w:val="single"/>
        </w:rPr>
        <w:t xml:space="preserve">承包人  </w:t>
      </w:r>
      <w:r>
        <w:rPr>
          <w:rFonts w:hint="eastAsia" w:ascii="宋体" w:hAnsi="宋体" w:eastAsia="宋体" w:cs="宋体"/>
          <w:b/>
          <w:bCs/>
          <w:color w:val="auto"/>
          <w:kern w:val="0"/>
          <w:szCs w:val="21"/>
          <w:highlight w:val="none"/>
        </w:rPr>
        <w:t>。</w:t>
      </w:r>
      <w:r>
        <w:rPr>
          <w:rFonts w:hint="eastAsia" w:ascii="宋体" w:hAnsi="宋体" w:eastAsia="宋体" w:cs="宋体"/>
          <w:color w:val="auto"/>
          <w:kern w:val="0"/>
          <w:szCs w:val="21"/>
          <w:highlight w:val="none"/>
        </w:rPr>
        <w:t xml:space="preserve"> </w:t>
      </w:r>
      <w:bookmarkStart w:id="57" w:name="9._试验与检验"/>
      <w:bookmarkEnd w:id="57"/>
    </w:p>
    <w:p w14:paraId="143B35CA">
      <w:pPr>
        <w:keepNext w:val="0"/>
        <w:keepLines w:val="0"/>
        <w:pageBreakBefore w:val="0"/>
        <w:widowControl/>
        <w:kinsoku w:val="0"/>
        <w:wordWrap/>
        <w:overflowPunct/>
        <w:topLinePunct w:val="0"/>
        <w:autoSpaceDE w:val="0"/>
        <w:autoSpaceDN w:val="0"/>
        <w:bidi w:val="0"/>
        <w:adjustRightInd w:val="0"/>
        <w:snapToGrid w:val="0"/>
        <w:spacing w:line="360" w:lineRule="auto"/>
        <w:ind w:firstLine="442" w:firstLineChars="200"/>
        <w:textAlignment w:val="baseline"/>
        <w:rPr>
          <w:rFonts w:hint="eastAsia" w:ascii="宋体" w:hAnsi="宋体" w:eastAsia="宋体" w:cs="宋体"/>
          <w:color w:val="auto"/>
          <w:kern w:val="0"/>
          <w:szCs w:val="21"/>
          <w:highlight w:val="none"/>
        </w:rPr>
      </w:pPr>
      <w:bookmarkStart w:id="58" w:name="_Toc17188"/>
      <w:bookmarkStart w:id="59" w:name="_Toc25492"/>
      <w:r>
        <w:rPr>
          <w:rFonts w:hint="eastAsia" w:ascii="宋体" w:hAnsi="宋体" w:eastAsia="宋体" w:cs="宋体"/>
          <w:b/>
          <w:color w:val="auto"/>
          <w:kern w:val="0"/>
          <w:szCs w:val="21"/>
          <w:highlight w:val="none"/>
        </w:rPr>
        <w:t xml:space="preserve">9. </w:t>
      </w:r>
      <w:r>
        <w:rPr>
          <w:rFonts w:hint="eastAsia" w:ascii="宋体" w:hAnsi="宋体" w:eastAsia="宋体" w:cs="宋体"/>
          <w:b/>
          <w:color w:val="auto"/>
          <w:spacing w:val="2"/>
          <w:kern w:val="0"/>
          <w:szCs w:val="21"/>
          <w:highlight w:val="none"/>
        </w:rPr>
        <w:t xml:space="preserve"> </w:t>
      </w:r>
      <w:r>
        <w:rPr>
          <w:rFonts w:hint="eastAsia" w:ascii="宋体" w:hAnsi="宋体" w:eastAsia="宋体" w:cs="宋体"/>
          <w:b/>
          <w:color w:val="auto"/>
          <w:spacing w:val="9"/>
          <w:kern w:val="0"/>
          <w:szCs w:val="21"/>
          <w:highlight w:val="none"/>
        </w:rPr>
        <w:t>试验与检验</w:t>
      </w:r>
      <w:bookmarkEnd w:id="58"/>
      <w:bookmarkEnd w:id="59"/>
    </w:p>
    <w:p w14:paraId="28F5399B">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color w:val="auto"/>
          <w:szCs w:val="21"/>
          <w:highlight w:val="none"/>
        </w:rPr>
      </w:pPr>
      <w:bookmarkStart w:id="60" w:name="9.1试验设备与试验人员"/>
      <w:bookmarkEnd w:id="60"/>
      <w:r>
        <w:rPr>
          <w:rFonts w:hint="eastAsia" w:ascii="宋体" w:hAnsi="宋体" w:eastAsia="宋体" w:cs="宋体"/>
          <w:b/>
          <w:color w:val="auto"/>
          <w:spacing w:val="2"/>
          <w:kern w:val="0"/>
          <w:szCs w:val="21"/>
          <w:highlight w:val="none"/>
        </w:rPr>
        <w:t>9.1</w:t>
      </w:r>
      <w:r>
        <w:rPr>
          <w:rFonts w:hint="eastAsia" w:ascii="宋体" w:hAnsi="宋体" w:eastAsia="宋体" w:cs="宋体"/>
          <w:b/>
          <w:color w:val="auto"/>
          <w:kern w:val="0"/>
          <w:szCs w:val="21"/>
          <w:highlight w:val="none"/>
        </w:rPr>
        <w:t xml:space="preserve"> </w:t>
      </w:r>
      <w:r>
        <w:rPr>
          <w:rFonts w:hint="eastAsia" w:ascii="宋体" w:hAnsi="宋体" w:eastAsia="宋体" w:cs="宋体"/>
          <w:b/>
          <w:color w:val="auto"/>
          <w:spacing w:val="5"/>
          <w:kern w:val="0"/>
          <w:szCs w:val="21"/>
          <w:highlight w:val="none"/>
        </w:rPr>
        <w:t>试验设备与试验人员</w:t>
      </w:r>
    </w:p>
    <w:p w14:paraId="2D9F11A9">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9.1.2</w:t>
      </w:r>
      <w:r>
        <w:rPr>
          <w:rFonts w:hint="eastAsia" w:ascii="宋体" w:hAnsi="宋体" w:eastAsia="宋体" w:cs="宋体"/>
          <w:color w:val="auto"/>
          <w:spacing w:val="41"/>
          <w:kern w:val="0"/>
          <w:szCs w:val="21"/>
          <w:highlight w:val="none"/>
        </w:rPr>
        <w:t xml:space="preserve"> </w:t>
      </w:r>
      <w:r>
        <w:rPr>
          <w:rFonts w:hint="eastAsia" w:ascii="宋体" w:hAnsi="宋体" w:eastAsia="宋体" w:cs="宋体"/>
          <w:color w:val="auto"/>
          <w:kern w:val="0"/>
          <w:szCs w:val="21"/>
          <w:highlight w:val="none"/>
        </w:rPr>
        <w:t>试验设备</w:t>
      </w:r>
    </w:p>
    <w:p w14:paraId="37312A62">
      <w:pPr>
        <w:pStyle w:val="24"/>
        <w:keepNext w:val="0"/>
        <w:keepLines w:val="0"/>
        <w:pageBreakBefore w:val="0"/>
        <w:widowControl w:val="0"/>
        <w:tabs>
          <w:tab w:val="left" w:pos="6234"/>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施工现场需要配置的试验场所：</w:t>
      </w:r>
      <w:r>
        <w:rPr>
          <w:rFonts w:hint="eastAsia" w:ascii="宋体" w:hAnsi="宋体" w:eastAsia="宋体" w:cs="宋体"/>
          <w:color w:val="auto"/>
          <w:spacing w:val="-1"/>
          <w:kern w:val="0"/>
          <w:szCs w:val="21"/>
          <w:highlight w:val="none"/>
          <w:u w:val="single" w:color="000000"/>
        </w:rPr>
        <w:t xml:space="preserve">  /</w:t>
      </w:r>
      <w:r>
        <w:rPr>
          <w:rFonts w:hint="eastAsia" w:ascii="宋体" w:hAnsi="宋体" w:eastAsia="宋体" w:cs="宋体"/>
          <w:color w:val="auto"/>
          <w:spacing w:val="-1"/>
          <w:kern w:val="0"/>
          <w:szCs w:val="21"/>
          <w:highlight w:val="none"/>
          <w:u w:val="single" w:color="000000"/>
        </w:rPr>
        <w:tab/>
      </w:r>
      <w:r>
        <w:rPr>
          <w:rFonts w:hint="eastAsia" w:ascii="宋体" w:hAnsi="宋体" w:eastAsia="宋体" w:cs="宋体"/>
          <w:color w:val="auto"/>
          <w:kern w:val="0"/>
          <w:szCs w:val="21"/>
          <w:highlight w:val="none"/>
        </w:rPr>
        <w:t xml:space="preserve">。 </w:t>
      </w:r>
    </w:p>
    <w:p w14:paraId="000B14C2">
      <w:pPr>
        <w:pStyle w:val="24"/>
        <w:keepNext w:val="0"/>
        <w:keepLines w:val="0"/>
        <w:pageBreakBefore w:val="0"/>
        <w:widowControl w:val="0"/>
        <w:tabs>
          <w:tab w:val="left" w:pos="6234"/>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施工现场需要配备的试验设备：</w:t>
      </w:r>
      <w:r>
        <w:rPr>
          <w:rFonts w:hint="eastAsia" w:ascii="宋体" w:hAnsi="宋体" w:eastAsia="宋体" w:cs="宋体"/>
          <w:color w:val="auto"/>
          <w:spacing w:val="-1"/>
          <w:kern w:val="0"/>
          <w:szCs w:val="21"/>
          <w:highlight w:val="none"/>
          <w:u w:val="single" w:color="000000"/>
        </w:rPr>
        <w:t xml:space="preserve">  /</w:t>
      </w:r>
      <w:r>
        <w:rPr>
          <w:rFonts w:hint="eastAsia" w:ascii="宋体" w:hAnsi="宋体" w:eastAsia="宋体" w:cs="宋体"/>
          <w:color w:val="auto"/>
          <w:spacing w:val="-1"/>
          <w:kern w:val="0"/>
          <w:szCs w:val="21"/>
          <w:highlight w:val="none"/>
          <w:u w:val="single" w:color="000000"/>
        </w:rPr>
        <w:tab/>
      </w:r>
      <w:r>
        <w:rPr>
          <w:rFonts w:hint="eastAsia" w:ascii="宋体" w:hAnsi="宋体" w:eastAsia="宋体" w:cs="宋体"/>
          <w:color w:val="auto"/>
          <w:kern w:val="0"/>
          <w:szCs w:val="21"/>
          <w:highlight w:val="none"/>
        </w:rPr>
        <w:t xml:space="preserve">。 </w:t>
      </w:r>
    </w:p>
    <w:p w14:paraId="43446604">
      <w:pPr>
        <w:pStyle w:val="24"/>
        <w:keepNext w:val="0"/>
        <w:keepLines w:val="0"/>
        <w:pageBreakBefore w:val="0"/>
        <w:widowControl w:val="0"/>
        <w:tabs>
          <w:tab w:val="left" w:pos="6234"/>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施工现场需要具备的其他试验条件：</w:t>
      </w:r>
      <w:r>
        <w:rPr>
          <w:rFonts w:hint="eastAsia" w:ascii="宋体" w:hAnsi="宋体" w:eastAsia="宋体" w:cs="宋体"/>
          <w:color w:val="auto"/>
          <w:spacing w:val="-1"/>
          <w:kern w:val="0"/>
          <w:szCs w:val="21"/>
          <w:highlight w:val="none"/>
          <w:u w:val="single" w:color="000000"/>
        </w:rPr>
        <w:t xml:space="preserve"> /</w:t>
      </w:r>
      <w:r>
        <w:rPr>
          <w:rFonts w:hint="eastAsia" w:ascii="宋体" w:hAnsi="宋体" w:eastAsia="宋体" w:cs="宋体"/>
          <w:color w:val="auto"/>
          <w:spacing w:val="-1"/>
          <w:kern w:val="0"/>
          <w:szCs w:val="21"/>
          <w:highlight w:val="none"/>
          <w:u w:val="single" w:color="000000"/>
        </w:rPr>
        <w:tab/>
      </w:r>
      <w:r>
        <w:rPr>
          <w:rFonts w:hint="eastAsia" w:ascii="宋体" w:hAnsi="宋体" w:eastAsia="宋体" w:cs="宋体"/>
          <w:color w:val="auto"/>
          <w:kern w:val="0"/>
          <w:szCs w:val="21"/>
          <w:highlight w:val="none"/>
        </w:rPr>
        <w:t xml:space="preserve">。 </w:t>
      </w:r>
      <w:bookmarkStart w:id="61" w:name="9.4_现场工艺试验"/>
      <w:bookmarkEnd w:id="61"/>
    </w:p>
    <w:p w14:paraId="7E2F2E8D">
      <w:pPr>
        <w:pStyle w:val="24"/>
        <w:keepNext w:val="0"/>
        <w:keepLines w:val="0"/>
        <w:pageBreakBefore w:val="0"/>
        <w:widowControl w:val="0"/>
        <w:tabs>
          <w:tab w:val="left" w:pos="6234"/>
        </w:tabs>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color w:val="auto"/>
          <w:kern w:val="0"/>
          <w:szCs w:val="21"/>
          <w:highlight w:val="none"/>
        </w:rPr>
      </w:pPr>
      <w:r>
        <w:rPr>
          <w:rFonts w:hint="eastAsia" w:ascii="宋体" w:hAnsi="宋体" w:eastAsia="宋体" w:cs="宋体"/>
          <w:b/>
          <w:color w:val="auto"/>
          <w:spacing w:val="2"/>
          <w:kern w:val="0"/>
          <w:szCs w:val="21"/>
          <w:highlight w:val="none"/>
        </w:rPr>
        <w:t>9.4</w:t>
      </w:r>
      <w:r>
        <w:rPr>
          <w:rFonts w:hint="eastAsia" w:ascii="宋体" w:hAnsi="宋体" w:eastAsia="宋体" w:cs="宋体"/>
          <w:b/>
          <w:color w:val="auto"/>
          <w:spacing w:val="50"/>
          <w:kern w:val="0"/>
          <w:szCs w:val="21"/>
          <w:highlight w:val="none"/>
        </w:rPr>
        <w:t xml:space="preserve"> </w:t>
      </w:r>
      <w:r>
        <w:rPr>
          <w:rFonts w:hint="eastAsia" w:ascii="宋体" w:hAnsi="宋体" w:eastAsia="宋体" w:cs="宋体"/>
          <w:b/>
          <w:color w:val="auto"/>
          <w:spacing w:val="7"/>
          <w:kern w:val="0"/>
          <w:szCs w:val="21"/>
          <w:highlight w:val="none"/>
        </w:rPr>
        <w:t>现场工艺试验</w:t>
      </w:r>
      <w:r>
        <w:rPr>
          <w:rFonts w:hint="eastAsia" w:ascii="宋体" w:hAnsi="宋体" w:eastAsia="宋体" w:cs="宋体"/>
          <w:b/>
          <w:color w:val="auto"/>
          <w:w w:val="99"/>
          <w:kern w:val="0"/>
          <w:szCs w:val="21"/>
          <w:highlight w:val="none"/>
        </w:rPr>
        <w:t xml:space="preserve"> </w:t>
      </w:r>
    </w:p>
    <w:p w14:paraId="272A9DDF">
      <w:pPr>
        <w:pStyle w:val="24"/>
        <w:keepNext w:val="0"/>
        <w:keepLines w:val="0"/>
        <w:pageBreakBefore w:val="0"/>
        <w:widowControl w:val="0"/>
        <w:tabs>
          <w:tab w:val="left" w:pos="6234"/>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现场工艺试验的有关约定：</w:t>
      </w:r>
      <w:r>
        <w:rPr>
          <w:rFonts w:hint="eastAsia" w:ascii="宋体" w:hAnsi="宋体" w:eastAsia="宋体" w:cs="宋体"/>
          <w:color w:val="auto"/>
          <w:spacing w:val="-1"/>
          <w:kern w:val="0"/>
          <w:szCs w:val="21"/>
          <w:highlight w:val="none"/>
          <w:u w:val="single" w:color="000000"/>
        </w:rPr>
        <w:t xml:space="preserve">  </w:t>
      </w:r>
      <w:r>
        <w:rPr>
          <w:rFonts w:hint="eastAsia" w:ascii="宋体" w:hAnsi="宋体" w:eastAsia="宋体" w:cs="宋体"/>
          <w:b/>
          <w:bCs/>
          <w:color w:val="auto"/>
          <w:spacing w:val="-1"/>
          <w:kern w:val="0"/>
          <w:szCs w:val="21"/>
          <w:highlight w:val="none"/>
          <w:u w:val="single" w:color="000000"/>
        </w:rPr>
        <w:t>无</w:t>
      </w:r>
      <w:r>
        <w:rPr>
          <w:rFonts w:hint="eastAsia" w:ascii="宋体" w:hAnsi="宋体" w:eastAsia="宋体" w:cs="宋体"/>
          <w:color w:val="auto"/>
          <w:spacing w:val="-1"/>
          <w:kern w:val="0"/>
          <w:szCs w:val="21"/>
          <w:highlight w:val="none"/>
          <w:u w:val="single" w:color="000000"/>
        </w:rPr>
        <w:tab/>
      </w:r>
      <w:r>
        <w:rPr>
          <w:rFonts w:hint="eastAsia" w:ascii="宋体" w:hAnsi="宋体" w:eastAsia="宋体" w:cs="宋体"/>
          <w:color w:val="auto"/>
          <w:kern w:val="0"/>
          <w:szCs w:val="21"/>
          <w:highlight w:val="none"/>
        </w:rPr>
        <w:t xml:space="preserve">。 </w:t>
      </w:r>
    </w:p>
    <w:p w14:paraId="5BD7E5B1">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50" w:firstLineChars="200"/>
        <w:jc w:val="left"/>
        <w:rPr>
          <w:rFonts w:hint="eastAsia" w:ascii="宋体" w:hAnsi="宋体" w:eastAsia="宋体" w:cs="宋体"/>
          <w:b/>
          <w:color w:val="auto"/>
          <w:spacing w:val="7"/>
          <w:szCs w:val="21"/>
          <w:highlight w:val="none"/>
        </w:rPr>
      </w:pPr>
      <w:bookmarkStart w:id="62" w:name="9.5_检验费用"/>
      <w:bookmarkEnd w:id="62"/>
      <w:r>
        <w:rPr>
          <w:rFonts w:hint="eastAsia" w:ascii="宋体" w:hAnsi="宋体" w:eastAsia="宋体" w:cs="宋体"/>
          <w:b/>
          <w:color w:val="auto"/>
          <w:spacing w:val="7"/>
          <w:kern w:val="0"/>
          <w:szCs w:val="21"/>
          <w:highlight w:val="none"/>
        </w:rPr>
        <w:t>9.5  检验费用</w:t>
      </w:r>
    </w:p>
    <w:p w14:paraId="7B28D0B0">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392" w:firstLineChars="200"/>
        <w:rPr>
          <w:rFonts w:hint="eastAsia" w:ascii="宋体" w:hAnsi="宋体" w:eastAsia="宋体" w:cs="宋体"/>
          <w:color w:val="auto"/>
          <w:kern w:val="0"/>
          <w:szCs w:val="21"/>
          <w:highlight w:val="none"/>
        </w:rPr>
      </w:pPr>
      <w:r>
        <w:rPr>
          <w:rFonts w:hint="eastAsia" w:ascii="宋体" w:hAnsi="宋体" w:eastAsia="宋体" w:cs="宋体"/>
          <w:color w:val="auto"/>
          <w:spacing w:val="-7"/>
          <w:kern w:val="0"/>
          <w:szCs w:val="21"/>
          <w:highlight w:val="none"/>
        </w:rPr>
        <w:t>根据《建设工程质量检测管理办法》（2022年12月29日中华人民共和国住房和城乡建设部令第57号）以及《广西壮族自治区建设工程质量检测管理实施细则》（桂建发〔2025〕5号）规定</w:t>
      </w:r>
      <w:r>
        <w:rPr>
          <w:rFonts w:hint="eastAsia" w:ascii="宋体" w:hAnsi="宋体" w:eastAsia="宋体" w:cs="宋体"/>
          <w:color w:val="auto"/>
          <w:spacing w:val="-2"/>
          <w:kern w:val="0"/>
          <w:szCs w:val="21"/>
          <w:highlight w:val="none"/>
        </w:rPr>
        <w:t>，工程质量检测业务由发包人委托有相应资质</w:t>
      </w:r>
      <w:r>
        <w:rPr>
          <w:rFonts w:hint="eastAsia" w:ascii="宋体" w:hAnsi="宋体" w:eastAsia="宋体" w:cs="宋体"/>
          <w:color w:val="auto"/>
          <w:spacing w:val="-96"/>
          <w:kern w:val="0"/>
          <w:szCs w:val="21"/>
          <w:highlight w:val="none"/>
        </w:rPr>
        <w:t xml:space="preserve"> </w:t>
      </w:r>
      <w:r>
        <w:rPr>
          <w:rFonts w:hint="eastAsia" w:ascii="宋体" w:hAnsi="宋体" w:eastAsia="宋体" w:cs="宋体"/>
          <w:color w:val="auto"/>
          <w:kern w:val="0"/>
          <w:szCs w:val="21"/>
          <w:highlight w:val="none"/>
        </w:rPr>
        <w:t>的检测机构检测。费用从发包人的项目建设经费中支出并直接支付给检测机构，不计入合同价</w:t>
      </w:r>
      <w:r>
        <w:rPr>
          <w:rFonts w:hint="eastAsia" w:ascii="宋体" w:hAnsi="宋体" w:eastAsia="宋体" w:cs="宋体"/>
          <w:color w:val="auto"/>
          <w:spacing w:val="-60"/>
          <w:kern w:val="0"/>
          <w:szCs w:val="21"/>
          <w:highlight w:val="none"/>
        </w:rPr>
        <w:t xml:space="preserve"> </w:t>
      </w:r>
      <w:r>
        <w:rPr>
          <w:rFonts w:hint="eastAsia" w:ascii="宋体" w:hAnsi="宋体" w:eastAsia="宋体" w:cs="宋体"/>
          <w:color w:val="auto"/>
          <w:kern w:val="0"/>
          <w:szCs w:val="21"/>
          <w:highlight w:val="none"/>
        </w:rPr>
        <w:t>款内。</w:t>
      </w:r>
    </w:p>
    <w:p w14:paraId="45948E2E">
      <w:pPr>
        <w:keepNext w:val="0"/>
        <w:keepLines w:val="0"/>
        <w:pageBreakBefore w:val="0"/>
        <w:widowControl/>
        <w:kinsoku w:val="0"/>
        <w:wordWrap/>
        <w:overflowPunct/>
        <w:topLinePunct w:val="0"/>
        <w:autoSpaceDE w:val="0"/>
        <w:autoSpaceDN w:val="0"/>
        <w:bidi w:val="0"/>
        <w:adjustRightInd w:val="0"/>
        <w:snapToGrid w:val="0"/>
        <w:spacing w:line="360" w:lineRule="auto"/>
        <w:ind w:firstLine="442" w:firstLineChars="200"/>
        <w:textAlignment w:val="baseline"/>
        <w:rPr>
          <w:rFonts w:hint="eastAsia" w:ascii="宋体" w:hAnsi="宋体" w:eastAsia="宋体" w:cs="宋体"/>
          <w:b/>
          <w:color w:val="auto"/>
          <w:kern w:val="0"/>
          <w:szCs w:val="21"/>
          <w:highlight w:val="none"/>
        </w:rPr>
      </w:pPr>
      <w:bookmarkStart w:id="63" w:name="10._变更"/>
      <w:bookmarkEnd w:id="63"/>
      <w:bookmarkStart w:id="64" w:name="_Toc27263"/>
      <w:bookmarkStart w:id="65" w:name="_Toc17324"/>
      <w:r>
        <w:rPr>
          <w:rFonts w:hint="eastAsia" w:ascii="宋体" w:hAnsi="宋体" w:eastAsia="宋体" w:cs="宋体"/>
          <w:b/>
          <w:color w:val="auto"/>
          <w:kern w:val="0"/>
          <w:szCs w:val="21"/>
          <w:highlight w:val="none"/>
        </w:rPr>
        <w:t>10.  变更</w:t>
      </w:r>
      <w:bookmarkEnd w:id="64"/>
      <w:bookmarkEnd w:id="65"/>
    </w:p>
    <w:p w14:paraId="4F1F604A">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color w:val="auto"/>
          <w:szCs w:val="21"/>
          <w:highlight w:val="none"/>
        </w:rPr>
      </w:pPr>
      <w:bookmarkStart w:id="66" w:name="10.1变更的范围"/>
      <w:bookmarkEnd w:id="66"/>
      <w:r>
        <w:rPr>
          <w:rFonts w:hint="eastAsia" w:ascii="宋体" w:hAnsi="宋体" w:eastAsia="宋体" w:cs="宋体"/>
          <w:b/>
          <w:color w:val="auto"/>
          <w:kern w:val="0"/>
          <w:szCs w:val="21"/>
          <w:highlight w:val="none"/>
        </w:rPr>
        <w:t>10.1</w:t>
      </w:r>
      <w:r>
        <w:rPr>
          <w:rFonts w:hint="eastAsia" w:ascii="宋体" w:hAnsi="宋体" w:eastAsia="宋体" w:cs="宋体"/>
          <w:b/>
          <w:color w:val="auto"/>
          <w:spacing w:val="10"/>
          <w:kern w:val="0"/>
          <w:szCs w:val="21"/>
          <w:highlight w:val="none"/>
        </w:rPr>
        <w:t xml:space="preserve"> </w:t>
      </w:r>
      <w:r>
        <w:rPr>
          <w:rFonts w:hint="eastAsia" w:ascii="宋体" w:hAnsi="宋体" w:eastAsia="宋体" w:cs="宋体"/>
          <w:b/>
          <w:color w:val="auto"/>
          <w:spacing w:val="6"/>
          <w:kern w:val="0"/>
          <w:szCs w:val="21"/>
          <w:highlight w:val="none"/>
        </w:rPr>
        <w:t>变更的范围</w:t>
      </w:r>
    </w:p>
    <w:p w14:paraId="5DA45925">
      <w:pPr>
        <w:pStyle w:val="24"/>
        <w:keepNext w:val="0"/>
        <w:keepLines w:val="0"/>
        <w:pageBreakBefore w:val="0"/>
        <w:widowControl w:val="0"/>
        <w:tabs>
          <w:tab w:val="left" w:pos="6234"/>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关于变更的范围的约定：</w:t>
      </w:r>
      <w:r>
        <w:rPr>
          <w:rFonts w:hint="eastAsia" w:ascii="宋体" w:hAnsi="宋体" w:eastAsia="宋体" w:cs="宋体"/>
          <w:b/>
          <w:bCs/>
          <w:color w:val="auto"/>
          <w:kern w:val="0"/>
          <w:szCs w:val="21"/>
          <w:highlight w:val="none"/>
          <w:u w:val="single"/>
        </w:rPr>
        <w:t>按通用合同条款执行</w:t>
      </w:r>
      <w:r>
        <w:rPr>
          <w:rFonts w:hint="eastAsia" w:ascii="宋体" w:hAnsi="宋体" w:eastAsia="宋体" w:cs="宋体"/>
          <w:color w:val="auto"/>
          <w:kern w:val="0"/>
          <w:szCs w:val="21"/>
          <w:highlight w:val="none"/>
        </w:rPr>
        <w:t>。</w:t>
      </w:r>
    </w:p>
    <w:p w14:paraId="6B8F83AA">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b/>
          <w:color w:val="auto"/>
          <w:spacing w:val="2"/>
          <w:kern w:val="0"/>
          <w:szCs w:val="21"/>
          <w:highlight w:val="none"/>
        </w:rPr>
      </w:pPr>
      <w:bookmarkStart w:id="67" w:name="10.3_变更程序"/>
      <w:bookmarkEnd w:id="67"/>
      <w:r>
        <w:rPr>
          <w:rFonts w:hint="eastAsia" w:ascii="宋体" w:hAnsi="宋体" w:eastAsia="宋体" w:cs="宋体"/>
          <w:b/>
          <w:color w:val="auto"/>
          <w:spacing w:val="2"/>
          <w:kern w:val="0"/>
          <w:szCs w:val="21"/>
          <w:highlight w:val="none"/>
        </w:rPr>
        <w:t>10.3  变更程序</w:t>
      </w:r>
    </w:p>
    <w:p w14:paraId="0BB29364">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10.3.1国有投资项目：</w:t>
      </w:r>
    </w:p>
    <w:p w14:paraId="56056CFA">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⑴设计变更和工程签证，按各市政府或相关部门的规定办理。属不可抗力（自然灾害、突发事件等）造成变更的，按特事特办原则予以办理。</w:t>
      </w:r>
    </w:p>
    <w:p w14:paraId="2FBA95AA">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⑵建设单位在实施项目过程中，若发生单价变动，由发包人、承包人、监理或造价咨询等单位共同商定并签字确认。</w:t>
      </w:r>
    </w:p>
    <w:p w14:paraId="326109F6">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⑶ 当合同规定的合同价款调整情况发生后，承包人未在规定时间内通知发包人，或者未在规定时间内提出调整报告，发包人可以根据有关资料，决定是否调整和调整的金额，并书面通知承包人。</w:t>
      </w:r>
    </w:p>
    <w:p w14:paraId="26D54722">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10.3.2 非国有投资项目：</w:t>
      </w:r>
      <w:r>
        <w:rPr>
          <w:rFonts w:hint="eastAsia" w:ascii="宋体" w:hAnsi="宋体" w:eastAsia="宋体" w:cs="宋体"/>
          <w:b/>
          <w:bCs/>
          <w:color w:val="auto"/>
          <w:szCs w:val="21"/>
          <w:highlight w:val="none"/>
          <w:u w:val="single"/>
        </w:rPr>
        <w:t xml:space="preserve">   /    </w:t>
      </w:r>
    </w:p>
    <w:p w14:paraId="6D3DDEA5">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b/>
          <w:color w:val="auto"/>
          <w:spacing w:val="2"/>
          <w:kern w:val="0"/>
          <w:szCs w:val="21"/>
          <w:highlight w:val="none"/>
        </w:rPr>
      </w:pPr>
      <w:bookmarkStart w:id="68" w:name="10.4_变更估价"/>
      <w:bookmarkEnd w:id="68"/>
      <w:r>
        <w:rPr>
          <w:rFonts w:hint="eastAsia" w:ascii="宋体" w:hAnsi="宋体" w:eastAsia="宋体" w:cs="宋体"/>
          <w:b/>
          <w:color w:val="auto"/>
          <w:spacing w:val="2"/>
          <w:kern w:val="0"/>
          <w:szCs w:val="21"/>
          <w:highlight w:val="none"/>
        </w:rPr>
        <w:t>10.4  变更估价</w:t>
      </w:r>
    </w:p>
    <w:p w14:paraId="276C3504">
      <w:pPr>
        <w:pStyle w:val="24"/>
        <w:keepNext w:val="0"/>
        <w:keepLines w:val="0"/>
        <w:pageBreakBefore w:val="0"/>
        <w:widowControl w:val="0"/>
        <w:tabs>
          <w:tab w:val="left" w:pos="2705"/>
          <w:tab w:val="left" w:pos="3756"/>
        </w:tabs>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szCs w:val="21"/>
          <w:highlight w:val="none"/>
        </w:rPr>
      </w:pPr>
      <w:r>
        <w:rPr>
          <w:rFonts w:hint="eastAsia" w:ascii="宋体" w:hAnsi="宋体" w:eastAsia="宋体" w:cs="宋体"/>
          <w:color w:val="auto"/>
          <w:spacing w:val="2"/>
          <w:kern w:val="0"/>
          <w:szCs w:val="21"/>
          <w:highlight w:val="none"/>
        </w:rPr>
        <w:t>10.4.1</w:t>
      </w:r>
      <w:r>
        <w:rPr>
          <w:rFonts w:hint="eastAsia" w:ascii="宋体" w:hAnsi="宋体" w:eastAsia="宋体" w:cs="宋体"/>
          <w:color w:val="auto"/>
          <w:spacing w:val="37"/>
          <w:kern w:val="0"/>
          <w:szCs w:val="21"/>
          <w:highlight w:val="none"/>
        </w:rPr>
        <w:t xml:space="preserve"> </w:t>
      </w:r>
      <w:r>
        <w:rPr>
          <w:rFonts w:hint="eastAsia" w:ascii="宋体" w:hAnsi="宋体" w:eastAsia="宋体" w:cs="宋体"/>
          <w:color w:val="auto"/>
          <w:kern w:val="0"/>
          <w:szCs w:val="21"/>
          <w:highlight w:val="none"/>
        </w:rPr>
        <w:t xml:space="preserve">变更估价原则 </w:t>
      </w:r>
    </w:p>
    <w:p w14:paraId="43A6E27A">
      <w:pPr>
        <w:pStyle w:val="24"/>
        <w:keepNext w:val="0"/>
        <w:keepLines w:val="0"/>
        <w:pageBreakBefore w:val="0"/>
        <w:widowControl w:val="0"/>
        <w:tabs>
          <w:tab w:val="left" w:pos="2705"/>
          <w:tab w:val="left" w:pos="3756"/>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strike/>
          <w:color w:val="auto"/>
          <w:kern w:val="0"/>
          <w:szCs w:val="21"/>
          <w:highlight w:val="none"/>
        </w:rPr>
      </w:pPr>
      <w:r>
        <w:rPr>
          <w:rFonts w:hint="eastAsia" w:ascii="宋体" w:hAnsi="宋体" w:eastAsia="宋体" w:cs="宋体"/>
          <w:color w:val="auto"/>
          <w:spacing w:val="-1"/>
          <w:kern w:val="0"/>
          <w:szCs w:val="21"/>
          <w:highlight w:val="none"/>
        </w:rPr>
        <w:t>关于变更估价的约定:</w:t>
      </w:r>
      <w:r>
        <w:rPr>
          <w:rFonts w:hint="eastAsia" w:ascii="宋体" w:hAnsi="宋体" w:eastAsia="宋体" w:cs="宋体"/>
          <w:color w:val="auto"/>
          <w:kern w:val="0"/>
          <w:szCs w:val="21"/>
          <w:highlight w:val="none"/>
        </w:rPr>
        <w:t xml:space="preserve"> </w:t>
      </w:r>
      <w:bookmarkStart w:id="69" w:name="10.5承包人的合理化建议"/>
      <w:bookmarkEnd w:id="69"/>
    </w:p>
    <w:p w14:paraId="3CA6BD52">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 </w:t>
      </w:r>
      <w:r>
        <w:rPr>
          <w:rFonts w:hint="eastAsia" w:ascii="宋体" w:hAnsi="宋体" w:eastAsia="宋体" w:cs="宋体"/>
          <w:b/>
          <w:bCs/>
          <w:color w:val="auto"/>
          <w:szCs w:val="21"/>
          <w:highlight w:val="none"/>
          <w:u w:val="single"/>
        </w:rPr>
        <w:t>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u w:val="single"/>
        </w:rPr>
        <w:t>乘以下浮系数，下浮系数=中标价/招标控制价，</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u w:val="single"/>
        </w:rPr>
        <w:t>不乘下浮系数）计算，其中：材料设备价格按施工期间的《南宁市建设工程造价信息》相应信息价的加权平均值计算，《南宁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r>
        <w:rPr>
          <w:rFonts w:hint="eastAsia" w:ascii="宋体" w:hAnsi="宋体" w:eastAsia="宋体" w:cs="宋体"/>
          <w:b/>
          <w:bCs/>
          <w:color w:val="auto"/>
          <w:szCs w:val="21"/>
          <w:highlight w:val="none"/>
        </w:rPr>
        <w:t>。以上约定同时适用于招标工程量清单缺项以及工程量清单项目特征与图纸不符时的价款确定。</w:t>
      </w:r>
    </w:p>
    <w:p w14:paraId="7DCA7749">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u w:val="single"/>
        </w:rPr>
        <w:t>工程变更导致实际完成的变更工程量与已标价清单或预算书中列明的该项目工程量有偏差时，其综合单价不予调整。</w:t>
      </w:r>
    </w:p>
    <w:p w14:paraId="0B7FADF6">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b/>
          <w:color w:val="auto"/>
          <w:spacing w:val="2"/>
          <w:kern w:val="0"/>
          <w:szCs w:val="21"/>
          <w:highlight w:val="none"/>
        </w:rPr>
      </w:pPr>
      <w:r>
        <w:rPr>
          <w:rFonts w:hint="eastAsia" w:ascii="宋体" w:hAnsi="宋体" w:eastAsia="宋体" w:cs="宋体"/>
          <w:b/>
          <w:color w:val="auto"/>
          <w:spacing w:val="2"/>
          <w:kern w:val="0"/>
          <w:szCs w:val="21"/>
          <w:highlight w:val="none"/>
        </w:rPr>
        <w:t>10.5 承包人的合理化建议</w:t>
      </w:r>
    </w:p>
    <w:p w14:paraId="0DBBE04A">
      <w:pPr>
        <w:pStyle w:val="24"/>
        <w:keepNext w:val="0"/>
        <w:keepLines w:val="0"/>
        <w:pageBreakBefore w:val="0"/>
        <w:widowControl w:val="0"/>
        <w:tabs>
          <w:tab w:val="left" w:pos="6234"/>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监理人审查承包人合理化建议的期限：</w:t>
      </w:r>
      <w:r>
        <w:rPr>
          <w:rFonts w:hint="eastAsia" w:ascii="宋体" w:hAnsi="宋体" w:eastAsia="宋体" w:cs="宋体"/>
          <w:color w:val="auto"/>
          <w:kern w:val="0"/>
          <w:szCs w:val="21"/>
          <w:highlight w:val="none"/>
        </w:rPr>
        <w:t xml:space="preserve"> </w:t>
      </w:r>
      <w:r>
        <w:rPr>
          <w:rFonts w:hint="eastAsia" w:ascii="宋体" w:hAnsi="宋体" w:eastAsia="宋体" w:cs="宋体"/>
          <w:b/>
          <w:bCs/>
          <w:color w:val="auto"/>
          <w:kern w:val="0"/>
          <w:szCs w:val="21"/>
          <w:highlight w:val="none"/>
          <w:u w:val="single"/>
        </w:rPr>
        <w:t>2个工作日内</w:t>
      </w:r>
      <w:r>
        <w:rPr>
          <w:rFonts w:hint="eastAsia" w:ascii="宋体" w:hAnsi="宋体" w:eastAsia="宋体" w:cs="宋体"/>
          <w:b/>
          <w:bCs/>
          <w:color w:val="auto"/>
          <w:kern w:val="0"/>
          <w:szCs w:val="21"/>
          <w:highlight w:val="none"/>
        </w:rPr>
        <w:t>。</w:t>
      </w:r>
    </w:p>
    <w:p w14:paraId="53A09FF9">
      <w:pPr>
        <w:pStyle w:val="24"/>
        <w:keepNext w:val="0"/>
        <w:keepLines w:val="0"/>
        <w:pageBreakBefore w:val="0"/>
        <w:widowControl w:val="0"/>
        <w:tabs>
          <w:tab w:val="left" w:pos="6234"/>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发包人审批承包人合理化建议的期限：</w:t>
      </w:r>
      <w:r>
        <w:rPr>
          <w:rFonts w:hint="eastAsia" w:ascii="宋体" w:hAnsi="宋体" w:eastAsia="宋体" w:cs="宋体"/>
          <w:color w:val="auto"/>
          <w:kern w:val="0"/>
          <w:szCs w:val="21"/>
          <w:highlight w:val="none"/>
        </w:rPr>
        <w:t xml:space="preserve"> </w:t>
      </w:r>
      <w:r>
        <w:rPr>
          <w:rFonts w:hint="eastAsia" w:ascii="宋体" w:hAnsi="宋体" w:eastAsia="宋体" w:cs="宋体"/>
          <w:b/>
          <w:bCs/>
          <w:color w:val="auto"/>
          <w:kern w:val="0"/>
          <w:szCs w:val="21"/>
          <w:highlight w:val="none"/>
          <w:u w:val="single"/>
        </w:rPr>
        <w:t xml:space="preserve">5个工作日内 </w:t>
      </w:r>
      <w:r>
        <w:rPr>
          <w:rFonts w:hint="eastAsia" w:ascii="宋体" w:hAnsi="宋体" w:eastAsia="宋体" w:cs="宋体"/>
          <w:b/>
          <w:bCs/>
          <w:color w:val="auto"/>
          <w:kern w:val="0"/>
          <w:szCs w:val="21"/>
          <w:highlight w:val="none"/>
        </w:rPr>
        <w:t>。</w:t>
      </w:r>
    </w:p>
    <w:p w14:paraId="742BEB0C">
      <w:pPr>
        <w:pStyle w:val="24"/>
        <w:keepNext w:val="0"/>
        <w:keepLines w:val="0"/>
        <w:pageBreakBefore w:val="0"/>
        <w:widowControl w:val="0"/>
        <w:tabs>
          <w:tab w:val="left" w:pos="6234"/>
        </w:tabs>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承包人提出的合理化建议降低了合同价格或者提高了工程经济效益的奖励的方法和金额为：</w:t>
      </w:r>
      <w:r>
        <w:rPr>
          <w:rFonts w:hint="eastAsia" w:ascii="宋体" w:hAnsi="宋体" w:eastAsia="宋体" w:cs="宋体"/>
          <w:color w:val="auto"/>
          <w:kern w:val="0"/>
          <w:szCs w:val="21"/>
          <w:highlight w:val="none"/>
          <w:u w:val="single" w:color="000000"/>
        </w:rPr>
        <w:t xml:space="preserve"> /</w:t>
      </w:r>
      <w:r>
        <w:rPr>
          <w:rFonts w:hint="eastAsia" w:ascii="宋体" w:hAnsi="宋体" w:eastAsia="宋体" w:cs="宋体"/>
          <w:color w:val="auto"/>
          <w:kern w:val="0"/>
          <w:szCs w:val="21"/>
          <w:highlight w:val="none"/>
        </w:rPr>
        <w:t>。</w:t>
      </w:r>
    </w:p>
    <w:p w14:paraId="26EADD90">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b/>
          <w:color w:val="auto"/>
          <w:spacing w:val="2"/>
          <w:kern w:val="0"/>
          <w:szCs w:val="21"/>
          <w:highlight w:val="none"/>
        </w:rPr>
      </w:pPr>
      <w:bookmarkStart w:id="70" w:name="10.7_暂估价"/>
      <w:bookmarkEnd w:id="70"/>
      <w:r>
        <w:rPr>
          <w:rFonts w:hint="eastAsia" w:ascii="宋体" w:hAnsi="宋体" w:eastAsia="宋体" w:cs="宋体"/>
          <w:b/>
          <w:color w:val="auto"/>
          <w:spacing w:val="2"/>
          <w:kern w:val="0"/>
          <w:szCs w:val="21"/>
          <w:highlight w:val="none"/>
        </w:rPr>
        <w:t>10.7  暂估价</w:t>
      </w:r>
    </w:p>
    <w:p w14:paraId="5DB2AC46">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暂估价材料和工程设备的明细详见附件</w:t>
      </w:r>
      <w:r>
        <w:rPr>
          <w:rFonts w:hint="eastAsia" w:ascii="宋体" w:hAnsi="宋体" w:eastAsia="宋体" w:cs="宋体"/>
          <w:color w:val="auto"/>
          <w:spacing w:val="-51"/>
          <w:kern w:val="0"/>
          <w:szCs w:val="21"/>
          <w:highlight w:val="none"/>
        </w:rPr>
        <w:t xml:space="preserve"> </w:t>
      </w:r>
      <w:r>
        <w:rPr>
          <w:rFonts w:hint="eastAsia" w:ascii="宋体" w:hAnsi="宋体" w:eastAsia="宋体" w:cs="宋体"/>
          <w:color w:val="auto"/>
          <w:kern w:val="0"/>
          <w:szCs w:val="21"/>
          <w:highlight w:val="none"/>
        </w:rPr>
        <w:t xml:space="preserve">11：《暂估价一览表》。 </w:t>
      </w:r>
    </w:p>
    <w:p w14:paraId="3A5771CE">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10.7.1</w:t>
      </w:r>
      <w:r>
        <w:rPr>
          <w:rFonts w:hint="eastAsia" w:ascii="宋体" w:hAnsi="宋体" w:eastAsia="宋体" w:cs="宋体"/>
          <w:color w:val="auto"/>
          <w:spacing w:val="39"/>
          <w:kern w:val="0"/>
          <w:szCs w:val="21"/>
          <w:highlight w:val="none"/>
        </w:rPr>
        <w:t xml:space="preserve"> </w:t>
      </w:r>
      <w:r>
        <w:rPr>
          <w:rFonts w:hint="eastAsia" w:ascii="宋体" w:hAnsi="宋体" w:eastAsia="宋体" w:cs="宋体"/>
          <w:color w:val="auto"/>
          <w:kern w:val="0"/>
          <w:szCs w:val="21"/>
          <w:highlight w:val="none"/>
        </w:rPr>
        <w:t>依法必须招标的暂估价项目</w:t>
      </w:r>
    </w:p>
    <w:p w14:paraId="39AC35E6">
      <w:pPr>
        <w:pStyle w:val="24"/>
        <w:keepNext w:val="0"/>
        <w:keepLines w:val="0"/>
        <w:pageBreakBefore w:val="0"/>
        <w:widowControl w:val="0"/>
        <w:tabs>
          <w:tab w:val="left" w:pos="5814"/>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对于依法必须招标的暂估价项目的确认和批准采取</w:t>
      </w:r>
      <w:r>
        <w:rPr>
          <w:rFonts w:hint="eastAsia" w:ascii="宋体" w:hAnsi="宋体" w:eastAsia="宋体" w:cs="宋体"/>
          <w:color w:val="auto"/>
          <w:kern w:val="0"/>
          <w:szCs w:val="21"/>
          <w:highlight w:val="none"/>
        </w:rPr>
        <w:t>第</w:t>
      </w:r>
      <w:r>
        <w:rPr>
          <w:rFonts w:hint="eastAsia" w:ascii="宋体" w:hAnsi="宋体" w:eastAsia="宋体" w:cs="宋体"/>
          <w:color w:val="auto"/>
          <w:kern w:val="0"/>
          <w:szCs w:val="21"/>
          <w:highlight w:val="none"/>
          <w:u w:val="single"/>
        </w:rPr>
        <w:t>通用条款10.7.1条的第1种</w:t>
      </w:r>
      <w:r>
        <w:rPr>
          <w:rFonts w:hint="eastAsia" w:ascii="宋体" w:hAnsi="宋体" w:eastAsia="宋体" w:cs="宋体"/>
          <w:color w:val="auto"/>
          <w:kern w:val="0"/>
          <w:szCs w:val="21"/>
          <w:highlight w:val="none"/>
        </w:rPr>
        <w:t>方式确定。</w:t>
      </w:r>
    </w:p>
    <w:p w14:paraId="4FE6A795">
      <w:pPr>
        <w:pStyle w:val="24"/>
        <w:keepNext w:val="0"/>
        <w:keepLines w:val="0"/>
        <w:pageBreakBefore w:val="0"/>
        <w:widowControl w:val="0"/>
        <w:tabs>
          <w:tab w:val="left" w:pos="6324"/>
        </w:tabs>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10.7.2</w:t>
      </w:r>
      <w:r>
        <w:rPr>
          <w:rFonts w:hint="eastAsia" w:ascii="宋体" w:hAnsi="宋体" w:eastAsia="宋体" w:cs="宋体"/>
          <w:color w:val="auto"/>
          <w:spacing w:val="37"/>
          <w:kern w:val="0"/>
          <w:szCs w:val="21"/>
          <w:highlight w:val="none"/>
        </w:rPr>
        <w:t xml:space="preserve"> </w:t>
      </w:r>
      <w:r>
        <w:rPr>
          <w:rFonts w:hint="eastAsia" w:ascii="宋体" w:hAnsi="宋体" w:eastAsia="宋体" w:cs="宋体"/>
          <w:color w:val="auto"/>
          <w:kern w:val="0"/>
          <w:szCs w:val="21"/>
          <w:highlight w:val="none"/>
        </w:rPr>
        <w:t xml:space="preserve">不属于依法必须招标的暂估价项目 </w:t>
      </w:r>
    </w:p>
    <w:p w14:paraId="027EFF83">
      <w:pPr>
        <w:pStyle w:val="24"/>
        <w:keepNext w:val="0"/>
        <w:keepLines w:val="0"/>
        <w:pageBreakBefore w:val="0"/>
        <w:widowControl w:val="0"/>
        <w:tabs>
          <w:tab w:val="left" w:pos="6324"/>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对于不属于依法必须招标的暂估价项目的确认和批准采取第</w:t>
      </w:r>
      <w:r>
        <w:rPr>
          <w:rFonts w:hint="eastAsia" w:ascii="宋体" w:hAnsi="宋体" w:eastAsia="宋体" w:cs="宋体"/>
          <w:color w:val="auto"/>
          <w:spacing w:val="-1"/>
          <w:kern w:val="0"/>
          <w:szCs w:val="21"/>
          <w:highlight w:val="none"/>
          <w:u w:val="single" w:color="000000"/>
        </w:rPr>
        <w:t xml:space="preserve"> /</w:t>
      </w:r>
      <w:r>
        <w:rPr>
          <w:rFonts w:hint="eastAsia" w:ascii="宋体" w:hAnsi="宋体" w:eastAsia="宋体" w:cs="宋体"/>
          <w:color w:val="auto"/>
          <w:spacing w:val="-1"/>
          <w:kern w:val="0"/>
          <w:szCs w:val="21"/>
          <w:highlight w:val="none"/>
          <w:u w:val="single" w:color="000000"/>
        </w:rPr>
        <w:tab/>
      </w:r>
      <w:r>
        <w:rPr>
          <w:rFonts w:hint="eastAsia" w:ascii="宋体" w:hAnsi="宋体" w:eastAsia="宋体" w:cs="宋体"/>
          <w:color w:val="auto"/>
          <w:kern w:val="0"/>
          <w:szCs w:val="21"/>
          <w:highlight w:val="none"/>
        </w:rPr>
        <w:t xml:space="preserve">种方式确定。 </w:t>
      </w:r>
    </w:p>
    <w:p w14:paraId="7BCCE807">
      <w:pPr>
        <w:pStyle w:val="24"/>
        <w:keepNext w:val="0"/>
        <w:keepLines w:val="0"/>
        <w:pageBreakBefore w:val="0"/>
        <w:widowControl w:val="0"/>
        <w:tabs>
          <w:tab w:val="left" w:pos="6324"/>
        </w:tabs>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第</w:t>
      </w:r>
      <w:r>
        <w:rPr>
          <w:rFonts w:hint="eastAsia" w:ascii="宋体" w:hAnsi="宋体" w:eastAsia="宋体" w:cs="宋体"/>
          <w:color w:val="auto"/>
          <w:spacing w:val="-45"/>
          <w:kern w:val="0"/>
          <w:szCs w:val="21"/>
          <w:highlight w:val="none"/>
        </w:rPr>
        <w:t xml:space="preserve"> </w:t>
      </w:r>
      <w:r>
        <w:rPr>
          <w:rFonts w:hint="eastAsia" w:ascii="宋体" w:hAnsi="宋体" w:eastAsia="宋体" w:cs="宋体"/>
          <w:color w:val="auto"/>
          <w:kern w:val="0"/>
          <w:szCs w:val="21"/>
          <w:highlight w:val="none"/>
        </w:rPr>
        <w:t>3</w:t>
      </w:r>
      <w:r>
        <w:rPr>
          <w:rFonts w:hint="eastAsia" w:ascii="宋体" w:hAnsi="宋体" w:eastAsia="宋体" w:cs="宋体"/>
          <w:color w:val="auto"/>
          <w:spacing w:val="7"/>
          <w:kern w:val="0"/>
          <w:szCs w:val="21"/>
          <w:highlight w:val="none"/>
        </w:rPr>
        <w:t xml:space="preserve"> </w:t>
      </w:r>
      <w:r>
        <w:rPr>
          <w:rFonts w:hint="eastAsia" w:ascii="宋体" w:hAnsi="宋体" w:eastAsia="宋体" w:cs="宋体"/>
          <w:color w:val="auto"/>
          <w:kern w:val="0"/>
          <w:szCs w:val="21"/>
          <w:highlight w:val="none"/>
        </w:rPr>
        <w:t xml:space="preserve">种方式：承包人直接实施的暂估价项目 </w:t>
      </w:r>
    </w:p>
    <w:p w14:paraId="6A9DE3A2">
      <w:pPr>
        <w:pStyle w:val="24"/>
        <w:keepNext w:val="0"/>
        <w:keepLines w:val="0"/>
        <w:pageBreakBefore w:val="0"/>
        <w:widowControl w:val="0"/>
        <w:tabs>
          <w:tab w:val="left" w:pos="6324"/>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承包人直接实施的暂估价项目的约定：</w:t>
      </w:r>
      <w:r>
        <w:rPr>
          <w:rFonts w:hint="eastAsia" w:ascii="宋体" w:hAnsi="宋体" w:eastAsia="宋体" w:cs="宋体"/>
          <w:color w:val="auto"/>
          <w:spacing w:val="-1"/>
          <w:kern w:val="0"/>
          <w:szCs w:val="21"/>
          <w:highlight w:val="none"/>
          <w:u w:val="single" w:color="000000"/>
        </w:rPr>
        <w:t xml:space="preserve"> /</w:t>
      </w:r>
      <w:r>
        <w:rPr>
          <w:rFonts w:hint="eastAsia" w:ascii="宋体" w:hAnsi="宋体" w:eastAsia="宋体" w:cs="宋体"/>
          <w:color w:val="auto"/>
          <w:spacing w:val="-1"/>
          <w:kern w:val="0"/>
          <w:szCs w:val="21"/>
          <w:highlight w:val="none"/>
          <w:u w:val="single" w:color="000000"/>
        </w:rPr>
        <w:tab/>
      </w:r>
      <w:r>
        <w:rPr>
          <w:rFonts w:hint="eastAsia" w:ascii="宋体" w:hAnsi="宋体" w:eastAsia="宋体" w:cs="宋体"/>
          <w:color w:val="auto"/>
          <w:kern w:val="0"/>
          <w:szCs w:val="21"/>
          <w:highlight w:val="none"/>
        </w:rPr>
        <w:t>。</w:t>
      </w:r>
    </w:p>
    <w:p w14:paraId="3636BFB7">
      <w:pPr>
        <w:pStyle w:val="24"/>
        <w:keepNext w:val="0"/>
        <w:keepLines w:val="0"/>
        <w:pageBreakBefore w:val="0"/>
        <w:widowControl w:val="0"/>
        <w:tabs>
          <w:tab w:val="left" w:pos="6324"/>
        </w:tabs>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注：安全生产责任保险费按分部分项工程费及措施项目费（含单价及总价措施项目费）为计算基数乘以</w:t>
      </w:r>
      <w:r>
        <w:rPr>
          <w:rFonts w:hint="eastAsia" w:ascii="宋体" w:hAnsi="宋体" w:eastAsia="宋体" w:cs="宋体"/>
          <w:color w:val="auto"/>
          <w:kern w:val="0"/>
          <w:szCs w:val="21"/>
          <w:highlight w:val="none"/>
          <w:u w:val="single"/>
        </w:rPr>
        <w:t xml:space="preserve"> 0.2%</w:t>
      </w:r>
      <w:r>
        <w:rPr>
          <w:rFonts w:hint="eastAsia" w:ascii="宋体" w:hAnsi="宋体" w:eastAsia="宋体" w:cs="宋体"/>
          <w:color w:val="auto"/>
          <w:kern w:val="0"/>
          <w:szCs w:val="21"/>
          <w:highlight w:val="none"/>
        </w:rPr>
        <w:t>计入暂估价，工程结算时，由发承包双方根据工程实际情况确认的安全生产责任保险费计入工程造价。但此费用最高结算价不超暂估价。暂估价金额为</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元。</w:t>
      </w:r>
    </w:p>
    <w:p w14:paraId="15E4C380">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b/>
          <w:color w:val="auto"/>
          <w:spacing w:val="2"/>
          <w:kern w:val="0"/>
          <w:szCs w:val="21"/>
          <w:highlight w:val="none"/>
        </w:rPr>
      </w:pPr>
      <w:bookmarkStart w:id="71" w:name="10.8_暂列金额"/>
      <w:bookmarkEnd w:id="71"/>
      <w:r>
        <w:rPr>
          <w:rFonts w:hint="eastAsia" w:ascii="宋体" w:hAnsi="宋体" w:eastAsia="宋体" w:cs="宋体"/>
          <w:b/>
          <w:color w:val="auto"/>
          <w:spacing w:val="2"/>
          <w:kern w:val="0"/>
          <w:szCs w:val="21"/>
          <w:highlight w:val="none"/>
        </w:rPr>
        <w:t>10.8  暂列金额</w:t>
      </w:r>
    </w:p>
    <w:p w14:paraId="30713538">
      <w:pPr>
        <w:pStyle w:val="24"/>
        <w:keepNext w:val="0"/>
        <w:keepLines w:val="0"/>
        <w:pageBreakBefore w:val="0"/>
        <w:widowControl w:val="0"/>
        <w:tabs>
          <w:tab w:val="left" w:pos="6324"/>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strike/>
          <w:color w:val="auto"/>
          <w:kern w:val="0"/>
          <w:szCs w:val="21"/>
          <w:highlight w:val="none"/>
        </w:rPr>
      </w:pPr>
      <w:r>
        <w:rPr>
          <w:rFonts w:hint="eastAsia" w:ascii="宋体" w:hAnsi="宋体" w:eastAsia="宋体" w:cs="宋体"/>
          <w:color w:val="auto"/>
          <w:spacing w:val="-1"/>
          <w:kern w:val="0"/>
          <w:szCs w:val="21"/>
          <w:highlight w:val="none"/>
        </w:rPr>
        <w:t>合同当事人关于暂列金额使用的约定：</w:t>
      </w:r>
      <w:r>
        <w:rPr>
          <w:rFonts w:hint="eastAsia" w:ascii="宋体" w:hAnsi="宋体" w:eastAsia="宋体" w:cs="宋体"/>
          <w:color w:val="auto"/>
          <w:kern w:val="0"/>
          <w:szCs w:val="21"/>
          <w:highlight w:val="none"/>
          <w:u w:val="single"/>
        </w:rPr>
        <w:t xml:space="preserve"> </w:t>
      </w:r>
      <w:r>
        <w:rPr>
          <w:rFonts w:hint="eastAsia" w:ascii="宋体" w:hAnsi="宋体" w:eastAsia="宋体" w:cs="宋体"/>
          <w:b/>
          <w:bCs/>
          <w:color w:val="auto"/>
          <w:kern w:val="0"/>
          <w:szCs w:val="21"/>
          <w:highlight w:val="none"/>
          <w:u w:val="single"/>
        </w:rPr>
        <w:t xml:space="preserve"> /  </w:t>
      </w:r>
      <w:r>
        <w:rPr>
          <w:rFonts w:hint="eastAsia" w:ascii="宋体" w:hAnsi="宋体" w:eastAsia="宋体" w:cs="宋体"/>
          <w:b/>
          <w:bCs/>
          <w:color w:val="auto"/>
          <w:kern w:val="0"/>
          <w:szCs w:val="21"/>
          <w:highlight w:val="none"/>
        </w:rPr>
        <w:t>。</w:t>
      </w:r>
    </w:p>
    <w:p w14:paraId="152C51A6">
      <w:pPr>
        <w:keepNext w:val="0"/>
        <w:keepLines w:val="0"/>
        <w:pageBreakBefore w:val="0"/>
        <w:widowControl/>
        <w:kinsoku w:val="0"/>
        <w:wordWrap/>
        <w:overflowPunct/>
        <w:topLinePunct w:val="0"/>
        <w:autoSpaceDE w:val="0"/>
        <w:autoSpaceDN w:val="0"/>
        <w:bidi w:val="0"/>
        <w:adjustRightInd w:val="0"/>
        <w:snapToGrid w:val="0"/>
        <w:spacing w:line="360" w:lineRule="auto"/>
        <w:ind w:firstLine="442" w:firstLineChars="200"/>
        <w:textAlignment w:val="baseline"/>
        <w:rPr>
          <w:rFonts w:hint="eastAsia" w:ascii="宋体" w:hAnsi="宋体" w:eastAsia="宋体" w:cs="宋体"/>
          <w:color w:val="auto"/>
          <w:szCs w:val="21"/>
          <w:highlight w:val="none"/>
        </w:rPr>
      </w:pPr>
      <w:bookmarkStart w:id="72" w:name="11._价格调整"/>
      <w:bookmarkEnd w:id="72"/>
      <w:bookmarkStart w:id="73" w:name="_Toc17679"/>
      <w:bookmarkStart w:id="74" w:name="_Toc6780"/>
      <w:r>
        <w:rPr>
          <w:rFonts w:hint="eastAsia" w:ascii="宋体" w:hAnsi="宋体" w:eastAsia="宋体" w:cs="宋体"/>
          <w:b/>
          <w:color w:val="auto"/>
          <w:kern w:val="0"/>
          <w:szCs w:val="21"/>
          <w:highlight w:val="none"/>
        </w:rPr>
        <w:t xml:space="preserve">11. </w:t>
      </w:r>
      <w:r>
        <w:rPr>
          <w:rFonts w:hint="eastAsia" w:ascii="宋体" w:hAnsi="宋体" w:eastAsia="宋体" w:cs="宋体"/>
          <w:b/>
          <w:color w:val="auto"/>
          <w:spacing w:val="4"/>
          <w:kern w:val="0"/>
          <w:szCs w:val="21"/>
          <w:highlight w:val="none"/>
        </w:rPr>
        <w:t xml:space="preserve"> </w:t>
      </w:r>
      <w:r>
        <w:rPr>
          <w:rFonts w:hint="eastAsia" w:ascii="宋体" w:hAnsi="宋体" w:eastAsia="宋体" w:cs="宋体"/>
          <w:b/>
          <w:color w:val="auto"/>
          <w:spacing w:val="15"/>
          <w:kern w:val="0"/>
          <w:szCs w:val="21"/>
          <w:highlight w:val="none"/>
        </w:rPr>
        <w:t>价格调整</w:t>
      </w:r>
      <w:bookmarkEnd w:id="73"/>
      <w:bookmarkEnd w:id="74"/>
    </w:p>
    <w:p w14:paraId="38FBC6D3">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b/>
          <w:color w:val="auto"/>
          <w:spacing w:val="2"/>
          <w:kern w:val="0"/>
          <w:szCs w:val="21"/>
          <w:highlight w:val="none"/>
        </w:rPr>
      </w:pPr>
      <w:bookmarkStart w:id="75" w:name="11.1_市场价格波动引起的调整"/>
      <w:bookmarkEnd w:id="75"/>
      <w:r>
        <w:rPr>
          <w:rFonts w:hint="eastAsia" w:ascii="宋体" w:hAnsi="宋体" w:eastAsia="宋体" w:cs="宋体"/>
          <w:b/>
          <w:color w:val="auto"/>
          <w:spacing w:val="2"/>
          <w:kern w:val="0"/>
          <w:szCs w:val="21"/>
          <w:highlight w:val="none"/>
        </w:rPr>
        <w:t>11.1 市场价格波动引起的调整</w:t>
      </w:r>
    </w:p>
    <w:p w14:paraId="40077855">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市场价格波动是否调整合同价格的约定：</w:t>
      </w:r>
      <w:r>
        <w:rPr>
          <w:rFonts w:hint="eastAsia" w:ascii="宋体" w:hAnsi="宋体" w:eastAsia="宋体" w:cs="宋体"/>
          <w:color w:val="auto"/>
          <w:spacing w:val="-67"/>
          <w:kern w:val="0"/>
          <w:szCs w:val="21"/>
          <w:highlight w:val="none"/>
        </w:rPr>
        <w:t xml:space="preserve"> </w:t>
      </w:r>
      <w:r>
        <w:rPr>
          <w:rFonts w:hint="eastAsia" w:ascii="宋体" w:hAnsi="宋体" w:eastAsia="宋体" w:cs="宋体"/>
          <w:b/>
          <w:color w:val="auto"/>
          <w:spacing w:val="-67"/>
          <w:kern w:val="0"/>
          <w:szCs w:val="21"/>
          <w:highlight w:val="none"/>
          <w:u w:val="single" w:color="000000"/>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b/>
          <w:bCs/>
          <w:color w:val="auto"/>
          <w:szCs w:val="21"/>
          <w:highlight w:val="none"/>
          <w:u w:val="single"/>
        </w:rPr>
        <w:t xml:space="preserve">   第3种方式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2536BEC0">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第</w:t>
      </w:r>
      <w:r>
        <w:rPr>
          <w:rFonts w:hint="eastAsia" w:ascii="宋体" w:hAnsi="宋体" w:eastAsia="宋体" w:cs="宋体"/>
          <w:color w:val="auto"/>
          <w:spacing w:val="-45"/>
          <w:kern w:val="0"/>
          <w:szCs w:val="21"/>
          <w:highlight w:val="none"/>
        </w:rPr>
        <w:t xml:space="preserve"> </w:t>
      </w:r>
      <w:r>
        <w:rPr>
          <w:rFonts w:hint="eastAsia" w:ascii="宋体" w:hAnsi="宋体" w:eastAsia="宋体" w:cs="宋体"/>
          <w:color w:val="auto"/>
          <w:kern w:val="0"/>
          <w:szCs w:val="21"/>
          <w:highlight w:val="none"/>
        </w:rPr>
        <w:t>1</w:t>
      </w:r>
      <w:r>
        <w:rPr>
          <w:rFonts w:hint="eastAsia" w:ascii="宋体" w:hAnsi="宋体" w:eastAsia="宋体" w:cs="宋体"/>
          <w:color w:val="auto"/>
          <w:spacing w:val="8"/>
          <w:kern w:val="0"/>
          <w:szCs w:val="21"/>
          <w:highlight w:val="none"/>
        </w:rPr>
        <w:t xml:space="preserve"> </w:t>
      </w:r>
      <w:r>
        <w:rPr>
          <w:rFonts w:hint="eastAsia" w:ascii="宋体" w:hAnsi="宋体" w:eastAsia="宋体" w:cs="宋体"/>
          <w:color w:val="auto"/>
          <w:kern w:val="0"/>
          <w:szCs w:val="21"/>
          <w:highlight w:val="none"/>
        </w:rPr>
        <w:t>种方式：采用价格指数进行价格调整。</w:t>
      </w:r>
    </w:p>
    <w:p w14:paraId="72523366">
      <w:pPr>
        <w:pStyle w:val="24"/>
        <w:keepNext w:val="0"/>
        <w:keepLines w:val="0"/>
        <w:pageBreakBefore w:val="0"/>
        <w:widowControl w:val="0"/>
        <w:tabs>
          <w:tab w:val="left" w:pos="8217"/>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关于各可调因子、定值和变值权重，以及基本价格指数及其来源的约定：</w:t>
      </w:r>
      <w:r>
        <w:rPr>
          <w:rFonts w:hint="eastAsia" w:ascii="宋体" w:hAnsi="宋体" w:eastAsia="宋体" w:cs="宋体"/>
          <w:color w:val="auto"/>
          <w:spacing w:val="-1"/>
          <w:kern w:val="0"/>
          <w:szCs w:val="21"/>
          <w:highlight w:val="none"/>
          <w:u w:val="single" w:color="000000"/>
        </w:rPr>
        <w:t xml:space="preserve"> /</w:t>
      </w:r>
      <w:r>
        <w:rPr>
          <w:rFonts w:hint="eastAsia" w:ascii="宋体" w:hAnsi="宋体" w:eastAsia="宋体" w:cs="宋体"/>
          <w:color w:val="auto"/>
          <w:spacing w:val="-1"/>
          <w:kern w:val="0"/>
          <w:szCs w:val="21"/>
          <w:highlight w:val="none"/>
          <w:u w:val="single" w:color="000000"/>
        </w:rPr>
        <w:tab/>
      </w:r>
      <w:r>
        <w:rPr>
          <w:rFonts w:hint="eastAsia" w:ascii="宋体" w:hAnsi="宋体" w:eastAsia="宋体" w:cs="宋体"/>
          <w:color w:val="auto"/>
          <w:kern w:val="0"/>
          <w:szCs w:val="21"/>
          <w:highlight w:val="none"/>
        </w:rPr>
        <w:t>；</w:t>
      </w:r>
    </w:p>
    <w:p w14:paraId="5C8ACAF8">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第</w:t>
      </w:r>
      <w:r>
        <w:rPr>
          <w:rFonts w:hint="eastAsia" w:ascii="宋体" w:hAnsi="宋体" w:eastAsia="宋体" w:cs="宋体"/>
          <w:color w:val="auto"/>
          <w:spacing w:val="-45"/>
          <w:kern w:val="0"/>
          <w:szCs w:val="21"/>
          <w:highlight w:val="none"/>
        </w:rPr>
        <w:t xml:space="preserve"> </w:t>
      </w:r>
      <w:r>
        <w:rPr>
          <w:rFonts w:hint="eastAsia" w:ascii="宋体" w:hAnsi="宋体" w:eastAsia="宋体" w:cs="宋体"/>
          <w:color w:val="auto"/>
          <w:kern w:val="0"/>
          <w:szCs w:val="21"/>
          <w:highlight w:val="none"/>
        </w:rPr>
        <w:t>2</w:t>
      </w:r>
      <w:r>
        <w:rPr>
          <w:rFonts w:hint="eastAsia" w:ascii="宋体" w:hAnsi="宋体" w:eastAsia="宋体" w:cs="宋体"/>
          <w:color w:val="auto"/>
          <w:spacing w:val="8"/>
          <w:kern w:val="0"/>
          <w:szCs w:val="21"/>
          <w:highlight w:val="none"/>
        </w:rPr>
        <w:t xml:space="preserve"> </w:t>
      </w:r>
      <w:r>
        <w:rPr>
          <w:rFonts w:hint="eastAsia" w:ascii="宋体" w:hAnsi="宋体" w:eastAsia="宋体" w:cs="宋体"/>
          <w:color w:val="auto"/>
          <w:kern w:val="0"/>
          <w:szCs w:val="21"/>
          <w:highlight w:val="none"/>
        </w:rPr>
        <w:t>种方式：采用造价信息进行价格调整。</w:t>
      </w:r>
    </w:p>
    <w:p w14:paraId="5A30BE05">
      <w:pPr>
        <w:pStyle w:val="24"/>
        <w:keepNext w:val="0"/>
        <w:keepLines w:val="0"/>
        <w:pageBreakBefore w:val="0"/>
        <w:widowControl w:val="0"/>
        <w:tabs>
          <w:tab w:val="left" w:pos="5799"/>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（2）关于基准价格的约定：</w:t>
      </w:r>
      <w:r>
        <w:rPr>
          <w:rFonts w:hint="eastAsia" w:ascii="宋体" w:hAnsi="宋体" w:eastAsia="宋体" w:cs="宋体"/>
          <w:color w:val="auto"/>
          <w:spacing w:val="-1"/>
          <w:kern w:val="0"/>
          <w:szCs w:val="21"/>
          <w:highlight w:val="none"/>
          <w:u w:val="single" w:color="000000"/>
        </w:rPr>
        <w:t xml:space="preserve"> 主要材料价格采用施工期间《南宁建设工程造价信息》发布的价格信息，信息没有的材料，其价格参照市场价。</w:t>
      </w:r>
      <w:r>
        <w:rPr>
          <w:rFonts w:hint="eastAsia" w:ascii="宋体" w:hAnsi="宋体" w:eastAsia="宋体" w:cs="宋体"/>
          <w:color w:val="auto"/>
          <w:kern w:val="0"/>
          <w:szCs w:val="21"/>
          <w:highlight w:val="none"/>
        </w:rPr>
        <w:t xml:space="preserve"> </w:t>
      </w:r>
    </w:p>
    <w:p w14:paraId="2700FB2D">
      <w:pPr>
        <w:pStyle w:val="24"/>
        <w:keepNext w:val="0"/>
        <w:keepLines w:val="0"/>
        <w:pageBreakBefore w:val="0"/>
        <w:widowControl w:val="0"/>
        <w:tabs>
          <w:tab w:val="left" w:pos="5799"/>
        </w:tabs>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合同履行期间①承包人在已标价工程量清单或预算书中载明的材料单价低于基准价格的：专用合同条款合同履行期间材料单价涨幅以基准价格为基础超过</w:t>
      </w:r>
      <w:r>
        <w:rPr>
          <w:rFonts w:hint="eastAsia" w:ascii="宋体" w:hAnsi="宋体" w:eastAsia="宋体" w:cs="宋体"/>
          <w:color w:val="auto"/>
          <w:spacing w:val="-46"/>
          <w:kern w:val="0"/>
          <w:szCs w:val="21"/>
          <w:highlight w:val="none"/>
        </w:rPr>
        <w:t xml:space="preserve"> </w:t>
      </w:r>
      <w:r>
        <w:rPr>
          <w:rFonts w:hint="eastAsia" w:ascii="宋体" w:hAnsi="宋体" w:eastAsia="宋体" w:cs="宋体"/>
          <w:b/>
          <w:color w:val="auto"/>
          <w:spacing w:val="-7"/>
          <w:kern w:val="0"/>
          <w:szCs w:val="21"/>
          <w:highlight w:val="none"/>
          <w:u w:val="single" w:color="000000"/>
        </w:rPr>
        <w:t>5</w:t>
      </w:r>
      <w:r>
        <w:rPr>
          <w:rFonts w:hint="eastAsia" w:ascii="宋体" w:hAnsi="宋体" w:eastAsia="宋体" w:cs="宋体"/>
          <w:b/>
          <w:color w:val="auto"/>
          <w:spacing w:val="-7"/>
          <w:kern w:val="0"/>
          <w:szCs w:val="21"/>
          <w:highlight w:val="none"/>
        </w:rPr>
        <w:t>%</w:t>
      </w:r>
      <w:r>
        <w:rPr>
          <w:rFonts w:hint="eastAsia" w:ascii="宋体" w:hAnsi="宋体" w:eastAsia="宋体" w:cs="宋体"/>
          <w:color w:val="auto"/>
          <w:spacing w:val="-7"/>
          <w:kern w:val="0"/>
          <w:szCs w:val="21"/>
          <w:highlight w:val="none"/>
        </w:rPr>
        <w:t>时，或材料单价跌幅以已标</w:t>
      </w:r>
      <w:r>
        <w:rPr>
          <w:rFonts w:hint="eastAsia" w:ascii="宋体" w:hAnsi="宋体" w:eastAsia="宋体" w:cs="宋体"/>
          <w:color w:val="auto"/>
          <w:spacing w:val="-103"/>
          <w:kern w:val="0"/>
          <w:szCs w:val="21"/>
          <w:highlight w:val="none"/>
        </w:rPr>
        <w:t xml:space="preserve"> </w:t>
      </w:r>
      <w:r>
        <w:rPr>
          <w:rFonts w:hint="eastAsia" w:ascii="宋体" w:hAnsi="宋体" w:eastAsia="宋体" w:cs="宋体"/>
          <w:color w:val="auto"/>
          <w:kern w:val="0"/>
          <w:szCs w:val="21"/>
          <w:highlight w:val="none"/>
        </w:rPr>
        <w:t>价工程量清单或预算书中载明材料单价为基础超过</w:t>
      </w:r>
      <w:r>
        <w:rPr>
          <w:rFonts w:hint="eastAsia" w:ascii="宋体" w:hAnsi="宋体" w:eastAsia="宋体" w:cs="宋体"/>
          <w:color w:val="auto"/>
          <w:spacing w:val="-35"/>
          <w:kern w:val="0"/>
          <w:szCs w:val="21"/>
          <w:highlight w:val="none"/>
        </w:rPr>
        <w:t xml:space="preserve"> </w:t>
      </w:r>
      <w:r>
        <w:rPr>
          <w:rFonts w:hint="eastAsia" w:ascii="宋体" w:hAnsi="宋体" w:eastAsia="宋体" w:cs="宋体"/>
          <w:b/>
          <w:color w:val="auto"/>
          <w:kern w:val="0"/>
          <w:szCs w:val="21"/>
          <w:highlight w:val="none"/>
          <w:u w:val="single" w:color="000000"/>
        </w:rPr>
        <w:t>5</w:t>
      </w:r>
      <w:r>
        <w:rPr>
          <w:rFonts w:hint="eastAsia" w:ascii="宋体" w:hAnsi="宋体" w:eastAsia="宋体" w:cs="宋体"/>
          <w:b/>
          <w:color w:val="auto"/>
          <w:kern w:val="0"/>
          <w:szCs w:val="21"/>
          <w:highlight w:val="none"/>
        </w:rPr>
        <w:t>%</w:t>
      </w:r>
      <w:r>
        <w:rPr>
          <w:rFonts w:hint="eastAsia" w:ascii="宋体" w:hAnsi="宋体" w:eastAsia="宋体" w:cs="宋体"/>
          <w:color w:val="auto"/>
          <w:kern w:val="0"/>
          <w:szCs w:val="21"/>
          <w:highlight w:val="none"/>
        </w:rPr>
        <w:t>时，其超过部分据实调整。</w:t>
      </w:r>
    </w:p>
    <w:p w14:paraId="2606315C">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②承包人在已标价工程量清单或预算书中载明的材料单价高于基准价格的：专用合同条款合同履行期间材料单价跌幅以基准价格为基础超过</w:t>
      </w:r>
      <w:r>
        <w:rPr>
          <w:rFonts w:hint="eastAsia" w:ascii="宋体" w:hAnsi="宋体" w:eastAsia="宋体" w:cs="宋体"/>
          <w:color w:val="auto"/>
          <w:spacing w:val="-44"/>
          <w:kern w:val="0"/>
          <w:szCs w:val="21"/>
          <w:highlight w:val="none"/>
        </w:rPr>
        <w:t xml:space="preserve"> </w:t>
      </w:r>
      <w:r>
        <w:rPr>
          <w:rFonts w:hint="eastAsia" w:ascii="宋体" w:hAnsi="宋体" w:eastAsia="宋体" w:cs="宋体"/>
          <w:b/>
          <w:color w:val="auto"/>
          <w:spacing w:val="-5"/>
          <w:kern w:val="0"/>
          <w:szCs w:val="21"/>
          <w:highlight w:val="none"/>
          <w:u w:val="single" w:color="000000"/>
        </w:rPr>
        <w:t>5</w:t>
      </w:r>
      <w:r>
        <w:rPr>
          <w:rFonts w:hint="eastAsia" w:ascii="宋体" w:hAnsi="宋体" w:eastAsia="宋体" w:cs="宋体"/>
          <w:b/>
          <w:color w:val="auto"/>
          <w:spacing w:val="-5"/>
          <w:kern w:val="0"/>
          <w:szCs w:val="21"/>
          <w:highlight w:val="none"/>
        </w:rPr>
        <w:t>%</w:t>
      </w:r>
      <w:r>
        <w:rPr>
          <w:rFonts w:hint="eastAsia" w:ascii="宋体" w:hAnsi="宋体" w:eastAsia="宋体" w:cs="宋体"/>
          <w:color w:val="auto"/>
          <w:spacing w:val="-5"/>
          <w:kern w:val="0"/>
          <w:szCs w:val="21"/>
          <w:highlight w:val="none"/>
        </w:rPr>
        <w:t>时，材料单价涨幅以已标价工程量清单或</w:t>
      </w:r>
      <w:r>
        <w:rPr>
          <w:rFonts w:hint="eastAsia" w:ascii="宋体" w:hAnsi="宋体" w:eastAsia="宋体" w:cs="宋体"/>
          <w:color w:val="auto"/>
          <w:spacing w:val="-103"/>
          <w:kern w:val="0"/>
          <w:szCs w:val="21"/>
          <w:highlight w:val="none"/>
        </w:rPr>
        <w:t xml:space="preserve"> </w:t>
      </w:r>
      <w:r>
        <w:rPr>
          <w:rFonts w:hint="eastAsia" w:ascii="宋体" w:hAnsi="宋体" w:eastAsia="宋体" w:cs="宋体"/>
          <w:color w:val="auto"/>
          <w:kern w:val="0"/>
          <w:szCs w:val="21"/>
          <w:highlight w:val="none"/>
        </w:rPr>
        <w:t>预算书中载明材料单价为基础超过</w:t>
      </w:r>
      <w:r>
        <w:rPr>
          <w:rFonts w:hint="eastAsia" w:ascii="宋体" w:hAnsi="宋体" w:eastAsia="宋体" w:cs="宋体"/>
          <w:color w:val="auto"/>
          <w:spacing w:val="-33"/>
          <w:kern w:val="0"/>
          <w:szCs w:val="21"/>
          <w:highlight w:val="none"/>
        </w:rPr>
        <w:t xml:space="preserve"> </w:t>
      </w:r>
      <w:r>
        <w:rPr>
          <w:rFonts w:hint="eastAsia" w:ascii="宋体" w:hAnsi="宋体" w:eastAsia="宋体" w:cs="宋体"/>
          <w:b/>
          <w:color w:val="auto"/>
          <w:kern w:val="0"/>
          <w:szCs w:val="21"/>
          <w:highlight w:val="none"/>
          <w:u w:val="single" w:color="000000"/>
        </w:rPr>
        <w:t>5</w:t>
      </w:r>
      <w:r>
        <w:rPr>
          <w:rFonts w:hint="eastAsia" w:ascii="宋体" w:hAnsi="宋体" w:eastAsia="宋体" w:cs="宋体"/>
          <w:b/>
          <w:color w:val="auto"/>
          <w:kern w:val="0"/>
          <w:szCs w:val="21"/>
          <w:highlight w:val="none"/>
        </w:rPr>
        <w:t>%</w:t>
      </w:r>
      <w:r>
        <w:rPr>
          <w:rFonts w:hint="eastAsia" w:ascii="宋体" w:hAnsi="宋体" w:eastAsia="宋体" w:cs="宋体"/>
          <w:color w:val="auto"/>
          <w:kern w:val="0"/>
          <w:szCs w:val="21"/>
          <w:highlight w:val="none"/>
        </w:rPr>
        <w:t>时，其超过部分据实调整。</w:t>
      </w:r>
    </w:p>
    <w:p w14:paraId="78960106">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③承包人在已标价工程量清单或预算书中载明的材料单价等于基准单价的：专用合同条款合同履行期间材料单价涨跌幅以基准单价为基础超过</w:t>
      </w:r>
      <w:r>
        <w:rPr>
          <w:rFonts w:hint="eastAsia" w:ascii="宋体" w:hAnsi="宋体" w:eastAsia="宋体" w:cs="宋体"/>
          <w:b/>
          <w:color w:val="auto"/>
          <w:kern w:val="0"/>
          <w:szCs w:val="21"/>
          <w:highlight w:val="none"/>
        </w:rPr>
        <w:t>±</w:t>
      </w:r>
      <w:r>
        <w:rPr>
          <w:rFonts w:hint="eastAsia" w:ascii="宋体" w:hAnsi="宋体" w:eastAsia="宋体" w:cs="宋体"/>
          <w:b/>
          <w:color w:val="auto"/>
          <w:kern w:val="0"/>
          <w:szCs w:val="21"/>
          <w:highlight w:val="none"/>
          <w:u w:val="single" w:color="000000"/>
        </w:rPr>
        <w:t>5</w:t>
      </w:r>
      <w:r>
        <w:rPr>
          <w:rFonts w:hint="eastAsia" w:ascii="宋体" w:hAnsi="宋体" w:eastAsia="宋体" w:cs="宋体"/>
          <w:b/>
          <w:color w:val="auto"/>
          <w:kern w:val="0"/>
          <w:szCs w:val="21"/>
          <w:highlight w:val="none"/>
        </w:rPr>
        <w:t>%</w:t>
      </w:r>
      <w:r>
        <w:rPr>
          <w:rFonts w:hint="eastAsia" w:ascii="宋体" w:hAnsi="宋体" w:eastAsia="宋体" w:cs="宋体"/>
          <w:color w:val="auto"/>
          <w:kern w:val="0"/>
          <w:szCs w:val="21"/>
          <w:highlight w:val="none"/>
        </w:rPr>
        <w:t>时，其超过部分据实调整。</w:t>
      </w:r>
    </w:p>
    <w:p w14:paraId="5958960D">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第 3</w:t>
      </w:r>
      <w:r>
        <w:rPr>
          <w:rFonts w:hint="eastAsia" w:ascii="宋体" w:hAnsi="宋体" w:eastAsia="宋体" w:cs="宋体"/>
          <w:color w:val="auto"/>
          <w:spacing w:val="-18"/>
          <w:kern w:val="0"/>
          <w:szCs w:val="21"/>
          <w:highlight w:val="none"/>
        </w:rPr>
        <w:t xml:space="preserve"> </w:t>
      </w:r>
      <w:r>
        <w:rPr>
          <w:rFonts w:hint="eastAsia" w:ascii="宋体" w:hAnsi="宋体" w:eastAsia="宋体" w:cs="宋体"/>
          <w:color w:val="auto"/>
          <w:kern w:val="0"/>
          <w:szCs w:val="21"/>
          <w:highlight w:val="none"/>
        </w:rPr>
        <w:t>种方式：其他价格调整方式：</w:t>
      </w:r>
      <w:r>
        <w:rPr>
          <w:rFonts w:hint="eastAsia" w:ascii="宋体" w:hAnsi="宋体" w:eastAsia="宋体" w:cs="宋体"/>
          <w:color w:val="auto"/>
          <w:szCs w:val="21"/>
          <w:highlight w:val="none"/>
        </w:rPr>
        <w:t xml:space="preserve"> </w:t>
      </w:r>
      <w:r>
        <w:rPr>
          <w:rFonts w:hint="eastAsia" w:ascii="宋体" w:hAnsi="宋体" w:eastAsia="宋体" w:cs="宋体"/>
          <w:b/>
          <w:bCs/>
          <w:color w:val="auto"/>
          <w:szCs w:val="21"/>
          <w:highlight w:val="none"/>
          <w:u w:val="single"/>
        </w:rPr>
        <w:t>除政府政策性文件调整外，市场价格波动不予调整材料价格。</w:t>
      </w:r>
    </w:p>
    <w:p w14:paraId="3EEB8435">
      <w:pPr>
        <w:keepNext w:val="0"/>
        <w:keepLines w:val="0"/>
        <w:pageBreakBefore w:val="0"/>
        <w:widowControl/>
        <w:kinsoku w:val="0"/>
        <w:wordWrap/>
        <w:overflowPunct/>
        <w:topLinePunct w:val="0"/>
        <w:autoSpaceDE w:val="0"/>
        <w:autoSpaceDN w:val="0"/>
        <w:bidi w:val="0"/>
        <w:adjustRightInd w:val="0"/>
        <w:snapToGrid w:val="0"/>
        <w:spacing w:line="360" w:lineRule="auto"/>
        <w:ind w:firstLine="442" w:firstLineChars="200"/>
        <w:textAlignment w:val="baseline"/>
        <w:rPr>
          <w:rFonts w:hint="eastAsia" w:ascii="宋体" w:hAnsi="宋体" w:eastAsia="宋体" w:cs="宋体"/>
          <w:color w:val="auto"/>
          <w:szCs w:val="21"/>
          <w:highlight w:val="none"/>
        </w:rPr>
      </w:pPr>
      <w:bookmarkStart w:id="76" w:name="12._合同价格、计量与支付"/>
      <w:bookmarkEnd w:id="76"/>
      <w:bookmarkStart w:id="77" w:name="_Toc26572"/>
      <w:bookmarkStart w:id="78" w:name="_Toc21777"/>
      <w:r>
        <w:rPr>
          <w:rFonts w:hint="eastAsia" w:ascii="宋体" w:hAnsi="宋体" w:eastAsia="宋体" w:cs="宋体"/>
          <w:b/>
          <w:color w:val="auto"/>
          <w:kern w:val="0"/>
          <w:szCs w:val="21"/>
          <w:highlight w:val="none"/>
        </w:rPr>
        <w:t xml:space="preserve">12. </w:t>
      </w:r>
      <w:r>
        <w:rPr>
          <w:rFonts w:hint="eastAsia" w:ascii="宋体" w:hAnsi="宋体" w:eastAsia="宋体" w:cs="宋体"/>
          <w:b/>
          <w:color w:val="auto"/>
          <w:spacing w:val="4"/>
          <w:kern w:val="0"/>
          <w:szCs w:val="21"/>
          <w:highlight w:val="none"/>
        </w:rPr>
        <w:t xml:space="preserve"> 合同价格、计量与支付</w:t>
      </w:r>
      <w:bookmarkEnd w:id="77"/>
      <w:bookmarkEnd w:id="78"/>
    </w:p>
    <w:p w14:paraId="54C293A7">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color w:val="auto"/>
          <w:szCs w:val="21"/>
          <w:highlight w:val="none"/>
        </w:rPr>
      </w:pPr>
      <w:bookmarkStart w:id="79" w:name="12.1_合同价格形式"/>
      <w:bookmarkEnd w:id="79"/>
      <w:r>
        <w:rPr>
          <w:rFonts w:hint="eastAsia" w:ascii="宋体" w:hAnsi="宋体" w:eastAsia="宋体" w:cs="宋体"/>
          <w:b/>
          <w:color w:val="auto"/>
          <w:kern w:val="0"/>
          <w:szCs w:val="21"/>
          <w:highlight w:val="none"/>
        </w:rPr>
        <w:t xml:space="preserve">12.1 </w:t>
      </w:r>
      <w:r>
        <w:rPr>
          <w:rFonts w:hint="eastAsia" w:ascii="宋体" w:hAnsi="宋体" w:eastAsia="宋体" w:cs="宋体"/>
          <w:b/>
          <w:color w:val="auto"/>
          <w:spacing w:val="5"/>
          <w:kern w:val="0"/>
          <w:szCs w:val="21"/>
          <w:highlight w:val="none"/>
        </w:rPr>
        <w:t xml:space="preserve"> </w:t>
      </w:r>
      <w:r>
        <w:rPr>
          <w:rFonts w:hint="eastAsia" w:ascii="宋体" w:hAnsi="宋体" w:eastAsia="宋体" w:cs="宋体"/>
          <w:b/>
          <w:color w:val="auto"/>
          <w:spacing w:val="7"/>
          <w:kern w:val="0"/>
          <w:szCs w:val="21"/>
          <w:highlight w:val="none"/>
        </w:rPr>
        <w:t>合同价格形式</w:t>
      </w:r>
    </w:p>
    <w:p w14:paraId="5744346E">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1、单价合同。 </w:t>
      </w:r>
    </w:p>
    <w:p w14:paraId="18E19E71">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本合同价款采用</w:t>
      </w:r>
      <w:r>
        <w:rPr>
          <w:rFonts w:hint="eastAsia" w:ascii="宋体" w:hAnsi="宋体" w:eastAsia="宋体" w:cs="宋体"/>
          <w:color w:val="auto"/>
          <w:kern w:val="0"/>
          <w:szCs w:val="21"/>
          <w:highlight w:val="none"/>
          <w:u w:val="single"/>
        </w:rPr>
        <w:t xml:space="preserve"> </w:t>
      </w:r>
      <w:r>
        <w:rPr>
          <w:rFonts w:hint="eastAsia" w:ascii="宋体" w:hAnsi="宋体" w:eastAsia="宋体" w:cs="宋体"/>
          <w:b/>
          <w:bCs/>
          <w:color w:val="auto"/>
          <w:kern w:val="0"/>
          <w:szCs w:val="21"/>
          <w:highlight w:val="none"/>
          <w:u w:val="single"/>
        </w:rPr>
        <w:t xml:space="preserve">固定综合单价 </w:t>
      </w:r>
      <w:r>
        <w:rPr>
          <w:rFonts w:hint="eastAsia" w:ascii="宋体" w:hAnsi="宋体" w:eastAsia="宋体" w:cs="宋体"/>
          <w:color w:val="auto"/>
          <w:kern w:val="0"/>
          <w:szCs w:val="21"/>
          <w:highlight w:val="none"/>
        </w:rPr>
        <w:t>方式确定，合同价格包含增值税，本工程计价时采用的增值计税方法为：</w:t>
      </w:r>
      <w:r>
        <w:rPr>
          <w:rFonts w:hint="eastAsia" w:ascii="宋体" w:hAnsi="宋体" w:eastAsia="宋体" w:cs="宋体"/>
          <w:b/>
          <w:bCs/>
          <w:color w:val="auto"/>
          <w:kern w:val="0"/>
          <w:szCs w:val="21"/>
          <w:highlight w:val="none"/>
        </w:rPr>
        <w:t xml:space="preserve">☑一般计税法 </w:t>
      </w:r>
    </w:p>
    <w:p w14:paraId="0D5B1ADA">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b/>
          <w:strike/>
          <w:color w:val="auto"/>
          <w:spacing w:val="4"/>
          <w:kern w:val="0"/>
          <w:szCs w:val="21"/>
          <w:highlight w:val="none"/>
          <w:u w:val="single" w:color="000000"/>
        </w:rPr>
      </w:pPr>
      <w:r>
        <w:rPr>
          <w:rFonts w:hint="eastAsia" w:ascii="宋体" w:hAnsi="宋体" w:eastAsia="宋体" w:cs="宋体"/>
          <w:color w:val="auto"/>
          <w:kern w:val="0"/>
          <w:szCs w:val="21"/>
          <w:highlight w:val="none"/>
        </w:rPr>
        <w:t>综合单价包含的风险范围：</w:t>
      </w:r>
    </w:p>
    <w:p w14:paraId="61F302A7">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u w:val="single"/>
        </w:rPr>
        <w:t>除工程变更、项目特征不符、工程量清单缺项、工程量偏差、政策性调整、本工程《承包人提供主要材料和设备一览表》中约定的材料和设备价格变动风险以外的其他风险因素。</w:t>
      </w:r>
    </w:p>
    <w:p w14:paraId="3DA186FD">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风险范围以外合同价格的调整方法：</w:t>
      </w:r>
    </w:p>
    <w:p w14:paraId="0EE825CC">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①工程变更、项目特征不符、工程量清单缺项：按10.4.1变更估价原则的约定调整。</w:t>
      </w:r>
    </w:p>
    <w:p w14:paraId="522D4F6C">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②工程量偏差：按1.13工程量清单错误修正的约定调整。</w:t>
      </w:r>
    </w:p>
    <w:p w14:paraId="77313614">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③政策性调整：按自治区住房城乡建设厅或工程所在地住房城乡建设主管部门颁布的文件执行。</w:t>
      </w:r>
    </w:p>
    <w:p w14:paraId="6727A602">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④材料价格风险：按11.1的约定调整。</w:t>
      </w:r>
    </w:p>
    <w:p w14:paraId="0626EA69">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bCs/>
          <w:color w:val="auto"/>
          <w:szCs w:val="21"/>
          <w:highlight w:val="none"/>
          <w:u w:val="single"/>
        </w:rPr>
      </w:pPr>
      <w:r>
        <w:rPr>
          <w:rFonts w:hint="eastAsia" w:ascii="宋体" w:hAnsi="宋体" w:eastAsia="宋体" w:cs="宋体"/>
          <w:b/>
          <w:bCs/>
          <w:color w:val="auto"/>
          <w:szCs w:val="21"/>
          <w:highlight w:val="none"/>
        </w:rPr>
        <w:t>⑤其它：</w:t>
      </w:r>
      <w:r>
        <w:rPr>
          <w:rFonts w:hint="eastAsia" w:ascii="宋体" w:hAnsi="宋体" w:eastAsia="宋体" w:cs="宋体"/>
          <w:b/>
          <w:bCs/>
          <w:color w:val="auto"/>
          <w:szCs w:val="21"/>
          <w:highlight w:val="none"/>
          <w:u w:val="single"/>
        </w:rPr>
        <w:t xml:space="preserve">（一）因分部分项工程量清单漏项、设计变更、相关签证引起工程项目、工程量任 何变化的，变更合同价款按下列方法进行：（1）合同中已有相同子目的，按合同该子目价格进 行计算；（2）合同中只有类似子目的，参照该类似子目价格进行计算；（3）合同中没有适用或类似子目的价格计算方法：有定额的套定额（土石方工程除外），并乘以下浮系数（中标价/公 布的工程招标控制价）计算，其中材料价格按施工期间的《南宁建设工程造价信息》相应价格 信息进行计算；《南宁建设工程造价信息》没有相应价格信息的按市场价计算；无定额可套的， 根据市场价格协商确定综合价格；新增项目的单价必须经市财政部门或审计部门审定。 </w:t>
      </w:r>
    </w:p>
    <w:p w14:paraId="2699D7B0">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bCs/>
          <w:color w:val="auto"/>
          <w:szCs w:val="21"/>
          <w:highlight w:val="none"/>
          <w:u w:val="single"/>
        </w:rPr>
      </w:pPr>
      <w:r>
        <w:rPr>
          <w:rFonts w:hint="eastAsia" w:ascii="宋体" w:hAnsi="宋体" w:eastAsia="宋体" w:cs="宋体"/>
          <w:b/>
          <w:bCs/>
          <w:color w:val="auto"/>
          <w:szCs w:val="21"/>
          <w:highlight w:val="none"/>
          <w:u w:val="single"/>
        </w:rPr>
        <w:t>（二）国家和自治区、南宁市政策性调整有关费用标准的，按文件规定执行。 本工程最终结算价以南宁市财政评审中心有关规定执行后审定为准。</w:t>
      </w:r>
      <w:r>
        <w:rPr>
          <w:rFonts w:hint="eastAsia" w:ascii="宋体" w:hAnsi="宋体" w:eastAsia="宋体" w:cs="宋体"/>
          <w:b/>
          <w:bCs/>
          <w:color w:val="auto"/>
          <w:szCs w:val="21"/>
          <w:highlight w:val="none"/>
        </w:rPr>
        <w:t xml:space="preserve"> </w:t>
      </w:r>
    </w:p>
    <w:p w14:paraId="5BC6A915">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u w:val="single"/>
        </w:rPr>
        <w:t>（三）本工程可以调整的主要材料：材料单价在合同实施期间不因市场价格变化因素而变动，因征地拆迁影响及重大设计变更等建设单位的原因，在招标后延迟开工或中途停建重新复工的施工工期内，主要材料涨跌的调整幅度按南重点办[2014]29号文执行。本工程最终结算价以南宁市财政评审中心有关规定执行后审定为准。</w:t>
      </w:r>
    </w:p>
    <w:p w14:paraId="1134931E">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color w:val="auto"/>
          <w:szCs w:val="21"/>
          <w:highlight w:val="none"/>
        </w:rPr>
      </w:pPr>
      <w:bookmarkStart w:id="80" w:name="12.2_预付款"/>
      <w:bookmarkEnd w:id="80"/>
      <w:r>
        <w:rPr>
          <w:rFonts w:hint="eastAsia" w:ascii="宋体" w:hAnsi="宋体" w:eastAsia="宋体" w:cs="宋体"/>
          <w:b/>
          <w:color w:val="auto"/>
          <w:kern w:val="0"/>
          <w:szCs w:val="21"/>
          <w:highlight w:val="none"/>
        </w:rPr>
        <w:t xml:space="preserve">12.2 </w:t>
      </w:r>
      <w:r>
        <w:rPr>
          <w:rFonts w:hint="eastAsia" w:ascii="宋体" w:hAnsi="宋体" w:eastAsia="宋体" w:cs="宋体"/>
          <w:b/>
          <w:color w:val="auto"/>
          <w:spacing w:val="4"/>
          <w:kern w:val="0"/>
          <w:szCs w:val="21"/>
          <w:highlight w:val="none"/>
        </w:rPr>
        <w:t xml:space="preserve"> </w:t>
      </w:r>
      <w:r>
        <w:rPr>
          <w:rFonts w:hint="eastAsia" w:ascii="宋体" w:hAnsi="宋体" w:eastAsia="宋体" w:cs="宋体"/>
          <w:b/>
          <w:color w:val="auto"/>
          <w:spacing w:val="15"/>
          <w:kern w:val="0"/>
          <w:szCs w:val="21"/>
          <w:highlight w:val="none"/>
        </w:rPr>
        <w:t>预付款</w:t>
      </w:r>
    </w:p>
    <w:p w14:paraId="45677AAD">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12.2.1</w:t>
      </w:r>
      <w:r>
        <w:rPr>
          <w:rFonts w:hint="eastAsia" w:ascii="宋体" w:hAnsi="宋体" w:eastAsia="宋体" w:cs="宋体"/>
          <w:color w:val="auto"/>
          <w:spacing w:val="37"/>
          <w:kern w:val="0"/>
          <w:szCs w:val="21"/>
          <w:highlight w:val="none"/>
        </w:rPr>
        <w:t xml:space="preserve"> </w:t>
      </w:r>
      <w:r>
        <w:rPr>
          <w:rFonts w:hint="eastAsia" w:ascii="宋体" w:hAnsi="宋体" w:eastAsia="宋体" w:cs="宋体"/>
          <w:color w:val="auto"/>
          <w:kern w:val="0"/>
          <w:szCs w:val="21"/>
          <w:highlight w:val="none"/>
        </w:rPr>
        <w:t xml:space="preserve">预付款的支付 </w:t>
      </w:r>
    </w:p>
    <w:p w14:paraId="1DF20AAB">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预付款支付比例或金额：</w:t>
      </w:r>
      <w:r>
        <w:rPr>
          <w:rFonts w:hint="eastAsia" w:ascii="宋体" w:hAnsi="宋体" w:eastAsia="宋体" w:cs="宋体"/>
          <w:color w:val="auto"/>
          <w:kern w:val="0"/>
          <w:szCs w:val="21"/>
          <w:highlight w:val="none"/>
          <w:u w:val="single" w:color="000000"/>
        </w:rPr>
        <w:t>工程合同造价（扣除暂列金额、甲供材料款）后的</w:t>
      </w:r>
      <w:r>
        <w:rPr>
          <w:rFonts w:hint="eastAsia" w:ascii="宋体" w:hAnsi="宋体" w:eastAsia="宋体" w:cs="宋体"/>
          <w:color w:val="auto"/>
          <w:kern w:val="0"/>
          <w:szCs w:val="21"/>
          <w:highlight w:val="none"/>
          <w:u w:val="single" w:color="000000"/>
          <w:lang w:val="en-US" w:eastAsia="zh-CN"/>
        </w:rPr>
        <w:t>3</w:t>
      </w:r>
      <w:r>
        <w:rPr>
          <w:rFonts w:hint="eastAsia" w:ascii="宋体" w:hAnsi="宋体" w:eastAsia="宋体" w:cs="宋体"/>
          <w:color w:val="auto"/>
          <w:kern w:val="0"/>
          <w:szCs w:val="21"/>
          <w:highlight w:val="none"/>
          <w:u w:val="single" w:color="000000"/>
        </w:rPr>
        <w:t>0%作为该工程的预付款（按相关文件执行支付预付款）。</w:t>
      </w:r>
      <w:r>
        <w:rPr>
          <w:rFonts w:hint="eastAsia" w:ascii="宋体" w:hAnsi="宋体" w:eastAsia="宋体" w:cs="宋体"/>
          <w:color w:val="auto"/>
          <w:kern w:val="0"/>
          <w:szCs w:val="21"/>
          <w:highlight w:val="none"/>
        </w:rPr>
        <w:t>预付款支付期限：</w:t>
      </w:r>
      <w:r>
        <w:rPr>
          <w:rFonts w:hint="eastAsia" w:ascii="宋体" w:hAnsi="宋体" w:eastAsia="宋体" w:cs="宋体"/>
          <w:bCs/>
          <w:color w:val="auto"/>
          <w:kern w:val="0"/>
          <w:szCs w:val="21"/>
          <w:highlight w:val="none"/>
          <w:u w:val="single"/>
        </w:rPr>
        <w:t>经相关部门审批通过准许开工，达到工程开工条件达标的，可申请预付款支付，按南宁市财政局相关文件执行</w:t>
      </w:r>
      <w:r>
        <w:rPr>
          <w:rFonts w:hint="eastAsia" w:ascii="宋体" w:hAnsi="宋体" w:eastAsia="宋体" w:cs="宋体"/>
          <w:b/>
          <w:bCs/>
          <w:color w:val="auto"/>
          <w:kern w:val="0"/>
          <w:szCs w:val="21"/>
          <w:highlight w:val="none"/>
        </w:rPr>
        <w:t>。</w:t>
      </w:r>
    </w:p>
    <w:p w14:paraId="66CA8B5C">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bookmarkStart w:id="81" w:name="预付款扣回的方式：__该工程的预付款在每期进度款中按当期进度款的40%扣回，直到"/>
      <w:bookmarkEnd w:id="81"/>
      <w:r>
        <w:rPr>
          <w:rFonts w:hint="eastAsia" w:ascii="宋体" w:hAnsi="宋体" w:eastAsia="宋体" w:cs="宋体"/>
          <w:color w:val="auto"/>
          <w:kern w:val="0"/>
          <w:szCs w:val="21"/>
          <w:highlight w:val="none"/>
        </w:rPr>
        <w:t>预付款扣回的方式：</w:t>
      </w:r>
      <w:r>
        <w:rPr>
          <w:rFonts w:hint="eastAsia" w:ascii="宋体" w:hAnsi="宋体" w:eastAsia="宋体" w:cs="宋体"/>
          <w:bCs/>
          <w:color w:val="auto"/>
          <w:kern w:val="0"/>
          <w:szCs w:val="21"/>
          <w:highlight w:val="none"/>
          <w:u w:val="single"/>
        </w:rPr>
        <w:t>在每次进度款中按预付款支付比例扣回，每次抵扣的比例为每次进度款付款金额的</w:t>
      </w:r>
      <w:r>
        <w:rPr>
          <w:rFonts w:hint="eastAsia" w:ascii="宋体" w:hAnsi="宋体" w:eastAsia="宋体" w:cs="宋体"/>
          <w:bCs/>
          <w:color w:val="auto"/>
          <w:kern w:val="0"/>
          <w:szCs w:val="21"/>
          <w:highlight w:val="none"/>
          <w:u w:val="single"/>
          <w:lang w:val="en-US" w:eastAsia="zh-CN"/>
        </w:rPr>
        <w:t>3</w:t>
      </w:r>
      <w:r>
        <w:rPr>
          <w:rFonts w:hint="eastAsia" w:ascii="宋体" w:hAnsi="宋体" w:eastAsia="宋体" w:cs="宋体"/>
          <w:bCs/>
          <w:color w:val="auto"/>
          <w:kern w:val="0"/>
          <w:szCs w:val="21"/>
          <w:highlight w:val="none"/>
          <w:u w:val="single"/>
        </w:rPr>
        <w:t>0%，直至扣完预付款为止</w:t>
      </w:r>
      <w:r>
        <w:rPr>
          <w:rFonts w:hint="eastAsia" w:ascii="宋体" w:hAnsi="宋体" w:eastAsia="宋体" w:cs="宋体"/>
          <w:b/>
          <w:bCs/>
          <w:color w:val="auto"/>
          <w:kern w:val="0"/>
          <w:szCs w:val="21"/>
          <w:highlight w:val="none"/>
        </w:rPr>
        <w:t>。</w:t>
      </w:r>
    </w:p>
    <w:p w14:paraId="3CC76B76">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12.2.2</w:t>
      </w:r>
      <w:r>
        <w:rPr>
          <w:rFonts w:hint="eastAsia" w:ascii="宋体" w:hAnsi="宋体" w:eastAsia="宋体" w:cs="宋体"/>
          <w:color w:val="auto"/>
          <w:spacing w:val="39"/>
          <w:kern w:val="0"/>
          <w:szCs w:val="21"/>
          <w:highlight w:val="none"/>
        </w:rPr>
        <w:t xml:space="preserve"> </w:t>
      </w:r>
      <w:r>
        <w:rPr>
          <w:rFonts w:hint="eastAsia" w:ascii="宋体" w:hAnsi="宋体" w:eastAsia="宋体" w:cs="宋体"/>
          <w:color w:val="auto"/>
          <w:kern w:val="0"/>
          <w:szCs w:val="21"/>
          <w:highlight w:val="none"/>
        </w:rPr>
        <w:t>预付款担保</w:t>
      </w:r>
    </w:p>
    <w:p w14:paraId="3167D340">
      <w:pPr>
        <w:pStyle w:val="24"/>
        <w:keepNext w:val="0"/>
        <w:keepLines w:val="0"/>
        <w:pageBreakBefore w:val="0"/>
        <w:widowControl w:val="0"/>
        <w:tabs>
          <w:tab w:val="left" w:pos="3921"/>
          <w:tab w:val="left" w:pos="4011"/>
          <w:tab w:val="left" w:pos="6430"/>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承包人提交预付款担保的期限：</w:t>
      </w:r>
      <w:r>
        <w:rPr>
          <w:rFonts w:hint="eastAsia" w:ascii="宋体" w:hAnsi="宋体" w:eastAsia="宋体" w:cs="宋体"/>
          <w:bCs/>
          <w:color w:val="auto"/>
          <w:kern w:val="0"/>
          <w:szCs w:val="21"/>
          <w:highlight w:val="none"/>
          <w:u w:val="single"/>
        </w:rPr>
        <w:t>按通用合同条款执行</w:t>
      </w:r>
      <w:r>
        <w:rPr>
          <w:rFonts w:hint="eastAsia" w:ascii="宋体" w:hAnsi="宋体" w:eastAsia="宋体" w:cs="宋体"/>
          <w:color w:val="auto"/>
          <w:kern w:val="0"/>
          <w:szCs w:val="21"/>
          <w:highlight w:val="none"/>
        </w:rPr>
        <w:t xml:space="preserve">。 </w:t>
      </w:r>
    </w:p>
    <w:p w14:paraId="414AB307">
      <w:pPr>
        <w:pStyle w:val="24"/>
        <w:keepNext w:val="0"/>
        <w:keepLines w:val="0"/>
        <w:pageBreakBefore w:val="0"/>
        <w:widowControl w:val="0"/>
        <w:tabs>
          <w:tab w:val="left" w:pos="3921"/>
          <w:tab w:val="left" w:pos="4011"/>
          <w:tab w:val="left" w:pos="6430"/>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预付款担保的形式为：</w:t>
      </w:r>
      <w:r>
        <w:rPr>
          <w:rFonts w:hint="eastAsia" w:ascii="宋体" w:hAnsi="宋体" w:eastAsia="宋体" w:cs="宋体"/>
          <w:bCs/>
          <w:color w:val="auto"/>
          <w:kern w:val="0"/>
          <w:szCs w:val="21"/>
          <w:highlight w:val="none"/>
          <w:u w:val="single"/>
        </w:rPr>
        <w:t>采用发包人承认的形式提供预付款担保</w:t>
      </w:r>
      <w:r>
        <w:rPr>
          <w:rFonts w:hint="eastAsia" w:ascii="宋体" w:hAnsi="宋体" w:eastAsia="宋体" w:cs="宋体"/>
          <w:b/>
          <w:bCs/>
          <w:color w:val="auto"/>
          <w:kern w:val="0"/>
          <w:szCs w:val="21"/>
          <w:highlight w:val="none"/>
        </w:rPr>
        <w:t>。</w:t>
      </w:r>
    </w:p>
    <w:p w14:paraId="2FF77C16">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color w:val="auto"/>
          <w:szCs w:val="21"/>
          <w:highlight w:val="none"/>
        </w:rPr>
      </w:pPr>
      <w:bookmarkStart w:id="82" w:name="12.3_计量"/>
      <w:bookmarkEnd w:id="82"/>
      <w:r>
        <w:rPr>
          <w:rFonts w:hint="eastAsia" w:ascii="宋体" w:hAnsi="宋体" w:eastAsia="宋体" w:cs="宋体"/>
          <w:b/>
          <w:color w:val="auto"/>
          <w:kern w:val="0"/>
          <w:szCs w:val="21"/>
          <w:highlight w:val="none"/>
        </w:rPr>
        <w:t xml:space="preserve">12.3 </w:t>
      </w:r>
      <w:r>
        <w:rPr>
          <w:rFonts w:hint="eastAsia" w:ascii="宋体" w:hAnsi="宋体" w:eastAsia="宋体" w:cs="宋体"/>
          <w:b/>
          <w:color w:val="auto"/>
          <w:spacing w:val="5"/>
          <w:kern w:val="0"/>
          <w:szCs w:val="21"/>
          <w:highlight w:val="none"/>
        </w:rPr>
        <w:t xml:space="preserve"> </w:t>
      </w:r>
      <w:r>
        <w:rPr>
          <w:rFonts w:hint="eastAsia" w:ascii="宋体" w:hAnsi="宋体" w:eastAsia="宋体" w:cs="宋体"/>
          <w:b/>
          <w:color w:val="auto"/>
          <w:spacing w:val="15"/>
          <w:kern w:val="0"/>
          <w:szCs w:val="21"/>
          <w:highlight w:val="none"/>
        </w:rPr>
        <w:t>计量</w:t>
      </w:r>
    </w:p>
    <w:p w14:paraId="2695D7ED">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szCs w:val="21"/>
          <w:highlight w:val="none"/>
        </w:rPr>
      </w:pPr>
      <w:r>
        <w:rPr>
          <w:rFonts w:hint="eastAsia" w:ascii="宋体" w:hAnsi="宋体" w:eastAsia="宋体" w:cs="宋体"/>
          <w:color w:val="auto"/>
          <w:spacing w:val="2"/>
          <w:kern w:val="0"/>
          <w:szCs w:val="21"/>
          <w:highlight w:val="none"/>
        </w:rPr>
        <w:t>12.3.1</w:t>
      </w:r>
      <w:r>
        <w:rPr>
          <w:rFonts w:hint="eastAsia" w:ascii="宋体" w:hAnsi="宋体" w:eastAsia="宋体" w:cs="宋体"/>
          <w:color w:val="auto"/>
          <w:spacing w:val="37"/>
          <w:kern w:val="0"/>
          <w:szCs w:val="21"/>
          <w:highlight w:val="none"/>
        </w:rPr>
        <w:t xml:space="preserve"> </w:t>
      </w:r>
      <w:r>
        <w:rPr>
          <w:rFonts w:hint="eastAsia" w:ascii="宋体" w:hAnsi="宋体" w:eastAsia="宋体" w:cs="宋体"/>
          <w:color w:val="auto"/>
          <w:kern w:val="0"/>
          <w:szCs w:val="21"/>
          <w:highlight w:val="none"/>
        </w:rPr>
        <w:t xml:space="preserve">计量原则 </w:t>
      </w:r>
    </w:p>
    <w:p w14:paraId="73CC5DBC">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390" w:firstLineChars="200"/>
        <w:jc w:val="left"/>
        <w:rPr>
          <w:rFonts w:hint="eastAsia" w:ascii="宋体" w:hAnsi="宋体" w:eastAsia="宋体" w:cs="宋体"/>
          <w:color w:val="auto"/>
          <w:szCs w:val="21"/>
          <w:highlight w:val="none"/>
        </w:rPr>
      </w:pPr>
      <w:r>
        <w:rPr>
          <w:rFonts w:hint="eastAsia" w:ascii="宋体" w:hAnsi="宋体" w:eastAsia="宋体" w:cs="宋体"/>
          <w:color w:val="auto"/>
          <w:spacing w:val="-6"/>
          <w:w w:val="99"/>
          <w:kern w:val="0"/>
          <w:szCs w:val="21"/>
          <w:highlight w:val="none"/>
        </w:rPr>
        <w:t>工程量计算规则：</w:t>
      </w:r>
      <w:r>
        <w:rPr>
          <w:rFonts w:hint="eastAsia" w:ascii="宋体" w:hAnsi="宋体" w:eastAsia="宋体" w:cs="宋体"/>
          <w:b/>
          <w:color w:val="auto"/>
          <w:kern w:val="0"/>
          <w:szCs w:val="21"/>
          <w:highlight w:val="none"/>
          <w:u w:val="single" w:color="000000"/>
        </w:rPr>
        <w:t>工程的计量均以《建设工程工程量清单计价规范》（GB50500－2013）及其广西壮族自治区实施细则、《建设工程工程量清单计算规范》（GB50854～50862－2013）及其广西壮族自治区实施细则、本工程补充项目清单为准。</w:t>
      </w:r>
    </w:p>
    <w:p w14:paraId="1D81D06C">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12.3.2</w:t>
      </w:r>
      <w:r>
        <w:rPr>
          <w:rFonts w:hint="eastAsia" w:ascii="宋体" w:hAnsi="宋体" w:eastAsia="宋体" w:cs="宋体"/>
          <w:color w:val="auto"/>
          <w:spacing w:val="37"/>
          <w:kern w:val="0"/>
          <w:szCs w:val="21"/>
          <w:highlight w:val="none"/>
        </w:rPr>
        <w:t xml:space="preserve"> </w:t>
      </w:r>
      <w:r>
        <w:rPr>
          <w:rFonts w:hint="eastAsia" w:ascii="宋体" w:hAnsi="宋体" w:eastAsia="宋体" w:cs="宋体"/>
          <w:color w:val="auto"/>
          <w:kern w:val="0"/>
          <w:szCs w:val="21"/>
          <w:highlight w:val="none"/>
        </w:rPr>
        <w:t xml:space="preserve">计量周期 </w:t>
      </w:r>
    </w:p>
    <w:p w14:paraId="388D9403">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关于计量周期的约定：原则上</w:t>
      </w:r>
      <w:r>
        <w:rPr>
          <w:rFonts w:hint="eastAsia" w:ascii="宋体" w:hAnsi="宋体" w:eastAsia="宋体" w:cs="宋体"/>
          <w:b/>
          <w:bCs/>
          <w:color w:val="auto"/>
          <w:kern w:val="0"/>
          <w:szCs w:val="21"/>
          <w:highlight w:val="none"/>
        </w:rPr>
        <w:t>按月，</w:t>
      </w:r>
      <w:r>
        <w:rPr>
          <w:rFonts w:hint="eastAsia" w:ascii="宋体" w:hAnsi="宋体" w:eastAsia="宋体" w:cs="宋体"/>
          <w:b/>
          <w:color w:val="auto"/>
          <w:kern w:val="0"/>
          <w:szCs w:val="21"/>
          <w:highlight w:val="none"/>
          <w:u w:val="single" w:color="000000"/>
        </w:rPr>
        <w:t>每月25日前</w:t>
      </w:r>
      <w:r>
        <w:rPr>
          <w:rFonts w:hint="eastAsia" w:ascii="宋体" w:hAnsi="宋体" w:eastAsia="宋体" w:cs="宋体"/>
          <w:color w:val="auto"/>
          <w:kern w:val="0"/>
          <w:szCs w:val="21"/>
          <w:highlight w:val="none"/>
        </w:rPr>
        <w:t xml:space="preserve">。 </w:t>
      </w:r>
    </w:p>
    <w:p w14:paraId="345E8745">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12.3.3</w:t>
      </w:r>
      <w:r>
        <w:rPr>
          <w:rFonts w:hint="eastAsia" w:ascii="宋体" w:hAnsi="宋体" w:eastAsia="宋体" w:cs="宋体"/>
          <w:color w:val="auto"/>
          <w:spacing w:val="37"/>
          <w:kern w:val="0"/>
          <w:szCs w:val="21"/>
          <w:highlight w:val="none"/>
        </w:rPr>
        <w:t xml:space="preserve"> </w:t>
      </w:r>
      <w:r>
        <w:rPr>
          <w:rFonts w:hint="eastAsia" w:ascii="宋体" w:hAnsi="宋体" w:eastAsia="宋体" w:cs="宋体"/>
          <w:color w:val="auto"/>
          <w:kern w:val="0"/>
          <w:szCs w:val="21"/>
          <w:highlight w:val="none"/>
        </w:rPr>
        <w:t xml:space="preserve">单价合同的计量 </w:t>
      </w:r>
    </w:p>
    <w:p w14:paraId="0788AFCC">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关于单价合同计量的约定：</w:t>
      </w:r>
    </w:p>
    <w:p w14:paraId="3D5DB311">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color w:val="auto"/>
          <w:szCs w:val="21"/>
          <w:highlight w:val="none"/>
        </w:rPr>
      </w:pPr>
      <w:r>
        <w:rPr>
          <w:rFonts w:hint="eastAsia" w:ascii="宋体" w:hAnsi="宋体" w:eastAsia="宋体" w:cs="宋体"/>
          <w:b/>
          <w:color w:val="auto"/>
          <w:kern w:val="0"/>
          <w:szCs w:val="21"/>
          <w:highlight w:val="none"/>
        </w:rPr>
        <w:t>（1）</w:t>
      </w:r>
      <w:r>
        <w:rPr>
          <w:rFonts w:hint="eastAsia" w:ascii="宋体" w:hAnsi="宋体" w:eastAsia="宋体" w:cs="宋体"/>
          <w:b/>
          <w:color w:val="auto"/>
          <w:spacing w:val="42"/>
          <w:kern w:val="0"/>
          <w:szCs w:val="21"/>
          <w:highlight w:val="none"/>
        </w:rPr>
        <w:t xml:space="preserve"> </w:t>
      </w:r>
      <w:r>
        <w:rPr>
          <w:rFonts w:hint="eastAsia" w:ascii="宋体" w:hAnsi="宋体" w:eastAsia="宋体" w:cs="宋体"/>
          <w:b/>
          <w:color w:val="auto"/>
          <w:spacing w:val="3"/>
          <w:kern w:val="0"/>
          <w:szCs w:val="21"/>
          <w:highlight w:val="none"/>
        </w:rPr>
        <w:t>工程量清单所列的工程量，不能作为承包人按合同履行其责任依据，实际施工中发生</w:t>
      </w:r>
      <w:r>
        <w:rPr>
          <w:rFonts w:hint="eastAsia" w:ascii="宋体" w:hAnsi="宋体" w:eastAsia="宋体" w:cs="宋体"/>
          <w:b/>
          <w:color w:val="auto"/>
          <w:kern w:val="0"/>
          <w:szCs w:val="21"/>
          <w:highlight w:val="none"/>
        </w:rPr>
        <w:t>的工程量增加或减少并不影响承包人履行合同的责任，工程结算以完成的实际工程量为准。</w:t>
      </w:r>
    </w:p>
    <w:p w14:paraId="6AE0C881">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rPr>
          <w:rFonts w:hint="eastAsia" w:ascii="宋体" w:hAnsi="宋体" w:eastAsia="宋体" w:cs="宋体"/>
          <w:b/>
          <w:color w:val="auto"/>
          <w:spacing w:val="6"/>
          <w:kern w:val="0"/>
          <w:szCs w:val="21"/>
          <w:highlight w:val="none"/>
        </w:rPr>
      </w:pPr>
      <w:r>
        <w:rPr>
          <w:rFonts w:hint="eastAsia" w:ascii="宋体" w:hAnsi="宋体" w:eastAsia="宋体" w:cs="宋体"/>
          <w:b/>
          <w:color w:val="auto"/>
          <w:kern w:val="0"/>
          <w:szCs w:val="21"/>
          <w:highlight w:val="none"/>
        </w:rPr>
        <w:t>（2）</w:t>
      </w:r>
      <w:r>
        <w:rPr>
          <w:rFonts w:hint="eastAsia" w:ascii="宋体" w:hAnsi="宋体" w:eastAsia="宋体" w:cs="宋体"/>
          <w:b/>
          <w:color w:val="auto"/>
          <w:spacing w:val="42"/>
          <w:kern w:val="0"/>
          <w:szCs w:val="21"/>
          <w:highlight w:val="none"/>
        </w:rPr>
        <w:t xml:space="preserve"> </w:t>
      </w:r>
      <w:r>
        <w:rPr>
          <w:rFonts w:hint="eastAsia" w:ascii="宋体" w:hAnsi="宋体" w:eastAsia="宋体" w:cs="宋体"/>
          <w:b/>
          <w:color w:val="auto"/>
          <w:spacing w:val="3"/>
          <w:kern w:val="0"/>
          <w:szCs w:val="21"/>
          <w:highlight w:val="none"/>
        </w:rPr>
        <w:t>除另有规定外，工程师应按照合同通过计量来核实确定已完成的工程量和价值，承包</w:t>
      </w:r>
      <w:r>
        <w:rPr>
          <w:rFonts w:hint="eastAsia" w:ascii="宋体" w:hAnsi="宋体" w:eastAsia="宋体" w:cs="宋体"/>
          <w:b/>
          <w:color w:val="auto"/>
          <w:kern w:val="0"/>
          <w:szCs w:val="21"/>
          <w:highlight w:val="none"/>
        </w:rPr>
        <w:t>人应得到该价值扣除保留金后的价款。当工程师要对已完工的工程量进行计量时，应适时地通</w:t>
      </w:r>
      <w:r>
        <w:rPr>
          <w:rFonts w:hint="eastAsia" w:ascii="宋体" w:hAnsi="宋体" w:eastAsia="宋体" w:cs="宋体"/>
          <w:b/>
          <w:color w:val="auto"/>
          <w:spacing w:val="-85"/>
          <w:kern w:val="0"/>
          <w:szCs w:val="21"/>
          <w:highlight w:val="none"/>
        </w:rPr>
        <w:t xml:space="preserve"> </w:t>
      </w:r>
      <w:r>
        <w:rPr>
          <w:rFonts w:hint="eastAsia" w:ascii="宋体" w:hAnsi="宋体" w:eastAsia="宋体" w:cs="宋体"/>
          <w:b/>
          <w:color w:val="auto"/>
          <w:spacing w:val="6"/>
          <w:kern w:val="0"/>
          <w:szCs w:val="21"/>
          <w:highlight w:val="none"/>
        </w:rPr>
        <w:t>知承包人参加。</w:t>
      </w:r>
    </w:p>
    <w:p w14:paraId="4FCDD99E">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46" w:firstLineChars="200"/>
        <w:rPr>
          <w:rFonts w:hint="eastAsia" w:ascii="宋体" w:hAnsi="宋体" w:eastAsia="宋体" w:cs="宋体"/>
          <w:b/>
          <w:color w:val="auto"/>
          <w:spacing w:val="6"/>
          <w:kern w:val="0"/>
          <w:szCs w:val="21"/>
          <w:highlight w:val="none"/>
        </w:rPr>
      </w:pPr>
      <w:r>
        <w:rPr>
          <w:rFonts w:hint="eastAsia" w:ascii="宋体" w:hAnsi="宋体" w:eastAsia="宋体" w:cs="宋体"/>
          <w:b/>
          <w:color w:val="auto"/>
          <w:spacing w:val="6"/>
          <w:kern w:val="0"/>
          <w:szCs w:val="21"/>
          <w:highlight w:val="none"/>
        </w:rPr>
        <w:t>（3）</w:t>
      </w:r>
      <w:r>
        <w:rPr>
          <w:rFonts w:hint="eastAsia" w:ascii="宋体" w:hAnsi="宋体" w:eastAsia="宋体" w:cs="宋体"/>
          <w:b/>
          <w:color w:val="auto"/>
          <w:spacing w:val="6"/>
          <w:kern w:val="0"/>
          <w:szCs w:val="21"/>
          <w:highlight w:val="none"/>
          <w:lang w:val="en-US" w:eastAsia="zh-CN"/>
        </w:rPr>
        <w:t xml:space="preserve"> </w:t>
      </w:r>
      <w:r>
        <w:rPr>
          <w:rFonts w:hint="eastAsia" w:ascii="宋体" w:hAnsi="宋体" w:eastAsia="宋体" w:cs="宋体"/>
          <w:b/>
          <w:bCs w:val="0"/>
          <w:color w:val="auto"/>
          <w:kern w:val="0"/>
          <w:sz w:val="21"/>
          <w:szCs w:val="21"/>
          <w:highlight w:val="none"/>
        </w:rPr>
        <w:t>计量阶段：管槽开挖、恢复及所有变更等，计量应附收方依据，现场收方照片等</w:t>
      </w:r>
      <w:r>
        <w:rPr>
          <w:rFonts w:hint="eastAsia" w:ascii="宋体" w:hAnsi="宋体" w:eastAsia="宋体" w:cs="宋体"/>
          <w:b/>
          <w:color w:val="auto"/>
          <w:spacing w:val="6"/>
          <w:kern w:val="0"/>
          <w:szCs w:val="21"/>
          <w:highlight w:val="none"/>
        </w:rPr>
        <w:t>。</w:t>
      </w:r>
    </w:p>
    <w:p w14:paraId="07AB1FD8">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color w:val="auto"/>
          <w:szCs w:val="21"/>
          <w:highlight w:val="none"/>
        </w:rPr>
      </w:pPr>
      <w:bookmarkStart w:id="83" w:name="12.4_工程进度款支付"/>
      <w:bookmarkEnd w:id="83"/>
      <w:r>
        <w:rPr>
          <w:rFonts w:hint="eastAsia" w:ascii="宋体" w:hAnsi="宋体" w:eastAsia="宋体" w:cs="宋体"/>
          <w:b/>
          <w:color w:val="auto"/>
          <w:kern w:val="0"/>
          <w:szCs w:val="21"/>
          <w:highlight w:val="none"/>
        </w:rPr>
        <w:t xml:space="preserve">12.4 </w:t>
      </w:r>
      <w:r>
        <w:rPr>
          <w:rFonts w:hint="eastAsia" w:ascii="宋体" w:hAnsi="宋体" w:eastAsia="宋体" w:cs="宋体"/>
          <w:b/>
          <w:color w:val="auto"/>
          <w:spacing w:val="4"/>
          <w:kern w:val="0"/>
          <w:szCs w:val="21"/>
          <w:highlight w:val="none"/>
        </w:rPr>
        <w:t xml:space="preserve"> </w:t>
      </w:r>
      <w:r>
        <w:rPr>
          <w:rFonts w:hint="eastAsia" w:ascii="宋体" w:hAnsi="宋体" w:eastAsia="宋体" w:cs="宋体"/>
          <w:b/>
          <w:color w:val="auto"/>
          <w:spacing w:val="6"/>
          <w:kern w:val="0"/>
          <w:szCs w:val="21"/>
          <w:highlight w:val="none"/>
        </w:rPr>
        <w:t>工程进度款支付</w:t>
      </w:r>
    </w:p>
    <w:p w14:paraId="12CBF8C8">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szCs w:val="21"/>
          <w:highlight w:val="none"/>
        </w:rPr>
      </w:pPr>
      <w:r>
        <w:rPr>
          <w:rFonts w:hint="eastAsia" w:ascii="宋体" w:hAnsi="宋体" w:eastAsia="宋体" w:cs="宋体"/>
          <w:color w:val="auto"/>
          <w:spacing w:val="2"/>
          <w:kern w:val="0"/>
          <w:szCs w:val="21"/>
          <w:highlight w:val="none"/>
        </w:rPr>
        <w:t>12.4.1</w:t>
      </w:r>
      <w:r>
        <w:rPr>
          <w:rFonts w:hint="eastAsia" w:ascii="宋体" w:hAnsi="宋体" w:eastAsia="宋体" w:cs="宋体"/>
          <w:color w:val="auto"/>
          <w:spacing w:val="37"/>
          <w:kern w:val="0"/>
          <w:szCs w:val="21"/>
          <w:highlight w:val="none"/>
        </w:rPr>
        <w:t xml:space="preserve"> </w:t>
      </w:r>
      <w:r>
        <w:rPr>
          <w:rFonts w:hint="eastAsia" w:ascii="宋体" w:hAnsi="宋体" w:eastAsia="宋体" w:cs="宋体"/>
          <w:color w:val="auto"/>
          <w:kern w:val="0"/>
          <w:szCs w:val="21"/>
          <w:highlight w:val="none"/>
        </w:rPr>
        <w:t xml:space="preserve">付款周期 </w:t>
      </w:r>
    </w:p>
    <w:p w14:paraId="27CDF06E">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b/>
          <w:strike/>
          <w:color w:val="auto"/>
          <w:kern w:val="0"/>
          <w:szCs w:val="21"/>
          <w:highlight w:val="none"/>
        </w:rPr>
      </w:pPr>
      <w:r>
        <w:rPr>
          <w:rFonts w:hint="eastAsia" w:ascii="宋体" w:hAnsi="宋体" w:eastAsia="宋体" w:cs="宋体"/>
          <w:color w:val="auto"/>
          <w:kern w:val="0"/>
          <w:szCs w:val="21"/>
          <w:highlight w:val="none"/>
        </w:rPr>
        <w:t>关于付款周期的约定：</w:t>
      </w:r>
    </w:p>
    <w:p w14:paraId="6131F947">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rPr>
          <w:rFonts w:hint="eastAsia" w:ascii="宋体" w:hAnsi="宋体" w:eastAsia="宋体" w:cs="宋体"/>
          <w:b/>
          <w:bCs/>
          <w:color w:val="auto"/>
          <w:szCs w:val="21"/>
          <w:highlight w:val="none"/>
          <w:u w:val="single"/>
        </w:rPr>
      </w:pPr>
      <w:r>
        <w:rPr>
          <w:rFonts w:hint="eastAsia" w:ascii="宋体" w:hAnsi="宋体" w:eastAsia="宋体" w:cs="宋体"/>
          <w:b/>
          <w:bCs/>
          <w:color w:val="auto"/>
          <w:szCs w:val="21"/>
          <w:highlight w:val="none"/>
        </w:rPr>
        <w:t>（1）</w:t>
      </w:r>
      <w:r>
        <w:rPr>
          <w:rFonts w:hint="eastAsia" w:ascii="宋体" w:hAnsi="宋体" w:eastAsia="宋体" w:cs="宋体"/>
          <w:b/>
          <w:bCs/>
          <w:color w:val="auto"/>
          <w:szCs w:val="21"/>
          <w:highlight w:val="none"/>
          <w:u w:val="single"/>
        </w:rPr>
        <w:t>工程款原则上按月支付，工程进度款支付限额为合同内按照当期计量的80%支付，累计不超过合同价的80%；工程变更部分（设计变更）累计增加的变更金额在合同价的10%以内（含10%），按照计量的60%支付，累计增加的变更金额超出合同价的10%，不进行进度款计量支付，留待工程结算时一并研究后支付。</w:t>
      </w:r>
    </w:p>
    <w:p w14:paraId="1A71FF24">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rPr>
          <w:rFonts w:hint="eastAsia" w:ascii="宋体" w:hAnsi="宋体" w:eastAsia="宋体" w:cs="宋体"/>
          <w:b/>
          <w:bCs/>
          <w:color w:val="auto"/>
          <w:szCs w:val="21"/>
          <w:highlight w:val="none"/>
          <w:u w:val="single"/>
        </w:rPr>
      </w:pPr>
      <w:r>
        <w:rPr>
          <w:rFonts w:hint="eastAsia" w:ascii="宋体" w:hAnsi="宋体" w:eastAsia="宋体" w:cs="宋体"/>
          <w:b/>
          <w:bCs/>
          <w:color w:val="auto"/>
          <w:szCs w:val="21"/>
          <w:highlight w:val="none"/>
          <w:u w:val="single"/>
        </w:rPr>
        <w:t>（2）工程完工验收达到质量要求，支付至累计计量的90%。结算按国家及南宁市相关规定执行后支付，工程款支付至</w:t>
      </w:r>
      <w:r>
        <w:rPr>
          <w:rFonts w:hint="eastAsia" w:ascii="宋体" w:hAnsi="宋体" w:eastAsia="宋体" w:cs="宋体"/>
          <w:b/>
          <w:bCs/>
          <w:color w:val="auto"/>
          <w:szCs w:val="21"/>
          <w:highlight w:val="none"/>
          <w:u w:val="single"/>
          <w:lang w:eastAsia="zh-CN"/>
        </w:rPr>
        <w:t>合同</w:t>
      </w:r>
      <w:r>
        <w:rPr>
          <w:rFonts w:hint="eastAsia" w:ascii="宋体" w:hAnsi="宋体" w:eastAsia="宋体" w:cs="宋体"/>
          <w:b/>
          <w:bCs/>
          <w:color w:val="auto"/>
          <w:szCs w:val="21"/>
          <w:highlight w:val="none"/>
          <w:u w:val="single"/>
        </w:rPr>
        <w:t>总价的</w:t>
      </w:r>
      <w:r>
        <w:rPr>
          <w:rFonts w:hint="eastAsia" w:ascii="宋体" w:hAnsi="宋体" w:eastAsia="宋体" w:cs="宋体"/>
          <w:b/>
          <w:bCs/>
          <w:color w:val="auto"/>
          <w:szCs w:val="21"/>
          <w:highlight w:val="none"/>
          <w:u w:val="single"/>
          <w:lang w:val="en-US" w:eastAsia="zh-CN"/>
        </w:rPr>
        <w:t>100</w:t>
      </w:r>
      <w:r>
        <w:rPr>
          <w:rFonts w:hint="eastAsia" w:ascii="宋体" w:hAnsi="宋体" w:eastAsia="宋体" w:cs="宋体"/>
          <w:b/>
          <w:bCs/>
          <w:color w:val="auto"/>
          <w:szCs w:val="21"/>
          <w:highlight w:val="none"/>
          <w:u w:val="single"/>
        </w:rPr>
        <w:t>%。</w:t>
      </w:r>
      <w:r>
        <w:rPr>
          <w:rFonts w:hint="eastAsia" w:ascii="宋体" w:hAnsi="宋体" w:eastAsia="宋体" w:cs="宋体"/>
          <w:b/>
          <w:bCs/>
          <w:color w:val="auto"/>
          <w:szCs w:val="21"/>
          <w:highlight w:val="none"/>
          <w:u w:val="single"/>
          <w:lang w:eastAsia="zh-CN"/>
        </w:rPr>
        <w:t>在工程竣工结算前，</w:t>
      </w:r>
      <w:r>
        <w:rPr>
          <w:rFonts w:hint="eastAsia" w:ascii="宋体" w:hAnsi="宋体" w:eastAsia="宋体" w:cs="宋体"/>
          <w:b/>
          <w:bCs/>
          <w:color w:val="auto"/>
          <w:szCs w:val="21"/>
          <w:highlight w:val="none"/>
          <w:u w:val="single"/>
          <w:lang w:val="en-US" w:eastAsia="zh-CN"/>
        </w:rPr>
        <w:t>承包方按合同总价的3%预存工程质量保证金至发包方指定账户。</w:t>
      </w:r>
      <w:r>
        <w:rPr>
          <w:rFonts w:hint="eastAsia" w:ascii="宋体" w:hAnsi="宋体" w:eastAsia="宋体" w:cs="宋体"/>
          <w:bCs/>
          <w:color w:val="auto"/>
          <w:kern w:val="0"/>
          <w:sz w:val="24"/>
          <w:highlight w:val="none"/>
          <w:u w:val="single"/>
        </w:rPr>
        <w:t>工程质保期满，</w:t>
      </w:r>
      <w:r>
        <w:rPr>
          <w:rFonts w:hint="eastAsia" w:ascii="宋体" w:hAnsi="宋体" w:eastAsia="宋体" w:cs="宋体"/>
          <w:bCs/>
          <w:color w:val="auto"/>
          <w:kern w:val="0"/>
          <w:sz w:val="24"/>
          <w:highlight w:val="none"/>
          <w:u w:val="single"/>
          <w:lang w:eastAsia="zh-CN"/>
        </w:rPr>
        <w:t>发包方</w:t>
      </w:r>
      <w:r>
        <w:rPr>
          <w:rFonts w:hint="eastAsia" w:ascii="宋体" w:hAnsi="宋体" w:eastAsia="宋体" w:cs="宋体"/>
          <w:bCs/>
          <w:color w:val="auto"/>
          <w:kern w:val="0"/>
          <w:sz w:val="24"/>
          <w:highlight w:val="none"/>
          <w:u w:val="single"/>
        </w:rPr>
        <w:t>复验无质量问题后</w:t>
      </w:r>
      <w:r>
        <w:rPr>
          <w:rFonts w:hint="eastAsia" w:ascii="宋体" w:hAnsi="宋体" w:eastAsia="宋体" w:cs="宋体"/>
          <w:bCs/>
          <w:color w:val="auto"/>
          <w:kern w:val="0"/>
          <w:sz w:val="24"/>
          <w:highlight w:val="none"/>
          <w:u w:val="single"/>
          <w:lang w:eastAsia="zh-CN"/>
        </w:rPr>
        <w:t>向承包方</w:t>
      </w:r>
      <w:r>
        <w:rPr>
          <w:rFonts w:hint="eastAsia" w:ascii="宋体" w:hAnsi="宋体" w:eastAsia="宋体" w:cs="宋体"/>
          <w:bCs/>
          <w:color w:val="auto"/>
          <w:kern w:val="0"/>
          <w:sz w:val="24"/>
          <w:highlight w:val="none"/>
          <w:u w:val="single"/>
        </w:rPr>
        <w:t>返还缴存的</w:t>
      </w:r>
      <w:r>
        <w:rPr>
          <w:rFonts w:hint="eastAsia" w:ascii="宋体" w:hAnsi="宋体" w:eastAsia="宋体" w:cs="宋体"/>
          <w:bCs/>
          <w:color w:val="auto"/>
          <w:kern w:val="0"/>
          <w:sz w:val="24"/>
          <w:highlight w:val="none"/>
          <w:u w:val="single"/>
          <w:lang w:eastAsia="zh-CN"/>
        </w:rPr>
        <w:t>工程</w:t>
      </w:r>
      <w:r>
        <w:rPr>
          <w:rFonts w:hint="eastAsia" w:ascii="宋体" w:hAnsi="宋体" w:eastAsia="宋体" w:cs="宋体"/>
          <w:bCs/>
          <w:color w:val="auto"/>
          <w:kern w:val="0"/>
          <w:sz w:val="24"/>
          <w:highlight w:val="none"/>
          <w:u w:val="single"/>
        </w:rPr>
        <w:t>质</w:t>
      </w:r>
      <w:r>
        <w:rPr>
          <w:rFonts w:hint="eastAsia" w:ascii="宋体" w:hAnsi="宋体" w:eastAsia="宋体" w:cs="宋体"/>
          <w:bCs/>
          <w:color w:val="auto"/>
          <w:kern w:val="0"/>
          <w:sz w:val="24"/>
          <w:highlight w:val="none"/>
          <w:u w:val="single"/>
          <w:lang w:eastAsia="zh-CN"/>
        </w:rPr>
        <w:t>量</w:t>
      </w:r>
      <w:r>
        <w:rPr>
          <w:rFonts w:hint="eastAsia" w:ascii="宋体" w:hAnsi="宋体" w:eastAsia="宋体" w:cs="宋体"/>
          <w:bCs/>
          <w:color w:val="auto"/>
          <w:kern w:val="0"/>
          <w:sz w:val="24"/>
          <w:highlight w:val="none"/>
          <w:u w:val="single"/>
        </w:rPr>
        <w:t>保</w:t>
      </w:r>
      <w:r>
        <w:rPr>
          <w:rFonts w:hint="eastAsia" w:ascii="宋体" w:hAnsi="宋体" w:eastAsia="宋体" w:cs="宋体"/>
          <w:bCs/>
          <w:color w:val="auto"/>
          <w:kern w:val="0"/>
          <w:sz w:val="24"/>
          <w:highlight w:val="none"/>
          <w:u w:val="single"/>
          <w:lang w:eastAsia="zh-CN"/>
        </w:rPr>
        <w:t>证</w:t>
      </w:r>
      <w:r>
        <w:rPr>
          <w:rFonts w:hint="eastAsia" w:ascii="宋体" w:hAnsi="宋体" w:eastAsia="宋体" w:cs="宋体"/>
          <w:bCs/>
          <w:color w:val="auto"/>
          <w:kern w:val="0"/>
          <w:sz w:val="24"/>
          <w:highlight w:val="none"/>
          <w:u w:val="single"/>
        </w:rPr>
        <w:t>金。</w:t>
      </w:r>
    </w:p>
    <w:p w14:paraId="1059D821">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u w:val="single"/>
        </w:rPr>
        <w:t>（3）合同约定的工程质量缺陷责任期（最长不超过2年）满后由承包人向发包人提出返还保证金的申请，发包人在接到承包人返还保证金申请后，于14天内会同承包人按照合同约定的内容进行核实。如无异议，发包人在核实后14天内将保证金返还承包人，逾期未返还的，依法承担违约责任。发包人在接到承包人返还保证金申请后14天内不予答复，经催告后14天内仍不予答复，视同认可承包人的返还保证金申请。</w:t>
      </w:r>
    </w:p>
    <w:p w14:paraId="2E4D254A">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42" w:firstLineChars="200"/>
        <w:jc w:val="left"/>
        <w:rPr>
          <w:rFonts w:hint="eastAsia" w:ascii="宋体" w:hAnsi="宋体" w:eastAsia="宋体" w:cs="宋体"/>
          <w:b/>
          <w:color w:val="auto"/>
          <w:spacing w:val="5"/>
          <w:kern w:val="0"/>
          <w:szCs w:val="21"/>
          <w:highlight w:val="none"/>
        </w:rPr>
      </w:pPr>
      <w:r>
        <w:rPr>
          <w:rFonts w:hint="eastAsia" w:ascii="宋体" w:hAnsi="宋体" w:eastAsia="宋体" w:cs="宋体"/>
          <w:b/>
          <w:color w:val="auto"/>
          <w:spacing w:val="5"/>
          <w:kern w:val="0"/>
          <w:szCs w:val="21"/>
          <w:highlight w:val="none"/>
        </w:rPr>
        <w:t>如承包人为联合体的，须经牵头人同意并盖章确认后方可申请非牵头单位的进度款。</w:t>
      </w:r>
    </w:p>
    <w:p w14:paraId="43DE294C">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42" w:firstLineChars="200"/>
        <w:jc w:val="left"/>
        <w:rPr>
          <w:rFonts w:hint="eastAsia" w:ascii="宋体" w:hAnsi="宋体" w:eastAsia="宋体" w:cs="宋体"/>
          <w:b/>
          <w:color w:val="auto"/>
          <w:spacing w:val="9"/>
          <w:kern w:val="0"/>
          <w:szCs w:val="21"/>
          <w:highlight w:val="none"/>
          <w:u w:val="single" w:color="000000"/>
        </w:rPr>
      </w:pPr>
      <w:r>
        <w:rPr>
          <w:rFonts w:hint="eastAsia" w:ascii="宋体" w:hAnsi="宋体" w:eastAsia="宋体" w:cs="宋体"/>
          <w:b/>
          <w:color w:val="auto"/>
          <w:spacing w:val="5"/>
          <w:kern w:val="0"/>
          <w:szCs w:val="21"/>
          <w:highlight w:val="none"/>
        </w:rPr>
        <w:t>工程款支付方式：</w:t>
      </w:r>
      <w:r>
        <w:rPr>
          <w:rFonts w:hint="eastAsia" w:ascii="宋体" w:hAnsi="宋体" w:eastAsia="宋体" w:cs="宋体"/>
          <w:b/>
          <w:color w:val="auto"/>
          <w:spacing w:val="-38"/>
          <w:kern w:val="0"/>
          <w:szCs w:val="21"/>
          <w:highlight w:val="none"/>
        </w:rPr>
        <w:t xml:space="preserve"> </w:t>
      </w:r>
      <w:r>
        <w:rPr>
          <w:rFonts w:hint="eastAsia" w:ascii="宋体" w:hAnsi="宋体" w:eastAsia="宋体" w:cs="宋体"/>
          <w:b/>
          <w:color w:val="auto"/>
          <w:spacing w:val="-38"/>
          <w:kern w:val="0"/>
          <w:szCs w:val="21"/>
          <w:highlight w:val="none"/>
          <w:u w:val="single" w:color="000000"/>
        </w:rPr>
        <w:t xml:space="preserve"> </w:t>
      </w:r>
      <w:r>
        <w:rPr>
          <w:rFonts w:hint="eastAsia" w:ascii="宋体" w:hAnsi="宋体" w:eastAsia="宋体" w:cs="宋体"/>
          <w:b/>
          <w:color w:val="auto"/>
          <w:spacing w:val="9"/>
          <w:kern w:val="0"/>
          <w:szCs w:val="21"/>
          <w:highlight w:val="none"/>
          <w:u w:val="single" w:color="000000"/>
        </w:rPr>
        <w:t>银行转账。</w:t>
      </w:r>
    </w:p>
    <w:p w14:paraId="6FC8BCB5">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58" w:firstLineChars="200"/>
        <w:jc w:val="left"/>
        <w:rPr>
          <w:rFonts w:hint="eastAsia" w:ascii="宋体" w:hAnsi="宋体" w:eastAsia="宋体" w:cs="宋体"/>
          <w:b/>
          <w:color w:val="auto"/>
          <w:spacing w:val="9"/>
          <w:kern w:val="0"/>
          <w:szCs w:val="21"/>
          <w:highlight w:val="none"/>
          <w:u w:val="single" w:color="000000"/>
        </w:rPr>
      </w:pPr>
      <w:r>
        <w:rPr>
          <w:rFonts w:hint="eastAsia" w:ascii="宋体" w:hAnsi="宋体" w:eastAsia="宋体" w:cs="宋体"/>
          <w:b/>
          <w:color w:val="auto"/>
          <w:spacing w:val="9"/>
          <w:kern w:val="0"/>
          <w:szCs w:val="21"/>
          <w:highlight w:val="none"/>
          <w:u w:val="single" w:color="000000"/>
        </w:rPr>
        <w:t>本项目承包人工程款须设立受发包人监管的单独账户。承包人须做到专款专用，不得将本项目工程款项挪作他用。发包人有权随时了解和查看工程款项的使用情况，工程款必须由发包人全过程监控支付。</w:t>
      </w:r>
    </w:p>
    <w:p w14:paraId="6E2B15F8">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58" w:firstLineChars="200"/>
        <w:jc w:val="left"/>
        <w:rPr>
          <w:rFonts w:hint="eastAsia" w:ascii="宋体" w:hAnsi="宋体" w:eastAsia="宋体" w:cs="宋体"/>
          <w:b/>
          <w:color w:val="auto"/>
          <w:spacing w:val="9"/>
          <w:kern w:val="0"/>
          <w:szCs w:val="21"/>
          <w:highlight w:val="none"/>
          <w:u w:val="single" w:color="000000"/>
          <w:lang w:val="en-US" w:eastAsia="zh-CN"/>
        </w:rPr>
      </w:pPr>
      <w:r>
        <w:rPr>
          <w:rFonts w:hint="eastAsia" w:ascii="宋体" w:hAnsi="宋体" w:eastAsia="宋体" w:cs="宋体"/>
          <w:b/>
          <w:color w:val="auto"/>
          <w:spacing w:val="9"/>
          <w:kern w:val="0"/>
          <w:szCs w:val="21"/>
          <w:highlight w:val="none"/>
          <w:u w:val="single" w:color="000000"/>
        </w:rPr>
        <w:t>专用账户：</w:t>
      </w:r>
      <w:r>
        <w:rPr>
          <w:rFonts w:hint="eastAsia" w:ascii="宋体" w:hAnsi="宋体" w:eastAsia="宋体" w:cs="宋体"/>
          <w:b/>
          <w:color w:val="auto"/>
          <w:spacing w:val="9"/>
          <w:kern w:val="0"/>
          <w:szCs w:val="21"/>
          <w:highlight w:val="none"/>
          <w:u w:val="single" w:color="000000"/>
          <w:lang w:val="en-US" w:eastAsia="zh-CN"/>
        </w:rPr>
        <w:t>/</w:t>
      </w:r>
    </w:p>
    <w:p w14:paraId="53B62D73">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58" w:firstLineChars="200"/>
        <w:jc w:val="left"/>
        <w:rPr>
          <w:rFonts w:hint="eastAsia" w:ascii="宋体" w:hAnsi="宋体" w:eastAsia="宋体" w:cs="宋体"/>
          <w:b/>
          <w:color w:val="auto"/>
          <w:spacing w:val="9"/>
          <w:kern w:val="0"/>
          <w:szCs w:val="21"/>
          <w:highlight w:val="none"/>
          <w:u w:val="single" w:color="000000"/>
          <w:lang w:val="en-US" w:eastAsia="zh-CN"/>
        </w:rPr>
      </w:pPr>
      <w:r>
        <w:rPr>
          <w:rFonts w:hint="eastAsia" w:ascii="宋体" w:hAnsi="宋体" w:eastAsia="宋体" w:cs="宋体"/>
          <w:b/>
          <w:color w:val="auto"/>
          <w:spacing w:val="9"/>
          <w:kern w:val="0"/>
          <w:szCs w:val="21"/>
          <w:highlight w:val="none"/>
          <w:u w:val="single" w:color="000000"/>
        </w:rPr>
        <w:t>开户银行：</w:t>
      </w:r>
      <w:r>
        <w:rPr>
          <w:rFonts w:hint="eastAsia" w:ascii="宋体" w:hAnsi="宋体" w:eastAsia="宋体" w:cs="宋体"/>
          <w:b/>
          <w:color w:val="auto"/>
          <w:spacing w:val="9"/>
          <w:kern w:val="0"/>
          <w:szCs w:val="21"/>
          <w:highlight w:val="none"/>
          <w:u w:val="single" w:color="000000"/>
          <w:lang w:val="en-US" w:eastAsia="zh-CN"/>
        </w:rPr>
        <w:t>/</w:t>
      </w:r>
    </w:p>
    <w:p w14:paraId="5B1FF628">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58" w:firstLineChars="200"/>
        <w:jc w:val="left"/>
        <w:rPr>
          <w:rFonts w:hint="eastAsia" w:ascii="宋体" w:hAnsi="宋体" w:eastAsia="宋体" w:cs="宋体"/>
          <w:b/>
          <w:color w:val="auto"/>
          <w:spacing w:val="9"/>
          <w:kern w:val="0"/>
          <w:szCs w:val="21"/>
          <w:highlight w:val="none"/>
          <w:u w:val="single" w:color="000000"/>
          <w:lang w:val="en-US" w:eastAsia="zh-CN"/>
        </w:rPr>
      </w:pPr>
      <w:r>
        <w:rPr>
          <w:rFonts w:hint="eastAsia" w:ascii="宋体" w:hAnsi="宋体" w:eastAsia="宋体" w:cs="宋体"/>
          <w:b/>
          <w:color w:val="auto"/>
          <w:spacing w:val="9"/>
          <w:kern w:val="0"/>
          <w:szCs w:val="21"/>
          <w:highlight w:val="none"/>
          <w:u w:val="single" w:color="000000"/>
        </w:rPr>
        <w:t>账户名称：</w:t>
      </w:r>
      <w:r>
        <w:rPr>
          <w:rFonts w:hint="eastAsia" w:ascii="宋体" w:hAnsi="宋体" w:eastAsia="宋体" w:cs="宋体"/>
          <w:b/>
          <w:color w:val="auto"/>
          <w:spacing w:val="9"/>
          <w:kern w:val="0"/>
          <w:szCs w:val="21"/>
          <w:highlight w:val="none"/>
          <w:u w:val="single" w:color="000000"/>
          <w:lang w:val="en-US" w:eastAsia="zh-CN"/>
        </w:rPr>
        <w:t>/</w:t>
      </w:r>
    </w:p>
    <w:p w14:paraId="08AD2A06">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58" w:firstLineChars="200"/>
        <w:jc w:val="left"/>
        <w:rPr>
          <w:rFonts w:hint="eastAsia" w:ascii="宋体" w:hAnsi="宋体" w:eastAsia="宋体" w:cs="宋体"/>
          <w:b/>
          <w:color w:val="auto"/>
          <w:spacing w:val="9"/>
          <w:kern w:val="0"/>
          <w:szCs w:val="21"/>
          <w:highlight w:val="none"/>
          <w:u w:val="single" w:color="000000"/>
          <w:lang w:val="en-US" w:eastAsia="zh-CN"/>
        </w:rPr>
      </w:pPr>
      <w:r>
        <w:rPr>
          <w:rFonts w:hint="eastAsia" w:ascii="宋体" w:hAnsi="宋体" w:eastAsia="宋体" w:cs="宋体"/>
          <w:b/>
          <w:color w:val="auto"/>
          <w:spacing w:val="9"/>
          <w:kern w:val="0"/>
          <w:szCs w:val="21"/>
          <w:highlight w:val="none"/>
          <w:u w:val="single" w:color="000000"/>
        </w:rPr>
        <w:t>银行账号：</w:t>
      </w:r>
      <w:r>
        <w:rPr>
          <w:rFonts w:hint="eastAsia" w:ascii="宋体" w:hAnsi="宋体" w:eastAsia="宋体" w:cs="宋体"/>
          <w:b/>
          <w:color w:val="auto"/>
          <w:spacing w:val="9"/>
          <w:kern w:val="0"/>
          <w:szCs w:val="21"/>
          <w:highlight w:val="none"/>
          <w:u w:val="single" w:color="000000"/>
          <w:lang w:val="en-US" w:eastAsia="zh-CN"/>
        </w:rPr>
        <w:t>/</w:t>
      </w:r>
    </w:p>
    <w:p w14:paraId="1AB346D5">
      <w:pPr>
        <w:pStyle w:val="24"/>
        <w:keepNext w:val="0"/>
        <w:keepLines w:val="0"/>
        <w:pageBreakBefore w:val="0"/>
        <w:widowControl w:val="0"/>
        <w:tabs>
          <w:tab w:val="left" w:pos="6114"/>
        </w:tabs>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12.4.2</w:t>
      </w:r>
      <w:r>
        <w:rPr>
          <w:rFonts w:hint="eastAsia" w:ascii="宋体" w:hAnsi="宋体" w:eastAsia="宋体" w:cs="宋体"/>
          <w:color w:val="auto"/>
          <w:spacing w:val="37"/>
          <w:kern w:val="0"/>
          <w:szCs w:val="21"/>
          <w:highlight w:val="none"/>
        </w:rPr>
        <w:t xml:space="preserve"> </w:t>
      </w:r>
      <w:r>
        <w:rPr>
          <w:rFonts w:hint="eastAsia" w:ascii="宋体" w:hAnsi="宋体" w:eastAsia="宋体" w:cs="宋体"/>
          <w:color w:val="auto"/>
          <w:kern w:val="0"/>
          <w:szCs w:val="21"/>
          <w:highlight w:val="none"/>
        </w:rPr>
        <w:t xml:space="preserve">进度付款申请单的编制 </w:t>
      </w:r>
    </w:p>
    <w:p w14:paraId="573C1CCC">
      <w:pPr>
        <w:pStyle w:val="24"/>
        <w:keepNext w:val="0"/>
        <w:keepLines w:val="0"/>
        <w:pageBreakBefore w:val="0"/>
        <w:widowControl w:val="0"/>
        <w:tabs>
          <w:tab w:val="left" w:pos="6114"/>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关于进度付款申请单编制的约定：</w:t>
      </w:r>
      <w:r>
        <w:rPr>
          <w:rFonts w:hint="eastAsia" w:ascii="宋体" w:hAnsi="宋体" w:eastAsia="宋体" w:cs="宋体"/>
          <w:b/>
          <w:bCs/>
          <w:color w:val="auto"/>
          <w:kern w:val="0"/>
          <w:szCs w:val="21"/>
          <w:highlight w:val="none"/>
          <w:u w:val="single"/>
        </w:rPr>
        <w:t xml:space="preserve">按通用合同条款12.4.2执行 </w:t>
      </w:r>
      <w:r>
        <w:rPr>
          <w:rFonts w:hint="eastAsia" w:ascii="宋体" w:hAnsi="宋体" w:eastAsia="宋体" w:cs="宋体"/>
          <w:b/>
          <w:bCs/>
          <w:color w:val="auto"/>
          <w:kern w:val="0"/>
          <w:szCs w:val="21"/>
          <w:highlight w:val="none"/>
        </w:rPr>
        <w:t xml:space="preserve"> </w:t>
      </w:r>
    </w:p>
    <w:p w14:paraId="6B469B06">
      <w:pPr>
        <w:pStyle w:val="24"/>
        <w:keepNext w:val="0"/>
        <w:keepLines w:val="0"/>
        <w:pageBreakBefore w:val="0"/>
        <w:widowControl w:val="0"/>
        <w:tabs>
          <w:tab w:val="left" w:pos="6114"/>
        </w:tabs>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12.4.3</w:t>
      </w:r>
      <w:r>
        <w:rPr>
          <w:rFonts w:hint="eastAsia" w:ascii="宋体" w:hAnsi="宋体" w:eastAsia="宋体" w:cs="宋体"/>
          <w:color w:val="auto"/>
          <w:spacing w:val="39"/>
          <w:kern w:val="0"/>
          <w:szCs w:val="21"/>
          <w:highlight w:val="none"/>
        </w:rPr>
        <w:t xml:space="preserve"> </w:t>
      </w:r>
      <w:r>
        <w:rPr>
          <w:rFonts w:hint="eastAsia" w:ascii="宋体" w:hAnsi="宋体" w:eastAsia="宋体" w:cs="宋体"/>
          <w:color w:val="auto"/>
          <w:kern w:val="0"/>
          <w:szCs w:val="21"/>
          <w:highlight w:val="none"/>
        </w:rPr>
        <w:t>进度付款申请单的提交</w:t>
      </w:r>
    </w:p>
    <w:p w14:paraId="3C66375A">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12" w:firstLineChars="200"/>
        <w:jc w:val="left"/>
        <w:rPr>
          <w:rFonts w:hint="eastAsia" w:ascii="宋体" w:hAnsi="宋体" w:eastAsia="宋体" w:cs="宋体"/>
          <w:b/>
          <w:bCs/>
          <w:color w:val="auto"/>
          <w:szCs w:val="21"/>
          <w:highlight w:val="none"/>
          <w:u w:val="single"/>
        </w:rPr>
      </w:pPr>
      <w:r>
        <w:rPr>
          <w:rFonts w:hint="eastAsia" w:ascii="宋体" w:hAnsi="宋体" w:eastAsia="宋体" w:cs="宋体"/>
          <w:color w:val="auto"/>
          <w:spacing w:val="-2"/>
          <w:kern w:val="0"/>
          <w:szCs w:val="21"/>
          <w:highlight w:val="none"/>
        </w:rPr>
        <w:t>（1）单价合同进度付款申请单提交的约定：</w:t>
      </w:r>
      <w:r>
        <w:rPr>
          <w:rFonts w:hint="eastAsia" w:ascii="宋体" w:hAnsi="宋体" w:eastAsia="宋体" w:cs="宋体"/>
          <w:b/>
          <w:bCs/>
          <w:color w:val="auto"/>
          <w:szCs w:val="21"/>
          <w:highlight w:val="none"/>
          <w:u w:val="single"/>
        </w:rPr>
        <w:t>发包人向财政部门申请工程进度款时，承包人应配合发包人提供以下资料：①《工程用款支付证书》；②《财政性资金投资项目用款核定通知书》；③工程量计量报表（格式按发包人具体要求）；④其他需要补充说明的材料。</w:t>
      </w:r>
    </w:p>
    <w:p w14:paraId="509BED76">
      <w:pPr>
        <w:pStyle w:val="24"/>
        <w:keepNext w:val="0"/>
        <w:keepLines w:val="0"/>
        <w:pageBreakBefore w:val="0"/>
        <w:widowControl w:val="0"/>
        <w:tabs>
          <w:tab w:val="left" w:pos="6219"/>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（2）总价合同进度付款申请单提交的约定：</w:t>
      </w:r>
      <w:r>
        <w:rPr>
          <w:rFonts w:hint="eastAsia" w:ascii="宋体" w:hAnsi="宋体" w:eastAsia="宋体" w:cs="宋体"/>
          <w:color w:val="auto"/>
          <w:kern w:val="0"/>
          <w:szCs w:val="21"/>
          <w:highlight w:val="none"/>
        </w:rPr>
        <w:t xml:space="preserve"> </w:t>
      </w:r>
      <w:r>
        <w:rPr>
          <w:rFonts w:hint="eastAsia" w:ascii="宋体" w:hAnsi="宋体" w:eastAsia="宋体" w:cs="宋体"/>
          <w:color w:val="auto"/>
          <w:kern w:val="0"/>
          <w:szCs w:val="21"/>
          <w:highlight w:val="none"/>
          <w:u w:val="single"/>
        </w:rPr>
        <w:t xml:space="preserve"> </w:t>
      </w:r>
      <w:r>
        <w:rPr>
          <w:rFonts w:hint="eastAsia" w:ascii="宋体" w:hAnsi="宋体" w:eastAsia="宋体" w:cs="宋体"/>
          <w:b/>
          <w:bCs/>
          <w:color w:val="auto"/>
          <w:kern w:val="0"/>
          <w:szCs w:val="21"/>
          <w:highlight w:val="none"/>
          <w:u w:val="single"/>
        </w:rPr>
        <w:t xml:space="preserve"> /  </w:t>
      </w:r>
      <w:r>
        <w:rPr>
          <w:rFonts w:hint="eastAsia" w:ascii="宋体" w:hAnsi="宋体" w:eastAsia="宋体" w:cs="宋体"/>
          <w:b/>
          <w:bCs/>
          <w:color w:val="auto"/>
          <w:kern w:val="0"/>
          <w:szCs w:val="21"/>
          <w:highlight w:val="none"/>
        </w:rPr>
        <w:t>。</w:t>
      </w:r>
    </w:p>
    <w:p w14:paraId="27AD9B7C">
      <w:pPr>
        <w:pStyle w:val="24"/>
        <w:keepNext w:val="0"/>
        <w:keepLines w:val="0"/>
        <w:pageBreakBefore w:val="0"/>
        <w:widowControl w:val="0"/>
        <w:tabs>
          <w:tab w:val="left" w:pos="8322"/>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（3）其他价格形式合同进度付款申请单提交的约定：</w:t>
      </w:r>
      <w:r>
        <w:rPr>
          <w:rFonts w:hint="eastAsia" w:ascii="宋体" w:hAnsi="宋体" w:eastAsia="宋体" w:cs="宋体"/>
          <w:color w:val="auto"/>
          <w:kern w:val="0"/>
          <w:szCs w:val="21"/>
          <w:highlight w:val="none"/>
          <w:u w:val="single"/>
        </w:rPr>
        <w:t xml:space="preserve"> </w:t>
      </w:r>
      <w:r>
        <w:rPr>
          <w:rFonts w:hint="eastAsia" w:ascii="宋体" w:hAnsi="宋体" w:eastAsia="宋体" w:cs="宋体"/>
          <w:b/>
          <w:bCs/>
          <w:color w:val="auto"/>
          <w:kern w:val="0"/>
          <w:szCs w:val="21"/>
          <w:highlight w:val="none"/>
          <w:u w:val="single"/>
        </w:rPr>
        <w:t xml:space="preserve"> /  </w:t>
      </w:r>
      <w:r>
        <w:rPr>
          <w:rFonts w:hint="eastAsia" w:ascii="宋体" w:hAnsi="宋体" w:eastAsia="宋体" w:cs="宋体"/>
          <w:b/>
          <w:bCs/>
          <w:color w:val="auto"/>
          <w:kern w:val="0"/>
          <w:szCs w:val="21"/>
          <w:highlight w:val="none"/>
        </w:rPr>
        <w:t>。</w:t>
      </w:r>
    </w:p>
    <w:p w14:paraId="26B77932">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12.4.4</w:t>
      </w:r>
      <w:r>
        <w:rPr>
          <w:rFonts w:hint="eastAsia" w:ascii="宋体" w:hAnsi="宋体" w:eastAsia="宋体" w:cs="宋体"/>
          <w:color w:val="auto"/>
          <w:spacing w:val="39"/>
          <w:kern w:val="0"/>
          <w:szCs w:val="21"/>
          <w:highlight w:val="none"/>
        </w:rPr>
        <w:t xml:space="preserve"> </w:t>
      </w:r>
      <w:r>
        <w:rPr>
          <w:rFonts w:hint="eastAsia" w:ascii="宋体" w:hAnsi="宋体" w:eastAsia="宋体" w:cs="宋体"/>
          <w:color w:val="auto"/>
          <w:kern w:val="0"/>
          <w:szCs w:val="21"/>
          <w:highlight w:val="none"/>
        </w:rPr>
        <w:t>进度款审核和支付</w:t>
      </w:r>
    </w:p>
    <w:p w14:paraId="7363219A">
      <w:pPr>
        <w:pStyle w:val="24"/>
        <w:keepNext w:val="0"/>
        <w:keepLines w:val="0"/>
        <w:pageBreakBefore w:val="0"/>
        <w:widowControl w:val="0"/>
        <w:tabs>
          <w:tab w:val="left" w:pos="6129"/>
          <w:tab w:val="left" w:pos="8127"/>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（1）监理人审查并报送发包人的期限：</w:t>
      </w:r>
      <w:r>
        <w:rPr>
          <w:rFonts w:hint="eastAsia" w:ascii="宋体" w:hAnsi="宋体" w:eastAsia="宋体" w:cs="宋体"/>
          <w:color w:val="auto"/>
          <w:kern w:val="0"/>
          <w:szCs w:val="21"/>
          <w:highlight w:val="none"/>
          <w:u w:val="single"/>
        </w:rPr>
        <w:t>监理人应在收到承包人进度付款申请单以及相关资料后7天内完成审查并报送发包人</w:t>
      </w:r>
      <w:r>
        <w:rPr>
          <w:rFonts w:hint="eastAsia" w:ascii="宋体" w:hAnsi="宋体" w:eastAsia="宋体" w:cs="宋体"/>
          <w:color w:val="auto"/>
          <w:kern w:val="0"/>
          <w:szCs w:val="21"/>
          <w:highlight w:val="none"/>
        </w:rPr>
        <w:t xml:space="preserve">。 </w:t>
      </w:r>
    </w:p>
    <w:p w14:paraId="0E5816E2">
      <w:pPr>
        <w:pStyle w:val="24"/>
        <w:keepNext w:val="0"/>
        <w:keepLines w:val="0"/>
        <w:pageBreakBefore w:val="0"/>
        <w:widowControl w:val="0"/>
        <w:tabs>
          <w:tab w:val="left" w:pos="6129"/>
          <w:tab w:val="left" w:pos="8127"/>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b/>
          <w:bCs/>
          <w:color w:val="auto"/>
          <w:kern w:val="0"/>
          <w:szCs w:val="21"/>
          <w:highlight w:val="none"/>
        </w:rPr>
      </w:pPr>
      <w:r>
        <w:rPr>
          <w:rFonts w:hint="eastAsia" w:ascii="宋体" w:hAnsi="宋体" w:eastAsia="宋体" w:cs="宋体"/>
          <w:color w:val="auto"/>
          <w:spacing w:val="-1"/>
          <w:kern w:val="0"/>
          <w:szCs w:val="21"/>
          <w:highlight w:val="none"/>
        </w:rPr>
        <w:t>发包人完成审批并签发进度款支付证书的期限：</w:t>
      </w:r>
      <w:r>
        <w:rPr>
          <w:rFonts w:hint="eastAsia" w:ascii="宋体" w:hAnsi="宋体" w:eastAsia="宋体" w:cs="宋体"/>
          <w:b/>
          <w:bCs/>
          <w:color w:val="auto"/>
          <w:kern w:val="0"/>
          <w:szCs w:val="21"/>
          <w:highlight w:val="none"/>
          <w:u w:val="single"/>
        </w:rPr>
        <w:t>发包人应在收到后  /  天内完成审批并签发进度款支付证书</w:t>
      </w:r>
      <w:r>
        <w:rPr>
          <w:rFonts w:hint="eastAsia" w:ascii="宋体" w:hAnsi="宋体" w:eastAsia="宋体" w:cs="宋体"/>
          <w:b/>
          <w:bCs/>
          <w:color w:val="auto"/>
          <w:kern w:val="0"/>
          <w:szCs w:val="21"/>
          <w:highlight w:val="none"/>
        </w:rPr>
        <w:t>。</w:t>
      </w:r>
    </w:p>
    <w:p w14:paraId="1C8BC0BA">
      <w:pPr>
        <w:pStyle w:val="24"/>
        <w:keepNext w:val="0"/>
        <w:keepLines w:val="0"/>
        <w:pageBreakBefore w:val="0"/>
        <w:widowControl w:val="0"/>
        <w:numPr>
          <w:ilvl w:val="0"/>
          <w:numId w:val="0"/>
        </w:numPr>
        <w:tabs>
          <w:tab w:val="left" w:pos="6129"/>
          <w:tab w:val="left" w:pos="8127"/>
        </w:tabs>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lang w:val="en-US" w:eastAsia="zh-CN" w:bidi="ar-SA"/>
        </w:rPr>
        <w:t>（2）</w:t>
      </w:r>
      <w:r>
        <w:rPr>
          <w:rFonts w:hint="eastAsia" w:ascii="宋体" w:hAnsi="宋体" w:eastAsia="宋体" w:cs="宋体"/>
          <w:color w:val="auto"/>
          <w:spacing w:val="-1"/>
          <w:kern w:val="0"/>
          <w:szCs w:val="21"/>
          <w:highlight w:val="none"/>
        </w:rPr>
        <w:t>发包人支付进度款的期限：</w:t>
      </w:r>
      <w:r>
        <w:rPr>
          <w:rFonts w:hint="eastAsia" w:ascii="宋体" w:hAnsi="宋体" w:eastAsia="宋体" w:cs="宋体"/>
          <w:b/>
          <w:bCs/>
          <w:color w:val="auto"/>
          <w:kern w:val="0"/>
          <w:szCs w:val="21"/>
          <w:highlight w:val="none"/>
          <w:u w:val="single"/>
        </w:rPr>
        <w:t>发包人应在收到后  /  天内完成审批并签发进度款支付证书</w:t>
      </w:r>
      <w:r>
        <w:rPr>
          <w:rFonts w:hint="eastAsia" w:ascii="宋体" w:hAnsi="宋体" w:eastAsia="宋体" w:cs="宋体"/>
          <w:b/>
          <w:bCs/>
          <w:color w:val="auto"/>
          <w:kern w:val="0"/>
          <w:szCs w:val="21"/>
          <w:highlight w:val="none"/>
        </w:rPr>
        <w:t>。</w:t>
      </w:r>
    </w:p>
    <w:p w14:paraId="624833D9">
      <w:pPr>
        <w:pStyle w:val="24"/>
        <w:keepNext w:val="0"/>
        <w:keepLines w:val="0"/>
        <w:pageBreakBefore w:val="0"/>
        <w:widowControl w:val="0"/>
        <w:tabs>
          <w:tab w:val="left" w:pos="6129"/>
          <w:tab w:val="left" w:pos="8337"/>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发包人逾期支付进度款的违约金的计算方式：</w:t>
      </w:r>
      <w:r>
        <w:rPr>
          <w:rFonts w:hint="eastAsia" w:ascii="宋体" w:hAnsi="宋体" w:eastAsia="宋体" w:cs="宋体"/>
          <w:b/>
          <w:bCs/>
          <w:color w:val="auto"/>
          <w:kern w:val="0"/>
          <w:szCs w:val="21"/>
          <w:highlight w:val="none"/>
          <w:u w:val="single"/>
        </w:rPr>
        <w:t xml:space="preserve">无  </w:t>
      </w:r>
      <w:r>
        <w:rPr>
          <w:rFonts w:hint="eastAsia" w:ascii="宋体" w:hAnsi="宋体" w:eastAsia="宋体" w:cs="宋体"/>
          <w:b/>
          <w:bCs/>
          <w:color w:val="auto"/>
          <w:kern w:val="0"/>
          <w:szCs w:val="21"/>
          <w:highlight w:val="none"/>
        </w:rPr>
        <w:t>。</w:t>
      </w:r>
    </w:p>
    <w:p w14:paraId="01990803">
      <w:pPr>
        <w:pStyle w:val="24"/>
        <w:keepNext w:val="0"/>
        <w:keepLines w:val="0"/>
        <w:pageBreakBefore w:val="0"/>
        <w:widowControl w:val="0"/>
        <w:tabs>
          <w:tab w:val="left" w:pos="6129"/>
          <w:tab w:val="left" w:pos="8337"/>
        </w:tabs>
        <w:wordWrap/>
        <w:overflowPunct/>
        <w:topLinePunct w:val="0"/>
        <w:bidi w:val="0"/>
        <w:spacing w:beforeAutospacing="0" w:afterAutospacing="0" w:line="360" w:lineRule="auto"/>
        <w:ind w:left="0" w:leftChars="0" w:right="0" w:rightChars="0" w:firstLine="432" w:firstLineChars="200"/>
        <w:jc w:val="left"/>
        <w:rPr>
          <w:rFonts w:hint="eastAsia" w:ascii="宋体" w:hAnsi="宋体" w:eastAsia="宋体" w:cs="宋体"/>
          <w:color w:val="auto"/>
          <w:spacing w:val="3"/>
          <w:kern w:val="0"/>
          <w:szCs w:val="21"/>
          <w:highlight w:val="none"/>
        </w:rPr>
      </w:pPr>
      <w:r>
        <w:rPr>
          <w:rFonts w:hint="eastAsia" w:ascii="宋体" w:hAnsi="宋体" w:eastAsia="宋体" w:cs="宋体"/>
          <w:color w:val="auto"/>
          <w:spacing w:val="3"/>
          <w:kern w:val="0"/>
          <w:szCs w:val="21"/>
          <w:highlight w:val="none"/>
        </w:rPr>
        <w:t>进度款支付方式：</w:t>
      </w:r>
      <w:r>
        <w:rPr>
          <w:rFonts w:hint="eastAsia" w:ascii="宋体" w:hAnsi="宋体" w:eastAsia="宋体" w:cs="宋体"/>
          <w:b/>
          <w:color w:val="auto"/>
          <w:spacing w:val="3"/>
          <w:kern w:val="0"/>
          <w:szCs w:val="21"/>
          <w:highlight w:val="none"/>
          <w:u w:val="single" w:color="000000"/>
        </w:rPr>
        <w:t>银行转账</w:t>
      </w:r>
      <w:r>
        <w:rPr>
          <w:rFonts w:hint="eastAsia" w:ascii="宋体" w:hAnsi="宋体" w:eastAsia="宋体" w:cs="宋体"/>
          <w:color w:val="auto"/>
          <w:spacing w:val="3"/>
          <w:kern w:val="0"/>
          <w:szCs w:val="21"/>
          <w:highlight w:val="none"/>
        </w:rPr>
        <w:t>。</w:t>
      </w:r>
    </w:p>
    <w:p w14:paraId="5818F236">
      <w:pPr>
        <w:pStyle w:val="24"/>
        <w:keepNext w:val="0"/>
        <w:keepLines w:val="0"/>
        <w:pageBreakBefore w:val="0"/>
        <w:widowControl w:val="0"/>
        <w:wordWrap/>
        <w:overflowPunct/>
        <w:topLinePunct w:val="0"/>
        <w:autoSpaceDE w:val="0"/>
        <w:autoSpaceDN w:val="0"/>
        <w:bidi w:val="0"/>
        <w:adjustRightInd w:val="0"/>
        <w:spacing w:beforeAutospacing="0" w:afterAutospacing="0" w:line="360" w:lineRule="auto"/>
        <w:ind w:left="0" w:leftChars="0" w:right="0" w:rightChars="0" w:firstLine="432" w:firstLineChars="200"/>
        <w:jc w:val="left"/>
        <w:rPr>
          <w:rFonts w:hint="eastAsia" w:ascii="宋体" w:hAnsi="宋体" w:eastAsia="宋体" w:cs="宋体"/>
          <w:color w:val="auto"/>
          <w:spacing w:val="3"/>
          <w:szCs w:val="21"/>
          <w:highlight w:val="none"/>
        </w:rPr>
      </w:pPr>
      <w:r>
        <w:rPr>
          <w:rFonts w:hint="eastAsia" w:ascii="宋体" w:hAnsi="宋体" w:eastAsia="宋体" w:cs="宋体"/>
          <w:color w:val="auto"/>
          <w:spacing w:val="3"/>
          <w:szCs w:val="21"/>
          <w:highlight w:val="none"/>
        </w:rPr>
        <w:t>（</w:t>
      </w:r>
      <w:r>
        <w:rPr>
          <w:rFonts w:hint="eastAsia" w:ascii="宋体" w:hAnsi="宋体" w:eastAsia="宋体" w:cs="宋体"/>
          <w:color w:val="auto"/>
          <w:spacing w:val="3"/>
          <w:szCs w:val="21"/>
          <w:highlight w:val="none"/>
          <w:lang w:val="en-US" w:eastAsia="zh-CN"/>
        </w:rPr>
        <w:t>3</w:t>
      </w:r>
      <w:r>
        <w:rPr>
          <w:rFonts w:hint="eastAsia" w:ascii="宋体" w:hAnsi="宋体" w:eastAsia="宋体" w:cs="宋体"/>
          <w:color w:val="auto"/>
          <w:spacing w:val="3"/>
          <w:szCs w:val="21"/>
          <w:highlight w:val="none"/>
        </w:rPr>
        <w:t>）</w:t>
      </w:r>
      <w:r>
        <w:rPr>
          <w:rStyle w:val="18"/>
          <w:rFonts w:hint="eastAsia" w:ascii="宋体" w:hAnsi="宋体" w:eastAsia="宋体" w:cs="宋体"/>
          <w:color w:val="auto"/>
          <w:spacing w:val="0"/>
          <w:szCs w:val="21"/>
        </w:rPr>
        <w:t>农民工工资支付</w:t>
      </w:r>
    </w:p>
    <w:p w14:paraId="25BA0073">
      <w:pPr>
        <w:pStyle w:val="24"/>
        <w:keepNext w:val="0"/>
        <w:keepLines w:val="0"/>
        <w:pageBreakBefore w:val="0"/>
        <w:widowControl w:val="0"/>
        <w:wordWrap/>
        <w:overflowPunct/>
        <w:topLinePunct w:val="0"/>
        <w:autoSpaceDE w:val="0"/>
        <w:autoSpaceDN w:val="0"/>
        <w:bidi w:val="0"/>
        <w:adjustRightInd w:val="0"/>
        <w:spacing w:beforeAutospacing="0" w:afterAutospacing="0" w:line="360" w:lineRule="auto"/>
        <w:ind w:left="0" w:leftChars="0" w:right="0" w:rightChars="0"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农民工工资应与其它工程进度款分帐管理。承包人向发包人申请工程进度款时必须把工人工资部分单独列明，如果未单独列明，监理单位不得签支付证书等支付工程款的手续，发包人单位不得审批和支付工程款。发包人必须把工程款分帐出来的农民工工资转入承包人工人工资支付专用账户专户，转入专户环节必须有银行流水凭证。</w:t>
      </w:r>
    </w:p>
    <w:p w14:paraId="45075FE5">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发包人依据工程进度，按与承包人约定的农民工支付比例，将工程人工费分账支付到承包人的农民工工资专户，工程完工时发包人向承包人农民工工资专户支付的完工工程量的人工费支付比例不低于18 %，其余工程进度款项由发包人支付到承包人提供的账户。</w:t>
      </w:r>
    </w:p>
    <w:p w14:paraId="78A844C2">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承包人依据分包专业工程进度，按与分包人约定农民工支付比例，通过承包人农民工工资专户将分包工程的人工费分账支付到分包人的农民工工资专户，专业分包工程完工时承包人向分包人农民工工资专户支付完工工程量的人工费支付比例不低于12%。其余分包工程进度款项由承包人支付到分包人的单位基本户。</w:t>
      </w:r>
    </w:p>
    <w:p w14:paraId="6D4FBE72">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4）凡未向付款单位提供农民工工资专户的，或者请款单位在申请工程进度款时未将人工费单列的，付款单位有权拒绝支付工程进度款。</w:t>
      </w:r>
    </w:p>
    <w:p w14:paraId="7666C31F">
      <w:pPr>
        <w:pStyle w:val="24"/>
        <w:keepNext w:val="0"/>
        <w:keepLines w:val="0"/>
        <w:pageBreakBefore w:val="0"/>
        <w:widowControl w:val="0"/>
        <w:wordWrap/>
        <w:overflowPunct/>
        <w:topLinePunct w:val="0"/>
        <w:autoSpaceDE w:val="0"/>
        <w:autoSpaceDN w:val="0"/>
        <w:bidi w:val="0"/>
        <w:adjustRightInd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5）农民工工资使用要求：专款专用，除发放工人工资外，不得用于其他用途。</w:t>
      </w:r>
    </w:p>
    <w:p w14:paraId="5A41F07B">
      <w:pPr>
        <w:pStyle w:val="24"/>
        <w:keepNext w:val="0"/>
        <w:keepLines w:val="0"/>
        <w:pageBreakBefore w:val="0"/>
        <w:widowControl w:val="0"/>
        <w:wordWrap/>
        <w:overflowPunct/>
        <w:topLinePunct w:val="0"/>
        <w:autoSpaceDE w:val="0"/>
        <w:autoSpaceDN w:val="0"/>
        <w:bidi w:val="0"/>
        <w:adjustRightInd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6）承包人将农民工工资支付情况定期报告发包人和监理单位，并提供相应的材料接受建设行政主管部门和劳动保障行政主管部门对此事项监管。</w:t>
      </w:r>
    </w:p>
    <w:p w14:paraId="1C12B271">
      <w:pPr>
        <w:pStyle w:val="24"/>
        <w:keepNext w:val="0"/>
        <w:keepLines w:val="0"/>
        <w:pageBreakBefore w:val="0"/>
        <w:widowControl w:val="0"/>
        <w:wordWrap/>
        <w:overflowPunct/>
        <w:topLinePunct w:val="0"/>
        <w:autoSpaceDE w:val="0"/>
        <w:autoSpaceDN w:val="0"/>
        <w:bidi w:val="0"/>
        <w:adjustRightInd w:val="0"/>
        <w:spacing w:beforeAutospacing="0" w:afterAutospacing="0" w:line="360" w:lineRule="auto"/>
        <w:ind w:left="0" w:leftChars="0" w:right="0" w:rightChars="0" w:firstLine="420" w:firstLineChars="200"/>
        <w:jc w:val="left"/>
        <w:rPr>
          <w:rFonts w:hint="eastAsia" w:ascii="宋体" w:hAnsi="宋体" w:eastAsia="宋体" w:cs="宋体"/>
          <w:color w:val="auto"/>
          <w:spacing w:val="3"/>
          <w:szCs w:val="21"/>
          <w:highlight w:val="none"/>
        </w:rPr>
      </w:pPr>
      <w:r>
        <w:rPr>
          <w:rFonts w:hint="eastAsia" w:ascii="宋体" w:hAnsi="宋体" w:eastAsia="宋体" w:cs="宋体"/>
          <w:color w:val="auto"/>
          <w:kern w:val="0"/>
          <w:szCs w:val="21"/>
          <w:highlight w:val="none"/>
        </w:rPr>
        <w:t>（4）农民工工资支付专用账户：</w:t>
      </w:r>
      <w:r>
        <w:rPr>
          <w:rFonts w:hint="eastAsia" w:ascii="宋体" w:hAnsi="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rPr>
        <w:t>；开户行：</w:t>
      </w:r>
      <w:r>
        <w:rPr>
          <w:rFonts w:hint="eastAsia" w:ascii="宋体" w:hAnsi="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；账号：</w:t>
      </w:r>
      <w:r>
        <w:rPr>
          <w:rFonts w:hint="eastAsia" w:ascii="宋体" w:hAnsi="宋体" w:eastAsia="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rPr>
        <w:t xml:space="preserve"> 。</w:t>
      </w:r>
    </w:p>
    <w:p w14:paraId="7065668F">
      <w:pPr>
        <w:pStyle w:val="24"/>
        <w:keepNext w:val="0"/>
        <w:keepLines w:val="0"/>
        <w:pageBreakBefore w:val="0"/>
        <w:widowControl w:val="0"/>
        <w:tabs>
          <w:tab w:val="left" w:pos="6129"/>
          <w:tab w:val="left" w:pos="8337"/>
        </w:tabs>
        <w:wordWrap/>
        <w:overflowPunct/>
        <w:topLinePunct w:val="0"/>
        <w:bidi w:val="0"/>
        <w:spacing w:beforeAutospacing="0" w:afterAutospacing="0" w:line="360" w:lineRule="auto"/>
        <w:ind w:left="0" w:leftChars="0" w:right="0" w:rightChars="0" w:firstLine="432" w:firstLineChars="200"/>
        <w:jc w:val="left"/>
        <w:rPr>
          <w:rFonts w:hint="eastAsia" w:ascii="宋体" w:hAnsi="宋体" w:eastAsia="宋体" w:cs="宋体"/>
          <w:color w:val="auto"/>
          <w:spacing w:val="3"/>
          <w:kern w:val="0"/>
          <w:szCs w:val="21"/>
          <w:highlight w:val="none"/>
        </w:rPr>
      </w:pPr>
      <w:r>
        <w:rPr>
          <w:rFonts w:hint="eastAsia" w:ascii="宋体" w:hAnsi="宋体" w:eastAsia="宋体" w:cs="宋体"/>
          <w:color w:val="auto"/>
          <w:spacing w:val="3"/>
          <w:kern w:val="0"/>
          <w:szCs w:val="21"/>
          <w:highlight w:val="none"/>
        </w:rPr>
        <w:t>12.5 承包人应向发包人开具合法有效的增值税发票。</w:t>
      </w:r>
    </w:p>
    <w:p w14:paraId="0E9A58E4">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color w:val="auto"/>
          <w:szCs w:val="21"/>
          <w:highlight w:val="none"/>
        </w:rPr>
      </w:pPr>
      <w:bookmarkStart w:id="84" w:name="13._验收和工程试车"/>
      <w:bookmarkEnd w:id="84"/>
      <w:r>
        <w:rPr>
          <w:rFonts w:hint="eastAsia" w:ascii="宋体" w:hAnsi="宋体" w:eastAsia="宋体" w:cs="宋体"/>
          <w:b/>
          <w:color w:val="auto"/>
          <w:kern w:val="0"/>
          <w:szCs w:val="21"/>
          <w:highlight w:val="none"/>
        </w:rPr>
        <w:t xml:space="preserve">13. </w:t>
      </w:r>
      <w:r>
        <w:rPr>
          <w:rFonts w:hint="eastAsia" w:ascii="宋体" w:hAnsi="宋体" w:eastAsia="宋体" w:cs="宋体"/>
          <w:b/>
          <w:color w:val="auto"/>
          <w:spacing w:val="5"/>
          <w:kern w:val="0"/>
          <w:szCs w:val="21"/>
          <w:highlight w:val="none"/>
        </w:rPr>
        <w:t xml:space="preserve"> </w:t>
      </w:r>
      <w:r>
        <w:rPr>
          <w:rFonts w:hint="eastAsia" w:ascii="宋体" w:hAnsi="宋体" w:eastAsia="宋体" w:cs="宋体"/>
          <w:b/>
          <w:color w:val="auto"/>
          <w:spacing w:val="6"/>
          <w:kern w:val="0"/>
          <w:szCs w:val="21"/>
          <w:highlight w:val="none"/>
        </w:rPr>
        <w:t>验收和工程试车</w:t>
      </w:r>
    </w:p>
    <w:p w14:paraId="03728C04">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b/>
          <w:color w:val="auto"/>
          <w:spacing w:val="2"/>
          <w:kern w:val="0"/>
          <w:szCs w:val="21"/>
          <w:highlight w:val="none"/>
        </w:rPr>
      </w:pPr>
      <w:bookmarkStart w:id="85" w:name="13.1_分部分项工程验收"/>
      <w:bookmarkEnd w:id="85"/>
      <w:r>
        <w:rPr>
          <w:rFonts w:hint="eastAsia" w:ascii="宋体" w:hAnsi="宋体" w:eastAsia="宋体" w:cs="宋体"/>
          <w:b/>
          <w:color w:val="auto"/>
          <w:spacing w:val="2"/>
          <w:kern w:val="0"/>
          <w:szCs w:val="21"/>
          <w:highlight w:val="none"/>
        </w:rPr>
        <w:t>13.1  分部分项工程验收</w:t>
      </w:r>
    </w:p>
    <w:p w14:paraId="78CE857C">
      <w:pPr>
        <w:pStyle w:val="24"/>
        <w:keepNext w:val="0"/>
        <w:keepLines w:val="0"/>
        <w:pageBreakBefore w:val="0"/>
        <w:widowControl w:val="0"/>
        <w:tabs>
          <w:tab w:val="left" w:pos="5138"/>
        </w:tabs>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13.1.2 监理人不能按时进行验收时，应提前 24小时提交书面延期要求。 </w:t>
      </w:r>
    </w:p>
    <w:p w14:paraId="27094D41">
      <w:pPr>
        <w:pStyle w:val="24"/>
        <w:keepNext w:val="0"/>
        <w:keepLines w:val="0"/>
        <w:pageBreakBefore w:val="0"/>
        <w:widowControl w:val="0"/>
        <w:tabs>
          <w:tab w:val="left" w:pos="5138"/>
        </w:tabs>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关于延期最长不得超过：</w:t>
      </w:r>
      <w:r>
        <w:rPr>
          <w:rFonts w:hint="eastAsia" w:ascii="宋体" w:hAnsi="宋体" w:eastAsia="宋体" w:cs="宋体"/>
          <w:b/>
          <w:bCs/>
          <w:color w:val="auto"/>
          <w:spacing w:val="50"/>
          <w:kern w:val="0"/>
          <w:szCs w:val="21"/>
          <w:highlight w:val="none"/>
          <w:u w:val="single" w:color="000000"/>
        </w:rPr>
        <w:t>48</w:t>
      </w:r>
      <w:r>
        <w:rPr>
          <w:rFonts w:hint="eastAsia" w:ascii="宋体" w:hAnsi="宋体" w:eastAsia="宋体" w:cs="宋体"/>
          <w:color w:val="auto"/>
          <w:kern w:val="0"/>
          <w:szCs w:val="21"/>
          <w:highlight w:val="none"/>
        </w:rPr>
        <w:t>小时。</w:t>
      </w:r>
    </w:p>
    <w:p w14:paraId="5371463D">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b/>
          <w:color w:val="auto"/>
          <w:spacing w:val="2"/>
          <w:kern w:val="0"/>
          <w:szCs w:val="21"/>
          <w:highlight w:val="none"/>
        </w:rPr>
      </w:pPr>
      <w:bookmarkStart w:id="86" w:name="13.2_竣工验收"/>
      <w:bookmarkEnd w:id="86"/>
      <w:r>
        <w:rPr>
          <w:rFonts w:hint="eastAsia" w:ascii="宋体" w:hAnsi="宋体" w:eastAsia="宋体" w:cs="宋体"/>
          <w:b/>
          <w:color w:val="auto"/>
          <w:spacing w:val="2"/>
          <w:kern w:val="0"/>
          <w:szCs w:val="21"/>
          <w:highlight w:val="none"/>
        </w:rPr>
        <w:t>13.2  竣工验收</w:t>
      </w:r>
    </w:p>
    <w:p w14:paraId="2EA4B859">
      <w:pPr>
        <w:pStyle w:val="24"/>
        <w:keepNext w:val="0"/>
        <w:keepLines w:val="0"/>
        <w:pageBreakBefore w:val="0"/>
        <w:widowControl w:val="0"/>
        <w:tabs>
          <w:tab w:val="left" w:pos="5138"/>
        </w:tabs>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13.2.1 竣工验收条件</w:t>
      </w:r>
    </w:p>
    <w:p w14:paraId="5108557C">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（3） </w:t>
      </w:r>
      <w:r>
        <w:rPr>
          <w:rFonts w:hint="eastAsia" w:ascii="宋体" w:hAnsi="宋体" w:eastAsia="宋体" w:cs="宋体"/>
          <w:color w:val="auto"/>
          <w:spacing w:val="4"/>
          <w:kern w:val="0"/>
          <w:szCs w:val="21"/>
          <w:highlight w:val="none"/>
        </w:rPr>
        <w:t>承包人负责整理和提交的竣工验收资料应当符合工程所在地建设行政主管部门和（</w:t>
      </w:r>
      <w:r>
        <w:rPr>
          <w:rFonts w:hint="eastAsia" w:ascii="宋体" w:hAnsi="宋体" w:eastAsia="宋体" w:cs="宋体"/>
          <w:color w:val="auto"/>
          <w:spacing w:val="-9"/>
          <w:kern w:val="0"/>
          <w:szCs w:val="21"/>
          <w:highlight w:val="none"/>
        </w:rPr>
        <w:t xml:space="preserve"> </w:t>
      </w:r>
      <w:r>
        <w:rPr>
          <w:rFonts w:hint="eastAsia" w:ascii="宋体" w:hAnsi="宋体" w:eastAsia="宋体" w:cs="宋体"/>
          <w:color w:val="auto"/>
          <w:kern w:val="0"/>
          <w:szCs w:val="21"/>
          <w:highlight w:val="none"/>
        </w:rPr>
        <w:t>或）</w:t>
      </w:r>
      <w:r>
        <w:rPr>
          <w:rFonts w:hint="eastAsia" w:ascii="宋体" w:hAnsi="宋体" w:eastAsia="宋体" w:cs="宋体"/>
          <w:color w:val="auto"/>
          <w:w w:val="99"/>
          <w:kern w:val="0"/>
          <w:szCs w:val="21"/>
          <w:highlight w:val="none"/>
        </w:rPr>
        <w:t xml:space="preserve"> </w:t>
      </w:r>
      <w:r>
        <w:rPr>
          <w:rFonts w:hint="eastAsia" w:ascii="宋体" w:hAnsi="宋体" w:eastAsia="宋体" w:cs="宋体"/>
          <w:color w:val="auto"/>
          <w:spacing w:val="4"/>
          <w:kern w:val="0"/>
          <w:szCs w:val="21"/>
          <w:highlight w:val="none"/>
        </w:rPr>
        <w:t>城市建设档案管理机构有关施工资料的要求，具体内容包括：</w:t>
      </w:r>
      <w:r>
        <w:rPr>
          <w:rFonts w:hint="eastAsia" w:ascii="宋体" w:hAnsi="宋体" w:eastAsia="宋体" w:cs="宋体"/>
          <w:b/>
          <w:color w:val="auto"/>
          <w:spacing w:val="2"/>
          <w:kern w:val="0"/>
          <w:szCs w:val="21"/>
          <w:highlight w:val="none"/>
          <w:u w:val="single" w:color="000000"/>
        </w:rPr>
        <w:t>工程文件（档案）、竣工资料、竣工图等</w:t>
      </w:r>
      <w:r>
        <w:rPr>
          <w:rFonts w:hint="eastAsia" w:ascii="宋体" w:hAnsi="宋体" w:eastAsia="宋体" w:cs="宋体"/>
          <w:color w:val="auto"/>
          <w:kern w:val="0"/>
          <w:szCs w:val="21"/>
          <w:highlight w:val="none"/>
        </w:rPr>
        <w:t>。</w:t>
      </w:r>
    </w:p>
    <w:p w14:paraId="4712241D">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u w:val="single"/>
        </w:rPr>
        <w:t>重大项目验收承包人应当根据《国家重大建设项目文件归档要求与档案整理规范》《科学技术档案案卷构成的一般要求》，完成竣工文件的编制和项目文件的整理、归档工作</w:t>
      </w:r>
      <w:r>
        <w:rPr>
          <w:rFonts w:hint="eastAsia" w:ascii="宋体" w:hAnsi="宋体" w:eastAsia="宋体" w:cs="宋体"/>
          <w:b/>
          <w:bCs/>
          <w:color w:val="auto"/>
          <w:szCs w:val="21"/>
          <w:highlight w:val="none"/>
        </w:rPr>
        <w:t>。</w:t>
      </w:r>
    </w:p>
    <w:p w14:paraId="4C35F2A8">
      <w:pPr>
        <w:pStyle w:val="24"/>
        <w:keepNext w:val="0"/>
        <w:keepLines w:val="0"/>
        <w:pageBreakBefore w:val="0"/>
        <w:widowControl w:val="0"/>
        <w:tabs>
          <w:tab w:val="left" w:pos="3501"/>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szCs w:val="21"/>
          <w:highlight w:val="none"/>
        </w:rPr>
      </w:pPr>
      <w:r>
        <w:rPr>
          <w:rFonts w:hint="eastAsia" w:ascii="宋体" w:hAnsi="宋体" w:eastAsia="宋体" w:cs="宋体"/>
          <w:color w:val="auto"/>
          <w:spacing w:val="-1"/>
          <w:kern w:val="0"/>
          <w:szCs w:val="21"/>
          <w:highlight w:val="none"/>
        </w:rPr>
        <w:t>竣工验收资料的份数：</w:t>
      </w:r>
      <w:r>
        <w:rPr>
          <w:rFonts w:hint="eastAsia" w:ascii="宋体" w:hAnsi="宋体" w:eastAsia="宋体" w:cs="宋体"/>
          <w:color w:val="auto"/>
          <w:spacing w:val="-1"/>
          <w:kern w:val="0"/>
          <w:szCs w:val="21"/>
          <w:highlight w:val="none"/>
          <w:u w:val="single" w:color="000000"/>
        </w:rPr>
        <w:t xml:space="preserve"> </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 xml:space="preserve">      </w:t>
      </w:r>
    </w:p>
    <w:p w14:paraId="1726D355">
      <w:pPr>
        <w:pStyle w:val="24"/>
        <w:keepNext w:val="0"/>
        <w:keepLines w:val="0"/>
        <w:pageBreakBefore w:val="0"/>
        <w:widowControl w:val="0"/>
        <w:tabs>
          <w:tab w:val="left" w:pos="3501"/>
        </w:tabs>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color w:val="auto"/>
          <w:szCs w:val="21"/>
          <w:highlight w:val="none"/>
        </w:rPr>
      </w:pPr>
      <w:r>
        <w:rPr>
          <w:rFonts w:hint="eastAsia" w:ascii="宋体" w:hAnsi="宋体" w:eastAsia="宋体" w:cs="宋体"/>
          <w:b/>
          <w:color w:val="auto"/>
          <w:spacing w:val="2"/>
          <w:kern w:val="0"/>
          <w:szCs w:val="21"/>
          <w:highlight w:val="none"/>
        </w:rPr>
        <w:t>承包人提供竣工图的约定：</w:t>
      </w:r>
      <w:r>
        <w:rPr>
          <w:rFonts w:hint="eastAsia" w:ascii="宋体" w:hAnsi="宋体" w:eastAsia="宋体" w:cs="宋体"/>
          <w:b/>
          <w:color w:val="auto"/>
          <w:spacing w:val="2"/>
          <w:kern w:val="0"/>
          <w:szCs w:val="21"/>
          <w:highlight w:val="none"/>
          <w:u w:val="single" w:color="000000"/>
        </w:rPr>
        <w:t>竣工验收正式通过后 5 天（工程造价在 500 万元以下含 500 万元）、10 天（工程造价在 500 万元至 1000 万元之间含 1000 万元）、15 天（工程造价在 1000 万 元以上），提供竣工图的数量分别为 2 套、4 套、6 套。</w:t>
      </w:r>
    </w:p>
    <w:p w14:paraId="2B41B452">
      <w:pPr>
        <w:pStyle w:val="24"/>
        <w:keepNext w:val="0"/>
        <w:keepLines w:val="0"/>
        <w:pageBreakBefore w:val="0"/>
        <w:widowControl w:val="0"/>
        <w:tabs>
          <w:tab w:val="left" w:pos="5138"/>
        </w:tabs>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13.2.2 竣工验收程序</w:t>
      </w:r>
    </w:p>
    <w:p w14:paraId="6DE00ABC">
      <w:pPr>
        <w:pStyle w:val="24"/>
        <w:keepNext w:val="0"/>
        <w:keepLines w:val="0"/>
        <w:pageBreakBefore w:val="0"/>
        <w:widowControl w:val="0"/>
        <w:tabs>
          <w:tab w:val="left" w:pos="8007"/>
          <w:tab w:val="left" w:pos="8832"/>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关于竣工验收程序的约定：</w:t>
      </w:r>
      <w:r>
        <w:rPr>
          <w:rFonts w:hint="eastAsia" w:ascii="宋体" w:hAnsi="宋体" w:eastAsia="宋体" w:cs="宋体"/>
          <w:color w:val="auto"/>
          <w:spacing w:val="-1"/>
          <w:kern w:val="0"/>
          <w:szCs w:val="21"/>
          <w:highlight w:val="none"/>
          <w:u w:val="single" w:color="000000"/>
        </w:rPr>
        <w:t>按通用条款执行</w:t>
      </w:r>
      <w:r>
        <w:rPr>
          <w:rFonts w:hint="eastAsia" w:ascii="宋体" w:hAnsi="宋体" w:eastAsia="宋体" w:cs="宋体"/>
          <w:color w:val="auto"/>
          <w:kern w:val="0"/>
          <w:szCs w:val="21"/>
          <w:highlight w:val="none"/>
        </w:rPr>
        <w:t xml:space="preserve">。 </w:t>
      </w:r>
    </w:p>
    <w:p w14:paraId="395A21F3">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u w:val="single"/>
        </w:rPr>
        <w:t>重大项目竣工验收，需在竣工验收前，通过档案验收，未经档案验收或档案验收不合格的项目，不得进行或通过项目竣工验收。</w:t>
      </w:r>
    </w:p>
    <w:p w14:paraId="3B22E671">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发包人不按照本项约定组织竣工验收、颁发工程接收证书的违约金的计算方法：</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p>
    <w:p w14:paraId="226B3145">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u w:val="single"/>
        </w:rPr>
        <w:t xml:space="preserve">合同当事人应当在颁发工程接收证书后7天内完成工程的移交  </w:t>
      </w:r>
      <w:r>
        <w:rPr>
          <w:rFonts w:hint="eastAsia" w:ascii="宋体" w:hAnsi="宋体" w:eastAsia="宋体" w:cs="宋体"/>
          <w:b/>
          <w:bCs/>
          <w:color w:val="auto"/>
          <w:szCs w:val="21"/>
          <w:highlight w:val="none"/>
        </w:rPr>
        <w:t>。</w:t>
      </w:r>
    </w:p>
    <w:p w14:paraId="6D772611">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u w:val="single"/>
        </w:rPr>
        <w:t xml:space="preserve">承包人必须按竣工验收存在问题整改通知书要求的期限内完成竣工验收组提出的存在问题的整改工作，完成整改后，于7个工作日内完成工程管理权移交手续办理。如承包人拒不进行整改，无法办理管理权移交的，发包人有权委托其他单位进行整改，由此产生费用由承包人承担，违约金的计算方法为： 承包人每逾期一天按合同价款的万分之四向发包人支付违约金，最高限额不超过合同总造价的5%  </w:t>
      </w:r>
      <w:r>
        <w:rPr>
          <w:rFonts w:hint="eastAsia" w:ascii="宋体" w:hAnsi="宋体" w:eastAsia="宋体" w:cs="宋体"/>
          <w:b/>
          <w:bCs/>
          <w:color w:val="auto"/>
          <w:szCs w:val="21"/>
          <w:highlight w:val="none"/>
        </w:rPr>
        <w:t>。</w:t>
      </w:r>
    </w:p>
    <w:p w14:paraId="4943B624">
      <w:pPr>
        <w:pStyle w:val="24"/>
        <w:keepNext w:val="0"/>
        <w:keepLines w:val="0"/>
        <w:pageBreakBefore w:val="0"/>
        <w:widowControl w:val="0"/>
        <w:tabs>
          <w:tab w:val="left" w:pos="6234"/>
          <w:tab w:val="left" w:pos="6445"/>
        </w:tabs>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13.2.5</w:t>
      </w:r>
      <w:r>
        <w:rPr>
          <w:rFonts w:hint="eastAsia" w:ascii="宋体" w:hAnsi="宋体" w:eastAsia="宋体" w:cs="宋体"/>
          <w:color w:val="auto"/>
          <w:spacing w:val="8"/>
          <w:kern w:val="0"/>
          <w:szCs w:val="21"/>
          <w:highlight w:val="none"/>
        </w:rPr>
        <w:t xml:space="preserve"> </w:t>
      </w:r>
      <w:r>
        <w:rPr>
          <w:rFonts w:hint="eastAsia" w:ascii="宋体" w:hAnsi="宋体" w:eastAsia="宋体" w:cs="宋体"/>
          <w:color w:val="auto"/>
          <w:kern w:val="0"/>
          <w:szCs w:val="21"/>
          <w:highlight w:val="none"/>
        </w:rPr>
        <w:t xml:space="preserve">移交、接收全部与部分工程 </w:t>
      </w:r>
    </w:p>
    <w:p w14:paraId="43EE1833">
      <w:pPr>
        <w:pStyle w:val="24"/>
        <w:keepNext w:val="0"/>
        <w:keepLines w:val="0"/>
        <w:pageBreakBefore w:val="0"/>
        <w:widowControl w:val="0"/>
        <w:tabs>
          <w:tab w:val="left" w:pos="6234"/>
          <w:tab w:val="left" w:pos="6445"/>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承包人向发包人移交工程的期限：</w:t>
      </w:r>
      <w:r>
        <w:rPr>
          <w:rFonts w:hint="eastAsia" w:ascii="宋体" w:hAnsi="宋体" w:eastAsia="宋体" w:cs="宋体"/>
          <w:color w:val="auto"/>
          <w:spacing w:val="-1"/>
          <w:kern w:val="0"/>
          <w:szCs w:val="21"/>
          <w:highlight w:val="none"/>
          <w:u w:val="single" w:color="000000"/>
        </w:rPr>
        <w:t>合同当事人应当在颁发工程接收证书后7天内完成工程的移交</w:t>
      </w:r>
      <w:r>
        <w:rPr>
          <w:rFonts w:hint="eastAsia" w:ascii="宋体" w:hAnsi="宋体" w:eastAsia="宋体" w:cs="宋体"/>
          <w:color w:val="auto"/>
          <w:kern w:val="0"/>
          <w:szCs w:val="21"/>
          <w:highlight w:val="none"/>
        </w:rPr>
        <w:t>。</w:t>
      </w:r>
    </w:p>
    <w:p w14:paraId="00CAFF7B">
      <w:pPr>
        <w:pStyle w:val="24"/>
        <w:keepNext w:val="0"/>
        <w:keepLines w:val="0"/>
        <w:pageBreakBefore w:val="0"/>
        <w:widowControl w:val="0"/>
        <w:tabs>
          <w:tab w:val="left" w:pos="8547"/>
        </w:tabs>
        <w:wordWrap/>
        <w:overflowPunct/>
        <w:topLinePunct w:val="0"/>
        <w:bidi w:val="0"/>
        <w:spacing w:beforeAutospacing="0" w:afterAutospacing="0" w:line="360" w:lineRule="auto"/>
        <w:ind w:left="0" w:leftChars="0" w:right="0" w:rightChars="0" w:firstLine="416" w:firstLineChars="200"/>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发包人未按本合同约定接收全部或部分工程的，违约金的计算方法为：</w:t>
      </w:r>
      <w:r>
        <w:rPr>
          <w:rFonts w:hint="eastAsia" w:ascii="宋体" w:hAnsi="宋体" w:eastAsia="宋体" w:cs="宋体"/>
          <w:color w:val="auto"/>
          <w:spacing w:val="-1"/>
          <w:kern w:val="0"/>
          <w:szCs w:val="21"/>
          <w:highlight w:val="none"/>
          <w:u w:val="single"/>
        </w:rPr>
        <w:t>每天赔偿金额为合同价款的万分之四，</w:t>
      </w:r>
      <w:r>
        <w:rPr>
          <w:rFonts w:hint="eastAsia" w:ascii="宋体" w:hAnsi="宋体" w:eastAsia="宋体" w:cs="宋体"/>
          <w:b/>
          <w:bCs/>
          <w:color w:val="auto"/>
          <w:kern w:val="0"/>
          <w:szCs w:val="21"/>
          <w:highlight w:val="none"/>
          <w:u w:val="single"/>
        </w:rPr>
        <w:t>最高限额不超过合同总造价的5%</w:t>
      </w:r>
      <w:r>
        <w:rPr>
          <w:rFonts w:hint="eastAsia" w:ascii="宋体" w:hAnsi="宋体" w:eastAsia="宋体" w:cs="宋体"/>
          <w:color w:val="auto"/>
          <w:kern w:val="0"/>
          <w:szCs w:val="21"/>
          <w:highlight w:val="none"/>
        </w:rPr>
        <w:t>。</w:t>
      </w:r>
      <w:r>
        <w:rPr>
          <w:rFonts w:hint="eastAsia" w:ascii="宋体" w:hAnsi="宋体" w:eastAsia="宋体" w:cs="宋体"/>
          <w:color w:val="auto"/>
          <w:spacing w:val="-1"/>
          <w:kern w:val="0"/>
          <w:szCs w:val="21"/>
          <w:highlight w:val="none"/>
        </w:rPr>
        <w:t>。</w:t>
      </w:r>
      <w:r>
        <w:rPr>
          <w:rFonts w:hint="eastAsia" w:ascii="宋体" w:hAnsi="宋体" w:eastAsia="宋体" w:cs="宋体"/>
          <w:color w:val="auto"/>
          <w:kern w:val="0"/>
          <w:szCs w:val="21"/>
          <w:highlight w:val="none"/>
        </w:rPr>
        <w:t xml:space="preserve"> </w:t>
      </w:r>
    </w:p>
    <w:p w14:paraId="09A02A85">
      <w:pPr>
        <w:pStyle w:val="24"/>
        <w:keepNext w:val="0"/>
        <w:keepLines w:val="0"/>
        <w:pageBreakBefore w:val="0"/>
        <w:widowControl w:val="0"/>
        <w:tabs>
          <w:tab w:val="left" w:pos="8547"/>
        </w:tabs>
        <w:wordWrap/>
        <w:overflowPunct/>
        <w:topLinePunct w:val="0"/>
        <w:bidi w:val="0"/>
        <w:spacing w:beforeAutospacing="0" w:afterAutospacing="0" w:line="360" w:lineRule="auto"/>
        <w:ind w:left="0" w:leftChars="0" w:right="0" w:rightChars="0" w:firstLine="416" w:firstLineChars="200"/>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承包人未按时移交工程的，违约金的计算方法为：</w:t>
      </w:r>
      <w:r>
        <w:rPr>
          <w:rFonts w:hint="eastAsia" w:ascii="宋体" w:hAnsi="宋体" w:eastAsia="宋体" w:cs="宋体"/>
          <w:color w:val="auto"/>
          <w:spacing w:val="-1"/>
          <w:kern w:val="0"/>
          <w:szCs w:val="21"/>
          <w:highlight w:val="none"/>
          <w:u w:val="single"/>
        </w:rPr>
        <w:t>每逾期一天，承包人按合同价款的万分之四向发包人支付违约金 ，</w:t>
      </w:r>
      <w:r>
        <w:rPr>
          <w:rFonts w:hint="eastAsia" w:ascii="宋体" w:hAnsi="宋体" w:eastAsia="宋体" w:cs="宋体"/>
          <w:b/>
          <w:bCs/>
          <w:color w:val="auto"/>
          <w:kern w:val="0"/>
          <w:szCs w:val="21"/>
          <w:highlight w:val="none"/>
          <w:u w:val="single"/>
        </w:rPr>
        <w:t>最高限额不超过合同总造价的5%</w:t>
      </w:r>
      <w:r>
        <w:rPr>
          <w:rFonts w:hint="eastAsia" w:ascii="宋体" w:hAnsi="宋体" w:eastAsia="宋体" w:cs="宋体"/>
          <w:color w:val="auto"/>
          <w:kern w:val="0"/>
          <w:szCs w:val="21"/>
          <w:highlight w:val="none"/>
        </w:rPr>
        <w:t xml:space="preserve">。 </w:t>
      </w:r>
      <w:bookmarkStart w:id="87" w:name="13.3_工程试车"/>
      <w:bookmarkEnd w:id="87"/>
      <w:r>
        <w:rPr>
          <w:rFonts w:hint="eastAsia" w:ascii="宋体" w:hAnsi="宋体" w:eastAsia="宋体" w:cs="宋体"/>
          <w:color w:val="auto"/>
          <w:kern w:val="0"/>
          <w:szCs w:val="21"/>
          <w:highlight w:val="none"/>
        </w:rPr>
        <w:t xml:space="preserve"> </w:t>
      </w:r>
    </w:p>
    <w:p w14:paraId="365D1A63">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b/>
          <w:color w:val="auto"/>
          <w:spacing w:val="2"/>
          <w:kern w:val="0"/>
          <w:szCs w:val="21"/>
          <w:highlight w:val="none"/>
        </w:rPr>
      </w:pPr>
      <w:bookmarkStart w:id="88" w:name="_Toc407135260"/>
      <w:bookmarkStart w:id="89" w:name="_Toc9850588"/>
      <w:r>
        <w:rPr>
          <w:rFonts w:hint="eastAsia" w:ascii="宋体" w:hAnsi="宋体" w:eastAsia="宋体" w:cs="宋体"/>
          <w:b/>
          <w:color w:val="auto"/>
          <w:spacing w:val="2"/>
          <w:kern w:val="0"/>
          <w:szCs w:val="21"/>
          <w:highlight w:val="none"/>
        </w:rPr>
        <w:t>13.3 工程试车</w:t>
      </w:r>
    </w:p>
    <w:p w14:paraId="761E400F">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13.3.1 试车程序</w:t>
      </w:r>
    </w:p>
    <w:p w14:paraId="3029E30E">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kern w:val="0"/>
          <w:szCs w:val="21"/>
          <w:highlight w:val="none"/>
        </w:rPr>
        <w:t>工程试车内容：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3B6A3E1B">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（1）单机无负荷试车费用由</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kern w:val="0"/>
          <w:szCs w:val="21"/>
          <w:highlight w:val="none"/>
        </w:rPr>
        <w:t>承担；</w:t>
      </w:r>
    </w:p>
    <w:p w14:paraId="5BD876BA">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（2）无负荷联动试车费用由</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kern w:val="0"/>
          <w:szCs w:val="21"/>
          <w:highlight w:val="none"/>
        </w:rPr>
        <w:t>承担。</w:t>
      </w:r>
    </w:p>
    <w:p w14:paraId="1721FE9E">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13.3.3 投料试车</w:t>
      </w:r>
    </w:p>
    <w:p w14:paraId="40AB55A0">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关于投料试车相关事项的约定：</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150473BC">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b/>
          <w:color w:val="auto"/>
          <w:spacing w:val="2"/>
          <w:kern w:val="0"/>
          <w:szCs w:val="21"/>
          <w:highlight w:val="none"/>
        </w:rPr>
      </w:pPr>
      <w:r>
        <w:rPr>
          <w:rFonts w:hint="eastAsia" w:ascii="宋体" w:hAnsi="宋体" w:eastAsia="宋体" w:cs="宋体"/>
          <w:b/>
          <w:color w:val="auto"/>
          <w:spacing w:val="2"/>
          <w:kern w:val="0"/>
          <w:szCs w:val="21"/>
          <w:highlight w:val="none"/>
        </w:rPr>
        <w:t>13.6 竣工退场</w:t>
      </w:r>
      <w:bookmarkEnd w:id="88"/>
      <w:bookmarkEnd w:id="89"/>
    </w:p>
    <w:p w14:paraId="08D31E0B">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13.6.1 竣工退场</w:t>
      </w:r>
    </w:p>
    <w:p w14:paraId="324F2937">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承包人完成竣工退场的期限：</w:t>
      </w:r>
      <w:r>
        <w:rPr>
          <w:rFonts w:hint="eastAsia" w:ascii="宋体" w:hAnsi="宋体" w:eastAsia="宋体" w:cs="宋体"/>
          <w:b/>
          <w:bCs/>
          <w:color w:val="auto"/>
          <w:szCs w:val="21"/>
          <w:highlight w:val="none"/>
          <w:u w:val="single"/>
        </w:rPr>
        <w:t>按通用合同条款执行</w:t>
      </w:r>
      <w:r>
        <w:rPr>
          <w:rFonts w:hint="eastAsia" w:ascii="宋体" w:hAnsi="宋体" w:eastAsia="宋体" w:cs="宋体"/>
          <w:b/>
          <w:bCs/>
          <w:color w:val="auto"/>
          <w:kern w:val="0"/>
          <w:szCs w:val="21"/>
          <w:highlight w:val="none"/>
        </w:rPr>
        <w:t>。</w:t>
      </w:r>
    </w:p>
    <w:p w14:paraId="566963EF">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82" w:firstLineChars="200"/>
        <w:jc w:val="left"/>
        <w:rPr>
          <w:rFonts w:hint="eastAsia" w:ascii="宋体" w:hAnsi="宋体" w:eastAsia="宋体" w:cs="宋体"/>
          <w:color w:val="auto"/>
          <w:szCs w:val="21"/>
          <w:highlight w:val="none"/>
        </w:rPr>
      </w:pPr>
      <w:r>
        <w:rPr>
          <w:rFonts w:hint="eastAsia" w:ascii="宋体" w:hAnsi="宋体" w:eastAsia="宋体" w:cs="宋体"/>
          <w:b/>
          <w:color w:val="auto"/>
          <w:spacing w:val="15"/>
          <w:kern w:val="0"/>
          <w:szCs w:val="21"/>
          <w:highlight w:val="none"/>
        </w:rPr>
        <w:t>竣工结算</w:t>
      </w:r>
    </w:p>
    <w:p w14:paraId="304C654A">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b/>
          <w:color w:val="auto"/>
          <w:spacing w:val="2"/>
          <w:kern w:val="0"/>
          <w:szCs w:val="21"/>
          <w:highlight w:val="none"/>
        </w:rPr>
      </w:pPr>
      <w:bookmarkStart w:id="90" w:name="_Toc407135262"/>
      <w:bookmarkStart w:id="91" w:name="_Toc9850590"/>
      <w:r>
        <w:rPr>
          <w:rFonts w:hint="eastAsia" w:ascii="宋体" w:hAnsi="宋体" w:eastAsia="宋体" w:cs="宋体"/>
          <w:b/>
          <w:color w:val="auto"/>
          <w:spacing w:val="2"/>
          <w:kern w:val="0"/>
          <w:szCs w:val="21"/>
          <w:highlight w:val="none"/>
        </w:rPr>
        <w:t>14.1 竣工付款申请</w:t>
      </w:r>
      <w:bookmarkEnd w:id="90"/>
      <w:bookmarkEnd w:id="91"/>
    </w:p>
    <w:p w14:paraId="352DF8BC">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承包人提交竣工付款申请单的期限：</w:t>
      </w:r>
      <w:r>
        <w:rPr>
          <w:rFonts w:hint="eastAsia" w:ascii="宋体" w:hAnsi="宋体" w:eastAsia="宋体" w:cs="宋体"/>
          <w:b/>
          <w:bCs/>
          <w:color w:val="auto"/>
          <w:szCs w:val="21"/>
          <w:highlight w:val="none"/>
          <w:u w:val="single"/>
        </w:rPr>
        <w:t xml:space="preserve"> 10个工作日。承包人如按要求期限后超过10个工作日仍未提交的，每推迟一天在未支付工程款项中扣除合同价款的万分之二元/天作为违约金，总限额不超过合同总价的 5 %</w:t>
      </w:r>
      <w:r>
        <w:rPr>
          <w:rFonts w:hint="eastAsia" w:ascii="宋体" w:hAnsi="宋体" w:eastAsia="宋体" w:cs="宋体"/>
          <w:b/>
          <w:bCs/>
          <w:color w:val="auto"/>
          <w:szCs w:val="21"/>
          <w:highlight w:val="none"/>
        </w:rPr>
        <w:t>。</w:t>
      </w:r>
    </w:p>
    <w:p w14:paraId="14092C15">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竣工付款申请单应包括的内容：</w:t>
      </w:r>
      <w:r>
        <w:rPr>
          <w:rFonts w:hint="eastAsia" w:ascii="宋体" w:hAnsi="宋体" w:eastAsia="宋体" w:cs="宋体"/>
          <w:b/>
          <w:bCs/>
          <w:color w:val="auto"/>
          <w:szCs w:val="21"/>
          <w:highlight w:val="none"/>
          <w:u w:val="single"/>
        </w:rPr>
        <w:t>按通用合同条款执行</w:t>
      </w:r>
      <w:r>
        <w:rPr>
          <w:rFonts w:hint="eastAsia" w:ascii="宋体" w:hAnsi="宋体" w:eastAsia="宋体" w:cs="宋体"/>
          <w:b/>
          <w:bCs/>
          <w:color w:val="auto"/>
          <w:szCs w:val="21"/>
          <w:highlight w:val="none"/>
        </w:rPr>
        <w:t>。竣工结算款支付申请（核准）表见合同附件12。</w:t>
      </w:r>
    </w:p>
    <w:p w14:paraId="6B719AF7">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承包人应在施工过程同步完善工程资料归档，并在申请竣工结算款前，配合发包人在工程竣工验收后90天内，按城建档案相关部门的要求完成工程资料验收和移交，并取得城建档案验收及移交的证明材料。属于重大项目的，另需完成重大项目档案验收并取得证明材料。未按期完成的，发包人有权暂扣结算价款的5%（不含质保金）作为违约金，待完成上述档案移交及验收工作后再予以支付。</w:t>
      </w:r>
    </w:p>
    <w:p w14:paraId="1AA5FD87">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b/>
          <w:color w:val="auto"/>
          <w:spacing w:val="2"/>
          <w:kern w:val="0"/>
          <w:szCs w:val="21"/>
          <w:highlight w:val="none"/>
        </w:rPr>
      </w:pPr>
      <w:bookmarkStart w:id="92" w:name="_Toc9850591"/>
      <w:bookmarkStart w:id="93" w:name="_Toc407135263"/>
      <w:r>
        <w:rPr>
          <w:rFonts w:hint="eastAsia" w:ascii="宋体" w:hAnsi="宋体" w:eastAsia="宋体" w:cs="宋体"/>
          <w:b/>
          <w:color w:val="auto"/>
          <w:spacing w:val="2"/>
          <w:kern w:val="0"/>
          <w:szCs w:val="21"/>
          <w:highlight w:val="none"/>
        </w:rPr>
        <w:t>14.2 竣工结算审核</w:t>
      </w:r>
      <w:bookmarkEnd w:id="92"/>
      <w:bookmarkEnd w:id="93"/>
    </w:p>
    <w:p w14:paraId="5AD876B3">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42" w:firstLineChars="200"/>
        <w:jc w:val="left"/>
        <w:rPr>
          <w:rFonts w:hint="eastAsia" w:ascii="宋体" w:hAnsi="宋体" w:eastAsia="宋体" w:cs="宋体"/>
          <w:b/>
          <w:bCs/>
          <w:color w:val="auto"/>
          <w:sz w:val="22"/>
          <w:highlight w:val="none"/>
        </w:rPr>
      </w:pPr>
      <w:r>
        <w:rPr>
          <w:rFonts w:hint="eastAsia" w:ascii="宋体" w:hAnsi="宋体" w:eastAsia="宋体" w:cs="宋体"/>
          <w:b/>
          <w:bCs/>
          <w:color w:val="auto"/>
          <w:sz w:val="22"/>
          <w:highlight w:val="none"/>
        </w:rPr>
        <w:t>承包人提交竣工结算资料的期限：承包人应在施工过程同步完善竣工验收资料，并于竣工验收后30天内向发包人提交完整的结算资料，逾期拒不提交的，视为违约，</w:t>
      </w:r>
      <w:r>
        <w:rPr>
          <w:rFonts w:hint="eastAsia" w:ascii="宋体" w:hAnsi="宋体" w:eastAsia="宋体" w:cs="宋体"/>
          <w:b/>
          <w:bCs/>
          <w:color w:val="auto"/>
          <w:sz w:val="22"/>
          <w:highlight w:val="none"/>
          <w:u w:val="single"/>
        </w:rPr>
        <w:t>每推迟一天在未支付工程款项中扣除合同价款的万分之二元/天作为违约金，总限额不超过合同总价的 5 %</w:t>
      </w:r>
      <w:r>
        <w:rPr>
          <w:rFonts w:hint="eastAsia" w:ascii="宋体" w:hAnsi="宋体" w:eastAsia="宋体" w:cs="宋体"/>
          <w:b/>
          <w:bCs/>
          <w:color w:val="auto"/>
          <w:sz w:val="22"/>
          <w:highlight w:val="none"/>
        </w:rPr>
        <w:t>。</w:t>
      </w:r>
    </w:p>
    <w:p w14:paraId="15D1D04F">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发包人审批竣工付款申请单的期限：</w:t>
      </w:r>
    </w:p>
    <w:tbl>
      <w:tblPr>
        <w:tblStyle w:val="16"/>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70A01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94423CA">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center"/>
              <w:rPr>
                <w:rFonts w:hint="eastAsia" w:ascii="宋体" w:hAnsi="宋体" w:eastAsia="宋体" w:cs="宋体"/>
                <w:b/>
                <w:bCs/>
                <w:color w:val="auto"/>
                <w:szCs w:val="21"/>
                <w:highlight w:val="none"/>
              </w:rPr>
            </w:pPr>
          </w:p>
        </w:tc>
        <w:tc>
          <w:tcPr>
            <w:tcW w:w="2466" w:type="dxa"/>
            <w:noWrap w:val="0"/>
            <w:vAlign w:val="center"/>
          </w:tcPr>
          <w:p w14:paraId="66844099">
            <w:pPr>
              <w:pStyle w:val="24"/>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0" w:firstLineChars="0"/>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工程竣工结算报告金额</w:t>
            </w:r>
          </w:p>
        </w:tc>
        <w:tc>
          <w:tcPr>
            <w:tcW w:w="5967" w:type="dxa"/>
            <w:noWrap w:val="0"/>
            <w:vAlign w:val="center"/>
          </w:tcPr>
          <w:p w14:paraId="2A3DD05E">
            <w:pPr>
              <w:pStyle w:val="24"/>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0" w:firstLineChars="0"/>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发包人审查时间</w:t>
            </w:r>
          </w:p>
        </w:tc>
      </w:tr>
      <w:tr w14:paraId="18626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303E993">
            <w:pPr>
              <w:pStyle w:val="24"/>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0" w:firstLineChars="0"/>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w:t>
            </w:r>
          </w:p>
        </w:tc>
        <w:tc>
          <w:tcPr>
            <w:tcW w:w="2466" w:type="dxa"/>
            <w:noWrap w:val="0"/>
            <w:vAlign w:val="center"/>
          </w:tcPr>
          <w:p w14:paraId="75588C11">
            <w:pPr>
              <w:pStyle w:val="24"/>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0" w:firstLineChars="0"/>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500万元以下</w:t>
            </w:r>
          </w:p>
        </w:tc>
        <w:tc>
          <w:tcPr>
            <w:tcW w:w="5967" w:type="dxa"/>
            <w:noWrap w:val="0"/>
            <w:vAlign w:val="center"/>
          </w:tcPr>
          <w:p w14:paraId="47897933">
            <w:pPr>
              <w:pStyle w:val="24"/>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0" w:firstLineChars="0"/>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从接到竣工结算报告和完整的竣工结算资料之日起20天</w:t>
            </w:r>
          </w:p>
        </w:tc>
      </w:tr>
      <w:tr w14:paraId="4203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2D0374CC">
            <w:pPr>
              <w:pStyle w:val="24"/>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0" w:firstLineChars="0"/>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w:t>
            </w:r>
          </w:p>
        </w:tc>
        <w:tc>
          <w:tcPr>
            <w:tcW w:w="2466" w:type="dxa"/>
            <w:noWrap w:val="0"/>
            <w:vAlign w:val="center"/>
          </w:tcPr>
          <w:p w14:paraId="375CE47D">
            <w:pPr>
              <w:pStyle w:val="24"/>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0" w:firstLineChars="0"/>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500万元-2000万元</w:t>
            </w:r>
          </w:p>
        </w:tc>
        <w:tc>
          <w:tcPr>
            <w:tcW w:w="5967" w:type="dxa"/>
            <w:noWrap w:val="0"/>
            <w:vAlign w:val="center"/>
          </w:tcPr>
          <w:p w14:paraId="762BCFFC">
            <w:pPr>
              <w:pStyle w:val="24"/>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0" w:firstLineChars="0"/>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从接到竣工结算报告和完整的竣工结算资料之日起30天</w:t>
            </w:r>
          </w:p>
        </w:tc>
      </w:tr>
      <w:tr w14:paraId="137CF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C4CF3C0">
            <w:pPr>
              <w:pStyle w:val="24"/>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0" w:firstLineChars="0"/>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w:t>
            </w:r>
          </w:p>
        </w:tc>
        <w:tc>
          <w:tcPr>
            <w:tcW w:w="2466" w:type="dxa"/>
            <w:noWrap w:val="0"/>
            <w:vAlign w:val="center"/>
          </w:tcPr>
          <w:p w14:paraId="7B84145B">
            <w:pPr>
              <w:pStyle w:val="24"/>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0" w:firstLineChars="0"/>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2000万元-5000万元</w:t>
            </w:r>
          </w:p>
        </w:tc>
        <w:tc>
          <w:tcPr>
            <w:tcW w:w="5967" w:type="dxa"/>
            <w:noWrap w:val="0"/>
            <w:vAlign w:val="center"/>
          </w:tcPr>
          <w:p w14:paraId="23122B47">
            <w:pPr>
              <w:pStyle w:val="24"/>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0" w:firstLineChars="0"/>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从接到竣工结算报告和完整的竣工结算资料之日起45天</w:t>
            </w:r>
          </w:p>
        </w:tc>
      </w:tr>
      <w:tr w14:paraId="7D205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06C65CB0">
            <w:pPr>
              <w:pStyle w:val="24"/>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0" w:firstLineChars="0"/>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w:t>
            </w:r>
          </w:p>
        </w:tc>
        <w:tc>
          <w:tcPr>
            <w:tcW w:w="2466" w:type="dxa"/>
            <w:noWrap w:val="0"/>
            <w:vAlign w:val="center"/>
          </w:tcPr>
          <w:p w14:paraId="56D0988E">
            <w:pPr>
              <w:pStyle w:val="24"/>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0" w:firstLineChars="0"/>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5000万元以上</w:t>
            </w:r>
          </w:p>
        </w:tc>
        <w:tc>
          <w:tcPr>
            <w:tcW w:w="5967" w:type="dxa"/>
            <w:noWrap w:val="0"/>
            <w:vAlign w:val="center"/>
          </w:tcPr>
          <w:p w14:paraId="6B386B81">
            <w:pPr>
              <w:pStyle w:val="24"/>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0" w:firstLineChars="0"/>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从接到竣工结算报告和完整的竣工结算资料之日起60天</w:t>
            </w:r>
          </w:p>
        </w:tc>
      </w:tr>
      <w:tr w14:paraId="0FA23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05072AA0">
            <w:pPr>
              <w:pStyle w:val="24"/>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0" w:firstLineChars="0"/>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w:t>
            </w:r>
          </w:p>
        </w:tc>
        <w:tc>
          <w:tcPr>
            <w:tcW w:w="2466" w:type="dxa"/>
            <w:noWrap w:val="0"/>
            <w:vAlign w:val="center"/>
          </w:tcPr>
          <w:p w14:paraId="1828DF4E">
            <w:pPr>
              <w:pStyle w:val="24"/>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0" w:firstLineChars="0"/>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5000万以上每增加0.5亿（不足0.5亿不增加）</w:t>
            </w:r>
          </w:p>
        </w:tc>
        <w:tc>
          <w:tcPr>
            <w:tcW w:w="5967" w:type="dxa"/>
            <w:noWrap w:val="0"/>
            <w:vAlign w:val="center"/>
          </w:tcPr>
          <w:p w14:paraId="2D107E2E">
            <w:pPr>
              <w:pStyle w:val="24"/>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0" w:firstLineChars="0"/>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增加10天</w:t>
            </w:r>
          </w:p>
        </w:tc>
      </w:tr>
    </w:tbl>
    <w:p w14:paraId="00E5AB93">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因承包人提供的结算资料不完整而需要补充或承包人不按时对账耽误时间时，审查时间应相应顺延。</w:t>
      </w:r>
    </w:p>
    <w:p w14:paraId="0B6917E1">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竣工结算审核约定：</w:t>
      </w:r>
    </w:p>
    <w:p w14:paraId="0F61EFFA">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（1）工程竣工验收报告经发包人认可后</w:t>
      </w:r>
      <w:r>
        <w:rPr>
          <w:rFonts w:hint="eastAsia" w:ascii="宋体" w:hAnsi="宋体" w:eastAsia="宋体" w:cs="宋体"/>
          <w:b/>
          <w:bCs/>
          <w:color w:val="auto"/>
          <w:szCs w:val="21"/>
          <w:highlight w:val="none"/>
          <w:u w:val="single"/>
        </w:rPr>
        <w:t xml:space="preserve"> / </w:t>
      </w:r>
      <w:r>
        <w:rPr>
          <w:rFonts w:hint="eastAsia" w:ascii="宋体" w:hAnsi="宋体" w:eastAsia="宋体" w:cs="宋体"/>
          <w:b/>
          <w:bCs/>
          <w:color w:val="auto"/>
          <w:szCs w:val="21"/>
          <w:highlight w:val="none"/>
        </w:rPr>
        <w:t>天内，承包人向发包人递交竣工验收合格资料及完整的结算资料和报告，双方按照本工程合同约定的价格形式及价款调整办法进行工程竣工结算。</w:t>
      </w:r>
    </w:p>
    <w:p w14:paraId="7B8E3297">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rPr>
          <w:rFonts w:hint="eastAsia" w:ascii="宋体" w:hAnsi="宋体" w:eastAsia="宋体" w:cs="宋体"/>
          <w:b/>
          <w:bCs/>
          <w:color w:val="auto"/>
          <w:szCs w:val="21"/>
          <w:highlight w:val="none"/>
          <w:u w:val="single"/>
        </w:rPr>
      </w:pPr>
      <w:r>
        <w:rPr>
          <w:rFonts w:hint="eastAsia" w:ascii="宋体" w:hAnsi="宋体" w:eastAsia="宋体" w:cs="宋体"/>
          <w:b/>
          <w:bCs/>
          <w:color w:val="auto"/>
          <w:szCs w:val="21"/>
          <w:highlight w:val="none"/>
        </w:rPr>
        <w:t>（2）</w:t>
      </w:r>
      <w:r>
        <w:rPr>
          <w:rFonts w:hint="eastAsia" w:ascii="宋体" w:hAnsi="宋体" w:eastAsia="宋体" w:cs="宋体"/>
          <w:b/>
          <w:bCs/>
          <w:color w:val="auto"/>
          <w:szCs w:val="21"/>
          <w:highlight w:val="none"/>
          <w:u w:val="single"/>
        </w:rPr>
        <w:t>发包人收到承包人递交的竣工结算报告及结算资料之日起30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7日内提出异议，必要时合同当事人要当面核对，直至完成工程竣工结算。除非有特殊情形，否则从承包人递交竣工结算报告到完成竣工结算的时间应控制在“发包人审核竣工付款申请单的期限”要求的时间范围内。3.自竣工结算完毕之日起30天内，发包人按审定后的竣工结算价款，通知经办银行向承包人支付结算价款。</w:t>
      </w:r>
    </w:p>
    <w:p w14:paraId="72214BD6">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bCs/>
          <w:color w:val="auto"/>
          <w:szCs w:val="21"/>
          <w:highlight w:val="none"/>
          <w:u w:val="single"/>
        </w:rPr>
      </w:pPr>
      <w:r>
        <w:rPr>
          <w:rFonts w:hint="eastAsia" w:ascii="宋体" w:hAnsi="宋体" w:eastAsia="宋体" w:cs="宋体"/>
          <w:b/>
          <w:bCs/>
          <w:color w:val="auto"/>
          <w:szCs w:val="21"/>
          <w:highlight w:val="none"/>
        </w:rPr>
        <w:t>备注：对于国有投资项目结算审核约定，双方可结合各地政府或有关部门出台的管理规定进行局部调整</w:t>
      </w:r>
      <w:r>
        <w:rPr>
          <w:rFonts w:hint="eastAsia" w:ascii="宋体" w:hAnsi="宋体" w:eastAsia="宋体" w:cs="宋体"/>
          <w:b/>
          <w:bCs/>
          <w:color w:val="auto"/>
          <w:szCs w:val="21"/>
          <w:highlight w:val="none"/>
          <w:lang w:eastAsia="zh-CN"/>
        </w:rPr>
        <w:t>。</w:t>
      </w:r>
    </w:p>
    <w:p w14:paraId="4A61BF23">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b/>
          <w:color w:val="auto"/>
          <w:spacing w:val="2"/>
          <w:kern w:val="0"/>
          <w:szCs w:val="21"/>
          <w:highlight w:val="none"/>
        </w:rPr>
      </w:pPr>
      <w:bookmarkStart w:id="94" w:name="_Toc407135264"/>
      <w:bookmarkStart w:id="95" w:name="_Toc9850592"/>
      <w:r>
        <w:rPr>
          <w:rFonts w:hint="eastAsia" w:ascii="宋体" w:hAnsi="宋体" w:eastAsia="宋体" w:cs="宋体"/>
          <w:b/>
          <w:color w:val="auto"/>
          <w:spacing w:val="2"/>
          <w:kern w:val="0"/>
          <w:szCs w:val="21"/>
          <w:highlight w:val="none"/>
        </w:rPr>
        <w:t>14.4 最终结清</w:t>
      </w:r>
      <w:bookmarkEnd w:id="94"/>
      <w:bookmarkEnd w:id="95"/>
    </w:p>
    <w:p w14:paraId="4941115D">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14.4.1 最终结清申请单</w:t>
      </w:r>
    </w:p>
    <w:p w14:paraId="7E222200">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承包人提交最终结清申请单的份数：</w:t>
      </w:r>
      <w:r>
        <w:rPr>
          <w:rFonts w:hint="eastAsia" w:ascii="宋体" w:hAnsi="宋体" w:eastAsia="宋体" w:cs="宋体"/>
          <w:b/>
          <w:bCs/>
          <w:color w:val="auto"/>
          <w:szCs w:val="21"/>
          <w:highlight w:val="none"/>
          <w:u w:val="single"/>
        </w:rPr>
        <w:t>按通用合同条款执行</w:t>
      </w:r>
      <w:r>
        <w:rPr>
          <w:rFonts w:hint="eastAsia" w:ascii="宋体" w:hAnsi="宋体" w:eastAsia="宋体" w:cs="宋体"/>
          <w:b/>
          <w:bCs/>
          <w:color w:val="auto"/>
          <w:szCs w:val="21"/>
          <w:highlight w:val="none"/>
        </w:rPr>
        <w:t>。</w:t>
      </w:r>
    </w:p>
    <w:p w14:paraId="2980081C">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rPr>
        <w:t>承包人提交最终结算申请单的期限：</w:t>
      </w:r>
      <w:r>
        <w:rPr>
          <w:rFonts w:hint="eastAsia" w:ascii="宋体" w:hAnsi="宋体" w:eastAsia="宋体" w:cs="宋体"/>
          <w:b/>
          <w:bCs/>
          <w:color w:val="auto"/>
          <w:szCs w:val="21"/>
          <w:highlight w:val="none"/>
          <w:u w:val="single"/>
        </w:rPr>
        <w:t>按通用合同条款执行</w:t>
      </w:r>
      <w:r>
        <w:rPr>
          <w:rFonts w:hint="eastAsia" w:ascii="宋体" w:hAnsi="宋体" w:eastAsia="宋体" w:cs="宋体"/>
          <w:b/>
          <w:bCs/>
          <w:color w:val="auto"/>
          <w:szCs w:val="21"/>
          <w:highlight w:val="none"/>
        </w:rPr>
        <w:t xml:space="preserve">。 </w:t>
      </w:r>
    </w:p>
    <w:p w14:paraId="5A434CF4">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最终结算款支付申请（核准）表见合同附件13。</w:t>
      </w:r>
    </w:p>
    <w:p w14:paraId="6AC07E92">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14.4.2 最终结清证书和支付</w:t>
      </w:r>
    </w:p>
    <w:p w14:paraId="5B0B321B">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（1）发包人完成最终结清申请单的审批并颁发最终结清证书的期限：</w:t>
      </w:r>
      <w:r>
        <w:rPr>
          <w:rFonts w:hint="eastAsia" w:ascii="宋体" w:hAnsi="宋体" w:eastAsia="宋体" w:cs="宋体"/>
          <w:b/>
          <w:bCs/>
          <w:color w:val="auto"/>
          <w:szCs w:val="21"/>
          <w:highlight w:val="none"/>
          <w:u w:val="single"/>
        </w:rPr>
        <w:t xml:space="preserve">按通用合同条款执行 </w:t>
      </w:r>
      <w:r>
        <w:rPr>
          <w:rFonts w:hint="eastAsia" w:ascii="宋体" w:hAnsi="宋体" w:eastAsia="宋体" w:cs="宋体"/>
          <w:b/>
          <w:bCs/>
          <w:color w:val="auto"/>
          <w:szCs w:val="21"/>
          <w:highlight w:val="none"/>
        </w:rPr>
        <w:t>。</w:t>
      </w:r>
    </w:p>
    <w:p w14:paraId="15EC771A">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（2）发包人完成支付的期限：</w:t>
      </w:r>
      <w:r>
        <w:rPr>
          <w:rFonts w:hint="eastAsia" w:ascii="宋体" w:hAnsi="宋体" w:eastAsia="宋体" w:cs="宋体"/>
          <w:b/>
          <w:bCs/>
          <w:color w:val="auto"/>
          <w:szCs w:val="21"/>
          <w:highlight w:val="none"/>
          <w:u w:val="single"/>
        </w:rPr>
        <w:t>按通用合同条款执行</w:t>
      </w:r>
      <w:r>
        <w:rPr>
          <w:rFonts w:hint="eastAsia" w:ascii="宋体" w:hAnsi="宋体" w:eastAsia="宋体" w:cs="宋体"/>
          <w:b/>
          <w:bCs/>
          <w:color w:val="auto"/>
          <w:szCs w:val="21"/>
          <w:highlight w:val="none"/>
        </w:rPr>
        <w:t>。</w:t>
      </w:r>
    </w:p>
    <w:p w14:paraId="19ADD60C">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rPr>
          <w:rFonts w:hint="eastAsia" w:ascii="宋体" w:hAnsi="宋体" w:eastAsia="宋体" w:cs="宋体"/>
          <w:b/>
          <w:strike/>
          <w:color w:val="auto"/>
          <w:spacing w:val="6"/>
          <w:szCs w:val="21"/>
          <w:highlight w:val="none"/>
          <w:u w:val="single" w:color="000000"/>
        </w:rPr>
      </w:pPr>
      <w:r>
        <w:rPr>
          <w:rFonts w:hint="eastAsia" w:ascii="宋体" w:hAnsi="宋体" w:eastAsia="宋体" w:cs="宋体"/>
          <w:b/>
          <w:bCs/>
          <w:color w:val="auto"/>
          <w:szCs w:val="21"/>
          <w:highlight w:val="none"/>
          <w:u w:val="single"/>
        </w:rPr>
        <w:t>（3）承包人有义务对结算资料及结算报告的真实性、合理性、合法性负责。如最终审定价格核减率超过5%</w:t>
      </w:r>
      <w:r>
        <w:rPr>
          <w:rFonts w:hint="eastAsia" w:ascii="宋体" w:hAnsi="宋体" w:eastAsia="宋体" w:cs="宋体"/>
          <w:b/>
          <w:bCs/>
          <w:color w:val="auto"/>
          <w:szCs w:val="21"/>
          <w:highlight w:val="none"/>
        </w:rPr>
        <w:t>，则超出5%（含5%）以上部分的结算审核费由承包人承担，费用由发包人在工程结算款中扣除。</w:t>
      </w:r>
    </w:p>
    <w:p w14:paraId="16AD2AF4">
      <w:pPr>
        <w:keepNext w:val="0"/>
        <w:keepLines w:val="0"/>
        <w:pageBreakBefore w:val="0"/>
        <w:widowControl/>
        <w:kinsoku w:val="0"/>
        <w:wordWrap/>
        <w:overflowPunct/>
        <w:topLinePunct w:val="0"/>
        <w:autoSpaceDE w:val="0"/>
        <w:autoSpaceDN w:val="0"/>
        <w:bidi w:val="0"/>
        <w:adjustRightInd w:val="0"/>
        <w:snapToGrid w:val="0"/>
        <w:spacing w:line="360" w:lineRule="auto"/>
        <w:ind w:firstLine="442" w:firstLineChars="200"/>
        <w:textAlignment w:val="baseline"/>
        <w:rPr>
          <w:rFonts w:hint="eastAsia" w:ascii="宋体" w:hAnsi="宋体" w:eastAsia="宋体" w:cs="宋体"/>
          <w:color w:val="auto"/>
          <w:szCs w:val="21"/>
          <w:highlight w:val="none"/>
        </w:rPr>
      </w:pPr>
      <w:bookmarkStart w:id="96" w:name="15._缺陷责任期与保修"/>
      <w:bookmarkEnd w:id="96"/>
      <w:bookmarkStart w:id="97" w:name="14.4_最终结清"/>
      <w:bookmarkEnd w:id="97"/>
      <w:bookmarkStart w:id="98" w:name="_Toc15613"/>
      <w:bookmarkStart w:id="99" w:name="_Toc14770"/>
      <w:r>
        <w:rPr>
          <w:rFonts w:hint="eastAsia" w:ascii="宋体" w:hAnsi="宋体" w:eastAsia="宋体" w:cs="宋体"/>
          <w:b/>
          <w:color w:val="auto"/>
          <w:kern w:val="0"/>
          <w:szCs w:val="21"/>
          <w:highlight w:val="none"/>
        </w:rPr>
        <w:t xml:space="preserve">15. </w:t>
      </w:r>
      <w:r>
        <w:rPr>
          <w:rFonts w:hint="eastAsia" w:ascii="宋体" w:hAnsi="宋体" w:eastAsia="宋体" w:cs="宋体"/>
          <w:b/>
          <w:color w:val="auto"/>
          <w:spacing w:val="6"/>
          <w:kern w:val="0"/>
          <w:szCs w:val="21"/>
          <w:highlight w:val="none"/>
        </w:rPr>
        <w:t xml:space="preserve"> </w:t>
      </w:r>
      <w:r>
        <w:rPr>
          <w:rFonts w:hint="eastAsia" w:ascii="宋体" w:hAnsi="宋体" w:eastAsia="宋体" w:cs="宋体"/>
          <w:b/>
          <w:color w:val="auto"/>
          <w:spacing w:val="5"/>
          <w:kern w:val="0"/>
          <w:szCs w:val="21"/>
          <w:highlight w:val="none"/>
        </w:rPr>
        <w:t>缺陷责任期与保修</w:t>
      </w:r>
      <w:bookmarkEnd w:id="98"/>
      <w:bookmarkEnd w:id="99"/>
    </w:p>
    <w:p w14:paraId="33486AD7">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color w:val="auto"/>
          <w:szCs w:val="21"/>
          <w:highlight w:val="none"/>
        </w:rPr>
      </w:pPr>
      <w:bookmarkStart w:id="100" w:name="15.2缺陷责任期"/>
      <w:bookmarkEnd w:id="100"/>
      <w:r>
        <w:rPr>
          <w:rFonts w:hint="eastAsia" w:ascii="宋体" w:hAnsi="宋体" w:eastAsia="宋体" w:cs="宋体"/>
          <w:b/>
          <w:color w:val="auto"/>
          <w:kern w:val="0"/>
          <w:szCs w:val="21"/>
          <w:highlight w:val="none"/>
        </w:rPr>
        <w:t>15.2</w:t>
      </w:r>
      <w:r>
        <w:rPr>
          <w:rFonts w:hint="eastAsia" w:ascii="宋体" w:hAnsi="宋体" w:eastAsia="宋体" w:cs="宋体"/>
          <w:b/>
          <w:color w:val="auto"/>
          <w:spacing w:val="10"/>
          <w:kern w:val="0"/>
          <w:szCs w:val="21"/>
          <w:highlight w:val="none"/>
        </w:rPr>
        <w:t xml:space="preserve"> </w:t>
      </w:r>
      <w:r>
        <w:rPr>
          <w:rFonts w:hint="eastAsia" w:ascii="宋体" w:hAnsi="宋体" w:eastAsia="宋体" w:cs="宋体"/>
          <w:b/>
          <w:color w:val="auto"/>
          <w:spacing w:val="6"/>
          <w:kern w:val="0"/>
          <w:szCs w:val="21"/>
          <w:highlight w:val="none"/>
        </w:rPr>
        <w:t>缺陷责任期</w:t>
      </w:r>
    </w:p>
    <w:p w14:paraId="3178D552">
      <w:pPr>
        <w:pStyle w:val="24"/>
        <w:keepNext w:val="0"/>
        <w:keepLines w:val="0"/>
        <w:pageBreakBefore w:val="0"/>
        <w:widowControl w:val="0"/>
        <w:tabs>
          <w:tab w:val="left" w:pos="3591"/>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缺陷责任期的具体期限：</w:t>
      </w:r>
      <w:r>
        <w:rPr>
          <w:rFonts w:hint="eastAsia" w:ascii="宋体" w:hAnsi="宋体" w:eastAsia="宋体" w:cs="宋体"/>
          <w:color w:val="auto"/>
          <w:kern w:val="0"/>
          <w:szCs w:val="21"/>
          <w:highlight w:val="none"/>
          <w:u w:val="single" w:color="000000"/>
        </w:rPr>
        <w:t xml:space="preserve"> 24 个月</w:t>
      </w:r>
      <w:r>
        <w:rPr>
          <w:rFonts w:hint="eastAsia" w:ascii="宋体" w:hAnsi="宋体" w:eastAsia="宋体" w:cs="宋体"/>
          <w:color w:val="auto"/>
          <w:kern w:val="0"/>
          <w:szCs w:val="21"/>
          <w:highlight w:val="none"/>
        </w:rPr>
        <w:t>。</w:t>
      </w:r>
    </w:p>
    <w:p w14:paraId="58BC6DDD">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b/>
          <w:color w:val="auto"/>
          <w:spacing w:val="2"/>
          <w:kern w:val="0"/>
          <w:szCs w:val="21"/>
          <w:highlight w:val="none"/>
        </w:rPr>
      </w:pPr>
      <w:bookmarkStart w:id="101" w:name="15.3_质量保证金"/>
      <w:bookmarkEnd w:id="101"/>
      <w:r>
        <w:rPr>
          <w:rFonts w:hint="eastAsia" w:ascii="宋体" w:hAnsi="宋体" w:eastAsia="宋体" w:cs="宋体"/>
          <w:b/>
          <w:color w:val="auto"/>
          <w:spacing w:val="2"/>
          <w:kern w:val="0"/>
          <w:szCs w:val="21"/>
          <w:highlight w:val="none"/>
        </w:rPr>
        <w:t xml:space="preserve">15.3 质量保证金 </w:t>
      </w:r>
    </w:p>
    <w:p w14:paraId="6592D4A8">
      <w:pPr>
        <w:pStyle w:val="24"/>
        <w:keepNext w:val="0"/>
        <w:keepLines w:val="0"/>
        <w:pageBreakBefore w:val="0"/>
        <w:widowControl w:val="0"/>
        <w:tabs>
          <w:tab w:val="left" w:pos="3185"/>
          <w:tab w:val="left" w:pos="4011"/>
          <w:tab w:val="left" w:pos="4868"/>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关于是否扣留质量保证金的约定：</w:t>
      </w:r>
      <w:r>
        <w:rPr>
          <w:rFonts w:hint="eastAsia" w:ascii="宋体" w:hAnsi="宋体" w:eastAsia="宋体" w:cs="宋体"/>
          <w:color w:val="auto"/>
          <w:spacing w:val="-1"/>
          <w:kern w:val="0"/>
          <w:szCs w:val="21"/>
          <w:highlight w:val="none"/>
          <w:u w:val="single"/>
        </w:rPr>
        <w:t xml:space="preserve"> </w:t>
      </w:r>
      <w:r>
        <w:rPr>
          <w:rFonts w:hint="eastAsia" w:ascii="宋体" w:hAnsi="宋体" w:eastAsia="宋体" w:cs="宋体"/>
          <w:color w:val="auto"/>
          <w:spacing w:val="-1"/>
          <w:kern w:val="0"/>
          <w:szCs w:val="21"/>
          <w:highlight w:val="none"/>
          <w:u w:val="single"/>
          <w:lang w:eastAsia="zh-CN"/>
        </w:rPr>
        <w:t>是</w:t>
      </w:r>
      <w:r>
        <w:rPr>
          <w:rFonts w:hint="eastAsia" w:ascii="宋体" w:hAnsi="宋体" w:eastAsia="宋体" w:cs="宋体"/>
          <w:color w:val="auto"/>
          <w:kern w:val="0"/>
          <w:szCs w:val="21"/>
          <w:highlight w:val="none"/>
          <w:u w:val="single" w:color="000000"/>
        </w:rPr>
        <w:t xml:space="preserve"> </w:t>
      </w:r>
      <w:r>
        <w:rPr>
          <w:rFonts w:hint="eastAsia" w:ascii="宋体" w:hAnsi="宋体" w:eastAsia="宋体" w:cs="宋体"/>
          <w:color w:val="auto"/>
          <w:kern w:val="0"/>
          <w:szCs w:val="21"/>
          <w:highlight w:val="none"/>
        </w:rPr>
        <w:t xml:space="preserve">。 </w:t>
      </w:r>
    </w:p>
    <w:p w14:paraId="1C0CC7C4">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15.3.1 承包人提供质量保证金的方式</w:t>
      </w:r>
    </w:p>
    <w:p w14:paraId="6CC07187">
      <w:pPr>
        <w:pStyle w:val="24"/>
        <w:keepNext w:val="0"/>
        <w:keepLines w:val="0"/>
        <w:pageBreakBefore w:val="0"/>
        <w:widowControl w:val="0"/>
        <w:tabs>
          <w:tab w:val="left" w:pos="3185"/>
          <w:tab w:val="left" w:pos="4011"/>
          <w:tab w:val="left" w:pos="4868"/>
        </w:tabs>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质量保证金采用以下</w:t>
      </w:r>
      <w:r>
        <w:rPr>
          <w:rFonts w:hint="eastAsia" w:ascii="宋体" w:hAnsi="宋体" w:eastAsia="宋体" w:cs="宋体"/>
          <w:b/>
          <w:bCs/>
          <w:color w:val="auto"/>
          <w:kern w:val="0"/>
          <w:szCs w:val="21"/>
          <w:highlight w:val="none"/>
        </w:rPr>
        <w:t>第</w:t>
      </w:r>
      <w:r>
        <w:rPr>
          <w:rFonts w:hint="eastAsia" w:ascii="宋体" w:hAnsi="宋体" w:eastAsia="宋体" w:cs="宋体"/>
          <w:b/>
          <w:bCs/>
          <w:color w:val="auto"/>
          <w:kern w:val="0"/>
          <w:szCs w:val="21"/>
          <w:highlight w:val="none"/>
          <w:u w:val="single"/>
        </w:rPr>
        <w:t xml:space="preserve"> </w:t>
      </w:r>
      <w:r>
        <w:rPr>
          <w:rFonts w:hint="eastAsia" w:ascii="宋体" w:hAnsi="宋体" w:eastAsia="宋体" w:cs="宋体"/>
          <w:b/>
          <w:bCs/>
          <w:color w:val="auto"/>
          <w:kern w:val="0"/>
          <w:szCs w:val="21"/>
          <w:highlight w:val="none"/>
          <w:u w:val="single"/>
          <w:lang w:val="en-US" w:eastAsia="zh-CN"/>
        </w:rPr>
        <w:t xml:space="preserve"> </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kern w:val="0"/>
          <w:szCs w:val="21"/>
          <w:highlight w:val="none"/>
          <w:u w:val="single"/>
          <w:lang w:val="en-US" w:eastAsia="zh-CN"/>
        </w:rPr>
        <w:t xml:space="preserve"> </w:t>
      </w:r>
      <w:r>
        <w:rPr>
          <w:rFonts w:hint="eastAsia" w:ascii="宋体" w:hAnsi="宋体" w:eastAsia="宋体" w:cs="宋体"/>
          <w:b/>
          <w:bCs/>
          <w:color w:val="auto"/>
          <w:kern w:val="0"/>
          <w:szCs w:val="21"/>
          <w:highlight w:val="none"/>
        </w:rPr>
        <w:t>种方式：</w:t>
      </w:r>
    </w:p>
    <w:p w14:paraId="1ED1CC52">
      <w:pPr>
        <w:pStyle w:val="24"/>
        <w:keepNext w:val="0"/>
        <w:keepLines w:val="0"/>
        <w:pageBreakBefore w:val="0"/>
        <w:widowControl w:val="0"/>
        <w:tabs>
          <w:tab w:val="left" w:pos="6009"/>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（1）质量保证金保函，保证金额为：</w:t>
      </w:r>
      <w:r>
        <w:rPr>
          <w:rFonts w:hint="eastAsia" w:ascii="宋体" w:hAnsi="宋体" w:eastAsia="宋体" w:cs="宋体"/>
          <w:color w:val="auto"/>
          <w:kern w:val="0"/>
          <w:szCs w:val="21"/>
          <w:highlight w:val="none"/>
          <w:u w:val="single" w:color="000000"/>
        </w:rPr>
        <w:t>无</w:t>
      </w:r>
      <w:r>
        <w:rPr>
          <w:rFonts w:hint="eastAsia" w:ascii="宋体" w:hAnsi="宋体" w:eastAsia="宋体" w:cs="宋体"/>
          <w:color w:val="auto"/>
          <w:kern w:val="0"/>
          <w:szCs w:val="21"/>
          <w:highlight w:val="none"/>
        </w:rPr>
        <w:t>；</w:t>
      </w:r>
    </w:p>
    <w:p w14:paraId="0EB9C9E0">
      <w:pPr>
        <w:pStyle w:val="24"/>
        <w:keepNext w:val="0"/>
        <w:keepLines w:val="0"/>
        <w:pageBreakBefore w:val="0"/>
        <w:widowControl w:val="0"/>
        <w:wordWrap/>
        <w:overflowPunct/>
        <w:topLinePunct w:val="0"/>
        <w:autoSpaceDE w:val="0"/>
        <w:autoSpaceDN w:val="0"/>
        <w:bidi w:val="0"/>
        <w:adjustRightInd w:val="0"/>
        <w:spacing w:beforeAutospacing="0" w:afterAutospacing="0" w:line="360" w:lineRule="auto"/>
        <w:ind w:left="0" w:leftChars="0" w:right="0" w:rightChars="0"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w:t>
      </w:r>
      <w:r>
        <w:rPr>
          <w:rFonts w:hint="eastAsia" w:ascii="宋体" w:hAnsi="宋体" w:eastAsia="宋体" w:cs="宋体"/>
          <w:b/>
          <w:bCs/>
          <w:color w:val="auto"/>
          <w:szCs w:val="21"/>
          <w:highlight w:val="none"/>
        </w:rPr>
        <w:t>发包人按工程价款结算总额的</w:t>
      </w:r>
      <w:r>
        <w:rPr>
          <w:rFonts w:hint="eastAsia" w:ascii="宋体" w:hAnsi="宋体" w:eastAsia="宋体" w:cs="宋体"/>
          <w:b/>
          <w:bCs/>
          <w:color w:val="auto"/>
          <w:szCs w:val="21"/>
          <w:highlight w:val="none"/>
          <w:u w:val="single"/>
        </w:rPr>
        <w:t xml:space="preserve"> / </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rPr>
        <w:t>%（不得超过3%）预留工程质量保证金，待缺陷责任期满后返还，是否付息及利息计算方式为：</w:t>
      </w:r>
      <w:r>
        <w:rPr>
          <w:rFonts w:hint="eastAsia" w:ascii="宋体" w:hAnsi="宋体" w:eastAsia="宋体" w:cs="宋体"/>
          <w:b/>
          <w:bCs/>
          <w:color w:val="auto"/>
          <w:szCs w:val="21"/>
          <w:highlight w:val="none"/>
          <w:u w:val="single"/>
        </w:rPr>
        <w:t xml:space="preserve"> /  </w:t>
      </w:r>
      <w:r>
        <w:rPr>
          <w:rFonts w:hint="eastAsia" w:ascii="宋体" w:hAnsi="宋体" w:eastAsia="宋体" w:cs="宋体"/>
          <w:b/>
          <w:bCs/>
          <w:color w:val="auto"/>
          <w:kern w:val="0"/>
          <w:szCs w:val="21"/>
          <w:highlight w:val="none"/>
        </w:rPr>
        <w:t>；</w:t>
      </w:r>
    </w:p>
    <w:p w14:paraId="50985080">
      <w:pPr>
        <w:pStyle w:val="24"/>
        <w:keepNext w:val="0"/>
        <w:keepLines w:val="0"/>
        <w:pageBreakBefore w:val="0"/>
        <w:widowControl w:val="0"/>
        <w:wordWrap/>
        <w:overflowPunct/>
        <w:topLinePunct w:val="0"/>
        <w:autoSpaceDE w:val="0"/>
        <w:autoSpaceDN w:val="0"/>
        <w:bidi w:val="0"/>
        <w:adjustRightInd w:val="0"/>
        <w:spacing w:beforeAutospacing="0" w:afterAutospacing="0" w:line="360" w:lineRule="auto"/>
        <w:ind w:left="0" w:leftChars="0" w:right="0" w:rightChars="0"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rPr>
        <w:t>（3）其他方式：</w:t>
      </w:r>
      <w:r>
        <w:rPr>
          <w:rFonts w:hint="eastAsia" w:ascii="宋体" w:hAnsi="宋体" w:eastAsia="宋体" w:cs="宋体"/>
          <w:b/>
          <w:bCs/>
          <w:color w:val="auto"/>
          <w:szCs w:val="21"/>
          <w:highlight w:val="none"/>
          <w:u w:val="single"/>
        </w:rPr>
        <w:t xml:space="preserve">  /  </w:t>
      </w:r>
      <w:r>
        <w:rPr>
          <w:rFonts w:hint="eastAsia" w:ascii="宋体" w:hAnsi="宋体" w:eastAsia="宋体" w:cs="宋体"/>
          <w:b/>
          <w:bCs/>
          <w:color w:val="auto"/>
          <w:szCs w:val="21"/>
          <w:highlight w:val="none"/>
        </w:rPr>
        <w:t>。</w:t>
      </w:r>
    </w:p>
    <w:p w14:paraId="7185EED6">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15.3.2 质量保证金的扣留 </w:t>
      </w:r>
    </w:p>
    <w:p w14:paraId="44F14F20">
      <w:pPr>
        <w:pStyle w:val="24"/>
        <w:keepNext w:val="0"/>
        <w:keepLines w:val="0"/>
        <w:pageBreakBefore w:val="0"/>
        <w:widowControl w:val="0"/>
        <w:tabs>
          <w:tab w:val="left" w:pos="3816"/>
        </w:tabs>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质量保证金的扣留采取以下第</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color="000000"/>
        </w:rPr>
        <w:t xml:space="preserve">2 </w:t>
      </w:r>
      <w:r>
        <w:rPr>
          <w:rFonts w:hint="eastAsia" w:ascii="宋体" w:hAnsi="宋体" w:eastAsia="宋体" w:cs="宋体"/>
          <w:color w:val="auto"/>
          <w:kern w:val="0"/>
          <w:szCs w:val="21"/>
          <w:highlight w:val="none"/>
        </w:rPr>
        <w:t>种方式：</w:t>
      </w:r>
    </w:p>
    <w:p w14:paraId="2D5ADC48">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12"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（1）在支付工程进度款时逐次扣留，在此情形下，质量保证金的计算基数不包括预付款的</w:t>
      </w:r>
      <w:r>
        <w:rPr>
          <w:rFonts w:hint="eastAsia" w:ascii="宋体" w:hAnsi="宋体" w:eastAsia="宋体" w:cs="宋体"/>
          <w:color w:val="auto"/>
          <w:kern w:val="0"/>
          <w:szCs w:val="21"/>
          <w:highlight w:val="none"/>
        </w:rPr>
        <w:t>支付、扣回以及价格调整的金额；</w:t>
      </w:r>
    </w:p>
    <w:p w14:paraId="0C57F347">
      <w:pPr>
        <w:pStyle w:val="24"/>
        <w:keepNext w:val="0"/>
        <w:keepLines w:val="0"/>
        <w:pageBreakBefore w:val="0"/>
        <w:widowControl w:val="0"/>
        <w:wordWrap/>
        <w:overflowPunct/>
        <w:topLinePunct w:val="0"/>
        <w:autoSpaceDE w:val="0"/>
        <w:autoSpaceDN w:val="0"/>
        <w:bidi w:val="0"/>
        <w:adjustRightInd w:val="0"/>
        <w:spacing w:beforeAutospacing="0" w:afterAutospacing="0" w:line="360" w:lineRule="auto"/>
        <w:ind w:left="0" w:leftChars="0" w:right="0" w:rightChars="0" w:firstLine="422" w:firstLineChars="200"/>
        <w:jc w:val="left"/>
        <w:rPr>
          <w:rFonts w:hint="eastAsia" w:ascii="宋体" w:hAnsi="宋体" w:eastAsia="宋体" w:cs="宋体"/>
          <w:strike/>
          <w:color w:val="auto"/>
          <w:szCs w:val="21"/>
          <w:highlight w:val="none"/>
        </w:rPr>
      </w:pPr>
      <w:r>
        <w:rPr>
          <w:rFonts w:hint="eastAsia" w:ascii="宋体" w:hAnsi="宋体" w:eastAsia="宋体" w:cs="宋体"/>
          <w:b/>
          <w:bCs/>
          <w:color w:val="auto"/>
          <w:kern w:val="0"/>
          <w:szCs w:val="21"/>
          <w:highlight w:val="none"/>
        </w:rPr>
        <w:t>（2）工程竣工结算</w:t>
      </w:r>
      <w:r>
        <w:rPr>
          <w:rFonts w:hint="eastAsia" w:ascii="宋体" w:hAnsi="宋体" w:eastAsia="宋体" w:cs="宋体"/>
          <w:b/>
          <w:bCs/>
          <w:color w:val="auto"/>
          <w:kern w:val="0"/>
          <w:szCs w:val="21"/>
          <w:highlight w:val="none"/>
          <w:lang w:eastAsia="zh-CN"/>
        </w:rPr>
        <w:t>前</w:t>
      </w:r>
      <w:r>
        <w:rPr>
          <w:rFonts w:hint="eastAsia" w:ascii="宋体" w:hAnsi="宋体" w:eastAsia="宋体" w:cs="宋体"/>
          <w:b/>
          <w:bCs/>
          <w:color w:val="auto"/>
          <w:kern w:val="0"/>
          <w:szCs w:val="21"/>
          <w:highlight w:val="none"/>
        </w:rPr>
        <w:t>，</w:t>
      </w:r>
      <w:r>
        <w:rPr>
          <w:rFonts w:hint="eastAsia" w:ascii="宋体" w:hAnsi="宋体" w:eastAsia="宋体" w:cs="宋体"/>
          <w:b/>
          <w:bCs/>
          <w:color w:val="auto"/>
          <w:kern w:val="0"/>
          <w:szCs w:val="21"/>
          <w:highlight w:val="none"/>
          <w:lang w:eastAsia="zh-CN"/>
        </w:rPr>
        <w:t>承</w:t>
      </w:r>
      <w:r>
        <w:rPr>
          <w:rFonts w:hint="eastAsia" w:ascii="宋体" w:hAnsi="宋体" w:eastAsia="宋体" w:cs="宋体"/>
          <w:b/>
          <w:bCs/>
          <w:color w:val="auto"/>
          <w:szCs w:val="21"/>
          <w:highlight w:val="none"/>
        </w:rPr>
        <w:t>包人按工程价款结算总额的</w:t>
      </w:r>
      <w:r>
        <w:rPr>
          <w:rFonts w:hint="eastAsia" w:ascii="宋体" w:hAnsi="宋体" w:eastAsia="宋体" w:cs="宋体"/>
          <w:b/>
          <w:bCs/>
          <w:color w:val="auto"/>
          <w:szCs w:val="21"/>
          <w:highlight w:val="none"/>
          <w:lang w:val="en-US" w:eastAsia="zh-CN"/>
        </w:rPr>
        <w:t xml:space="preserve"> </w:t>
      </w:r>
      <w:r>
        <w:rPr>
          <w:rFonts w:hint="eastAsia" w:ascii="宋体" w:hAnsi="宋体" w:eastAsia="宋体" w:cs="宋体"/>
          <w:b/>
          <w:bCs/>
          <w:color w:val="auto"/>
          <w:szCs w:val="21"/>
          <w:highlight w:val="none"/>
          <w:u w:val="single"/>
          <w:lang w:val="en-US" w:eastAsia="zh-CN"/>
        </w:rPr>
        <w:t xml:space="preserve">3 </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rPr>
        <w:t>%预</w:t>
      </w:r>
      <w:r>
        <w:rPr>
          <w:rFonts w:hint="eastAsia" w:ascii="宋体" w:hAnsi="宋体" w:eastAsia="宋体" w:cs="宋体"/>
          <w:b/>
          <w:bCs/>
          <w:color w:val="auto"/>
          <w:szCs w:val="21"/>
          <w:highlight w:val="none"/>
          <w:lang w:eastAsia="zh-CN"/>
        </w:rPr>
        <w:t>存</w:t>
      </w:r>
      <w:r>
        <w:rPr>
          <w:rFonts w:hint="eastAsia" w:ascii="宋体" w:hAnsi="宋体" w:eastAsia="宋体" w:cs="宋体"/>
          <w:b/>
          <w:bCs/>
          <w:color w:val="auto"/>
          <w:szCs w:val="21"/>
          <w:highlight w:val="none"/>
        </w:rPr>
        <w:t>工程质量保证金</w:t>
      </w:r>
      <w:r>
        <w:rPr>
          <w:rFonts w:hint="eastAsia" w:ascii="宋体" w:hAnsi="宋体" w:eastAsia="宋体" w:cs="宋体"/>
          <w:b/>
          <w:bCs/>
          <w:color w:val="auto"/>
          <w:szCs w:val="21"/>
          <w:highlight w:val="none"/>
          <w:lang w:eastAsia="zh-CN"/>
        </w:rPr>
        <w:t>至发包方指定账户</w:t>
      </w:r>
      <w:r>
        <w:rPr>
          <w:rFonts w:hint="eastAsia" w:ascii="宋体" w:hAnsi="宋体" w:eastAsia="宋体" w:cs="宋体"/>
          <w:b/>
          <w:bCs/>
          <w:color w:val="auto"/>
          <w:szCs w:val="21"/>
          <w:highlight w:val="none"/>
        </w:rPr>
        <w:t>，待缺陷责任期满后</w:t>
      </w:r>
      <w:r>
        <w:rPr>
          <w:rFonts w:hint="eastAsia" w:ascii="宋体" w:hAnsi="宋体" w:eastAsia="宋体" w:cs="宋体"/>
          <w:b/>
          <w:bCs/>
          <w:color w:val="auto"/>
          <w:szCs w:val="21"/>
          <w:highlight w:val="none"/>
          <w:lang w:eastAsia="zh-CN"/>
        </w:rPr>
        <w:t>，发包方</w:t>
      </w:r>
      <w:r>
        <w:rPr>
          <w:rFonts w:hint="eastAsia" w:ascii="宋体" w:hAnsi="宋体" w:eastAsia="宋体" w:cs="宋体"/>
          <w:b/>
          <w:bCs/>
          <w:color w:val="auto"/>
          <w:szCs w:val="21"/>
          <w:highlight w:val="none"/>
        </w:rPr>
        <w:t>返还</w:t>
      </w:r>
      <w:r>
        <w:rPr>
          <w:rFonts w:hint="eastAsia" w:ascii="宋体" w:hAnsi="宋体" w:eastAsia="宋体" w:cs="宋体"/>
          <w:b/>
          <w:bCs/>
          <w:color w:val="auto"/>
          <w:szCs w:val="21"/>
          <w:highlight w:val="none"/>
          <w:lang w:eastAsia="zh-CN"/>
        </w:rPr>
        <w:t>承包方</w:t>
      </w:r>
      <w:r>
        <w:rPr>
          <w:rFonts w:hint="eastAsia" w:ascii="宋体" w:hAnsi="宋体" w:eastAsia="宋体" w:cs="宋体"/>
          <w:b/>
          <w:bCs/>
          <w:color w:val="auto"/>
          <w:szCs w:val="21"/>
          <w:highlight w:val="none"/>
        </w:rPr>
        <w:t>，是否付息及利息计算方式为：</w:t>
      </w:r>
      <w:r>
        <w:rPr>
          <w:rFonts w:hint="eastAsia" w:ascii="宋体" w:hAnsi="宋体" w:eastAsia="宋体" w:cs="宋体"/>
          <w:b/>
          <w:bCs/>
          <w:color w:val="auto"/>
          <w:szCs w:val="21"/>
          <w:highlight w:val="none"/>
          <w:u w:val="single"/>
        </w:rPr>
        <w:t xml:space="preserve"> /  </w:t>
      </w:r>
      <w:r>
        <w:rPr>
          <w:rFonts w:hint="eastAsia" w:ascii="宋体" w:hAnsi="宋体" w:eastAsia="宋体" w:cs="宋体"/>
          <w:b/>
          <w:bCs/>
          <w:color w:val="auto"/>
          <w:kern w:val="0"/>
          <w:szCs w:val="21"/>
          <w:highlight w:val="none"/>
        </w:rPr>
        <w:t>；</w:t>
      </w:r>
    </w:p>
    <w:p w14:paraId="2766D37C">
      <w:pPr>
        <w:pStyle w:val="24"/>
        <w:keepNext w:val="0"/>
        <w:keepLines w:val="0"/>
        <w:pageBreakBefore w:val="0"/>
        <w:widowControl w:val="0"/>
        <w:tabs>
          <w:tab w:val="left" w:pos="6234"/>
        </w:tabs>
        <w:wordWrap/>
        <w:overflowPunct/>
        <w:topLinePunct w:val="0"/>
        <w:bidi w:val="0"/>
        <w:spacing w:beforeAutospacing="0" w:afterAutospacing="0" w:line="360" w:lineRule="auto"/>
        <w:ind w:left="0" w:leftChars="0" w:right="0" w:rightChars="0" w:firstLine="412"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（3）其他扣留方式:</w:t>
      </w:r>
      <w:r>
        <w:rPr>
          <w:rFonts w:hint="eastAsia" w:ascii="宋体" w:hAnsi="宋体" w:eastAsia="宋体" w:cs="宋体"/>
          <w:color w:val="auto"/>
          <w:spacing w:val="-2"/>
          <w:kern w:val="0"/>
          <w:szCs w:val="21"/>
          <w:highlight w:val="none"/>
          <w:u w:val="single"/>
        </w:rPr>
        <w:t xml:space="preserve"> </w:t>
      </w:r>
      <w:r>
        <w:rPr>
          <w:rFonts w:hint="eastAsia" w:ascii="宋体" w:hAnsi="宋体" w:eastAsia="宋体" w:cs="宋体"/>
          <w:color w:val="auto"/>
          <w:spacing w:val="-2"/>
          <w:kern w:val="0"/>
          <w:szCs w:val="21"/>
          <w:highlight w:val="none"/>
          <w:u w:val="single" w:color="000000"/>
        </w:rPr>
        <w:t xml:space="preserve"> 无 </w:t>
      </w:r>
      <w:r>
        <w:rPr>
          <w:rFonts w:hint="eastAsia" w:ascii="宋体" w:hAnsi="宋体" w:eastAsia="宋体" w:cs="宋体"/>
          <w:color w:val="auto"/>
          <w:kern w:val="0"/>
          <w:szCs w:val="21"/>
          <w:highlight w:val="none"/>
        </w:rPr>
        <w:t xml:space="preserve">。 </w:t>
      </w:r>
    </w:p>
    <w:p w14:paraId="375CC418">
      <w:pPr>
        <w:pStyle w:val="24"/>
        <w:keepNext w:val="0"/>
        <w:keepLines w:val="0"/>
        <w:pageBreakBefore w:val="0"/>
        <w:widowControl w:val="0"/>
        <w:tabs>
          <w:tab w:val="left" w:pos="6234"/>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关于质量保证金的补充约定：</w:t>
      </w:r>
      <w:r>
        <w:rPr>
          <w:rFonts w:hint="eastAsia" w:ascii="宋体" w:hAnsi="宋体" w:eastAsia="宋体" w:cs="宋体"/>
          <w:color w:val="auto"/>
          <w:spacing w:val="-2"/>
          <w:kern w:val="0"/>
          <w:szCs w:val="21"/>
          <w:highlight w:val="none"/>
          <w:u w:val="single"/>
        </w:rPr>
        <w:t xml:space="preserve"> </w:t>
      </w:r>
      <w:r>
        <w:rPr>
          <w:rFonts w:hint="eastAsia" w:ascii="宋体" w:hAnsi="宋体" w:eastAsia="宋体" w:cs="宋体"/>
          <w:color w:val="auto"/>
          <w:spacing w:val="-2"/>
          <w:kern w:val="0"/>
          <w:szCs w:val="21"/>
          <w:highlight w:val="none"/>
          <w:u w:val="single" w:color="000000"/>
        </w:rPr>
        <w:t xml:space="preserve"> 无 </w:t>
      </w:r>
      <w:r>
        <w:rPr>
          <w:rFonts w:hint="eastAsia" w:ascii="宋体" w:hAnsi="宋体" w:eastAsia="宋体" w:cs="宋体"/>
          <w:color w:val="auto"/>
          <w:kern w:val="0"/>
          <w:szCs w:val="21"/>
          <w:highlight w:val="none"/>
        </w:rPr>
        <w:t>。</w:t>
      </w:r>
    </w:p>
    <w:p w14:paraId="57B78D8F">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b/>
          <w:color w:val="auto"/>
          <w:spacing w:val="2"/>
          <w:kern w:val="0"/>
          <w:szCs w:val="21"/>
          <w:highlight w:val="none"/>
        </w:rPr>
      </w:pPr>
      <w:bookmarkStart w:id="102" w:name="15.4保修"/>
      <w:bookmarkEnd w:id="102"/>
      <w:r>
        <w:rPr>
          <w:rFonts w:hint="eastAsia" w:ascii="宋体" w:hAnsi="宋体" w:eastAsia="宋体" w:cs="宋体"/>
          <w:b/>
          <w:color w:val="auto"/>
          <w:spacing w:val="2"/>
          <w:kern w:val="0"/>
          <w:szCs w:val="21"/>
          <w:highlight w:val="none"/>
        </w:rPr>
        <w:t>15.4 保修</w:t>
      </w:r>
    </w:p>
    <w:p w14:paraId="5DDA6436">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15.4.1 保修责任</w:t>
      </w:r>
    </w:p>
    <w:p w14:paraId="5B0C185B">
      <w:pPr>
        <w:pStyle w:val="24"/>
        <w:keepNext w:val="0"/>
        <w:keepLines w:val="0"/>
        <w:pageBreakBefore w:val="0"/>
        <w:widowControl w:val="0"/>
        <w:tabs>
          <w:tab w:val="left" w:pos="6234"/>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工程保修期为：</w:t>
      </w:r>
      <w:r>
        <w:rPr>
          <w:rFonts w:hint="eastAsia" w:ascii="宋体" w:hAnsi="宋体" w:eastAsia="宋体" w:cs="宋体"/>
          <w:color w:val="auto"/>
          <w:spacing w:val="-1"/>
          <w:kern w:val="0"/>
          <w:szCs w:val="21"/>
          <w:highlight w:val="none"/>
          <w:u w:val="single" w:color="000000"/>
        </w:rPr>
        <w:t>按《工程质量保修书》</w:t>
      </w:r>
      <w:r>
        <w:rPr>
          <w:rFonts w:hint="eastAsia" w:ascii="宋体" w:hAnsi="宋体" w:eastAsia="宋体" w:cs="宋体"/>
          <w:color w:val="auto"/>
          <w:kern w:val="0"/>
          <w:szCs w:val="21"/>
          <w:highlight w:val="none"/>
        </w:rPr>
        <w:t>。</w:t>
      </w:r>
    </w:p>
    <w:p w14:paraId="5F625D87">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15.4.3 修复通知 </w:t>
      </w:r>
    </w:p>
    <w:p w14:paraId="1775D29B">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strike/>
          <w:color w:val="auto"/>
          <w:szCs w:val="21"/>
          <w:highlight w:val="none"/>
        </w:rPr>
      </w:pPr>
      <w:r>
        <w:rPr>
          <w:rFonts w:hint="eastAsia" w:ascii="宋体" w:hAnsi="宋体" w:eastAsia="宋体" w:cs="宋体"/>
          <w:color w:val="auto"/>
          <w:spacing w:val="-1"/>
          <w:szCs w:val="21"/>
          <w:highlight w:val="none"/>
        </w:rPr>
        <w:t>承包人收到保修通知并到达工程现场的合理时间：</w:t>
      </w:r>
      <w:bookmarkStart w:id="103" w:name="16._违约"/>
      <w:bookmarkEnd w:id="103"/>
      <w:r>
        <w:rPr>
          <w:rFonts w:hint="eastAsia" w:ascii="宋体" w:hAnsi="宋体" w:eastAsia="宋体" w:cs="宋体"/>
          <w:b/>
          <w:bCs/>
          <w:color w:val="auto"/>
          <w:szCs w:val="21"/>
          <w:highlight w:val="none"/>
          <w:u w:val="single"/>
        </w:rPr>
        <w:t xml:space="preserve">承包人接到发包人口头通知24小时内应到达现场 </w:t>
      </w:r>
      <w:r>
        <w:rPr>
          <w:rFonts w:hint="eastAsia" w:ascii="宋体" w:hAnsi="宋体" w:eastAsia="宋体" w:cs="宋体"/>
          <w:b/>
          <w:bCs/>
          <w:color w:val="auto"/>
          <w:kern w:val="0"/>
          <w:szCs w:val="21"/>
          <w:highlight w:val="none"/>
        </w:rPr>
        <w:t>。</w:t>
      </w:r>
    </w:p>
    <w:p w14:paraId="3267D1C6">
      <w:pPr>
        <w:keepNext w:val="0"/>
        <w:keepLines w:val="0"/>
        <w:pageBreakBefore w:val="0"/>
        <w:widowControl/>
        <w:kinsoku w:val="0"/>
        <w:wordWrap/>
        <w:overflowPunct/>
        <w:topLinePunct w:val="0"/>
        <w:autoSpaceDE w:val="0"/>
        <w:autoSpaceDN w:val="0"/>
        <w:bidi w:val="0"/>
        <w:adjustRightInd w:val="0"/>
        <w:snapToGrid w:val="0"/>
        <w:spacing w:line="360" w:lineRule="auto"/>
        <w:ind w:firstLine="442" w:firstLineChars="200"/>
        <w:textAlignment w:val="baseline"/>
        <w:rPr>
          <w:rFonts w:hint="eastAsia" w:ascii="宋体" w:hAnsi="宋体" w:eastAsia="宋体" w:cs="宋体"/>
          <w:color w:val="auto"/>
          <w:kern w:val="0"/>
          <w:szCs w:val="21"/>
          <w:highlight w:val="none"/>
        </w:rPr>
      </w:pPr>
      <w:bookmarkStart w:id="104" w:name="_Toc24943"/>
      <w:bookmarkStart w:id="105" w:name="_Toc21"/>
      <w:r>
        <w:rPr>
          <w:rFonts w:hint="eastAsia" w:ascii="宋体" w:hAnsi="宋体" w:eastAsia="宋体" w:cs="宋体"/>
          <w:b/>
          <w:color w:val="auto"/>
          <w:kern w:val="0"/>
          <w:szCs w:val="21"/>
          <w:highlight w:val="none"/>
        </w:rPr>
        <w:t xml:space="preserve">16. </w:t>
      </w:r>
      <w:r>
        <w:rPr>
          <w:rFonts w:hint="eastAsia" w:ascii="宋体" w:hAnsi="宋体" w:eastAsia="宋体" w:cs="宋体"/>
          <w:b/>
          <w:color w:val="auto"/>
          <w:spacing w:val="6"/>
          <w:kern w:val="0"/>
          <w:szCs w:val="21"/>
          <w:highlight w:val="none"/>
        </w:rPr>
        <w:t xml:space="preserve"> </w:t>
      </w:r>
      <w:r>
        <w:rPr>
          <w:rFonts w:hint="eastAsia" w:ascii="宋体" w:hAnsi="宋体" w:eastAsia="宋体" w:cs="宋体"/>
          <w:b/>
          <w:color w:val="auto"/>
          <w:spacing w:val="15"/>
          <w:kern w:val="0"/>
          <w:szCs w:val="21"/>
          <w:highlight w:val="none"/>
        </w:rPr>
        <w:t>违约</w:t>
      </w:r>
      <w:bookmarkEnd w:id="104"/>
      <w:bookmarkEnd w:id="105"/>
    </w:p>
    <w:p w14:paraId="7E49A905">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color w:val="auto"/>
          <w:szCs w:val="21"/>
          <w:highlight w:val="none"/>
        </w:rPr>
      </w:pPr>
      <w:bookmarkStart w:id="106" w:name="16.1_发包人违约"/>
      <w:bookmarkEnd w:id="106"/>
      <w:r>
        <w:rPr>
          <w:rFonts w:hint="eastAsia" w:ascii="宋体" w:hAnsi="宋体" w:eastAsia="宋体" w:cs="宋体"/>
          <w:b/>
          <w:color w:val="auto"/>
          <w:kern w:val="0"/>
          <w:szCs w:val="21"/>
          <w:highlight w:val="none"/>
        </w:rPr>
        <w:t xml:space="preserve">16.1 </w:t>
      </w:r>
      <w:r>
        <w:rPr>
          <w:rFonts w:hint="eastAsia" w:ascii="宋体" w:hAnsi="宋体" w:eastAsia="宋体" w:cs="宋体"/>
          <w:b/>
          <w:color w:val="auto"/>
          <w:spacing w:val="2"/>
          <w:kern w:val="0"/>
          <w:szCs w:val="21"/>
          <w:highlight w:val="none"/>
        </w:rPr>
        <w:t xml:space="preserve"> </w:t>
      </w:r>
      <w:r>
        <w:rPr>
          <w:rFonts w:hint="eastAsia" w:ascii="宋体" w:hAnsi="宋体" w:eastAsia="宋体" w:cs="宋体"/>
          <w:b/>
          <w:color w:val="auto"/>
          <w:spacing w:val="9"/>
          <w:kern w:val="0"/>
          <w:szCs w:val="21"/>
          <w:highlight w:val="none"/>
        </w:rPr>
        <w:t>发包人违约</w:t>
      </w:r>
    </w:p>
    <w:p w14:paraId="4F01137A">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16.1.1 发包人违约的情形</w:t>
      </w:r>
    </w:p>
    <w:p w14:paraId="19955163">
      <w:pPr>
        <w:pStyle w:val="24"/>
        <w:keepNext w:val="0"/>
        <w:keepLines w:val="0"/>
        <w:pageBreakBefore w:val="0"/>
        <w:widowControl w:val="0"/>
        <w:tabs>
          <w:tab w:val="left" w:pos="6234"/>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发包人违约的其他情形：</w:t>
      </w:r>
      <w:r>
        <w:rPr>
          <w:rFonts w:hint="eastAsia" w:ascii="宋体" w:hAnsi="宋体" w:eastAsia="宋体" w:cs="宋体"/>
          <w:color w:val="auto"/>
          <w:spacing w:val="-1"/>
          <w:kern w:val="0"/>
          <w:szCs w:val="21"/>
          <w:highlight w:val="none"/>
          <w:u w:val="single" w:color="000000"/>
        </w:rPr>
        <w:t xml:space="preserve"> 无 </w:t>
      </w:r>
      <w:r>
        <w:rPr>
          <w:rFonts w:hint="eastAsia" w:ascii="宋体" w:hAnsi="宋体" w:eastAsia="宋体" w:cs="宋体"/>
          <w:color w:val="auto"/>
          <w:kern w:val="0"/>
          <w:szCs w:val="21"/>
          <w:highlight w:val="none"/>
        </w:rPr>
        <w:t>。</w:t>
      </w:r>
    </w:p>
    <w:p w14:paraId="33BBF94D">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16.1.2 发包人违约的责任 </w:t>
      </w:r>
    </w:p>
    <w:p w14:paraId="06261237">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发包人违约责任的承担方式和计算方法：</w:t>
      </w:r>
    </w:p>
    <w:p w14:paraId="57C98D25">
      <w:pPr>
        <w:pStyle w:val="24"/>
        <w:keepNext w:val="0"/>
        <w:keepLines w:val="0"/>
        <w:pageBreakBefore w:val="0"/>
        <w:widowControl w:val="0"/>
        <w:tabs>
          <w:tab w:val="left" w:pos="8532"/>
        </w:tabs>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strike/>
          <w:color w:val="auto"/>
          <w:kern w:val="0"/>
          <w:szCs w:val="21"/>
          <w:highlight w:val="none"/>
        </w:rPr>
      </w:pPr>
      <w:r>
        <w:rPr>
          <w:rFonts w:hint="eastAsia" w:ascii="宋体" w:hAnsi="宋体" w:eastAsia="宋体" w:cs="宋体"/>
          <w:color w:val="auto"/>
          <w:kern w:val="0"/>
          <w:szCs w:val="21"/>
          <w:highlight w:val="none"/>
        </w:rPr>
        <w:t>（1）因发包人原因未能在计划开工日期前</w:t>
      </w:r>
      <w:r>
        <w:rPr>
          <w:rFonts w:hint="eastAsia" w:ascii="宋体" w:hAnsi="宋体" w:eastAsia="宋体" w:cs="宋体"/>
          <w:color w:val="auto"/>
          <w:spacing w:val="-50"/>
          <w:kern w:val="0"/>
          <w:szCs w:val="21"/>
          <w:highlight w:val="none"/>
        </w:rPr>
        <w:t xml:space="preserve"> </w:t>
      </w:r>
      <w:r>
        <w:rPr>
          <w:rFonts w:hint="eastAsia" w:ascii="宋体" w:hAnsi="宋体" w:eastAsia="宋体" w:cs="宋体"/>
          <w:color w:val="auto"/>
          <w:kern w:val="0"/>
          <w:szCs w:val="21"/>
          <w:highlight w:val="none"/>
        </w:rPr>
        <w:t>7</w:t>
      </w:r>
      <w:r>
        <w:rPr>
          <w:rFonts w:hint="eastAsia" w:ascii="宋体" w:hAnsi="宋体" w:eastAsia="宋体" w:cs="宋体"/>
          <w:color w:val="auto"/>
          <w:spacing w:val="5"/>
          <w:kern w:val="0"/>
          <w:szCs w:val="21"/>
          <w:highlight w:val="none"/>
        </w:rPr>
        <w:t xml:space="preserve"> </w:t>
      </w:r>
      <w:r>
        <w:rPr>
          <w:rFonts w:hint="eastAsia" w:ascii="宋体" w:hAnsi="宋体" w:eastAsia="宋体" w:cs="宋体"/>
          <w:color w:val="auto"/>
          <w:kern w:val="0"/>
          <w:szCs w:val="21"/>
          <w:highlight w:val="none"/>
        </w:rPr>
        <w:t>天内下达开工通知的违约责任：</w:t>
      </w:r>
      <w:r>
        <w:rPr>
          <w:rFonts w:hint="eastAsia" w:ascii="宋体" w:hAnsi="宋体" w:eastAsia="宋体" w:cs="宋体"/>
          <w:b/>
          <w:bCs/>
          <w:color w:val="auto"/>
          <w:kern w:val="0"/>
          <w:szCs w:val="21"/>
          <w:highlight w:val="none"/>
          <w:u w:val="single"/>
        </w:rPr>
        <w:t xml:space="preserve"> 无 </w:t>
      </w:r>
      <w:r>
        <w:rPr>
          <w:rFonts w:hint="eastAsia" w:ascii="宋体" w:hAnsi="宋体" w:eastAsia="宋体" w:cs="宋体"/>
          <w:b/>
          <w:bCs/>
          <w:color w:val="auto"/>
          <w:kern w:val="0"/>
          <w:szCs w:val="21"/>
          <w:highlight w:val="none"/>
        </w:rPr>
        <w:t>。</w:t>
      </w:r>
    </w:p>
    <w:p w14:paraId="57AF0637">
      <w:pPr>
        <w:pStyle w:val="24"/>
        <w:keepNext w:val="0"/>
        <w:keepLines w:val="0"/>
        <w:pageBreakBefore w:val="0"/>
        <w:widowControl w:val="0"/>
        <w:tabs>
          <w:tab w:val="left" w:pos="8022"/>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strike/>
          <w:color w:val="auto"/>
          <w:kern w:val="0"/>
          <w:szCs w:val="21"/>
          <w:highlight w:val="none"/>
        </w:rPr>
      </w:pPr>
      <w:r>
        <w:rPr>
          <w:rFonts w:hint="eastAsia" w:ascii="宋体" w:hAnsi="宋体" w:eastAsia="宋体" w:cs="宋体"/>
          <w:color w:val="auto"/>
          <w:spacing w:val="-1"/>
          <w:kern w:val="0"/>
          <w:szCs w:val="21"/>
          <w:highlight w:val="none"/>
        </w:rPr>
        <w:t>（2）因发包人原因未能按合同约定支付合同价款的违约责任：</w:t>
      </w:r>
      <w:r>
        <w:rPr>
          <w:rFonts w:hint="eastAsia" w:ascii="宋体" w:hAnsi="宋体" w:eastAsia="宋体" w:cs="宋体"/>
          <w:color w:val="auto"/>
          <w:kern w:val="0"/>
          <w:szCs w:val="21"/>
          <w:highlight w:val="none"/>
          <w:u w:val="single"/>
        </w:rPr>
        <w:t xml:space="preserve">   /   </w:t>
      </w:r>
      <w:r>
        <w:rPr>
          <w:rFonts w:hint="eastAsia" w:ascii="宋体" w:hAnsi="宋体" w:eastAsia="宋体" w:cs="宋体"/>
          <w:color w:val="auto"/>
          <w:kern w:val="0"/>
          <w:szCs w:val="21"/>
          <w:highlight w:val="none"/>
        </w:rPr>
        <w:t>。</w:t>
      </w:r>
    </w:p>
    <w:p w14:paraId="3E3FCA66">
      <w:pPr>
        <w:pStyle w:val="24"/>
        <w:keepNext w:val="0"/>
        <w:keepLines w:val="0"/>
        <w:pageBreakBefore w:val="0"/>
        <w:widowControl w:val="0"/>
        <w:tabs>
          <w:tab w:val="left" w:pos="8007"/>
        </w:tabs>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r>
        <w:rPr>
          <w:rFonts w:hint="eastAsia" w:ascii="宋体" w:hAnsi="宋体" w:eastAsia="宋体" w:cs="宋体"/>
          <w:color w:val="auto"/>
          <w:spacing w:val="-2"/>
          <w:kern w:val="0"/>
          <w:szCs w:val="21"/>
          <w:highlight w:val="none"/>
        </w:rPr>
        <w:t>发包人提供的材料、工程设备的规格、数量或质量不符合合同约定，或因发包人原因</w:t>
      </w:r>
      <w:r>
        <w:rPr>
          <w:rFonts w:hint="eastAsia" w:ascii="宋体" w:hAnsi="宋体" w:eastAsia="宋体" w:cs="宋体"/>
          <w:color w:val="auto"/>
          <w:spacing w:val="-1"/>
          <w:kern w:val="0"/>
          <w:szCs w:val="21"/>
          <w:highlight w:val="none"/>
        </w:rPr>
        <w:t>导致交货日期延误或交货地点变更等情况的违约责任：</w:t>
      </w:r>
      <w:r>
        <w:rPr>
          <w:rFonts w:hint="eastAsia" w:ascii="宋体" w:hAnsi="宋体" w:eastAsia="宋体" w:cs="宋体"/>
          <w:color w:val="auto"/>
          <w:kern w:val="0"/>
          <w:szCs w:val="21"/>
          <w:highlight w:val="none"/>
          <w:u w:val="single"/>
        </w:rPr>
        <w:t xml:space="preserve">   /  </w:t>
      </w:r>
      <w:r>
        <w:rPr>
          <w:rFonts w:hint="eastAsia" w:ascii="宋体" w:hAnsi="宋体" w:eastAsia="宋体" w:cs="宋体"/>
          <w:color w:val="auto"/>
          <w:kern w:val="0"/>
          <w:szCs w:val="21"/>
          <w:highlight w:val="none"/>
        </w:rPr>
        <w:t>。</w:t>
      </w:r>
    </w:p>
    <w:p w14:paraId="319F7DB5">
      <w:pPr>
        <w:pStyle w:val="24"/>
        <w:keepNext w:val="0"/>
        <w:keepLines w:val="0"/>
        <w:pageBreakBefore w:val="0"/>
        <w:widowControl w:val="0"/>
        <w:tabs>
          <w:tab w:val="left" w:pos="8022"/>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（4）因发包人违反合同约定造成暂停施工的违约责任：</w:t>
      </w:r>
      <w:r>
        <w:rPr>
          <w:rFonts w:hint="eastAsia" w:ascii="宋体" w:hAnsi="宋体" w:eastAsia="宋体" w:cs="宋体"/>
          <w:color w:val="auto"/>
          <w:kern w:val="0"/>
          <w:szCs w:val="21"/>
          <w:highlight w:val="none"/>
          <w:u w:val="single"/>
        </w:rPr>
        <w:t xml:space="preserve"> /   </w:t>
      </w:r>
      <w:r>
        <w:rPr>
          <w:rFonts w:hint="eastAsia" w:ascii="宋体" w:hAnsi="宋体" w:eastAsia="宋体" w:cs="宋体"/>
          <w:color w:val="auto"/>
          <w:kern w:val="0"/>
          <w:szCs w:val="21"/>
          <w:highlight w:val="none"/>
        </w:rPr>
        <w:t>。</w:t>
      </w:r>
    </w:p>
    <w:p w14:paraId="0ACC45E8">
      <w:pPr>
        <w:pStyle w:val="24"/>
        <w:keepNext w:val="0"/>
        <w:keepLines w:val="0"/>
        <w:pageBreakBefore w:val="0"/>
        <w:widowControl w:val="0"/>
        <w:tabs>
          <w:tab w:val="left" w:pos="5273"/>
        </w:tabs>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（5）发包人无正当理由没有在约定期限内发出复工指示，导致承包人无法复工的违约责任：</w:t>
      </w:r>
      <w:r>
        <w:rPr>
          <w:rFonts w:hint="eastAsia" w:ascii="宋体" w:hAnsi="宋体" w:eastAsia="宋体" w:cs="宋体"/>
          <w:color w:val="auto"/>
          <w:kern w:val="0"/>
          <w:szCs w:val="21"/>
          <w:highlight w:val="none"/>
          <w:u w:val="single"/>
        </w:rPr>
        <w:t xml:space="preserve">  / </w:t>
      </w:r>
      <w:r>
        <w:rPr>
          <w:rFonts w:hint="eastAsia" w:ascii="宋体" w:hAnsi="宋体" w:eastAsia="宋体" w:cs="宋体"/>
          <w:color w:val="auto"/>
          <w:kern w:val="0"/>
          <w:szCs w:val="21"/>
          <w:highlight w:val="none"/>
        </w:rPr>
        <w:t>。</w:t>
      </w:r>
    </w:p>
    <w:p w14:paraId="1902410A">
      <w:pPr>
        <w:pStyle w:val="24"/>
        <w:keepNext w:val="0"/>
        <w:keepLines w:val="0"/>
        <w:pageBreakBefore w:val="0"/>
        <w:widowControl w:val="0"/>
        <w:tabs>
          <w:tab w:val="left" w:pos="6129"/>
        </w:tabs>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（6）其他：</w:t>
      </w:r>
      <w:r>
        <w:rPr>
          <w:rFonts w:hint="eastAsia" w:ascii="宋体" w:hAnsi="宋体" w:eastAsia="宋体" w:cs="宋体"/>
          <w:color w:val="auto"/>
          <w:kern w:val="0"/>
          <w:szCs w:val="21"/>
          <w:highlight w:val="none"/>
          <w:u w:val="single" w:color="000000"/>
        </w:rPr>
        <w:t xml:space="preserve"> 无</w:t>
      </w:r>
      <w:r>
        <w:rPr>
          <w:rFonts w:hint="eastAsia" w:ascii="宋体" w:hAnsi="宋体" w:eastAsia="宋体" w:cs="宋体"/>
          <w:color w:val="auto"/>
          <w:kern w:val="0"/>
          <w:szCs w:val="21"/>
          <w:highlight w:val="none"/>
        </w:rPr>
        <w:t>。</w:t>
      </w:r>
    </w:p>
    <w:p w14:paraId="1CDBDF8D">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16.1.3 因发包人违约解除合同</w:t>
      </w:r>
    </w:p>
    <w:p w14:paraId="0C528FCC">
      <w:pPr>
        <w:pStyle w:val="24"/>
        <w:keepNext w:val="0"/>
        <w:keepLines w:val="0"/>
        <w:pageBreakBefore w:val="0"/>
        <w:widowControl w:val="0"/>
        <w:tabs>
          <w:tab w:val="left" w:pos="6084"/>
        </w:tabs>
        <w:wordWrap/>
        <w:overflowPunct/>
        <w:topLinePunct w:val="0"/>
        <w:bidi w:val="0"/>
        <w:spacing w:beforeAutospacing="0" w:afterAutospacing="0" w:line="360" w:lineRule="auto"/>
        <w:ind w:left="0" w:leftChars="0" w:right="0" w:rightChars="0" w:firstLine="412"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承包人按16.1.1项〔发包人违约的情形〕约定暂停施工满</w:t>
      </w:r>
      <w:r>
        <w:rPr>
          <w:rFonts w:hint="eastAsia" w:ascii="宋体" w:hAnsi="宋体" w:eastAsia="宋体" w:cs="宋体"/>
          <w:color w:val="auto"/>
          <w:spacing w:val="-2"/>
          <w:kern w:val="0"/>
          <w:szCs w:val="21"/>
          <w:highlight w:val="none"/>
          <w:u w:val="single" w:color="000000"/>
        </w:rPr>
        <w:t xml:space="preserve"> </w:t>
      </w:r>
      <w:r>
        <w:rPr>
          <w:rFonts w:hint="eastAsia" w:ascii="宋体" w:hAnsi="宋体" w:eastAsia="宋体" w:cs="宋体"/>
          <w:color w:val="auto"/>
          <w:kern w:val="0"/>
          <w:szCs w:val="21"/>
          <w:highlight w:val="none"/>
          <w:u w:val="single"/>
        </w:rPr>
        <w:t xml:space="preserve">  /  </w:t>
      </w:r>
      <w:r>
        <w:rPr>
          <w:rFonts w:hint="eastAsia" w:ascii="宋体" w:hAnsi="宋体" w:eastAsia="宋体" w:cs="宋体"/>
          <w:color w:val="auto"/>
          <w:kern w:val="0"/>
          <w:szCs w:val="21"/>
          <w:highlight w:val="none"/>
        </w:rPr>
        <w:t>天后发包人仍不纠正其违约行为并致使合同目的不能实现的，承包人有权解除合同。</w:t>
      </w:r>
    </w:p>
    <w:p w14:paraId="70ED42EB">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color w:val="auto"/>
          <w:szCs w:val="21"/>
          <w:highlight w:val="none"/>
        </w:rPr>
      </w:pPr>
      <w:bookmarkStart w:id="107" w:name="16.2_承包人违约"/>
      <w:bookmarkEnd w:id="107"/>
      <w:r>
        <w:rPr>
          <w:rFonts w:hint="eastAsia" w:ascii="宋体" w:hAnsi="宋体" w:eastAsia="宋体" w:cs="宋体"/>
          <w:b/>
          <w:color w:val="auto"/>
          <w:kern w:val="0"/>
          <w:szCs w:val="21"/>
          <w:highlight w:val="none"/>
        </w:rPr>
        <w:t xml:space="preserve">16.2 </w:t>
      </w:r>
      <w:r>
        <w:rPr>
          <w:rFonts w:hint="eastAsia" w:ascii="宋体" w:hAnsi="宋体" w:eastAsia="宋体" w:cs="宋体"/>
          <w:b/>
          <w:color w:val="auto"/>
          <w:spacing w:val="2"/>
          <w:kern w:val="0"/>
          <w:szCs w:val="21"/>
          <w:highlight w:val="none"/>
        </w:rPr>
        <w:t xml:space="preserve"> </w:t>
      </w:r>
      <w:r>
        <w:rPr>
          <w:rFonts w:hint="eastAsia" w:ascii="宋体" w:hAnsi="宋体" w:eastAsia="宋体" w:cs="宋体"/>
          <w:b/>
          <w:color w:val="auto"/>
          <w:spacing w:val="9"/>
          <w:kern w:val="0"/>
          <w:szCs w:val="21"/>
          <w:highlight w:val="none"/>
        </w:rPr>
        <w:t>承包人违约</w:t>
      </w:r>
    </w:p>
    <w:p w14:paraId="181079F8">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16.2.1 承包人违约的情形 </w:t>
      </w:r>
    </w:p>
    <w:p w14:paraId="16E9468E">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承包人违约的其他情形：</w:t>
      </w:r>
      <w:r>
        <w:rPr>
          <w:rFonts w:hint="eastAsia" w:ascii="宋体" w:hAnsi="宋体" w:eastAsia="宋体" w:cs="宋体"/>
          <w:b/>
          <w:color w:val="auto"/>
          <w:kern w:val="0"/>
          <w:szCs w:val="21"/>
          <w:highlight w:val="none"/>
          <w:u w:val="single" w:color="000000"/>
        </w:rPr>
        <w:t>承包人有违反《广西壮族自治区建设工程造价管理办法》的，按</w:t>
      </w:r>
      <w:r>
        <w:rPr>
          <w:rFonts w:hint="eastAsia" w:ascii="宋体" w:hAnsi="宋体" w:eastAsia="宋体" w:cs="宋体"/>
          <w:b/>
          <w:color w:val="auto"/>
          <w:spacing w:val="5"/>
          <w:kern w:val="0"/>
          <w:szCs w:val="21"/>
          <w:highlight w:val="none"/>
          <w:u w:val="single" w:color="000000"/>
        </w:rPr>
        <w:t>规定给予处罚</w:t>
      </w:r>
      <w:r>
        <w:rPr>
          <w:rFonts w:hint="eastAsia" w:ascii="宋体" w:hAnsi="宋体" w:eastAsia="宋体" w:cs="宋体"/>
          <w:color w:val="auto"/>
          <w:spacing w:val="5"/>
          <w:kern w:val="0"/>
          <w:szCs w:val="21"/>
          <w:highlight w:val="none"/>
        </w:rPr>
        <w:t>。</w:t>
      </w:r>
    </w:p>
    <w:p w14:paraId="3083E8F6">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16.2.2 承包人违约的责任 </w:t>
      </w:r>
    </w:p>
    <w:p w14:paraId="459AD9DD">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承包人违约责任的承担方式和计算方法：</w:t>
      </w:r>
    </w:p>
    <w:p w14:paraId="45516B04">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rPr>
          <w:rFonts w:hint="eastAsia" w:ascii="宋体" w:hAnsi="宋体" w:eastAsia="宋体" w:cs="宋体"/>
          <w:color w:val="auto"/>
          <w:szCs w:val="21"/>
          <w:highlight w:val="none"/>
        </w:rPr>
      </w:pPr>
      <w:r>
        <w:rPr>
          <w:rFonts w:hint="eastAsia" w:ascii="宋体" w:hAnsi="宋体" w:eastAsia="宋体" w:cs="宋体"/>
          <w:b/>
          <w:color w:val="auto"/>
          <w:kern w:val="0"/>
          <w:szCs w:val="21"/>
          <w:highlight w:val="none"/>
        </w:rPr>
        <w:t>（1）承包人未按本合同通用条款第</w:t>
      </w:r>
      <w:r>
        <w:rPr>
          <w:rFonts w:hint="eastAsia" w:ascii="宋体" w:hAnsi="宋体" w:eastAsia="宋体" w:cs="宋体"/>
          <w:b/>
          <w:color w:val="auto"/>
          <w:spacing w:val="-71"/>
          <w:kern w:val="0"/>
          <w:szCs w:val="21"/>
          <w:highlight w:val="none"/>
        </w:rPr>
        <w:t xml:space="preserve"> </w:t>
      </w:r>
      <w:r>
        <w:rPr>
          <w:rFonts w:hint="eastAsia" w:ascii="宋体" w:hAnsi="宋体" w:eastAsia="宋体" w:cs="宋体"/>
          <w:b/>
          <w:color w:val="auto"/>
          <w:kern w:val="0"/>
          <w:szCs w:val="21"/>
          <w:highlight w:val="none"/>
        </w:rPr>
        <w:t>16.2.1（2）、（3）条内容完成的，承包人无条件返工处理，修复至工程质量要求并承担相关费用，并在发包人规定的时间内完成返工，否则发包人</w:t>
      </w:r>
      <w:r>
        <w:rPr>
          <w:rFonts w:hint="eastAsia" w:ascii="宋体" w:hAnsi="宋体" w:eastAsia="宋体" w:cs="宋体"/>
          <w:b/>
          <w:color w:val="auto"/>
          <w:spacing w:val="-80"/>
          <w:kern w:val="0"/>
          <w:szCs w:val="21"/>
          <w:highlight w:val="none"/>
        </w:rPr>
        <w:t xml:space="preserve"> </w:t>
      </w:r>
      <w:r>
        <w:rPr>
          <w:rFonts w:hint="eastAsia" w:ascii="宋体" w:hAnsi="宋体" w:eastAsia="宋体" w:cs="宋体"/>
          <w:b/>
          <w:color w:val="auto"/>
          <w:spacing w:val="5"/>
          <w:kern w:val="0"/>
          <w:szCs w:val="21"/>
          <w:highlight w:val="none"/>
        </w:rPr>
        <w:t>有权扣罚该分项工程</w:t>
      </w:r>
      <w:r>
        <w:rPr>
          <w:rFonts w:hint="eastAsia" w:ascii="宋体" w:hAnsi="宋体" w:eastAsia="宋体" w:cs="宋体"/>
          <w:b/>
          <w:color w:val="auto"/>
          <w:spacing w:val="-46"/>
          <w:kern w:val="0"/>
          <w:szCs w:val="21"/>
          <w:highlight w:val="none"/>
        </w:rPr>
        <w:t xml:space="preserve"> </w:t>
      </w:r>
      <w:r>
        <w:rPr>
          <w:rFonts w:hint="eastAsia" w:ascii="宋体" w:hAnsi="宋体" w:eastAsia="宋体" w:cs="宋体"/>
          <w:b/>
          <w:color w:val="auto"/>
          <w:kern w:val="0"/>
          <w:szCs w:val="21"/>
          <w:highlight w:val="none"/>
        </w:rPr>
        <w:t>10%的工程款作为处罚</w:t>
      </w:r>
      <w:r>
        <w:rPr>
          <w:rFonts w:hint="eastAsia" w:ascii="宋体" w:hAnsi="宋体" w:eastAsia="宋体" w:cs="宋体"/>
          <w:color w:val="auto"/>
          <w:kern w:val="0"/>
          <w:szCs w:val="21"/>
          <w:highlight w:val="none"/>
        </w:rPr>
        <w:t>。</w:t>
      </w:r>
    </w:p>
    <w:p w14:paraId="2AEDE4CD">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8" w:firstLineChars="200"/>
        <w:jc w:val="left"/>
        <w:rPr>
          <w:rFonts w:hint="eastAsia" w:ascii="宋体" w:hAnsi="宋体" w:eastAsia="宋体" w:cs="宋体"/>
          <w:color w:val="auto"/>
          <w:szCs w:val="21"/>
          <w:highlight w:val="none"/>
        </w:rPr>
      </w:pPr>
      <w:r>
        <w:rPr>
          <w:rFonts w:hint="eastAsia" w:ascii="宋体" w:hAnsi="宋体" w:eastAsia="宋体" w:cs="宋体"/>
          <w:b/>
          <w:color w:val="auto"/>
          <w:spacing w:val="4"/>
          <w:kern w:val="0"/>
          <w:szCs w:val="21"/>
          <w:highlight w:val="none"/>
        </w:rPr>
        <w:t>（2）承包人有本合同通用条款第</w:t>
      </w:r>
      <w:r>
        <w:rPr>
          <w:rFonts w:hint="eastAsia" w:ascii="宋体" w:hAnsi="宋体" w:eastAsia="宋体" w:cs="宋体"/>
          <w:b/>
          <w:color w:val="auto"/>
          <w:spacing w:val="-62"/>
          <w:kern w:val="0"/>
          <w:szCs w:val="21"/>
          <w:highlight w:val="none"/>
        </w:rPr>
        <w:t xml:space="preserve"> </w:t>
      </w:r>
      <w:r>
        <w:rPr>
          <w:rFonts w:hint="eastAsia" w:ascii="宋体" w:hAnsi="宋体" w:eastAsia="宋体" w:cs="宋体"/>
          <w:b/>
          <w:color w:val="auto"/>
          <w:kern w:val="0"/>
          <w:szCs w:val="21"/>
          <w:highlight w:val="none"/>
        </w:rPr>
        <w:t>16.2.1（6）条情形的，或经监理人检验认为修复质量不</w:t>
      </w:r>
      <w:r>
        <w:rPr>
          <w:rFonts w:hint="eastAsia" w:ascii="宋体" w:hAnsi="宋体" w:eastAsia="宋体" w:cs="宋体"/>
          <w:b/>
          <w:color w:val="auto"/>
          <w:spacing w:val="2"/>
          <w:kern w:val="0"/>
          <w:szCs w:val="21"/>
          <w:highlight w:val="none"/>
        </w:rPr>
        <w:t>合格而承包人拒绝再进行修补的，发包人将扣除承包人全部质量保修金。</w:t>
      </w:r>
    </w:p>
    <w:p w14:paraId="37A3BF01">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color w:val="auto"/>
          <w:szCs w:val="21"/>
          <w:highlight w:val="none"/>
        </w:rPr>
      </w:pPr>
      <w:r>
        <w:rPr>
          <w:rFonts w:hint="eastAsia" w:ascii="宋体" w:hAnsi="宋体" w:eastAsia="宋体" w:cs="宋体"/>
          <w:b/>
          <w:color w:val="auto"/>
          <w:kern w:val="0"/>
          <w:szCs w:val="21"/>
          <w:highlight w:val="none"/>
        </w:rPr>
        <w:t>（3）承包人有本专用合同条款</w:t>
      </w:r>
      <w:r>
        <w:rPr>
          <w:rFonts w:hint="eastAsia" w:ascii="宋体" w:hAnsi="宋体" w:eastAsia="宋体" w:cs="宋体"/>
          <w:b/>
          <w:color w:val="auto"/>
          <w:spacing w:val="-48"/>
          <w:kern w:val="0"/>
          <w:szCs w:val="21"/>
          <w:highlight w:val="none"/>
        </w:rPr>
        <w:t xml:space="preserve"> </w:t>
      </w:r>
      <w:r>
        <w:rPr>
          <w:rFonts w:hint="eastAsia" w:ascii="宋体" w:hAnsi="宋体" w:eastAsia="宋体" w:cs="宋体"/>
          <w:b/>
          <w:color w:val="auto"/>
          <w:kern w:val="0"/>
          <w:szCs w:val="21"/>
          <w:highlight w:val="none"/>
        </w:rPr>
        <w:t>3.2、3.3</w:t>
      </w:r>
      <w:r>
        <w:rPr>
          <w:rFonts w:hint="eastAsia" w:ascii="宋体" w:hAnsi="宋体" w:eastAsia="宋体" w:cs="宋体"/>
          <w:b/>
          <w:color w:val="auto"/>
          <w:spacing w:val="-8"/>
          <w:kern w:val="0"/>
          <w:szCs w:val="21"/>
          <w:highlight w:val="none"/>
        </w:rPr>
        <w:t xml:space="preserve"> </w:t>
      </w:r>
      <w:r>
        <w:rPr>
          <w:rFonts w:hint="eastAsia" w:ascii="宋体" w:hAnsi="宋体" w:eastAsia="宋体" w:cs="宋体"/>
          <w:b/>
          <w:color w:val="auto"/>
          <w:kern w:val="0"/>
          <w:szCs w:val="21"/>
          <w:highlight w:val="none"/>
        </w:rPr>
        <w:t>条违约责任的，发包人有权扣除承包人的违约金。违约金从当期计量工程款中扣罚</w:t>
      </w:r>
      <w:r>
        <w:rPr>
          <w:rFonts w:hint="eastAsia" w:ascii="宋体" w:hAnsi="宋体" w:eastAsia="宋体" w:cs="宋体"/>
          <w:b/>
          <w:color w:val="auto"/>
          <w:spacing w:val="6"/>
          <w:kern w:val="0"/>
          <w:szCs w:val="21"/>
          <w:highlight w:val="none"/>
        </w:rPr>
        <w:t>。</w:t>
      </w:r>
    </w:p>
    <w:p w14:paraId="44DB928F">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szCs w:val="21"/>
          <w:highlight w:val="none"/>
        </w:rPr>
      </w:pPr>
      <w:r>
        <w:rPr>
          <w:rFonts w:hint="eastAsia" w:ascii="宋体" w:hAnsi="宋体" w:eastAsia="宋体" w:cs="宋体"/>
          <w:color w:val="auto"/>
          <w:spacing w:val="2"/>
          <w:kern w:val="0"/>
          <w:szCs w:val="21"/>
          <w:highlight w:val="none"/>
        </w:rPr>
        <w:t>16.2.3</w:t>
      </w:r>
      <w:r>
        <w:rPr>
          <w:rFonts w:hint="eastAsia" w:ascii="宋体" w:hAnsi="宋体" w:eastAsia="宋体" w:cs="宋体"/>
          <w:color w:val="auto"/>
          <w:spacing w:val="37"/>
          <w:kern w:val="0"/>
          <w:szCs w:val="21"/>
          <w:highlight w:val="none"/>
        </w:rPr>
        <w:t xml:space="preserve"> </w:t>
      </w:r>
      <w:r>
        <w:rPr>
          <w:rFonts w:hint="eastAsia" w:ascii="宋体" w:hAnsi="宋体" w:eastAsia="宋体" w:cs="宋体"/>
          <w:color w:val="auto"/>
          <w:kern w:val="0"/>
          <w:szCs w:val="21"/>
          <w:highlight w:val="none"/>
        </w:rPr>
        <w:t xml:space="preserve">因承包人违约解除合同 </w:t>
      </w:r>
    </w:p>
    <w:p w14:paraId="1933C3B1">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关于承包人违约解除合同的特别约定：</w:t>
      </w:r>
      <w:r>
        <w:rPr>
          <w:rFonts w:hint="eastAsia" w:ascii="宋体" w:hAnsi="宋体" w:eastAsia="宋体" w:cs="宋体"/>
          <w:b/>
          <w:color w:val="auto"/>
          <w:kern w:val="0"/>
          <w:szCs w:val="21"/>
          <w:highlight w:val="none"/>
          <w:u w:val="single" w:color="000000"/>
        </w:rPr>
        <w:t>承包人有违反以下情况之一的，发包人有权解除合</w:t>
      </w:r>
      <w:r>
        <w:rPr>
          <w:rFonts w:hint="eastAsia" w:ascii="宋体" w:hAnsi="宋体" w:eastAsia="宋体" w:cs="宋体"/>
          <w:b/>
          <w:color w:val="auto"/>
          <w:spacing w:val="4"/>
          <w:kern w:val="0"/>
          <w:szCs w:val="21"/>
          <w:highlight w:val="none"/>
          <w:u w:val="single" w:color="000000"/>
        </w:rPr>
        <w:t>同，并没收其全部履约保证金</w:t>
      </w:r>
      <w:r>
        <w:rPr>
          <w:rFonts w:hint="eastAsia" w:ascii="宋体" w:hAnsi="宋体" w:eastAsia="宋体" w:cs="宋体"/>
          <w:b/>
          <w:color w:val="auto"/>
          <w:spacing w:val="4"/>
          <w:kern w:val="0"/>
          <w:szCs w:val="21"/>
          <w:highlight w:val="none"/>
        </w:rPr>
        <w:t>。</w:t>
      </w:r>
    </w:p>
    <w:p w14:paraId="4DCA05B3">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42" w:firstLineChars="200"/>
        <w:jc w:val="left"/>
        <w:rPr>
          <w:rFonts w:hint="eastAsia" w:ascii="宋体" w:hAnsi="宋体" w:eastAsia="宋体" w:cs="宋体"/>
          <w:color w:val="auto"/>
          <w:szCs w:val="21"/>
          <w:highlight w:val="none"/>
        </w:rPr>
      </w:pPr>
      <w:r>
        <w:rPr>
          <w:rFonts w:hint="eastAsia" w:ascii="宋体" w:hAnsi="宋体" w:eastAsia="宋体" w:cs="宋体"/>
          <w:b/>
          <w:color w:val="auto"/>
          <w:spacing w:val="5"/>
          <w:kern w:val="0"/>
          <w:szCs w:val="21"/>
          <w:highlight w:val="none"/>
        </w:rPr>
        <w:t>（1）承包人无正当理由不按开工通知的要求及时进场组织施工和不按签订协议书时商订的</w:t>
      </w:r>
      <w:r>
        <w:rPr>
          <w:rFonts w:hint="eastAsia" w:ascii="宋体" w:hAnsi="宋体" w:eastAsia="宋体" w:cs="宋体"/>
          <w:b/>
          <w:color w:val="auto"/>
          <w:spacing w:val="2"/>
          <w:kern w:val="0"/>
          <w:szCs w:val="21"/>
          <w:highlight w:val="none"/>
        </w:rPr>
        <w:t>进度计划有效地开展施工准备，造成工期延误的；</w:t>
      </w:r>
    </w:p>
    <w:p w14:paraId="4993C5B9">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color w:val="auto"/>
          <w:szCs w:val="21"/>
          <w:highlight w:val="none"/>
        </w:rPr>
      </w:pPr>
      <w:r>
        <w:rPr>
          <w:rFonts w:hint="eastAsia" w:ascii="宋体" w:hAnsi="宋体" w:eastAsia="宋体" w:cs="宋体"/>
          <w:b/>
          <w:color w:val="auto"/>
          <w:kern w:val="0"/>
          <w:szCs w:val="21"/>
          <w:highlight w:val="none"/>
        </w:rPr>
        <w:t xml:space="preserve">（2）承包人违反本合同通用条款第 </w:t>
      </w:r>
      <w:r>
        <w:rPr>
          <w:rFonts w:hint="eastAsia" w:ascii="宋体" w:hAnsi="宋体" w:eastAsia="宋体" w:cs="宋体"/>
          <w:b/>
          <w:color w:val="auto"/>
          <w:spacing w:val="2"/>
          <w:kern w:val="0"/>
          <w:szCs w:val="21"/>
          <w:highlight w:val="none"/>
        </w:rPr>
        <w:t>3.5</w:t>
      </w:r>
      <w:r>
        <w:rPr>
          <w:rFonts w:hint="eastAsia" w:ascii="宋体" w:hAnsi="宋体" w:eastAsia="宋体" w:cs="宋体"/>
          <w:b/>
          <w:color w:val="auto"/>
          <w:spacing w:val="-14"/>
          <w:kern w:val="0"/>
          <w:szCs w:val="21"/>
          <w:highlight w:val="none"/>
        </w:rPr>
        <w:t xml:space="preserve"> </w:t>
      </w:r>
      <w:r>
        <w:rPr>
          <w:rFonts w:hint="eastAsia" w:ascii="宋体" w:hAnsi="宋体" w:eastAsia="宋体" w:cs="宋体"/>
          <w:b/>
          <w:color w:val="auto"/>
          <w:kern w:val="0"/>
          <w:szCs w:val="21"/>
          <w:highlight w:val="none"/>
        </w:rPr>
        <w:t>条规定私自将合同或合同的任何部分或任何权利转让</w:t>
      </w:r>
      <w:r>
        <w:rPr>
          <w:rFonts w:hint="eastAsia" w:ascii="宋体" w:hAnsi="宋体" w:eastAsia="宋体" w:cs="宋体"/>
          <w:b/>
          <w:color w:val="auto"/>
          <w:spacing w:val="2"/>
          <w:kern w:val="0"/>
          <w:szCs w:val="21"/>
          <w:highlight w:val="none"/>
        </w:rPr>
        <w:t>给其他人，或私自将工程或工程的一部分分包出去的；</w:t>
      </w:r>
    </w:p>
    <w:p w14:paraId="31788B71">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color w:val="auto"/>
          <w:szCs w:val="21"/>
          <w:highlight w:val="none"/>
        </w:rPr>
      </w:pPr>
      <w:r>
        <w:rPr>
          <w:rFonts w:hint="eastAsia" w:ascii="宋体" w:hAnsi="宋体" w:eastAsia="宋体" w:cs="宋体"/>
          <w:b/>
          <w:color w:val="auto"/>
          <w:kern w:val="0"/>
          <w:szCs w:val="21"/>
          <w:highlight w:val="none"/>
        </w:rPr>
        <w:t>（3）未经监理人批准，承包人私自将已按投标文件承诺进入工地的工程设备、施工设备、临</w:t>
      </w:r>
      <w:r>
        <w:rPr>
          <w:rFonts w:hint="eastAsia" w:ascii="宋体" w:hAnsi="宋体" w:eastAsia="宋体" w:cs="宋体"/>
          <w:b/>
          <w:color w:val="auto"/>
          <w:spacing w:val="5"/>
          <w:kern w:val="0"/>
          <w:szCs w:val="21"/>
          <w:highlight w:val="none"/>
        </w:rPr>
        <w:t>时工程或材料撤离工地的；</w:t>
      </w:r>
    </w:p>
    <w:p w14:paraId="10887541">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color w:val="auto"/>
          <w:szCs w:val="21"/>
          <w:highlight w:val="none"/>
        </w:rPr>
      </w:pPr>
      <w:r>
        <w:rPr>
          <w:rFonts w:hint="eastAsia" w:ascii="宋体" w:hAnsi="宋体" w:eastAsia="宋体" w:cs="宋体"/>
          <w:b/>
          <w:color w:val="auto"/>
          <w:kern w:val="0"/>
          <w:szCs w:val="21"/>
          <w:highlight w:val="none"/>
        </w:rPr>
        <w:t>（4）由于承包人原因拒绝按合同进度计划及时完成合同规定的工程，而又未采取有效措施赶</w:t>
      </w:r>
      <w:r>
        <w:rPr>
          <w:rFonts w:hint="eastAsia" w:ascii="宋体" w:hAnsi="宋体" w:eastAsia="宋体" w:cs="宋体"/>
          <w:b/>
          <w:color w:val="auto"/>
          <w:spacing w:val="5"/>
          <w:kern w:val="0"/>
          <w:szCs w:val="21"/>
          <w:highlight w:val="none"/>
        </w:rPr>
        <w:t>上进度，造成工期延误的；</w:t>
      </w:r>
    </w:p>
    <w:p w14:paraId="0E0C0D03">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color w:val="auto"/>
          <w:szCs w:val="21"/>
          <w:highlight w:val="none"/>
        </w:rPr>
      </w:pPr>
      <w:r>
        <w:rPr>
          <w:rFonts w:hint="eastAsia" w:ascii="宋体" w:hAnsi="宋体" w:eastAsia="宋体" w:cs="宋体"/>
          <w:b/>
          <w:color w:val="auto"/>
          <w:kern w:val="0"/>
          <w:szCs w:val="21"/>
          <w:highlight w:val="none"/>
        </w:rPr>
        <w:t>（5）承包人否认合同有效或拒绝履行合同规定的承包人义务，或由于法律、财务等原因导致</w:t>
      </w:r>
      <w:r>
        <w:rPr>
          <w:rFonts w:hint="eastAsia" w:ascii="宋体" w:hAnsi="宋体" w:eastAsia="宋体" w:cs="宋体"/>
          <w:b/>
          <w:color w:val="auto"/>
          <w:spacing w:val="2"/>
          <w:kern w:val="0"/>
          <w:szCs w:val="21"/>
          <w:highlight w:val="none"/>
        </w:rPr>
        <w:t>承包人无法继续履行或实质上已停止履行合同的义务的；</w:t>
      </w:r>
    </w:p>
    <w:p w14:paraId="483AF935">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color w:val="auto"/>
          <w:spacing w:val="5"/>
          <w:kern w:val="0"/>
          <w:szCs w:val="21"/>
          <w:highlight w:val="none"/>
        </w:rPr>
      </w:pPr>
      <w:r>
        <w:rPr>
          <w:rFonts w:hint="eastAsia" w:ascii="宋体" w:hAnsi="宋体" w:eastAsia="宋体" w:cs="宋体"/>
          <w:b/>
          <w:color w:val="auto"/>
          <w:kern w:val="0"/>
          <w:szCs w:val="21"/>
          <w:highlight w:val="none"/>
        </w:rPr>
        <w:t>（6）合同签订之日起十五日内，承包人无法按合同规定及投标文件的承诺进场经监理工程师</w:t>
      </w:r>
      <w:r>
        <w:rPr>
          <w:rFonts w:hint="eastAsia" w:ascii="宋体" w:hAnsi="宋体" w:eastAsia="宋体" w:cs="宋体"/>
          <w:b/>
          <w:color w:val="auto"/>
          <w:spacing w:val="5"/>
          <w:kern w:val="0"/>
          <w:szCs w:val="21"/>
          <w:highlight w:val="none"/>
        </w:rPr>
        <w:t>认可的全部人员和机械的。</w:t>
      </w:r>
    </w:p>
    <w:p w14:paraId="5E4DEB44">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（7）承包人在接到业主通知后积极配合发包人办理质安监等相关手续，并提供办理施工许可证的资料。</w:t>
      </w:r>
    </w:p>
    <w:p w14:paraId="31C851CD">
      <w:pPr>
        <w:pStyle w:val="24"/>
        <w:keepNext w:val="0"/>
        <w:keepLines w:val="0"/>
        <w:pageBreakBefore w:val="0"/>
        <w:widowControl w:val="0"/>
        <w:tabs>
          <w:tab w:val="left" w:pos="8007"/>
        </w:tabs>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发包人继续使用承包人在施工现场的材料、设备、临时工程、承包人文件和由承包人或以 </w:t>
      </w:r>
      <w:r>
        <w:rPr>
          <w:rFonts w:hint="eastAsia" w:ascii="宋体" w:hAnsi="宋体" w:eastAsia="宋体" w:cs="宋体"/>
          <w:color w:val="auto"/>
          <w:spacing w:val="-1"/>
          <w:kern w:val="0"/>
          <w:szCs w:val="21"/>
          <w:highlight w:val="none"/>
        </w:rPr>
        <w:t>其名义编制的其他文件的费用承担方式：</w:t>
      </w:r>
      <w:r>
        <w:rPr>
          <w:rFonts w:hint="eastAsia" w:ascii="宋体" w:hAnsi="宋体" w:eastAsia="宋体" w:cs="宋体"/>
          <w:color w:val="auto"/>
          <w:spacing w:val="-1"/>
          <w:kern w:val="0"/>
          <w:szCs w:val="21"/>
          <w:highlight w:val="none"/>
          <w:u w:val="single" w:color="000000"/>
        </w:rPr>
        <w:t xml:space="preserve">  </w:t>
      </w:r>
      <w:r>
        <w:rPr>
          <w:rFonts w:hint="eastAsia" w:ascii="宋体" w:hAnsi="宋体" w:eastAsia="宋体" w:cs="宋体"/>
          <w:b/>
          <w:bCs/>
          <w:color w:val="auto"/>
          <w:kern w:val="0"/>
          <w:szCs w:val="21"/>
          <w:highlight w:val="none"/>
          <w:u w:val="single"/>
        </w:rPr>
        <w:t xml:space="preserve"> 双方另行协商 </w:t>
      </w:r>
      <w:r>
        <w:rPr>
          <w:rFonts w:hint="eastAsia" w:ascii="宋体" w:hAnsi="宋体" w:eastAsia="宋体" w:cs="宋体"/>
          <w:b/>
          <w:bCs/>
          <w:color w:val="auto"/>
          <w:spacing w:val="-1"/>
          <w:kern w:val="0"/>
          <w:szCs w:val="21"/>
          <w:highlight w:val="none"/>
          <w:u w:val="single" w:color="000000"/>
        </w:rPr>
        <w:t xml:space="preserve"> </w:t>
      </w:r>
      <w:r>
        <w:rPr>
          <w:rFonts w:hint="eastAsia" w:ascii="宋体" w:hAnsi="宋体" w:eastAsia="宋体" w:cs="宋体"/>
          <w:color w:val="auto"/>
          <w:spacing w:val="-1"/>
          <w:kern w:val="0"/>
          <w:szCs w:val="21"/>
          <w:highlight w:val="none"/>
          <w:u w:val="single" w:color="000000"/>
        </w:rPr>
        <w:t xml:space="preserve">      </w:t>
      </w:r>
      <w:r>
        <w:rPr>
          <w:rFonts w:hint="eastAsia" w:ascii="宋体" w:hAnsi="宋体" w:eastAsia="宋体" w:cs="宋体"/>
          <w:color w:val="auto"/>
          <w:kern w:val="0"/>
          <w:szCs w:val="21"/>
          <w:highlight w:val="none"/>
        </w:rPr>
        <w:t>。</w:t>
      </w:r>
    </w:p>
    <w:p w14:paraId="56F111BB">
      <w:pPr>
        <w:keepNext w:val="0"/>
        <w:keepLines w:val="0"/>
        <w:pageBreakBefore w:val="0"/>
        <w:widowControl/>
        <w:kinsoku w:val="0"/>
        <w:wordWrap/>
        <w:overflowPunct/>
        <w:topLinePunct w:val="0"/>
        <w:autoSpaceDE w:val="0"/>
        <w:autoSpaceDN w:val="0"/>
        <w:bidi w:val="0"/>
        <w:adjustRightInd w:val="0"/>
        <w:snapToGrid w:val="0"/>
        <w:spacing w:line="360" w:lineRule="auto"/>
        <w:ind w:firstLine="442" w:firstLineChars="200"/>
        <w:textAlignment w:val="baseline"/>
        <w:rPr>
          <w:rFonts w:hint="eastAsia" w:ascii="宋体" w:hAnsi="宋体" w:eastAsia="宋体" w:cs="宋体"/>
          <w:color w:val="auto"/>
          <w:szCs w:val="21"/>
          <w:highlight w:val="none"/>
        </w:rPr>
      </w:pPr>
      <w:bookmarkStart w:id="108" w:name="17._不可抗力"/>
      <w:bookmarkEnd w:id="108"/>
      <w:bookmarkStart w:id="109" w:name="_Toc15908"/>
      <w:bookmarkStart w:id="110" w:name="_Toc28957"/>
      <w:r>
        <w:rPr>
          <w:rFonts w:hint="eastAsia" w:ascii="宋体" w:hAnsi="宋体" w:eastAsia="宋体" w:cs="宋体"/>
          <w:b/>
          <w:color w:val="auto"/>
          <w:kern w:val="0"/>
          <w:szCs w:val="21"/>
          <w:highlight w:val="none"/>
        </w:rPr>
        <w:t xml:space="preserve">17. </w:t>
      </w:r>
      <w:r>
        <w:rPr>
          <w:rFonts w:hint="eastAsia" w:ascii="宋体" w:hAnsi="宋体" w:eastAsia="宋体" w:cs="宋体"/>
          <w:b/>
          <w:color w:val="auto"/>
          <w:spacing w:val="4"/>
          <w:kern w:val="0"/>
          <w:szCs w:val="21"/>
          <w:highlight w:val="none"/>
        </w:rPr>
        <w:t xml:space="preserve"> </w:t>
      </w:r>
      <w:r>
        <w:rPr>
          <w:rFonts w:hint="eastAsia" w:ascii="宋体" w:hAnsi="宋体" w:eastAsia="宋体" w:cs="宋体"/>
          <w:b/>
          <w:color w:val="auto"/>
          <w:spacing w:val="11"/>
          <w:kern w:val="0"/>
          <w:szCs w:val="21"/>
          <w:highlight w:val="none"/>
        </w:rPr>
        <w:t>不可抗力</w:t>
      </w:r>
      <w:bookmarkEnd w:id="109"/>
      <w:bookmarkEnd w:id="110"/>
      <w:r>
        <w:rPr>
          <w:rFonts w:hint="eastAsia" w:ascii="宋体" w:hAnsi="宋体" w:eastAsia="宋体" w:cs="宋体"/>
          <w:b/>
          <w:color w:val="auto"/>
          <w:w w:val="99"/>
          <w:kern w:val="0"/>
          <w:szCs w:val="21"/>
          <w:highlight w:val="none"/>
        </w:rPr>
        <w:t xml:space="preserve"> </w:t>
      </w:r>
    </w:p>
    <w:p w14:paraId="70B0031D">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b/>
          <w:color w:val="auto"/>
          <w:spacing w:val="-102"/>
          <w:kern w:val="0"/>
          <w:szCs w:val="21"/>
          <w:highlight w:val="none"/>
        </w:rPr>
      </w:pPr>
      <w:bookmarkStart w:id="111" w:name="17.1_不可抗力的确认"/>
      <w:bookmarkEnd w:id="111"/>
      <w:r>
        <w:rPr>
          <w:rFonts w:hint="eastAsia" w:ascii="宋体" w:hAnsi="宋体" w:eastAsia="宋体" w:cs="宋体"/>
          <w:b/>
          <w:color w:val="auto"/>
          <w:kern w:val="0"/>
          <w:szCs w:val="21"/>
          <w:highlight w:val="none"/>
        </w:rPr>
        <w:t xml:space="preserve">17.1 </w:t>
      </w:r>
      <w:r>
        <w:rPr>
          <w:rFonts w:hint="eastAsia" w:ascii="宋体" w:hAnsi="宋体" w:eastAsia="宋体" w:cs="宋体"/>
          <w:b/>
          <w:color w:val="auto"/>
          <w:spacing w:val="6"/>
          <w:kern w:val="0"/>
          <w:szCs w:val="21"/>
          <w:highlight w:val="none"/>
        </w:rPr>
        <w:t>不可抗力的确认</w:t>
      </w:r>
      <w:r>
        <w:rPr>
          <w:rFonts w:hint="eastAsia" w:ascii="宋体" w:hAnsi="宋体" w:eastAsia="宋体" w:cs="宋体"/>
          <w:b/>
          <w:color w:val="auto"/>
          <w:spacing w:val="-102"/>
          <w:kern w:val="0"/>
          <w:szCs w:val="21"/>
          <w:highlight w:val="none"/>
        </w:rPr>
        <w:t xml:space="preserve"> </w:t>
      </w:r>
    </w:p>
    <w:p w14:paraId="5BCA0D1E">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16" w:firstLineChars="200"/>
        <w:rPr>
          <w:rFonts w:hint="eastAsia" w:ascii="宋体" w:hAnsi="宋体" w:eastAsia="宋体" w:cs="宋体"/>
          <w:b/>
          <w:bCs/>
          <w:color w:val="auto"/>
          <w:kern w:val="0"/>
          <w:szCs w:val="21"/>
          <w:highlight w:val="none"/>
        </w:rPr>
      </w:pPr>
      <w:r>
        <w:rPr>
          <w:rFonts w:hint="eastAsia" w:ascii="宋体" w:hAnsi="宋体" w:eastAsia="宋体" w:cs="宋体"/>
          <w:color w:val="auto"/>
          <w:spacing w:val="-1"/>
          <w:szCs w:val="21"/>
          <w:highlight w:val="none"/>
        </w:rPr>
        <w:t>除通用合同条款约定的不可抗力事件之外，视为不可抗力的其他情形：</w:t>
      </w:r>
      <w:bookmarkStart w:id="112" w:name="17.4_因不可抗力解除合同"/>
      <w:bookmarkEnd w:id="112"/>
      <w:r>
        <w:rPr>
          <w:rFonts w:hint="eastAsia" w:ascii="宋体" w:hAnsi="宋体" w:eastAsia="宋体" w:cs="宋体"/>
          <w:b/>
          <w:bCs/>
          <w:color w:val="auto"/>
          <w:szCs w:val="21"/>
          <w:highlight w:val="none"/>
          <w:u w:val="single"/>
        </w:rPr>
        <w:t>/</w:t>
      </w:r>
      <w:r>
        <w:rPr>
          <w:rFonts w:hint="eastAsia" w:ascii="宋体" w:hAnsi="宋体" w:eastAsia="宋体" w:cs="宋体"/>
          <w:b/>
          <w:bCs/>
          <w:color w:val="auto"/>
          <w:kern w:val="0"/>
          <w:szCs w:val="21"/>
          <w:highlight w:val="none"/>
          <w:u w:val="single"/>
        </w:rPr>
        <w:t xml:space="preserve"> </w:t>
      </w:r>
      <w:r>
        <w:rPr>
          <w:rFonts w:hint="eastAsia" w:ascii="宋体" w:hAnsi="宋体" w:eastAsia="宋体" w:cs="宋体"/>
          <w:b/>
          <w:bCs/>
          <w:color w:val="auto"/>
          <w:kern w:val="0"/>
          <w:szCs w:val="21"/>
          <w:highlight w:val="none"/>
        </w:rPr>
        <w:t>。</w:t>
      </w:r>
    </w:p>
    <w:p w14:paraId="2D8D81CD">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rPr>
          <w:rFonts w:hint="eastAsia" w:ascii="宋体" w:hAnsi="宋体" w:eastAsia="宋体" w:cs="宋体"/>
          <w:color w:val="auto"/>
          <w:spacing w:val="-1"/>
          <w:szCs w:val="21"/>
          <w:highlight w:val="none"/>
          <w:u w:val="single" w:color="000000"/>
        </w:rPr>
      </w:pPr>
      <w:r>
        <w:rPr>
          <w:rFonts w:hint="eastAsia" w:ascii="宋体" w:hAnsi="宋体" w:eastAsia="宋体" w:cs="宋体"/>
          <w:b/>
          <w:bCs/>
          <w:color w:val="auto"/>
          <w:kern w:val="0"/>
          <w:szCs w:val="21"/>
          <w:highlight w:val="none"/>
          <w:u w:val="single"/>
        </w:rPr>
        <w:t xml:space="preserve">不可抗力的自然灾害认定标准，以政府有关部门的规定为准。其余按本合同《通用条款》第17条规定执行 </w:t>
      </w:r>
      <w:r>
        <w:rPr>
          <w:rFonts w:hint="eastAsia" w:ascii="宋体" w:hAnsi="宋体" w:eastAsia="宋体" w:cs="宋体"/>
          <w:b/>
          <w:bCs/>
          <w:color w:val="auto"/>
          <w:kern w:val="0"/>
          <w:szCs w:val="21"/>
          <w:highlight w:val="none"/>
        </w:rPr>
        <w:t>。</w:t>
      </w:r>
    </w:p>
    <w:p w14:paraId="03EC68C8">
      <w:pPr>
        <w:pStyle w:val="24"/>
        <w:keepNext w:val="0"/>
        <w:keepLines w:val="0"/>
        <w:pageBreakBefore w:val="0"/>
        <w:widowControl w:val="0"/>
        <w:tabs>
          <w:tab w:val="left" w:pos="8547"/>
        </w:tabs>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color w:val="auto"/>
          <w:szCs w:val="21"/>
          <w:highlight w:val="none"/>
        </w:rPr>
      </w:pPr>
      <w:r>
        <w:rPr>
          <w:rFonts w:hint="eastAsia" w:ascii="宋体" w:hAnsi="宋体" w:eastAsia="宋体" w:cs="宋体"/>
          <w:b/>
          <w:color w:val="auto"/>
          <w:kern w:val="0"/>
          <w:szCs w:val="21"/>
          <w:highlight w:val="none"/>
        </w:rPr>
        <w:t>17.4</w:t>
      </w:r>
      <w:r>
        <w:rPr>
          <w:rFonts w:hint="eastAsia" w:ascii="宋体" w:hAnsi="宋体" w:eastAsia="宋体" w:cs="宋体"/>
          <w:b/>
          <w:color w:val="auto"/>
          <w:spacing w:val="52"/>
          <w:kern w:val="0"/>
          <w:szCs w:val="21"/>
          <w:highlight w:val="none"/>
        </w:rPr>
        <w:t xml:space="preserve"> </w:t>
      </w:r>
      <w:r>
        <w:rPr>
          <w:rFonts w:hint="eastAsia" w:ascii="宋体" w:hAnsi="宋体" w:eastAsia="宋体" w:cs="宋体"/>
          <w:b/>
          <w:color w:val="auto"/>
          <w:spacing w:val="5"/>
          <w:kern w:val="0"/>
          <w:szCs w:val="21"/>
          <w:highlight w:val="none"/>
        </w:rPr>
        <w:t>因不可抗力解除合同</w:t>
      </w:r>
    </w:p>
    <w:p w14:paraId="0251C099">
      <w:pPr>
        <w:pStyle w:val="24"/>
        <w:keepNext w:val="0"/>
        <w:keepLines w:val="0"/>
        <w:pageBreakBefore w:val="0"/>
        <w:widowControl w:val="0"/>
        <w:tabs>
          <w:tab w:val="left" w:pos="6234"/>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合同解除后，发包人应在商定或确定发包人应支付款项后</w:t>
      </w:r>
      <w:r>
        <w:rPr>
          <w:rFonts w:hint="eastAsia" w:ascii="宋体" w:hAnsi="宋体" w:eastAsia="宋体" w:cs="宋体"/>
          <w:color w:val="auto"/>
          <w:kern w:val="0"/>
          <w:szCs w:val="21"/>
          <w:highlight w:val="none"/>
          <w:u w:val="single"/>
        </w:rPr>
        <w:t xml:space="preserve"> /  </w:t>
      </w:r>
      <w:r>
        <w:rPr>
          <w:rFonts w:hint="eastAsia" w:ascii="宋体" w:hAnsi="宋体" w:eastAsia="宋体" w:cs="宋体"/>
          <w:color w:val="auto"/>
          <w:kern w:val="0"/>
          <w:szCs w:val="21"/>
          <w:highlight w:val="none"/>
        </w:rPr>
        <w:t>天内完成款项的支付。</w:t>
      </w:r>
    </w:p>
    <w:p w14:paraId="48F14583">
      <w:pPr>
        <w:keepNext w:val="0"/>
        <w:keepLines w:val="0"/>
        <w:pageBreakBefore w:val="0"/>
        <w:widowControl/>
        <w:kinsoku w:val="0"/>
        <w:wordWrap/>
        <w:overflowPunct/>
        <w:topLinePunct w:val="0"/>
        <w:autoSpaceDE w:val="0"/>
        <w:autoSpaceDN w:val="0"/>
        <w:bidi w:val="0"/>
        <w:adjustRightInd w:val="0"/>
        <w:snapToGrid w:val="0"/>
        <w:spacing w:line="360" w:lineRule="auto"/>
        <w:ind w:firstLine="442" w:firstLineChars="200"/>
        <w:textAlignment w:val="baseline"/>
        <w:rPr>
          <w:rFonts w:hint="eastAsia" w:ascii="宋体" w:hAnsi="宋体" w:eastAsia="宋体" w:cs="宋体"/>
          <w:color w:val="auto"/>
          <w:szCs w:val="21"/>
          <w:highlight w:val="none"/>
        </w:rPr>
      </w:pPr>
      <w:bookmarkStart w:id="113" w:name="18._保险"/>
      <w:bookmarkEnd w:id="113"/>
      <w:bookmarkStart w:id="114" w:name="_Toc17951"/>
      <w:bookmarkStart w:id="115" w:name="_Toc20434"/>
      <w:r>
        <w:rPr>
          <w:rFonts w:hint="eastAsia" w:ascii="宋体" w:hAnsi="宋体" w:eastAsia="宋体" w:cs="宋体"/>
          <w:b/>
          <w:color w:val="auto"/>
          <w:kern w:val="0"/>
          <w:szCs w:val="21"/>
          <w:highlight w:val="none"/>
        </w:rPr>
        <w:t xml:space="preserve">18. </w:t>
      </w:r>
      <w:r>
        <w:rPr>
          <w:rFonts w:hint="eastAsia" w:ascii="宋体" w:hAnsi="宋体" w:eastAsia="宋体" w:cs="宋体"/>
          <w:b/>
          <w:color w:val="auto"/>
          <w:spacing w:val="6"/>
          <w:kern w:val="0"/>
          <w:szCs w:val="21"/>
          <w:highlight w:val="none"/>
        </w:rPr>
        <w:t xml:space="preserve"> </w:t>
      </w:r>
      <w:r>
        <w:rPr>
          <w:rFonts w:hint="eastAsia" w:ascii="宋体" w:hAnsi="宋体" w:eastAsia="宋体" w:cs="宋体"/>
          <w:b/>
          <w:color w:val="auto"/>
          <w:spacing w:val="15"/>
          <w:kern w:val="0"/>
          <w:szCs w:val="21"/>
          <w:highlight w:val="none"/>
        </w:rPr>
        <w:t>保险</w:t>
      </w:r>
      <w:bookmarkEnd w:id="114"/>
      <w:bookmarkEnd w:id="115"/>
    </w:p>
    <w:p w14:paraId="23FC3068">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color w:val="auto"/>
          <w:szCs w:val="21"/>
          <w:highlight w:val="none"/>
        </w:rPr>
      </w:pPr>
      <w:bookmarkStart w:id="116" w:name="18.1_工程保险"/>
      <w:bookmarkEnd w:id="116"/>
      <w:r>
        <w:rPr>
          <w:rFonts w:hint="eastAsia" w:ascii="宋体" w:hAnsi="宋体" w:eastAsia="宋体" w:cs="宋体"/>
          <w:b/>
          <w:color w:val="auto"/>
          <w:kern w:val="0"/>
          <w:szCs w:val="21"/>
          <w:highlight w:val="none"/>
        </w:rPr>
        <w:t xml:space="preserve">18.1 </w:t>
      </w:r>
      <w:r>
        <w:rPr>
          <w:rFonts w:hint="eastAsia" w:ascii="宋体" w:hAnsi="宋体" w:eastAsia="宋体" w:cs="宋体"/>
          <w:b/>
          <w:color w:val="auto"/>
          <w:spacing w:val="3"/>
          <w:kern w:val="0"/>
          <w:szCs w:val="21"/>
          <w:highlight w:val="none"/>
        </w:rPr>
        <w:t xml:space="preserve"> </w:t>
      </w:r>
      <w:r>
        <w:rPr>
          <w:rFonts w:hint="eastAsia" w:ascii="宋体" w:hAnsi="宋体" w:eastAsia="宋体" w:cs="宋体"/>
          <w:b/>
          <w:color w:val="auto"/>
          <w:spacing w:val="15"/>
          <w:kern w:val="0"/>
          <w:szCs w:val="21"/>
          <w:highlight w:val="none"/>
        </w:rPr>
        <w:t>工程保险</w:t>
      </w:r>
    </w:p>
    <w:p w14:paraId="5132D48D">
      <w:pPr>
        <w:pStyle w:val="24"/>
        <w:keepNext w:val="0"/>
        <w:keepLines w:val="0"/>
        <w:pageBreakBefore w:val="0"/>
        <w:widowControl w:val="0"/>
        <w:tabs>
          <w:tab w:val="left" w:pos="6234"/>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关于工程保险的特别约定：</w:t>
      </w:r>
      <w:r>
        <w:rPr>
          <w:rFonts w:hint="eastAsia" w:ascii="宋体" w:hAnsi="宋体" w:eastAsia="宋体" w:cs="宋体"/>
          <w:color w:val="auto"/>
          <w:spacing w:val="-1"/>
          <w:kern w:val="0"/>
          <w:szCs w:val="21"/>
          <w:highlight w:val="none"/>
          <w:u w:val="single" w:color="000000"/>
        </w:rPr>
        <w:t xml:space="preserve"> 无 </w:t>
      </w:r>
      <w:r>
        <w:rPr>
          <w:rFonts w:hint="eastAsia" w:ascii="宋体" w:hAnsi="宋体" w:eastAsia="宋体" w:cs="宋体"/>
          <w:color w:val="auto"/>
          <w:kern w:val="0"/>
          <w:szCs w:val="21"/>
          <w:highlight w:val="none"/>
        </w:rPr>
        <w:t>。</w:t>
      </w:r>
    </w:p>
    <w:p w14:paraId="6D69BBC4">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30" w:firstLineChars="200"/>
        <w:jc w:val="left"/>
        <w:rPr>
          <w:rFonts w:hint="eastAsia" w:ascii="宋体" w:hAnsi="宋体" w:eastAsia="宋体" w:cs="宋体"/>
          <w:b/>
          <w:color w:val="auto"/>
          <w:spacing w:val="2"/>
          <w:kern w:val="0"/>
          <w:szCs w:val="21"/>
          <w:highlight w:val="none"/>
        </w:rPr>
      </w:pPr>
      <w:bookmarkStart w:id="117" w:name="18.3_其他保险"/>
      <w:bookmarkEnd w:id="117"/>
      <w:r>
        <w:rPr>
          <w:rFonts w:hint="eastAsia" w:ascii="宋体" w:hAnsi="宋体" w:eastAsia="宋体" w:cs="宋体"/>
          <w:b/>
          <w:color w:val="auto"/>
          <w:spacing w:val="2"/>
          <w:kern w:val="0"/>
          <w:szCs w:val="21"/>
          <w:highlight w:val="none"/>
        </w:rPr>
        <w:t xml:space="preserve">18.3 其他保险 </w:t>
      </w:r>
    </w:p>
    <w:p w14:paraId="2D6BC9C4">
      <w:pPr>
        <w:pStyle w:val="24"/>
        <w:keepNext w:val="0"/>
        <w:keepLines w:val="0"/>
        <w:pageBreakBefore w:val="0"/>
        <w:widowControl w:val="0"/>
        <w:tabs>
          <w:tab w:val="left" w:pos="6234"/>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spacing w:val="-1"/>
          <w:kern w:val="0"/>
          <w:szCs w:val="21"/>
          <w:highlight w:val="none"/>
        </w:rPr>
      </w:pPr>
      <w:r>
        <w:rPr>
          <w:rFonts w:hint="eastAsia" w:ascii="宋体" w:hAnsi="宋体" w:eastAsia="宋体" w:cs="宋体"/>
          <w:color w:val="auto"/>
          <w:spacing w:val="-1"/>
          <w:kern w:val="0"/>
          <w:szCs w:val="21"/>
          <w:highlight w:val="none"/>
        </w:rPr>
        <w:t xml:space="preserve">关于其他保险的约定：发包人和承包人各自为其施工现场的全部人员办理意外伤害保险并支付保险费，包括其员工及为履行合同聘请的第三方的人员。 </w:t>
      </w:r>
    </w:p>
    <w:p w14:paraId="7E8B44D0">
      <w:pPr>
        <w:pStyle w:val="24"/>
        <w:keepNext w:val="0"/>
        <w:keepLines w:val="0"/>
        <w:pageBreakBefore w:val="0"/>
        <w:widowControl w:val="0"/>
        <w:tabs>
          <w:tab w:val="left" w:pos="8427"/>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承包人是否应为其施工设备等办理财产保险：</w:t>
      </w:r>
      <w:r>
        <w:rPr>
          <w:rFonts w:hint="eastAsia" w:ascii="宋体" w:hAnsi="宋体" w:eastAsia="宋体" w:cs="宋体"/>
          <w:color w:val="auto"/>
          <w:spacing w:val="-1"/>
          <w:kern w:val="0"/>
          <w:szCs w:val="21"/>
          <w:highlight w:val="none"/>
          <w:u w:val="single" w:color="000000"/>
        </w:rPr>
        <w:t>承包人自行考虑</w:t>
      </w:r>
      <w:r>
        <w:rPr>
          <w:rFonts w:hint="eastAsia" w:ascii="宋体" w:hAnsi="宋体" w:eastAsia="宋体" w:cs="宋体"/>
          <w:color w:val="auto"/>
          <w:kern w:val="0"/>
          <w:szCs w:val="21"/>
          <w:highlight w:val="none"/>
        </w:rPr>
        <w:t>。</w:t>
      </w:r>
    </w:p>
    <w:p w14:paraId="2D7864F6">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color w:val="auto"/>
          <w:szCs w:val="21"/>
          <w:highlight w:val="none"/>
        </w:rPr>
      </w:pPr>
      <w:bookmarkStart w:id="118" w:name="18.7_通知义务"/>
      <w:bookmarkEnd w:id="118"/>
      <w:r>
        <w:rPr>
          <w:rFonts w:hint="eastAsia" w:ascii="宋体" w:hAnsi="宋体" w:eastAsia="宋体" w:cs="宋体"/>
          <w:b/>
          <w:color w:val="auto"/>
          <w:kern w:val="0"/>
          <w:szCs w:val="21"/>
          <w:highlight w:val="none"/>
        </w:rPr>
        <w:t xml:space="preserve">18.7 </w:t>
      </w:r>
      <w:r>
        <w:rPr>
          <w:rFonts w:hint="eastAsia" w:ascii="宋体" w:hAnsi="宋体" w:eastAsia="宋体" w:cs="宋体"/>
          <w:b/>
          <w:color w:val="auto"/>
          <w:spacing w:val="3"/>
          <w:kern w:val="0"/>
          <w:szCs w:val="21"/>
          <w:highlight w:val="none"/>
        </w:rPr>
        <w:t xml:space="preserve"> </w:t>
      </w:r>
      <w:r>
        <w:rPr>
          <w:rFonts w:hint="eastAsia" w:ascii="宋体" w:hAnsi="宋体" w:eastAsia="宋体" w:cs="宋体"/>
          <w:b/>
          <w:color w:val="auto"/>
          <w:spacing w:val="15"/>
          <w:kern w:val="0"/>
          <w:szCs w:val="21"/>
          <w:highlight w:val="none"/>
        </w:rPr>
        <w:t>通知义务</w:t>
      </w:r>
    </w:p>
    <w:p w14:paraId="72B93364">
      <w:pPr>
        <w:pStyle w:val="24"/>
        <w:keepNext w:val="0"/>
        <w:keepLines w:val="0"/>
        <w:pageBreakBefore w:val="0"/>
        <w:widowControl w:val="0"/>
        <w:tabs>
          <w:tab w:val="left" w:pos="6234"/>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关于变更保险合同时的通知义务的约定：</w:t>
      </w:r>
      <w:r>
        <w:rPr>
          <w:rFonts w:hint="eastAsia" w:ascii="宋体" w:hAnsi="宋体" w:eastAsia="宋体" w:cs="宋体"/>
          <w:color w:val="auto"/>
          <w:spacing w:val="-1"/>
          <w:kern w:val="0"/>
          <w:szCs w:val="21"/>
          <w:highlight w:val="none"/>
          <w:u w:val="single" w:color="000000"/>
        </w:rPr>
        <w:t>按通用条款执行</w:t>
      </w:r>
      <w:r>
        <w:rPr>
          <w:rFonts w:hint="eastAsia" w:ascii="宋体" w:hAnsi="宋体" w:eastAsia="宋体" w:cs="宋体"/>
          <w:color w:val="auto"/>
          <w:kern w:val="0"/>
          <w:szCs w:val="21"/>
          <w:highlight w:val="none"/>
        </w:rPr>
        <w:t>。</w:t>
      </w:r>
    </w:p>
    <w:p w14:paraId="1C2BC015">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color w:val="auto"/>
          <w:szCs w:val="21"/>
          <w:highlight w:val="none"/>
        </w:rPr>
      </w:pPr>
      <w:bookmarkStart w:id="119" w:name="20._争议解决"/>
      <w:bookmarkEnd w:id="119"/>
      <w:r>
        <w:rPr>
          <w:rFonts w:hint="eastAsia" w:ascii="宋体" w:hAnsi="宋体" w:eastAsia="宋体" w:cs="宋体"/>
          <w:b/>
          <w:color w:val="auto"/>
          <w:kern w:val="0"/>
          <w:szCs w:val="21"/>
          <w:highlight w:val="none"/>
        </w:rPr>
        <w:t xml:space="preserve">20. </w:t>
      </w:r>
      <w:r>
        <w:rPr>
          <w:rFonts w:hint="eastAsia" w:ascii="宋体" w:hAnsi="宋体" w:eastAsia="宋体" w:cs="宋体"/>
          <w:b/>
          <w:color w:val="auto"/>
          <w:spacing w:val="4"/>
          <w:kern w:val="0"/>
          <w:szCs w:val="21"/>
          <w:highlight w:val="none"/>
        </w:rPr>
        <w:t xml:space="preserve"> </w:t>
      </w:r>
      <w:r>
        <w:rPr>
          <w:rFonts w:hint="eastAsia" w:ascii="宋体" w:hAnsi="宋体" w:eastAsia="宋体" w:cs="宋体"/>
          <w:b/>
          <w:color w:val="auto"/>
          <w:spacing w:val="15"/>
          <w:kern w:val="0"/>
          <w:szCs w:val="21"/>
          <w:highlight w:val="none"/>
        </w:rPr>
        <w:t>争议解决</w:t>
      </w:r>
    </w:p>
    <w:p w14:paraId="5552DD41">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jc w:val="left"/>
        <w:rPr>
          <w:rFonts w:hint="eastAsia" w:ascii="宋体" w:hAnsi="宋体" w:eastAsia="宋体" w:cs="宋体"/>
          <w:color w:val="auto"/>
          <w:szCs w:val="21"/>
          <w:highlight w:val="none"/>
        </w:rPr>
      </w:pPr>
      <w:bookmarkStart w:id="120" w:name="20.3_争议评审"/>
      <w:bookmarkEnd w:id="120"/>
      <w:r>
        <w:rPr>
          <w:rFonts w:hint="eastAsia" w:ascii="宋体" w:hAnsi="宋体" w:eastAsia="宋体" w:cs="宋体"/>
          <w:b/>
          <w:color w:val="auto"/>
          <w:kern w:val="0"/>
          <w:szCs w:val="21"/>
          <w:highlight w:val="none"/>
        </w:rPr>
        <w:t xml:space="preserve">20.3 </w:t>
      </w:r>
      <w:r>
        <w:rPr>
          <w:rFonts w:hint="eastAsia" w:ascii="宋体" w:hAnsi="宋体" w:eastAsia="宋体" w:cs="宋体"/>
          <w:b/>
          <w:color w:val="auto"/>
          <w:spacing w:val="3"/>
          <w:kern w:val="0"/>
          <w:szCs w:val="21"/>
          <w:highlight w:val="none"/>
        </w:rPr>
        <w:t xml:space="preserve"> </w:t>
      </w:r>
      <w:r>
        <w:rPr>
          <w:rFonts w:hint="eastAsia" w:ascii="宋体" w:hAnsi="宋体" w:eastAsia="宋体" w:cs="宋体"/>
          <w:b/>
          <w:color w:val="auto"/>
          <w:spacing w:val="15"/>
          <w:kern w:val="0"/>
          <w:szCs w:val="21"/>
          <w:highlight w:val="none"/>
        </w:rPr>
        <w:t>争议评审</w:t>
      </w:r>
    </w:p>
    <w:p w14:paraId="35629BCB">
      <w:pPr>
        <w:pStyle w:val="24"/>
        <w:keepNext w:val="0"/>
        <w:keepLines w:val="0"/>
        <w:pageBreakBefore w:val="0"/>
        <w:widowControl w:val="0"/>
        <w:tabs>
          <w:tab w:val="left" w:pos="8337"/>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合同当事人是否同意将工程争议提交争议评审小组决定：</w:t>
      </w:r>
      <w:r>
        <w:rPr>
          <w:rFonts w:hint="eastAsia" w:ascii="宋体" w:hAnsi="宋体" w:eastAsia="宋体" w:cs="宋体"/>
          <w:color w:val="auto"/>
          <w:kern w:val="0"/>
          <w:szCs w:val="21"/>
          <w:highlight w:val="none"/>
          <w:u w:val="single"/>
        </w:rPr>
        <w:t xml:space="preserve">  /   </w:t>
      </w:r>
      <w:r>
        <w:rPr>
          <w:rFonts w:hint="eastAsia" w:ascii="宋体" w:hAnsi="宋体" w:eastAsia="宋体" w:cs="宋体"/>
          <w:color w:val="auto"/>
          <w:kern w:val="0"/>
          <w:szCs w:val="21"/>
          <w:highlight w:val="none"/>
        </w:rPr>
        <w:t>。</w:t>
      </w:r>
    </w:p>
    <w:p w14:paraId="42B12C38">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8"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20.3.1</w:t>
      </w:r>
      <w:r>
        <w:rPr>
          <w:rFonts w:hint="eastAsia" w:ascii="宋体" w:hAnsi="宋体" w:eastAsia="宋体" w:cs="宋体"/>
          <w:color w:val="auto"/>
          <w:spacing w:val="37"/>
          <w:kern w:val="0"/>
          <w:szCs w:val="21"/>
          <w:highlight w:val="none"/>
        </w:rPr>
        <w:t xml:space="preserve"> </w:t>
      </w:r>
      <w:r>
        <w:rPr>
          <w:rFonts w:hint="eastAsia" w:ascii="宋体" w:hAnsi="宋体" w:eastAsia="宋体" w:cs="宋体"/>
          <w:color w:val="auto"/>
          <w:kern w:val="0"/>
          <w:szCs w:val="21"/>
          <w:highlight w:val="none"/>
        </w:rPr>
        <w:t>争议评审小组的确定</w:t>
      </w:r>
    </w:p>
    <w:p w14:paraId="5AD72B62">
      <w:pPr>
        <w:pStyle w:val="24"/>
        <w:keepNext w:val="0"/>
        <w:keepLines w:val="0"/>
        <w:pageBreakBefore w:val="0"/>
        <w:widowControl w:val="0"/>
        <w:tabs>
          <w:tab w:val="left" w:pos="6114"/>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争议评审小组成员的确定：</w:t>
      </w:r>
      <w:r>
        <w:rPr>
          <w:rFonts w:hint="eastAsia" w:ascii="宋体" w:hAnsi="宋体" w:eastAsia="宋体" w:cs="宋体"/>
          <w:color w:val="auto"/>
          <w:kern w:val="0"/>
          <w:szCs w:val="21"/>
          <w:highlight w:val="none"/>
          <w:u w:val="single"/>
        </w:rPr>
        <w:t xml:space="preserve">  /   </w:t>
      </w:r>
      <w:r>
        <w:rPr>
          <w:rFonts w:hint="eastAsia" w:ascii="宋体" w:hAnsi="宋体" w:eastAsia="宋体" w:cs="宋体"/>
          <w:color w:val="auto"/>
          <w:kern w:val="0"/>
          <w:szCs w:val="21"/>
          <w:highlight w:val="none"/>
        </w:rPr>
        <w:t xml:space="preserve">。 </w:t>
      </w:r>
    </w:p>
    <w:p w14:paraId="2915B026">
      <w:pPr>
        <w:pStyle w:val="24"/>
        <w:keepNext w:val="0"/>
        <w:keepLines w:val="0"/>
        <w:pageBreakBefore w:val="0"/>
        <w:widowControl w:val="0"/>
        <w:tabs>
          <w:tab w:val="left" w:pos="6114"/>
        </w:tabs>
        <w:wordWrap/>
        <w:overflowPunct/>
        <w:topLinePunct w:val="0"/>
        <w:bidi w:val="0"/>
        <w:spacing w:beforeAutospacing="0" w:afterAutospacing="0" w:line="360" w:lineRule="auto"/>
        <w:ind w:left="0" w:leftChars="0" w:right="0" w:rightChars="0" w:firstLine="416"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选定争议评审员的期限：</w:t>
      </w:r>
      <w:r>
        <w:rPr>
          <w:rFonts w:hint="eastAsia" w:ascii="宋体" w:hAnsi="宋体" w:eastAsia="宋体" w:cs="宋体"/>
          <w:color w:val="auto"/>
          <w:kern w:val="0"/>
          <w:szCs w:val="21"/>
          <w:highlight w:val="none"/>
          <w:u w:val="single"/>
        </w:rPr>
        <w:t xml:space="preserve">  /   </w:t>
      </w:r>
      <w:r>
        <w:rPr>
          <w:rFonts w:hint="eastAsia" w:ascii="宋体" w:hAnsi="宋体" w:eastAsia="宋体" w:cs="宋体"/>
          <w:color w:val="auto"/>
          <w:kern w:val="0"/>
          <w:szCs w:val="21"/>
          <w:highlight w:val="none"/>
        </w:rPr>
        <w:t>。</w:t>
      </w:r>
    </w:p>
    <w:p w14:paraId="3DD1F89B">
      <w:pPr>
        <w:pStyle w:val="24"/>
        <w:keepNext w:val="0"/>
        <w:keepLines w:val="0"/>
        <w:pageBreakBefore w:val="0"/>
        <w:widowControl w:val="0"/>
        <w:tabs>
          <w:tab w:val="left" w:pos="6114"/>
        </w:tabs>
        <w:wordWrap/>
        <w:overflowPunct/>
        <w:topLinePunct w:val="0"/>
        <w:bidi w:val="0"/>
        <w:spacing w:beforeAutospacing="0" w:afterAutospacing="0" w:line="360" w:lineRule="auto"/>
        <w:ind w:left="0" w:leftChars="0" w:right="0" w:rightChars="0" w:firstLine="416" w:firstLineChars="200"/>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争议评审小组成员的报酬承担方式：</w:t>
      </w:r>
      <w:r>
        <w:rPr>
          <w:rFonts w:hint="eastAsia" w:ascii="宋体" w:hAnsi="宋体" w:eastAsia="宋体" w:cs="宋体"/>
          <w:color w:val="auto"/>
          <w:kern w:val="0"/>
          <w:szCs w:val="21"/>
          <w:highlight w:val="none"/>
          <w:u w:val="single"/>
        </w:rPr>
        <w:t xml:space="preserve">  /   </w:t>
      </w:r>
      <w:r>
        <w:rPr>
          <w:rFonts w:hint="eastAsia" w:ascii="宋体" w:hAnsi="宋体" w:eastAsia="宋体" w:cs="宋体"/>
          <w:color w:val="auto"/>
          <w:kern w:val="0"/>
          <w:szCs w:val="21"/>
          <w:highlight w:val="none"/>
        </w:rPr>
        <w:t xml:space="preserve">。 </w:t>
      </w:r>
    </w:p>
    <w:p w14:paraId="5FFF94E2">
      <w:pPr>
        <w:pStyle w:val="24"/>
        <w:keepNext w:val="0"/>
        <w:keepLines w:val="0"/>
        <w:pageBreakBefore w:val="0"/>
        <w:widowControl w:val="0"/>
        <w:tabs>
          <w:tab w:val="left" w:pos="6114"/>
        </w:tabs>
        <w:wordWrap/>
        <w:overflowPunct/>
        <w:topLinePunct w:val="0"/>
        <w:bidi w:val="0"/>
        <w:spacing w:beforeAutospacing="0" w:afterAutospacing="0" w:line="360" w:lineRule="auto"/>
        <w:ind w:left="0" w:leftChars="0" w:right="0" w:rightChars="0" w:firstLine="416" w:firstLineChars="200"/>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其他事项的约定：</w:t>
      </w:r>
      <w:r>
        <w:rPr>
          <w:rFonts w:hint="eastAsia" w:ascii="宋体" w:hAnsi="宋体" w:eastAsia="宋体" w:cs="宋体"/>
          <w:color w:val="auto"/>
          <w:spacing w:val="-1"/>
          <w:kern w:val="0"/>
          <w:szCs w:val="21"/>
          <w:highlight w:val="none"/>
          <w:u w:val="single" w:color="000000"/>
        </w:rPr>
        <w:t xml:space="preserve"> /</w:t>
      </w:r>
      <w:r>
        <w:rPr>
          <w:rFonts w:hint="eastAsia" w:ascii="宋体" w:hAnsi="宋体" w:eastAsia="宋体" w:cs="宋体"/>
          <w:color w:val="auto"/>
          <w:spacing w:val="-1"/>
          <w:kern w:val="0"/>
          <w:szCs w:val="21"/>
          <w:highlight w:val="none"/>
          <w:u w:val="single" w:color="000000"/>
        </w:rPr>
        <w:tab/>
      </w:r>
      <w:r>
        <w:rPr>
          <w:rFonts w:hint="eastAsia" w:ascii="宋体" w:hAnsi="宋体" w:eastAsia="宋体" w:cs="宋体"/>
          <w:color w:val="auto"/>
          <w:kern w:val="0"/>
          <w:szCs w:val="21"/>
          <w:highlight w:val="none"/>
        </w:rPr>
        <w:t xml:space="preserve">。 </w:t>
      </w:r>
    </w:p>
    <w:p w14:paraId="0FEF98DE">
      <w:pPr>
        <w:pStyle w:val="24"/>
        <w:keepNext w:val="0"/>
        <w:keepLines w:val="0"/>
        <w:pageBreakBefore w:val="0"/>
        <w:widowControl w:val="0"/>
        <w:tabs>
          <w:tab w:val="left" w:pos="6114"/>
        </w:tabs>
        <w:wordWrap/>
        <w:overflowPunct/>
        <w:topLinePunct w:val="0"/>
        <w:bidi w:val="0"/>
        <w:spacing w:beforeAutospacing="0" w:afterAutospacing="0" w:line="360" w:lineRule="auto"/>
        <w:ind w:left="0" w:leftChars="0" w:right="0" w:rightChars="0" w:firstLine="428" w:firstLineChars="200"/>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20.3.2</w:t>
      </w:r>
      <w:r>
        <w:rPr>
          <w:rFonts w:hint="eastAsia" w:ascii="宋体" w:hAnsi="宋体" w:eastAsia="宋体" w:cs="宋体"/>
          <w:color w:val="auto"/>
          <w:spacing w:val="39"/>
          <w:kern w:val="0"/>
          <w:szCs w:val="21"/>
          <w:highlight w:val="none"/>
        </w:rPr>
        <w:t xml:space="preserve"> </w:t>
      </w:r>
      <w:r>
        <w:rPr>
          <w:rFonts w:hint="eastAsia" w:ascii="宋体" w:hAnsi="宋体" w:eastAsia="宋体" w:cs="宋体"/>
          <w:color w:val="auto"/>
          <w:kern w:val="0"/>
          <w:szCs w:val="21"/>
          <w:highlight w:val="none"/>
        </w:rPr>
        <w:t>争议评审小组的决定</w:t>
      </w:r>
    </w:p>
    <w:p w14:paraId="18C2DE97">
      <w:pPr>
        <w:pStyle w:val="24"/>
        <w:keepNext w:val="0"/>
        <w:keepLines w:val="0"/>
        <w:pageBreakBefore w:val="0"/>
        <w:widowControl w:val="0"/>
        <w:tabs>
          <w:tab w:val="left" w:pos="6114"/>
        </w:tabs>
        <w:wordWrap/>
        <w:overflowPunct/>
        <w:topLinePunct w:val="0"/>
        <w:bidi w:val="0"/>
        <w:spacing w:beforeAutospacing="0" w:afterAutospacing="0" w:line="360" w:lineRule="auto"/>
        <w:ind w:left="0" w:leftChars="0" w:right="0" w:rightChars="0" w:firstLine="416" w:firstLineChars="200"/>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合同当事人关于本项的约定：</w:t>
      </w:r>
      <w:r>
        <w:rPr>
          <w:rFonts w:hint="eastAsia" w:ascii="宋体" w:hAnsi="宋体" w:eastAsia="宋体" w:cs="宋体"/>
          <w:color w:val="auto"/>
          <w:spacing w:val="-1"/>
          <w:kern w:val="0"/>
          <w:szCs w:val="21"/>
          <w:highlight w:val="none"/>
          <w:u w:val="single" w:color="000000"/>
        </w:rPr>
        <w:t xml:space="preserve"> /</w:t>
      </w:r>
      <w:r>
        <w:rPr>
          <w:rFonts w:hint="eastAsia" w:ascii="宋体" w:hAnsi="宋体" w:eastAsia="宋体" w:cs="宋体"/>
          <w:color w:val="auto"/>
          <w:spacing w:val="-1"/>
          <w:kern w:val="0"/>
          <w:szCs w:val="21"/>
          <w:highlight w:val="none"/>
          <w:u w:val="single" w:color="000000"/>
        </w:rPr>
        <w:tab/>
      </w:r>
      <w:r>
        <w:rPr>
          <w:rFonts w:hint="eastAsia" w:ascii="宋体" w:hAnsi="宋体" w:eastAsia="宋体" w:cs="宋体"/>
          <w:color w:val="auto"/>
          <w:kern w:val="0"/>
          <w:szCs w:val="21"/>
          <w:highlight w:val="none"/>
        </w:rPr>
        <w:t>。</w:t>
      </w:r>
    </w:p>
    <w:p w14:paraId="30EADC72">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2" w:firstLineChars="200"/>
        <w:rPr>
          <w:rFonts w:hint="eastAsia" w:ascii="宋体" w:hAnsi="宋体" w:eastAsia="宋体" w:cs="宋体"/>
          <w:color w:val="auto"/>
          <w:szCs w:val="21"/>
          <w:highlight w:val="none"/>
        </w:rPr>
      </w:pPr>
      <w:bookmarkStart w:id="121" w:name="20.4仲裁或诉讼"/>
      <w:bookmarkEnd w:id="121"/>
      <w:r>
        <w:rPr>
          <w:rFonts w:hint="eastAsia" w:ascii="宋体" w:hAnsi="宋体" w:eastAsia="宋体" w:cs="宋体"/>
          <w:b/>
          <w:color w:val="auto"/>
          <w:kern w:val="0"/>
          <w:szCs w:val="21"/>
          <w:highlight w:val="none"/>
        </w:rPr>
        <w:t>20.4</w:t>
      </w:r>
      <w:r>
        <w:rPr>
          <w:rFonts w:hint="eastAsia" w:ascii="宋体" w:hAnsi="宋体" w:eastAsia="宋体" w:cs="宋体"/>
          <w:b/>
          <w:color w:val="auto"/>
          <w:spacing w:val="10"/>
          <w:kern w:val="0"/>
          <w:szCs w:val="21"/>
          <w:highlight w:val="none"/>
        </w:rPr>
        <w:t xml:space="preserve"> </w:t>
      </w:r>
      <w:r>
        <w:rPr>
          <w:rFonts w:hint="eastAsia" w:ascii="宋体" w:hAnsi="宋体" w:eastAsia="宋体" w:cs="宋体"/>
          <w:b/>
          <w:color w:val="auto"/>
          <w:spacing w:val="6"/>
          <w:kern w:val="0"/>
          <w:szCs w:val="21"/>
          <w:highlight w:val="none"/>
        </w:rPr>
        <w:t>仲裁或诉讼</w:t>
      </w:r>
    </w:p>
    <w:p w14:paraId="04EBC9DF">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因合同及合同有关事项发生的争议，按下列第</w:t>
      </w:r>
      <w:r>
        <w:rPr>
          <w:rFonts w:hint="eastAsia" w:ascii="宋体" w:hAnsi="宋体" w:eastAsia="宋体" w:cs="宋体"/>
          <w:color w:val="auto"/>
          <w:kern w:val="0"/>
          <w:szCs w:val="21"/>
          <w:highlight w:val="none"/>
          <w:u w:val="single" w:color="000000"/>
        </w:rPr>
        <w:t>2</w:t>
      </w:r>
      <w:r>
        <w:rPr>
          <w:rFonts w:hint="eastAsia" w:ascii="宋体" w:hAnsi="宋体" w:eastAsia="宋体" w:cs="宋体"/>
          <w:color w:val="auto"/>
          <w:kern w:val="0"/>
          <w:szCs w:val="21"/>
          <w:highlight w:val="none"/>
        </w:rPr>
        <w:t>种方式解决：</w:t>
      </w:r>
    </w:p>
    <w:p w14:paraId="6B2CB638">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12"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（1）提请</w:t>
      </w:r>
      <w:r>
        <w:rPr>
          <w:rFonts w:hint="eastAsia" w:ascii="宋体" w:hAnsi="宋体" w:eastAsia="宋体" w:cs="宋体"/>
          <w:color w:val="auto"/>
          <w:spacing w:val="-2"/>
          <w:kern w:val="0"/>
          <w:szCs w:val="21"/>
          <w:highlight w:val="none"/>
          <w:u w:val="single" w:color="000000"/>
        </w:rPr>
        <w:t>南宁</w:t>
      </w:r>
      <w:r>
        <w:rPr>
          <w:rFonts w:hint="eastAsia" w:ascii="宋体" w:hAnsi="宋体" w:eastAsia="宋体" w:cs="宋体"/>
          <w:color w:val="auto"/>
          <w:spacing w:val="-2"/>
          <w:kern w:val="0"/>
          <w:szCs w:val="21"/>
          <w:highlight w:val="none"/>
        </w:rPr>
        <w:t>仲裁委员会按照该会仲裁规则进行仲裁，仲裁裁决是终局的，对合同双方均</w:t>
      </w:r>
      <w:r>
        <w:rPr>
          <w:rFonts w:hint="eastAsia" w:ascii="宋体" w:hAnsi="宋体" w:eastAsia="宋体" w:cs="宋体"/>
          <w:color w:val="auto"/>
          <w:kern w:val="0"/>
          <w:szCs w:val="21"/>
          <w:highlight w:val="none"/>
        </w:rPr>
        <w:t>有约束力。</w:t>
      </w:r>
    </w:p>
    <w:p w14:paraId="42F638D7">
      <w:pPr>
        <w:pStyle w:val="24"/>
        <w:keepNext w:val="0"/>
        <w:keepLines w:val="0"/>
        <w:pageBreakBefore w:val="0"/>
        <w:widowControl w:val="0"/>
        <w:tabs>
          <w:tab w:val="left" w:pos="2855"/>
        </w:tabs>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（2）向</w:t>
      </w:r>
      <w:r>
        <w:rPr>
          <w:rFonts w:hint="eastAsia" w:ascii="宋体" w:hAnsi="宋体" w:eastAsia="宋体" w:cs="宋体"/>
          <w:b/>
          <w:bCs/>
          <w:color w:val="auto"/>
          <w:kern w:val="0"/>
          <w:szCs w:val="21"/>
          <w:highlight w:val="none"/>
          <w:u w:val="single"/>
        </w:rPr>
        <w:t>工程所在地辖区</w:t>
      </w:r>
      <w:r>
        <w:rPr>
          <w:rFonts w:hint="eastAsia" w:ascii="宋体" w:hAnsi="宋体" w:eastAsia="宋体" w:cs="宋体"/>
          <w:color w:val="auto"/>
          <w:kern w:val="0"/>
          <w:szCs w:val="21"/>
          <w:highlight w:val="none"/>
        </w:rPr>
        <w:t>人民法院起诉。</w:t>
      </w:r>
    </w:p>
    <w:p w14:paraId="34A06C8C">
      <w:pPr>
        <w:keepNext w:val="0"/>
        <w:keepLines w:val="0"/>
        <w:pageBreakBefore w:val="0"/>
        <w:widowControl/>
        <w:kinsoku w:val="0"/>
        <w:wordWrap/>
        <w:overflowPunct/>
        <w:topLinePunct w:val="0"/>
        <w:autoSpaceDE w:val="0"/>
        <w:autoSpaceDN w:val="0"/>
        <w:bidi w:val="0"/>
        <w:adjustRightInd w:val="0"/>
        <w:snapToGrid w:val="0"/>
        <w:spacing w:line="360" w:lineRule="auto"/>
        <w:ind w:firstLine="442" w:firstLineChars="200"/>
        <w:textAlignment w:val="baseline"/>
        <w:rPr>
          <w:rFonts w:hint="eastAsia" w:ascii="宋体" w:hAnsi="宋体" w:eastAsia="宋体" w:cs="宋体"/>
          <w:color w:val="auto"/>
          <w:szCs w:val="21"/>
          <w:highlight w:val="none"/>
        </w:rPr>
      </w:pPr>
      <w:bookmarkStart w:id="122" w:name="21._补充条款"/>
      <w:bookmarkEnd w:id="122"/>
      <w:bookmarkStart w:id="123" w:name="_Toc7977"/>
      <w:bookmarkStart w:id="124" w:name="_Toc25383"/>
      <w:r>
        <w:rPr>
          <w:rFonts w:hint="eastAsia" w:ascii="宋体" w:hAnsi="宋体" w:eastAsia="宋体" w:cs="宋体"/>
          <w:b/>
          <w:color w:val="auto"/>
          <w:kern w:val="0"/>
          <w:szCs w:val="21"/>
          <w:highlight w:val="none"/>
        </w:rPr>
        <w:t xml:space="preserve">21. </w:t>
      </w:r>
      <w:r>
        <w:rPr>
          <w:rFonts w:hint="eastAsia" w:ascii="宋体" w:hAnsi="宋体" w:eastAsia="宋体" w:cs="宋体"/>
          <w:b/>
          <w:color w:val="auto"/>
          <w:spacing w:val="4"/>
          <w:kern w:val="0"/>
          <w:szCs w:val="21"/>
          <w:highlight w:val="none"/>
        </w:rPr>
        <w:t xml:space="preserve"> </w:t>
      </w:r>
      <w:r>
        <w:rPr>
          <w:rFonts w:hint="eastAsia" w:ascii="宋体" w:hAnsi="宋体" w:eastAsia="宋体" w:cs="宋体"/>
          <w:b/>
          <w:color w:val="auto"/>
          <w:spacing w:val="15"/>
          <w:kern w:val="0"/>
          <w:szCs w:val="21"/>
          <w:highlight w:val="none"/>
        </w:rPr>
        <w:t>补充条款</w:t>
      </w:r>
      <w:bookmarkEnd w:id="123"/>
      <w:bookmarkEnd w:id="124"/>
    </w:p>
    <w:p w14:paraId="08748C86">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21.1</w:t>
      </w:r>
      <w:r>
        <w:rPr>
          <w:rFonts w:hint="eastAsia" w:ascii="宋体" w:hAnsi="宋体" w:eastAsia="宋体" w:cs="宋体"/>
          <w:color w:val="auto"/>
          <w:spacing w:val="44"/>
          <w:kern w:val="0"/>
          <w:szCs w:val="21"/>
          <w:highlight w:val="none"/>
        </w:rPr>
        <w:t xml:space="preserve"> </w:t>
      </w:r>
      <w:r>
        <w:rPr>
          <w:rFonts w:hint="eastAsia" w:ascii="宋体" w:hAnsi="宋体" w:eastAsia="宋体" w:cs="宋体"/>
          <w:color w:val="auto"/>
          <w:kern w:val="0"/>
          <w:szCs w:val="21"/>
          <w:highlight w:val="none"/>
        </w:rPr>
        <w:t>禁止使用童工。</w:t>
      </w:r>
    </w:p>
    <w:p w14:paraId="73430BCD">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21.2</w:t>
      </w:r>
      <w:r>
        <w:rPr>
          <w:rFonts w:hint="eastAsia" w:ascii="宋体" w:hAnsi="宋体" w:eastAsia="宋体" w:cs="宋体"/>
          <w:color w:val="auto"/>
          <w:spacing w:val="20"/>
          <w:kern w:val="0"/>
          <w:szCs w:val="21"/>
          <w:highlight w:val="none"/>
        </w:rPr>
        <w:t xml:space="preserve"> </w:t>
      </w:r>
      <w:r>
        <w:rPr>
          <w:rFonts w:hint="eastAsia" w:ascii="宋体" w:hAnsi="宋体" w:eastAsia="宋体" w:cs="宋体"/>
          <w:color w:val="auto"/>
          <w:kern w:val="0"/>
          <w:szCs w:val="21"/>
          <w:highlight w:val="none"/>
        </w:rPr>
        <w:t>为了不影响工程施工工作的正常进行，对于发包人认可的设计或其他变更，即使承包人暂时不能事先就费用问题与发包人达成共同意见，先按总监理工程师提出的处理方案执行，而后双方再协商有关费用。</w:t>
      </w:r>
    </w:p>
    <w:p w14:paraId="06867822">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21.3  承包人应按有关政府部门规定做好环保、文明施工和其他临时设施建设，达到文明施工工程的相关标准，费用已包含在本合同约定的收费标准中。</w:t>
      </w:r>
    </w:p>
    <w:p w14:paraId="53FA802E">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4"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1"/>
          <w:kern w:val="0"/>
          <w:szCs w:val="21"/>
          <w:highlight w:val="none"/>
        </w:rPr>
        <w:t>21.4</w:t>
      </w:r>
      <w:r>
        <w:rPr>
          <w:rFonts w:hint="eastAsia" w:ascii="宋体" w:hAnsi="宋体" w:eastAsia="宋体" w:cs="宋体"/>
          <w:color w:val="auto"/>
          <w:kern w:val="0"/>
          <w:szCs w:val="21"/>
          <w:highlight w:val="none"/>
        </w:rPr>
        <w:t xml:space="preserve"> </w:t>
      </w:r>
      <w:r>
        <w:rPr>
          <w:rFonts w:hint="eastAsia" w:ascii="宋体" w:hAnsi="宋体" w:eastAsia="宋体" w:cs="宋体"/>
          <w:color w:val="auto"/>
          <w:spacing w:val="-2"/>
          <w:kern w:val="0"/>
          <w:szCs w:val="21"/>
          <w:highlight w:val="none"/>
        </w:rPr>
        <w:t>承包人应在施工合同生效后</w:t>
      </w:r>
      <w:r>
        <w:rPr>
          <w:rFonts w:hint="eastAsia" w:ascii="宋体" w:hAnsi="宋体" w:eastAsia="宋体" w:cs="宋体"/>
          <w:color w:val="auto"/>
          <w:kern w:val="0"/>
          <w:szCs w:val="21"/>
          <w:highlight w:val="none"/>
        </w:rPr>
        <w:t xml:space="preserve"> 3</w:t>
      </w:r>
      <w:r>
        <w:rPr>
          <w:rFonts w:hint="eastAsia" w:ascii="宋体" w:hAnsi="宋体" w:eastAsia="宋体" w:cs="宋体"/>
          <w:color w:val="auto"/>
          <w:spacing w:val="3"/>
          <w:kern w:val="0"/>
          <w:szCs w:val="21"/>
          <w:highlight w:val="none"/>
        </w:rPr>
        <w:t xml:space="preserve"> </w:t>
      </w:r>
      <w:r>
        <w:rPr>
          <w:rFonts w:hint="eastAsia" w:ascii="宋体" w:hAnsi="宋体" w:eastAsia="宋体" w:cs="宋体"/>
          <w:color w:val="auto"/>
          <w:spacing w:val="-5"/>
          <w:kern w:val="0"/>
          <w:szCs w:val="21"/>
          <w:highlight w:val="none"/>
        </w:rPr>
        <w:t>日内，向发包人提交委派的项目经理和项目部人员名单、</w:t>
      </w:r>
      <w:r>
        <w:rPr>
          <w:rFonts w:hint="eastAsia" w:ascii="宋体" w:hAnsi="宋体" w:eastAsia="宋体" w:cs="宋体"/>
          <w:color w:val="auto"/>
          <w:spacing w:val="-4"/>
          <w:kern w:val="0"/>
          <w:szCs w:val="21"/>
          <w:highlight w:val="none"/>
        </w:rPr>
        <w:t>简历。委派的项目经理的项目部人员必须与投标时承诺的人员一致（增加不限），不经发包人同</w:t>
      </w:r>
      <w:r>
        <w:rPr>
          <w:rFonts w:hint="eastAsia" w:ascii="宋体" w:hAnsi="宋体" w:eastAsia="宋体" w:cs="宋体"/>
          <w:color w:val="auto"/>
          <w:spacing w:val="-87"/>
          <w:kern w:val="0"/>
          <w:szCs w:val="21"/>
          <w:highlight w:val="none"/>
        </w:rPr>
        <w:t xml:space="preserve"> </w:t>
      </w:r>
      <w:r>
        <w:rPr>
          <w:rFonts w:hint="eastAsia" w:ascii="宋体" w:hAnsi="宋体" w:eastAsia="宋体" w:cs="宋体"/>
          <w:color w:val="auto"/>
          <w:kern w:val="0"/>
          <w:szCs w:val="21"/>
          <w:highlight w:val="none"/>
        </w:rPr>
        <w:t>意，擅自调换投标时承诺的项目经理和项目部人员的，发包人有权取消其中标资格。</w:t>
      </w:r>
    </w:p>
    <w:p w14:paraId="576F49F7">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21.5 </w:t>
      </w:r>
      <w:r>
        <w:rPr>
          <w:rFonts w:hint="eastAsia" w:ascii="宋体" w:hAnsi="宋体" w:eastAsia="宋体" w:cs="宋体"/>
          <w:color w:val="auto"/>
          <w:spacing w:val="22"/>
          <w:kern w:val="0"/>
          <w:szCs w:val="21"/>
          <w:highlight w:val="none"/>
        </w:rPr>
        <w:t xml:space="preserve"> </w:t>
      </w:r>
      <w:r>
        <w:rPr>
          <w:rFonts w:hint="eastAsia" w:ascii="宋体" w:hAnsi="宋体" w:eastAsia="宋体" w:cs="宋体"/>
          <w:color w:val="auto"/>
          <w:kern w:val="0"/>
          <w:szCs w:val="21"/>
          <w:highlight w:val="none"/>
        </w:rPr>
        <w:t>施工期内，承包人应保持项目部管理人员相对稳定。承包人调换项目经理、项目副经</w:t>
      </w:r>
      <w:r>
        <w:rPr>
          <w:rFonts w:hint="eastAsia" w:ascii="宋体" w:hAnsi="宋体" w:eastAsia="宋体" w:cs="宋体"/>
          <w:color w:val="auto"/>
          <w:spacing w:val="-3"/>
          <w:kern w:val="0"/>
          <w:szCs w:val="21"/>
          <w:highlight w:val="none"/>
        </w:rPr>
        <w:t>理、技术负责人必须提前</w:t>
      </w:r>
      <w:r>
        <w:rPr>
          <w:rFonts w:hint="eastAsia" w:ascii="宋体" w:hAnsi="宋体" w:eastAsia="宋体" w:cs="宋体"/>
          <w:color w:val="auto"/>
          <w:spacing w:val="-61"/>
          <w:kern w:val="0"/>
          <w:szCs w:val="21"/>
          <w:highlight w:val="none"/>
        </w:rPr>
        <w:t xml:space="preserve"> </w:t>
      </w:r>
      <w:r>
        <w:rPr>
          <w:rFonts w:hint="eastAsia" w:ascii="宋体" w:hAnsi="宋体" w:eastAsia="宋体" w:cs="宋体"/>
          <w:color w:val="auto"/>
          <w:kern w:val="0"/>
          <w:szCs w:val="21"/>
          <w:highlight w:val="none"/>
        </w:rPr>
        <w:t>10</w:t>
      </w:r>
      <w:r>
        <w:rPr>
          <w:rFonts w:hint="eastAsia" w:ascii="宋体" w:hAnsi="宋体" w:eastAsia="宋体" w:cs="宋体"/>
          <w:color w:val="auto"/>
          <w:spacing w:val="-7"/>
          <w:kern w:val="0"/>
          <w:szCs w:val="21"/>
          <w:highlight w:val="none"/>
        </w:rPr>
        <w:t xml:space="preserve"> </w:t>
      </w:r>
      <w:r>
        <w:rPr>
          <w:rFonts w:hint="eastAsia" w:ascii="宋体" w:hAnsi="宋体" w:eastAsia="宋体" w:cs="宋体"/>
          <w:color w:val="auto"/>
          <w:kern w:val="0"/>
          <w:szCs w:val="21"/>
          <w:highlight w:val="none"/>
        </w:rPr>
        <w:t>个工作日报发包人同意批准并办理相关手续才能调整。如不经发包人同意批准擅自调换项目经理，承包人必须向发包人支付违约金合同金额的1.5‰</w:t>
      </w:r>
      <w:r>
        <w:rPr>
          <w:rFonts w:hint="eastAsia" w:ascii="宋体" w:hAnsi="宋体" w:eastAsia="宋体" w:cs="宋体"/>
          <w:color w:val="auto"/>
          <w:spacing w:val="-4"/>
          <w:kern w:val="0"/>
          <w:szCs w:val="21"/>
          <w:highlight w:val="none"/>
        </w:rPr>
        <w:t>；擅自调换项目副</w:t>
      </w:r>
      <w:r>
        <w:rPr>
          <w:rFonts w:hint="eastAsia" w:ascii="宋体" w:hAnsi="宋体" w:eastAsia="宋体" w:cs="宋体"/>
          <w:color w:val="auto"/>
          <w:kern w:val="0"/>
          <w:szCs w:val="21"/>
          <w:highlight w:val="none"/>
        </w:rPr>
        <w:t xml:space="preserve">经理、技术负责人则按每人支付违约金违约金合同金额的1‰处理。 </w:t>
      </w:r>
    </w:p>
    <w:p w14:paraId="691F5005">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发包人有权检查承包人的项目经理、项目副经理、技术负责人的到岗情况，如发现未经发包人同意批准，项目经理擅自离岗的，承包人必须向发包人支付违约金</w:t>
      </w:r>
      <w:r>
        <w:rPr>
          <w:rFonts w:hint="eastAsia" w:ascii="宋体" w:hAnsi="宋体" w:eastAsia="宋体" w:cs="宋体"/>
          <w:color w:val="auto"/>
          <w:spacing w:val="-60"/>
          <w:kern w:val="0"/>
          <w:szCs w:val="21"/>
          <w:highlight w:val="none"/>
        </w:rPr>
        <w:t xml:space="preserve"> </w:t>
      </w:r>
      <w:r>
        <w:rPr>
          <w:rFonts w:hint="eastAsia" w:ascii="宋体" w:hAnsi="宋体" w:eastAsia="宋体" w:cs="宋体"/>
          <w:color w:val="auto"/>
          <w:kern w:val="0"/>
          <w:szCs w:val="21"/>
          <w:highlight w:val="none"/>
        </w:rPr>
        <w:t>10000元/人</w:t>
      </w:r>
      <w:r>
        <w:rPr>
          <w:rFonts w:hint="eastAsia" w:ascii="宋体" w:hAnsi="宋体" w:eastAsia="宋体" w:cs="宋体"/>
          <w:color w:val="auto"/>
          <w:spacing w:val="-32"/>
          <w:kern w:val="0"/>
          <w:szCs w:val="21"/>
          <w:highlight w:val="none"/>
        </w:rPr>
        <w:t xml:space="preserve"> </w:t>
      </w:r>
      <w:r>
        <w:rPr>
          <w:rFonts w:hint="eastAsia" w:ascii="宋体" w:hAnsi="宋体" w:eastAsia="宋体" w:cs="宋体"/>
          <w:color w:val="auto"/>
          <w:kern w:val="0"/>
          <w:szCs w:val="21"/>
          <w:highlight w:val="none"/>
        </w:rPr>
        <w:t xml:space="preserve">.次，未经发包人同意批准项目副经理、技术负责人擅自离岗的，承包人必须向发包人支付违约金 8000元/ </w:t>
      </w:r>
      <w:r>
        <w:rPr>
          <w:rFonts w:hint="eastAsia" w:ascii="宋体" w:hAnsi="宋体" w:eastAsia="宋体" w:cs="宋体"/>
          <w:color w:val="auto"/>
          <w:spacing w:val="-1"/>
          <w:kern w:val="0"/>
          <w:szCs w:val="21"/>
          <w:highlight w:val="none"/>
        </w:rPr>
        <w:t>人</w:t>
      </w:r>
      <w:r>
        <w:rPr>
          <w:rFonts w:hint="eastAsia" w:ascii="宋体" w:hAnsi="宋体" w:eastAsia="宋体" w:cs="宋体"/>
          <w:color w:val="auto"/>
          <w:kern w:val="0"/>
          <w:szCs w:val="21"/>
          <w:highlight w:val="none"/>
        </w:rPr>
        <w:t xml:space="preserve"> </w:t>
      </w:r>
      <w:r>
        <w:rPr>
          <w:rFonts w:hint="eastAsia" w:ascii="宋体" w:hAnsi="宋体" w:eastAsia="宋体" w:cs="宋体"/>
          <w:color w:val="auto"/>
          <w:spacing w:val="-2"/>
          <w:kern w:val="0"/>
          <w:szCs w:val="21"/>
          <w:highlight w:val="none"/>
        </w:rPr>
        <w:t>.次。以上违约金从承包人的履约保证金中扣除，履约保证金不足部分再从承包人的进度款中</w:t>
      </w:r>
      <w:r>
        <w:rPr>
          <w:rFonts w:hint="eastAsia" w:ascii="宋体" w:hAnsi="宋体" w:eastAsia="宋体" w:cs="宋体"/>
          <w:color w:val="auto"/>
          <w:kern w:val="0"/>
          <w:szCs w:val="21"/>
          <w:highlight w:val="none"/>
        </w:rPr>
        <w:t>扣除。本工程承包人项目部所有管理人员不得兼职其它工程。</w:t>
      </w:r>
    </w:p>
    <w:p w14:paraId="5BDFD713">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12"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施工期间，发包人认为承包人到现场的施工管理人员不足以满足现场需要或以为不称职时，</w:t>
      </w:r>
      <w:r>
        <w:rPr>
          <w:rFonts w:hint="eastAsia" w:ascii="宋体" w:hAnsi="宋体" w:eastAsia="宋体" w:cs="宋体"/>
          <w:color w:val="auto"/>
          <w:kern w:val="0"/>
          <w:szCs w:val="21"/>
          <w:highlight w:val="none"/>
        </w:rPr>
        <w:t>可向承包人发出要求增加或更换施工管理人员的通知，承包人在收到通知后的 5</w:t>
      </w:r>
      <w:r>
        <w:rPr>
          <w:rFonts w:hint="eastAsia" w:ascii="宋体" w:hAnsi="宋体" w:eastAsia="宋体" w:cs="宋体"/>
          <w:color w:val="auto"/>
          <w:spacing w:val="14"/>
          <w:kern w:val="0"/>
          <w:szCs w:val="21"/>
          <w:highlight w:val="none"/>
        </w:rPr>
        <w:t xml:space="preserve"> </w:t>
      </w:r>
      <w:r>
        <w:rPr>
          <w:rFonts w:hint="eastAsia" w:ascii="宋体" w:hAnsi="宋体" w:eastAsia="宋体" w:cs="宋体"/>
          <w:color w:val="auto"/>
          <w:kern w:val="0"/>
          <w:szCs w:val="21"/>
          <w:highlight w:val="none"/>
        </w:rPr>
        <w:t>天内应增加或 更换相应的施工管理人员。</w:t>
      </w:r>
    </w:p>
    <w:p w14:paraId="0E15D119">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21.6 发包人与承包人签署《安全施工协议》，明确双方安全方面的责任与义务，作为组成施工合同的有效文件之一。</w:t>
      </w:r>
    </w:p>
    <w:p w14:paraId="5FF2AAD7">
      <w:pPr>
        <w:pStyle w:val="24"/>
        <w:keepNext w:val="0"/>
        <w:keepLines w:val="0"/>
        <w:pageBreakBefore w:val="0"/>
        <w:widowControl w:val="0"/>
        <w:wordWrap/>
        <w:overflowPunct/>
        <w:topLinePunct w:val="0"/>
        <w:bidi w:val="0"/>
        <w:spacing w:beforeAutospacing="0" w:afterAutospacing="0" w:line="360" w:lineRule="auto"/>
        <w:ind w:left="0" w:leftChars="0" w:right="0" w:rightChars="0"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21.7  承包人必须在签订施工合同后 10 </w:t>
      </w:r>
      <w:r>
        <w:rPr>
          <w:rFonts w:hint="eastAsia" w:ascii="宋体" w:hAnsi="宋体" w:eastAsia="宋体" w:cs="宋体"/>
          <w:color w:val="auto"/>
          <w:spacing w:val="19"/>
          <w:kern w:val="0"/>
          <w:szCs w:val="21"/>
          <w:highlight w:val="none"/>
        </w:rPr>
        <w:t xml:space="preserve"> </w:t>
      </w:r>
      <w:r>
        <w:rPr>
          <w:rFonts w:hint="eastAsia" w:ascii="宋体" w:hAnsi="宋体" w:eastAsia="宋体" w:cs="宋体"/>
          <w:color w:val="auto"/>
          <w:kern w:val="0"/>
          <w:szCs w:val="21"/>
          <w:highlight w:val="none"/>
        </w:rPr>
        <w:t>个工作日内按发包人办理施工许可证所需材料清单提供需要承包人提供的材料。每延误一天，承包人须向发包人支付</w:t>
      </w:r>
      <w:r>
        <w:rPr>
          <w:rFonts w:hint="eastAsia" w:ascii="宋体" w:hAnsi="宋体" w:eastAsia="宋体" w:cs="宋体"/>
          <w:color w:val="auto"/>
          <w:spacing w:val="-76"/>
          <w:kern w:val="0"/>
          <w:szCs w:val="21"/>
          <w:highlight w:val="none"/>
        </w:rPr>
        <w:t xml:space="preserve"> </w:t>
      </w:r>
      <w:r>
        <w:rPr>
          <w:rFonts w:hint="eastAsia" w:ascii="宋体" w:hAnsi="宋体" w:eastAsia="宋体" w:cs="宋体"/>
          <w:color w:val="auto"/>
          <w:kern w:val="0"/>
          <w:szCs w:val="21"/>
          <w:highlight w:val="none"/>
        </w:rPr>
        <w:t>1000</w:t>
      </w:r>
      <w:r>
        <w:rPr>
          <w:rFonts w:hint="eastAsia" w:ascii="宋体" w:hAnsi="宋体" w:eastAsia="宋体" w:cs="宋体"/>
          <w:color w:val="auto"/>
          <w:spacing w:val="-19"/>
          <w:kern w:val="0"/>
          <w:szCs w:val="21"/>
          <w:highlight w:val="none"/>
        </w:rPr>
        <w:t xml:space="preserve"> </w:t>
      </w:r>
      <w:r>
        <w:rPr>
          <w:rFonts w:hint="eastAsia" w:ascii="宋体" w:hAnsi="宋体" w:eastAsia="宋体" w:cs="宋体"/>
          <w:color w:val="auto"/>
          <w:spacing w:val="-5"/>
          <w:kern w:val="0"/>
          <w:szCs w:val="21"/>
          <w:highlight w:val="none"/>
        </w:rPr>
        <w:t>元/天的违约金，违</w:t>
      </w:r>
      <w:r>
        <w:rPr>
          <w:rFonts w:hint="eastAsia" w:ascii="宋体" w:hAnsi="宋体" w:eastAsia="宋体" w:cs="宋体"/>
          <w:color w:val="auto"/>
          <w:kern w:val="0"/>
          <w:szCs w:val="21"/>
          <w:highlight w:val="none"/>
        </w:rPr>
        <w:t>约金可由发包人从工程款中扣除。</w:t>
      </w:r>
    </w:p>
    <w:p w14:paraId="7BE214EA">
      <w:pPr>
        <w:pStyle w:val="24"/>
        <w:pageBreakBefore w:val="0"/>
        <w:widowControl w:val="0"/>
        <w:wordWrap/>
        <w:overflowPunct/>
        <w:topLinePunct w:val="0"/>
        <w:bidi w:val="0"/>
        <w:spacing w:beforeAutospacing="0" w:afterAutospacing="0" w:line="360" w:lineRule="auto"/>
        <w:ind w:left="0" w:leftChars="0" w:right="0" w:rightChars="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w:t>
      </w:r>
    </w:p>
    <w:p w14:paraId="2392CC27">
      <w:pPr>
        <w:pStyle w:val="24"/>
        <w:pageBreakBefore w:val="0"/>
        <w:widowControl w:val="0"/>
        <w:wordWrap/>
        <w:overflowPunct/>
        <w:topLinePunct w:val="0"/>
        <w:bidi w:val="0"/>
        <w:spacing w:beforeAutospacing="0" w:afterAutospacing="0" w:line="360" w:lineRule="auto"/>
        <w:ind w:left="0" w:leftChars="0" w:right="0" w:rightChars="0"/>
        <w:jc w:val="left"/>
        <w:rPr>
          <w:rFonts w:hint="eastAsia" w:ascii="宋体" w:hAnsi="宋体" w:eastAsia="宋体" w:cs="宋体"/>
          <w:color w:val="auto"/>
          <w:kern w:val="0"/>
          <w:szCs w:val="21"/>
          <w:highlight w:val="none"/>
        </w:rPr>
      </w:pPr>
    </w:p>
    <w:p w14:paraId="3E440694">
      <w:pPr>
        <w:pStyle w:val="24"/>
        <w:pageBreakBefore w:val="0"/>
        <w:widowControl w:val="0"/>
        <w:wordWrap/>
        <w:overflowPunct/>
        <w:topLinePunct w:val="0"/>
        <w:bidi w:val="0"/>
        <w:spacing w:beforeAutospacing="0" w:afterAutospacing="0" w:line="360" w:lineRule="auto"/>
        <w:ind w:left="0" w:leftChars="0" w:right="0" w:rightChars="0"/>
        <w:jc w:val="left"/>
        <w:rPr>
          <w:rFonts w:hint="eastAsia" w:ascii="宋体" w:hAnsi="宋体" w:eastAsia="宋体" w:cs="宋体"/>
          <w:b/>
          <w:color w:val="auto"/>
          <w:kern w:val="0"/>
          <w:sz w:val="28"/>
          <w:szCs w:val="20"/>
          <w:highlight w:val="none"/>
        </w:rPr>
      </w:pPr>
      <w:r>
        <w:rPr>
          <w:rFonts w:hint="eastAsia" w:ascii="宋体" w:hAnsi="宋体" w:eastAsia="宋体" w:cs="宋体"/>
          <w:b/>
          <w:color w:val="auto"/>
          <w:sz w:val="28"/>
          <w:szCs w:val="20"/>
          <w:highlight w:val="none"/>
        </w:rPr>
        <w:t>附件</w:t>
      </w:r>
    </w:p>
    <w:p w14:paraId="6DECA5CD">
      <w:pPr>
        <w:pStyle w:val="24"/>
        <w:pageBreakBefore w:val="0"/>
        <w:widowControl w:val="0"/>
        <w:wordWrap/>
        <w:overflowPunct/>
        <w:topLinePunct w:val="0"/>
        <w:bidi w:val="0"/>
        <w:spacing w:beforeAutospacing="0" w:afterAutospacing="0" w:line="360" w:lineRule="auto"/>
        <w:ind w:left="0" w:leftChars="0" w:right="0" w:rightChars="0"/>
        <w:jc w:val="left"/>
        <w:rPr>
          <w:rFonts w:hint="eastAsia" w:ascii="宋体" w:hAnsi="宋体" w:eastAsia="宋体" w:cs="宋体"/>
          <w:color w:val="auto"/>
          <w:kern w:val="0"/>
          <w:sz w:val="24"/>
          <w:szCs w:val="20"/>
          <w:highlight w:val="none"/>
        </w:rPr>
      </w:pPr>
      <w:r>
        <w:rPr>
          <w:rFonts w:hint="eastAsia" w:ascii="宋体" w:hAnsi="宋体" w:eastAsia="宋体" w:cs="宋体"/>
          <w:color w:val="auto"/>
          <w:szCs w:val="20"/>
          <w:highlight w:val="none"/>
        </w:rPr>
        <w:t>附件1：承包人承揽工程项目一览表</w:t>
      </w:r>
    </w:p>
    <w:p w14:paraId="00C7F492">
      <w:pPr>
        <w:pStyle w:val="24"/>
        <w:pageBreakBefore w:val="0"/>
        <w:widowControl w:val="0"/>
        <w:wordWrap/>
        <w:overflowPunct/>
        <w:topLinePunct w:val="0"/>
        <w:bidi w:val="0"/>
        <w:spacing w:beforeAutospacing="0" w:afterAutospacing="0" w:line="360" w:lineRule="auto"/>
        <w:ind w:left="0" w:leftChars="0" w:right="0" w:rightChars="0"/>
        <w:jc w:val="left"/>
        <w:rPr>
          <w:rFonts w:hint="eastAsia" w:ascii="宋体" w:hAnsi="宋体" w:eastAsia="宋体" w:cs="宋体"/>
          <w:color w:val="auto"/>
          <w:kern w:val="0"/>
          <w:sz w:val="24"/>
          <w:szCs w:val="20"/>
          <w:highlight w:val="none"/>
        </w:rPr>
      </w:pPr>
      <w:r>
        <w:rPr>
          <w:rFonts w:hint="eastAsia" w:ascii="宋体" w:hAnsi="宋体" w:eastAsia="宋体" w:cs="宋体"/>
          <w:color w:val="auto"/>
          <w:szCs w:val="20"/>
          <w:highlight w:val="none"/>
        </w:rPr>
        <w:t>附件2：工程质量保修书</w:t>
      </w:r>
    </w:p>
    <w:p w14:paraId="76D42D00">
      <w:pPr>
        <w:pStyle w:val="24"/>
        <w:pageBreakBefore w:val="0"/>
        <w:widowControl w:val="0"/>
        <w:wordWrap/>
        <w:overflowPunct/>
        <w:topLinePunct w:val="0"/>
        <w:bidi w:val="0"/>
        <w:spacing w:beforeAutospacing="0" w:afterAutospacing="0" w:line="360" w:lineRule="auto"/>
        <w:ind w:left="0" w:leftChars="0" w:right="0" w:rightChars="0"/>
        <w:jc w:val="left"/>
        <w:rPr>
          <w:rFonts w:hint="eastAsia" w:ascii="宋体" w:hAnsi="宋体" w:eastAsia="宋体" w:cs="宋体"/>
          <w:color w:val="auto"/>
          <w:kern w:val="0"/>
          <w:sz w:val="24"/>
          <w:szCs w:val="20"/>
          <w:highlight w:val="none"/>
        </w:rPr>
      </w:pPr>
      <w:r>
        <w:rPr>
          <w:rFonts w:hint="eastAsia" w:ascii="宋体" w:hAnsi="宋体" w:eastAsia="宋体" w:cs="宋体"/>
          <w:color w:val="auto"/>
          <w:szCs w:val="20"/>
          <w:highlight w:val="none"/>
        </w:rPr>
        <w:t>附件3：主要建设工程文件目录</w:t>
      </w:r>
    </w:p>
    <w:p w14:paraId="13740F82">
      <w:pPr>
        <w:pStyle w:val="24"/>
        <w:pageBreakBefore w:val="0"/>
        <w:widowControl w:val="0"/>
        <w:wordWrap/>
        <w:overflowPunct/>
        <w:topLinePunct w:val="0"/>
        <w:bidi w:val="0"/>
        <w:spacing w:beforeAutospacing="0" w:afterAutospacing="0" w:line="360" w:lineRule="auto"/>
        <w:ind w:left="0" w:leftChars="0" w:right="0" w:rightChars="0"/>
        <w:jc w:val="left"/>
        <w:rPr>
          <w:rFonts w:hint="eastAsia" w:ascii="宋体" w:hAnsi="宋体" w:eastAsia="宋体" w:cs="宋体"/>
          <w:color w:val="auto"/>
          <w:kern w:val="0"/>
          <w:sz w:val="24"/>
          <w:szCs w:val="20"/>
          <w:highlight w:val="none"/>
        </w:rPr>
      </w:pPr>
      <w:r>
        <w:rPr>
          <w:rFonts w:hint="eastAsia" w:ascii="宋体" w:hAnsi="宋体" w:eastAsia="宋体" w:cs="宋体"/>
          <w:color w:val="auto"/>
          <w:szCs w:val="20"/>
          <w:highlight w:val="none"/>
        </w:rPr>
        <w:t>附件4：承包人用于本工程施工的机械设备表</w:t>
      </w:r>
    </w:p>
    <w:p w14:paraId="676703C3">
      <w:pPr>
        <w:pStyle w:val="24"/>
        <w:pageBreakBefore w:val="0"/>
        <w:widowControl w:val="0"/>
        <w:wordWrap/>
        <w:overflowPunct/>
        <w:topLinePunct w:val="0"/>
        <w:bidi w:val="0"/>
        <w:spacing w:beforeAutospacing="0" w:afterAutospacing="0" w:line="360" w:lineRule="auto"/>
        <w:ind w:left="0" w:leftChars="0" w:right="0" w:rightChars="0"/>
        <w:jc w:val="left"/>
        <w:rPr>
          <w:rFonts w:hint="eastAsia" w:ascii="宋体" w:hAnsi="宋体" w:eastAsia="宋体" w:cs="宋体"/>
          <w:color w:val="auto"/>
          <w:kern w:val="0"/>
          <w:sz w:val="24"/>
          <w:szCs w:val="20"/>
          <w:highlight w:val="none"/>
        </w:rPr>
      </w:pPr>
      <w:r>
        <w:rPr>
          <w:rFonts w:hint="eastAsia" w:ascii="宋体" w:hAnsi="宋体" w:eastAsia="宋体" w:cs="宋体"/>
          <w:color w:val="auto"/>
          <w:szCs w:val="20"/>
          <w:highlight w:val="none"/>
        </w:rPr>
        <w:t>附件5：承包人主要施工管理人员表</w:t>
      </w:r>
    </w:p>
    <w:p w14:paraId="1C4C422D">
      <w:pPr>
        <w:pStyle w:val="24"/>
        <w:pageBreakBefore w:val="0"/>
        <w:widowControl w:val="0"/>
        <w:wordWrap/>
        <w:overflowPunct/>
        <w:topLinePunct w:val="0"/>
        <w:bidi w:val="0"/>
        <w:spacing w:beforeAutospacing="0" w:afterAutospacing="0" w:line="360" w:lineRule="auto"/>
        <w:ind w:left="0" w:leftChars="0" w:right="0" w:rightChars="0"/>
        <w:jc w:val="left"/>
        <w:rPr>
          <w:rFonts w:hint="eastAsia" w:ascii="宋体" w:hAnsi="宋体" w:eastAsia="宋体" w:cs="宋体"/>
          <w:color w:val="auto"/>
          <w:kern w:val="0"/>
          <w:sz w:val="24"/>
          <w:szCs w:val="20"/>
          <w:highlight w:val="none"/>
        </w:rPr>
      </w:pPr>
      <w:r>
        <w:rPr>
          <w:rFonts w:hint="eastAsia" w:ascii="宋体" w:hAnsi="宋体" w:eastAsia="宋体" w:cs="宋体"/>
          <w:color w:val="auto"/>
          <w:szCs w:val="20"/>
          <w:highlight w:val="none"/>
        </w:rPr>
        <w:t>附件6：分包人主要施工管理人员表</w:t>
      </w:r>
    </w:p>
    <w:p w14:paraId="3E0E8699">
      <w:pPr>
        <w:pStyle w:val="24"/>
        <w:pageBreakBefore w:val="0"/>
        <w:widowControl w:val="0"/>
        <w:wordWrap/>
        <w:overflowPunct/>
        <w:topLinePunct w:val="0"/>
        <w:bidi w:val="0"/>
        <w:spacing w:beforeAutospacing="0" w:afterAutospacing="0" w:line="360" w:lineRule="auto"/>
        <w:ind w:left="0" w:leftChars="0" w:right="0" w:rightChars="0"/>
        <w:rPr>
          <w:rFonts w:hint="eastAsia" w:ascii="宋体" w:hAnsi="宋体" w:eastAsia="宋体" w:cs="宋体"/>
          <w:color w:val="auto"/>
          <w:kern w:val="0"/>
          <w:sz w:val="24"/>
          <w:szCs w:val="20"/>
          <w:highlight w:val="none"/>
        </w:rPr>
      </w:pPr>
    </w:p>
    <w:p w14:paraId="4F6281B7">
      <w:pPr>
        <w:pStyle w:val="24"/>
        <w:pageBreakBefore w:val="0"/>
        <w:widowControl w:val="0"/>
        <w:wordWrap/>
        <w:overflowPunct/>
        <w:topLinePunct w:val="0"/>
        <w:bidi w:val="0"/>
        <w:spacing w:beforeAutospacing="0" w:afterAutospacing="0" w:line="360" w:lineRule="auto"/>
        <w:ind w:left="0" w:leftChars="0" w:right="0" w:rightChars="0"/>
        <w:rPr>
          <w:rFonts w:hint="eastAsia" w:ascii="宋体" w:hAnsi="宋体" w:eastAsia="宋体" w:cs="宋体"/>
          <w:color w:val="auto"/>
          <w:kern w:val="0"/>
          <w:sz w:val="24"/>
          <w:szCs w:val="20"/>
          <w:highlight w:val="none"/>
        </w:rPr>
      </w:pPr>
    </w:p>
    <w:p w14:paraId="31880961">
      <w:pPr>
        <w:pStyle w:val="24"/>
        <w:pageBreakBefore w:val="0"/>
        <w:widowControl w:val="0"/>
        <w:wordWrap/>
        <w:overflowPunct/>
        <w:topLinePunct w:val="0"/>
        <w:bidi w:val="0"/>
        <w:spacing w:beforeAutospacing="0" w:afterAutospacing="0" w:line="360" w:lineRule="auto"/>
        <w:ind w:left="0" w:leftChars="0" w:right="0" w:rightChars="0"/>
        <w:rPr>
          <w:rFonts w:hint="eastAsia" w:ascii="宋体" w:hAnsi="宋体" w:eastAsia="宋体" w:cs="宋体"/>
          <w:color w:val="auto"/>
          <w:kern w:val="0"/>
          <w:sz w:val="24"/>
          <w:szCs w:val="20"/>
          <w:highlight w:val="none"/>
        </w:rPr>
      </w:pPr>
    </w:p>
    <w:p w14:paraId="58DD830B">
      <w:pPr>
        <w:pStyle w:val="24"/>
        <w:pageBreakBefore w:val="0"/>
        <w:widowControl w:val="0"/>
        <w:wordWrap/>
        <w:overflowPunct/>
        <w:topLinePunct w:val="0"/>
        <w:bidi w:val="0"/>
        <w:spacing w:beforeAutospacing="0" w:afterAutospacing="0" w:line="360" w:lineRule="auto"/>
        <w:ind w:left="0" w:leftChars="0" w:right="0" w:rightChars="0"/>
        <w:rPr>
          <w:rFonts w:hint="eastAsia" w:ascii="宋体" w:hAnsi="宋体" w:eastAsia="宋体" w:cs="宋体"/>
          <w:color w:val="auto"/>
          <w:kern w:val="0"/>
          <w:sz w:val="24"/>
          <w:szCs w:val="20"/>
          <w:highlight w:val="none"/>
        </w:rPr>
      </w:pPr>
    </w:p>
    <w:p w14:paraId="5D7D94FF">
      <w:pPr>
        <w:pStyle w:val="24"/>
        <w:pageBreakBefore w:val="0"/>
        <w:widowControl w:val="0"/>
        <w:wordWrap/>
        <w:overflowPunct/>
        <w:topLinePunct w:val="0"/>
        <w:bidi w:val="0"/>
        <w:spacing w:beforeAutospacing="0" w:afterAutospacing="0" w:line="360" w:lineRule="auto"/>
        <w:ind w:left="0" w:leftChars="0" w:right="0" w:rightChars="0"/>
        <w:rPr>
          <w:rFonts w:hint="eastAsia" w:ascii="宋体" w:hAnsi="宋体" w:eastAsia="宋体" w:cs="宋体"/>
          <w:color w:val="auto"/>
          <w:kern w:val="0"/>
          <w:sz w:val="24"/>
          <w:szCs w:val="20"/>
          <w:highlight w:val="none"/>
        </w:rPr>
      </w:pPr>
    </w:p>
    <w:p w14:paraId="28238262">
      <w:pPr>
        <w:pStyle w:val="24"/>
        <w:pageBreakBefore w:val="0"/>
        <w:widowControl w:val="0"/>
        <w:wordWrap/>
        <w:overflowPunct/>
        <w:topLinePunct w:val="0"/>
        <w:bidi w:val="0"/>
        <w:spacing w:beforeAutospacing="0" w:afterAutospacing="0" w:line="360" w:lineRule="auto"/>
        <w:ind w:left="0" w:leftChars="0" w:right="0" w:rightChars="0"/>
        <w:rPr>
          <w:rFonts w:hint="eastAsia" w:ascii="宋体" w:hAnsi="宋体" w:eastAsia="宋体" w:cs="宋体"/>
          <w:color w:val="auto"/>
          <w:kern w:val="0"/>
          <w:sz w:val="24"/>
          <w:szCs w:val="20"/>
          <w:highlight w:val="none"/>
        </w:rPr>
      </w:pPr>
    </w:p>
    <w:p w14:paraId="4D729462">
      <w:pPr>
        <w:pStyle w:val="24"/>
        <w:pageBreakBefore w:val="0"/>
        <w:widowControl w:val="0"/>
        <w:wordWrap/>
        <w:overflowPunct/>
        <w:topLinePunct w:val="0"/>
        <w:bidi w:val="0"/>
        <w:spacing w:beforeAutospacing="0" w:afterAutospacing="0" w:line="360" w:lineRule="auto"/>
        <w:ind w:left="0" w:leftChars="0" w:right="0" w:rightChars="0"/>
        <w:rPr>
          <w:rFonts w:hint="eastAsia" w:ascii="宋体" w:hAnsi="宋体" w:eastAsia="宋体" w:cs="宋体"/>
          <w:color w:val="auto"/>
          <w:kern w:val="0"/>
          <w:sz w:val="24"/>
          <w:szCs w:val="20"/>
          <w:highlight w:val="none"/>
        </w:rPr>
      </w:pPr>
    </w:p>
    <w:p w14:paraId="4E22E737">
      <w:pPr>
        <w:pStyle w:val="24"/>
        <w:pageBreakBefore w:val="0"/>
        <w:widowControl w:val="0"/>
        <w:wordWrap/>
        <w:overflowPunct/>
        <w:topLinePunct w:val="0"/>
        <w:bidi w:val="0"/>
        <w:spacing w:beforeAutospacing="0" w:afterAutospacing="0" w:line="360" w:lineRule="auto"/>
        <w:ind w:left="0" w:leftChars="0" w:right="0" w:rightChars="0"/>
        <w:rPr>
          <w:rFonts w:hint="eastAsia" w:ascii="宋体" w:hAnsi="宋体" w:eastAsia="宋体" w:cs="宋体"/>
          <w:color w:val="auto"/>
          <w:kern w:val="0"/>
          <w:sz w:val="24"/>
          <w:szCs w:val="20"/>
          <w:highlight w:val="none"/>
        </w:rPr>
      </w:pPr>
    </w:p>
    <w:p w14:paraId="4F6A797D">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p w14:paraId="129547C7">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p w14:paraId="042B3795">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p w14:paraId="1DD9B01C">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p w14:paraId="57ADFB81">
      <w:pPr>
        <w:pStyle w:val="4"/>
        <w:bidi w:val="0"/>
        <w:rPr>
          <w:rFonts w:hint="eastAsia" w:ascii="宋体" w:hAnsi="宋体" w:eastAsia="宋体" w:cs="宋体"/>
          <w:color w:val="auto"/>
          <w:highlight w:val="none"/>
        </w:rPr>
      </w:pPr>
      <w:bookmarkStart w:id="125" w:name="_Toc22457"/>
      <w:r>
        <w:rPr>
          <w:rFonts w:hint="eastAsia" w:ascii="宋体" w:hAnsi="宋体" w:eastAsia="宋体" w:cs="宋体"/>
          <w:color w:val="auto"/>
          <w:highlight w:val="none"/>
        </w:rPr>
        <w:t>附件1：承包人承揽工程项目一览表</w:t>
      </w:r>
      <w:bookmarkEnd w:id="125"/>
    </w:p>
    <w:p w14:paraId="6C62C7E5">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b w:val="0"/>
          <w:bCs w:val="0"/>
          <w:color w:val="auto"/>
          <w:spacing w:val="0"/>
          <w:w w:val="100"/>
          <w:position w:val="0"/>
          <w:sz w:val="30"/>
          <w:szCs w:val="30"/>
          <w:highlight w:val="none"/>
        </w:rPr>
      </w:pPr>
    </w:p>
    <w:p w14:paraId="41C075D7">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b/>
          <w:bCs/>
          <w:color w:val="auto"/>
          <w:spacing w:val="0"/>
          <w:w w:val="100"/>
          <w:position w:val="0"/>
          <w:highlight w:val="none"/>
        </w:rPr>
      </w:pPr>
      <w:r>
        <w:rPr>
          <w:rFonts w:hint="eastAsia" w:ascii="宋体" w:hAnsi="宋体" w:eastAsia="宋体" w:cs="宋体"/>
          <w:b/>
          <w:bCs/>
          <w:color w:val="auto"/>
          <w:spacing w:val="0"/>
          <w:w w:val="100"/>
          <w:position w:val="0"/>
          <w:sz w:val="30"/>
          <w:szCs w:val="30"/>
          <w:highlight w:val="none"/>
        </w:rPr>
        <w:t>承包人承揽工程项目一览表</w:t>
      </w:r>
    </w:p>
    <w:tbl>
      <w:tblPr>
        <w:tblStyle w:val="20"/>
        <w:tblW w:w="4996"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024"/>
        <w:gridCol w:w="807"/>
        <w:gridCol w:w="1257"/>
        <w:gridCol w:w="807"/>
        <w:gridCol w:w="603"/>
        <w:gridCol w:w="807"/>
        <w:gridCol w:w="1018"/>
        <w:gridCol w:w="1520"/>
        <w:gridCol w:w="807"/>
        <w:gridCol w:w="816"/>
      </w:tblGrid>
      <w:tr w14:paraId="7CA24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0" w:hRule="atLeast"/>
          <w:jc w:val="center"/>
        </w:trPr>
        <w:tc>
          <w:tcPr>
            <w:tcW w:w="540" w:type="pct"/>
            <w:vAlign w:val="center"/>
          </w:tcPr>
          <w:p w14:paraId="31F07143">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单位</w:t>
            </w:r>
          </w:p>
          <w:p w14:paraId="7C0951FB">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工程</w:t>
            </w:r>
          </w:p>
          <w:p w14:paraId="7B5DE172">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名称</w:t>
            </w:r>
          </w:p>
        </w:tc>
        <w:tc>
          <w:tcPr>
            <w:tcW w:w="426" w:type="pct"/>
            <w:vAlign w:val="center"/>
          </w:tcPr>
          <w:p w14:paraId="6147B398">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建设</w:t>
            </w:r>
          </w:p>
          <w:p w14:paraId="30820C49">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规模</w:t>
            </w:r>
          </w:p>
        </w:tc>
        <w:tc>
          <w:tcPr>
            <w:tcW w:w="663" w:type="pct"/>
            <w:vAlign w:val="center"/>
          </w:tcPr>
          <w:p w14:paraId="19A162E0">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建筑面</w:t>
            </w:r>
          </w:p>
          <w:p w14:paraId="2BD9FD6E">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积(平方</w:t>
            </w:r>
          </w:p>
          <w:p w14:paraId="4B7054AA">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米)</w:t>
            </w:r>
          </w:p>
        </w:tc>
        <w:tc>
          <w:tcPr>
            <w:tcW w:w="426" w:type="pct"/>
            <w:vAlign w:val="center"/>
          </w:tcPr>
          <w:p w14:paraId="6D8136B0">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结构</w:t>
            </w:r>
          </w:p>
          <w:p w14:paraId="3E0F2584">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形式</w:t>
            </w:r>
          </w:p>
        </w:tc>
        <w:tc>
          <w:tcPr>
            <w:tcW w:w="318" w:type="pct"/>
            <w:textDirection w:val="tbRlV"/>
            <w:vAlign w:val="center"/>
          </w:tcPr>
          <w:p w14:paraId="169D5402">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层 数</w:t>
            </w:r>
          </w:p>
        </w:tc>
        <w:tc>
          <w:tcPr>
            <w:tcW w:w="426" w:type="pct"/>
            <w:vAlign w:val="center"/>
          </w:tcPr>
          <w:p w14:paraId="34B02B6A">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4"/>
                <w:szCs w:val="24"/>
                <w:highlight w:val="none"/>
              </w:rPr>
            </w:pPr>
          </w:p>
          <w:p w14:paraId="61B4DF70">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生产</w:t>
            </w:r>
          </w:p>
          <w:p w14:paraId="0DA24A7F">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能力</w:t>
            </w:r>
          </w:p>
        </w:tc>
        <w:tc>
          <w:tcPr>
            <w:tcW w:w="537" w:type="pct"/>
            <w:vAlign w:val="center"/>
          </w:tcPr>
          <w:p w14:paraId="728AE8D5">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设备</w:t>
            </w:r>
          </w:p>
          <w:p w14:paraId="2B356D73">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安装</w:t>
            </w:r>
          </w:p>
          <w:p w14:paraId="0A29CBEB">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内容</w:t>
            </w:r>
          </w:p>
        </w:tc>
        <w:tc>
          <w:tcPr>
            <w:tcW w:w="802" w:type="pct"/>
            <w:vAlign w:val="center"/>
          </w:tcPr>
          <w:p w14:paraId="7D469DBB">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4"/>
                <w:szCs w:val="24"/>
                <w:highlight w:val="none"/>
              </w:rPr>
            </w:pPr>
          </w:p>
          <w:p w14:paraId="45453AF6">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合同价格</w:t>
            </w:r>
          </w:p>
          <w:p w14:paraId="1E8EF22E">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（元）</w:t>
            </w:r>
          </w:p>
        </w:tc>
        <w:tc>
          <w:tcPr>
            <w:tcW w:w="426" w:type="pct"/>
            <w:vAlign w:val="center"/>
          </w:tcPr>
          <w:p w14:paraId="59E8D133">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4"/>
                <w:szCs w:val="24"/>
                <w:highlight w:val="none"/>
              </w:rPr>
            </w:pPr>
          </w:p>
          <w:p w14:paraId="4471851A">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开工</w:t>
            </w:r>
          </w:p>
          <w:p w14:paraId="0BEB932F">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日期</w:t>
            </w:r>
          </w:p>
        </w:tc>
        <w:tc>
          <w:tcPr>
            <w:tcW w:w="430" w:type="pct"/>
            <w:vAlign w:val="center"/>
          </w:tcPr>
          <w:p w14:paraId="546FFBEF">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4"/>
                <w:szCs w:val="24"/>
                <w:highlight w:val="none"/>
              </w:rPr>
            </w:pPr>
          </w:p>
          <w:p w14:paraId="7EF70465">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竣工</w:t>
            </w:r>
          </w:p>
          <w:p w14:paraId="520A5BA8">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日期</w:t>
            </w:r>
          </w:p>
        </w:tc>
      </w:tr>
      <w:tr w14:paraId="287B36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jc w:val="center"/>
        </w:trPr>
        <w:tc>
          <w:tcPr>
            <w:tcW w:w="540" w:type="pct"/>
            <w:vAlign w:val="top"/>
          </w:tcPr>
          <w:p w14:paraId="60BC388C">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1"/>
                <w:highlight w:val="none"/>
                <w:lang w:val="en-US" w:eastAsia="zh-CN"/>
              </w:rPr>
            </w:pPr>
            <w:r>
              <w:rPr>
                <w:rFonts w:hint="eastAsia" w:ascii="宋体" w:hAnsi="宋体" w:eastAsia="宋体" w:cs="宋体"/>
                <w:color w:val="auto"/>
                <w:spacing w:val="0"/>
                <w:w w:val="100"/>
                <w:position w:val="0"/>
                <w:sz w:val="21"/>
                <w:highlight w:val="none"/>
                <w:lang w:val="en-US" w:eastAsia="zh-CN"/>
              </w:rPr>
              <w:t>/</w:t>
            </w:r>
          </w:p>
        </w:tc>
        <w:tc>
          <w:tcPr>
            <w:tcW w:w="426" w:type="pct"/>
            <w:vAlign w:val="top"/>
          </w:tcPr>
          <w:p w14:paraId="5E5B7D20">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1"/>
                <w:highlight w:val="none"/>
                <w:lang w:val="en-US" w:eastAsia="zh-CN"/>
              </w:rPr>
            </w:pPr>
            <w:r>
              <w:rPr>
                <w:rFonts w:hint="eastAsia" w:ascii="宋体" w:hAnsi="宋体" w:eastAsia="宋体" w:cs="宋体"/>
                <w:color w:val="auto"/>
                <w:spacing w:val="0"/>
                <w:w w:val="100"/>
                <w:position w:val="0"/>
                <w:sz w:val="21"/>
                <w:highlight w:val="none"/>
                <w:lang w:val="en-US" w:eastAsia="zh-CN"/>
              </w:rPr>
              <w:t>/</w:t>
            </w:r>
          </w:p>
        </w:tc>
        <w:tc>
          <w:tcPr>
            <w:tcW w:w="663" w:type="pct"/>
            <w:vAlign w:val="top"/>
          </w:tcPr>
          <w:p w14:paraId="205A4016">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1"/>
                <w:highlight w:val="none"/>
                <w:lang w:val="en-US" w:eastAsia="zh-CN"/>
              </w:rPr>
            </w:pPr>
            <w:r>
              <w:rPr>
                <w:rFonts w:hint="eastAsia" w:ascii="宋体" w:hAnsi="宋体" w:eastAsia="宋体" w:cs="宋体"/>
                <w:color w:val="auto"/>
                <w:spacing w:val="0"/>
                <w:w w:val="100"/>
                <w:position w:val="0"/>
                <w:sz w:val="21"/>
                <w:highlight w:val="none"/>
                <w:lang w:val="en-US" w:eastAsia="zh-CN"/>
              </w:rPr>
              <w:t>/</w:t>
            </w:r>
          </w:p>
        </w:tc>
        <w:tc>
          <w:tcPr>
            <w:tcW w:w="426" w:type="pct"/>
            <w:vAlign w:val="top"/>
          </w:tcPr>
          <w:p w14:paraId="51E37138">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1"/>
                <w:highlight w:val="none"/>
                <w:lang w:val="en-US" w:eastAsia="zh-CN"/>
              </w:rPr>
            </w:pPr>
            <w:r>
              <w:rPr>
                <w:rFonts w:hint="eastAsia" w:ascii="宋体" w:hAnsi="宋体" w:eastAsia="宋体" w:cs="宋体"/>
                <w:color w:val="auto"/>
                <w:spacing w:val="0"/>
                <w:w w:val="100"/>
                <w:position w:val="0"/>
                <w:sz w:val="21"/>
                <w:highlight w:val="none"/>
                <w:lang w:val="en-US" w:eastAsia="zh-CN"/>
              </w:rPr>
              <w:t>/</w:t>
            </w:r>
          </w:p>
        </w:tc>
        <w:tc>
          <w:tcPr>
            <w:tcW w:w="318" w:type="pct"/>
            <w:vAlign w:val="top"/>
          </w:tcPr>
          <w:p w14:paraId="5E528350">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1"/>
                <w:highlight w:val="none"/>
                <w:lang w:val="en-US" w:eastAsia="zh-CN"/>
              </w:rPr>
            </w:pPr>
            <w:r>
              <w:rPr>
                <w:rFonts w:hint="eastAsia" w:ascii="宋体" w:hAnsi="宋体" w:eastAsia="宋体" w:cs="宋体"/>
                <w:color w:val="auto"/>
                <w:spacing w:val="0"/>
                <w:w w:val="100"/>
                <w:position w:val="0"/>
                <w:sz w:val="21"/>
                <w:highlight w:val="none"/>
                <w:lang w:val="en-US" w:eastAsia="zh-CN"/>
              </w:rPr>
              <w:t>/</w:t>
            </w:r>
          </w:p>
        </w:tc>
        <w:tc>
          <w:tcPr>
            <w:tcW w:w="426" w:type="pct"/>
            <w:vAlign w:val="top"/>
          </w:tcPr>
          <w:p w14:paraId="4A49CB18">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1"/>
                <w:highlight w:val="none"/>
                <w:lang w:val="en-US" w:eastAsia="zh-CN"/>
              </w:rPr>
            </w:pPr>
            <w:r>
              <w:rPr>
                <w:rFonts w:hint="eastAsia" w:ascii="宋体" w:hAnsi="宋体" w:eastAsia="宋体" w:cs="宋体"/>
                <w:color w:val="auto"/>
                <w:spacing w:val="0"/>
                <w:w w:val="100"/>
                <w:position w:val="0"/>
                <w:sz w:val="21"/>
                <w:highlight w:val="none"/>
                <w:lang w:val="en-US" w:eastAsia="zh-CN"/>
              </w:rPr>
              <w:t>/</w:t>
            </w:r>
          </w:p>
        </w:tc>
        <w:tc>
          <w:tcPr>
            <w:tcW w:w="537" w:type="pct"/>
            <w:vAlign w:val="top"/>
          </w:tcPr>
          <w:p w14:paraId="0287E40E">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1"/>
                <w:highlight w:val="none"/>
                <w:lang w:val="en-US" w:eastAsia="zh-CN"/>
              </w:rPr>
            </w:pPr>
            <w:r>
              <w:rPr>
                <w:rFonts w:hint="eastAsia" w:ascii="宋体" w:hAnsi="宋体" w:eastAsia="宋体" w:cs="宋体"/>
                <w:color w:val="auto"/>
                <w:spacing w:val="0"/>
                <w:w w:val="100"/>
                <w:position w:val="0"/>
                <w:sz w:val="21"/>
                <w:highlight w:val="none"/>
                <w:lang w:val="en-US" w:eastAsia="zh-CN"/>
              </w:rPr>
              <w:t>/</w:t>
            </w:r>
          </w:p>
        </w:tc>
        <w:tc>
          <w:tcPr>
            <w:tcW w:w="802" w:type="pct"/>
            <w:vAlign w:val="top"/>
          </w:tcPr>
          <w:p w14:paraId="6246D388">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1"/>
                <w:highlight w:val="none"/>
                <w:lang w:val="en-US" w:eastAsia="zh-CN"/>
              </w:rPr>
            </w:pPr>
            <w:r>
              <w:rPr>
                <w:rFonts w:hint="eastAsia" w:ascii="宋体" w:hAnsi="宋体" w:eastAsia="宋体" w:cs="宋体"/>
                <w:color w:val="auto"/>
                <w:spacing w:val="0"/>
                <w:w w:val="100"/>
                <w:position w:val="0"/>
                <w:sz w:val="21"/>
                <w:highlight w:val="none"/>
                <w:lang w:val="en-US" w:eastAsia="zh-CN"/>
              </w:rPr>
              <w:t>/</w:t>
            </w:r>
          </w:p>
        </w:tc>
        <w:tc>
          <w:tcPr>
            <w:tcW w:w="426" w:type="pct"/>
            <w:vAlign w:val="top"/>
          </w:tcPr>
          <w:p w14:paraId="0660F243">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1"/>
                <w:highlight w:val="none"/>
                <w:lang w:val="en-US" w:eastAsia="zh-CN"/>
              </w:rPr>
            </w:pPr>
            <w:r>
              <w:rPr>
                <w:rFonts w:hint="eastAsia" w:ascii="宋体" w:hAnsi="宋体" w:eastAsia="宋体" w:cs="宋体"/>
                <w:color w:val="auto"/>
                <w:spacing w:val="0"/>
                <w:w w:val="100"/>
                <w:position w:val="0"/>
                <w:sz w:val="21"/>
                <w:highlight w:val="none"/>
                <w:lang w:val="en-US" w:eastAsia="zh-CN"/>
              </w:rPr>
              <w:t>/</w:t>
            </w:r>
          </w:p>
        </w:tc>
        <w:tc>
          <w:tcPr>
            <w:tcW w:w="430" w:type="pct"/>
            <w:vAlign w:val="top"/>
          </w:tcPr>
          <w:p w14:paraId="51DCBBC0">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0"/>
                <w:w w:val="100"/>
                <w:position w:val="0"/>
                <w:sz w:val="21"/>
                <w:highlight w:val="none"/>
                <w:lang w:val="en-US" w:eastAsia="zh-CN"/>
              </w:rPr>
            </w:pPr>
            <w:r>
              <w:rPr>
                <w:rFonts w:hint="eastAsia" w:ascii="宋体" w:hAnsi="宋体" w:eastAsia="宋体" w:cs="宋体"/>
                <w:color w:val="auto"/>
                <w:spacing w:val="0"/>
                <w:w w:val="100"/>
                <w:position w:val="0"/>
                <w:sz w:val="21"/>
                <w:highlight w:val="none"/>
                <w:lang w:val="en-US" w:eastAsia="zh-CN"/>
              </w:rPr>
              <w:t>/</w:t>
            </w:r>
          </w:p>
        </w:tc>
      </w:tr>
      <w:tr w14:paraId="29E194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jc w:val="center"/>
        </w:trPr>
        <w:tc>
          <w:tcPr>
            <w:tcW w:w="540" w:type="pct"/>
            <w:vAlign w:val="top"/>
          </w:tcPr>
          <w:p w14:paraId="5AD32193">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72761B43">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663" w:type="pct"/>
            <w:vAlign w:val="top"/>
          </w:tcPr>
          <w:p w14:paraId="06A70A22">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1A3A38C7">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318" w:type="pct"/>
            <w:vAlign w:val="top"/>
          </w:tcPr>
          <w:p w14:paraId="752641BF">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4DE9BDCF">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537" w:type="pct"/>
            <w:vAlign w:val="top"/>
          </w:tcPr>
          <w:p w14:paraId="4D7EA82B">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802" w:type="pct"/>
            <w:vAlign w:val="top"/>
          </w:tcPr>
          <w:p w14:paraId="4FC6F3FB">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4FDACCAD">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30" w:type="pct"/>
            <w:vAlign w:val="top"/>
          </w:tcPr>
          <w:p w14:paraId="6C760AE2">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r>
      <w:tr w14:paraId="78472B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540" w:type="pct"/>
            <w:vAlign w:val="top"/>
          </w:tcPr>
          <w:p w14:paraId="1853EA6C">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08CACBC5">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663" w:type="pct"/>
            <w:vAlign w:val="top"/>
          </w:tcPr>
          <w:p w14:paraId="54A754E5">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414F3435">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318" w:type="pct"/>
            <w:vAlign w:val="top"/>
          </w:tcPr>
          <w:p w14:paraId="35E54068">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06AF0F46">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537" w:type="pct"/>
            <w:vAlign w:val="top"/>
          </w:tcPr>
          <w:p w14:paraId="72216EA0">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802" w:type="pct"/>
            <w:vAlign w:val="top"/>
          </w:tcPr>
          <w:p w14:paraId="1E645D4B">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3F9F2746">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30" w:type="pct"/>
            <w:vAlign w:val="top"/>
          </w:tcPr>
          <w:p w14:paraId="6FD9A637">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r>
      <w:tr w14:paraId="2224B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jc w:val="center"/>
        </w:trPr>
        <w:tc>
          <w:tcPr>
            <w:tcW w:w="540" w:type="pct"/>
            <w:vAlign w:val="top"/>
          </w:tcPr>
          <w:p w14:paraId="130D19D0">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278D7A4B">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663" w:type="pct"/>
            <w:vAlign w:val="top"/>
          </w:tcPr>
          <w:p w14:paraId="23E38B50">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05DA634A">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318" w:type="pct"/>
            <w:vAlign w:val="top"/>
          </w:tcPr>
          <w:p w14:paraId="750043B0">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5CF3547A">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537" w:type="pct"/>
            <w:vAlign w:val="top"/>
          </w:tcPr>
          <w:p w14:paraId="7300A00A">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802" w:type="pct"/>
            <w:vAlign w:val="top"/>
          </w:tcPr>
          <w:p w14:paraId="3FF15CC8">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664AAA5E">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30" w:type="pct"/>
            <w:vAlign w:val="top"/>
          </w:tcPr>
          <w:p w14:paraId="1A960551">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r>
      <w:tr w14:paraId="41FA1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540" w:type="pct"/>
            <w:vAlign w:val="top"/>
          </w:tcPr>
          <w:p w14:paraId="16B18299">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7F74833F">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663" w:type="pct"/>
            <w:vAlign w:val="top"/>
          </w:tcPr>
          <w:p w14:paraId="49B59559">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6645FBAE">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318" w:type="pct"/>
            <w:vAlign w:val="top"/>
          </w:tcPr>
          <w:p w14:paraId="7E4858C9">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6A8DAD3D">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537" w:type="pct"/>
            <w:vAlign w:val="top"/>
          </w:tcPr>
          <w:p w14:paraId="517362E7">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802" w:type="pct"/>
            <w:vAlign w:val="top"/>
          </w:tcPr>
          <w:p w14:paraId="24131B25">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6A4C9243">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30" w:type="pct"/>
            <w:vAlign w:val="top"/>
          </w:tcPr>
          <w:p w14:paraId="0C9AAEB6">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r>
      <w:tr w14:paraId="2A4014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jc w:val="center"/>
        </w:trPr>
        <w:tc>
          <w:tcPr>
            <w:tcW w:w="540" w:type="pct"/>
            <w:vAlign w:val="top"/>
          </w:tcPr>
          <w:p w14:paraId="4EC1DE83">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4021C4CF">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663" w:type="pct"/>
            <w:vAlign w:val="top"/>
          </w:tcPr>
          <w:p w14:paraId="4CF109B7">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18432B52">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318" w:type="pct"/>
            <w:vAlign w:val="top"/>
          </w:tcPr>
          <w:p w14:paraId="6D2FF033">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052EC87A">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537" w:type="pct"/>
            <w:vAlign w:val="top"/>
          </w:tcPr>
          <w:p w14:paraId="455B100A">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802" w:type="pct"/>
            <w:vAlign w:val="top"/>
          </w:tcPr>
          <w:p w14:paraId="6978D6BE">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68FEE11F">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30" w:type="pct"/>
            <w:vAlign w:val="top"/>
          </w:tcPr>
          <w:p w14:paraId="11985AF8">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r>
      <w:tr w14:paraId="2E8D36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jc w:val="center"/>
        </w:trPr>
        <w:tc>
          <w:tcPr>
            <w:tcW w:w="540" w:type="pct"/>
            <w:vAlign w:val="top"/>
          </w:tcPr>
          <w:p w14:paraId="15879D21">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2758EA9B">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663" w:type="pct"/>
            <w:vAlign w:val="top"/>
          </w:tcPr>
          <w:p w14:paraId="3B6EFAD4">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2305B3E3">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318" w:type="pct"/>
            <w:vAlign w:val="top"/>
          </w:tcPr>
          <w:p w14:paraId="5B97A7E0">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519FDE6A">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537" w:type="pct"/>
            <w:vAlign w:val="top"/>
          </w:tcPr>
          <w:p w14:paraId="1DE575D5">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802" w:type="pct"/>
            <w:vAlign w:val="top"/>
          </w:tcPr>
          <w:p w14:paraId="27ABB878">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3D73C13D">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30" w:type="pct"/>
            <w:vAlign w:val="top"/>
          </w:tcPr>
          <w:p w14:paraId="0883352D">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r>
      <w:tr w14:paraId="316A59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540" w:type="pct"/>
            <w:vAlign w:val="top"/>
          </w:tcPr>
          <w:p w14:paraId="26BDD1B8">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274BD8AF">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663" w:type="pct"/>
            <w:vAlign w:val="top"/>
          </w:tcPr>
          <w:p w14:paraId="644C883A">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66FBF1F6">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318" w:type="pct"/>
            <w:vAlign w:val="top"/>
          </w:tcPr>
          <w:p w14:paraId="094D1FA3">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0B40EEDA">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537" w:type="pct"/>
            <w:vAlign w:val="top"/>
          </w:tcPr>
          <w:p w14:paraId="7D340C7A">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802" w:type="pct"/>
            <w:vAlign w:val="top"/>
          </w:tcPr>
          <w:p w14:paraId="4CF7C03D">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0995709E">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30" w:type="pct"/>
            <w:vAlign w:val="top"/>
          </w:tcPr>
          <w:p w14:paraId="6F76E453">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r>
      <w:tr w14:paraId="266F9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jc w:val="center"/>
        </w:trPr>
        <w:tc>
          <w:tcPr>
            <w:tcW w:w="540" w:type="pct"/>
            <w:vAlign w:val="top"/>
          </w:tcPr>
          <w:p w14:paraId="206994ED">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420B7C28">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663" w:type="pct"/>
            <w:vAlign w:val="top"/>
          </w:tcPr>
          <w:p w14:paraId="00168A54">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44736A81">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318" w:type="pct"/>
            <w:vAlign w:val="top"/>
          </w:tcPr>
          <w:p w14:paraId="696A3234">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0DA531EC">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537" w:type="pct"/>
            <w:vAlign w:val="top"/>
          </w:tcPr>
          <w:p w14:paraId="6A2450EE">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802" w:type="pct"/>
            <w:vAlign w:val="top"/>
          </w:tcPr>
          <w:p w14:paraId="7AC8B85E">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vAlign w:val="top"/>
          </w:tcPr>
          <w:p w14:paraId="188D1F17">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30" w:type="pct"/>
            <w:vAlign w:val="top"/>
          </w:tcPr>
          <w:p w14:paraId="55FBAF92">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r>
      <w:tr w14:paraId="5BADB6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jc w:val="center"/>
        </w:trPr>
        <w:tc>
          <w:tcPr>
            <w:tcW w:w="540" w:type="pct"/>
            <w:tcBorders>
              <w:bottom w:val="single" w:color="000000" w:sz="4" w:space="0"/>
            </w:tcBorders>
            <w:vAlign w:val="top"/>
          </w:tcPr>
          <w:p w14:paraId="088928A1">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tcBorders>
              <w:bottom w:val="single" w:color="000000" w:sz="4" w:space="0"/>
            </w:tcBorders>
            <w:vAlign w:val="top"/>
          </w:tcPr>
          <w:p w14:paraId="467C5AF5">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663" w:type="pct"/>
            <w:tcBorders>
              <w:bottom w:val="single" w:color="000000" w:sz="4" w:space="0"/>
            </w:tcBorders>
            <w:vAlign w:val="top"/>
          </w:tcPr>
          <w:p w14:paraId="01CD1A2B">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tcBorders>
              <w:bottom w:val="single" w:color="000000" w:sz="4" w:space="0"/>
            </w:tcBorders>
            <w:vAlign w:val="top"/>
          </w:tcPr>
          <w:p w14:paraId="336881B9">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318" w:type="pct"/>
            <w:tcBorders>
              <w:bottom w:val="single" w:color="000000" w:sz="4" w:space="0"/>
            </w:tcBorders>
            <w:vAlign w:val="top"/>
          </w:tcPr>
          <w:p w14:paraId="392EDFC3">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tcBorders>
              <w:bottom w:val="single" w:color="000000" w:sz="4" w:space="0"/>
            </w:tcBorders>
            <w:vAlign w:val="top"/>
          </w:tcPr>
          <w:p w14:paraId="6D7850D1">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537" w:type="pct"/>
            <w:tcBorders>
              <w:bottom w:val="single" w:color="000000" w:sz="4" w:space="0"/>
            </w:tcBorders>
            <w:vAlign w:val="top"/>
          </w:tcPr>
          <w:p w14:paraId="1BB3F9B3">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802" w:type="pct"/>
            <w:tcBorders>
              <w:bottom w:val="single" w:color="000000" w:sz="4" w:space="0"/>
            </w:tcBorders>
            <w:vAlign w:val="top"/>
          </w:tcPr>
          <w:p w14:paraId="78BBF182">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26" w:type="pct"/>
            <w:tcBorders>
              <w:bottom w:val="single" w:color="000000" w:sz="4" w:space="0"/>
            </w:tcBorders>
            <w:vAlign w:val="top"/>
          </w:tcPr>
          <w:p w14:paraId="3532DB19">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c>
          <w:tcPr>
            <w:tcW w:w="430" w:type="pct"/>
            <w:tcBorders>
              <w:bottom w:val="single" w:color="000000" w:sz="4" w:space="0"/>
            </w:tcBorders>
            <w:vAlign w:val="top"/>
          </w:tcPr>
          <w:p w14:paraId="5115F495">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tc>
      </w:tr>
    </w:tbl>
    <w:p w14:paraId="1EB9B489">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p w14:paraId="5FCCA34B">
      <w:pPr>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textAlignment w:val="baseline"/>
        <w:rPr>
          <w:rFonts w:hint="eastAsia" w:ascii="宋体" w:hAnsi="宋体" w:eastAsia="宋体" w:cs="宋体"/>
          <w:color w:val="auto"/>
          <w:spacing w:val="0"/>
          <w:w w:val="100"/>
          <w:position w:val="0"/>
          <w:sz w:val="21"/>
          <w:highlight w:val="none"/>
        </w:rPr>
      </w:pPr>
    </w:p>
    <w:p w14:paraId="3250BF75">
      <w:pPr>
        <w:pStyle w:val="4"/>
        <w:bidi w:val="0"/>
        <w:rPr>
          <w:rFonts w:hint="eastAsia" w:ascii="宋体" w:hAnsi="宋体" w:eastAsia="宋体" w:cs="宋体"/>
          <w:color w:val="auto"/>
          <w:highlight w:val="none"/>
        </w:rPr>
      </w:pPr>
      <w:bookmarkStart w:id="126" w:name="_Toc4309"/>
      <w:r>
        <w:rPr>
          <w:rFonts w:hint="eastAsia" w:ascii="宋体" w:hAnsi="宋体" w:eastAsia="宋体" w:cs="宋体"/>
          <w:color w:val="auto"/>
          <w:highlight w:val="none"/>
        </w:rPr>
        <w:t>附件2：工程质量保修书（房屋建筑工程）</w:t>
      </w:r>
      <w:bookmarkEnd w:id="126"/>
    </w:p>
    <w:p w14:paraId="6233F0F3">
      <w:pPr>
        <w:pStyle w:val="24"/>
        <w:pageBreakBefore w:val="0"/>
        <w:widowControl w:val="0"/>
        <w:wordWrap/>
        <w:overflowPunct/>
        <w:topLinePunct w:val="0"/>
        <w:bidi w:val="0"/>
        <w:spacing w:line="360" w:lineRule="auto"/>
        <w:ind w:left="0" w:leftChars="0" w:right="0" w:rightChars="0"/>
        <w:rPr>
          <w:rFonts w:hint="eastAsia" w:ascii="宋体" w:hAnsi="宋体" w:eastAsia="宋体" w:cs="宋体"/>
          <w:color w:val="auto"/>
          <w:kern w:val="0"/>
          <w:sz w:val="30"/>
          <w:szCs w:val="20"/>
          <w:highlight w:val="none"/>
        </w:rPr>
      </w:pPr>
    </w:p>
    <w:p w14:paraId="55786F03">
      <w:pPr>
        <w:pageBreakBefore w:val="0"/>
        <w:widowControl w:val="0"/>
        <w:wordWrap/>
        <w:overflowPunct/>
        <w:topLinePunct w:val="0"/>
        <w:bidi w:val="0"/>
        <w:spacing w:line="360" w:lineRule="auto"/>
        <w:ind w:left="0" w:leftChars="0" w:right="0" w:rightChars="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工程质量保修书（房屋建筑工程）</w:t>
      </w:r>
    </w:p>
    <w:p w14:paraId="17AAFD41">
      <w:pPr>
        <w:pageBreakBefore w:val="0"/>
        <w:widowControl w:val="0"/>
        <w:wordWrap/>
        <w:overflowPunct/>
        <w:topLinePunct w:val="0"/>
        <w:bidi w:val="0"/>
        <w:spacing w:line="360" w:lineRule="auto"/>
        <w:ind w:left="0" w:leftChars="0" w:right="0" w:rightChars="0" w:firstLine="44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 xml:space="preserve"> </w:t>
      </w:r>
    </w:p>
    <w:p w14:paraId="73A1BE8C">
      <w:pPr>
        <w:pageBreakBefore w:val="0"/>
        <w:widowControl w:val="0"/>
        <w:wordWrap/>
        <w:overflowPunct/>
        <w:topLinePunct w:val="0"/>
        <w:bidi w:val="0"/>
        <w:spacing w:line="360" w:lineRule="auto"/>
        <w:ind w:left="0" w:leftChars="0" w:right="0" w:rightChars="0" w:firstLine="44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14:paraId="7145543D">
      <w:pPr>
        <w:pageBreakBefore w:val="0"/>
        <w:widowControl w:val="0"/>
        <w:wordWrap/>
        <w:overflowPunct/>
        <w:topLinePunct w:val="0"/>
        <w:bidi w:val="0"/>
        <w:spacing w:line="360" w:lineRule="auto"/>
        <w:ind w:left="0" w:leftChars="0" w:right="0" w:rightChars="0" w:firstLine="44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发包人和承包人根据《中华人民共和国建筑法》和《建设工程质量管理条例》，经协商一致就</w:t>
      </w:r>
      <w:r>
        <w:rPr>
          <w:rFonts w:hint="eastAsia" w:ascii="宋体" w:hAnsi="宋体" w:eastAsia="宋体" w:cs="宋体"/>
          <w:color w:val="auto"/>
          <w:highlight w:val="none"/>
          <w:u w:val="single"/>
        </w:rPr>
        <w:t xml:space="preserve">  里当鸡现代化产业育种孵化厂项目</w:t>
      </w:r>
      <w:r>
        <w:rPr>
          <w:rFonts w:hint="eastAsia" w:ascii="宋体" w:hAnsi="宋体" w:eastAsia="宋体" w:cs="宋体"/>
          <w:color w:val="auto"/>
          <w:highlight w:val="none"/>
        </w:rPr>
        <w:t>（工程全称）签订工程质量保修书。</w:t>
      </w:r>
    </w:p>
    <w:p w14:paraId="54273711">
      <w:pPr>
        <w:pageBreakBefore w:val="0"/>
        <w:widowControl w:val="0"/>
        <w:wordWrap/>
        <w:overflowPunct/>
        <w:topLinePunct w:val="0"/>
        <w:bidi w:val="0"/>
        <w:spacing w:line="360" w:lineRule="auto"/>
        <w:ind w:left="0" w:leftChars="0" w:right="0" w:rightChars="0" w:firstLine="440" w:firstLineChars="200"/>
        <w:rPr>
          <w:rFonts w:hint="eastAsia" w:ascii="宋体" w:hAnsi="宋体" w:eastAsia="宋体" w:cs="宋体"/>
          <w:color w:val="auto"/>
          <w:highlight w:val="none"/>
        </w:rPr>
      </w:pPr>
      <w:r>
        <w:rPr>
          <w:rFonts w:hint="eastAsia" w:ascii="宋体" w:hAnsi="宋体" w:eastAsia="宋体" w:cs="宋体"/>
          <w:color w:val="auto"/>
          <w:highlight w:val="none"/>
        </w:rPr>
        <w:t>一、工程质量保修范围和内容</w:t>
      </w:r>
    </w:p>
    <w:p w14:paraId="6B90A35A">
      <w:pPr>
        <w:pageBreakBefore w:val="0"/>
        <w:widowControl w:val="0"/>
        <w:wordWrap/>
        <w:overflowPunct/>
        <w:topLinePunct w:val="0"/>
        <w:bidi w:val="0"/>
        <w:spacing w:line="360" w:lineRule="auto"/>
        <w:ind w:left="0" w:leftChars="0" w:right="0" w:rightChars="0" w:firstLine="44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承包人在质量保修期内，按照有关法律规定和合同约定，承担工程质量保修责任。</w:t>
      </w:r>
    </w:p>
    <w:p w14:paraId="29163A32">
      <w:pPr>
        <w:pageBreakBefore w:val="0"/>
        <w:widowControl w:val="0"/>
        <w:wordWrap/>
        <w:overflowPunct/>
        <w:topLinePunct w:val="0"/>
        <w:bidi w:val="0"/>
        <w:spacing w:line="360" w:lineRule="auto"/>
        <w:ind w:left="0" w:leftChars="0" w:right="0" w:rightChars="0" w:firstLine="420"/>
        <w:rPr>
          <w:rFonts w:hint="eastAsia" w:ascii="宋体" w:hAnsi="宋体" w:eastAsia="宋体" w:cs="宋体"/>
          <w:color w:val="auto"/>
          <w:highlight w:val="none"/>
        </w:rPr>
      </w:pPr>
      <w:r>
        <w:rPr>
          <w:rFonts w:hint="eastAsia" w:ascii="宋体" w:hAnsi="宋体" w:eastAsia="宋体" w:cs="宋体"/>
          <w:color w:val="auto"/>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09C382C5">
      <w:pPr>
        <w:pageBreakBefore w:val="0"/>
        <w:widowControl w:val="0"/>
        <w:wordWrap/>
        <w:overflowPunct/>
        <w:topLinePunct w:val="0"/>
        <w:bidi w:val="0"/>
        <w:spacing w:line="360" w:lineRule="auto"/>
        <w:ind w:left="0" w:leftChars="0" w:right="0" w:rightChars="0" w:firstLine="420"/>
        <w:rPr>
          <w:rFonts w:hint="eastAsia" w:ascii="宋体" w:hAnsi="宋体" w:eastAsia="宋体" w:cs="宋体"/>
          <w:color w:val="auto"/>
          <w:highlight w:val="none"/>
        </w:rPr>
      </w:pPr>
      <w:r>
        <w:rPr>
          <w:rFonts w:hint="eastAsia" w:ascii="宋体" w:hAnsi="宋体" w:eastAsia="宋体" w:cs="宋体"/>
          <w:color w:val="auto"/>
          <w:highlight w:val="none"/>
        </w:rPr>
        <w:t>二、质量保修期</w:t>
      </w:r>
    </w:p>
    <w:p w14:paraId="15F709AB">
      <w:pPr>
        <w:pageBreakBefore w:val="0"/>
        <w:widowControl w:val="0"/>
        <w:wordWrap/>
        <w:overflowPunct/>
        <w:topLinePunct w:val="0"/>
        <w:bidi w:val="0"/>
        <w:spacing w:line="360" w:lineRule="auto"/>
        <w:ind w:left="0" w:leftChars="0" w:right="0" w:rightChars="0" w:firstLine="420"/>
        <w:rPr>
          <w:rFonts w:hint="eastAsia" w:ascii="宋体" w:hAnsi="宋体" w:eastAsia="宋体" w:cs="宋体"/>
          <w:color w:val="auto"/>
          <w:highlight w:val="none"/>
        </w:rPr>
      </w:pPr>
      <w:r>
        <w:rPr>
          <w:rFonts w:hint="eastAsia" w:ascii="宋体" w:hAnsi="宋体" w:eastAsia="宋体" w:cs="宋体"/>
          <w:color w:val="auto"/>
          <w:highlight w:val="none"/>
        </w:rPr>
        <w:t>根据《建设工程质量管理条例》及有关规定，工程的质量保修期如下：</w:t>
      </w:r>
    </w:p>
    <w:p w14:paraId="1301FC0D">
      <w:pPr>
        <w:pageBreakBefore w:val="0"/>
        <w:widowControl w:val="0"/>
        <w:wordWrap/>
        <w:overflowPunct/>
        <w:topLinePunct w:val="0"/>
        <w:bidi w:val="0"/>
        <w:spacing w:line="360" w:lineRule="auto"/>
        <w:ind w:left="0" w:leftChars="0" w:right="0" w:rightChars="0" w:firstLine="420"/>
        <w:rPr>
          <w:rFonts w:hint="eastAsia" w:ascii="宋体" w:hAnsi="宋体" w:eastAsia="宋体" w:cs="宋体"/>
          <w:color w:val="auto"/>
          <w:highlight w:val="none"/>
        </w:rPr>
      </w:pPr>
      <w:r>
        <w:rPr>
          <w:rFonts w:hint="eastAsia" w:ascii="宋体" w:hAnsi="宋体" w:eastAsia="宋体" w:cs="宋体"/>
          <w:color w:val="auto"/>
          <w:highlight w:val="none"/>
        </w:rPr>
        <w:t>1．地基基础工程和主体结构工程为设计文件规定的工程合理使用年限；</w:t>
      </w:r>
    </w:p>
    <w:p w14:paraId="633988AF">
      <w:pPr>
        <w:pageBreakBefore w:val="0"/>
        <w:widowControl w:val="0"/>
        <w:wordWrap/>
        <w:overflowPunct/>
        <w:topLinePunct w:val="0"/>
        <w:bidi w:val="0"/>
        <w:spacing w:line="360" w:lineRule="auto"/>
        <w:ind w:left="0" w:leftChars="0" w:right="0" w:rightChars="0" w:firstLine="420"/>
        <w:rPr>
          <w:rFonts w:hint="eastAsia" w:ascii="宋体" w:hAnsi="宋体" w:eastAsia="宋体" w:cs="宋体"/>
          <w:color w:val="auto"/>
          <w:highlight w:val="none"/>
        </w:rPr>
      </w:pPr>
      <w:r>
        <w:rPr>
          <w:rFonts w:hint="eastAsia" w:ascii="宋体" w:hAnsi="宋体" w:eastAsia="宋体" w:cs="宋体"/>
          <w:color w:val="auto"/>
          <w:highlight w:val="none"/>
        </w:rPr>
        <w:t>2．屋面防水工程、有防水要求的卫生间、房间和外墙面的防渗为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5</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p>
    <w:p w14:paraId="50C79072">
      <w:pPr>
        <w:pageBreakBefore w:val="0"/>
        <w:widowControl w:val="0"/>
        <w:wordWrap/>
        <w:overflowPunct/>
        <w:topLinePunct w:val="0"/>
        <w:bidi w:val="0"/>
        <w:spacing w:line="360" w:lineRule="auto"/>
        <w:ind w:left="0" w:leftChars="0" w:right="0" w:rightChars="0" w:firstLine="420"/>
        <w:rPr>
          <w:rFonts w:hint="eastAsia" w:ascii="宋体" w:hAnsi="宋体" w:eastAsia="宋体" w:cs="宋体"/>
          <w:color w:val="auto"/>
          <w:highlight w:val="none"/>
        </w:rPr>
      </w:pPr>
      <w:r>
        <w:rPr>
          <w:rFonts w:hint="eastAsia" w:ascii="宋体" w:hAnsi="宋体" w:eastAsia="宋体" w:cs="宋体"/>
          <w:color w:val="auto"/>
          <w:highlight w:val="none"/>
        </w:rPr>
        <w:t>3．装修工程为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p>
    <w:p w14:paraId="6C0555CA">
      <w:pPr>
        <w:pageBreakBefore w:val="0"/>
        <w:widowControl w:val="0"/>
        <w:wordWrap/>
        <w:overflowPunct/>
        <w:topLinePunct w:val="0"/>
        <w:bidi w:val="0"/>
        <w:spacing w:line="360" w:lineRule="auto"/>
        <w:ind w:left="0" w:leftChars="0" w:right="0" w:rightChars="0" w:firstLine="420"/>
        <w:rPr>
          <w:rFonts w:hint="eastAsia" w:ascii="宋体" w:hAnsi="宋体" w:eastAsia="宋体" w:cs="宋体"/>
          <w:color w:val="auto"/>
          <w:highlight w:val="none"/>
        </w:rPr>
      </w:pPr>
      <w:r>
        <w:rPr>
          <w:rFonts w:hint="eastAsia" w:ascii="宋体" w:hAnsi="宋体" w:eastAsia="宋体" w:cs="宋体"/>
          <w:color w:val="auto"/>
          <w:highlight w:val="none"/>
        </w:rPr>
        <w:t>4．电气管线、给排水管道、设备安装工程为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p>
    <w:p w14:paraId="526FAAC3">
      <w:pPr>
        <w:pageBreakBefore w:val="0"/>
        <w:widowControl w:val="0"/>
        <w:wordWrap/>
        <w:overflowPunct/>
        <w:topLinePunct w:val="0"/>
        <w:bidi w:val="0"/>
        <w:spacing w:line="360" w:lineRule="auto"/>
        <w:ind w:left="0" w:leftChars="0" w:right="0" w:rightChars="0" w:firstLine="420"/>
        <w:rPr>
          <w:rFonts w:hint="eastAsia" w:ascii="宋体" w:hAnsi="宋体" w:eastAsia="宋体" w:cs="宋体"/>
          <w:color w:val="auto"/>
          <w:highlight w:val="none"/>
        </w:rPr>
      </w:pPr>
      <w:r>
        <w:rPr>
          <w:rFonts w:hint="eastAsia" w:ascii="宋体" w:hAnsi="宋体" w:eastAsia="宋体" w:cs="宋体"/>
          <w:color w:val="auto"/>
          <w:highlight w:val="none"/>
        </w:rPr>
        <w:t>5．供热与供冷系统为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个采暖期、供冷期；</w:t>
      </w:r>
    </w:p>
    <w:p w14:paraId="4BD4174E">
      <w:pPr>
        <w:pageBreakBefore w:val="0"/>
        <w:widowControl w:val="0"/>
        <w:wordWrap/>
        <w:overflowPunct/>
        <w:topLinePunct w:val="0"/>
        <w:bidi w:val="0"/>
        <w:spacing w:line="360" w:lineRule="auto"/>
        <w:ind w:left="0" w:leftChars="0" w:right="0" w:rightChars="0" w:firstLine="420"/>
        <w:rPr>
          <w:rFonts w:hint="eastAsia" w:ascii="宋体" w:hAnsi="宋体" w:eastAsia="宋体" w:cs="宋体"/>
          <w:color w:val="auto"/>
          <w:highlight w:val="none"/>
        </w:rPr>
      </w:pPr>
      <w:r>
        <w:rPr>
          <w:rFonts w:hint="eastAsia" w:ascii="宋体" w:hAnsi="宋体" w:eastAsia="宋体" w:cs="宋体"/>
          <w:color w:val="auto"/>
          <w:highlight w:val="none"/>
        </w:rPr>
        <w:t>6．住宅小区内的给排水设施、道路等配套工程为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p>
    <w:p w14:paraId="3682B625">
      <w:pPr>
        <w:pageBreakBefore w:val="0"/>
        <w:widowControl w:val="0"/>
        <w:wordWrap/>
        <w:overflowPunct/>
        <w:topLinePunct w:val="0"/>
        <w:bidi w:val="0"/>
        <w:spacing w:line="360" w:lineRule="auto"/>
        <w:ind w:left="0" w:leftChars="0" w:right="0" w:rightChars="0" w:firstLine="420"/>
        <w:rPr>
          <w:rFonts w:hint="eastAsia" w:ascii="宋体" w:hAnsi="宋体" w:eastAsia="宋体" w:cs="宋体"/>
          <w:color w:val="auto"/>
          <w:highlight w:val="none"/>
        </w:rPr>
      </w:pPr>
      <w:r>
        <w:rPr>
          <w:rFonts w:hint="eastAsia" w:ascii="宋体" w:hAnsi="宋体" w:eastAsia="宋体" w:cs="宋体"/>
          <w:color w:val="auto"/>
          <w:highlight w:val="none"/>
        </w:rPr>
        <w:t>7．其他项目保修期限约定如下：</w:t>
      </w:r>
    </w:p>
    <w:p w14:paraId="0FE3B1B7">
      <w:pPr>
        <w:pageBreakBefore w:val="0"/>
        <w:widowControl w:val="0"/>
        <w:wordWrap/>
        <w:overflowPunct/>
        <w:topLinePunct w:val="0"/>
        <w:bidi w:val="0"/>
        <w:spacing w:line="360" w:lineRule="auto"/>
        <w:ind w:left="0" w:leftChars="0" w:right="0" w:rightChars="0" w:firstLine="420"/>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71991B7A">
      <w:pPr>
        <w:pageBreakBefore w:val="0"/>
        <w:widowControl w:val="0"/>
        <w:wordWrap/>
        <w:overflowPunct/>
        <w:topLinePunct w:val="0"/>
        <w:bidi w:val="0"/>
        <w:spacing w:line="360" w:lineRule="auto"/>
        <w:ind w:left="0" w:leftChars="0" w:right="0" w:rightChars="0" w:firstLine="420"/>
        <w:rPr>
          <w:rFonts w:hint="eastAsia" w:ascii="宋体" w:hAnsi="宋体" w:eastAsia="宋体" w:cs="宋体"/>
          <w:color w:val="auto"/>
          <w:highlight w:val="none"/>
        </w:rPr>
      </w:pPr>
      <w:r>
        <w:rPr>
          <w:rFonts w:hint="eastAsia" w:ascii="宋体" w:hAnsi="宋体" w:eastAsia="宋体" w:cs="宋体"/>
          <w:color w:val="auto"/>
          <w:highlight w:val="none"/>
        </w:rPr>
        <w:t>质量保修期自工程竣工验收合格之日起计算。</w:t>
      </w:r>
    </w:p>
    <w:p w14:paraId="207709A6">
      <w:pPr>
        <w:pageBreakBefore w:val="0"/>
        <w:widowControl w:val="0"/>
        <w:wordWrap/>
        <w:overflowPunct/>
        <w:topLinePunct w:val="0"/>
        <w:bidi w:val="0"/>
        <w:spacing w:line="360" w:lineRule="auto"/>
        <w:ind w:left="0" w:leftChars="0" w:right="0" w:rightChars="0" w:firstLine="420"/>
        <w:rPr>
          <w:rFonts w:hint="eastAsia" w:ascii="宋体" w:hAnsi="宋体" w:eastAsia="宋体" w:cs="宋体"/>
          <w:color w:val="auto"/>
          <w:highlight w:val="none"/>
        </w:rPr>
      </w:pPr>
      <w:r>
        <w:rPr>
          <w:rFonts w:hint="eastAsia" w:ascii="宋体" w:hAnsi="宋体" w:eastAsia="宋体" w:cs="宋体"/>
          <w:color w:val="auto"/>
          <w:highlight w:val="none"/>
        </w:rPr>
        <w:t>三、缺陷责任期</w:t>
      </w:r>
    </w:p>
    <w:p w14:paraId="7611E183">
      <w:pPr>
        <w:pageBreakBefore w:val="0"/>
        <w:widowControl w:val="0"/>
        <w:wordWrap/>
        <w:overflowPunct/>
        <w:topLinePunct w:val="0"/>
        <w:bidi w:val="0"/>
        <w:spacing w:line="360" w:lineRule="auto"/>
        <w:ind w:left="0" w:leftChars="0" w:right="0" w:rightChars="0" w:firstLine="420"/>
        <w:rPr>
          <w:rFonts w:hint="eastAsia" w:ascii="宋体" w:hAnsi="宋体" w:eastAsia="宋体" w:cs="宋体"/>
          <w:color w:val="auto"/>
          <w:highlight w:val="none"/>
        </w:rPr>
      </w:pPr>
      <w:r>
        <w:rPr>
          <w:rFonts w:hint="eastAsia" w:ascii="宋体" w:hAnsi="宋体" w:eastAsia="宋体" w:cs="宋体"/>
          <w:color w:val="auto"/>
          <w:highlight w:val="none"/>
        </w:rPr>
        <w:t>工程缺陷责任期为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24</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个月（最长不超过24个月），缺陷责任期自工程竣工验收合格之日起计算。单位工程先于全部工程进行验收，单位工程缺陷责任期自单位工程验收合格之日起算。</w:t>
      </w:r>
    </w:p>
    <w:p w14:paraId="5A17C45C">
      <w:pPr>
        <w:pageBreakBefore w:val="0"/>
        <w:widowControl w:val="0"/>
        <w:wordWrap/>
        <w:overflowPunct/>
        <w:topLinePunct w:val="0"/>
        <w:bidi w:val="0"/>
        <w:spacing w:line="360" w:lineRule="auto"/>
        <w:ind w:left="0" w:leftChars="0" w:right="0" w:rightChars="0" w:firstLine="420"/>
        <w:rPr>
          <w:rFonts w:hint="eastAsia" w:ascii="宋体" w:hAnsi="宋体" w:eastAsia="宋体" w:cs="宋体"/>
          <w:color w:val="auto"/>
          <w:highlight w:val="none"/>
        </w:rPr>
      </w:pPr>
      <w:r>
        <w:rPr>
          <w:rFonts w:hint="eastAsia" w:ascii="宋体" w:hAnsi="宋体" w:eastAsia="宋体" w:cs="宋体"/>
          <w:color w:val="auto"/>
          <w:highlight w:val="none"/>
        </w:rPr>
        <w:t>缺陷责任期</w:t>
      </w:r>
      <w:r>
        <w:rPr>
          <w:rFonts w:hint="eastAsia" w:ascii="宋体" w:hAnsi="宋体" w:eastAsia="宋体" w:cs="宋体"/>
          <w:color w:val="auto"/>
          <w:highlight w:val="none"/>
          <w:u w:val="single"/>
        </w:rPr>
        <w:t>满</w:t>
      </w:r>
      <w:r>
        <w:rPr>
          <w:rFonts w:hint="eastAsia" w:ascii="宋体" w:hAnsi="宋体" w:eastAsia="宋体" w:cs="宋体"/>
          <w:color w:val="auto"/>
          <w:highlight w:val="none"/>
        </w:rPr>
        <w:t>之日起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15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天</w:t>
      </w:r>
      <w:r>
        <w:rPr>
          <w:rFonts w:hint="eastAsia" w:ascii="宋体" w:hAnsi="宋体" w:eastAsia="宋体" w:cs="宋体"/>
          <w:color w:val="auto"/>
          <w:highlight w:val="none"/>
          <w:u w:val="single"/>
        </w:rPr>
        <w:t>（按合同约定期限），</w:t>
      </w:r>
      <w:r>
        <w:rPr>
          <w:rFonts w:hint="eastAsia" w:ascii="宋体" w:hAnsi="宋体" w:eastAsia="宋体" w:cs="宋体"/>
          <w:color w:val="auto"/>
          <w:highlight w:val="none"/>
        </w:rPr>
        <w:t>发包人应退还剩余的质量保证金。</w:t>
      </w:r>
    </w:p>
    <w:p w14:paraId="16C049F3">
      <w:pPr>
        <w:pageBreakBefore w:val="0"/>
        <w:widowControl w:val="0"/>
        <w:wordWrap/>
        <w:overflowPunct/>
        <w:topLinePunct w:val="0"/>
        <w:bidi w:val="0"/>
        <w:spacing w:line="360" w:lineRule="auto"/>
        <w:ind w:left="0" w:leftChars="0" w:right="0" w:rightChars="0" w:firstLine="420"/>
        <w:rPr>
          <w:rFonts w:hint="eastAsia" w:ascii="宋体" w:hAnsi="宋体" w:eastAsia="宋体" w:cs="宋体"/>
          <w:color w:val="auto"/>
          <w:highlight w:val="none"/>
        </w:rPr>
      </w:pPr>
      <w:r>
        <w:rPr>
          <w:rFonts w:hint="eastAsia" w:ascii="宋体" w:hAnsi="宋体" w:eastAsia="宋体" w:cs="宋体"/>
          <w:color w:val="auto"/>
          <w:highlight w:val="none"/>
        </w:rPr>
        <w:t>四、质量保修责任</w:t>
      </w:r>
    </w:p>
    <w:p w14:paraId="7F675215">
      <w:pPr>
        <w:pageBreakBefore w:val="0"/>
        <w:widowControl w:val="0"/>
        <w:wordWrap/>
        <w:overflowPunct/>
        <w:topLinePunct w:val="0"/>
        <w:bidi w:val="0"/>
        <w:spacing w:line="360" w:lineRule="auto"/>
        <w:ind w:left="0" w:leftChars="0" w:right="0" w:rightChars="0" w:firstLine="450" w:firstLineChars="205"/>
        <w:rPr>
          <w:rFonts w:hint="eastAsia" w:ascii="宋体" w:hAnsi="宋体" w:eastAsia="宋体" w:cs="宋体"/>
          <w:color w:val="auto"/>
          <w:highlight w:val="none"/>
        </w:rPr>
      </w:pPr>
      <w:r>
        <w:rPr>
          <w:rFonts w:hint="eastAsia" w:ascii="宋体" w:hAnsi="宋体" w:eastAsia="宋体" w:cs="宋体"/>
          <w:color w:val="auto"/>
          <w:highlight w:val="none"/>
        </w:rPr>
        <w:t>1．属于保修范围、内容的项目，承包人应当在接到保修通知之日起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1</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天内派人保修。承包人不在约定期限内派人保修的，发包人可以委托他人修理，修理费用从质量保证金内扣除。</w:t>
      </w:r>
    </w:p>
    <w:p w14:paraId="412C0463">
      <w:pPr>
        <w:pageBreakBefore w:val="0"/>
        <w:widowControl w:val="0"/>
        <w:wordWrap/>
        <w:overflowPunct/>
        <w:topLinePunct w:val="0"/>
        <w:bidi w:val="0"/>
        <w:spacing w:line="360" w:lineRule="auto"/>
        <w:ind w:left="0" w:leftChars="0" w:right="0" w:rightChars="0" w:firstLine="420"/>
        <w:rPr>
          <w:rFonts w:hint="eastAsia" w:ascii="宋体" w:hAnsi="宋体" w:eastAsia="宋体" w:cs="宋体"/>
          <w:color w:val="auto"/>
          <w:highlight w:val="none"/>
        </w:rPr>
      </w:pPr>
      <w:r>
        <w:rPr>
          <w:rFonts w:hint="eastAsia" w:ascii="宋体" w:hAnsi="宋体" w:eastAsia="宋体" w:cs="宋体"/>
          <w:color w:val="auto"/>
          <w:highlight w:val="none"/>
        </w:rPr>
        <w:t>2．发生紧急事故需抢修的，承包人在接到事故通知后，应当立即到达事故现场抢修。</w:t>
      </w:r>
    </w:p>
    <w:p w14:paraId="3FB96467">
      <w:pPr>
        <w:pageBreakBefore w:val="0"/>
        <w:widowControl w:val="0"/>
        <w:wordWrap/>
        <w:overflowPunct/>
        <w:topLinePunct w:val="0"/>
        <w:bidi w:val="0"/>
        <w:spacing w:line="360" w:lineRule="auto"/>
        <w:ind w:left="0" w:leftChars="0" w:right="0" w:rightChars="0" w:firstLine="420"/>
        <w:rPr>
          <w:rFonts w:hint="eastAsia" w:ascii="宋体" w:hAnsi="宋体" w:eastAsia="宋体" w:cs="宋体"/>
          <w:color w:val="auto"/>
          <w:highlight w:val="none"/>
        </w:rPr>
      </w:pPr>
      <w:r>
        <w:rPr>
          <w:rFonts w:hint="eastAsia" w:ascii="宋体" w:hAnsi="宋体" w:eastAsia="宋体" w:cs="宋体"/>
          <w:color w:val="auto"/>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1E855BE">
      <w:pPr>
        <w:pageBreakBefore w:val="0"/>
        <w:widowControl w:val="0"/>
        <w:wordWrap/>
        <w:overflowPunct/>
        <w:topLinePunct w:val="0"/>
        <w:bidi w:val="0"/>
        <w:spacing w:line="360" w:lineRule="auto"/>
        <w:ind w:left="0" w:leftChars="0" w:right="0" w:rightChars="0" w:firstLine="420"/>
        <w:rPr>
          <w:rFonts w:hint="eastAsia" w:ascii="宋体" w:hAnsi="宋体" w:eastAsia="宋体" w:cs="宋体"/>
          <w:color w:val="auto"/>
          <w:highlight w:val="none"/>
        </w:rPr>
      </w:pPr>
      <w:r>
        <w:rPr>
          <w:rFonts w:hint="eastAsia" w:ascii="宋体" w:hAnsi="宋体" w:eastAsia="宋体" w:cs="宋体"/>
          <w:color w:val="auto"/>
          <w:highlight w:val="none"/>
        </w:rPr>
        <w:t>4．质量保修完成后，由发包人组织验收。</w:t>
      </w:r>
    </w:p>
    <w:p w14:paraId="5C91813C">
      <w:pPr>
        <w:pageBreakBefore w:val="0"/>
        <w:widowControl w:val="0"/>
        <w:wordWrap/>
        <w:overflowPunct/>
        <w:topLinePunct w:val="0"/>
        <w:bidi w:val="0"/>
        <w:spacing w:line="360" w:lineRule="auto"/>
        <w:ind w:left="0" w:leftChars="0" w:right="0" w:rightChars="0" w:firstLine="420"/>
        <w:rPr>
          <w:rFonts w:hint="eastAsia" w:ascii="宋体" w:hAnsi="宋体" w:eastAsia="宋体" w:cs="宋体"/>
          <w:color w:val="auto"/>
          <w:highlight w:val="none"/>
        </w:rPr>
      </w:pPr>
      <w:r>
        <w:rPr>
          <w:rFonts w:hint="eastAsia" w:ascii="宋体" w:hAnsi="宋体" w:eastAsia="宋体" w:cs="宋体"/>
          <w:color w:val="auto"/>
          <w:highlight w:val="none"/>
        </w:rPr>
        <w:t>五、保修费用</w:t>
      </w:r>
    </w:p>
    <w:p w14:paraId="51A71399">
      <w:pPr>
        <w:pageBreakBefore w:val="0"/>
        <w:widowControl w:val="0"/>
        <w:tabs>
          <w:tab w:val="left" w:pos="7380"/>
        </w:tabs>
        <w:wordWrap/>
        <w:overflowPunct/>
        <w:topLinePunct w:val="0"/>
        <w:bidi w:val="0"/>
        <w:spacing w:line="360" w:lineRule="auto"/>
        <w:ind w:left="0" w:leftChars="0" w:right="0" w:rightChars="0" w:firstLine="420"/>
        <w:rPr>
          <w:rFonts w:hint="eastAsia" w:ascii="宋体" w:hAnsi="宋体" w:eastAsia="宋体" w:cs="宋体"/>
          <w:color w:val="auto"/>
          <w:highlight w:val="none"/>
        </w:rPr>
      </w:pPr>
      <w:r>
        <w:rPr>
          <w:rFonts w:hint="eastAsia" w:ascii="宋体" w:hAnsi="宋体" w:eastAsia="宋体" w:cs="宋体"/>
          <w:color w:val="auto"/>
          <w:highlight w:val="none"/>
        </w:rPr>
        <w:t>保修费用由造成质量缺陷的责任方承担。</w:t>
      </w:r>
    </w:p>
    <w:p w14:paraId="1952F62A">
      <w:pPr>
        <w:pageBreakBefore w:val="0"/>
        <w:widowControl w:val="0"/>
        <w:wordWrap/>
        <w:overflowPunct/>
        <w:topLinePunct w:val="0"/>
        <w:bidi w:val="0"/>
        <w:spacing w:line="360" w:lineRule="auto"/>
        <w:ind w:left="0" w:leftChars="0" w:right="0" w:rightChars="0" w:firstLine="420"/>
        <w:rPr>
          <w:rFonts w:hint="eastAsia" w:ascii="宋体" w:hAnsi="宋体" w:eastAsia="宋体" w:cs="宋体"/>
          <w:color w:val="auto"/>
          <w:highlight w:val="none"/>
        </w:rPr>
      </w:pPr>
      <w:r>
        <w:rPr>
          <w:rFonts w:hint="eastAsia" w:ascii="宋体" w:hAnsi="宋体" w:eastAsia="宋体" w:cs="宋体"/>
          <w:color w:val="auto"/>
          <w:highlight w:val="none"/>
        </w:rPr>
        <w:t xml:space="preserve">六、双方约定的其他工程质量保修事项：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FA7A5C4">
      <w:pPr>
        <w:pageBreakBefore w:val="0"/>
        <w:widowControl w:val="0"/>
        <w:wordWrap/>
        <w:overflowPunct/>
        <w:topLinePunct w:val="0"/>
        <w:bidi w:val="0"/>
        <w:spacing w:line="360" w:lineRule="auto"/>
        <w:ind w:left="0" w:leftChars="0" w:right="0" w:rightChars="0" w:firstLine="418" w:firstLineChars="190"/>
        <w:rPr>
          <w:rFonts w:hint="eastAsia" w:ascii="宋体" w:hAnsi="宋体" w:eastAsia="宋体" w:cs="宋体"/>
          <w:color w:val="auto"/>
          <w:highlight w:val="none"/>
        </w:rPr>
      </w:pPr>
      <w:r>
        <w:rPr>
          <w:rFonts w:hint="eastAsia" w:ascii="宋体" w:hAnsi="宋体" w:eastAsia="宋体" w:cs="宋体"/>
          <w:color w:val="auto"/>
          <w:highlight w:val="none"/>
        </w:rPr>
        <w:t>工程质量保修书由发包人、承包人在工程竣工验收前共同签署，作为施工合同附件，其有效期限至保修期满。</w:t>
      </w:r>
    </w:p>
    <w:p w14:paraId="092BFB1A">
      <w:pPr>
        <w:pageBreakBefore w:val="0"/>
        <w:widowControl w:val="0"/>
        <w:wordWrap/>
        <w:overflowPunct/>
        <w:topLinePunct w:val="0"/>
        <w:bidi w:val="0"/>
        <w:spacing w:line="360" w:lineRule="auto"/>
        <w:ind w:left="0" w:leftChars="0" w:right="0" w:rightChars="0" w:firstLine="418" w:firstLineChars="190"/>
        <w:rPr>
          <w:rFonts w:hint="eastAsia" w:ascii="宋体" w:hAnsi="宋体" w:eastAsia="宋体" w:cs="宋体"/>
          <w:color w:val="auto"/>
          <w:highlight w:val="none"/>
        </w:rPr>
      </w:pPr>
    </w:p>
    <w:tbl>
      <w:tblPr>
        <w:tblStyle w:val="17"/>
        <w:tblW w:w="9572" w:type="dxa"/>
        <w:tblInd w:w="1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31"/>
        <w:gridCol w:w="4841"/>
      </w:tblGrid>
      <w:tr w14:paraId="41FA0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4731" w:type="dxa"/>
            <w:tcBorders>
              <w:tl2br w:val="nil"/>
              <w:tr2bl w:val="nil"/>
            </w:tcBorders>
            <w:noWrap w:val="0"/>
            <w:vAlign w:val="center"/>
          </w:tcPr>
          <w:p w14:paraId="73E13F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发包人：</w:t>
            </w:r>
            <w:r>
              <w:rPr>
                <w:rFonts w:hint="eastAsia" w:ascii="宋体" w:hAnsi="宋体" w:eastAsia="宋体" w:cs="宋体"/>
                <w:color w:val="auto"/>
                <w:spacing w:val="0"/>
                <w:w w:val="100"/>
                <w:position w:val="0"/>
                <w:sz w:val="21"/>
                <w:szCs w:val="21"/>
                <w:highlight w:val="none"/>
                <w:u w:val="single"/>
                <w:lang w:val="en-US" w:eastAsia="zh-CN"/>
              </w:rPr>
              <w:t>马山县农业农村局</w:t>
            </w:r>
            <w:r>
              <w:rPr>
                <w:rFonts w:hint="eastAsia" w:ascii="宋体" w:hAnsi="宋体" w:eastAsia="宋体" w:cs="宋体"/>
                <w:color w:val="auto"/>
                <w:spacing w:val="0"/>
                <w:w w:val="100"/>
                <w:position w:val="0"/>
                <w:sz w:val="21"/>
                <w:szCs w:val="21"/>
                <w:highlight w:val="none"/>
                <w:u w:val="single"/>
              </w:rPr>
              <w:t xml:space="preserve">  </w:t>
            </w:r>
            <w:r>
              <w:rPr>
                <w:rFonts w:hint="eastAsia" w:ascii="宋体" w:hAnsi="宋体" w:eastAsia="宋体" w:cs="宋体"/>
                <w:color w:val="auto"/>
                <w:spacing w:val="0"/>
                <w:w w:val="100"/>
                <w:position w:val="0"/>
                <w:sz w:val="21"/>
                <w:szCs w:val="21"/>
                <w:highlight w:val="none"/>
              </w:rPr>
              <w:t>（公章）</w:t>
            </w:r>
          </w:p>
        </w:tc>
        <w:tc>
          <w:tcPr>
            <w:tcW w:w="4841" w:type="dxa"/>
            <w:tcBorders>
              <w:tl2br w:val="nil"/>
              <w:tr2bl w:val="nil"/>
            </w:tcBorders>
            <w:noWrap w:val="0"/>
            <w:vAlign w:val="center"/>
          </w:tcPr>
          <w:p w14:paraId="1F95FD91">
            <w:pPr>
              <w:pStyle w:val="12"/>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0" w:rightChars="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承包人：</w:t>
            </w:r>
            <w:r>
              <w:rPr>
                <w:rFonts w:hint="eastAsia" w:cs="宋体"/>
                <w:color w:val="auto"/>
                <w:spacing w:val="0"/>
                <w:w w:val="100"/>
                <w:position w:val="0"/>
                <w:sz w:val="21"/>
                <w:szCs w:val="21"/>
                <w:highlight w:val="none"/>
                <w:lang w:val="en-US" w:eastAsia="zh-CN"/>
              </w:rPr>
              <w:t xml:space="preserve">   </w:t>
            </w:r>
            <w:r>
              <w:rPr>
                <w:rFonts w:hint="eastAsia" w:ascii="宋体" w:hAnsi="宋体" w:eastAsia="宋体" w:cs="宋体"/>
                <w:color w:val="auto"/>
                <w:spacing w:val="-11"/>
                <w:w w:val="100"/>
                <w:position w:val="0"/>
                <w:sz w:val="21"/>
                <w:szCs w:val="21"/>
                <w:highlight w:val="none"/>
              </w:rPr>
              <w:t>（公章）</w:t>
            </w:r>
          </w:p>
        </w:tc>
      </w:tr>
      <w:tr w14:paraId="5FF6B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4731" w:type="dxa"/>
            <w:tcBorders>
              <w:tl2br w:val="nil"/>
              <w:tr2bl w:val="nil"/>
            </w:tcBorders>
            <w:noWrap w:val="0"/>
            <w:vAlign w:val="center"/>
          </w:tcPr>
          <w:p w14:paraId="4435B0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color w:val="auto"/>
                <w:spacing w:val="0"/>
                <w:w w:val="100"/>
                <w:position w:val="0"/>
                <w:sz w:val="21"/>
                <w:szCs w:val="21"/>
                <w:highlight w:val="none"/>
                <w:u w:val="single" w:color="auto"/>
              </w:rPr>
            </w:pPr>
            <w:r>
              <w:rPr>
                <w:rFonts w:hint="eastAsia" w:ascii="宋体" w:hAnsi="宋体" w:eastAsia="宋体" w:cs="宋体"/>
                <w:color w:val="auto"/>
                <w:spacing w:val="0"/>
                <w:w w:val="100"/>
                <w:position w:val="0"/>
                <w:sz w:val="21"/>
                <w:szCs w:val="21"/>
                <w:highlight w:val="none"/>
              </w:rPr>
              <w:t>地  址：</w:t>
            </w:r>
            <w:r>
              <w:rPr>
                <w:rFonts w:hint="eastAsia" w:ascii="宋体" w:hAnsi="宋体" w:eastAsia="宋体" w:cs="宋体"/>
                <w:color w:val="auto"/>
                <w:spacing w:val="0"/>
                <w:w w:val="100"/>
                <w:position w:val="0"/>
                <w:sz w:val="21"/>
                <w:szCs w:val="21"/>
                <w:highlight w:val="none"/>
                <w:u w:val="single" w:color="auto"/>
              </w:rPr>
              <w:t>南宁市马山县新兴大道</w:t>
            </w:r>
          </w:p>
          <w:p w14:paraId="293C50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840" w:firstLineChars="400"/>
              <w:jc w:val="both"/>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pacing w:val="0"/>
                <w:w w:val="100"/>
                <w:position w:val="0"/>
                <w:sz w:val="21"/>
                <w:szCs w:val="21"/>
                <w:highlight w:val="none"/>
                <w:u w:val="single" w:color="auto"/>
              </w:rPr>
              <w:t xml:space="preserve">南二巷 1 号 </w:t>
            </w:r>
            <w:r>
              <w:rPr>
                <w:rFonts w:hint="eastAsia" w:ascii="宋体" w:hAnsi="宋体" w:eastAsia="宋体" w:cs="宋体"/>
                <w:color w:val="auto"/>
                <w:spacing w:val="0"/>
                <w:w w:val="100"/>
                <w:position w:val="0"/>
                <w:sz w:val="21"/>
                <w:szCs w:val="21"/>
                <w:highlight w:val="none"/>
                <w:u w:val="single" w:color="auto"/>
                <w:lang w:val="en-US" w:eastAsia="zh-CN"/>
              </w:rPr>
              <w:t xml:space="preserve">        </w:t>
            </w:r>
          </w:p>
        </w:tc>
        <w:tc>
          <w:tcPr>
            <w:tcW w:w="4841" w:type="dxa"/>
            <w:tcBorders>
              <w:tl2br w:val="nil"/>
              <w:tr2bl w:val="nil"/>
            </w:tcBorders>
            <w:noWrap w:val="0"/>
            <w:vAlign w:val="center"/>
          </w:tcPr>
          <w:p w14:paraId="7C46CF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840" w:firstLineChars="400"/>
              <w:jc w:val="both"/>
              <w:textAlignment w:val="auto"/>
              <w:rPr>
                <w:rFonts w:hint="default" w:ascii="宋体" w:hAnsi="宋体" w:eastAsia="宋体" w:cs="宋体"/>
                <w:snapToGrid w:val="0"/>
                <w:color w:val="auto"/>
                <w:kern w:val="28"/>
                <w:sz w:val="21"/>
                <w:szCs w:val="21"/>
                <w:highlight w:val="none"/>
                <w:u w:val="single"/>
                <w:lang w:val="en-US" w:eastAsia="zh-CN"/>
              </w:rPr>
            </w:pPr>
            <w:r>
              <w:rPr>
                <w:rFonts w:hint="eastAsia" w:ascii="宋体" w:hAnsi="宋体" w:eastAsia="宋体" w:cs="宋体"/>
                <w:color w:val="auto"/>
                <w:spacing w:val="0"/>
                <w:w w:val="100"/>
                <w:position w:val="0"/>
                <w:sz w:val="21"/>
                <w:szCs w:val="21"/>
                <w:highlight w:val="none"/>
              </w:rPr>
              <w:t>地  址：</w:t>
            </w:r>
            <w:r>
              <w:rPr>
                <w:rFonts w:hint="eastAsia" w:ascii="宋体" w:hAnsi="宋体" w:eastAsia="宋体" w:cs="宋体"/>
                <w:color w:val="auto"/>
                <w:spacing w:val="0"/>
                <w:w w:val="100"/>
                <w:position w:val="0"/>
                <w:sz w:val="21"/>
                <w:szCs w:val="21"/>
                <w:highlight w:val="none"/>
                <w:u w:val="single" w:color="auto"/>
                <w:lang w:val="en-US" w:eastAsia="zh-CN"/>
              </w:rPr>
              <w:t xml:space="preserve">                  </w:t>
            </w:r>
          </w:p>
        </w:tc>
      </w:tr>
      <w:tr w14:paraId="56027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4731" w:type="dxa"/>
            <w:tcBorders>
              <w:tl2br w:val="nil"/>
              <w:tr2bl w:val="nil"/>
            </w:tcBorders>
            <w:noWrap w:val="0"/>
            <w:vAlign w:val="center"/>
          </w:tcPr>
          <w:p w14:paraId="59D3FC2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jc w:val="both"/>
              <w:textAlignment w:val="auto"/>
              <w:rPr>
                <w:rFonts w:hint="eastAsia" w:ascii="宋体" w:hAnsi="宋体" w:eastAsia="宋体" w:cs="宋体"/>
                <w:color w:val="auto"/>
                <w:spacing w:val="0"/>
                <w:w w:val="100"/>
                <w:position w:val="0"/>
                <w:sz w:val="21"/>
                <w:szCs w:val="21"/>
                <w:highlight w:val="none"/>
                <w:u w:val="single" w:color="auto"/>
                <w:lang w:val="en-US" w:eastAsia="zh-CN"/>
              </w:rPr>
            </w:pPr>
            <w:r>
              <w:rPr>
                <w:rFonts w:hint="eastAsia" w:ascii="宋体" w:hAnsi="宋体" w:eastAsia="宋体" w:cs="宋体"/>
                <w:color w:val="auto"/>
                <w:highlight w:val="none"/>
              </w:rPr>
              <w:t>法定代表人（签字）：</w:t>
            </w:r>
            <w:r>
              <w:rPr>
                <w:rFonts w:hint="eastAsia" w:ascii="宋体" w:hAnsi="宋体" w:eastAsia="宋体" w:cs="宋体"/>
                <w:color w:val="auto"/>
                <w:highlight w:val="none"/>
                <w:u w:val="single"/>
                <w:lang w:val="en-US" w:eastAsia="zh-CN"/>
              </w:rPr>
              <w:t xml:space="preserve">          </w:t>
            </w:r>
          </w:p>
        </w:tc>
        <w:tc>
          <w:tcPr>
            <w:tcW w:w="4841" w:type="dxa"/>
            <w:tcBorders>
              <w:tl2br w:val="nil"/>
              <w:tr2bl w:val="nil"/>
            </w:tcBorders>
            <w:noWrap w:val="0"/>
            <w:vAlign w:val="center"/>
          </w:tcPr>
          <w:p w14:paraId="28E50AC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jc w:val="both"/>
              <w:textAlignment w:val="auto"/>
              <w:rPr>
                <w:rFonts w:hint="eastAsia" w:ascii="宋体" w:hAnsi="宋体" w:eastAsia="宋体" w:cs="宋体"/>
                <w:color w:val="auto"/>
                <w:spacing w:val="0"/>
                <w:w w:val="100"/>
                <w:position w:val="0"/>
                <w:sz w:val="21"/>
                <w:szCs w:val="21"/>
                <w:highlight w:val="none"/>
                <w:u w:val="single" w:color="auto"/>
              </w:rPr>
            </w:pPr>
            <w:r>
              <w:rPr>
                <w:rFonts w:hint="eastAsia" w:ascii="宋体" w:hAnsi="宋体" w:eastAsia="宋体" w:cs="宋体"/>
                <w:color w:val="auto"/>
                <w:highlight w:val="none"/>
              </w:rPr>
              <w:t>法定代表人（签字）：</w:t>
            </w:r>
            <w:r>
              <w:rPr>
                <w:rFonts w:hint="eastAsia" w:ascii="宋体" w:hAnsi="宋体" w:eastAsia="宋体" w:cs="宋体"/>
                <w:color w:val="auto"/>
                <w:highlight w:val="none"/>
                <w:u w:val="single"/>
                <w:lang w:val="en-US" w:eastAsia="zh-CN"/>
              </w:rPr>
              <w:t xml:space="preserve">          </w:t>
            </w:r>
          </w:p>
        </w:tc>
      </w:tr>
      <w:tr w14:paraId="68621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4731" w:type="dxa"/>
            <w:tcBorders>
              <w:tl2br w:val="nil"/>
              <w:tr2bl w:val="nil"/>
            </w:tcBorders>
            <w:noWrap w:val="0"/>
            <w:vAlign w:val="center"/>
          </w:tcPr>
          <w:p w14:paraId="5F393A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委托代理人（签字）：</w:t>
            </w:r>
            <w:r>
              <w:rPr>
                <w:rFonts w:hint="eastAsia" w:ascii="宋体" w:hAnsi="宋体" w:eastAsia="宋体" w:cs="宋体"/>
                <w:color w:val="auto"/>
                <w:highlight w:val="none"/>
                <w:u w:val="single"/>
                <w:lang w:val="en-US" w:eastAsia="zh-CN"/>
              </w:rPr>
              <w:t xml:space="preserve">          </w:t>
            </w:r>
          </w:p>
        </w:tc>
        <w:tc>
          <w:tcPr>
            <w:tcW w:w="4841" w:type="dxa"/>
            <w:tcBorders>
              <w:tl2br w:val="nil"/>
              <w:tr2bl w:val="nil"/>
            </w:tcBorders>
            <w:noWrap w:val="0"/>
            <w:vAlign w:val="center"/>
          </w:tcPr>
          <w:p w14:paraId="3E77F05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委托代理人（签字）：</w:t>
            </w:r>
            <w:r>
              <w:rPr>
                <w:rFonts w:hint="eastAsia" w:ascii="宋体" w:hAnsi="宋体" w:eastAsia="宋体" w:cs="宋体"/>
                <w:color w:val="auto"/>
                <w:highlight w:val="none"/>
                <w:u w:val="single"/>
                <w:lang w:val="en-US" w:eastAsia="zh-CN"/>
              </w:rPr>
              <w:t xml:space="preserve">          </w:t>
            </w:r>
          </w:p>
        </w:tc>
      </w:tr>
      <w:tr w14:paraId="7F69D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31" w:type="dxa"/>
            <w:tcBorders>
              <w:tl2br w:val="nil"/>
              <w:tr2bl w:val="nil"/>
            </w:tcBorders>
            <w:noWrap w:val="0"/>
            <w:vAlign w:val="center"/>
          </w:tcPr>
          <w:p w14:paraId="5AC909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电  话：</w:t>
            </w:r>
            <w:r>
              <w:rPr>
                <w:rFonts w:hint="eastAsia" w:ascii="宋体" w:hAnsi="宋体" w:eastAsia="宋体" w:cs="宋体"/>
                <w:color w:val="auto"/>
                <w:spacing w:val="0"/>
                <w:w w:val="100"/>
                <w:position w:val="0"/>
                <w:sz w:val="21"/>
                <w:szCs w:val="21"/>
                <w:highlight w:val="none"/>
                <w:u w:val="single" w:color="auto"/>
              </w:rPr>
              <w:t xml:space="preserve">    0771-6820957    </w:t>
            </w:r>
            <w:r>
              <w:rPr>
                <w:rFonts w:hint="eastAsia" w:ascii="宋体" w:hAnsi="宋体" w:eastAsia="宋体" w:cs="宋体"/>
                <w:color w:val="auto"/>
                <w:spacing w:val="0"/>
                <w:w w:val="100"/>
                <w:position w:val="0"/>
                <w:sz w:val="21"/>
                <w:szCs w:val="21"/>
                <w:highlight w:val="none"/>
              </w:rPr>
              <w:t xml:space="preserve"> </w:t>
            </w:r>
          </w:p>
        </w:tc>
        <w:tc>
          <w:tcPr>
            <w:tcW w:w="4841" w:type="dxa"/>
            <w:tcBorders>
              <w:tl2br w:val="nil"/>
              <w:tr2bl w:val="nil"/>
            </w:tcBorders>
            <w:shd w:val="clear" w:color="auto" w:fill="auto"/>
            <w:noWrap w:val="0"/>
            <w:vAlign w:val="center"/>
          </w:tcPr>
          <w:p w14:paraId="18EACF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spacing w:val="0"/>
                <w:w w:val="100"/>
                <w:position w:val="0"/>
                <w:sz w:val="21"/>
                <w:szCs w:val="21"/>
                <w:highlight w:val="none"/>
              </w:rPr>
              <w:t>电  话：</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 xml:space="preserve"> </w:t>
            </w:r>
          </w:p>
        </w:tc>
      </w:tr>
      <w:tr w14:paraId="6A8C5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31" w:type="dxa"/>
            <w:tcBorders>
              <w:tl2br w:val="nil"/>
              <w:tr2bl w:val="nil"/>
            </w:tcBorders>
            <w:noWrap w:val="0"/>
            <w:vAlign w:val="center"/>
          </w:tcPr>
          <w:p w14:paraId="69D9F0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snapToGrid w:val="0"/>
                <w:color w:val="auto"/>
                <w:kern w:val="28"/>
                <w:sz w:val="21"/>
                <w:szCs w:val="21"/>
                <w:highlight w:val="none"/>
              </w:rPr>
            </w:pPr>
            <w:r>
              <w:rPr>
                <w:rFonts w:hint="eastAsia" w:ascii="宋体" w:hAnsi="宋体" w:eastAsia="宋体" w:cs="宋体"/>
                <w:color w:val="auto"/>
                <w:spacing w:val="0"/>
                <w:w w:val="100"/>
                <w:position w:val="0"/>
                <w:sz w:val="21"/>
                <w:szCs w:val="21"/>
                <w:highlight w:val="none"/>
              </w:rPr>
              <w:t>传  真：</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 xml:space="preserve">     /      </w:t>
            </w:r>
            <w:r>
              <w:rPr>
                <w:rFonts w:hint="eastAsia" w:ascii="宋体" w:hAnsi="宋体" w:eastAsia="宋体" w:cs="宋体"/>
                <w:color w:val="auto"/>
                <w:spacing w:val="0"/>
                <w:w w:val="100"/>
                <w:position w:val="0"/>
                <w:sz w:val="21"/>
                <w:szCs w:val="21"/>
                <w:highlight w:val="none"/>
                <w:u w:val="single" w:color="auto"/>
              </w:rPr>
              <w:t xml:space="preserve">   </w:t>
            </w:r>
          </w:p>
        </w:tc>
        <w:tc>
          <w:tcPr>
            <w:tcW w:w="4841" w:type="dxa"/>
            <w:tcBorders>
              <w:tl2br w:val="nil"/>
              <w:tr2bl w:val="nil"/>
            </w:tcBorders>
            <w:shd w:val="clear" w:color="auto" w:fill="auto"/>
            <w:noWrap w:val="0"/>
            <w:vAlign w:val="center"/>
          </w:tcPr>
          <w:p w14:paraId="731670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snapToGrid w:val="0"/>
                <w:color w:val="auto"/>
                <w:kern w:val="28"/>
                <w:sz w:val="21"/>
                <w:szCs w:val="21"/>
                <w:highlight w:val="none"/>
                <w:u w:val="single"/>
                <w:lang w:val="en-US" w:eastAsia="zh-CN" w:bidi="ar-SA"/>
              </w:rPr>
            </w:pPr>
            <w:r>
              <w:rPr>
                <w:rFonts w:hint="eastAsia" w:ascii="宋体" w:hAnsi="宋体" w:eastAsia="宋体" w:cs="宋体"/>
                <w:color w:val="auto"/>
                <w:spacing w:val="0"/>
                <w:w w:val="100"/>
                <w:position w:val="0"/>
                <w:sz w:val="21"/>
                <w:szCs w:val="21"/>
                <w:highlight w:val="none"/>
              </w:rPr>
              <w:t>传  真：</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p>
        </w:tc>
      </w:tr>
      <w:tr w14:paraId="220A1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31" w:type="dxa"/>
            <w:tcBorders>
              <w:tl2br w:val="nil"/>
              <w:tr2bl w:val="nil"/>
            </w:tcBorders>
            <w:noWrap w:val="0"/>
            <w:vAlign w:val="center"/>
          </w:tcPr>
          <w:p w14:paraId="1068FB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开户银行：</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w:t>
            </w:r>
            <w:r>
              <w:rPr>
                <w:rFonts w:hint="eastAsia" w:ascii="宋体" w:hAnsi="宋体" w:eastAsia="宋体" w:cs="宋体"/>
                <w:color w:val="auto"/>
                <w:spacing w:val="0"/>
                <w:w w:val="100"/>
                <w:position w:val="0"/>
                <w:sz w:val="21"/>
                <w:szCs w:val="21"/>
                <w:highlight w:val="none"/>
                <w:u w:val="single" w:color="auto"/>
              </w:rPr>
              <w:t xml:space="preserve">            </w:t>
            </w:r>
          </w:p>
        </w:tc>
        <w:tc>
          <w:tcPr>
            <w:tcW w:w="4841" w:type="dxa"/>
            <w:tcBorders>
              <w:tl2br w:val="nil"/>
              <w:tr2bl w:val="nil"/>
            </w:tcBorders>
            <w:shd w:val="clear" w:color="auto" w:fill="auto"/>
            <w:noWrap w:val="0"/>
            <w:vAlign w:val="center"/>
          </w:tcPr>
          <w:p w14:paraId="176463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default"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11"/>
                <w:w w:val="100"/>
                <w:position w:val="0"/>
                <w:sz w:val="21"/>
                <w:szCs w:val="21"/>
                <w:highlight w:val="none"/>
              </w:rPr>
              <w:t>开户银行：</w:t>
            </w:r>
            <w:r>
              <w:rPr>
                <w:rFonts w:hint="eastAsia" w:ascii="宋体" w:hAnsi="宋体" w:eastAsia="宋体" w:cs="宋体"/>
                <w:color w:val="auto"/>
                <w:spacing w:val="-11"/>
                <w:w w:val="100"/>
                <w:position w:val="0"/>
                <w:sz w:val="21"/>
                <w:szCs w:val="21"/>
                <w:highlight w:val="none"/>
                <w:u w:val="single" w:color="auto"/>
                <w:lang w:val="en-US" w:eastAsia="zh-CN"/>
              </w:rPr>
              <w:t xml:space="preserve">                            </w:t>
            </w:r>
          </w:p>
        </w:tc>
      </w:tr>
      <w:tr w14:paraId="59E16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31" w:type="dxa"/>
            <w:tcBorders>
              <w:tl2br w:val="nil"/>
              <w:tr2bl w:val="nil"/>
            </w:tcBorders>
            <w:noWrap w:val="0"/>
            <w:vAlign w:val="center"/>
          </w:tcPr>
          <w:p w14:paraId="5CC2C5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账  号：</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w:t>
            </w:r>
            <w:r>
              <w:rPr>
                <w:rFonts w:hint="eastAsia" w:ascii="宋体" w:hAnsi="宋体" w:eastAsia="宋体" w:cs="宋体"/>
                <w:color w:val="auto"/>
                <w:spacing w:val="0"/>
                <w:w w:val="100"/>
                <w:position w:val="0"/>
                <w:sz w:val="21"/>
                <w:szCs w:val="21"/>
                <w:highlight w:val="none"/>
                <w:u w:val="single" w:color="auto"/>
              </w:rPr>
              <w:t xml:space="preserve">           </w:t>
            </w:r>
          </w:p>
        </w:tc>
        <w:tc>
          <w:tcPr>
            <w:tcW w:w="4841" w:type="dxa"/>
            <w:tcBorders>
              <w:tl2br w:val="nil"/>
              <w:tr2bl w:val="nil"/>
            </w:tcBorders>
            <w:shd w:val="clear" w:color="auto" w:fill="auto"/>
            <w:noWrap w:val="0"/>
            <w:vAlign w:val="center"/>
          </w:tcPr>
          <w:p w14:paraId="2A863EF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账  号：</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p>
        </w:tc>
      </w:tr>
      <w:tr w14:paraId="5639A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31" w:type="dxa"/>
            <w:tcBorders>
              <w:tl2br w:val="nil"/>
              <w:tr2bl w:val="nil"/>
            </w:tcBorders>
            <w:noWrap w:val="0"/>
            <w:vAlign w:val="center"/>
          </w:tcPr>
          <w:p w14:paraId="4185CBE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邮政编码：</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 xml:space="preserve"> 530600</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 xml:space="preserve"> </w:t>
            </w:r>
          </w:p>
        </w:tc>
        <w:tc>
          <w:tcPr>
            <w:tcW w:w="4841" w:type="dxa"/>
            <w:tcBorders>
              <w:tl2br w:val="nil"/>
              <w:tr2bl w:val="nil"/>
            </w:tcBorders>
            <w:shd w:val="clear" w:color="auto" w:fill="auto"/>
            <w:noWrap w:val="0"/>
            <w:vAlign w:val="center"/>
          </w:tcPr>
          <w:p w14:paraId="389578C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邮政编码：</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val="en-US" w:eastAsia="zh-CN"/>
              </w:rPr>
              <w:t xml:space="preserve">                 </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 xml:space="preserve"> </w:t>
            </w:r>
          </w:p>
        </w:tc>
      </w:tr>
    </w:tbl>
    <w:p w14:paraId="523C2840">
      <w:pPr>
        <w:pageBreakBefore w:val="0"/>
        <w:widowControl w:val="0"/>
        <w:wordWrap/>
        <w:overflowPunct/>
        <w:topLinePunct w:val="0"/>
        <w:bidi w:val="0"/>
        <w:spacing w:line="360" w:lineRule="auto"/>
        <w:ind w:left="0" w:leftChars="0" w:right="0" w:rightChars="0" w:firstLine="420"/>
        <w:rPr>
          <w:rFonts w:hint="eastAsia" w:ascii="宋体" w:hAnsi="宋体" w:eastAsia="宋体" w:cs="宋体"/>
          <w:color w:val="auto"/>
          <w:highlight w:val="none"/>
        </w:rPr>
      </w:pPr>
    </w:p>
    <w:p w14:paraId="24F1098A">
      <w:pPr>
        <w:pStyle w:val="4"/>
        <w:bidi w:val="0"/>
        <w:rPr>
          <w:rFonts w:hint="eastAsia" w:ascii="宋体" w:hAnsi="宋体" w:eastAsia="宋体" w:cs="宋体"/>
          <w:color w:val="auto"/>
          <w:kern w:val="0"/>
          <w:szCs w:val="20"/>
          <w:highlight w:val="none"/>
        </w:rPr>
      </w:pPr>
      <w:r>
        <w:rPr>
          <w:rFonts w:hint="eastAsia" w:ascii="宋体" w:hAnsi="宋体" w:eastAsia="宋体" w:cs="宋体"/>
          <w:color w:val="auto"/>
          <w:highlight w:val="none"/>
        </w:rPr>
        <w:br w:type="page"/>
      </w:r>
      <w:bookmarkStart w:id="127" w:name="_Toc32664"/>
      <w:r>
        <w:rPr>
          <w:rFonts w:hint="eastAsia" w:ascii="宋体" w:hAnsi="宋体" w:eastAsia="宋体" w:cs="宋体"/>
          <w:color w:val="auto"/>
          <w:highlight w:val="none"/>
        </w:rPr>
        <w:t>附件3：主要建设工程文件目录</w:t>
      </w:r>
      <w:bookmarkEnd w:id="127"/>
    </w:p>
    <w:p w14:paraId="665C6DEE">
      <w:pPr>
        <w:pStyle w:val="24"/>
        <w:pageBreakBefore w:val="0"/>
        <w:widowControl w:val="0"/>
        <w:wordWrap/>
        <w:overflowPunct/>
        <w:topLinePunct w:val="0"/>
        <w:bidi w:val="0"/>
        <w:spacing w:line="360" w:lineRule="auto"/>
        <w:ind w:left="0" w:leftChars="0" w:right="0" w:rightChars="0"/>
        <w:jc w:val="center"/>
        <w:rPr>
          <w:rFonts w:hint="eastAsia" w:ascii="宋体" w:hAnsi="宋体" w:eastAsia="宋体" w:cs="宋体"/>
          <w:color w:val="auto"/>
          <w:kern w:val="0"/>
          <w:sz w:val="30"/>
          <w:szCs w:val="20"/>
          <w:highlight w:val="none"/>
        </w:rPr>
      </w:pPr>
    </w:p>
    <w:p w14:paraId="29848A2B">
      <w:pPr>
        <w:pStyle w:val="24"/>
        <w:pageBreakBefore w:val="0"/>
        <w:widowControl w:val="0"/>
        <w:wordWrap/>
        <w:overflowPunct/>
        <w:topLinePunct w:val="0"/>
        <w:bidi w:val="0"/>
        <w:spacing w:line="360" w:lineRule="auto"/>
        <w:ind w:left="0" w:leftChars="0" w:right="0" w:rightChars="0"/>
        <w:jc w:val="center"/>
        <w:rPr>
          <w:rFonts w:hint="eastAsia" w:ascii="宋体" w:hAnsi="宋体" w:eastAsia="宋体" w:cs="宋体"/>
          <w:color w:val="auto"/>
          <w:kern w:val="0"/>
          <w:sz w:val="30"/>
          <w:szCs w:val="20"/>
          <w:highlight w:val="none"/>
        </w:rPr>
      </w:pPr>
      <w:r>
        <w:rPr>
          <w:rFonts w:hint="eastAsia" w:ascii="宋体" w:hAnsi="宋体" w:eastAsia="宋体" w:cs="宋体"/>
          <w:color w:val="auto"/>
          <w:kern w:val="0"/>
          <w:sz w:val="30"/>
          <w:szCs w:val="20"/>
          <w:highlight w:val="none"/>
        </w:rPr>
        <w:t>主要建设工程文件目录</w:t>
      </w:r>
    </w:p>
    <w:tbl>
      <w:tblPr>
        <w:tblStyle w:val="16"/>
        <w:tblW w:w="9069" w:type="dxa"/>
        <w:jc w:val="center"/>
        <w:tblLayout w:type="fixed"/>
        <w:tblCellMar>
          <w:top w:w="0" w:type="dxa"/>
          <w:left w:w="28" w:type="dxa"/>
          <w:bottom w:w="0" w:type="dxa"/>
          <w:right w:w="28" w:type="dxa"/>
        </w:tblCellMar>
      </w:tblPr>
      <w:tblGrid>
        <w:gridCol w:w="1953"/>
        <w:gridCol w:w="1276"/>
        <w:gridCol w:w="1450"/>
        <w:gridCol w:w="1243"/>
        <w:gridCol w:w="1450"/>
        <w:gridCol w:w="1697"/>
      </w:tblGrid>
      <w:tr w14:paraId="7852B075">
        <w:tblPrEx>
          <w:tblCellMar>
            <w:top w:w="0" w:type="dxa"/>
            <w:left w:w="28" w:type="dxa"/>
            <w:bottom w:w="0" w:type="dxa"/>
            <w:right w:w="28" w:type="dxa"/>
          </w:tblCellMar>
        </w:tblPrEx>
        <w:trPr>
          <w:jc w:val="center"/>
        </w:trPr>
        <w:tc>
          <w:tcPr>
            <w:tcW w:w="1953" w:type="dxa"/>
            <w:tcBorders>
              <w:top w:val="single" w:color="000000" w:sz="12" w:space="0"/>
              <w:left w:val="single" w:color="000000" w:sz="12" w:space="0"/>
              <w:bottom w:val="double" w:color="000000" w:sz="6" w:space="0"/>
              <w:right w:val="single" w:color="000000" w:sz="6" w:space="0"/>
            </w:tcBorders>
            <w:noWrap w:val="0"/>
            <w:vAlign w:val="center"/>
          </w:tcPr>
          <w:p w14:paraId="4271F69F">
            <w:pPr>
              <w:pStyle w:val="24"/>
              <w:keepNext/>
              <w:pageBreakBefore w:val="0"/>
              <w:widowControl w:val="0"/>
              <w:wordWrap/>
              <w:overflowPunct/>
              <w:topLinePunct w:val="0"/>
              <w:bidi w:val="0"/>
              <w:spacing w:line="360" w:lineRule="auto"/>
              <w:ind w:left="0" w:leftChars="0" w:right="0" w:rightChars="0"/>
              <w:jc w:val="center"/>
              <w:textAlignment w:val="baseline"/>
              <w:rPr>
                <w:rFonts w:hint="eastAsia" w:ascii="宋体" w:hAnsi="宋体" w:eastAsia="宋体" w:cs="宋体"/>
                <w:color w:val="auto"/>
                <w:kern w:val="0"/>
                <w:sz w:val="28"/>
                <w:szCs w:val="20"/>
                <w:highlight w:val="none"/>
              </w:rPr>
            </w:pPr>
            <w:r>
              <w:rPr>
                <w:rFonts w:hint="eastAsia" w:ascii="宋体" w:hAnsi="宋体" w:eastAsia="宋体" w:cs="宋体"/>
                <w:color w:val="auto"/>
                <w:sz w:val="28"/>
                <w:szCs w:val="20"/>
                <w:highlight w:val="none"/>
              </w:rPr>
              <w:t>文件名称</w:t>
            </w:r>
          </w:p>
        </w:tc>
        <w:tc>
          <w:tcPr>
            <w:tcW w:w="1276" w:type="dxa"/>
            <w:tcBorders>
              <w:top w:val="single" w:color="000000" w:sz="12" w:space="0"/>
              <w:left w:val="single" w:color="000000" w:sz="6" w:space="0"/>
              <w:bottom w:val="double" w:color="000000" w:sz="6" w:space="0"/>
              <w:right w:val="single" w:color="000000" w:sz="6" w:space="0"/>
            </w:tcBorders>
            <w:noWrap w:val="0"/>
            <w:vAlign w:val="center"/>
          </w:tcPr>
          <w:p w14:paraId="4F1253E3">
            <w:pPr>
              <w:pStyle w:val="24"/>
              <w:keepNext/>
              <w:pageBreakBefore w:val="0"/>
              <w:widowControl w:val="0"/>
              <w:wordWrap/>
              <w:overflowPunct/>
              <w:topLinePunct w:val="0"/>
              <w:bidi w:val="0"/>
              <w:spacing w:line="360" w:lineRule="auto"/>
              <w:ind w:left="0" w:leftChars="0" w:right="0" w:rightChars="0"/>
              <w:jc w:val="center"/>
              <w:textAlignment w:val="baseline"/>
              <w:rPr>
                <w:rFonts w:hint="eastAsia" w:ascii="宋体" w:hAnsi="宋体" w:eastAsia="宋体" w:cs="宋体"/>
                <w:color w:val="auto"/>
                <w:kern w:val="0"/>
                <w:sz w:val="28"/>
                <w:szCs w:val="20"/>
                <w:highlight w:val="none"/>
              </w:rPr>
            </w:pPr>
            <w:r>
              <w:rPr>
                <w:rFonts w:hint="eastAsia" w:ascii="宋体" w:hAnsi="宋体" w:eastAsia="宋体" w:cs="宋体"/>
                <w:color w:val="auto"/>
                <w:sz w:val="28"/>
                <w:szCs w:val="20"/>
                <w:highlight w:val="none"/>
              </w:rPr>
              <w:t>套数</w:t>
            </w:r>
          </w:p>
        </w:tc>
        <w:tc>
          <w:tcPr>
            <w:tcW w:w="1450" w:type="dxa"/>
            <w:tcBorders>
              <w:top w:val="single" w:color="000000" w:sz="12" w:space="0"/>
              <w:left w:val="single" w:color="000000" w:sz="6" w:space="0"/>
              <w:bottom w:val="double" w:color="000000" w:sz="6" w:space="0"/>
              <w:right w:val="single" w:color="000000" w:sz="6" w:space="0"/>
            </w:tcBorders>
            <w:noWrap w:val="0"/>
            <w:vAlign w:val="center"/>
          </w:tcPr>
          <w:p w14:paraId="4DC4AF26">
            <w:pPr>
              <w:pStyle w:val="24"/>
              <w:keepNext/>
              <w:pageBreakBefore w:val="0"/>
              <w:widowControl w:val="0"/>
              <w:wordWrap/>
              <w:overflowPunct/>
              <w:topLinePunct w:val="0"/>
              <w:bidi w:val="0"/>
              <w:spacing w:line="360" w:lineRule="auto"/>
              <w:ind w:left="0" w:leftChars="0" w:right="0" w:rightChars="0"/>
              <w:jc w:val="center"/>
              <w:textAlignment w:val="baseline"/>
              <w:rPr>
                <w:rFonts w:hint="eastAsia" w:ascii="宋体" w:hAnsi="宋体" w:eastAsia="宋体" w:cs="宋体"/>
                <w:color w:val="auto"/>
                <w:kern w:val="0"/>
                <w:sz w:val="28"/>
                <w:szCs w:val="20"/>
                <w:highlight w:val="none"/>
              </w:rPr>
            </w:pPr>
            <w:r>
              <w:rPr>
                <w:rFonts w:hint="eastAsia" w:ascii="宋体" w:hAnsi="宋体" w:eastAsia="宋体" w:cs="宋体"/>
                <w:color w:val="auto"/>
                <w:sz w:val="28"/>
                <w:szCs w:val="20"/>
                <w:highlight w:val="none"/>
              </w:rPr>
              <w:t>费用（元）</w:t>
            </w:r>
          </w:p>
        </w:tc>
        <w:tc>
          <w:tcPr>
            <w:tcW w:w="1243" w:type="dxa"/>
            <w:tcBorders>
              <w:top w:val="single" w:color="000000" w:sz="12" w:space="0"/>
              <w:left w:val="single" w:color="000000" w:sz="6" w:space="0"/>
              <w:bottom w:val="double" w:color="000000" w:sz="6" w:space="0"/>
              <w:right w:val="single" w:color="000000" w:sz="6" w:space="0"/>
            </w:tcBorders>
            <w:noWrap w:val="0"/>
            <w:vAlign w:val="center"/>
          </w:tcPr>
          <w:p w14:paraId="37CE6FC6">
            <w:pPr>
              <w:pStyle w:val="24"/>
              <w:keepNext/>
              <w:pageBreakBefore w:val="0"/>
              <w:widowControl w:val="0"/>
              <w:wordWrap/>
              <w:overflowPunct/>
              <w:topLinePunct w:val="0"/>
              <w:bidi w:val="0"/>
              <w:spacing w:line="360" w:lineRule="auto"/>
              <w:ind w:left="0" w:leftChars="0" w:right="0" w:rightChars="0"/>
              <w:jc w:val="center"/>
              <w:textAlignment w:val="baseline"/>
              <w:rPr>
                <w:rFonts w:hint="eastAsia" w:ascii="宋体" w:hAnsi="宋体" w:eastAsia="宋体" w:cs="宋体"/>
                <w:color w:val="auto"/>
                <w:kern w:val="0"/>
                <w:sz w:val="28"/>
                <w:szCs w:val="20"/>
                <w:highlight w:val="none"/>
              </w:rPr>
            </w:pPr>
            <w:r>
              <w:rPr>
                <w:rFonts w:hint="eastAsia" w:ascii="宋体" w:hAnsi="宋体" w:eastAsia="宋体" w:cs="宋体"/>
                <w:color w:val="auto"/>
                <w:sz w:val="28"/>
                <w:szCs w:val="20"/>
                <w:highlight w:val="none"/>
              </w:rPr>
              <w:t>质量</w:t>
            </w:r>
          </w:p>
        </w:tc>
        <w:tc>
          <w:tcPr>
            <w:tcW w:w="1450" w:type="dxa"/>
            <w:tcBorders>
              <w:top w:val="single" w:color="000000" w:sz="12" w:space="0"/>
              <w:left w:val="single" w:color="000000" w:sz="6" w:space="0"/>
              <w:bottom w:val="double" w:color="000000" w:sz="6" w:space="0"/>
              <w:right w:val="single" w:color="000000" w:sz="6" w:space="0"/>
            </w:tcBorders>
            <w:noWrap w:val="0"/>
            <w:vAlign w:val="top"/>
          </w:tcPr>
          <w:p w14:paraId="74462978">
            <w:pPr>
              <w:pStyle w:val="24"/>
              <w:pageBreakBefore w:val="0"/>
              <w:widowControl w:val="0"/>
              <w:wordWrap/>
              <w:overflowPunct/>
              <w:topLinePunct w:val="0"/>
              <w:bidi w:val="0"/>
              <w:spacing w:line="360" w:lineRule="auto"/>
              <w:ind w:left="0" w:leftChars="0" w:right="0" w:rightChars="0"/>
              <w:jc w:val="center"/>
              <w:rPr>
                <w:rFonts w:hint="eastAsia" w:ascii="宋体" w:hAnsi="宋体" w:eastAsia="宋体" w:cs="宋体"/>
                <w:color w:val="auto"/>
                <w:kern w:val="0"/>
                <w:sz w:val="28"/>
                <w:szCs w:val="20"/>
                <w:highlight w:val="none"/>
              </w:rPr>
            </w:pPr>
            <w:r>
              <w:rPr>
                <w:rFonts w:hint="eastAsia" w:ascii="宋体" w:hAnsi="宋体" w:eastAsia="宋体" w:cs="宋体"/>
                <w:color w:val="auto"/>
                <w:sz w:val="28"/>
                <w:szCs w:val="20"/>
                <w:highlight w:val="none"/>
              </w:rPr>
              <w:t>移交时间</w:t>
            </w:r>
          </w:p>
        </w:tc>
        <w:tc>
          <w:tcPr>
            <w:tcW w:w="1697" w:type="dxa"/>
            <w:tcBorders>
              <w:top w:val="single" w:color="000000" w:sz="12" w:space="0"/>
              <w:left w:val="single" w:color="000000" w:sz="6" w:space="0"/>
              <w:bottom w:val="double" w:color="000000" w:sz="6" w:space="0"/>
              <w:right w:val="single" w:color="000000" w:sz="12" w:space="0"/>
            </w:tcBorders>
            <w:noWrap w:val="0"/>
            <w:vAlign w:val="top"/>
          </w:tcPr>
          <w:p w14:paraId="2544A811">
            <w:pPr>
              <w:pStyle w:val="24"/>
              <w:pageBreakBefore w:val="0"/>
              <w:widowControl w:val="0"/>
              <w:wordWrap/>
              <w:overflowPunct/>
              <w:topLinePunct w:val="0"/>
              <w:bidi w:val="0"/>
              <w:spacing w:line="360" w:lineRule="auto"/>
              <w:ind w:left="0" w:leftChars="0" w:right="0" w:rightChars="0"/>
              <w:jc w:val="center"/>
              <w:rPr>
                <w:rFonts w:hint="eastAsia" w:ascii="宋体" w:hAnsi="宋体" w:eastAsia="宋体" w:cs="宋体"/>
                <w:color w:val="auto"/>
                <w:kern w:val="0"/>
                <w:sz w:val="28"/>
                <w:szCs w:val="20"/>
                <w:highlight w:val="none"/>
              </w:rPr>
            </w:pPr>
            <w:r>
              <w:rPr>
                <w:rFonts w:hint="eastAsia" w:ascii="宋体" w:hAnsi="宋体" w:eastAsia="宋体" w:cs="宋体"/>
                <w:color w:val="auto"/>
                <w:sz w:val="28"/>
                <w:szCs w:val="20"/>
                <w:highlight w:val="none"/>
              </w:rPr>
              <w:t>责任人</w:t>
            </w:r>
          </w:p>
        </w:tc>
      </w:tr>
      <w:tr w14:paraId="3C22EFF2">
        <w:tblPrEx>
          <w:tblCellMar>
            <w:top w:w="0" w:type="dxa"/>
            <w:left w:w="28" w:type="dxa"/>
            <w:bottom w:w="0" w:type="dxa"/>
            <w:right w:w="28" w:type="dxa"/>
          </w:tblCellMar>
        </w:tblPrEx>
        <w:trPr>
          <w:trHeight w:val="567" w:hRule="atLeast"/>
          <w:jc w:val="center"/>
        </w:trPr>
        <w:tc>
          <w:tcPr>
            <w:tcW w:w="1953" w:type="dxa"/>
            <w:tcBorders>
              <w:top w:val="double" w:color="000000" w:sz="6" w:space="0"/>
              <w:left w:val="single" w:color="000000" w:sz="12" w:space="0"/>
              <w:bottom w:val="single" w:color="000000" w:sz="6" w:space="0"/>
              <w:right w:val="single" w:color="000000" w:sz="6" w:space="0"/>
            </w:tcBorders>
            <w:noWrap w:val="0"/>
            <w:vAlign w:val="center"/>
          </w:tcPr>
          <w:p w14:paraId="03521DC7">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lang w:val="en-US" w:eastAsia="zh-CN"/>
              </w:rPr>
            </w:pPr>
            <w:r>
              <w:rPr>
                <w:rFonts w:hint="eastAsia" w:ascii="宋体" w:hAnsi="宋体" w:eastAsia="宋体" w:cs="宋体"/>
                <w:color w:val="auto"/>
                <w:kern w:val="0"/>
                <w:sz w:val="30"/>
                <w:szCs w:val="20"/>
                <w:highlight w:val="none"/>
                <w:lang w:val="en-US" w:eastAsia="zh-CN"/>
              </w:rPr>
              <w:t>/</w:t>
            </w:r>
          </w:p>
        </w:tc>
        <w:tc>
          <w:tcPr>
            <w:tcW w:w="1276" w:type="dxa"/>
            <w:tcBorders>
              <w:top w:val="double" w:color="000000" w:sz="6" w:space="0"/>
              <w:left w:val="single" w:color="000000" w:sz="6" w:space="0"/>
              <w:bottom w:val="single" w:color="000000" w:sz="6" w:space="0"/>
              <w:right w:val="single" w:color="000000" w:sz="6" w:space="0"/>
            </w:tcBorders>
            <w:noWrap w:val="0"/>
            <w:vAlign w:val="center"/>
          </w:tcPr>
          <w:p w14:paraId="45868BD3">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lang w:val="en-US" w:eastAsia="zh-CN"/>
              </w:rPr>
            </w:pPr>
            <w:r>
              <w:rPr>
                <w:rFonts w:hint="eastAsia" w:ascii="宋体" w:hAnsi="宋体" w:eastAsia="宋体" w:cs="宋体"/>
                <w:color w:val="auto"/>
                <w:kern w:val="0"/>
                <w:sz w:val="30"/>
                <w:szCs w:val="20"/>
                <w:highlight w:val="none"/>
                <w:lang w:val="en-US" w:eastAsia="zh-CN"/>
              </w:rPr>
              <w:t>/</w:t>
            </w:r>
          </w:p>
        </w:tc>
        <w:tc>
          <w:tcPr>
            <w:tcW w:w="1450" w:type="dxa"/>
            <w:tcBorders>
              <w:top w:val="double" w:color="000000" w:sz="6" w:space="0"/>
              <w:left w:val="single" w:color="000000" w:sz="6" w:space="0"/>
              <w:bottom w:val="single" w:color="000000" w:sz="6" w:space="0"/>
              <w:right w:val="single" w:color="000000" w:sz="6" w:space="0"/>
            </w:tcBorders>
            <w:noWrap w:val="0"/>
            <w:vAlign w:val="center"/>
          </w:tcPr>
          <w:p w14:paraId="2918C2E6">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lang w:val="en-US" w:eastAsia="zh-CN"/>
              </w:rPr>
            </w:pPr>
            <w:r>
              <w:rPr>
                <w:rFonts w:hint="eastAsia" w:ascii="宋体" w:hAnsi="宋体" w:eastAsia="宋体" w:cs="宋体"/>
                <w:color w:val="auto"/>
                <w:kern w:val="0"/>
                <w:sz w:val="30"/>
                <w:szCs w:val="20"/>
                <w:highlight w:val="none"/>
                <w:lang w:val="en-US" w:eastAsia="zh-CN"/>
              </w:rPr>
              <w:t>/</w:t>
            </w:r>
          </w:p>
        </w:tc>
        <w:tc>
          <w:tcPr>
            <w:tcW w:w="1243" w:type="dxa"/>
            <w:tcBorders>
              <w:top w:val="double" w:color="000000" w:sz="6" w:space="0"/>
              <w:left w:val="single" w:color="000000" w:sz="6" w:space="0"/>
              <w:bottom w:val="single" w:color="000000" w:sz="6" w:space="0"/>
              <w:right w:val="single" w:color="000000" w:sz="6" w:space="0"/>
            </w:tcBorders>
            <w:noWrap w:val="0"/>
            <w:vAlign w:val="center"/>
          </w:tcPr>
          <w:p w14:paraId="2EC7F587">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lang w:val="en-US" w:eastAsia="zh-CN"/>
              </w:rPr>
            </w:pPr>
            <w:r>
              <w:rPr>
                <w:rFonts w:hint="eastAsia" w:ascii="宋体" w:hAnsi="宋体" w:eastAsia="宋体" w:cs="宋体"/>
                <w:color w:val="auto"/>
                <w:kern w:val="0"/>
                <w:sz w:val="30"/>
                <w:szCs w:val="20"/>
                <w:highlight w:val="none"/>
                <w:lang w:val="en-US" w:eastAsia="zh-CN"/>
              </w:rPr>
              <w:t>/</w:t>
            </w:r>
          </w:p>
        </w:tc>
        <w:tc>
          <w:tcPr>
            <w:tcW w:w="1450" w:type="dxa"/>
            <w:tcBorders>
              <w:top w:val="double" w:color="000000" w:sz="6" w:space="0"/>
              <w:left w:val="single" w:color="000000" w:sz="6" w:space="0"/>
              <w:bottom w:val="single" w:color="000000" w:sz="6" w:space="0"/>
              <w:right w:val="single" w:color="000000" w:sz="6" w:space="0"/>
            </w:tcBorders>
            <w:noWrap w:val="0"/>
            <w:vAlign w:val="center"/>
          </w:tcPr>
          <w:p w14:paraId="1B7683D2">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lang w:val="en-US" w:eastAsia="zh-CN"/>
              </w:rPr>
            </w:pPr>
            <w:r>
              <w:rPr>
                <w:rFonts w:hint="eastAsia" w:ascii="宋体" w:hAnsi="宋体" w:eastAsia="宋体" w:cs="宋体"/>
                <w:color w:val="auto"/>
                <w:kern w:val="0"/>
                <w:sz w:val="30"/>
                <w:szCs w:val="20"/>
                <w:highlight w:val="none"/>
                <w:lang w:val="en-US" w:eastAsia="zh-CN"/>
              </w:rPr>
              <w:t>/</w:t>
            </w:r>
          </w:p>
        </w:tc>
        <w:tc>
          <w:tcPr>
            <w:tcW w:w="1697" w:type="dxa"/>
            <w:tcBorders>
              <w:top w:val="double" w:color="000000" w:sz="6" w:space="0"/>
              <w:left w:val="single" w:color="000000" w:sz="6" w:space="0"/>
              <w:bottom w:val="single" w:color="000000" w:sz="6" w:space="0"/>
              <w:right w:val="single" w:color="000000" w:sz="12" w:space="0"/>
            </w:tcBorders>
            <w:noWrap w:val="0"/>
            <w:vAlign w:val="center"/>
          </w:tcPr>
          <w:p w14:paraId="321BC0D8">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lang w:val="en-US" w:eastAsia="zh-CN"/>
              </w:rPr>
            </w:pPr>
            <w:r>
              <w:rPr>
                <w:rFonts w:hint="eastAsia" w:ascii="宋体" w:hAnsi="宋体" w:eastAsia="宋体" w:cs="宋体"/>
                <w:color w:val="auto"/>
                <w:kern w:val="0"/>
                <w:sz w:val="30"/>
                <w:szCs w:val="20"/>
                <w:highlight w:val="none"/>
                <w:lang w:val="en-US" w:eastAsia="zh-CN"/>
              </w:rPr>
              <w:t>/</w:t>
            </w:r>
          </w:p>
        </w:tc>
      </w:tr>
      <w:tr w14:paraId="1FA9227E">
        <w:tblPrEx>
          <w:tblCellMar>
            <w:top w:w="0" w:type="dxa"/>
            <w:left w:w="28" w:type="dxa"/>
            <w:bottom w:w="0" w:type="dxa"/>
            <w:right w:w="28" w:type="dxa"/>
          </w:tblCellMar>
        </w:tblPrEx>
        <w:trPr>
          <w:trHeight w:val="567" w:hRule="atLeast"/>
          <w:jc w:val="center"/>
        </w:trPr>
        <w:tc>
          <w:tcPr>
            <w:tcW w:w="1953" w:type="dxa"/>
            <w:tcBorders>
              <w:left w:val="single" w:color="000000" w:sz="12" w:space="0"/>
              <w:bottom w:val="single" w:color="000000" w:sz="6" w:space="0"/>
              <w:right w:val="single" w:color="000000" w:sz="6" w:space="0"/>
            </w:tcBorders>
            <w:noWrap w:val="0"/>
            <w:vAlign w:val="center"/>
          </w:tcPr>
          <w:p w14:paraId="150B90EA">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276" w:type="dxa"/>
            <w:tcBorders>
              <w:left w:val="single" w:color="000000" w:sz="6" w:space="0"/>
              <w:bottom w:val="single" w:color="000000" w:sz="6" w:space="0"/>
              <w:right w:val="single" w:color="000000" w:sz="6" w:space="0"/>
            </w:tcBorders>
            <w:noWrap w:val="0"/>
            <w:vAlign w:val="center"/>
          </w:tcPr>
          <w:p w14:paraId="65717033">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450" w:type="dxa"/>
            <w:tcBorders>
              <w:left w:val="single" w:color="000000" w:sz="6" w:space="0"/>
              <w:bottom w:val="single" w:color="000000" w:sz="6" w:space="0"/>
              <w:right w:val="single" w:color="000000" w:sz="6" w:space="0"/>
            </w:tcBorders>
            <w:noWrap w:val="0"/>
            <w:vAlign w:val="center"/>
          </w:tcPr>
          <w:p w14:paraId="5886168A">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243" w:type="dxa"/>
            <w:tcBorders>
              <w:left w:val="single" w:color="000000" w:sz="6" w:space="0"/>
              <w:bottom w:val="single" w:color="000000" w:sz="6" w:space="0"/>
              <w:right w:val="single" w:color="000000" w:sz="6" w:space="0"/>
            </w:tcBorders>
            <w:noWrap w:val="0"/>
            <w:vAlign w:val="center"/>
          </w:tcPr>
          <w:p w14:paraId="0DF84157">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450" w:type="dxa"/>
            <w:tcBorders>
              <w:left w:val="single" w:color="000000" w:sz="6" w:space="0"/>
              <w:bottom w:val="single" w:color="000000" w:sz="6" w:space="0"/>
              <w:right w:val="single" w:color="000000" w:sz="6" w:space="0"/>
            </w:tcBorders>
            <w:noWrap w:val="0"/>
            <w:vAlign w:val="center"/>
          </w:tcPr>
          <w:p w14:paraId="670B032D">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697" w:type="dxa"/>
            <w:tcBorders>
              <w:left w:val="single" w:color="000000" w:sz="6" w:space="0"/>
              <w:bottom w:val="single" w:color="000000" w:sz="6" w:space="0"/>
              <w:right w:val="single" w:color="000000" w:sz="12" w:space="0"/>
            </w:tcBorders>
            <w:noWrap w:val="0"/>
            <w:vAlign w:val="center"/>
          </w:tcPr>
          <w:p w14:paraId="3CB563EE">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r>
      <w:tr w14:paraId="1C4AF3E0">
        <w:tblPrEx>
          <w:tblCellMar>
            <w:top w:w="0" w:type="dxa"/>
            <w:left w:w="28" w:type="dxa"/>
            <w:bottom w:w="0" w:type="dxa"/>
            <w:right w:w="28"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vAlign w:val="center"/>
          </w:tcPr>
          <w:p w14:paraId="7E142B48">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276" w:type="dxa"/>
            <w:tcBorders>
              <w:top w:val="single" w:color="000000" w:sz="6" w:space="0"/>
              <w:left w:val="single" w:color="000000" w:sz="6" w:space="0"/>
              <w:bottom w:val="single" w:color="000000" w:sz="6" w:space="0"/>
              <w:right w:val="single" w:color="000000" w:sz="6" w:space="0"/>
            </w:tcBorders>
            <w:noWrap w:val="0"/>
            <w:vAlign w:val="center"/>
          </w:tcPr>
          <w:p w14:paraId="1E85AE91">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center"/>
          </w:tcPr>
          <w:p w14:paraId="6D361AC8">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243" w:type="dxa"/>
            <w:tcBorders>
              <w:top w:val="single" w:color="000000" w:sz="6" w:space="0"/>
              <w:left w:val="single" w:color="000000" w:sz="6" w:space="0"/>
              <w:bottom w:val="single" w:color="000000" w:sz="6" w:space="0"/>
              <w:right w:val="single" w:color="000000" w:sz="6" w:space="0"/>
            </w:tcBorders>
            <w:noWrap w:val="0"/>
            <w:vAlign w:val="center"/>
          </w:tcPr>
          <w:p w14:paraId="565A2D76">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center"/>
          </w:tcPr>
          <w:p w14:paraId="6249DC44">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697" w:type="dxa"/>
            <w:tcBorders>
              <w:top w:val="single" w:color="000000" w:sz="6" w:space="0"/>
              <w:left w:val="single" w:color="000000" w:sz="6" w:space="0"/>
              <w:bottom w:val="single" w:color="000000" w:sz="6" w:space="0"/>
              <w:right w:val="single" w:color="000000" w:sz="12" w:space="0"/>
            </w:tcBorders>
            <w:noWrap w:val="0"/>
            <w:vAlign w:val="center"/>
          </w:tcPr>
          <w:p w14:paraId="6EFC28B9">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r>
      <w:tr w14:paraId="3665AD68">
        <w:tblPrEx>
          <w:tblCellMar>
            <w:top w:w="0" w:type="dxa"/>
            <w:left w:w="28" w:type="dxa"/>
            <w:bottom w:w="0" w:type="dxa"/>
            <w:right w:w="28"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vAlign w:val="center"/>
          </w:tcPr>
          <w:p w14:paraId="4899219F">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276" w:type="dxa"/>
            <w:tcBorders>
              <w:top w:val="single" w:color="000000" w:sz="6" w:space="0"/>
              <w:left w:val="single" w:color="000000" w:sz="6" w:space="0"/>
              <w:bottom w:val="single" w:color="000000" w:sz="6" w:space="0"/>
              <w:right w:val="single" w:color="000000" w:sz="6" w:space="0"/>
            </w:tcBorders>
            <w:noWrap w:val="0"/>
            <w:vAlign w:val="center"/>
          </w:tcPr>
          <w:p w14:paraId="45A539D7">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center"/>
          </w:tcPr>
          <w:p w14:paraId="09E52468">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243" w:type="dxa"/>
            <w:tcBorders>
              <w:top w:val="single" w:color="000000" w:sz="6" w:space="0"/>
              <w:left w:val="single" w:color="000000" w:sz="6" w:space="0"/>
              <w:bottom w:val="single" w:color="000000" w:sz="6" w:space="0"/>
              <w:right w:val="single" w:color="000000" w:sz="6" w:space="0"/>
            </w:tcBorders>
            <w:noWrap w:val="0"/>
            <w:vAlign w:val="center"/>
          </w:tcPr>
          <w:p w14:paraId="071A188E">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center"/>
          </w:tcPr>
          <w:p w14:paraId="6D878813">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697" w:type="dxa"/>
            <w:tcBorders>
              <w:top w:val="single" w:color="000000" w:sz="6" w:space="0"/>
              <w:left w:val="single" w:color="000000" w:sz="6" w:space="0"/>
              <w:bottom w:val="single" w:color="000000" w:sz="6" w:space="0"/>
              <w:right w:val="single" w:color="000000" w:sz="12" w:space="0"/>
            </w:tcBorders>
            <w:noWrap w:val="0"/>
            <w:vAlign w:val="center"/>
          </w:tcPr>
          <w:p w14:paraId="12C02E15">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r>
      <w:tr w14:paraId="7748028D">
        <w:tblPrEx>
          <w:tblCellMar>
            <w:top w:w="0" w:type="dxa"/>
            <w:left w:w="28" w:type="dxa"/>
            <w:bottom w:w="0" w:type="dxa"/>
            <w:right w:w="28"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vAlign w:val="center"/>
          </w:tcPr>
          <w:p w14:paraId="047E764C">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276" w:type="dxa"/>
            <w:tcBorders>
              <w:top w:val="single" w:color="000000" w:sz="6" w:space="0"/>
              <w:left w:val="single" w:color="000000" w:sz="6" w:space="0"/>
              <w:bottom w:val="single" w:color="000000" w:sz="6" w:space="0"/>
              <w:right w:val="single" w:color="000000" w:sz="6" w:space="0"/>
            </w:tcBorders>
            <w:noWrap w:val="0"/>
            <w:vAlign w:val="center"/>
          </w:tcPr>
          <w:p w14:paraId="09FF7291">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center"/>
          </w:tcPr>
          <w:p w14:paraId="50D9C10E">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243" w:type="dxa"/>
            <w:tcBorders>
              <w:top w:val="single" w:color="000000" w:sz="6" w:space="0"/>
              <w:left w:val="single" w:color="000000" w:sz="6" w:space="0"/>
              <w:bottom w:val="single" w:color="000000" w:sz="6" w:space="0"/>
              <w:right w:val="single" w:color="000000" w:sz="6" w:space="0"/>
            </w:tcBorders>
            <w:noWrap w:val="0"/>
            <w:vAlign w:val="center"/>
          </w:tcPr>
          <w:p w14:paraId="0CADF1B8">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center"/>
          </w:tcPr>
          <w:p w14:paraId="744459EC">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697" w:type="dxa"/>
            <w:tcBorders>
              <w:top w:val="single" w:color="000000" w:sz="6" w:space="0"/>
              <w:left w:val="single" w:color="000000" w:sz="6" w:space="0"/>
              <w:bottom w:val="single" w:color="000000" w:sz="6" w:space="0"/>
              <w:right w:val="single" w:color="000000" w:sz="12" w:space="0"/>
            </w:tcBorders>
            <w:noWrap w:val="0"/>
            <w:vAlign w:val="center"/>
          </w:tcPr>
          <w:p w14:paraId="4A5425A3">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r>
      <w:tr w14:paraId="2CFF3EF9">
        <w:tblPrEx>
          <w:tblCellMar>
            <w:top w:w="0" w:type="dxa"/>
            <w:left w:w="28" w:type="dxa"/>
            <w:bottom w:w="0" w:type="dxa"/>
            <w:right w:w="28"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vAlign w:val="center"/>
          </w:tcPr>
          <w:p w14:paraId="0DFD3205">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276" w:type="dxa"/>
            <w:tcBorders>
              <w:top w:val="single" w:color="000000" w:sz="6" w:space="0"/>
              <w:left w:val="single" w:color="000000" w:sz="6" w:space="0"/>
              <w:bottom w:val="single" w:color="000000" w:sz="6" w:space="0"/>
              <w:right w:val="single" w:color="000000" w:sz="6" w:space="0"/>
            </w:tcBorders>
            <w:noWrap w:val="0"/>
            <w:vAlign w:val="center"/>
          </w:tcPr>
          <w:p w14:paraId="351D2681">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center"/>
          </w:tcPr>
          <w:p w14:paraId="0A771CFA">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243" w:type="dxa"/>
            <w:tcBorders>
              <w:top w:val="single" w:color="000000" w:sz="6" w:space="0"/>
              <w:left w:val="single" w:color="000000" w:sz="6" w:space="0"/>
              <w:bottom w:val="single" w:color="000000" w:sz="6" w:space="0"/>
              <w:right w:val="single" w:color="000000" w:sz="6" w:space="0"/>
            </w:tcBorders>
            <w:noWrap w:val="0"/>
            <w:vAlign w:val="center"/>
          </w:tcPr>
          <w:p w14:paraId="7B25D1CE">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center"/>
          </w:tcPr>
          <w:p w14:paraId="223DFFA4">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697" w:type="dxa"/>
            <w:tcBorders>
              <w:top w:val="single" w:color="000000" w:sz="6" w:space="0"/>
              <w:left w:val="single" w:color="000000" w:sz="6" w:space="0"/>
              <w:bottom w:val="single" w:color="000000" w:sz="6" w:space="0"/>
              <w:right w:val="single" w:color="000000" w:sz="12" w:space="0"/>
            </w:tcBorders>
            <w:noWrap w:val="0"/>
            <w:vAlign w:val="center"/>
          </w:tcPr>
          <w:p w14:paraId="134AA08F">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r>
      <w:tr w14:paraId="538062F0">
        <w:tblPrEx>
          <w:tblCellMar>
            <w:top w:w="0" w:type="dxa"/>
            <w:left w:w="28" w:type="dxa"/>
            <w:bottom w:w="0" w:type="dxa"/>
            <w:right w:w="28"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vAlign w:val="center"/>
          </w:tcPr>
          <w:p w14:paraId="792625E3">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276" w:type="dxa"/>
            <w:tcBorders>
              <w:top w:val="single" w:color="000000" w:sz="6" w:space="0"/>
              <w:left w:val="single" w:color="000000" w:sz="6" w:space="0"/>
              <w:bottom w:val="single" w:color="000000" w:sz="6" w:space="0"/>
              <w:right w:val="single" w:color="000000" w:sz="6" w:space="0"/>
            </w:tcBorders>
            <w:noWrap w:val="0"/>
            <w:vAlign w:val="center"/>
          </w:tcPr>
          <w:p w14:paraId="3939E7DA">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center"/>
          </w:tcPr>
          <w:p w14:paraId="1D7EC3D7">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243" w:type="dxa"/>
            <w:tcBorders>
              <w:top w:val="single" w:color="000000" w:sz="6" w:space="0"/>
              <w:left w:val="single" w:color="000000" w:sz="6" w:space="0"/>
              <w:bottom w:val="single" w:color="000000" w:sz="6" w:space="0"/>
              <w:right w:val="single" w:color="000000" w:sz="6" w:space="0"/>
            </w:tcBorders>
            <w:noWrap w:val="0"/>
            <w:vAlign w:val="center"/>
          </w:tcPr>
          <w:p w14:paraId="22844BBA">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center"/>
          </w:tcPr>
          <w:p w14:paraId="6B6E73C7">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697" w:type="dxa"/>
            <w:tcBorders>
              <w:top w:val="single" w:color="000000" w:sz="6" w:space="0"/>
              <w:left w:val="single" w:color="000000" w:sz="6" w:space="0"/>
              <w:bottom w:val="single" w:color="000000" w:sz="6" w:space="0"/>
              <w:right w:val="single" w:color="000000" w:sz="12" w:space="0"/>
            </w:tcBorders>
            <w:noWrap w:val="0"/>
            <w:vAlign w:val="center"/>
          </w:tcPr>
          <w:p w14:paraId="13910CED">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r>
      <w:tr w14:paraId="45448527">
        <w:tblPrEx>
          <w:tblCellMar>
            <w:top w:w="0" w:type="dxa"/>
            <w:left w:w="28" w:type="dxa"/>
            <w:bottom w:w="0" w:type="dxa"/>
            <w:right w:w="28"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vAlign w:val="center"/>
          </w:tcPr>
          <w:p w14:paraId="3016686E">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276" w:type="dxa"/>
            <w:tcBorders>
              <w:top w:val="single" w:color="000000" w:sz="6" w:space="0"/>
              <w:left w:val="single" w:color="000000" w:sz="6" w:space="0"/>
              <w:bottom w:val="single" w:color="000000" w:sz="6" w:space="0"/>
              <w:right w:val="single" w:color="000000" w:sz="6" w:space="0"/>
            </w:tcBorders>
            <w:noWrap w:val="0"/>
            <w:vAlign w:val="center"/>
          </w:tcPr>
          <w:p w14:paraId="22964B9D">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center"/>
          </w:tcPr>
          <w:p w14:paraId="0BC1715C">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243" w:type="dxa"/>
            <w:tcBorders>
              <w:top w:val="single" w:color="000000" w:sz="6" w:space="0"/>
              <w:left w:val="single" w:color="000000" w:sz="6" w:space="0"/>
              <w:bottom w:val="single" w:color="000000" w:sz="6" w:space="0"/>
              <w:right w:val="single" w:color="000000" w:sz="6" w:space="0"/>
            </w:tcBorders>
            <w:noWrap w:val="0"/>
            <w:vAlign w:val="center"/>
          </w:tcPr>
          <w:p w14:paraId="5D99D97C">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center"/>
          </w:tcPr>
          <w:p w14:paraId="2518E38A">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697" w:type="dxa"/>
            <w:tcBorders>
              <w:top w:val="single" w:color="000000" w:sz="6" w:space="0"/>
              <w:left w:val="single" w:color="000000" w:sz="6" w:space="0"/>
              <w:bottom w:val="single" w:color="000000" w:sz="6" w:space="0"/>
              <w:right w:val="single" w:color="000000" w:sz="12" w:space="0"/>
            </w:tcBorders>
            <w:noWrap w:val="0"/>
            <w:vAlign w:val="center"/>
          </w:tcPr>
          <w:p w14:paraId="4536763F">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r>
      <w:tr w14:paraId="28273182">
        <w:tblPrEx>
          <w:tblCellMar>
            <w:top w:w="0" w:type="dxa"/>
            <w:left w:w="28" w:type="dxa"/>
            <w:bottom w:w="0" w:type="dxa"/>
            <w:right w:w="28"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vAlign w:val="top"/>
          </w:tcPr>
          <w:p w14:paraId="4767D0F8">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276" w:type="dxa"/>
            <w:tcBorders>
              <w:top w:val="single" w:color="000000" w:sz="6" w:space="0"/>
              <w:left w:val="single" w:color="000000" w:sz="6" w:space="0"/>
              <w:bottom w:val="single" w:color="000000" w:sz="6" w:space="0"/>
              <w:right w:val="single" w:color="000000" w:sz="6" w:space="0"/>
            </w:tcBorders>
            <w:noWrap w:val="0"/>
            <w:vAlign w:val="top"/>
          </w:tcPr>
          <w:p w14:paraId="743758E3">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top"/>
          </w:tcPr>
          <w:p w14:paraId="7E292F0D">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243" w:type="dxa"/>
            <w:tcBorders>
              <w:top w:val="single" w:color="000000" w:sz="6" w:space="0"/>
              <w:left w:val="single" w:color="000000" w:sz="6" w:space="0"/>
              <w:bottom w:val="single" w:color="000000" w:sz="6" w:space="0"/>
              <w:right w:val="single" w:color="000000" w:sz="6" w:space="0"/>
            </w:tcBorders>
            <w:noWrap w:val="0"/>
            <w:vAlign w:val="top"/>
          </w:tcPr>
          <w:p w14:paraId="1C631C26">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top"/>
          </w:tcPr>
          <w:p w14:paraId="6B3F2C82">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697" w:type="dxa"/>
            <w:tcBorders>
              <w:top w:val="single" w:color="000000" w:sz="6" w:space="0"/>
              <w:left w:val="single" w:color="000000" w:sz="6" w:space="0"/>
              <w:bottom w:val="single" w:color="000000" w:sz="6" w:space="0"/>
              <w:right w:val="single" w:color="000000" w:sz="12" w:space="0"/>
            </w:tcBorders>
            <w:noWrap w:val="0"/>
            <w:vAlign w:val="top"/>
          </w:tcPr>
          <w:p w14:paraId="1A8231DC">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r>
      <w:tr w14:paraId="0A9D1498">
        <w:tblPrEx>
          <w:tblCellMar>
            <w:top w:w="0" w:type="dxa"/>
            <w:left w:w="28" w:type="dxa"/>
            <w:bottom w:w="0" w:type="dxa"/>
            <w:right w:w="28"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vAlign w:val="center"/>
          </w:tcPr>
          <w:p w14:paraId="10755A60">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276" w:type="dxa"/>
            <w:tcBorders>
              <w:top w:val="single" w:color="000000" w:sz="6" w:space="0"/>
              <w:left w:val="single" w:color="000000" w:sz="6" w:space="0"/>
              <w:bottom w:val="single" w:color="000000" w:sz="6" w:space="0"/>
              <w:right w:val="single" w:color="000000" w:sz="6" w:space="0"/>
            </w:tcBorders>
            <w:noWrap w:val="0"/>
            <w:vAlign w:val="center"/>
          </w:tcPr>
          <w:p w14:paraId="1C0043D1">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center"/>
          </w:tcPr>
          <w:p w14:paraId="4822E067">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243" w:type="dxa"/>
            <w:tcBorders>
              <w:top w:val="single" w:color="000000" w:sz="6" w:space="0"/>
              <w:left w:val="single" w:color="000000" w:sz="6" w:space="0"/>
              <w:bottom w:val="single" w:color="000000" w:sz="6" w:space="0"/>
              <w:right w:val="single" w:color="000000" w:sz="6" w:space="0"/>
            </w:tcBorders>
            <w:noWrap w:val="0"/>
            <w:vAlign w:val="center"/>
          </w:tcPr>
          <w:p w14:paraId="736A7825">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center"/>
          </w:tcPr>
          <w:p w14:paraId="27026212">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c>
          <w:tcPr>
            <w:tcW w:w="1697" w:type="dxa"/>
            <w:tcBorders>
              <w:top w:val="single" w:color="000000" w:sz="6" w:space="0"/>
              <w:left w:val="single" w:color="000000" w:sz="6" w:space="0"/>
              <w:bottom w:val="single" w:color="000000" w:sz="6" w:space="0"/>
              <w:right w:val="single" w:color="000000" w:sz="12" w:space="0"/>
            </w:tcBorders>
            <w:noWrap w:val="0"/>
            <w:vAlign w:val="center"/>
          </w:tcPr>
          <w:p w14:paraId="4E1C2352">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30"/>
                <w:szCs w:val="20"/>
                <w:highlight w:val="none"/>
              </w:rPr>
            </w:pPr>
          </w:p>
        </w:tc>
      </w:tr>
      <w:tr w14:paraId="3BFC183A">
        <w:tblPrEx>
          <w:tblCellMar>
            <w:top w:w="0" w:type="dxa"/>
            <w:left w:w="28" w:type="dxa"/>
            <w:bottom w:w="0" w:type="dxa"/>
            <w:right w:w="28"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vAlign w:val="top"/>
          </w:tcPr>
          <w:p w14:paraId="0B3C1492">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276" w:type="dxa"/>
            <w:tcBorders>
              <w:top w:val="single" w:color="000000" w:sz="6" w:space="0"/>
              <w:left w:val="single" w:color="000000" w:sz="6" w:space="0"/>
              <w:bottom w:val="single" w:color="000000" w:sz="6" w:space="0"/>
              <w:right w:val="single" w:color="000000" w:sz="6" w:space="0"/>
            </w:tcBorders>
            <w:noWrap w:val="0"/>
            <w:vAlign w:val="top"/>
          </w:tcPr>
          <w:p w14:paraId="7B587219">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top"/>
          </w:tcPr>
          <w:p w14:paraId="5E330F3B">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243" w:type="dxa"/>
            <w:tcBorders>
              <w:top w:val="single" w:color="000000" w:sz="6" w:space="0"/>
              <w:left w:val="single" w:color="000000" w:sz="6" w:space="0"/>
              <w:bottom w:val="single" w:color="000000" w:sz="6" w:space="0"/>
              <w:right w:val="single" w:color="000000" w:sz="6" w:space="0"/>
            </w:tcBorders>
            <w:noWrap w:val="0"/>
            <w:vAlign w:val="top"/>
          </w:tcPr>
          <w:p w14:paraId="13A5B1F5">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top"/>
          </w:tcPr>
          <w:p w14:paraId="0A681E3F">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697" w:type="dxa"/>
            <w:tcBorders>
              <w:top w:val="single" w:color="000000" w:sz="6" w:space="0"/>
              <w:left w:val="single" w:color="000000" w:sz="6" w:space="0"/>
              <w:bottom w:val="single" w:color="000000" w:sz="6" w:space="0"/>
              <w:right w:val="single" w:color="000000" w:sz="12" w:space="0"/>
            </w:tcBorders>
            <w:noWrap w:val="0"/>
            <w:vAlign w:val="top"/>
          </w:tcPr>
          <w:p w14:paraId="76EFB8BC">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r>
      <w:tr w14:paraId="16178D6A">
        <w:tblPrEx>
          <w:tblCellMar>
            <w:top w:w="0" w:type="dxa"/>
            <w:left w:w="28" w:type="dxa"/>
            <w:bottom w:w="0" w:type="dxa"/>
            <w:right w:w="28"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vAlign w:val="top"/>
          </w:tcPr>
          <w:p w14:paraId="78E2B68F">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276" w:type="dxa"/>
            <w:tcBorders>
              <w:top w:val="single" w:color="000000" w:sz="6" w:space="0"/>
              <w:left w:val="single" w:color="000000" w:sz="6" w:space="0"/>
              <w:bottom w:val="single" w:color="000000" w:sz="6" w:space="0"/>
              <w:right w:val="single" w:color="000000" w:sz="6" w:space="0"/>
            </w:tcBorders>
            <w:noWrap w:val="0"/>
            <w:vAlign w:val="top"/>
          </w:tcPr>
          <w:p w14:paraId="03611B38">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top"/>
          </w:tcPr>
          <w:p w14:paraId="146557EF">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243" w:type="dxa"/>
            <w:tcBorders>
              <w:top w:val="single" w:color="000000" w:sz="6" w:space="0"/>
              <w:left w:val="single" w:color="000000" w:sz="6" w:space="0"/>
              <w:bottom w:val="single" w:color="000000" w:sz="6" w:space="0"/>
              <w:right w:val="single" w:color="000000" w:sz="6" w:space="0"/>
            </w:tcBorders>
            <w:noWrap w:val="0"/>
            <w:vAlign w:val="top"/>
          </w:tcPr>
          <w:p w14:paraId="7AD34D58">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top"/>
          </w:tcPr>
          <w:p w14:paraId="16C38380">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697" w:type="dxa"/>
            <w:tcBorders>
              <w:top w:val="single" w:color="000000" w:sz="6" w:space="0"/>
              <w:left w:val="single" w:color="000000" w:sz="6" w:space="0"/>
              <w:bottom w:val="single" w:color="000000" w:sz="6" w:space="0"/>
              <w:right w:val="single" w:color="000000" w:sz="12" w:space="0"/>
            </w:tcBorders>
            <w:noWrap w:val="0"/>
            <w:vAlign w:val="top"/>
          </w:tcPr>
          <w:p w14:paraId="49D01DBA">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r>
      <w:tr w14:paraId="3DF59FA2">
        <w:tblPrEx>
          <w:tblCellMar>
            <w:top w:w="0" w:type="dxa"/>
            <w:left w:w="28" w:type="dxa"/>
            <w:bottom w:w="0" w:type="dxa"/>
            <w:right w:w="28"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vAlign w:val="top"/>
          </w:tcPr>
          <w:p w14:paraId="60587EEC">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276" w:type="dxa"/>
            <w:tcBorders>
              <w:top w:val="single" w:color="000000" w:sz="6" w:space="0"/>
              <w:left w:val="single" w:color="000000" w:sz="6" w:space="0"/>
              <w:bottom w:val="single" w:color="000000" w:sz="6" w:space="0"/>
              <w:right w:val="single" w:color="000000" w:sz="6" w:space="0"/>
            </w:tcBorders>
            <w:noWrap w:val="0"/>
            <w:vAlign w:val="top"/>
          </w:tcPr>
          <w:p w14:paraId="667D891C">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top"/>
          </w:tcPr>
          <w:p w14:paraId="2CDCB4EE">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243" w:type="dxa"/>
            <w:tcBorders>
              <w:top w:val="single" w:color="000000" w:sz="6" w:space="0"/>
              <w:left w:val="single" w:color="000000" w:sz="6" w:space="0"/>
              <w:bottom w:val="single" w:color="000000" w:sz="6" w:space="0"/>
              <w:right w:val="single" w:color="000000" w:sz="6" w:space="0"/>
            </w:tcBorders>
            <w:noWrap w:val="0"/>
            <w:vAlign w:val="top"/>
          </w:tcPr>
          <w:p w14:paraId="3205C9A5">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top"/>
          </w:tcPr>
          <w:p w14:paraId="1CDA7374">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697" w:type="dxa"/>
            <w:tcBorders>
              <w:top w:val="single" w:color="000000" w:sz="6" w:space="0"/>
              <w:left w:val="single" w:color="000000" w:sz="6" w:space="0"/>
              <w:bottom w:val="single" w:color="000000" w:sz="6" w:space="0"/>
              <w:right w:val="single" w:color="000000" w:sz="12" w:space="0"/>
            </w:tcBorders>
            <w:noWrap w:val="0"/>
            <w:vAlign w:val="top"/>
          </w:tcPr>
          <w:p w14:paraId="44ECD18F">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r>
      <w:tr w14:paraId="51E7FCC3">
        <w:tblPrEx>
          <w:tblCellMar>
            <w:top w:w="0" w:type="dxa"/>
            <w:left w:w="28" w:type="dxa"/>
            <w:bottom w:w="0" w:type="dxa"/>
            <w:right w:w="28"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vAlign w:val="top"/>
          </w:tcPr>
          <w:p w14:paraId="7CAF908B">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276" w:type="dxa"/>
            <w:tcBorders>
              <w:top w:val="single" w:color="000000" w:sz="6" w:space="0"/>
              <w:left w:val="single" w:color="000000" w:sz="6" w:space="0"/>
              <w:bottom w:val="single" w:color="000000" w:sz="6" w:space="0"/>
              <w:right w:val="single" w:color="000000" w:sz="6" w:space="0"/>
            </w:tcBorders>
            <w:noWrap w:val="0"/>
            <w:vAlign w:val="top"/>
          </w:tcPr>
          <w:p w14:paraId="09F5705B">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top"/>
          </w:tcPr>
          <w:p w14:paraId="78076807">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243" w:type="dxa"/>
            <w:tcBorders>
              <w:top w:val="single" w:color="000000" w:sz="6" w:space="0"/>
              <w:left w:val="single" w:color="000000" w:sz="6" w:space="0"/>
              <w:bottom w:val="single" w:color="000000" w:sz="6" w:space="0"/>
              <w:right w:val="single" w:color="000000" w:sz="6" w:space="0"/>
            </w:tcBorders>
            <w:noWrap w:val="0"/>
            <w:vAlign w:val="top"/>
          </w:tcPr>
          <w:p w14:paraId="115885D4">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top"/>
          </w:tcPr>
          <w:p w14:paraId="39699749">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697" w:type="dxa"/>
            <w:tcBorders>
              <w:top w:val="single" w:color="000000" w:sz="6" w:space="0"/>
              <w:left w:val="single" w:color="000000" w:sz="6" w:space="0"/>
              <w:bottom w:val="single" w:color="000000" w:sz="6" w:space="0"/>
              <w:right w:val="single" w:color="000000" w:sz="12" w:space="0"/>
            </w:tcBorders>
            <w:noWrap w:val="0"/>
            <w:vAlign w:val="top"/>
          </w:tcPr>
          <w:p w14:paraId="436A6D6E">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r>
      <w:tr w14:paraId="2FEB7427">
        <w:tblPrEx>
          <w:tblCellMar>
            <w:top w:w="0" w:type="dxa"/>
            <w:left w:w="28" w:type="dxa"/>
            <w:bottom w:w="0" w:type="dxa"/>
            <w:right w:w="28"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vAlign w:val="top"/>
          </w:tcPr>
          <w:p w14:paraId="145F3698">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276" w:type="dxa"/>
            <w:tcBorders>
              <w:top w:val="single" w:color="000000" w:sz="6" w:space="0"/>
              <w:left w:val="single" w:color="000000" w:sz="6" w:space="0"/>
              <w:bottom w:val="single" w:color="000000" w:sz="6" w:space="0"/>
              <w:right w:val="single" w:color="000000" w:sz="6" w:space="0"/>
            </w:tcBorders>
            <w:noWrap w:val="0"/>
            <w:vAlign w:val="top"/>
          </w:tcPr>
          <w:p w14:paraId="54DCE463">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top"/>
          </w:tcPr>
          <w:p w14:paraId="08109F7D">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243" w:type="dxa"/>
            <w:tcBorders>
              <w:top w:val="single" w:color="000000" w:sz="6" w:space="0"/>
              <w:left w:val="single" w:color="000000" w:sz="6" w:space="0"/>
              <w:bottom w:val="single" w:color="000000" w:sz="6" w:space="0"/>
              <w:right w:val="single" w:color="000000" w:sz="6" w:space="0"/>
            </w:tcBorders>
            <w:noWrap w:val="0"/>
            <w:vAlign w:val="top"/>
          </w:tcPr>
          <w:p w14:paraId="3F5F918F">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top"/>
          </w:tcPr>
          <w:p w14:paraId="1FF96538">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697" w:type="dxa"/>
            <w:tcBorders>
              <w:top w:val="single" w:color="000000" w:sz="6" w:space="0"/>
              <w:left w:val="single" w:color="000000" w:sz="6" w:space="0"/>
              <w:bottom w:val="single" w:color="000000" w:sz="6" w:space="0"/>
              <w:right w:val="single" w:color="000000" w:sz="12" w:space="0"/>
            </w:tcBorders>
            <w:noWrap w:val="0"/>
            <w:vAlign w:val="top"/>
          </w:tcPr>
          <w:p w14:paraId="1FC3EE92">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r>
      <w:tr w14:paraId="67862C1F">
        <w:tblPrEx>
          <w:tblCellMar>
            <w:top w:w="0" w:type="dxa"/>
            <w:left w:w="28" w:type="dxa"/>
            <w:bottom w:w="0" w:type="dxa"/>
            <w:right w:w="28"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vAlign w:val="top"/>
          </w:tcPr>
          <w:p w14:paraId="254CCD33">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276" w:type="dxa"/>
            <w:tcBorders>
              <w:top w:val="single" w:color="000000" w:sz="6" w:space="0"/>
              <w:left w:val="single" w:color="000000" w:sz="6" w:space="0"/>
              <w:bottom w:val="single" w:color="000000" w:sz="6" w:space="0"/>
              <w:right w:val="single" w:color="000000" w:sz="6" w:space="0"/>
            </w:tcBorders>
            <w:noWrap w:val="0"/>
            <w:vAlign w:val="top"/>
          </w:tcPr>
          <w:p w14:paraId="4EEED51D">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top"/>
          </w:tcPr>
          <w:p w14:paraId="344E7D71">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243" w:type="dxa"/>
            <w:tcBorders>
              <w:top w:val="single" w:color="000000" w:sz="6" w:space="0"/>
              <w:left w:val="single" w:color="000000" w:sz="6" w:space="0"/>
              <w:bottom w:val="single" w:color="000000" w:sz="6" w:space="0"/>
              <w:right w:val="single" w:color="000000" w:sz="6" w:space="0"/>
            </w:tcBorders>
            <w:noWrap w:val="0"/>
            <w:vAlign w:val="top"/>
          </w:tcPr>
          <w:p w14:paraId="3B94998D">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top"/>
          </w:tcPr>
          <w:p w14:paraId="011CA3E8">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697" w:type="dxa"/>
            <w:tcBorders>
              <w:top w:val="single" w:color="000000" w:sz="6" w:space="0"/>
              <w:left w:val="single" w:color="000000" w:sz="6" w:space="0"/>
              <w:bottom w:val="single" w:color="000000" w:sz="6" w:space="0"/>
              <w:right w:val="single" w:color="000000" w:sz="12" w:space="0"/>
            </w:tcBorders>
            <w:noWrap w:val="0"/>
            <w:vAlign w:val="top"/>
          </w:tcPr>
          <w:p w14:paraId="67AAA435">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r>
      <w:tr w14:paraId="6D11D724">
        <w:tblPrEx>
          <w:tblCellMar>
            <w:top w:w="0" w:type="dxa"/>
            <w:left w:w="28" w:type="dxa"/>
            <w:bottom w:w="0" w:type="dxa"/>
            <w:right w:w="28"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vAlign w:val="top"/>
          </w:tcPr>
          <w:p w14:paraId="330A827F">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276" w:type="dxa"/>
            <w:tcBorders>
              <w:top w:val="single" w:color="000000" w:sz="6" w:space="0"/>
              <w:left w:val="single" w:color="000000" w:sz="6" w:space="0"/>
              <w:bottom w:val="single" w:color="000000" w:sz="6" w:space="0"/>
              <w:right w:val="single" w:color="000000" w:sz="6" w:space="0"/>
            </w:tcBorders>
            <w:noWrap w:val="0"/>
            <w:vAlign w:val="top"/>
          </w:tcPr>
          <w:p w14:paraId="2897C5A4">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top"/>
          </w:tcPr>
          <w:p w14:paraId="4D997933">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243" w:type="dxa"/>
            <w:tcBorders>
              <w:top w:val="single" w:color="000000" w:sz="6" w:space="0"/>
              <w:left w:val="single" w:color="000000" w:sz="6" w:space="0"/>
              <w:bottom w:val="single" w:color="000000" w:sz="6" w:space="0"/>
              <w:right w:val="single" w:color="000000" w:sz="6" w:space="0"/>
            </w:tcBorders>
            <w:noWrap w:val="0"/>
            <w:vAlign w:val="top"/>
          </w:tcPr>
          <w:p w14:paraId="70679A93">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top"/>
          </w:tcPr>
          <w:p w14:paraId="08BA7979">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697" w:type="dxa"/>
            <w:tcBorders>
              <w:top w:val="single" w:color="000000" w:sz="6" w:space="0"/>
              <w:left w:val="single" w:color="000000" w:sz="6" w:space="0"/>
              <w:bottom w:val="single" w:color="000000" w:sz="6" w:space="0"/>
              <w:right w:val="single" w:color="000000" w:sz="12" w:space="0"/>
            </w:tcBorders>
            <w:noWrap w:val="0"/>
            <w:vAlign w:val="top"/>
          </w:tcPr>
          <w:p w14:paraId="455B0C93">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r>
      <w:tr w14:paraId="24584DFD">
        <w:tblPrEx>
          <w:tblCellMar>
            <w:top w:w="0" w:type="dxa"/>
            <w:left w:w="28" w:type="dxa"/>
            <w:bottom w:w="0" w:type="dxa"/>
            <w:right w:w="28"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vAlign w:val="top"/>
          </w:tcPr>
          <w:p w14:paraId="210A8734">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276" w:type="dxa"/>
            <w:tcBorders>
              <w:top w:val="single" w:color="000000" w:sz="6" w:space="0"/>
              <w:left w:val="single" w:color="000000" w:sz="6" w:space="0"/>
              <w:bottom w:val="single" w:color="000000" w:sz="6" w:space="0"/>
              <w:right w:val="single" w:color="000000" w:sz="6" w:space="0"/>
            </w:tcBorders>
            <w:noWrap w:val="0"/>
            <w:vAlign w:val="top"/>
          </w:tcPr>
          <w:p w14:paraId="70C0DEFB">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top"/>
          </w:tcPr>
          <w:p w14:paraId="0B9CE72D">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243" w:type="dxa"/>
            <w:tcBorders>
              <w:top w:val="single" w:color="000000" w:sz="6" w:space="0"/>
              <w:left w:val="single" w:color="000000" w:sz="6" w:space="0"/>
              <w:bottom w:val="single" w:color="000000" w:sz="6" w:space="0"/>
              <w:right w:val="single" w:color="000000" w:sz="6" w:space="0"/>
            </w:tcBorders>
            <w:noWrap w:val="0"/>
            <w:vAlign w:val="top"/>
          </w:tcPr>
          <w:p w14:paraId="7AFFB7A7">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6" w:space="0"/>
              <w:right w:val="single" w:color="000000" w:sz="6" w:space="0"/>
            </w:tcBorders>
            <w:noWrap w:val="0"/>
            <w:vAlign w:val="top"/>
          </w:tcPr>
          <w:p w14:paraId="473E6DFE">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697" w:type="dxa"/>
            <w:tcBorders>
              <w:top w:val="single" w:color="000000" w:sz="6" w:space="0"/>
              <w:left w:val="single" w:color="000000" w:sz="6" w:space="0"/>
              <w:bottom w:val="single" w:color="000000" w:sz="6" w:space="0"/>
              <w:right w:val="single" w:color="000000" w:sz="12" w:space="0"/>
            </w:tcBorders>
            <w:noWrap w:val="0"/>
            <w:vAlign w:val="top"/>
          </w:tcPr>
          <w:p w14:paraId="43E08111">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r>
      <w:tr w14:paraId="525982E3">
        <w:tblPrEx>
          <w:tblCellMar>
            <w:top w:w="0" w:type="dxa"/>
            <w:left w:w="28" w:type="dxa"/>
            <w:bottom w:w="0" w:type="dxa"/>
            <w:right w:w="28" w:type="dxa"/>
          </w:tblCellMar>
        </w:tblPrEx>
        <w:trPr>
          <w:trHeight w:val="567" w:hRule="atLeast"/>
          <w:jc w:val="center"/>
        </w:trPr>
        <w:tc>
          <w:tcPr>
            <w:tcW w:w="1953" w:type="dxa"/>
            <w:tcBorders>
              <w:top w:val="single" w:color="000000" w:sz="6" w:space="0"/>
              <w:left w:val="single" w:color="000000" w:sz="12" w:space="0"/>
              <w:bottom w:val="single" w:color="000000" w:sz="12" w:space="0"/>
              <w:right w:val="single" w:color="000000" w:sz="6" w:space="0"/>
            </w:tcBorders>
            <w:noWrap w:val="0"/>
            <w:vAlign w:val="top"/>
          </w:tcPr>
          <w:p w14:paraId="6D0B5565">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276" w:type="dxa"/>
            <w:tcBorders>
              <w:top w:val="single" w:color="000000" w:sz="6" w:space="0"/>
              <w:left w:val="single" w:color="000000" w:sz="6" w:space="0"/>
              <w:bottom w:val="single" w:color="000000" w:sz="12" w:space="0"/>
              <w:right w:val="single" w:color="000000" w:sz="6" w:space="0"/>
            </w:tcBorders>
            <w:noWrap w:val="0"/>
            <w:vAlign w:val="top"/>
          </w:tcPr>
          <w:p w14:paraId="3D5C5B9A">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12" w:space="0"/>
              <w:right w:val="single" w:color="000000" w:sz="6" w:space="0"/>
            </w:tcBorders>
            <w:noWrap w:val="0"/>
            <w:vAlign w:val="top"/>
          </w:tcPr>
          <w:p w14:paraId="6D9CDDC4">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243" w:type="dxa"/>
            <w:tcBorders>
              <w:top w:val="single" w:color="000000" w:sz="6" w:space="0"/>
              <w:left w:val="single" w:color="000000" w:sz="6" w:space="0"/>
              <w:bottom w:val="single" w:color="000000" w:sz="12" w:space="0"/>
              <w:right w:val="single" w:color="000000" w:sz="6" w:space="0"/>
            </w:tcBorders>
            <w:noWrap w:val="0"/>
            <w:vAlign w:val="top"/>
          </w:tcPr>
          <w:p w14:paraId="64175D07">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450" w:type="dxa"/>
            <w:tcBorders>
              <w:top w:val="single" w:color="000000" w:sz="6" w:space="0"/>
              <w:left w:val="single" w:color="000000" w:sz="6" w:space="0"/>
              <w:bottom w:val="single" w:color="000000" w:sz="12" w:space="0"/>
              <w:right w:val="single" w:color="000000" w:sz="6" w:space="0"/>
            </w:tcBorders>
            <w:noWrap w:val="0"/>
            <w:vAlign w:val="top"/>
          </w:tcPr>
          <w:p w14:paraId="3F05F875">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c>
          <w:tcPr>
            <w:tcW w:w="1697" w:type="dxa"/>
            <w:tcBorders>
              <w:top w:val="single" w:color="000000" w:sz="6" w:space="0"/>
              <w:left w:val="single" w:color="000000" w:sz="6" w:space="0"/>
              <w:bottom w:val="single" w:color="000000" w:sz="12" w:space="0"/>
              <w:right w:val="single" w:color="000000" w:sz="12" w:space="0"/>
            </w:tcBorders>
            <w:noWrap w:val="0"/>
            <w:vAlign w:val="top"/>
          </w:tcPr>
          <w:p w14:paraId="0A589108">
            <w:pPr>
              <w:pStyle w:val="24"/>
              <w:pageBreakBefore w:val="0"/>
              <w:widowControl w:val="0"/>
              <w:wordWrap/>
              <w:overflowPunct/>
              <w:topLinePunct w:val="0"/>
              <w:bidi w:val="0"/>
              <w:snapToGrid w:val="0"/>
              <w:spacing w:line="360" w:lineRule="auto"/>
              <w:ind w:left="0" w:leftChars="0" w:right="0" w:rightChars="0"/>
              <w:rPr>
                <w:rFonts w:hint="eastAsia" w:ascii="宋体" w:hAnsi="宋体" w:eastAsia="宋体" w:cs="宋体"/>
                <w:color w:val="auto"/>
                <w:kern w:val="0"/>
                <w:sz w:val="30"/>
                <w:szCs w:val="20"/>
                <w:highlight w:val="none"/>
              </w:rPr>
            </w:pPr>
          </w:p>
        </w:tc>
      </w:tr>
    </w:tbl>
    <w:p w14:paraId="165A19EA">
      <w:pPr>
        <w:pStyle w:val="4"/>
        <w:bidi w:val="0"/>
        <w:rPr>
          <w:rFonts w:hint="eastAsia" w:ascii="宋体" w:hAnsi="宋体" w:eastAsia="宋体" w:cs="宋体"/>
          <w:color w:val="auto"/>
          <w:highlight w:val="none"/>
        </w:rPr>
      </w:pPr>
      <w:bookmarkStart w:id="128" w:name="_Toc8954"/>
      <w:r>
        <w:rPr>
          <w:rFonts w:hint="eastAsia" w:ascii="宋体" w:hAnsi="宋体" w:eastAsia="宋体" w:cs="宋体"/>
          <w:color w:val="auto"/>
          <w:highlight w:val="none"/>
        </w:rPr>
        <w:t>附件4：承包人用于本工程施工的机械设备表</w:t>
      </w:r>
      <w:bookmarkEnd w:id="128"/>
    </w:p>
    <w:p w14:paraId="7EA6D8B8">
      <w:pPr>
        <w:bidi w:val="0"/>
        <w:rPr>
          <w:rFonts w:hint="eastAsia" w:ascii="宋体" w:hAnsi="宋体" w:eastAsia="宋体" w:cs="宋体"/>
          <w:color w:val="auto"/>
          <w:highlight w:val="none"/>
        </w:rPr>
      </w:pPr>
    </w:p>
    <w:p w14:paraId="225B30E1">
      <w:pPr>
        <w:pStyle w:val="4"/>
        <w:bidi w:val="0"/>
        <w:rPr>
          <w:rFonts w:hint="eastAsia" w:ascii="宋体" w:hAnsi="宋体" w:eastAsia="宋体" w:cs="宋体"/>
          <w:color w:val="auto"/>
          <w:kern w:val="0"/>
          <w:szCs w:val="20"/>
          <w:highlight w:val="none"/>
        </w:rPr>
      </w:pPr>
      <w:r>
        <w:rPr>
          <w:rFonts w:hint="eastAsia" w:ascii="宋体" w:hAnsi="宋体" w:eastAsia="宋体" w:cs="宋体"/>
          <w:color w:val="auto"/>
          <w:highlight w:val="none"/>
        </w:rPr>
        <w:br w:type="page"/>
      </w:r>
      <w:bookmarkStart w:id="129" w:name="_Toc28674"/>
      <w:r>
        <w:rPr>
          <w:rFonts w:hint="eastAsia" w:ascii="宋体" w:hAnsi="宋体" w:eastAsia="宋体" w:cs="宋体"/>
          <w:color w:val="auto"/>
          <w:highlight w:val="none"/>
        </w:rPr>
        <w:t>附件5：承包人主要施工管理人员表</w:t>
      </w:r>
      <w:bookmarkEnd w:id="129"/>
    </w:p>
    <w:p w14:paraId="1B9FA194">
      <w:pPr>
        <w:pStyle w:val="24"/>
        <w:pageBreakBefore w:val="0"/>
        <w:widowControl w:val="0"/>
        <w:wordWrap/>
        <w:overflowPunct/>
        <w:topLinePunct w:val="0"/>
        <w:bidi w:val="0"/>
        <w:spacing w:line="360" w:lineRule="auto"/>
        <w:ind w:left="0" w:leftChars="0" w:right="0" w:rightChars="0"/>
        <w:jc w:val="center"/>
        <w:rPr>
          <w:rFonts w:hint="eastAsia" w:ascii="宋体" w:hAnsi="宋体" w:eastAsia="宋体" w:cs="宋体"/>
          <w:color w:val="auto"/>
          <w:kern w:val="0"/>
          <w:sz w:val="30"/>
          <w:szCs w:val="20"/>
          <w:highlight w:val="none"/>
        </w:rPr>
      </w:pPr>
      <w:r>
        <w:rPr>
          <w:rFonts w:hint="eastAsia" w:ascii="宋体" w:hAnsi="宋体" w:eastAsia="宋体" w:cs="宋体"/>
          <w:color w:val="auto"/>
          <w:kern w:val="0"/>
          <w:sz w:val="30"/>
          <w:szCs w:val="20"/>
          <w:highlight w:val="none"/>
        </w:rPr>
        <w:t>承包人主要施工管理人员表</w:t>
      </w:r>
    </w:p>
    <w:tbl>
      <w:tblPr>
        <w:tblStyle w:val="16"/>
        <w:tblW w:w="9821" w:type="dxa"/>
        <w:jc w:val="center"/>
        <w:tblLayout w:type="fixed"/>
        <w:tblCellMar>
          <w:top w:w="0" w:type="dxa"/>
          <w:left w:w="28" w:type="dxa"/>
          <w:bottom w:w="0" w:type="dxa"/>
          <w:right w:w="28" w:type="dxa"/>
        </w:tblCellMar>
      </w:tblPr>
      <w:tblGrid>
        <w:gridCol w:w="1871"/>
        <w:gridCol w:w="1418"/>
        <w:gridCol w:w="1323"/>
        <w:gridCol w:w="1418"/>
        <w:gridCol w:w="3791"/>
      </w:tblGrid>
      <w:tr w14:paraId="340A5A11">
        <w:tblPrEx>
          <w:tblCellMar>
            <w:top w:w="0" w:type="dxa"/>
            <w:left w:w="28" w:type="dxa"/>
            <w:bottom w:w="0" w:type="dxa"/>
            <w:right w:w="28" w:type="dxa"/>
          </w:tblCellMar>
        </w:tblPrEx>
        <w:trPr>
          <w:trHeight w:val="420" w:hRule="exact"/>
          <w:jc w:val="center"/>
        </w:trPr>
        <w:tc>
          <w:tcPr>
            <w:tcW w:w="1871" w:type="dxa"/>
            <w:tcBorders>
              <w:top w:val="single" w:color="000000" w:sz="4" w:space="0"/>
              <w:left w:val="single" w:color="000000" w:sz="4" w:space="0"/>
              <w:bottom w:val="single" w:color="000000" w:sz="4" w:space="0"/>
              <w:right w:val="single" w:color="000000" w:sz="4" w:space="0"/>
            </w:tcBorders>
            <w:noWrap w:val="0"/>
            <w:vAlign w:val="center"/>
          </w:tcPr>
          <w:p w14:paraId="3CA5549E">
            <w:pPr>
              <w:pStyle w:val="24"/>
              <w:keepNext/>
              <w:pageBreakBefore w:val="0"/>
              <w:widowControl w:val="0"/>
              <w:wordWrap/>
              <w:overflowPunct/>
              <w:topLinePunct w:val="0"/>
              <w:bidi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名    称</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71AFC125">
            <w:pPr>
              <w:pStyle w:val="24"/>
              <w:keepNext/>
              <w:pageBreakBefore w:val="0"/>
              <w:widowControl w:val="0"/>
              <w:wordWrap/>
              <w:overflowPunct/>
              <w:topLinePunct w:val="0"/>
              <w:bidi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姓名</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2FF7C143">
            <w:pPr>
              <w:pStyle w:val="24"/>
              <w:keepNext/>
              <w:pageBreakBefore w:val="0"/>
              <w:widowControl w:val="0"/>
              <w:wordWrap/>
              <w:overflowPunct/>
              <w:topLinePunct w:val="0"/>
              <w:bidi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职务</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11EB5A65">
            <w:pPr>
              <w:pStyle w:val="24"/>
              <w:keepNext/>
              <w:pageBreakBefore w:val="0"/>
              <w:widowControl w:val="0"/>
              <w:wordWrap/>
              <w:overflowPunct/>
              <w:topLinePunct w:val="0"/>
              <w:bidi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职称</w:t>
            </w:r>
          </w:p>
        </w:tc>
        <w:tc>
          <w:tcPr>
            <w:tcW w:w="3791" w:type="dxa"/>
            <w:tcBorders>
              <w:top w:val="single" w:color="000000" w:sz="4" w:space="0"/>
              <w:left w:val="single" w:color="000000" w:sz="4" w:space="0"/>
              <w:bottom w:val="single" w:color="000000" w:sz="4" w:space="0"/>
              <w:right w:val="single" w:color="000000" w:sz="4" w:space="0"/>
            </w:tcBorders>
            <w:noWrap w:val="0"/>
            <w:vAlign w:val="center"/>
          </w:tcPr>
          <w:p w14:paraId="57656E0C">
            <w:pPr>
              <w:pStyle w:val="24"/>
              <w:keepNext/>
              <w:pageBreakBefore w:val="0"/>
              <w:widowControl w:val="0"/>
              <w:wordWrap/>
              <w:overflowPunct/>
              <w:topLinePunct w:val="0"/>
              <w:bidi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计划进场时间</w:t>
            </w:r>
          </w:p>
        </w:tc>
      </w:tr>
      <w:tr w14:paraId="06353815">
        <w:tblPrEx>
          <w:tblCellMar>
            <w:top w:w="0" w:type="dxa"/>
            <w:left w:w="28" w:type="dxa"/>
            <w:bottom w:w="0" w:type="dxa"/>
            <w:right w:w="28" w:type="dxa"/>
          </w:tblCellMar>
        </w:tblPrEx>
        <w:trPr>
          <w:trHeight w:val="420" w:hRule="exact"/>
          <w:jc w:val="center"/>
        </w:trPr>
        <w:tc>
          <w:tcPr>
            <w:tcW w:w="9821" w:type="dxa"/>
            <w:gridSpan w:val="5"/>
            <w:tcBorders>
              <w:top w:val="single" w:color="000000" w:sz="4" w:space="0"/>
              <w:left w:val="single" w:color="000000" w:sz="4" w:space="0"/>
              <w:bottom w:val="single" w:color="000000" w:sz="4" w:space="0"/>
              <w:right w:val="single" w:color="000000" w:sz="4" w:space="0"/>
            </w:tcBorders>
            <w:noWrap w:val="0"/>
            <w:vAlign w:val="center"/>
          </w:tcPr>
          <w:p w14:paraId="498FA177">
            <w:pPr>
              <w:pStyle w:val="24"/>
              <w:keepNext/>
              <w:pageBreakBefore w:val="0"/>
              <w:widowControl w:val="0"/>
              <w:wordWrap/>
              <w:overflowPunct/>
              <w:topLinePunct w:val="0"/>
              <w:bidi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一、总部人员</w:t>
            </w:r>
          </w:p>
        </w:tc>
      </w:tr>
      <w:tr w14:paraId="1FD929EE">
        <w:tblPrEx>
          <w:tblCellMar>
            <w:top w:w="0" w:type="dxa"/>
            <w:left w:w="28" w:type="dxa"/>
            <w:bottom w:w="0" w:type="dxa"/>
            <w:right w:w="28" w:type="dxa"/>
          </w:tblCellMar>
        </w:tblPrEx>
        <w:trPr>
          <w:trHeight w:val="420" w:hRule="exact"/>
          <w:jc w:val="center"/>
        </w:trPr>
        <w:tc>
          <w:tcPr>
            <w:tcW w:w="1871" w:type="dxa"/>
            <w:tcBorders>
              <w:top w:val="single" w:color="000000" w:sz="4" w:space="0"/>
              <w:left w:val="single" w:color="000000" w:sz="4" w:space="0"/>
              <w:bottom w:val="single" w:color="000000" w:sz="4" w:space="0"/>
              <w:right w:val="single" w:color="000000" w:sz="4" w:space="0"/>
            </w:tcBorders>
            <w:noWrap w:val="0"/>
            <w:vAlign w:val="center"/>
          </w:tcPr>
          <w:p w14:paraId="50EAFE5C">
            <w:pPr>
              <w:pStyle w:val="24"/>
              <w:keepNext/>
              <w:pageBreakBefore w:val="0"/>
              <w:widowControl w:val="0"/>
              <w:wordWrap/>
              <w:overflowPunct/>
              <w:topLinePunct w:val="0"/>
              <w:bidi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项目主管</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7A0CF42E">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0C7527BB">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5BFA6F82">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p>
        </w:tc>
        <w:tc>
          <w:tcPr>
            <w:tcW w:w="3791" w:type="dxa"/>
            <w:tcBorders>
              <w:top w:val="single" w:color="000000" w:sz="4" w:space="0"/>
              <w:left w:val="single" w:color="000000" w:sz="4" w:space="0"/>
              <w:bottom w:val="single" w:color="000000" w:sz="4" w:space="0"/>
              <w:right w:val="single" w:color="000000" w:sz="4" w:space="0"/>
            </w:tcBorders>
            <w:noWrap w:val="0"/>
            <w:vAlign w:val="center"/>
          </w:tcPr>
          <w:p w14:paraId="782D6976">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p>
        </w:tc>
      </w:tr>
      <w:tr w14:paraId="40F4250F">
        <w:tblPrEx>
          <w:tblCellMar>
            <w:top w:w="0" w:type="dxa"/>
            <w:left w:w="28" w:type="dxa"/>
            <w:bottom w:w="0" w:type="dxa"/>
            <w:right w:w="28" w:type="dxa"/>
          </w:tblCellMar>
        </w:tblPrEx>
        <w:trPr>
          <w:trHeight w:val="420" w:hRule="exact"/>
          <w:jc w:val="center"/>
        </w:trPr>
        <w:tc>
          <w:tcPr>
            <w:tcW w:w="1871" w:type="dxa"/>
            <w:vMerge w:val="restart"/>
            <w:tcBorders>
              <w:top w:val="single" w:color="000000" w:sz="4" w:space="0"/>
              <w:left w:val="single" w:color="000000" w:sz="4" w:space="0"/>
              <w:bottom w:val="single" w:color="000000" w:sz="4" w:space="0"/>
              <w:right w:val="single" w:color="000000" w:sz="4" w:space="0"/>
            </w:tcBorders>
            <w:noWrap w:val="0"/>
            <w:vAlign w:val="center"/>
          </w:tcPr>
          <w:p w14:paraId="0A59BBEB">
            <w:pPr>
              <w:pStyle w:val="24"/>
              <w:keepNext/>
              <w:pageBreakBefore w:val="0"/>
              <w:widowControl w:val="0"/>
              <w:wordWrap/>
              <w:overflowPunct/>
              <w:topLinePunct w:val="0"/>
              <w:bidi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其他人员</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7CDB6A89">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7853394F">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1272F54F">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p>
        </w:tc>
        <w:tc>
          <w:tcPr>
            <w:tcW w:w="3791" w:type="dxa"/>
            <w:tcBorders>
              <w:top w:val="single" w:color="000000" w:sz="4" w:space="0"/>
              <w:left w:val="single" w:color="000000" w:sz="4" w:space="0"/>
              <w:bottom w:val="single" w:color="000000" w:sz="4" w:space="0"/>
              <w:right w:val="single" w:color="000000" w:sz="4" w:space="0"/>
            </w:tcBorders>
            <w:noWrap w:val="0"/>
            <w:vAlign w:val="center"/>
          </w:tcPr>
          <w:p w14:paraId="726414A6">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p>
        </w:tc>
      </w:tr>
      <w:tr w14:paraId="30EA83C5">
        <w:tblPrEx>
          <w:tblCellMar>
            <w:top w:w="0" w:type="dxa"/>
            <w:left w:w="28" w:type="dxa"/>
            <w:bottom w:w="0" w:type="dxa"/>
            <w:right w:w="28" w:type="dxa"/>
          </w:tblCellMar>
        </w:tblPrEx>
        <w:trPr>
          <w:trHeight w:val="420" w:hRule="exact"/>
          <w:jc w:val="center"/>
        </w:trPr>
        <w:tc>
          <w:tcPr>
            <w:tcW w:w="18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759FF7">
            <w:pPr>
              <w:pStyle w:val="24"/>
              <w:pageBreakBefore w:val="0"/>
              <w:widowControl w:val="0"/>
              <w:wordWrap/>
              <w:overflowPunct/>
              <w:topLinePunct w:val="0"/>
              <w:bidi w:val="0"/>
              <w:snapToGrid w:val="0"/>
              <w:spacing w:line="360" w:lineRule="auto"/>
              <w:ind w:left="0" w:leftChars="0" w:right="0" w:rightChars="0"/>
              <w:jc w:val="center"/>
              <w:rPr>
                <w:rFonts w:hint="eastAsia" w:ascii="宋体" w:hAnsi="宋体" w:eastAsia="宋体" w:cs="宋体"/>
                <w:color w:val="auto"/>
                <w:kern w:val="0"/>
                <w:sz w:val="24"/>
                <w:szCs w:val="24"/>
                <w:highlight w:val="none"/>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447819FB">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38393291">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3332FBE7">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p>
        </w:tc>
        <w:tc>
          <w:tcPr>
            <w:tcW w:w="3791" w:type="dxa"/>
            <w:tcBorders>
              <w:top w:val="single" w:color="000000" w:sz="4" w:space="0"/>
              <w:left w:val="single" w:color="000000" w:sz="4" w:space="0"/>
              <w:bottom w:val="single" w:color="000000" w:sz="4" w:space="0"/>
              <w:right w:val="single" w:color="000000" w:sz="4" w:space="0"/>
            </w:tcBorders>
            <w:noWrap w:val="0"/>
            <w:vAlign w:val="center"/>
          </w:tcPr>
          <w:p w14:paraId="3176D248">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p>
        </w:tc>
      </w:tr>
      <w:tr w14:paraId="3C35964D">
        <w:tblPrEx>
          <w:tblCellMar>
            <w:top w:w="0" w:type="dxa"/>
            <w:left w:w="28" w:type="dxa"/>
            <w:bottom w:w="0" w:type="dxa"/>
            <w:right w:w="28" w:type="dxa"/>
          </w:tblCellMar>
        </w:tblPrEx>
        <w:trPr>
          <w:trHeight w:val="420" w:hRule="exact"/>
          <w:jc w:val="center"/>
        </w:trPr>
        <w:tc>
          <w:tcPr>
            <w:tcW w:w="18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A7261F">
            <w:pPr>
              <w:pStyle w:val="24"/>
              <w:pageBreakBefore w:val="0"/>
              <w:widowControl w:val="0"/>
              <w:wordWrap/>
              <w:overflowPunct/>
              <w:topLinePunct w:val="0"/>
              <w:bidi w:val="0"/>
              <w:snapToGrid w:val="0"/>
              <w:spacing w:line="360" w:lineRule="auto"/>
              <w:ind w:left="0" w:leftChars="0" w:right="0" w:rightChars="0"/>
              <w:jc w:val="center"/>
              <w:rPr>
                <w:rFonts w:hint="eastAsia" w:ascii="宋体" w:hAnsi="宋体" w:eastAsia="宋体" w:cs="宋体"/>
                <w:color w:val="auto"/>
                <w:kern w:val="0"/>
                <w:sz w:val="24"/>
                <w:szCs w:val="24"/>
                <w:highlight w:val="none"/>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075E5BB0">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64605DB5">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31C30917">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p>
        </w:tc>
        <w:tc>
          <w:tcPr>
            <w:tcW w:w="3791" w:type="dxa"/>
            <w:tcBorders>
              <w:top w:val="single" w:color="000000" w:sz="4" w:space="0"/>
              <w:left w:val="single" w:color="000000" w:sz="4" w:space="0"/>
              <w:bottom w:val="single" w:color="000000" w:sz="4" w:space="0"/>
              <w:right w:val="single" w:color="000000" w:sz="4" w:space="0"/>
            </w:tcBorders>
            <w:noWrap w:val="0"/>
            <w:vAlign w:val="center"/>
          </w:tcPr>
          <w:p w14:paraId="1D39AA46">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p>
        </w:tc>
      </w:tr>
      <w:tr w14:paraId="3B6B3E40">
        <w:tblPrEx>
          <w:tblCellMar>
            <w:top w:w="0" w:type="dxa"/>
            <w:left w:w="28" w:type="dxa"/>
            <w:bottom w:w="0" w:type="dxa"/>
            <w:right w:w="28" w:type="dxa"/>
          </w:tblCellMar>
        </w:tblPrEx>
        <w:trPr>
          <w:trHeight w:val="420" w:hRule="exact"/>
          <w:jc w:val="center"/>
        </w:trPr>
        <w:tc>
          <w:tcPr>
            <w:tcW w:w="9821" w:type="dxa"/>
            <w:gridSpan w:val="5"/>
            <w:tcBorders>
              <w:top w:val="single" w:color="000000" w:sz="4" w:space="0"/>
              <w:left w:val="single" w:color="000000" w:sz="4" w:space="0"/>
              <w:bottom w:val="single" w:color="000000" w:sz="4" w:space="0"/>
              <w:right w:val="single" w:color="000000" w:sz="4" w:space="0"/>
            </w:tcBorders>
            <w:noWrap w:val="0"/>
            <w:vAlign w:val="center"/>
          </w:tcPr>
          <w:p w14:paraId="3E22AF9F">
            <w:pPr>
              <w:pStyle w:val="24"/>
              <w:keepNext/>
              <w:pageBreakBefore w:val="0"/>
              <w:widowControl w:val="0"/>
              <w:wordWrap/>
              <w:overflowPunct/>
              <w:topLinePunct w:val="0"/>
              <w:bidi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二、现场人员</w:t>
            </w:r>
          </w:p>
        </w:tc>
      </w:tr>
      <w:tr w14:paraId="4484BC60">
        <w:tblPrEx>
          <w:tblCellMar>
            <w:top w:w="0" w:type="dxa"/>
            <w:left w:w="28" w:type="dxa"/>
            <w:bottom w:w="0" w:type="dxa"/>
            <w:right w:w="28" w:type="dxa"/>
          </w:tblCellMar>
        </w:tblPrEx>
        <w:trPr>
          <w:trHeight w:val="420" w:hRule="exact"/>
          <w:jc w:val="center"/>
        </w:trPr>
        <w:tc>
          <w:tcPr>
            <w:tcW w:w="1871" w:type="dxa"/>
            <w:tcBorders>
              <w:top w:val="single" w:color="000000" w:sz="4" w:space="0"/>
              <w:left w:val="single" w:color="000000" w:sz="4" w:space="0"/>
              <w:bottom w:val="single" w:color="000000" w:sz="4" w:space="0"/>
              <w:right w:val="single" w:color="000000" w:sz="4" w:space="0"/>
            </w:tcBorders>
            <w:noWrap w:val="0"/>
            <w:vAlign w:val="center"/>
          </w:tcPr>
          <w:p w14:paraId="3AD27D25">
            <w:pPr>
              <w:pStyle w:val="24"/>
              <w:keepNext/>
              <w:pageBreakBefore w:val="0"/>
              <w:widowControl w:val="0"/>
              <w:wordWrap/>
              <w:overflowPunct/>
              <w:topLinePunct w:val="0"/>
              <w:bidi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项目经理</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65BDB14F">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2A9F3367">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72E3AB34">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3791" w:type="dxa"/>
            <w:tcBorders>
              <w:top w:val="single" w:color="000000" w:sz="4" w:space="0"/>
              <w:left w:val="single" w:color="000000" w:sz="4" w:space="0"/>
              <w:bottom w:val="single" w:color="000000" w:sz="4" w:space="0"/>
              <w:right w:val="single" w:color="000000" w:sz="4" w:space="0"/>
            </w:tcBorders>
            <w:noWrap w:val="0"/>
            <w:vAlign w:val="center"/>
          </w:tcPr>
          <w:p w14:paraId="3A04ADC9">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r>
      <w:tr w14:paraId="0EADBF0A">
        <w:tblPrEx>
          <w:tblCellMar>
            <w:top w:w="0" w:type="dxa"/>
            <w:left w:w="28" w:type="dxa"/>
            <w:bottom w:w="0" w:type="dxa"/>
            <w:right w:w="28" w:type="dxa"/>
          </w:tblCellMar>
        </w:tblPrEx>
        <w:trPr>
          <w:trHeight w:val="420" w:hRule="exact"/>
          <w:jc w:val="center"/>
        </w:trPr>
        <w:tc>
          <w:tcPr>
            <w:tcW w:w="1871" w:type="dxa"/>
            <w:tcBorders>
              <w:top w:val="single" w:color="000000" w:sz="4" w:space="0"/>
              <w:left w:val="single" w:color="000000" w:sz="4" w:space="0"/>
              <w:bottom w:val="single" w:color="000000" w:sz="4" w:space="0"/>
              <w:right w:val="single" w:color="000000" w:sz="4" w:space="0"/>
            </w:tcBorders>
            <w:noWrap w:val="0"/>
            <w:vAlign w:val="center"/>
          </w:tcPr>
          <w:p w14:paraId="4471B6B5">
            <w:pPr>
              <w:pStyle w:val="24"/>
              <w:keepNext/>
              <w:pageBreakBefore w:val="0"/>
              <w:widowControl w:val="0"/>
              <w:wordWrap/>
              <w:overflowPunct/>
              <w:topLinePunct w:val="0"/>
              <w:bidi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项目副经理</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28C57D4C">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0C278CE4">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1348BF5F">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3791" w:type="dxa"/>
            <w:tcBorders>
              <w:top w:val="single" w:color="000000" w:sz="4" w:space="0"/>
              <w:left w:val="single" w:color="000000" w:sz="4" w:space="0"/>
              <w:bottom w:val="single" w:color="000000" w:sz="4" w:space="0"/>
              <w:right w:val="single" w:color="000000" w:sz="4" w:space="0"/>
            </w:tcBorders>
            <w:noWrap w:val="0"/>
            <w:vAlign w:val="center"/>
          </w:tcPr>
          <w:p w14:paraId="4AD3E14E">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r>
      <w:tr w14:paraId="3C0BBCB0">
        <w:tblPrEx>
          <w:tblCellMar>
            <w:top w:w="0" w:type="dxa"/>
            <w:left w:w="28" w:type="dxa"/>
            <w:bottom w:w="0" w:type="dxa"/>
            <w:right w:w="28" w:type="dxa"/>
          </w:tblCellMar>
        </w:tblPrEx>
        <w:trPr>
          <w:trHeight w:val="420" w:hRule="exact"/>
          <w:jc w:val="center"/>
        </w:trPr>
        <w:tc>
          <w:tcPr>
            <w:tcW w:w="1871" w:type="dxa"/>
            <w:tcBorders>
              <w:top w:val="single" w:color="000000" w:sz="4" w:space="0"/>
              <w:left w:val="single" w:color="000000" w:sz="4" w:space="0"/>
              <w:bottom w:val="single" w:color="000000" w:sz="4" w:space="0"/>
              <w:right w:val="single" w:color="000000" w:sz="4" w:space="0"/>
            </w:tcBorders>
            <w:noWrap w:val="0"/>
            <w:vAlign w:val="center"/>
          </w:tcPr>
          <w:p w14:paraId="50E3D855">
            <w:pPr>
              <w:pStyle w:val="24"/>
              <w:keepNext/>
              <w:pageBreakBefore w:val="0"/>
              <w:widowControl w:val="0"/>
              <w:wordWrap/>
              <w:overflowPunct/>
              <w:topLinePunct w:val="0"/>
              <w:bidi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技术负责人</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0FD1E26A">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250884EB">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25250955">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3791" w:type="dxa"/>
            <w:tcBorders>
              <w:top w:val="single" w:color="000000" w:sz="4" w:space="0"/>
              <w:left w:val="single" w:color="000000" w:sz="4" w:space="0"/>
              <w:bottom w:val="single" w:color="000000" w:sz="4" w:space="0"/>
              <w:right w:val="single" w:color="000000" w:sz="4" w:space="0"/>
            </w:tcBorders>
            <w:noWrap w:val="0"/>
            <w:vAlign w:val="center"/>
          </w:tcPr>
          <w:p w14:paraId="15B81FF6">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r>
      <w:tr w14:paraId="02843A3F">
        <w:tblPrEx>
          <w:tblCellMar>
            <w:top w:w="0" w:type="dxa"/>
            <w:left w:w="28" w:type="dxa"/>
            <w:bottom w:w="0" w:type="dxa"/>
            <w:right w:w="28" w:type="dxa"/>
          </w:tblCellMar>
        </w:tblPrEx>
        <w:trPr>
          <w:trHeight w:val="420" w:hRule="exact"/>
          <w:jc w:val="center"/>
        </w:trPr>
        <w:tc>
          <w:tcPr>
            <w:tcW w:w="1871" w:type="dxa"/>
            <w:tcBorders>
              <w:top w:val="single" w:color="000000" w:sz="4" w:space="0"/>
              <w:left w:val="single" w:color="000000" w:sz="4" w:space="0"/>
              <w:bottom w:val="single" w:color="000000" w:sz="4" w:space="0"/>
              <w:right w:val="single" w:color="000000" w:sz="4" w:space="0"/>
            </w:tcBorders>
            <w:noWrap w:val="0"/>
            <w:vAlign w:val="center"/>
          </w:tcPr>
          <w:p w14:paraId="37099337">
            <w:pPr>
              <w:pStyle w:val="24"/>
              <w:keepNext/>
              <w:pageBreakBefore w:val="0"/>
              <w:widowControl w:val="0"/>
              <w:wordWrap/>
              <w:overflowPunct/>
              <w:topLinePunct w:val="0"/>
              <w:bidi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造价管理</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10DD948E">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75DBA3A7">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38C86ADE">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3791" w:type="dxa"/>
            <w:tcBorders>
              <w:top w:val="single" w:color="000000" w:sz="4" w:space="0"/>
              <w:left w:val="single" w:color="000000" w:sz="4" w:space="0"/>
              <w:bottom w:val="single" w:color="000000" w:sz="4" w:space="0"/>
              <w:right w:val="single" w:color="000000" w:sz="4" w:space="0"/>
            </w:tcBorders>
            <w:noWrap w:val="0"/>
            <w:vAlign w:val="center"/>
          </w:tcPr>
          <w:p w14:paraId="2F74E4E5">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r>
      <w:tr w14:paraId="05C22D1F">
        <w:tblPrEx>
          <w:tblCellMar>
            <w:top w:w="0" w:type="dxa"/>
            <w:left w:w="28" w:type="dxa"/>
            <w:bottom w:w="0" w:type="dxa"/>
            <w:right w:w="28" w:type="dxa"/>
          </w:tblCellMar>
        </w:tblPrEx>
        <w:trPr>
          <w:trHeight w:val="420" w:hRule="exact"/>
          <w:jc w:val="center"/>
        </w:trPr>
        <w:tc>
          <w:tcPr>
            <w:tcW w:w="1871" w:type="dxa"/>
            <w:vMerge w:val="restart"/>
            <w:tcBorders>
              <w:top w:val="single" w:color="000000" w:sz="4" w:space="0"/>
              <w:left w:val="single" w:color="000000" w:sz="4" w:space="0"/>
              <w:bottom w:val="single" w:color="000000" w:sz="4" w:space="0"/>
              <w:right w:val="single" w:color="000000" w:sz="4" w:space="0"/>
            </w:tcBorders>
            <w:noWrap w:val="0"/>
            <w:vAlign w:val="center"/>
          </w:tcPr>
          <w:p w14:paraId="399D4FA5">
            <w:pPr>
              <w:pStyle w:val="24"/>
              <w:keepNext/>
              <w:pageBreakBefore w:val="0"/>
              <w:widowControl w:val="0"/>
              <w:wordWrap/>
              <w:overflowPunct/>
              <w:topLinePunct w:val="0"/>
              <w:bidi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质量管理</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533E13AF">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4DA5D34A">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16D4671B">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3791" w:type="dxa"/>
            <w:tcBorders>
              <w:top w:val="single" w:color="000000" w:sz="4" w:space="0"/>
              <w:left w:val="single" w:color="000000" w:sz="4" w:space="0"/>
              <w:bottom w:val="single" w:color="000000" w:sz="4" w:space="0"/>
              <w:right w:val="single" w:color="000000" w:sz="4" w:space="0"/>
            </w:tcBorders>
            <w:noWrap w:val="0"/>
            <w:vAlign w:val="center"/>
          </w:tcPr>
          <w:p w14:paraId="7DBD891F">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r>
      <w:tr w14:paraId="75859ABA">
        <w:tblPrEx>
          <w:tblCellMar>
            <w:top w:w="0" w:type="dxa"/>
            <w:left w:w="28" w:type="dxa"/>
            <w:bottom w:w="0" w:type="dxa"/>
            <w:right w:w="28" w:type="dxa"/>
          </w:tblCellMar>
        </w:tblPrEx>
        <w:trPr>
          <w:trHeight w:val="420" w:hRule="exact"/>
          <w:jc w:val="center"/>
        </w:trPr>
        <w:tc>
          <w:tcPr>
            <w:tcW w:w="18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517230">
            <w:pPr>
              <w:pStyle w:val="24"/>
              <w:pageBreakBefore w:val="0"/>
              <w:widowControl w:val="0"/>
              <w:wordWrap/>
              <w:overflowPunct/>
              <w:topLinePunct w:val="0"/>
              <w:bidi w:val="0"/>
              <w:snapToGrid w:val="0"/>
              <w:spacing w:line="360" w:lineRule="auto"/>
              <w:ind w:left="0" w:leftChars="0" w:right="0" w:rightChars="0"/>
              <w:jc w:val="center"/>
              <w:rPr>
                <w:rFonts w:hint="eastAsia" w:ascii="宋体" w:hAnsi="宋体" w:eastAsia="宋体" w:cs="宋体"/>
                <w:color w:val="auto"/>
                <w:kern w:val="0"/>
                <w:sz w:val="24"/>
                <w:szCs w:val="24"/>
                <w:highlight w:val="none"/>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5E9DA1F0">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50A02B7F">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4D29ADED">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3791" w:type="dxa"/>
            <w:tcBorders>
              <w:top w:val="single" w:color="000000" w:sz="4" w:space="0"/>
              <w:left w:val="single" w:color="000000" w:sz="4" w:space="0"/>
              <w:bottom w:val="single" w:color="000000" w:sz="4" w:space="0"/>
              <w:right w:val="single" w:color="000000" w:sz="4" w:space="0"/>
            </w:tcBorders>
            <w:noWrap w:val="0"/>
            <w:vAlign w:val="center"/>
          </w:tcPr>
          <w:p w14:paraId="60F787AA">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r>
      <w:tr w14:paraId="7B36A42C">
        <w:tblPrEx>
          <w:tblCellMar>
            <w:top w:w="0" w:type="dxa"/>
            <w:left w:w="28" w:type="dxa"/>
            <w:bottom w:w="0" w:type="dxa"/>
            <w:right w:w="28" w:type="dxa"/>
          </w:tblCellMar>
        </w:tblPrEx>
        <w:trPr>
          <w:trHeight w:val="420" w:hRule="exact"/>
          <w:jc w:val="center"/>
        </w:trPr>
        <w:tc>
          <w:tcPr>
            <w:tcW w:w="18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04BF67">
            <w:pPr>
              <w:pStyle w:val="24"/>
              <w:pageBreakBefore w:val="0"/>
              <w:widowControl w:val="0"/>
              <w:wordWrap/>
              <w:overflowPunct/>
              <w:topLinePunct w:val="0"/>
              <w:bidi w:val="0"/>
              <w:snapToGrid w:val="0"/>
              <w:spacing w:line="360" w:lineRule="auto"/>
              <w:ind w:left="0" w:leftChars="0" w:right="0" w:rightChars="0"/>
              <w:jc w:val="center"/>
              <w:rPr>
                <w:rFonts w:hint="eastAsia" w:ascii="宋体" w:hAnsi="宋体" w:eastAsia="宋体" w:cs="宋体"/>
                <w:color w:val="auto"/>
                <w:kern w:val="0"/>
                <w:sz w:val="24"/>
                <w:szCs w:val="24"/>
                <w:highlight w:val="none"/>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124FEECF">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05CFB48C">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6EA2AA10">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3791" w:type="dxa"/>
            <w:tcBorders>
              <w:top w:val="single" w:color="000000" w:sz="4" w:space="0"/>
              <w:left w:val="single" w:color="000000" w:sz="4" w:space="0"/>
              <w:bottom w:val="single" w:color="000000" w:sz="4" w:space="0"/>
              <w:right w:val="single" w:color="000000" w:sz="4" w:space="0"/>
            </w:tcBorders>
            <w:noWrap w:val="0"/>
            <w:vAlign w:val="center"/>
          </w:tcPr>
          <w:p w14:paraId="35BBF4AB">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spacing w:val="11"/>
                <w:kern w:val="0"/>
                <w:sz w:val="24"/>
                <w:szCs w:val="24"/>
                <w:highlight w:val="none"/>
                <w:lang w:val="en-US" w:eastAsia="zh-CN"/>
              </w:rPr>
            </w:pPr>
          </w:p>
        </w:tc>
      </w:tr>
      <w:tr w14:paraId="2D818F70">
        <w:tblPrEx>
          <w:tblCellMar>
            <w:top w:w="0" w:type="dxa"/>
            <w:left w:w="28" w:type="dxa"/>
            <w:bottom w:w="0" w:type="dxa"/>
            <w:right w:w="28" w:type="dxa"/>
          </w:tblCellMar>
        </w:tblPrEx>
        <w:trPr>
          <w:trHeight w:val="420" w:hRule="exact"/>
          <w:jc w:val="center"/>
        </w:trPr>
        <w:tc>
          <w:tcPr>
            <w:tcW w:w="18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EBB30F">
            <w:pPr>
              <w:pStyle w:val="24"/>
              <w:pageBreakBefore w:val="0"/>
              <w:widowControl w:val="0"/>
              <w:wordWrap/>
              <w:overflowPunct/>
              <w:topLinePunct w:val="0"/>
              <w:bidi w:val="0"/>
              <w:snapToGrid w:val="0"/>
              <w:spacing w:line="360" w:lineRule="auto"/>
              <w:ind w:left="0" w:leftChars="0" w:right="0" w:rightChars="0"/>
              <w:jc w:val="center"/>
              <w:rPr>
                <w:rFonts w:hint="eastAsia" w:ascii="宋体" w:hAnsi="宋体" w:eastAsia="宋体" w:cs="宋体"/>
                <w:color w:val="auto"/>
                <w:kern w:val="0"/>
                <w:sz w:val="24"/>
                <w:szCs w:val="24"/>
                <w:highlight w:val="none"/>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4849930E">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113042AC">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26C81787">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3791" w:type="dxa"/>
            <w:tcBorders>
              <w:top w:val="single" w:color="000000" w:sz="4" w:space="0"/>
              <w:left w:val="single" w:color="000000" w:sz="4" w:space="0"/>
              <w:bottom w:val="single" w:color="000000" w:sz="4" w:space="0"/>
              <w:right w:val="single" w:color="000000" w:sz="4" w:space="0"/>
            </w:tcBorders>
            <w:noWrap w:val="0"/>
            <w:vAlign w:val="center"/>
          </w:tcPr>
          <w:p w14:paraId="56232491">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spacing w:val="11"/>
                <w:kern w:val="0"/>
                <w:sz w:val="24"/>
                <w:szCs w:val="24"/>
                <w:highlight w:val="none"/>
                <w:lang w:val="en-US" w:eastAsia="zh-CN"/>
              </w:rPr>
            </w:pPr>
          </w:p>
        </w:tc>
      </w:tr>
      <w:tr w14:paraId="528776EF">
        <w:tblPrEx>
          <w:tblCellMar>
            <w:top w:w="0" w:type="dxa"/>
            <w:left w:w="28" w:type="dxa"/>
            <w:bottom w:w="0" w:type="dxa"/>
            <w:right w:w="28" w:type="dxa"/>
          </w:tblCellMar>
        </w:tblPrEx>
        <w:trPr>
          <w:trHeight w:val="420" w:hRule="exact"/>
          <w:jc w:val="center"/>
        </w:trPr>
        <w:tc>
          <w:tcPr>
            <w:tcW w:w="1871" w:type="dxa"/>
            <w:vMerge w:val="restart"/>
            <w:tcBorders>
              <w:top w:val="single" w:color="000000" w:sz="4" w:space="0"/>
              <w:left w:val="single" w:color="000000" w:sz="4" w:space="0"/>
              <w:right w:val="single" w:color="000000" w:sz="4" w:space="0"/>
            </w:tcBorders>
            <w:noWrap w:val="0"/>
            <w:vAlign w:val="center"/>
          </w:tcPr>
          <w:p w14:paraId="6D385ACC">
            <w:pPr>
              <w:pStyle w:val="24"/>
              <w:keepNext/>
              <w:pageBreakBefore w:val="0"/>
              <w:widowControl w:val="0"/>
              <w:wordWrap/>
              <w:overflowPunct/>
              <w:topLinePunct w:val="0"/>
              <w:bidi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材料管理</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52448011">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3F107005">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515318B5">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3791" w:type="dxa"/>
            <w:tcBorders>
              <w:top w:val="single" w:color="000000" w:sz="4" w:space="0"/>
              <w:left w:val="single" w:color="000000" w:sz="4" w:space="0"/>
              <w:bottom w:val="single" w:color="000000" w:sz="4" w:space="0"/>
              <w:right w:val="single" w:color="000000" w:sz="4" w:space="0"/>
            </w:tcBorders>
            <w:noWrap w:val="0"/>
            <w:vAlign w:val="center"/>
          </w:tcPr>
          <w:p w14:paraId="7DF4F4C0">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spacing w:val="11"/>
                <w:kern w:val="0"/>
                <w:sz w:val="24"/>
                <w:szCs w:val="24"/>
                <w:highlight w:val="none"/>
                <w:lang w:val="en-US" w:eastAsia="zh-CN"/>
              </w:rPr>
            </w:pPr>
          </w:p>
        </w:tc>
      </w:tr>
      <w:tr w14:paraId="0D2479E3">
        <w:tblPrEx>
          <w:tblCellMar>
            <w:top w:w="0" w:type="dxa"/>
            <w:left w:w="28" w:type="dxa"/>
            <w:bottom w:w="0" w:type="dxa"/>
            <w:right w:w="28" w:type="dxa"/>
          </w:tblCellMar>
        </w:tblPrEx>
        <w:trPr>
          <w:trHeight w:val="420" w:hRule="exact"/>
          <w:jc w:val="center"/>
        </w:trPr>
        <w:tc>
          <w:tcPr>
            <w:tcW w:w="1871" w:type="dxa"/>
            <w:vMerge w:val="continue"/>
            <w:tcBorders>
              <w:left w:val="single" w:color="000000" w:sz="4" w:space="0"/>
              <w:right w:val="single" w:color="000000" w:sz="4" w:space="0"/>
            </w:tcBorders>
            <w:noWrap w:val="0"/>
            <w:vAlign w:val="center"/>
          </w:tcPr>
          <w:p w14:paraId="33513A2D">
            <w:pPr>
              <w:pStyle w:val="24"/>
              <w:keepNext/>
              <w:pageBreakBefore w:val="0"/>
              <w:widowControl w:val="0"/>
              <w:wordWrap/>
              <w:overflowPunct/>
              <w:topLinePunct w:val="0"/>
              <w:bidi w:val="0"/>
              <w:spacing w:line="360" w:lineRule="auto"/>
              <w:ind w:left="0" w:leftChars="0" w:right="0" w:rightChars="0"/>
              <w:jc w:val="center"/>
              <w:textAlignment w:val="baseline"/>
              <w:rPr>
                <w:rFonts w:hint="eastAsia" w:ascii="宋体" w:hAnsi="宋体" w:eastAsia="宋体" w:cs="宋体"/>
                <w:color w:val="auto"/>
                <w:sz w:val="24"/>
                <w:szCs w:val="24"/>
                <w:highlight w:val="none"/>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259D0B2D">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59D56282">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77E68C21">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3791" w:type="dxa"/>
            <w:tcBorders>
              <w:top w:val="single" w:color="000000" w:sz="4" w:space="0"/>
              <w:left w:val="single" w:color="000000" w:sz="4" w:space="0"/>
              <w:bottom w:val="single" w:color="000000" w:sz="4" w:space="0"/>
              <w:right w:val="single" w:color="000000" w:sz="4" w:space="0"/>
            </w:tcBorders>
            <w:noWrap w:val="0"/>
            <w:vAlign w:val="center"/>
          </w:tcPr>
          <w:p w14:paraId="45D65F42">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spacing w:val="11"/>
                <w:kern w:val="0"/>
                <w:sz w:val="24"/>
                <w:szCs w:val="24"/>
                <w:highlight w:val="none"/>
                <w:lang w:val="en-US" w:eastAsia="zh-CN"/>
              </w:rPr>
            </w:pPr>
          </w:p>
        </w:tc>
      </w:tr>
      <w:tr w14:paraId="300D9077">
        <w:tblPrEx>
          <w:tblCellMar>
            <w:top w:w="0" w:type="dxa"/>
            <w:left w:w="28" w:type="dxa"/>
            <w:bottom w:w="0" w:type="dxa"/>
            <w:right w:w="28" w:type="dxa"/>
          </w:tblCellMar>
        </w:tblPrEx>
        <w:trPr>
          <w:trHeight w:val="420" w:hRule="exact"/>
          <w:jc w:val="center"/>
        </w:trPr>
        <w:tc>
          <w:tcPr>
            <w:tcW w:w="1871" w:type="dxa"/>
            <w:vMerge w:val="continue"/>
            <w:tcBorders>
              <w:left w:val="single" w:color="000000" w:sz="4" w:space="0"/>
              <w:bottom w:val="single" w:color="000000" w:sz="4" w:space="0"/>
              <w:right w:val="single" w:color="000000" w:sz="4" w:space="0"/>
            </w:tcBorders>
            <w:noWrap w:val="0"/>
            <w:vAlign w:val="center"/>
          </w:tcPr>
          <w:p w14:paraId="3F3E31C6">
            <w:pPr>
              <w:pStyle w:val="24"/>
              <w:keepNext/>
              <w:pageBreakBefore w:val="0"/>
              <w:widowControl w:val="0"/>
              <w:wordWrap/>
              <w:overflowPunct/>
              <w:topLinePunct w:val="0"/>
              <w:bidi w:val="0"/>
              <w:spacing w:line="360" w:lineRule="auto"/>
              <w:ind w:left="0" w:leftChars="0" w:right="0" w:rightChars="0"/>
              <w:jc w:val="center"/>
              <w:textAlignment w:val="baseline"/>
              <w:rPr>
                <w:rFonts w:hint="eastAsia" w:ascii="宋体" w:hAnsi="宋体" w:eastAsia="宋体" w:cs="宋体"/>
                <w:color w:val="auto"/>
                <w:sz w:val="24"/>
                <w:szCs w:val="24"/>
                <w:highlight w:val="none"/>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6C414FD2">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46B29773">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6FB9FB0E">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3791" w:type="dxa"/>
            <w:tcBorders>
              <w:top w:val="single" w:color="000000" w:sz="4" w:space="0"/>
              <w:left w:val="single" w:color="000000" w:sz="4" w:space="0"/>
              <w:bottom w:val="single" w:color="000000" w:sz="4" w:space="0"/>
              <w:right w:val="single" w:color="000000" w:sz="4" w:space="0"/>
            </w:tcBorders>
            <w:noWrap w:val="0"/>
            <w:vAlign w:val="center"/>
          </w:tcPr>
          <w:p w14:paraId="55035EFC">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spacing w:val="11"/>
                <w:kern w:val="0"/>
                <w:sz w:val="24"/>
                <w:szCs w:val="24"/>
                <w:highlight w:val="none"/>
                <w:lang w:val="en-US" w:eastAsia="zh-CN"/>
              </w:rPr>
            </w:pPr>
          </w:p>
        </w:tc>
      </w:tr>
      <w:tr w14:paraId="07C0A1BC">
        <w:tblPrEx>
          <w:tblCellMar>
            <w:top w:w="0" w:type="dxa"/>
            <w:left w:w="28" w:type="dxa"/>
            <w:bottom w:w="0" w:type="dxa"/>
            <w:right w:w="28" w:type="dxa"/>
          </w:tblCellMar>
        </w:tblPrEx>
        <w:trPr>
          <w:trHeight w:val="420" w:hRule="exact"/>
          <w:jc w:val="center"/>
        </w:trPr>
        <w:tc>
          <w:tcPr>
            <w:tcW w:w="1871" w:type="dxa"/>
            <w:tcBorders>
              <w:top w:val="single" w:color="000000" w:sz="4" w:space="0"/>
              <w:left w:val="single" w:color="000000" w:sz="4" w:space="0"/>
              <w:bottom w:val="single" w:color="000000" w:sz="4" w:space="0"/>
              <w:right w:val="single" w:color="000000" w:sz="4" w:space="0"/>
            </w:tcBorders>
            <w:noWrap w:val="0"/>
            <w:vAlign w:val="center"/>
          </w:tcPr>
          <w:p w14:paraId="4A5BF93A">
            <w:pPr>
              <w:pStyle w:val="24"/>
              <w:keepNext/>
              <w:pageBreakBefore w:val="0"/>
              <w:widowControl w:val="0"/>
              <w:wordWrap/>
              <w:overflowPunct/>
              <w:topLinePunct w:val="0"/>
              <w:bidi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计划管理</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3A3D192C">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357F022C">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3EE0208E">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3791" w:type="dxa"/>
            <w:tcBorders>
              <w:top w:val="single" w:color="000000" w:sz="4" w:space="0"/>
              <w:left w:val="single" w:color="000000" w:sz="4" w:space="0"/>
              <w:bottom w:val="single" w:color="000000" w:sz="4" w:space="0"/>
              <w:right w:val="single" w:color="000000" w:sz="4" w:space="0"/>
            </w:tcBorders>
            <w:noWrap w:val="0"/>
            <w:vAlign w:val="center"/>
          </w:tcPr>
          <w:p w14:paraId="580E3B95">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spacing w:val="11"/>
                <w:kern w:val="0"/>
                <w:sz w:val="24"/>
                <w:szCs w:val="24"/>
                <w:highlight w:val="none"/>
                <w:lang w:val="en-US" w:eastAsia="zh-CN"/>
              </w:rPr>
            </w:pPr>
          </w:p>
        </w:tc>
      </w:tr>
      <w:tr w14:paraId="7B4497A9">
        <w:tblPrEx>
          <w:tblCellMar>
            <w:top w:w="0" w:type="dxa"/>
            <w:left w:w="28" w:type="dxa"/>
            <w:bottom w:w="0" w:type="dxa"/>
            <w:right w:w="28" w:type="dxa"/>
          </w:tblCellMar>
        </w:tblPrEx>
        <w:trPr>
          <w:trHeight w:val="420" w:hRule="exact"/>
          <w:jc w:val="center"/>
        </w:trPr>
        <w:tc>
          <w:tcPr>
            <w:tcW w:w="1871" w:type="dxa"/>
            <w:vMerge w:val="restart"/>
            <w:tcBorders>
              <w:top w:val="single" w:color="000000" w:sz="4" w:space="0"/>
              <w:left w:val="single" w:color="000000" w:sz="4" w:space="0"/>
              <w:bottom w:val="single" w:color="000000" w:sz="4" w:space="0"/>
              <w:right w:val="single" w:color="000000" w:sz="4" w:space="0"/>
            </w:tcBorders>
            <w:noWrap w:val="0"/>
            <w:vAlign w:val="center"/>
          </w:tcPr>
          <w:p w14:paraId="0FDFAD77">
            <w:pPr>
              <w:pStyle w:val="24"/>
              <w:keepNext/>
              <w:pageBreakBefore w:val="0"/>
              <w:widowControl w:val="0"/>
              <w:wordWrap/>
              <w:overflowPunct/>
              <w:topLinePunct w:val="0"/>
              <w:bidi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安全管理</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145F44D2">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487F952C">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6B6DCFF6">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3791" w:type="dxa"/>
            <w:tcBorders>
              <w:top w:val="single" w:color="000000" w:sz="4" w:space="0"/>
              <w:left w:val="single" w:color="000000" w:sz="4" w:space="0"/>
              <w:bottom w:val="single" w:color="000000" w:sz="4" w:space="0"/>
              <w:right w:val="single" w:color="000000" w:sz="4" w:space="0"/>
            </w:tcBorders>
            <w:noWrap w:val="0"/>
            <w:vAlign w:val="center"/>
          </w:tcPr>
          <w:p w14:paraId="2A10F068">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spacing w:val="11"/>
                <w:kern w:val="0"/>
                <w:sz w:val="24"/>
                <w:szCs w:val="24"/>
                <w:highlight w:val="none"/>
                <w:lang w:val="en-US" w:eastAsia="zh-CN"/>
              </w:rPr>
            </w:pPr>
          </w:p>
        </w:tc>
      </w:tr>
      <w:tr w14:paraId="76A4B539">
        <w:tblPrEx>
          <w:tblCellMar>
            <w:top w:w="0" w:type="dxa"/>
            <w:left w:w="28" w:type="dxa"/>
            <w:bottom w:w="0" w:type="dxa"/>
            <w:right w:w="28" w:type="dxa"/>
          </w:tblCellMar>
        </w:tblPrEx>
        <w:trPr>
          <w:trHeight w:val="420" w:hRule="exact"/>
          <w:jc w:val="center"/>
        </w:trPr>
        <w:tc>
          <w:tcPr>
            <w:tcW w:w="18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4739C2">
            <w:pPr>
              <w:pStyle w:val="24"/>
              <w:pageBreakBefore w:val="0"/>
              <w:widowControl w:val="0"/>
              <w:wordWrap/>
              <w:overflowPunct/>
              <w:topLinePunct w:val="0"/>
              <w:bidi w:val="0"/>
              <w:snapToGrid w:val="0"/>
              <w:spacing w:line="360" w:lineRule="auto"/>
              <w:ind w:left="0" w:leftChars="0" w:right="0" w:rightChars="0"/>
              <w:jc w:val="center"/>
              <w:rPr>
                <w:rFonts w:hint="eastAsia" w:ascii="宋体" w:hAnsi="宋体" w:eastAsia="宋体" w:cs="宋体"/>
                <w:color w:val="auto"/>
                <w:kern w:val="0"/>
                <w:sz w:val="24"/>
                <w:szCs w:val="24"/>
                <w:highlight w:val="none"/>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1A6CC026">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348F4B93">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25FDFCE2">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3791" w:type="dxa"/>
            <w:tcBorders>
              <w:top w:val="single" w:color="000000" w:sz="4" w:space="0"/>
              <w:left w:val="single" w:color="000000" w:sz="4" w:space="0"/>
              <w:bottom w:val="single" w:color="000000" w:sz="4" w:space="0"/>
              <w:right w:val="single" w:color="000000" w:sz="4" w:space="0"/>
            </w:tcBorders>
            <w:noWrap w:val="0"/>
            <w:vAlign w:val="center"/>
          </w:tcPr>
          <w:p w14:paraId="36732D3A">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spacing w:val="11"/>
                <w:kern w:val="0"/>
                <w:sz w:val="24"/>
                <w:szCs w:val="24"/>
                <w:highlight w:val="none"/>
                <w:lang w:val="en-US" w:eastAsia="zh-CN"/>
              </w:rPr>
            </w:pPr>
          </w:p>
        </w:tc>
      </w:tr>
      <w:tr w14:paraId="6F8838EF">
        <w:tblPrEx>
          <w:tblCellMar>
            <w:top w:w="0" w:type="dxa"/>
            <w:left w:w="28" w:type="dxa"/>
            <w:bottom w:w="0" w:type="dxa"/>
            <w:right w:w="28" w:type="dxa"/>
          </w:tblCellMar>
        </w:tblPrEx>
        <w:trPr>
          <w:trHeight w:val="420" w:hRule="exact"/>
          <w:jc w:val="center"/>
        </w:trPr>
        <w:tc>
          <w:tcPr>
            <w:tcW w:w="1871" w:type="dxa"/>
            <w:vMerge w:val="restart"/>
            <w:tcBorders>
              <w:top w:val="single" w:color="000000" w:sz="4" w:space="0"/>
              <w:left w:val="single" w:color="000000" w:sz="4" w:space="0"/>
              <w:bottom w:val="single" w:color="000000" w:sz="4" w:space="0"/>
              <w:right w:val="single" w:color="000000" w:sz="4" w:space="0"/>
            </w:tcBorders>
            <w:noWrap w:val="0"/>
            <w:vAlign w:val="center"/>
          </w:tcPr>
          <w:p w14:paraId="710699B6">
            <w:pPr>
              <w:pStyle w:val="24"/>
              <w:keepNext/>
              <w:pageBreakBefore w:val="0"/>
              <w:widowControl w:val="0"/>
              <w:wordWrap/>
              <w:overflowPunct/>
              <w:topLinePunct w:val="0"/>
              <w:bidi w:val="0"/>
              <w:spacing w:line="360" w:lineRule="auto"/>
              <w:ind w:left="0" w:leftChars="0" w:right="0" w:rightChars="0"/>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其他人员</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317B7842">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165D7822">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6C076CBB">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3791" w:type="dxa"/>
            <w:tcBorders>
              <w:top w:val="single" w:color="000000" w:sz="4" w:space="0"/>
              <w:left w:val="single" w:color="000000" w:sz="4" w:space="0"/>
              <w:bottom w:val="single" w:color="000000" w:sz="4" w:space="0"/>
              <w:right w:val="single" w:color="000000" w:sz="4" w:space="0"/>
            </w:tcBorders>
            <w:noWrap w:val="0"/>
            <w:vAlign w:val="center"/>
          </w:tcPr>
          <w:p w14:paraId="7DEC2A5E">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spacing w:val="11"/>
                <w:kern w:val="0"/>
                <w:sz w:val="24"/>
                <w:szCs w:val="24"/>
                <w:highlight w:val="none"/>
                <w:lang w:val="en-US" w:eastAsia="zh-CN"/>
              </w:rPr>
            </w:pPr>
          </w:p>
        </w:tc>
      </w:tr>
      <w:tr w14:paraId="6E9A9768">
        <w:tblPrEx>
          <w:tblCellMar>
            <w:top w:w="0" w:type="dxa"/>
            <w:left w:w="28" w:type="dxa"/>
            <w:bottom w:w="0" w:type="dxa"/>
            <w:right w:w="28" w:type="dxa"/>
          </w:tblCellMar>
        </w:tblPrEx>
        <w:trPr>
          <w:trHeight w:val="420" w:hRule="exact"/>
          <w:jc w:val="center"/>
        </w:trPr>
        <w:tc>
          <w:tcPr>
            <w:tcW w:w="18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A5E911">
            <w:pPr>
              <w:pStyle w:val="24"/>
              <w:pageBreakBefore w:val="0"/>
              <w:widowControl w:val="0"/>
              <w:wordWrap/>
              <w:overflowPunct/>
              <w:topLinePunct w:val="0"/>
              <w:bidi w:val="0"/>
              <w:snapToGrid w:val="0"/>
              <w:spacing w:line="360" w:lineRule="auto"/>
              <w:ind w:left="0" w:leftChars="0" w:right="0" w:rightChars="0"/>
              <w:jc w:val="center"/>
              <w:rPr>
                <w:rFonts w:hint="eastAsia" w:ascii="宋体" w:hAnsi="宋体" w:eastAsia="宋体" w:cs="宋体"/>
                <w:color w:val="auto"/>
                <w:kern w:val="0"/>
                <w:sz w:val="24"/>
                <w:szCs w:val="24"/>
                <w:highlight w:val="none"/>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21DAC0A2">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555557E0">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7A7F2D8F">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3791" w:type="dxa"/>
            <w:tcBorders>
              <w:top w:val="single" w:color="000000" w:sz="4" w:space="0"/>
              <w:left w:val="single" w:color="000000" w:sz="4" w:space="0"/>
              <w:bottom w:val="single" w:color="000000" w:sz="4" w:space="0"/>
              <w:right w:val="single" w:color="000000" w:sz="4" w:space="0"/>
            </w:tcBorders>
            <w:noWrap w:val="0"/>
            <w:vAlign w:val="center"/>
          </w:tcPr>
          <w:p w14:paraId="379D7437">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spacing w:val="11"/>
                <w:kern w:val="0"/>
                <w:sz w:val="24"/>
                <w:szCs w:val="24"/>
                <w:highlight w:val="none"/>
                <w:lang w:val="en-US" w:eastAsia="zh-CN"/>
              </w:rPr>
            </w:pPr>
          </w:p>
        </w:tc>
      </w:tr>
      <w:tr w14:paraId="3826A556">
        <w:tblPrEx>
          <w:tblCellMar>
            <w:top w:w="0" w:type="dxa"/>
            <w:left w:w="28" w:type="dxa"/>
            <w:bottom w:w="0" w:type="dxa"/>
            <w:right w:w="28" w:type="dxa"/>
          </w:tblCellMar>
        </w:tblPrEx>
        <w:trPr>
          <w:trHeight w:val="420" w:hRule="exact"/>
          <w:jc w:val="center"/>
        </w:trPr>
        <w:tc>
          <w:tcPr>
            <w:tcW w:w="18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AF768A">
            <w:pPr>
              <w:pStyle w:val="24"/>
              <w:pageBreakBefore w:val="0"/>
              <w:widowControl w:val="0"/>
              <w:wordWrap/>
              <w:overflowPunct/>
              <w:topLinePunct w:val="0"/>
              <w:bidi w:val="0"/>
              <w:snapToGrid w:val="0"/>
              <w:spacing w:line="360" w:lineRule="auto"/>
              <w:ind w:left="0" w:leftChars="0" w:right="0" w:rightChars="0"/>
              <w:jc w:val="center"/>
              <w:rPr>
                <w:rFonts w:hint="eastAsia" w:ascii="宋体" w:hAnsi="宋体" w:eastAsia="宋体" w:cs="宋体"/>
                <w:color w:val="auto"/>
                <w:kern w:val="0"/>
                <w:sz w:val="24"/>
                <w:szCs w:val="24"/>
                <w:highlight w:val="none"/>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20808B2D">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32254697">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3AB49739">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3791" w:type="dxa"/>
            <w:tcBorders>
              <w:top w:val="single" w:color="000000" w:sz="4" w:space="0"/>
              <w:left w:val="single" w:color="000000" w:sz="4" w:space="0"/>
              <w:bottom w:val="single" w:color="000000" w:sz="4" w:space="0"/>
              <w:right w:val="single" w:color="000000" w:sz="4" w:space="0"/>
            </w:tcBorders>
            <w:noWrap w:val="0"/>
            <w:vAlign w:val="center"/>
          </w:tcPr>
          <w:p w14:paraId="04885930">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spacing w:val="11"/>
                <w:kern w:val="0"/>
                <w:sz w:val="24"/>
                <w:szCs w:val="24"/>
                <w:highlight w:val="none"/>
                <w:lang w:val="en-US" w:eastAsia="zh-CN"/>
              </w:rPr>
            </w:pPr>
          </w:p>
        </w:tc>
      </w:tr>
      <w:tr w14:paraId="5C6B1119">
        <w:tblPrEx>
          <w:tblCellMar>
            <w:top w:w="0" w:type="dxa"/>
            <w:left w:w="28" w:type="dxa"/>
            <w:bottom w:w="0" w:type="dxa"/>
            <w:right w:w="28" w:type="dxa"/>
          </w:tblCellMar>
        </w:tblPrEx>
        <w:trPr>
          <w:trHeight w:val="420" w:hRule="exact"/>
          <w:jc w:val="center"/>
        </w:trPr>
        <w:tc>
          <w:tcPr>
            <w:tcW w:w="18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D4FB2F">
            <w:pPr>
              <w:pStyle w:val="24"/>
              <w:pageBreakBefore w:val="0"/>
              <w:widowControl w:val="0"/>
              <w:wordWrap/>
              <w:overflowPunct/>
              <w:topLinePunct w:val="0"/>
              <w:bidi w:val="0"/>
              <w:snapToGrid w:val="0"/>
              <w:spacing w:line="360" w:lineRule="auto"/>
              <w:ind w:left="0" w:leftChars="0" w:right="0" w:rightChars="0"/>
              <w:jc w:val="center"/>
              <w:rPr>
                <w:rFonts w:hint="eastAsia" w:ascii="宋体" w:hAnsi="宋体" w:eastAsia="宋体" w:cs="宋体"/>
                <w:color w:val="auto"/>
                <w:kern w:val="0"/>
                <w:sz w:val="24"/>
                <w:szCs w:val="24"/>
                <w:highlight w:val="none"/>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4225AA6B">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674E4AE2">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3AFFBBE1">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3791" w:type="dxa"/>
            <w:tcBorders>
              <w:top w:val="single" w:color="000000" w:sz="4" w:space="0"/>
              <w:left w:val="single" w:color="000000" w:sz="4" w:space="0"/>
              <w:bottom w:val="single" w:color="000000" w:sz="4" w:space="0"/>
              <w:right w:val="single" w:color="000000" w:sz="4" w:space="0"/>
            </w:tcBorders>
            <w:noWrap w:val="0"/>
            <w:vAlign w:val="center"/>
          </w:tcPr>
          <w:p w14:paraId="43EB95BA">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spacing w:val="11"/>
                <w:kern w:val="0"/>
                <w:sz w:val="24"/>
                <w:szCs w:val="24"/>
                <w:highlight w:val="none"/>
                <w:lang w:val="en-US" w:eastAsia="zh-CN"/>
              </w:rPr>
            </w:pPr>
          </w:p>
        </w:tc>
      </w:tr>
      <w:tr w14:paraId="0A88F7D2">
        <w:tblPrEx>
          <w:tblCellMar>
            <w:top w:w="0" w:type="dxa"/>
            <w:left w:w="28" w:type="dxa"/>
            <w:bottom w:w="0" w:type="dxa"/>
            <w:right w:w="28" w:type="dxa"/>
          </w:tblCellMar>
        </w:tblPrEx>
        <w:trPr>
          <w:trHeight w:val="420" w:hRule="exact"/>
          <w:jc w:val="center"/>
        </w:trPr>
        <w:tc>
          <w:tcPr>
            <w:tcW w:w="18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0678CE">
            <w:pPr>
              <w:pStyle w:val="24"/>
              <w:pageBreakBefore w:val="0"/>
              <w:widowControl w:val="0"/>
              <w:wordWrap/>
              <w:overflowPunct/>
              <w:topLinePunct w:val="0"/>
              <w:bidi w:val="0"/>
              <w:snapToGrid w:val="0"/>
              <w:spacing w:line="360" w:lineRule="auto"/>
              <w:ind w:left="0" w:leftChars="0" w:right="0" w:rightChars="0"/>
              <w:jc w:val="center"/>
              <w:rPr>
                <w:rFonts w:hint="eastAsia" w:ascii="宋体" w:hAnsi="宋体" w:eastAsia="宋体" w:cs="宋体"/>
                <w:color w:val="auto"/>
                <w:kern w:val="0"/>
                <w:sz w:val="24"/>
                <w:szCs w:val="24"/>
                <w:highlight w:val="none"/>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42630595">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4D1159D0">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7DEB6CDB">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3791" w:type="dxa"/>
            <w:tcBorders>
              <w:top w:val="single" w:color="000000" w:sz="4" w:space="0"/>
              <w:left w:val="single" w:color="000000" w:sz="4" w:space="0"/>
              <w:bottom w:val="single" w:color="000000" w:sz="4" w:space="0"/>
              <w:right w:val="single" w:color="000000" w:sz="4" w:space="0"/>
            </w:tcBorders>
            <w:noWrap w:val="0"/>
            <w:vAlign w:val="center"/>
          </w:tcPr>
          <w:p w14:paraId="55B62830">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spacing w:val="11"/>
                <w:kern w:val="0"/>
                <w:sz w:val="24"/>
                <w:szCs w:val="24"/>
                <w:highlight w:val="none"/>
                <w:lang w:val="en-US" w:eastAsia="zh-CN"/>
              </w:rPr>
            </w:pPr>
          </w:p>
        </w:tc>
      </w:tr>
      <w:tr w14:paraId="0C2F1F3C">
        <w:tblPrEx>
          <w:tblCellMar>
            <w:top w:w="0" w:type="dxa"/>
            <w:left w:w="28" w:type="dxa"/>
            <w:bottom w:w="0" w:type="dxa"/>
            <w:right w:w="28" w:type="dxa"/>
          </w:tblCellMar>
        </w:tblPrEx>
        <w:trPr>
          <w:trHeight w:val="420" w:hRule="exact"/>
          <w:jc w:val="center"/>
        </w:trPr>
        <w:tc>
          <w:tcPr>
            <w:tcW w:w="18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8508EA">
            <w:pPr>
              <w:pStyle w:val="24"/>
              <w:pageBreakBefore w:val="0"/>
              <w:widowControl w:val="0"/>
              <w:wordWrap/>
              <w:overflowPunct/>
              <w:topLinePunct w:val="0"/>
              <w:bidi w:val="0"/>
              <w:snapToGrid w:val="0"/>
              <w:spacing w:line="360" w:lineRule="auto"/>
              <w:ind w:left="0" w:leftChars="0" w:right="0" w:rightChars="0"/>
              <w:jc w:val="center"/>
              <w:rPr>
                <w:rFonts w:hint="eastAsia" w:ascii="宋体" w:hAnsi="宋体" w:eastAsia="宋体" w:cs="宋体"/>
                <w:color w:val="auto"/>
                <w:kern w:val="0"/>
                <w:sz w:val="24"/>
                <w:szCs w:val="24"/>
                <w:highlight w:val="none"/>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57579AF6">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759BD6D5">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3FF4D875">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3791" w:type="dxa"/>
            <w:tcBorders>
              <w:top w:val="single" w:color="000000" w:sz="4" w:space="0"/>
              <w:left w:val="single" w:color="000000" w:sz="4" w:space="0"/>
              <w:bottom w:val="single" w:color="000000" w:sz="4" w:space="0"/>
              <w:right w:val="single" w:color="000000" w:sz="4" w:space="0"/>
            </w:tcBorders>
            <w:noWrap w:val="0"/>
            <w:vAlign w:val="center"/>
          </w:tcPr>
          <w:p w14:paraId="00A67853">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spacing w:val="11"/>
                <w:kern w:val="0"/>
                <w:sz w:val="24"/>
                <w:szCs w:val="24"/>
                <w:highlight w:val="none"/>
                <w:lang w:val="en-US" w:eastAsia="zh-CN"/>
              </w:rPr>
            </w:pPr>
          </w:p>
        </w:tc>
      </w:tr>
      <w:tr w14:paraId="275CD07F">
        <w:tblPrEx>
          <w:tblCellMar>
            <w:top w:w="0" w:type="dxa"/>
            <w:left w:w="28" w:type="dxa"/>
            <w:bottom w:w="0" w:type="dxa"/>
            <w:right w:w="28" w:type="dxa"/>
          </w:tblCellMar>
        </w:tblPrEx>
        <w:trPr>
          <w:trHeight w:val="420" w:hRule="exact"/>
          <w:jc w:val="center"/>
        </w:trPr>
        <w:tc>
          <w:tcPr>
            <w:tcW w:w="18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47076B">
            <w:pPr>
              <w:pStyle w:val="24"/>
              <w:pageBreakBefore w:val="0"/>
              <w:widowControl w:val="0"/>
              <w:wordWrap/>
              <w:overflowPunct/>
              <w:topLinePunct w:val="0"/>
              <w:bidi w:val="0"/>
              <w:snapToGrid w:val="0"/>
              <w:spacing w:line="360" w:lineRule="auto"/>
              <w:ind w:left="0" w:leftChars="0" w:right="0" w:rightChars="0"/>
              <w:jc w:val="center"/>
              <w:rPr>
                <w:rFonts w:hint="eastAsia" w:ascii="宋体" w:hAnsi="宋体" w:eastAsia="宋体" w:cs="宋体"/>
                <w:color w:val="auto"/>
                <w:kern w:val="0"/>
                <w:sz w:val="24"/>
                <w:szCs w:val="24"/>
                <w:highlight w:val="none"/>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2C472270">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01A8CEF7">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37F5A752">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3791" w:type="dxa"/>
            <w:tcBorders>
              <w:top w:val="single" w:color="000000" w:sz="4" w:space="0"/>
              <w:left w:val="single" w:color="000000" w:sz="4" w:space="0"/>
              <w:bottom w:val="single" w:color="000000" w:sz="4" w:space="0"/>
              <w:right w:val="single" w:color="000000" w:sz="4" w:space="0"/>
            </w:tcBorders>
            <w:noWrap w:val="0"/>
            <w:vAlign w:val="center"/>
          </w:tcPr>
          <w:p w14:paraId="3DFC282D">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spacing w:val="11"/>
                <w:kern w:val="0"/>
                <w:sz w:val="24"/>
                <w:szCs w:val="24"/>
                <w:highlight w:val="none"/>
                <w:lang w:val="en-US" w:eastAsia="zh-CN"/>
              </w:rPr>
            </w:pPr>
          </w:p>
        </w:tc>
      </w:tr>
      <w:tr w14:paraId="42C5EFC5">
        <w:tblPrEx>
          <w:tblCellMar>
            <w:top w:w="0" w:type="dxa"/>
            <w:left w:w="28" w:type="dxa"/>
            <w:bottom w:w="0" w:type="dxa"/>
            <w:right w:w="28" w:type="dxa"/>
          </w:tblCellMar>
        </w:tblPrEx>
        <w:trPr>
          <w:trHeight w:val="420" w:hRule="exact"/>
          <w:jc w:val="center"/>
        </w:trPr>
        <w:tc>
          <w:tcPr>
            <w:tcW w:w="18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4AD4B7">
            <w:pPr>
              <w:pStyle w:val="24"/>
              <w:pageBreakBefore w:val="0"/>
              <w:widowControl w:val="0"/>
              <w:wordWrap/>
              <w:overflowPunct/>
              <w:topLinePunct w:val="0"/>
              <w:bidi w:val="0"/>
              <w:snapToGrid w:val="0"/>
              <w:spacing w:line="360" w:lineRule="auto"/>
              <w:ind w:left="0" w:leftChars="0" w:right="0" w:rightChars="0"/>
              <w:jc w:val="center"/>
              <w:rPr>
                <w:rFonts w:hint="eastAsia" w:ascii="宋体" w:hAnsi="宋体" w:eastAsia="宋体" w:cs="宋体"/>
                <w:color w:val="auto"/>
                <w:kern w:val="0"/>
                <w:sz w:val="24"/>
                <w:szCs w:val="24"/>
                <w:highlight w:val="none"/>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316524E3">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074A8A1B">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125C898F">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3791" w:type="dxa"/>
            <w:tcBorders>
              <w:top w:val="single" w:color="000000" w:sz="4" w:space="0"/>
              <w:left w:val="single" w:color="000000" w:sz="4" w:space="0"/>
              <w:bottom w:val="single" w:color="000000" w:sz="4" w:space="0"/>
              <w:right w:val="single" w:color="000000" w:sz="4" w:space="0"/>
            </w:tcBorders>
            <w:noWrap w:val="0"/>
            <w:vAlign w:val="center"/>
          </w:tcPr>
          <w:p w14:paraId="7CD425AC">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spacing w:val="11"/>
                <w:kern w:val="0"/>
                <w:sz w:val="24"/>
                <w:szCs w:val="24"/>
                <w:highlight w:val="none"/>
                <w:lang w:val="en-US" w:eastAsia="zh-CN"/>
              </w:rPr>
            </w:pPr>
          </w:p>
        </w:tc>
      </w:tr>
      <w:tr w14:paraId="1E2CC73C">
        <w:tblPrEx>
          <w:tblCellMar>
            <w:top w:w="0" w:type="dxa"/>
            <w:left w:w="28" w:type="dxa"/>
            <w:bottom w:w="0" w:type="dxa"/>
            <w:right w:w="28" w:type="dxa"/>
          </w:tblCellMar>
        </w:tblPrEx>
        <w:trPr>
          <w:trHeight w:val="420" w:hRule="exact"/>
          <w:jc w:val="center"/>
        </w:trPr>
        <w:tc>
          <w:tcPr>
            <w:tcW w:w="18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9FC76E">
            <w:pPr>
              <w:pStyle w:val="24"/>
              <w:pageBreakBefore w:val="0"/>
              <w:widowControl w:val="0"/>
              <w:wordWrap/>
              <w:overflowPunct/>
              <w:topLinePunct w:val="0"/>
              <w:bidi w:val="0"/>
              <w:snapToGrid w:val="0"/>
              <w:spacing w:line="360" w:lineRule="auto"/>
              <w:ind w:left="0" w:leftChars="0" w:right="0" w:rightChars="0"/>
              <w:jc w:val="center"/>
              <w:rPr>
                <w:rFonts w:hint="eastAsia" w:ascii="宋体" w:hAnsi="宋体" w:eastAsia="宋体" w:cs="宋体"/>
                <w:color w:val="auto"/>
                <w:kern w:val="0"/>
                <w:sz w:val="24"/>
                <w:szCs w:val="24"/>
                <w:highlight w:val="none"/>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59E5795C">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7B4E81F5">
            <w:pPr>
              <w:pStyle w:val="24"/>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1A61B007">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kern w:val="0"/>
                <w:sz w:val="24"/>
                <w:szCs w:val="24"/>
                <w:highlight w:val="none"/>
                <w:lang w:val="en-US" w:eastAsia="zh-CN"/>
              </w:rPr>
            </w:pPr>
          </w:p>
        </w:tc>
        <w:tc>
          <w:tcPr>
            <w:tcW w:w="3791" w:type="dxa"/>
            <w:tcBorders>
              <w:top w:val="single" w:color="000000" w:sz="4" w:space="0"/>
              <w:left w:val="single" w:color="000000" w:sz="4" w:space="0"/>
              <w:bottom w:val="single" w:color="000000" w:sz="4" w:space="0"/>
              <w:right w:val="single" w:color="000000" w:sz="4" w:space="0"/>
            </w:tcBorders>
            <w:noWrap w:val="0"/>
            <w:vAlign w:val="center"/>
          </w:tcPr>
          <w:p w14:paraId="27BAB1D2">
            <w:pPr>
              <w:keepNext/>
              <w:pageBreakBefore w:val="0"/>
              <w:widowControl w:val="0"/>
              <w:wordWrap/>
              <w:overflowPunct/>
              <w:topLinePunct w:val="0"/>
              <w:bidi w:val="0"/>
              <w:snapToGrid w:val="0"/>
              <w:spacing w:line="360" w:lineRule="auto"/>
              <w:ind w:left="0" w:leftChars="0" w:right="0" w:rightChars="0"/>
              <w:jc w:val="center"/>
              <w:textAlignment w:val="baseline"/>
              <w:rPr>
                <w:rFonts w:hint="eastAsia" w:ascii="宋体" w:hAnsi="宋体" w:eastAsia="宋体" w:cs="宋体"/>
                <w:color w:val="auto"/>
                <w:spacing w:val="11"/>
                <w:kern w:val="0"/>
                <w:sz w:val="24"/>
                <w:szCs w:val="24"/>
                <w:highlight w:val="none"/>
                <w:lang w:val="en-US" w:eastAsia="zh-CN"/>
              </w:rPr>
            </w:pPr>
          </w:p>
        </w:tc>
      </w:tr>
    </w:tbl>
    <w:p w14:paraId="21156EED">
      <w:pPr>
        <w:pStyle w:val="12"/>
        <w:tabs>
          <w:tab w:val="left" w:pos="1417"/>
          <w:tab w:val="left" w:pos="2468"/>
          <w:tab w:val="left" w:pos="3308"/>
          <w:tab w:val="left" w:pos="4357"/>
        </w:tabs>
        <w:spacing w:before="128"/>
        <w:rPr>
          <w:color w:val="auto"/>
        </w:rPr>
      </w:pPr>
    </w:p>
    <w:sectPr>
      <w:headerReference r:id="rId7" w:type="default"/>
      <w:footerReference r:id="rId8" w:type="default"/>
      <w:pgSz w:w="11906" w:h="16838"/>
      <w:pgMar w:top="1219" w:right="1219" w:bottom="1219" w:left="1219"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367F1">
    <w:pPr>
      <w:pStyle w:val="12"/>
      <w:spacing w:before="0" w:line="14" w:lineRule="auto"/>
      <w:ind w:left="0"/>
      <w:rPr>
        <w:sz w:val="20"/>
      </w:rPr>
    </w:pPr>
    <w:r>
      <mc:AlternateContent>
        <mc:Choice Requires="wps">
          <w:drawing>
            <wp:anchor distT="0" distB="0" distL="0" distR="0" simplePos="0" relativeHeight="251661312" behindDoc="1" locked="0" layoutInCell="1" allowOverlap="1">
              <wp:simplePos x="0" y="0"/>
              <wp:positionH relativeFrom="page">
                <wp:posOffset>3784600</wp:posOffset>
              </wp:positionH>
              <wp:positionV relativeFrom="page">
                <wp:posOffset>9792970</wp:posOffset>
              </wp:positionV>
              <wp:extent cx="82550" cy="152400"/>
              <wp:effectExtent l="0" t="0" r="0" b="0"/>
              <wp:wrapNone/>
              <wp:docPr id="5" name="Textbox 5"/>
              <wp:cNvGraphicFramePr/>
              <a:graphic xmlns:a="http://schemas.openxmlformats.org/drawingml/2006/main">
                <a:graphicData uri="http://schemas.microsoft.com/office/word/2010/wordprocessingShape">
                  <wps:wsp>
                    <wps:cNvSpPr txBox="1"/>
                    <wps:spPr>
                      <a:xfrm>
                        <a:off x="0" y="0"/>
                        <a:ext cx="82550" cy="152400"/>
                      </a:xfrm>
                      <a:prstGeom prst="rect">
                        <a:avLst/>
                      </a:prstGeom>
                    </wps:spPr>
                    <wps:txbx>
                      <w:txbxContent>
                        <w:p w14:paraId="4F204729">
                          <w:pPr>
                            <w:spacing w:before="12"/>
                            <w:ind w:left="20" w:right="0" w:firstLine="0"/>
                            <w:jc w:val="left"/>
                            <w:rPr>
                              <w:rFonts w:ascii="Times New Roman"/>
                              <w:sz w:val="18"/>
                            </w:rPr>
                          </w:pPr>
                          <w:r>
                            <w:rPr>
                              <w:rFonts w:ascii="Times New Roman"/>
                              <w:spacing w:val="-10"/>
                              <w:sz w:val="18"/>
                            </w:rPr>
                            <w:t>2</w:t>
                          </w:r>
                        </w:p>
                      </w:txbxContent>
                    </wps:txbx>
                    <wps:bodyPr wrap="square" lIns="0" tIns="0" rIns="0" bIns="0" rtlCol="0">
                      <a:noAutofit/>
                    </wps:bodyPr>
                  </wps:wsp>
                </a:graphicData>
              </a:graphic>
            </wp:anchor>
          </w:drawing>
        </mc:Choice>
        <mc:Fallback>
          <w:pict>
            <v:shape id="Textbox 5" o:spid="_x0000_s1026" o:spt="202" type="#_x0000_t202" style="position:absolute;left:0pt;margin-left:298pt;margin-top:771.1pt;height:12pt;width:6.5pt;mso-position-horizontal-relative:page;mso-position-vertical-relative:page;z-index:-251655168;mso-width-relative:page;mso-height-relative:page;" filled="f" stroked="f" coordsize="21600,21600" o:gfxdata="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KwV&#10;XdPZAAAADQEAAA8AAAAAAAAAAQAgAAAAIgAAAGRycy9kb3ducmV2LnhtbFBLAQIUABQAAAAIAIdO&#10;4kC1VtXKsAEAAHIDAAAOAAAAAAAAAAEAIAAAACgBAABkcnMvZTJvRG9jLnhtbFBLBQYAAAAABgAG&#10;AFkBAABKBQAAAAA=&#10;">
              <v:fill on="f" focussize="0,0"/>
              <v:stroke on="f"/>
              <v:imagedata o:title=""/>
              <o:lock v:ext="edit" aspectratio="f"/>
              <v:textbox inset="0mm,0mm,0mm,0mm">
                <w:txbxContent>
                  <w:p w14:paraId="4F204729">
                    <w:pPr>
                      <w:spacing w:before="12"/>
                      <w:ind w:left="20" w:right="0" w:firstLine="0"/>
                      <w:jc w:val="left"/>
                      <w:rPr>
                        <w:rFonts w:ascii="Times New Roman"/>
                        <w:sz w:val="18"/>
                      </w:rPr>
                    </w:pPr>
                    <w:r>
                      <w:rPr>
                        <w:rFonts w:ascii="Times New Roman"/>
                        <w:spacing w:val="-10"/>
                        <w:sz w:val="18"/>
                      </w:rPr>
                      <w:t>2</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5034D">
    <w:pPr>
      <w:pStyle w:val="12"/>
      <w:spacing w:before="0" w:line="14" w:lineRule="auto"/>
      <w:ind w:left="0"/>
      <w:rPr>
        <w:sz w:val="20"/>
      </w:rPr>
    </w:pPr>
    <w:r>
      <mc:AlternateContent>
        <mc:Choice Requires="wps">
          <w:drawing>
            <wp:anchor distT="0" distB="0" distL="0" distR="0" simplePos="0" relativeHeight="251662336" behindDoc="1" locked="0" layoutInCell="1" allowOverlap="1">
              <wp:simplePos x="0" y="0"/>
              <wp:positionH relativeFrom="page">
                <wp:posOffset>3699510</wp:posOffset>
              </wp:positionH>
              <wp:positionV relativeFrom="page">
                <wp:posOffset>9924415</wp:posOffset>
              </wp:positionV>
              <wp:extent cx="196850" cy="152400"/>
              <wp:effectExtent l="0" t="0" r="0" b="0"/>
              <wp:wrapNone/>
              <wp:docPr id="6" name="Textbox 6"/>
              <wp:cNvGraphicFramePr/>
              <a:graphic xmlns:a="http://schemas.openxmlformats.org/drawingml/2006/main">
                <a:graphicData uri="http://schemas.microsoft.com/office/word/2010/wordprocessingShape">
                  <wps:wsp>
                    <wps:cNvSpPr txBox="1"/>
                    <wps:spPr>
                      <a:xfrm>
                        <a:off x="0" y="0"/>
                        <a:ext cx="196850" cy="152400"/>
                      </a:xfrm>
                      <a:prstGeom prst="rect">
                        <a:avLst/>
                      </a:prstGeom>
                    </wps:spPr>
                    <wps:txbx>
                      <w:txbxContent>
                        <w:p w14:paraId="1E3862F9">
                          <w:pPr>
                            <w:spacing w:before="12"/>
                            <w:ind w:left="20" w:right="0" w:firstLine="0"/>
                            <w:jc w:val="left"/>
                            <w:rPr>
                              <w:rFonts w:ascii="Times New Roman"/>
                              <w:sz w:val="18"/>
                            </w:rPr>
                          </w:pPr>
                          <w:r>
                            <w:rPr>
                              <w:rFonts w:ascii="Times New Roman"/>
                              <w:spacing w:val="-5"/>
                              <w:sz w:val="18"/>
                            </w:rPr>
                            <w:fldChar w:fldCharType="begin"/>
                          </w:r>
                          <w:r>
                            <w:rPr>
                              <w:rFonts w:ascii="Times New Roman"/>
                              <w:spacing w:val="-5"/>
                              <w:sz w:val="18"/>
                            </w:rPr>
                            <w:instrText xml:space="preserve"> PAGE </w:instrText>
                          </w:r>
                          <w:r>
                            <w:rPr>
                              <w:rFonts w:ascii="Times New Roman"/>
                              <w:spacing w:val="-5"/>
                              <w:sz w:val="18"/>
                            </w:rPr>
                            <w:fldChar w:fldCharType="separate"/>
                          </w:r>
                          <w:r>
                            <w:rPr>
                              <w:rFonts w:ascii="Times New Roman"/>
                              <w:spacing w:val="-5"/>
                              <w:sz w:val="18"/>
                            </w:rPr>
                            <w:t>100</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 id="Textbox 6" o:spid="_x0000_s1026" o:spt="202" type="#_x0000_t202" style="position:absolute;left:0pt;margin-left:291.3pt;margin-top:781.45pt;height:12pt;width:15.5pt;mso-position-horizontal-relative:page;mso-position-vertical-relative:page;z-index:-251654144;mso-width-relative:page;mso-height-relative:page;" filled="f" stroked="f" coordsize="21600,21600" o:gfxdata="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4X9DU9oAAAANAQAADwAAAAAAAAABACAAAAAiAAAAZHJzL2Rvd25yZXYueG1sUEsBAhQAFAAAAAgA&#10;h07iQG23hxSxAQAAcwMAAA4AAAAAAAAAAQAgAAAAKQEAAGRycy9lMm9Eb2MueG1sUEsFBgAAAAAG&#10;AAYAWQEAAEwFAAAAAA==&#10;">
              <v:fill on="f" focussize="0,0"/>
              <v:stroke on="f"/>
              <v:imagedata o:title=""/>
              <o:lock v:ext="edit" aspectratio="f"/>
              <v:textbox inset="0mm,0mm,0mm,0mm">
                <w:txbxContent>
                  <w:p w14:paraId="1E3862F9">
                    <w:pPr>
                      <w:spacing w:before="12"/>
                      <w:ind w:left="20" w:right="0" w:firstLine="0"/>
                      <w:jc w:val="left"/>
                      <w:rPr>
                        <w:rFonts w:ascii="Times New Roman"/>
                        <w:sz w:val="18"/>
                      </w:rPr>
                    </w:pPr>
                    <w:r>
                      <w:rPr>
                        <w:rFonts w:ascii="Times New Roman"/>
                        <w:spacing w:val="-5"/>
                        <w:sz w:val="18"/>
                      </w:rPr>
                      <w:fldChar w:fldCharType="begin"/>
                    </w:r>
                    <w:r>
                      <w:rPr>
                        <w:rFonts w:ascii="Times New Roman"/>
                        <w:spacing w:val="-5"/>
                        <w:sz w:val="18"/>
                      </w:rPr>
                      <w:instrText xml:space="preserve"> PAGE </w:instrText>
                    </w:r>
                    <w:r>
                      <w:rPr>
                        <w:rFonts w:ascii="Times New Roman"/>
                        <w:spacing w:val="-5"/>
                        <w:sz w:val="18"/>
                      </w:rPr>
                      <w:fldChar w:fldCharType="separate"/>
                    </w:r>
                    <w:r>
                      <w:rPr>
                        <w:rFonts w:ascii="Times New Roman"/>
                        <w:spacing w:val="-5"/>
                        <w:sz w:val="18"/>
                      </w:rPr>
                      <w:t>100</w:t>
                    </w:r>
                    <w:r>
                      <w:rPr>
                        <w:rFonts w:ascii="Times New Roman"/>
                        <w:spacing w:val="-5"/>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82C43">
    <w:pPr>
      <w:spacing w:line="236" w:lineRule="auto"/>
      <w:ind w:left="4419"/>
      <w:rPr>
        <w:rFonts w:ascii="Calibri" w:hAnsi="Calibri" w:eastAsia="Calibri" w:cs="Calibri"/>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8DD80F">
                          <w:pPr>
                            <w:pStyle w:val="13"/>
                          </w:pPr>
                          <w:r>
                            <w:rPr>
                              <w:rFonts w:hint="eastAsia" w:ascii="宋体" w:hAnsi="宋体" w:eastAsia="宋体" w:cs="宋体"/>
                              <w:sz w:val="21"/>
                              <w:szCs w:val="24"/>
                            </w:rPr>
                            <w:fldChar w:fldCharType="begin"/>
                          </w:r>
                          <w:r>
                            <w:rPr>
                              <w:rFonts w:hint="eastAsia" w:ascii="宋体" w:hAnsi="宋体" w:eastAsia="宋体" w:cs="宋体"/>
                              <w:sz w:val="21"/>
                              <w:szCs w:val="24"/>
                            </w:rPr>
                            <w:instrText xml:space="preserve"> PAGE  \* MERGEFORMAT </w:instrText>
                          </w:r>
                          <w:r>
                            <w:rPr>
                              <w:rFonts w:hint="eastAsia" w:ascii="宋体" w:hAnsi="宋体" w:eastAsia="宋体" w:cs="宋体"/>
                              <w:sz w:val="21"/>
                              <w:szCs w:val="24"/>
                            </w:rPr>
                            <w:fldChar w:fldCharType="separate"/>
                          </w:r>
                          <w:r>
                            <w:rPr>
                              <w:rFonts w:hint="eastAsia" w:ascii="宋体" w:hAnsi="宋体" w:eastAsia="宋体" w:cs="宋体"/>
                              <w:sz w:val="21"/>
                              <w:szCs w:val="24"/>
                            </w:rPr>
                            <w:t>97</w:t>
                          </w:r>
                          <w:r>
                            <w:rPr>
                              <w:rFonts w:hint="eastAsia" w:ascii="宋体" w:hAnsi="宋体" w:eastAsia="宋体" w:cs="宋体"/>
                              <w:sz w:val="21"/>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5FtZAzAgAAYw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5FtZAzAgAAYwQAAA4AAAAAAAAAAQAgAAAAHwEAAGRycy9lMm9Eb2MueG1sUEsF&#10;BgAAAAAGAAYAWQEAAMQFAAAAAA==&#10;">
              <v:fill on="f" focussize="0,0"/>
              <v:stroke on="f" weight="0.5pt"/>
              <v:imagedata o:title=""/>
              <o:lock v:ext="edit" aspectratio="f"/>
              <v:textbox inset="0mm,0mm,0mm,0mm" style="mso-fit-shape-to-text:t;">
                <w:txbxContent>
                  <w:p w14:paraId="598DD80F">
                    <w:pPr>
                      <w:pStyle w:val="13"/>
                    </w:pPr>
                    <w:r>
                      <w:rPr>
                        <w:rFonts w:hint="eastAsia" w:ascii="宋体" w:hAnsi="宋体" w:eastAsia="宋体" w:cs="宋体"/>
                        <w:sz w:val="21"/>
                        <w:szCs w:val="24"/>
                      </w:rPr>
                      <w:fldChar w:fldCharType="begin"/>
                    </w:r>
                    <w:r>
                      <w:rPr>
                        <w:rFonts w:hint="eastAsia" w:ascii="宋体" w:hAnsi="宋体" w:eastAsia="宋体" w:cs="宋体"/>
                        <w:sz w:val="21"/>
                        <w:szCs w:val="24"/>
                      </w:rPr>
                      <w:instrText xml:space="preserve"> PAGE  \* MERGEFORMAT </w:instrText>
                    </w:r>
                    <w:r>
                      <w:rPr>
                        <w:rFonts w:hint="eastAsia" w:ascii="宋体" w:hAnsi="宋体" w:eastAsia="宋体" w:cs="宋体"/>
                        <w:sz w:val="21"/>
                        <w:szCs w:val="24"/>
                      </w:rPr>
                      <w:fldChar w:fldCharType="separate"/>
                    </w:r>
                    <w:r>
                      <w:rPr>
                        <w:rFonts w:hint="eastAsia" w:ascii="宋体" w:hAnsi="宋体" w:eastAsia="宋体" w:cs="宋体"/>
                        <w:sz w:val="21"/>
                        <w:szCs w:val="24"/>
                      </w:rPr>
                      <w:t>97</w:t>
                    </w:r>
                    <w:r>
                      <w:rPr>
                        <w:rFonts w:hint="eastAsia" w:ascii="宋体" w:hAnsi="宋体" w:eastAsia="宋体" w:cs="宋体"/>
                        <w:sz w:val="21"/>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0BEE4">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2F4A72"/>
    <w:multiLevelType w:val="multilevel"/>
    <w:tmpl w:val="822F4A72"/>
    <w:lvl w:ilvl="0" w:tentative="0">
      <w:start w:val="1"/>
      <w:numFmt w:val="decimal"/>
      <w:lvlText w:val="（%1）"/>
      <w:lvlJc w:val="left"/>
      <w:pPr>
        <w:ind w:left="1736" w:hanging="528"/>
        <w:jc w:val="left"/>
      </w:pPr>
      <w:rPr>
        <w:rFonts w:hint="default" w:ascii="宋体" w:hAnsi="宋体" w:eastAsia="宋体" w:cs="宋体"/>
        <w:b/>
        <w:bCs/>
        <w:i w:val="0"/>
        <w:iCs w:val="0"/>
        <w:spacing w:val="1"/>
        <w:w w:val="99"/>
        <w:sz w:val="19"/>
        <w:szCs w:val="19"/>
        <w:lang w:val="en-US" w:eastAsia="zh-CN" w:bidi="ar-SA"/>
      </w:rPr>
    </w:lvl>
    <w:lvl w:ilvl="1" w:tentative="0">
      <w:start w:val="0"/>
      <w:numFmt w:val="bullet"/>
      <w:lvlText w:val="•"/>
      <w:lvlJc w:val="left"/>
      <w:pPr>
        <w:ind w:left="2602" w:hanging="528"/>
      </w:pPr>
      <w:rPr>
        <w:rFonts w:hint="default"/>
        <w:lang w:val="en-US" w:eastAsia="zh-CN" w:bidi="ar-SA"/>
      </w:rPr>
    </w:lvl>
    <w:lvl w:ilvl="2" w:tentative="0">
      <w:start w:val="0"/>
      <w:numFmt w:val="bullet"/>
      <w:lvlText w:val="•"/>
      <w:lvlJc w:val="left"/>
      <w:pPr>
        <w:ind w:left="3465" w:hanging="528"/>
      </w:pPr>
      <w:rPr>
        <w:rFonts w:hint="default"/>
        <w:lang w:val="en-US" w:eastAsia="zh-CN" w:bidi="ar-SA"/>
      </w:rPr>
    </w:lvl>
    <w:lvl w:ilvl="3" w:tentative="0">
      <w:start w:val="0"/>
      <w:numFmt w:val="bullet"/>
      <w:lvlText w:val="•"/>
      <w:lvlJc w:val="left"/>
      <w:pPr>
        <w:ind w:left="4327" w:hanging="528"/>
      </w:pPr>
      <w:rPr>
        <w:rFonts w:hint="default"/>
        <w:lang w:val="en-US" w:eastAsia="zh-CN" w:bidi="ar-SA"/>
      </w:rPr>
    </w:lvl>
    <w:lvl w:ilvl="4" w:tentative="0">
      <w:start w:val="0"/>
      <w:numFmt w:val="bullet"/>
      <w:lvlText w:val="•"/>
      <w:lvlJc w:val="left"/>
      <w:pPr>
        <w:ind w:left="5190" w:hanging="528"/>
      </w:pPr>
      <w:rPr>
        <w:rFonts w:hint="default"/>
        <w:lang w:val="en-US" w:eastAsia="zh-CN" w:bidi="ar-SA"/>
      </w:rPr>
    </w:lvl>
    <w:lvl w:ilvl="5" w:tentative="0">
      <w:start w:val="0"/>
      <w:numFmt w:val="bullet"/>
      <w:lvlText w:val="•"/>
      <w:lvlJc w:val="left"/>
      <w:pPr>
        <w:ind w:left="6053" w:hanging="528"/>
      </w:pPr>
      <w:rPr>
        <w:rFonts w:hint="default"/>
        <w:lang w:val="en-US" w:eastAsia="zh-CN" w:bidi="ar-SA"/>
      </w:rPr>
    </w:lvl>
    <w:lvl w:ilvl="6" w:tentative="0">
      <w:start w:val="0"/>
      <w:numFmt w:val="bullet"/>
      <w:lvlText w:val="•"/>
      <w:lvlJc w:val="left"/>
      <w:pPr>
        <w:ind w:left="6915" w:hanging="528"/>
      </w:pPr>
      <w:rPr>
        <w:rFonts w:hint="default"/>
        <w:lang w:val="en-US" w:eastAsia="zh-CN" w:bidi="ar-SA"/>
      </w:rPr>
    </w:lvl>
    <w:lvl w:ilvl="7" w:tentative="0">
      <w:start w:val="0"/>
      <w:numFmt w:val="bullet"/>
      <w:lvlText w:val="•"/>
      <w:lvlJc w:val="left"/>
      <w:pPr>
        <w:ind w:left="7778" w:hanging="528"/>
      </w:pPr>
      <w:rPr>
        <w:rFonts w:hint="default"/>
        <w:lang w:val="en-US" w:eastAsia="zh-CN" w:bidi="ar-SA"/>
      </w:rPr>
    </w:lvl>
    <w:lvl w:ilvl="8" w:tentative="0">
      <w:start w:val="0"/>
      <w:numFmt w:val="bullet"/>
      <w:lvlText w:val="•"/>
      <w:lvlJc w:val="left"/>
      <w:pPr>
        <w:ind w:left="8640" w:hanging="528"/>
      </w:pPr>
      <w:rPr>
        <w:rFonts w:hint="default"/>
        <w:lang w:val="en-US" w:eastAsia="zh-CN" w:bidi="ar-SA"/>
      </w:rPr>
    </w:lvl>
  </w:abstractNum>
  <w:abstractNum w:abstractNumId="1">
    <w:nsid w:val="83F49C79"/>
    <w:multiLevelType w:val="multilevel"/>
    <w:tmpl w:val="83F49C79"/>
    <w:lvl w:ilvl="0" w:tentative="0">
      <w:start w:val="1"/>
      <w:numFmt w:val="decimal"/>
      <w:lvlText w:val="（%1）"/>
      <w:lvlJc w:val="left"/>
      <w:pPr>
        <w:ind w:left="1733" w:hanging="525"/>
        <w:jc w:val="left"/>
      </w:pPr>
      <w:rPr>
        <w:rFonts w:hint="default" w:ascii="宋体" w:hAnsi="宋体" w:eastAsia="宋体" w:cs="宋体"/>
        <w:b w:val="0"/>
        <w:bCs w:val="0"/>
        <w:i w:val="0"/>
        <w:iCs w:val="0"/>
        <w:spacing w:val="-1"/>
        <w:w w:val="99"/>
        <w:sz w:val="19"/>
        <w:szCs w:val="19"/>
        <w:lang w:val="en-US" w:eastAsia="zh-CN" w:bidi="ar-SA"/>
      </w:rPr>
    </w:lvl>
    <w:lvl w:ilvl="1" w:tentative="0">
      <w:start w:val="0"/>
      <w:numFmt w:val="bullet"/>
      <w:lvlText w:val="•"/>
      <w:lvlJc w:val="left"/>
      <w:pPr>
        <w:ind w:left="2602" w:hanging="525"/>
      </w:pPr>
      <w:rPr>
        <w:rFonts w:hint="default"/>
        <w:lang w:val="en-US" w:eastAsia="zh-CN" w:bidi="ar-SA"/>
      </w:rPr>
    </w:lvl>
    <w:lvl w:ilvl="2" w:tentative="0">
      <w:start w:val="0"/>
      <w:numFmt w:val="bullet"/>
      <w:lvlText w:val="•"/>
      <w:lvlJc w:val="left"/>
      <w:pPr>
        <w:ind w:left="3465" w:hanging="525"/>
      </w:pPr>
      <w:rPr>
        <w:rFonts w:hint="default"/>
        <w:lang w:val="en-US" w:eastAsia="zh-CN" w:bidi="ar-SA"/>
      </w:rPr>
    </w:lvl>
    <w:lvl w:ilvl="3" w:tentative="0">
      <w:start w:val="0"/>
      <w:numFmt w:val="bullet"/>
      <w:lvlText w:val="•"/>
      <w:lvlJc w:val="left"/>
      <w:pPr>
        <w:ind w:left="4327" w:hanging="525"/>
      </w:pPr>
      <w:rPr>
        <w:rFonts w:hint="default"/>
        <w:lang w:val="en-US" w:eastAsia="zh-CN" w:bidi="ar-SA"/>
      </w:rPr>
    </w:lvl>
    <w:lvl w:ilvl="4" w:tentative="0">
      <w:start w:val="0"/>
      <w:numFmt w:val="bullet"/>
      <w:lvlText w:val="•"/>
      <w:lvlJc w:val="left"/>
      <w:pPr>
        <w:ind w:left="5190" w:hanging="525"/>
      </w:pPr>
      <w:rPr>
        <w:rFonts w:hint="default"/>
        <w:lang w:val="en-US" w:eastAsia="zh-CN" w:bidi="ar-SA"/>
      </w:rPr>
    </w:lvl>
    <w:lvl w:ilvl="5" w:tentative="0">
      <w:start w:val="0"/>
      <w:numFmt w:val="bullet"/>
      <w:lvlText w:val="•"/>
      <w:lvlJc w:val="left"/>
      <w:pPr>
        <w:ind w:left="6053" w:hanging="525"/>
      </w:pPr>
      <w:rPr>
        <w:rFonts w:hint="default"/>
        <w:lang w:val="en-US" w:eastAsia="zh-CN" w:bidi="ar-SA"/>
      </w:rPr>
    </w:lvl>
    <w:lvl w:ilvl="6" w:tentative="0">
      <w:start w:val="0"/>
      <w:numFmt w:val="bullet"/>
      <w:lvlText w:val="•"/>
      <w:lvlJc w:val="left"/>
      <w:pPr>
        <w:ind w:left="6915" w:hanging="525"/>
      </w:pPr>
      <w:rPr>
        <w:rFonts w:hint="default"/>
        <w:lang w:val="en-US" w:eastAsia="zh-CN" w:bidi="ar-SA"/>
      </w:rPr>
    </w:lvl>
    <w:lvl w:ilvl="7" w:tentative="0">
      <w:start w:val="0"/>
      <w:numFmt w:val="bullet"/>
      <w:lvlText w:val="•"/>
      <w:lvlJc w:val="left"/>
      <w:pPr>
        <w:ind w:left="7778" w:hanging="525"/>
      </w:pPr>
      <w:rPr>
        <w:rFonts w:hint="default"/>
        <w:lang w:val="en-US" w:eastAsia="zh-CN" w:bidi="ar-SA"/>
      </w:rPr>
    </w:lvl>
    <w:lvl w:ilvl="8" w:tentative="0">
      <w:start w:val="0"/>
      <w:numFmt w:val="bullet"/>
      <w:lvlText w:val="•"/>
      <w:lvlJc w:val="left"/>
      <w:pPr>
        <w:ind w:left="8640" w:hanging="525"/>
      </w:pPr>
      <w:rPr>
        <w:rFonts w:hint="default"/>
        <w:lang w:val="en-US" w:eastAsia="zh-CN" w:bidi="ar-SA"/>
      </w:rPr>
    </w:lvl>
  </w:abstractNum>
  <w:abstractNum w:abstractNumId="2">
    <w:nsid w:val="842B6CAE"/>
    <w:multiLevelType w:val="multilevel"/>
    <w:tmpl w:val="842B6CAE"/>
    <w:lvl w:ilvl="0" w:tentative="0">
      <w:start w:val="1"/>
      <w:numFmt w:val="decimal"/>
      <w:lvlText w:val="（%1）"/>
      <w:lvlJc w:val="left"/>
      <w:pPr>
        <w:ind w:left="1733" w:hanging="525"/>
        <w:jc w:val="left"/>
      </w:pPr>
      <w:rPr>
        <w:rFonts w:hint="default" w:ascii="宋体" w:hAnsi="宋体" w:eastAsia="宋体" w:cs="宋体"/>
        <w:b w:val="0"/>
        <w:bCs w:val="0"/>
        <w:i w:val="0"/>
        <w:iCs w:val="0"/>
        <w:spacing w:val="-1"/>
        <w:w w:val="99"/>
        <w:sz w:val="19"/>
        <w:szCs w:val="19"/>
        <w:lang w:val="en-US" w:eastAsia="zh-CN" w:bidi="ar-SA"/>
      </w:rPr>
    </w:lvl>
    <w:lvl w:ilvl="1" w:tentative="0">
      <w:start w:val="0"/>
      <w:numFmt w:val="bullet"/>
      <w:lvlText w:val="•"/>
      <w:lvlJc w:val="left"/>
      <w:pPr>
        <w:ind w:left="2602" w:hanging="525"/>
      </w:pPr>
      <w:rPr>
        <w:rFonts w:hint="default"/>
        <w:lang w:val="en-US" w:eastAsia="zh-CN" w:bidi="ar-SA"/>
      </w:rPr>
    </w:lvl>
    <w:lvl w:ilvl="2" w:tentative="0">
      <w:start w:val="0"/>
      <w:numFmt w:val="bullet"/>
      <w:lvlText w:val="•"/>
      <w:lvlJc w:val="left"/>
      <w:pPr>
        <w:ind w:left="3465" w:hanging="525"/>
      </w:pPr>
      <w:rPr>
        <w:rFonts w:hint="default"/>
        <w:lang w:val="en-US" w:eastAsia="zh-CN" w:bidi="ar-SA"/>
      </w:rPr>
    </w:lvl>
    <w:lvl w:ilvl="3" w:tentative="0">
      <w:start w:val="0"/>
      <w:numFmt w:val="bullet"/>
      <w:lvlText w:val="•"/>
      <w:lvlJc w:val="left"/>
      <w:pPr>
        <w:ind w:left="4327" w:hanging="525"/>
      </w:pPr>
      <w:rPr>
        <w:rFonts w:hint="default"/>
        <w:lang w:val="en-US" w:eastAsia="zh-CN" w:bidi="ar-SA"/>
      </w:rPr>
    </w:lvl>
    <w:lvl w:ilvl="4" w:tentative="0">
      <w:start w:val="0"/>
      <w:numFmt w:val="bullet"/>
      <w:lvlText w:val="•"/>
      <w:lvlJc w:val="left"/>
      <w:pPr>
        <w:ind w:left="5190" w:hanging="525"/>
      </w:pPr>
      <w:rPr>
        <w:rFonts w:hint="default"/>
        <w:lang w:val="en-US" w:eastAsia="zh-CN" w:bidi="ar-SA"/>
      </w:rPr>
    </w:lvl>
    <w:lvl w:ilvl="5" w:tentative="0">
      <w:start w:val="0"/>
      <w:numFmt w:val="bullet"/>
      <w:lvlText w:val="•"/>
      <w:lvlJc w:val="left"/>
      <w:pPr>
        <w:ind w:left="6053" w:hanging="525"/>
      </w:pPr>
      <w:rPr>
        <w:rFonts w:hint="default"/>
        <w:lang w:val="en-US" w:eastAsia="zh-CN" w:bidi="ar-SA"/>
      </w:rPr>
    </w:lvl>
    <w:lvl w:ilvl="6" w:tentative="0">
      <w:start w:val="0"/>
      <w:numFmt w:val="bullet"/>
      <w:lvlText w:val="•"/>
      <w:lvlJc w:val="left"/>
      <w:pPr>
        <w:ind w:left="6915" w:hanging="525"/>
      </w:pPr>
      <w:rPr>
        <w:rFonts w:hint="default"/>
        <w:lang w:val="en-US" w:eastAsia="zh-CN" w:bidi="ar-SA"/>
      </w:rPr>
    </w:lvl>
    <w:lvl w:ilvl="7" w:tentative="0">
      <w:start w:val="0"/>
      <w:numFmt w:val="bullet"/>
      <w:lvlText w:val="•"/>
      <w:lvlJc w:val="left"/>
      <w:pPr>
        <w:ind w:left="7778" w:hanging="525"/>
      </w:pPr>
      <w:rPr>
        <w:rFonts w:hint="default"/>
        <w:lang w:val="en-US" w:eastAsia="zh-CN" w:bidi="ar-SA"/>
      </w:rPr>
    </w:lvl>
    <w:lvl w:ilvl="8" w:tentative="0">
      <w:start w:val="0"/>
      <w:numFmt w:val="bullet"/>
      <w:lvlText w:val="•"/>
      <w:lvlJc w:val="left"/>
      <w:pPr>
        <w:ind w:left="8640" w:hanging="525"/>
      </w:pPr>
      <w:rPr>
        <w:rFonts w:hint="default"/>
        <w:lang w:val="en-US" w:eastAsia="zh-CN" w:bidi="ar-SA"/>
      </w:rPr>
    </w:lvl>
  </w:abstractNum>
  <w:abstractNum w:abstractNumId="3">
    <w:nsid w:val="8A5C0115"/>
    <w:multiLevelType w:val="multilevel"/>
    <w:tmpl w:val="8A5C0115"/>
    <w:lvl w:ilvl="0" w:tentative="0">
      <w:start w:val="1"/>
      <w:numFmt w:val="decimal"/>
      <w:lvlText w:val="%1."/>
      <w:lvlJc w:val="left"/>
      <w:pPr>
        <w:ind w:left="1419" w:hanging="212"/>
        <w:jc w:val="left"/>
      </w:pPr>
      <w:rPr>
        <w:rFonts w:hint="default" w:ascii="宋体" w:hAnsi="宋体" w:eastAsia="宋体" w:cs="宋体"/>
        <w:b w:val="0"/>
        <w:bCs w:val="0"/>
        <w:i w:val="0"/>
        <w:iCs w:val="0"/>
        <w:spacing w:val="-2"/>
        <w:w w:val="99"/>
        <w:sz w:val="19"/>
        <w:szCs w:val="19"/>
        <w:lang w:val="en-US" w:eastAsia="zh-CN" w:bidi="ar-SA"/>
      </w:rPr>
    </w:lvl>
    <w:lvl w:ilvl="1" w:tentative="0">
      <w:start w:val="0"/>
      <w:numFmt w:val="bullet"/>
      <w:lvlText w:val="•"/>
      <w:lvlJc w:val="left"/>
      <w:pPr>
        <w:ind w:left="2314" w:hanging="212"/>
      </w:pPr>
      <w:rPr>
        <w:rFonts w:hint="default"/>
        <w:lang w:val="en-US" w:eastAsia="zh-CN" w:bidi="ar-SA"/>
      </w:rPr>
    </w:lvl>
    <w:lvl w:ilvl="2" w:tentative="0">
      <w:start w:val="0"/>
      <w:numFmt w:val="bullet"/>
      <w:lvlText w:val="•"/>
      <w:lvlJc w:val="left"/>
      <w:pPr>
        <w:ind w:left="3209" w:hanging="212"/>
      </w:pPr>
      <w:rPr>
        <w:rFonts w:hint="default"/>
        <w:lang w:val="en-US" w:eastAsia="zh-CN" w:bidi="ar-SA"/>
      </w:rPr>
    </w:lvl>
    <w:lvl w:ilvl="3" w:tentative="0">
      <w:start w:val="0"/>
      <w:numFmt w:val="bullet"/>
      <w:lvlText w:val="•"/>
      <w:lvlJc w:val="left"/>
      <w:pPr>
        <w:ind w:left="4103" w:hanging="212"/>
      </w:pPr>
      <w:rPr>
        <w:rFonts w:hint="default"/>
        <w:lang w:val="en-US" w:eastAsia="zh-CN" w:bidi="ar-SA"/>
      </w:rPr>
    </w:lvl>
    <w:lvl w:ilvl="4" w:tentative="0">
      <w:start w:val="0"/>
      <w:numFmt w:val="bullet"/>
      <w:lvlText w:val="•"/>
      <w:lvlJc w:val="left"/>
      <w:pPr>
        <w:ind w:left="4998" w:hanging="212"/>
      </w:pPr>
      <w:rPr>
        <w:rFonts w:hint="default"/>
        <w:lang w:val="en-US" w:eastAsia="zh-CN" w:bidi="ar-SA"/>
      </w:rPr>
    </w:lvl>
    <w:lvl w:ilvl="5" w:tentative="0">
      <w:start w:val="0"/>
      <w:numFmt w:val="bullet"/>
      <w:lvlText w:val="•"/>
      <w:lvlJc w:val="left"/>
      <w:pPr>
        <w:ind w:left="5893" w:hanging="212"/>
      </w:pPr>
      <w:rPr>
        <w:rFonts w:hint="default"/>
        <w:lang w:val="en-US" w:eastAsia="zh-CN" w:bidi="ar-SA"/>
      </w:rPr>
    </w:lvl>
    <w:lvl w:ilvl="6" w:tentative="0">
      <w:start w:val="0"/>
      <w:numFmt w:val="bullet"/>
      <w:lvlText w:val="•"/>
      <w:lvlJc w:val="left"/>
      <w:pPr>
        <w:ind w:left="6787" w:hanging="212"/>
      </w:pPr>
      <w:rPr>
        <w:rFonts w:hint="default"/>
        <w:lang w:val="en-US" w:eastAsia="zh-CN" w:bidi="ar-SA"/>
      </w:rPr>
    </w:lvl>
    <w:lvl w:ilvl="7" w:tentative="0">
      <w:start w:val="0"/>
      <w:numFmt w:val="bullet"/>
      <w:lvlText w:val="•"/>
      <w:lvlJc w:val="left"/>
      <w:pPr>
        <w:ind w:left="7682" w:hanging="212"/>
      </w:pPr>
      <w:rPr>
        <w:rFonts w:hint="default"/>
        <w:lang w:val="en-US" w:eastAsia="zh-CN" w:bidi="ar-SA"/>
      </w:rPr>
    </w:lvl>
    <w:lvl w:ilvl="8" w:tentative="0">
      <w:start w:val="0"/>
      <w:numFmt w:val="bullet"/>
      <w:lvlText w:val="•"/>
      <w:lvlJc w:val="left"/>
      <w:pPr>
        <w:ind w:left="8576" w:hanging="212"/>
      </w:pPr>
      <w:rPr>
        <w:rFonts w:hint="default"/>
        <w:lang w:val="en-US" w:eastAsia="zh-CN" w:bidi="ar-SA"/>
      </w:rPr>
    </w:lvl>
  </w:abstractNum>
  <w:abstractNum w:abstractNumId="4">
    <w:nsid w:val="8C0FA373"/>
    <w:multiLevelType w:val="multilevel"/>
    <w:tmpl w:val="8C0FA373"/>
    <w:lvl w:ilvl="0" w:tentative="0">
      <w:start w:val="1"/>
      <w:numFmt w:val="decimal"/>
      <w:lvlText w:val="%1."/>
      <w:lvlJc w:val="left"/>
      <w:pPr>
        <w:ind w:left="317" w:hanging="212"/>
        <w:jc w:val="left"/>
      </w:pPr>
      <w:rPr>
        <w:rFonts w:hint="default" w:ascii="宋体" w:hAnsi="宋体" w:eastAsia="宋体" w:cs="宋体"/>
        <w:b w:val="0"/>
        <w:bCs w:val="0"/>
        <w:i w:val="0"/>
        <w:iCs w:val="0"/>
        <w:spacing w:val="1"/>
        <w:w w:val="98"/>
        <w:sz w:val="19"/>
        <w:szCs w:val="19"/>
        <w:lang w:val="en-US" w:eastAsia="zh-CN" w:bidi="ar-SA"/>
      </w:rPr>
    </w:lvl>
    <w:lvl w:ilvl="1" w:tentative="0">
      <w:start w:val="0"/>
      <w:numFmt w:val="bullet"/>
      <w:lvlText w:val="•"/>
      <w:lvlJc w:val="left"/>
      <w:pPr>
        <w:ind w:left="1078" w:hanging="212"/>
      </w:pPr>
      <w:rPr>
        <w:rFonts w:hint="default"/>
        <w:lang w:val="en-US" w:eastAsia="zh-CN" w:bidi="ar-SA"/>
      </w:rPr>
    </w:lvl>
    <w:lvl w:ilvl="2" w:tentative="0">
      <w:start w:val="0"/>
      <w:numFmt w:val="bullet"/>
      <w:lvlText w:val="•"/>
      <w:lvlJc w:val="left"/>
      <w:pPr>
        <w:ind w:left="1836" w:hanging="212"/>
      </w:pPr>
      <w:rPr>
        <w:rFonts w:hint="default"/>
        <w:lang w:val="en-US" w:eastAsia="zh-CN" w:bidi="ar-SA"/>
      </w:rPr>
    </w:lvl>
    <w:lvl w:ilvl="3" w:tentative="0">
      <w:start w:val="0"/>
      <w:numFmt w:val="bullet"/>
      <w:lvlText w:val="•"/>
      <w:lvlJc w:val="left"/>
      <w:pPr>
        <w:ind w:left="2594" w:hanging="212"/>
      </w:pPr>
      <w:rPr>
        <w:rFonts w:hint="default"/>
        <w:lang w:val="en-US" w:eastAsia="zh-CN" w:bidi="ar-SA"/>
      </w:rPr>
    </w:lvl>
    <w:lvl w:ilvl="4" w:tentative="0">
      <w:start w:val="0"/>
      <w:numFmt w:val="bullet"/>
      <w:lvlText w:val="•"/>
      <w:lvlJc w:val="left"/>
      <w:pPr>
        <w:ind w:left="3352" w:hanging="212"/>
      </w:pPr>
      <w:rPr>
        <w:rFonts w:hint="default"/>
        <w:lang w:val="en-US" w:eastAsia="zh-CN" w:bidi="ar-SA"/>
      </w:rPr>
    </w:lvl>
    <w:lvl w:ilvl="5" w:tentative="0">
      <w:start w:val="0"/>
      <w:numFmt w:val="bullet"/>
      <w:lvlText w:val="•"/>
      <w:lvlJc w:val="left"/>
      <w:pPr>
        <w:ind w:left="4111" w:hanging="212"/>
      </w:pPr>
      <w:rPr>
        <w:rFonts w:hint="default"/>
        <w:lang w:val="en-US" w:eastAsia="zh-CN" w:bidi="ar-SA"/>
      </w:rPr>
    </w:lvl>
    <w:lvl w:ilvl="6" w:tentative="0">
      <w:start w:val="0"/>
      <w:numFmt w:val="bullet"/>
      <w:lvlText w:val="•"/>
      <w:lvlJc w:val="left"/>
      <w:pPr>
        <w:ind w:left="4869" w:hanging="212"/>
      </w:pPr>
      <w:rPr>
        <w:rFonts w:hint="default"/>
        <w:lang w:val="en-US" w:eastAsia="zh-CN" w:bidi="ar-SA"/>
      </w:rPr>
    </w:lvl>
    <w:lvl w:ilvl="7" w:tentative="0">
      <w:start w:val="0"/>
      <w:numFmt w:val="bullet"/>
      <w:lvlText w:val="•"/>
      <w:lvlJc w:val="left"/>
      <w:pPr>
        <w:ind w:left="5627" w:hanging="212"/>
      </w:pPr>
      <w:rPr>
        <w:rFonts w:hint="default"/>
        <w:lang w:val="en-US" w:eastAsia="zh-CN" w:bidi="ar-SA"/>
      </w:rPr>
    </w:lvl>
    <w:lvl w:ilvl="8" w:tentative="0">
      <w:start w:val="0"/>
      <w:numFmt w:val="bullet"/>
      <w:lvlText w:val="•"/>
      <w:lvlJc w:val="left"/>
      <w:pPr>
        <w:ind w:left="6385" w:hanging="212"/>
      </w:pPr>
      <w:rPr>
        <w:rFonts w:hint="default"/>
        <w:lang w:val="en-US" w:eastAsia="zh-CN" w:bidi="ar-SA"/>
      </w:rPr>
    </w:lvl>
  </w:abstractNum>
  <w:abstractNum w:abstractNumId="5">
    <w:nsid w:val="91F22F38"/>
    <w:multiLevelType w:val="multilevel"/>
    <w:tmpl w:val="91F22F38"/>
    <w:lvl w:ilvl="0" w:tentative="0">
      <w:start w:val="1"/>
      <w:numFmt w:val="decimal"/>
      <w:lvlText w:val="（%1）"/>
      <w:lvlJc w:val="left"/>
      <w:pPr>
        <w:ind w:left="1733" w:hanging="525"/>
        <w:jc w:val="left"/>
      </w:pPr>
      <w:rPr>
        <w:rFonts w:hint="default" w:ascii="宋体" w:hAnsi="宋体" w:eastAsia="宋体" w:cs="宋体"/>
        <w:b w:val="0"/>
        <w:bCs w:val="0"/>
        <w:i w:val="0"/>
        <w:iCs w:val="0"/>
        <w:spacing w:val="-1"/>
        <w:w w:val="99"/>
        <w:sz w:val="19"/>
        <w:szCs w:val="19"/>
        <w:lang w:val="en-US" w:eastAsia="zh-CN" w:bidi="ar-SA"/>
      </w:rPr>
    </w:lvl>
    <w:lvl w:ilvl="1" w:tentative="0">
      <w:start w:val="0"/>
      <w:numFmt w:val="bullet"/>
      <w:lvlText w:val="•"/>
      <w:lvlJc w:val="left"/>
      <w:pPr>
        <w:ind w:left="2602" w:hanging="525"/>
      </w:pPr>
      <w:rPr>
        <w:rFonts w:hint="default"/>
        <w:lang w:val="en-US" w:eastAsia="zh-CN" w:bidi="ar-SA"/>
      </w:rPr>
    </w:lvl>
    <w:lvl w:ilvl="2" w:tentative="0">
      <w:start w:val="0"/>
      <w:numFmt w:val="bullet"/>
      <w:lvlText w:val="•"/>
      <w:lvlJc w:val="left"/>
      <w:pPr>
        <w:ind w:left="3465" w:hanging="525"/>
      </w:pPr>
      <w:rPr>
        <w:rFonts w:hint="default"/>
        <w:lang w:val="en-US" w:eastAsia="zh-CN" w:bidi="ar-SA"/>
      </w:rPr>
    </w:lvl>
    <w:lvl w:ilvl="3" w:tentative="0">
      <w:start w:val="0"/>
      <w:numFmt w:val="bullet"/>
      <w:lvlText w:val="•"/>
      <w:lvlJc w:val="left"/>
      <w:pPr>
        <w:ind w:left="4327" w:hanging="525"/>
      </w:pPr>
      <w:rPr>
        <w:rFonts w:hint="default"/>
        <w:lang w:val="en-US" w:eastAsia="zh-CN" w:bidi="ar-SA"/>
      </w:rPr>
    </w:lvl>
    <w:lvl w:ilvl="4" w:tentative="0">
      <w:start w:val="0"/>
      <w:numFmt w:val="bullet"/>
      <w:lvlText w:val="•"/>
      <w:lvlJc w:val="left"/>
      <w:pPr>
        <w:ind w:left="5190" w:hanging="525"/>
      </w:pPr>
      <w:rPr>
        <w:rFonts w:hint="default"/>
        <w:lang w:val="en-US" w:eastAsia="zh-CN" w:bidi="ar-SA"/>
      </w:rPr>
    </w:lvl>
    <w:lvl w:ilvl="5" w:tentative="0">
      <w:start w:val="0"/>
      <w:numFmt w:val="bullet"/>
      <w:lvlText w:val="•"/>
      <w:lvlJc w:val="left"/>
      <w:pPr>
        <w:ind w:left="6053" w:hanging="525"/>
      </w:pPr>
      <w:rPr>
        <w:rFonts w:hint="default"/>
        <w:lang w:val="en-US" w:eastAsia="zh-CN" w:bidi="ar-SA"/>
      </w:rPr>
    </w:lvl>
    <w:lvl w:ilvl="6" w:tentative="0">
      <w:start w:val="0"/>
      <w:numFmt w:val="bullet"/>
      <w:lvlText w:val="•"/>
      <w:lvlJc w:val="left"/>
      <w:pPr>
        <w:ind w:left="6915" w:hanging="525"/>
      </w:pPr>
      <w:rPr>
        <w:rFonts w:hint="default"/>
        <w:lang w:val="en-US" w:eastAsia="zh-CN" w:bidi="ar-SA"/>
      </w:rPr>
    </w:lvl>
    <w:lvl w:ilvl="7" w:tentative="0">
      <w:start w:val="0"/>
      <w:numFmt w:val="bullet"/>
      <w:lvlText w:val="•"/>
      <w:lvlJc w:val="left"/>
      <w:pPr>
        <w:ind w:left="7778" w:hanging="525"/>
      </w:pPr>
      <w:rPr>
        <w:rFonts w:hint="default"/>
        <w:lang w:val="en-US" w:eastAsia="zh-CN" w:bidi="ar-SA"/>
      </w:rPr>
    </w:lvl>
    <w:lvl w:ilvl="8" w:tentative="0">
      <w:start w:val="0"/>
      <w:numFmt w:val="bullet"/>
      <w:lvlText w:val="•"/>
      <w:lvlJc w:val="left"/>
      <w:pPr>
        <w:ind w:left="8640" w:hanging="525"/>
      </w:pPr>
      <w:rPr>
        <w:rFonts w:hint="default"/>
        <w:lang w:val="en-US" w:eastAsia="zh-CN" w:bidi="ar-SA"/>
      </w:rPr>
    </w:lvl>
  </w:abstractNum>
  <w:abstractNum w:abstractNumId="6">
    <w:nsid w:val="9238CA51"/>
    <w:multiLevelType w:val="multilevel"/>
    <w:tmpl w:val="9238CA51"/>
    <w:lvl w:ilvl="0" w:tentative="0">
      <w:start w:val="1"/>
      <w:numFmt w:val="decimal"/>
      <w:lvlText w:val="%1."/>
      <w:lvlJc w:val="left"/>
      <w:pPr>
        <w:ind w:left="1470" w:hanging="262"/>
        <w:jc w:val="left"/>
      </w:pPr>
      <w:rPr>
        <w:rFonts w:hint="default" w:ascii="宋体" w:hAnsi="宋体" w:eastAsia="宋体" w:cs="宋体"/>
        <w:b w:val="0"/>
        <w:bCs w:val="0"/>
        <w:i w:val="0"/>
        <w:iCs w:val="0"/>
        <w:spacing w:val="-2"/>
        <w:w w:val="90"/>
        <w:sz w:val="21"/>
        <w:szCs w:val="21"/>
        <w:lang w:val="en-US" w:eastAsia="zh-CN" w:bidi="ar-SA"/>
      </w:rPr>
    </w:lvl>
    <w:lvl w:ilvl="1" w:tentative="0">
      <w:start w:val="0"/>
      <w:numFmt w:val="bullet"/>
      <w:lvlText w:val="•"/>
      <w:lvlJc w:val="left"/>
      <w:pPr>
        <w:ind w:left="2368" w:hanging="262"/>
      </w:pPr>
      <w:rPr>
        <w:rFonts w:hint="default"/>
        <w:lang w:val="en-US" w:eastAsia="zh-CN" w:bidi="ar-SA"/>
      </w:rPr>
    </w:lvl>
    <w:lvl w:ilvl="2" w:tentative="0">
      <w:start w:val="0"/>
      <w:numFmt w:val="bullet"/>
      <w:lvlText w:val="•"/>
      <w:lvlJc w:val="left"/>
      <w:pPr>
        <w:ind w:left="3257" w:hanging="262"/>
      </w:pPr>
      <w:rPr>
        <w:rFonts w:hint="default"/>
        <w:lang w:val="en-US" w:eastAsia="zh-CN" w:bidi="ar-SA"/>
      </w:rPr>
    </w:lvl>
    <w:lvl w:ilvl="3" w:tentative="0">
      <w:start w:val="0"/>
      <w:numFmt w:val="bullet"/>
      <w:lvlText w:val="•"/>
      <w:lvlJc w:val="left"/>
      <w:pPr>
        <w:ind w:left="4145" w:hanging="262"/>
      </w:pPr>
      <w:rPr>
        <w:rFonts w:hint="default"/>
        <w:lang w:val="en-US" w:eastAsia="zh-CN" w:bidi="ar-SA"/>
      </w:rPr>
    </w:lvl>
    <w:lvl w:ilvl="4" w:tentative="0">
      <w:start w:val="0"/>
      <w:numFmt w:val="bullet"/>
      <w:lvlText w:val="•"/>
      <w:lvlJc w:val="left"/>
      <w:pPr>
        <w:ind w:left="5034" w:hanging="262"/>
      </w:pPr>
      <w:rPr>
        <w:rFonts w:hint="default"/>
        <w:lang w:val="en-US" w:eastAsia="zh-CN" w:bidi="ar-SA"/>
      </w:rPr>
    </w:lvl>
    <w:lvl w:ilvl="5" w:tentative="0">
      <w:start w:val="0"/>
      <w:numFmt w:val="bullet"/>
      <w:lvlText w:val="•"/>
      <w:lvlJc w:val="left"/>
      <w:pPr>
        <w:ind w:left="5923" w:hanging="262"/>
      </w:pPr>
      <w:rPr>
        <w:rFonts w:hint="default"/>
        <w:lang w:val="en-US" w:eastAsia="zh-CN" w:bidi="ar-SA"/>
      </w:rPr>
    </w:lvl>
    <w:lvl w:ilvl="6" w:tentative="0">
      <w:start w:val="0"/>
      <w:numFmt w:val="bullet"/>
      <w:lvlText w:val="•"/>
      <w:lvlJc w:val="left"/>
      <w:pPr>
        <w:ind w:left="6811" w:hanging="262"/>
      </w:pPr>
      <w:rPr>
        <w:rFonts w:hint="default"/>
        <w:lang w:val="en-US" w:eastAsia="zh-CN" w:bidi="ar-SA"/>
      </w:rPr>
    </w:lvl>
    <w:lvl w:ilvl="7" w:tentative="0">
      <w:start w:val="0"/>
      <w:numFmt w:val="bullet"/>
      <w:lvlText w:val="•"/>
      <w:lvlJc w:val="left"/>
      <w:pPr>
        <w:ind w:left="7700" w:hanging="262"/>
      </w:pPr>
      <w:rPr>
        <w:rFonts w:hint="default"/>
        <w:lang w:val="en-US" w:eastAsia="zh-CN" w:bidi="ar-SA"/>
      </w:rPr>
    </w:lvl>
    <w:lvl w:ilvl="8" w:tentative="0">
      <w:start w:val="0"/>
      <w:numFmt w:val="bullet"/>
      <w:lvlText w:val="•"/>
      <w:lvlJc w:val="left"/>
      <w:pPr>
        <w:ind w:left="8588" w:hanging="262"/>
      </w:pPr>
      <w:rPr>
        <w:rFonts w:hint="default"/>
        <w:lang w:val="en-US" w:eastAsia="zh-CN" w:bidi="ar-SA"/>
      </w:rPr>
    </w:lvl>
  </w:abstractNum>
  <w:abstractNum w:abstractNumId="7">
    <w:nsid w:val="980A6485"/>
    <w:multiLevelType w:val="multilevel"/>
    <w:tmpl w:val="980A6485"/>
    <w:lvl w:ilvl="0" w:tentative="0">
      <w:start w:val="1"/>
      <w:numFmt w:val="decimal"/>
      <w:lvlText w:val="（%1）"/>
      <w:lvlJc w:val="left"/>
      <w:pPr>
        <w:ind w:left="635" w:hanging="528"/>
        <w:jc w:val="left"/>
      </w:pPr>
      <w:rPr>
        <w:rFonts w:hint="default" w:ascii="宋体" w:hAnsi="宋体" w:eastAsia="宋体" w:cs="宋体"/>
        <w:b/>
        <w:bCs/>
        <w:i w:val="0"/>
        <w:iCs w:val="0"/>
        <w:spacing w:val="1"/>
        <w:w w:val="99"/>
        <w:sz w:val="19"/>
        <w:szCs w:val="19"/>
        <w:lang w:val="en-US" w:eastAsia="zh-CN" w:bidi="ar-SA"/>
      </w:rPr>
    </w:lvl>
    <w:lvl w:ilvl="1" w:tentative="0">
      <w:start w:val="0"/>
      <w:numFmt w:val="bullet"/>
      <w:lvlText w:val="•"/>
      <w:lvlJc w:val="left"/>
      <w:pPr>
        <w:ind w:left="1203" w:hanging="528"/>
      </w:pPr>
      <w:rPr>
        <w:rFonts w:hint="default"/>
        <w:lang w:val="en-US" w:eastAsia="zh-CN" w:bidi="ar-SA"/>
      </w:rPr>
    </w:lvl>
    <w:lvl w:ilvl="2" w:tentative="0">
      <w:start w:val="0"/>
      <w:numFmt w:val="bullet"/>
      <w:lvlText w:val="•"/>
      <w:lvlJc w:val="left"/>
      <w:pPr>
        <w:ind w:left="1766" w:hanging="528"/>
      </w:pPr>
      <w:rPr>
        <w:rFonts w:hint="default"/>
        <w:lang w:val="en-US" w:eastAsia="zh-CN" w:bidi="ar-SA"/>
      </w:rPr>
    </w:lvl>
    <w:lvl w:ilvl="3" w:tentative="0">
      <w:start w:val="0"/>
      <w:numFmt w:val="bullet"/>
      <w:lvlText w:val="•"/>
      <w:lvlJc w:val="left"/>
      <w:pPr>
        <w:ind w:left="2330" w:hanging="528"/>
      </w:pPr>
      <w:rPr>
        <w:rFonts w:hint="default"/>
        <w:lang w:val="en-US" w:eastAsia="zh-CN" w:bidi="ar-SA"/>
      </w:rPr>
    </w:lvl>
    <w:lvl w:ilvl="4" w:tentative="0">
      <w:start w:val="0"/>
      <w:numFmt w:val="bullet"/>
      <w:lvlText w:val="•"/>
      <w:lvlJc w:val="left"/>
      <w:pPr>
        <w:ind w:left="2893" w:hanging="528"/>
      </w:pPr>
      <w:rPr>
        <w:rFonts w:hint="default"/>
        <w:lang w:val="en-US" w:eastAsia="zh-CN" w:bidi="ar-SA"/>
      </w:rPr>
    </w:lvl>
    <w:lvl w:ilvl="5" w:tentative="0">
      <w:start w:val="0"/>
      <w:numFmt w:val="bullet"/>
      <w:lvlText w:val="•"/>
      <w:lvlJc w:val="left"/>
      <w:pPr>
        <w:ind w:left="3457" w:hanging="528"/>
      </w:pPr>
      <w:rPr>
        <w:rFonts w:hint="default"/>
        <w:lang w:val="en-US" w:eastAsia="zh-CN" w:bidi="ar-SA"/>
      </w:rPr>
    </w:lvl>
    <w:lvl w:ilvl="6" w:tentative="0">
      <w:start w:val="0"/>
      <w:numFmt w:val="bullet"/>
      <w:lvlText w:val="•"/>
      <w:lvlJc w:val="left"/>
      <w:pPr>
        <w:ind w:left="4020" w:hanging="528"/>
      </w:pPr>
      <w:rPr>
        <w:rFonts w:hint="default"/>
        <w:lang w:val="en-US" w:eastAsia="zh-CN" w:bidi="ar-SA"/>
      </w:rPr>
    </w:lvl>
    <w:lvl w:ilvl="7" w:tentative="0">
      <w:start w:val="0"/>
      <w:numFmt w:val="bullet"/>
      <w:lvlText w:val="•"/>
      <w:lvlJc w:val="left"/>
      <w:pPr>
        <w:ind w:left="4583" w:hanging="528"/>
      </w:pPr>
      <w:rPr>
        <w:rFonts w:hint="default"/>
        <w:lang w:val="en-US" w:eastAsia="zh-CN" w:bidi="ar-SA"/>
      </w:rPr>
    </w:lvl>
    <w:lvl w:ilvl="8" w:tentative="0">
      <w:start w:val="0"/>
      <w:numFmt w:val="bullet"/>
      <w:lvlText w:val="•"/>
      <w:lvlJc w:val="left"/>
      <w:pPr>
        <w:ind w:left="5147" w:hanging="528"/>
      </w:pPr>
      <w:rPr>
        <w:rFonts w:hint="default"/>
        <w:lang w:val="en-US" w:eastAsia="zh-CN" w:bidi="ar-SA"/>
      </w:rPr>
    </w:lvl>
  </w:abstractNum>
  <w:abstractNum w:abstractNumId="8">
    <w:nsid w:val="9B636A3A"/>
    <w:multiLevelType w:val="multilevel"/>
    <w:tmpl w:val="9B636A3A"/>
    <w:lvl w:ilvl="0" w:tentative="0">
      <w:start w:val="1"/>
      <w:numFmt w:val="decimal"/>
      <w:lvlText w:val="（%1）"/>
      <w:lvlJc w:val="left"/>
      <w:pPr>
        <w:ind w:left="1869" w:hanging="601"/>
        <w:jc w:val="left"/>
      </w:pPr>
      <w:rPr>
        <w:rFonts w:hint="default" w:ascii="宋体" w:hAnsi="宋体" w:eastAsia="宋体" w:cs="宋体"/>
        <w:b w:val="0"/>
        <w:bCs w:val="0"/>
        <w:i w:val="0"/>
        <w:iCs w:val="0"/>
        <w:spacing w:val="0"/>
        <w:w w:val="100"/>
        <w:sz w:val="22"/>
        <w:szCs w:val="22"/>
        <w:lang w:val="en-US" w:eastAsia="zh-CN" w:bidi="ar-SA"/>
      </w:rPr>
    </w:lvl>
    <w:lvl w:ilvl="1" w:tentative="0">
      <w:start w:val="0"/>
      <w:numFmt w:val="bullet"/>
      <w:lvlText w:val="•"/>
      <w:lvlJc w:val="left"/>
      <w:pPr>
        <w:ind w:left="2710" w:hanging="601"/>
      </w:pPr>
      <w:rPr>
        <w:rFonts w:hint="default"/>
        <w:lang w:val="en-US" w:eastAsia="zh-CN" w:bidi="ar-SA"/>
      </w:rPr>
    </w:lvl>
    <w:lvl w:ilvl="2" w:tentative="0">
      <w:start w:val="0"/>
      <w:numFmt w:val="bullet"/>
      <w:lvlText w:val="•"/>
      <w:lvlJc w:val="left"/>
      <w:pPr>
        <w:ind w:left="3561" w:hanging="601"/>
      </w:pPr>
      <w:rPr>
        <w:rFonts w:hint="default"/>
        <w:lang w:val="en-US" w:eastAsia="zh-CN" w:bidi="ar-SA"/>
      </w:rPr>
    </w:lvl>
    <w:lvl w:ilvl="3" w:tentative="0">
      <w:start w:val="0"/>
      <w:numFmt w:val="bullet"/>
      <w:lvlText w:val="•"/>
      <w:lvlJc w:val="left"/>
      <w:pPr>
        <w:ind w:left="4411" w:hanging="601"/>
      </w:pPr>
      <w:rPr>
        <w:rFonts w:hint="default"/>
        <w:lang w:val="en-US" w:eastAsia="zh-CN" w:bidi="ar-SA"/>
      </w:rPr>
    </w:lvl>
    <w:lvl w:ilvl="4" w:tentative="0">
      <w:start w:val="0"/>
      <w:numFmt w:val="bullet"/>
      <w:lvlText w:val="•"/>
      <w:lvlJc w:val="left"/>
      <w:pPr>
        <w:ind w:left="5262" w:hanging="601"/>
      </w:pPr>
      <w:rPr>
        <w:rFonts w:hint="default"/>
        <w:lang w:val="en-US" w:eastAsia="zh-CN" w:bidi="ar-SA"/>
      </w:rPr>
    </w:lvl>
    <w:lvl w:ilvl="5" w:tentative="0">
      <w:start w:val="0"/>
      <w:numFmt w:val="bullet"/>
      <w:lvlText w:val="•"/>
      <w:lvlJc w:val="left"/>
      <w:pPr>
        <w:ind w:left="6113" w:hanging="601"/>
      </w:pPr>
      <w:rPr>
        <w:rFonts w:hint="default"/>
        <w:lang w:val="en-US" w:eastAsia="zh-CN" w:bidi="ar-SA"/>
      </w:rPr>
    </w:lvl>
    <w:lvl w:ilvl="6" w:tentative="0">
      <w:start w:val="0"/>
      <w:numFmt w:val="bullet"/>
      <w:lvlText w:val="•"/>
      <w:lvlJc w:val="left"/>
      <w:pPr>
        <w:ind w:left="6963" w:hanging="601"/>
      </w:pPr>
      <w:rPr>
        <w:rFonts w:hint="default"/>
        <w:lang w:val="en-US" w:eastAsia="zh-CN" w:bidi="ar-SA"/>
      </w:rPr>
    </w:lvl>
    <w:lvl w:ilvl="7" w:tentative="0">
      <w:start w:val="0"/>
      <w:numFmt w:val="bullet"/>
      <w:lvlText w:val="•"/>
      <w:lvlJc w:val="left"/>
      <w:pPr>
        <w:ind w:left="7814" w:hanging="601"/>
      </w:pPr>
      <w:rPr>
        <w:rFonts w:hint="default"/>
        <w:lang w:val="en-US" w:eastAsia="zh-CN" w:bidi="ar-SA"/>
      </w:rPr>
    </w:lvl>
    <w:lvl w:ilvl="8" w:tentative="0">
      <w:start w:val="0"/>
      <w:numFmt w:val="bullet"/>
      <w:lvlText w:val="•"/>
      <w:lvlJc w:val="left"/>
      <w:pPr>
        <w:ind w:left="8664" w:hanging="601"/>
      </w:pPr>
      <w:rPr>
        <w:rFonts w:hint="default"/>
        <w:lang w:val="en-US" w:eastAsia="zh-CN" w:bidi="ar-SA"/>
      </w:rPr>
    </w:lvl>
  </w:abstractNum>
  <w:abstractNum w:abstractNumId="9">
    <w:nsid w:val="A1E34013"/>
    <w:multiLevelType w:val="multilevel"/>
    <w:tmpl w:val="A1E34013"/>
    <w:lvl w:ilvl="0" w:tentative="0">
      <w:start w:val="1"/>
      <w:numFmt w:val="decimal"/>
      <w:lvlText w:val="（%1）"/>
      <w:lvlJc w:val="left"/>
      <w:pPr>
        <w:ind w:left="788" w:hanging="528"/>
        <w:jc w:val="left"/>
      </w:pPr>
      <w:rPr>
        <w:rFonts w:hint="default" w:ascii="宋体" w:hAnsi="宋体" w:eastAsia="宋体" w:cs="宋体"/>
        <w:b w:val="0"/>
        <w:bCs w:val="0"/>
        <w:i w:val="0"/>
        <w:iCs w:val="0"/>
        <w:spacing w:val="1"/>
        <w:w w:val="99"/>
        <w:sz w:val="19"/>
        <w:szCs w:val="19"/>
        <w:lang w:val="en-US" w:eastAsia="zh-CN" w:bidi="ar-SA"/>
      </w:rPr>
    </w:lvl>
    <w:lvl w:ilvl="1" w:tentative="0">
      <w:start w:val="0"/>
      <w:numFmt w:val="bullet"/>
      <w:lvlText w:val="•"/>
      <w:lvlJc w:val="left"/>
      <w:pPr>
        <w:ind w:left="1738" w:hanging="528"/>
      </w:pPr>
      <w:rPr>
        <w:rFonts w:hint="default"/>
        <w:lang w:val="en-US" w:eastAsia="zh-CN" w:bidi="ar-SA"/>
      </w:rPr>
    </w:lvl>
    <w:lvl w:ilvl="2" w:tentative="0">
      <w:start w:val="0"/>
      <w:numFmt w:val="bullet"/>
      <w:lvlText w:val="•"/>
      <w:lvlJc w:val="left"/>
      <w:pPr>
        <w:ind w:left="2697" w:hanging="528"/>
      </w:pPr>
      <w:rPr>
        <w:rFonts w:hint="default"/>
        <w:lang w:val="en-US" w:eastAsia="zh-CN" w:bidi="ar-SA"/>
      </w:rPr>
    </w:lvl>
    <w:lvl w:ilvl="3" w:tentative="0">
      <w:start w:val="0"/>
      <w:numFmt w:val="bullet"/>
      <w:lvlText w:val="•"/>
      <w:lvlJc w:val="left"/>
      <w:pPr>
        <w:ind w:left="3655" w:hanging="528"/>
      </w:pPr>
      <w:rPr>
        <w:rFonts w:hint="default"/>
        <w:lang w:val="en-US" w:eastAsia="zh-CN" w:bidi="ar-SA"/>
      </w:rPr>
    </w:lvl>
    <w:lvl w:ilvl="4" w:tentative="0">
      <w:start w:val="0"/>
      <w:numFmt w:val="bullet"/>
      <w:lvlText w:val="•"/>
      <w:lvlJc w:val="left"/>
      <w:pPr>
        <w:ind w:left="4614" w:hanging="528"/>
      </w:pPr>
      <w:rPr>
        <w:rFonts w:hint="default"/>
        <w:lang w:val="en-US" w:eastAsia="zh-CN" w:bidi="ar-SA"/>
      </w:rPr>
    </w:lvl>
    <w:lvl w:ilvl="5" w:tentative="0">
      <w:start w:val="0"/>
      <w:numFmt w:val="bullet"/>
      <w:lvlText w:val="•"/>
      <w:lvlJc w:val="left"/>
      <w:pPr>
        <w:ind w:left="5573" w:hanging="528"/>
      </w:pPr>
      <w:rPr>
        <w:rFonts w:hint="default"/>
        <w:lang w:val="en-US" w:eastAsia="zh-CN" w:bidi="ar-SA"/>
      </w:rPr>
    </w:lvl>
    <w:lvl w:ilvl="6" w:tentative="0">
      <w:start w:val="0"/>
      <w:numFmt w:val="bullet"/>
      <w:lvlText w:val="•"/>
      <w:lvlJc w:val="left"/>
      <w:pPr>
        <w:ind w:left="6531" w:hanging="528"/>
      </w:pPr>
      <w:rPr>
        <w:rFonts w:hint="default"/>
        <w:lang w:val="en-US" w:eastAsia="zh-CN" w:bidi="ar-SA"/>
      </w:rPr>
    </w:lvl>
    <w:lvl w:ilvl="7" w:tentative="0">
      <w:start w:val="0"/>
      <w:numFmt w:val="bullet"/>
      <w:lvlText w:val="•"/>
      <w:lvlJc w:val="left"/>
      <w:pPr>
        <w:ind w:left="7490" w:hanging="528"/>
      </w:pPr>
      <w:rPr>
        <w:rFonts w:hint="default"/>
        <w:lang w:val="en-US" w:eastAsia="zh-CN" w:bidi="ar-SA"/>
      </w:rPr>
    </w:lvl>
    <w:lvl w:ilvl="8" w:tentative="0">
      <w:start w:val="0"/>
      <w:numFmt w:val="bullet"/>
      <w:lvlText w:val="•"/>
      <w:lvlJc w:val="left"/>
      <w:pPr>
        <w:ind w:left="8448" w:hanging="528"/>
      </w:pPr>
      <w:rPr>
        <w:rFonts w:hint="default"/>
        <w:lang w:val="en-US" w:eastAsia="zh-CN" w:bidi="ar-SA"/>
      </w:rPr>
    </w:lvl>
  </w:abstractNum>
  <w:abstractNum w:abstractNumId="10">
    <w:nsid w:val="A51BC8CE"/>
    <w:multiLevelType w:val="multilevel"/>
    <w:tmpl w:val="A51BC8CE"/>
    <w:lvl w:ilvl="0" w:tentative="0">
      <w:start w:val="1"/>
      <w:numFmt w:val="decimal"/>
      <w:lvlText w:val="%1."/>
      <w:lvlJc w:val="left"/>
      <w:pPr>
        <w:ind w:left="1419" w:hanging="212"/>
        <w:jc w:val="left"/>
      </w:pPr>
      <w:rPr>
        <w:rFonts w:hint="default" w:ascii="宋体" w:hAnsi="宋体" w:eastAsia="宋体" w:cs="宋体"/>
        <w:b w:val="0"/>
        <w:bCs w:val="0"/>
        <w:i w:val="0"/>
        <w:iCs w:val="0"/>
        <w:spacing w:val="-2"/>
        <w:w w:val="99"/>
        <w:sz w:val="19"/>
        <w:szCs w:val="19"/>
        <w:lang w:val="en-US" w:eastAsia="zh-CN" w:bidi="ar-SA"/>
      </w:rPr>
    </w:lvl>
    <w:lvl w:ilvl="1" w:tentative="0">
      <w:start w:val="1"/>
      <w:numFmt w:val="decimal"/>
      <w:lvlText w:val="%1.%2"/>
      <w:lvlJc w:val="left"/>
      <w:pPr>
        <w:ind w:left="788" w:hanging="368"/>
        <w:jc w:val="left"/>
      </w:pPr>
      <w:rPr>
        <w:rFonts w:hint="default" w:ascii="宋体" w:hAnsi="宋体" w:eastAsia="宋体" w:cs="宋体"/>
        <w:b w:val="0"/>
        <w:bCs w:val="0"/>
        <w:i w:val="0"/>
        <w:iCs w:val="0"/>
        <w:spacing w:val="0"/>
        <w:w w:val="99"/>
        <w:sz w:val="21"/>
        <w:szCs w:val="21"/>
        <w:lang w:val="en-US" w:eastAsia="zh-CN" w:bidi="ar-SA"/>
      </w:rPr>
    </w:lvl>
    <w:lvl w:ilvl="2" w:tentative="0">
      <w:start w:val="0"/>
      <w:numFmt w:val="bullet"/>
      <w:lvlText w:val="•"/>
      <w:lvlJc w:val="left"/>
      <w:pPr>
        <w:ind w:left="2414" w:hanging="368"/>
      </w:pPr>
      <w:rPr>
        <w:rFonts w:hint="default"/>
        <w:lang w:val="en-US" w:eastAsia="zh-CN" w:bidi="ar-SA"/>
      </w:rPr>
    </w:lvl>
    <w:lvl w:ilvl="3" w:tentative="0">
      <w:start w:val="0"/>
      <w:numFmt w:val="bullet"/>
      <w:lvlText w:val="•"/>
      <w:lvlJc w:val="left"/>
      <w:pPr>
        <w:ind w:left="3408" w:hanging="368"/>
      </w:pPr>
      <w:rPr>
        <w:rFonts w:hint="default"/>
        <w:lang w:val="en-US" w:eastAsia="zh-CN" w:bidi="ar-SA"/>
      </w:rPr>
    </w:lvl>
    <w:lvl w:ilvl="4" w:tentative="0">
      <w:start w:val="0"/>
      <w:numFmt w:val="bullet"/>
      <w:lvlText w:val="•"/>
      <w:lvlJc w:val="left"/>
      <w:pPr>
        <w:ind w:left="4402" w:hanging="368"/>
      </w:pPr>
      <w:rPr>
        <w:rFonts w:hint="default"/>
        <w:lang w:val="en-US" w:eastAsia="zh-CN" w:bidi="ar-SA"/>
      </w:rPr>
    </w:lvl>
    <w:lvl w:ilvl="5" w:tentative="0">
      <w:start w:val="0"/>
      <w:numFmt w:val="bullet"/>
      <w:lvlText w:val="•"/>
      <w:lvlJc w:val="left"/>
      <w:pPr>
        <w:ind w:left="5396" w:hanging="368"/>
      </w:pPr>
      <w:rPr>
        <w:rFonts w:hint="default"/>
        <w:lang w:val="en-US" w:eastAsia="zh-CN" w:bidi="ar-SA"/>
      </w:rPr>
    </w:lvl>
    <w:lvl w:ilvl="6" w:tentative="0">
      <w:start w:val="0"/>
      <w:numFmt w:val="bullet"/>
      <w:lvlText w:val="•"/>
      <w:lvlJc w:val="left"/>
      <w:pPr>
        <w:ind w:left="6390" w:hanging="368"/>
      </w:pPr>
      <w:rPr>
        <w:rFonts w:hint="default"/>
        <w:lang w:val="en-US" w:eastAsia="zh-CN" w:bidi="ar-SA"/>
      </w:rPr>
    </w:lvl>
    <w:lvl w:ilvl="7" w:tentative="0">
      <w:start w:val="0"/>
      <w:numFmt w:val="bullet"/>
      <w:lvlText w:val="•"/>
      <w:lvlJc w:val="left"/>
      <w:pPr>
        <w:ind w:left="7384" w:hanging="368"/>
      </w:pPr>
      <w:rPr>
        <w:rFonts w:hint="default"/>
        <w:lang w:val="en-US" w:eastAsia="zh-CN" w:bidi="ar-SA"/>
      </w:rPr>
    </w:lvl>
    <w:lvl w:ilvl="8" w:tentative="0">
      <w:start w:val="0"/>
      <w:numFmt w:val="bullet"/>
      <w:lvlText w:val="•"/>
      <w:lvlJc w:val="left"/>
      <w:pPr>
        <w:ind w:left="8378" w:hanging="368"/>
      </w:pPr>
      <w:rPr>
        <w:rFonts w:hint="default"/>
        <w:lang w:val="en-US" w:eastAsia="zh-CN" w:bidi="ar-SA"/>
      </w:rPr>
    </w:lvl>
  </w:abstractNum>
  <w:abstractNum w:abstractNumId="11">
    <w:nsid w:val="AB643C91"/>
    <w:multiLevelType w:val="multilevel"/>
    <w:tmpl w:val="AB643C91"/>
    <w:lvl w:ilvl="0" w:tentative="0">
      <w:start w:val="1"/>
      <w:numFmt w:val="decimal"/>
      <w:lvlText w:val="（%1）"/>
      <w:lvlJc w:val="left"/>
      <w:pPr>
        <w:ind w:left="788" w:hanging="528"/>
        <w:jc w:val="left"/>
      </w:pPr>
      <w:rPr>
        <w:rFonts w:hint="default" w:ascii="宋体" w:hAnsi="宋体" w:eastAsia="宋体" w:cs="宋体"/>
        <w:b w:val="0"/>
        <w:bCs w:val="0"/>
        <w:i w:val="0"/>
        <w:iCs w:val="0"/>
        <w:spacing w:val="1"/>
        <w:w w:val="99"/>
        <w:sz w:val="19"/>
        <w:szCs w:val="19"/>
        <w:lang w:val="en-US" w:eastAsia="zh-CN" w:bidi="ar-SA"/>
      </w:rPr>
    </w:lvl>
    <w:lvl w:ilvl="1" w:tentative="0">
      <w:start w:val="0"/>
      <w:numFmt w:val="bullet"/>
      <w:lvlText w:val="•"/>
      <w:lvlJc w:val="left"/>
      <w:pPr>
        <w:ind w:left="1738" w:hanging="528"/>
      </w:pPr>
      <w:rPr>
        <w:rFonts w:hint="default"/>
        <w:lang w:val="en-US" w:eastAsia="zh-CN" w:bidi="ar-SA"/>
      </w:rPr>
    </w:lvl>
    <w:lvl w:ilvl="2" w:tentative="0">
      <w:start w:val="0"/>
      <w:numFmt w:val="bullet"/>
      <w:lvlText w:val="•"/>
      <w:lvlJc w:val="left"/>
      <w:pPr>
        <w:ind w:left="2697" w:hanging="528"/>
      </w:pPr>
      <w:rPr>
        <w:rFonts w:hint="default"/>
        <w:lang w:val="en-US" w:eastAsia="zh-CN" w:bidi="ar-SA"/>
      </w:rPr>
    </w:lvl>
    <w:lvl w:ilvl="3" w:tentative="0">
      <w:start w:val="0"/>
      <w:numFmt w:val="bullet"/>
      <w:lvlText w:val="•"/>
      <w:lvlJc w:val="left"/>
      <w:pPr>
        <w:ind w:left="3655" w:hanging="528"/>
      </w:pPr>
      <w:rPr>
        <w:rFonts w:hint="default"/>
        <w:lang w:val="en-US" w:eastAsia="zh-CN" w:bidi="ar-SA"/>
      </w:rPr>
    </w:lvl>
    <w:lvl w:ilvl="4" w:tentative="0">
      <w:start w:val="0"/>
      <w:numFmt w:val="bullet"/>
      <w:lvlText w:val="•"/>
      <w:lvlJc w:val="left"/>
      <w:pPr>
        <w:ind w:left="4614" w:hanging="528"/>
      </w:pPr>
      <w:rPr>
        <w:rFonts w:hint="default"/>
        <w:lang w:val="en-US" w:eastAsia="zh-CN" w:bidi="ar-SA"/>
      </w:rPr>
    </w:lvl>
    <w:lvl w:ilvl="5" w:tentative="0">
      <w:start w:val="0"/>
      <w:numFmt w:val="bullet"/>
      <w:lvlText w:val="•"/>
      <w:lvlJc w:val="left"/>
      <w:pPr>
        <w:ind w:left="5573" w:hanging="528"/>
      </w:pPr>
      <w:rPr>
        <w:rFonts w:hint="default"/>
        <w:lang w:val="en-US" w:eastAsia="zh-CN" w:bidi="ar-SA"/>
      </w:rPr>
    </w:lvl>
    <w:lvl w:ilvl="6" w:tentative="0">
      <w:start w:val="0"/>
      <w:numFmt w:val="bullet"/>
      <w:lvlText w:val="•"/>
      <w:lvlJc w:val="left"/>
      <w:pPr>
        <w:ind w:left="6531" w:hanging="528"/>
      </w:pPr>
      <w:rPr>
        <w:rFonts w:hint="default"/>
        <w:lang w:val="en-US" w:eastAsia="zh-CN" w:bidi="ar-SA"/>
      </w:rPr>
    </w:lvl>
    <w:lvl w:ilvl="7" w:tentative="0">
      <w:start w:val="0"/>
      <w:numFmt w:val="bullet"/>
      <w:lvlText w:val="•"/>
      <w:lvlJc w:val="left"/>
      <w:pPr>
        <w:ind w:left="7490" w:hanging="528"/>
      </w:pPr>
      <w:rPr>
        <w:rFonts w:hint="default"/>
        <w:lang w:val="en-US" w:eastAsia="zh-CN" w:bidi="ar-SA"/>
      </w:rPr>
    </w:lvl>
    <w:lvl w:ilvl="8" w:tentative="0">
      <w:start w:val="0"/>
      <w:numFmt w:val="bullet"/>
      <w:lvlText w:val="•"/>
      <w:lvlJc w:val="left"/>
      <w:pPr>
        <w:ind w:left="8448" w:hanging="528"/>
      </w:pPr>
      <w:rPr>
        <w:rFonts w:hint="default"/>
        <w:lang w:val="en-US" w:eastAsia="zh-CN" w:bidi="ar-SA"/>
      </w:rPr>
    </w:lvl>
  </w:abstractNum>
  <w:abstractNum w:abstractNumId="12">
    <w:nsid w:val="AD9BFBAF"/>
    <w:multiLevelType w:val="multilevel"/>
    <w:tmpl w:val="AD9BFBAF"/>
    <w:lvl w:ilvl="0" w:tentative="0">
      <w:start w:val="1"/>
      <w:numFmt w:val="decimal"/>
      <w:lvlText w:val="（%1）"/>
      <w:lvlJc w:val="left"/>
      <w:pPr>
        <w:ind w:left="1733" w:hanging="525"/>
        <w:jc w:val="left"/>
      </w:pPr>
      <w:rPr>
        <w:rFonts w:hint="default" w:ascii="宋体" w:hAnsi="宋体" w:eastAsia="宋体" w:cs="宋体"/>
        <w:b w:val="0"/>
        <w:bCs w:val="0"/>
        <w:i w:val="0"/>
        <w:iCs w:val="0"/>
        <w:spacing w:val="-1"/>
        <w:w w:val="99"/>
        <w:sz w:val="19"/>
        <w:szCs w:val="19"/>
        <w:lang w:val="en-US" w:eastAsia="zh-CN" w:bidi="ar-SA"/>
      </w:rPr>
    </w:lvl>
    <w:lvl w:ilvl="1" w:tentative="0">
      <w:start w:val="0"/>
      <w:numFmt w:val="bullet"/>
      <w:lvlText w:val="•"/>
      <w:lvlJc w:val="left"/>
      <w:pPr>
        <w:ind w:left="2602" w:hanging="525"/>
      </w:pPr>
      <w:rPr>
        <w:rFonts w:hint="default"/>
        <w:lang w:val="en-US" w:eastAsia="zh-CN" w:bidi="ar-SA"/>
      </w:rPr>
    </w:lvl>
    <w:lvl w:ilvl="2" w:tentative="0">
      <w:start w:val="0"/>
      <w:numFmt w:val="bullet"/>
      <w:lvlText w:val="•"/>
      <w:lvlJc w:val="left"/>
      <w:pPr>
        <w:ind w:left="3465" w:hanging="525"/>
      </w:pPr>
      <w:rPr>
        <w:rFonts w:hint="default"/>
        <w:lang w:val="en-US" w:eastAsia="zh-CN" w:bidi="ar-SA"/>
      </w:rPr>
    </w:lvl>
    <w:lvl w:ilvl="3" w:tentative="0">
      <w:start w:val="0"/>
      <w:numFmt w:val="bullet"/>
      <w:lvlText w:val="•"/>
      <w:lvlJc w:val="left"/>
      <w:pPr>
        <w:ind w:left="4327" w:hanging="525"/>
      </w:pPr>
      <w:rPr>
        <w:rFonts w:hint="default"/>
        <w:lang w:val="en-US" w:eastAsia="zh-CN" w:bidi="ar-SA"/>
      </w:rPr>
    </w:lvl>
    <w:lvl w:ilvl="4" w:tentative="0">
      <w:start w:val="0"/>
      <w:numFmt w:val="bullet"/>
      <w:lvlText w:val="•"/>
      <w:lvlJc w:val="left"/>
      <w:pPr>
        <w:ind w:left="5190" w:hanging="525"/>
      </w:pPr>
      <w:rPr>
        <w:rFonts w:hint="default"/>
        <w:lang w:val="en-US" w:eastAsia="zh-CN" w:bidi="ar-SA"/>
      </w:rPr>
    </w:lvl>
    <w:lvl w:ilvl="5" w:tentative="0">
      <w:start w:val="0"/>
      <w:numFmt w:val="bullet"/>
      <w:lvlText w:val="•"/>
      <w:lvlJc w:val="left"/>
      <w:pPr>
        <w:ind w:left="6053" w:hanging="525"/>
      </w:pPr>
      <w:rPr>
        <w:rFonts w:hint="default"/>
        <w:lang w:val="en-US" w:eastAsia="zh-CN" w:bidi="ar-SA"/>
      </w:rPr>
    </w:lvl>
    <w:lvl w:ilvl="6" w:tentative="0">
      <w:start w:val="0"/>
      <w:numFmt w:val="bullet"/>
      <w:lvlText w:val="•"/>
      <w:lvlJc w:val="left"/>
      <w:pPr>
        <w:ind w:left="6915" w:hanging="525"/>
      </w:pPr>
      <w:rPr>
        <w:rFonts w:hint="default"/>
        <w:lang w:val="en-US" w:eastAsia="zh-CN" w:bidi="ar-SA"/>
      </w:rPr>
    </w:lvl>
    <w:lvl w:ilvl="7" w:tentative="0">
      <w:start w:val="0"/>
      <w:numFmt w:val="bullet"/>
      <w:lvlText w:val="•"/>
      <w:lvlJc w:val="left"/>
      <w:pPr>
        <w:ind w:left="7778" w:hanging="525"/>
      </w:pPr>
      <w:rPr>
        <w:rFonts w:hint="default"/>
        <w:lang w:val="en-US" w:eastAsia="zh-CN" w:bidi="ar-SA"/>
      </w:rPr>
    </w:lvl>
    <w:lvl w:ilvl="8" w:tentative="0">
      <w:start w:val="0"/>
      <w:numFmt w:val="bullet"/>
      <w:lvlText w:val="•"/>
      <w:lvlJc w:val="left"/>
      <w:pPr>
        <w:ind w:left="8640" w:hanging="525"/>
      </w:pPr>
      <w:rPr>
        <w:rFonts w:hint="default"/>
        <w:lang w:val="en-US" w:eastAsia="zh-CN" w:bidi="ar-SA"/>
      </w:rPr>
    </w:lvl>
  </w:abstractNum>
  <w:abstractNum w:abstractNumId="13">
    <w:nsid w:val="AF0FAE13"/>
    <w:multiLevelType w:val="multilevel"/>
    <w:tmpl w:val="AF0FAE13"/>
    <w:lvl w:ilvl="0" w:tentative="0">
      <w:start w:val="1"/>
      <w:numFmt w:val="decimal"/>
      <w:lvlText w:val="%1）"/>
      <w:lvlJc w:val="left"/>
      <w:pPr>
        <w:ind w:left="1525" w:hanging="317"/>
        <w:jc w:val="left"/>
      </w:pPr>
      <w:rPr>
        <w:rFonts w:hint="default" w:ascii="宋体" w:hAnsi="宋体" w:eastAsia="宋体" w:cs="宋体"/>
        <w:b/>
        <w:bCs/>
        <w:i w:val="0"/>
        <w:iCs w:val="0"/>
        <w:spacing w:val="1"/>
        <w:w w:val="99"/>
        <w:sz w:val="19"/>
        <w:szCs w:val="19"/>
        <w:lang w:val="en-US" w:eastAsia="zh-CN" w:bidi="ar-SA"/>
      </w:rPr>
    </w:lvl>
    <w:lvl w:ilvl="1" w:tentative="0">
      <w:start w:val="0"/>
      <w:numFmt w:val="bullet"/>
      <w:lvlText w:val="•"/>
      <w:lvlJc w:val="left"/>
      <w:pPr>
        <w:ind w:left="2404" w:hanging="317"/>
      </w:pPr>
      <w:rPr>
        <w:rFonts w:hint="default"/>
        <w:lang w:val="en-US" w:eastAsia="zh-CN" w:bidi="ar-SA"/>
      </w:rPr>
    </w:lvl>
    <w:lvl w:ilvl="2" w:tentative="0">
      <w:start w:val="0"/>
      <w:numFmt w:val="bullet"/>
      <w:lvlText w:val="•"/>
      <w:lvlJc w:val="left"/>
      <w:pPr>
        <w:ind w:left="3289" w:hanging="317"/>
      </w:pPr>
      <w:rPr>
        <w:rFonts w:hint="default"/>
        <w:lang w:val="en-US" w:eastAsia="zh-CN" w:bidi="ar-SA"/>
      </w:rPr>
    </w:lvl>
    <w:lvl w:ilvl="3" w:tentative="0">
      <w:start w:val="0"/>
      <w:numFmt w:val="bullet"/>
      <w:lvlText w:val="•"/>
      <w:lvlJc w:val="left"/>
      <w:pPr>
        <w:ind w:left="4173" w:hanging="317"/>
      </w:pPr>
      <w:rPr>
        <w:rFonts w:hint="default"/>
        <w:lang w:val="en-US" w:eastAsia="zh-CN" w:bidi="ar-SA"/>
      </w:rPr>
    </w:lvl>
    <w:lvl w:ilvl="4" w:tentative="0">
      <w:start w:val="0"/>
      <w:numFmt w:val="bullet"/>
      <w:lvlText w:val="•"/>
      <w:lvlJc w:val="left"/>
      <w:pPr>
        <w:ind w:left="5058" w:hanging="317"/>
      </w:pPr>
      <w:rPr>
        <w:rFonts w:hint="default"/>
        <w:lang w:val="en-US" w:eastAsia="zh-CN" w:bidi="ar-SA"/>
      </w:rPr>
    </w:lvl>
    <w:lvl w:ilvl="5" w:tentative="0">
      <w:start w:val="0"/>
      <w:numFmt w:val="bullet"/>
      <w:lvlText w:val="•"/>
      <w:lvlJc w:val="left"/>
      <w:pPr>
        <w:ind w:left="5943" w:hanging="317"/>
      </w:pPr>
      <w:rPr>
        <w:rFonts w:hint="default"/>
        <w:lang w:val="en-US" w:eastAsia="zh-CN" w:bidi="ar-SA"/>
      </w:rPr>
    </w:lvl>
    <w:lvl w:ilvl="6" w:tentative="0">
      <w:start w:val="0"/>
      <w:numFmt w:val="bullet"/>
      <w:lvlText w:val="•"/>
      <w:lvlJc w:val="left"/>
      <w:pPr>
        <w:ind w:left="6827" w:hanging="317"/>
      </w:pPr>
      <w:rPr>
        <w:rFonts w:hint="default"/>
        <w:lang w:val="en-US" w:eastAsia="zh-CN" w:bidi="ar-SA"/>
      </w:rPr>
    </w:lvl>
    <w:lvl w:ilvl="7" w:tentative="0">
      <w:start w:val="0"/>
      <w:numFmt w:val="bullet"/>
      <w:lvlText w:val="•"/>
      <w:lvlJc w:val="left"/>
      <w:pPr>
        <w:ind w:left="7712" w:hanging="317"/>
      </w:pPr>
      <w:rPr>
        <w:rFonts w:hint="default"/>
        <w:lang w:val="en-US" w:eastAsia="zh-CN" w:bidi="ar-SA"/>
      </w:rPr>
    </w:lvl>
    <w:lvl w:ilvl="8" w:tentative="0">
      <w:start w:val="0"/>
      <w:numFmt w:val="bullet"/>
      <w:lvlText w:val="•"/>
      <w:lvlJc w:val="left"/>
      <w:pPr>
        <w:ind w:left="8596" w:hanging="317"/>
      </w:pPr>
      <w:rPr>
        <w:rFonts w:hint="default"/>
        <w:lang w:val="en-US" w:eastAsia="zh-CN" w:bidi="ar-SA"/>
      </w:rPr>
    </w:lvl>
  </w:abstractNum>
  <w:abstractNum w:abstractNumId="14">
    <w:nsid w:val="BCBDD8A8"/>
    <w:multiLevelType w:val="multilevel"/>
    <w:tmpl w:val="BCBDD8A8"/>
    <w:lvl w:ilvl="0" w:tentative="0">
      <w:start w:val="1"/>
      <w:numFmt w:val="decimal"/>
      <w:lvlText w:val="%1."/>
      <w:lvlJc w:val="left"/>
      <w:pPr>
        <w:ind w:left="106" w:hanging="214"/>
        <w:jc w:val="left"/>
      </w:pPr>
      <w:rPr>
        <w:rFonts w:hint="default" w:ascii="宋体" w:hAnsi="宋体" w:eastAsia="宋体" w:cs="宋体"/>
        <w:b w:val="0"/>
        <w:bCs w:val="0"/>
        <w:i w:val="0"/>
        <w:iCs w:val="0"/>
        <w:spacing w:val="1"/>
        <w:w w:val="70"/>
        <w:sz w:val="19"/>
        <w:szCs w:val="19"/>
        <w:lang w:val="en-US" w:eastAsia="zh-CN" w:bidi="ar-SA"/>
      </w:rPr>
    </w:lvl>
    <w:lvl w:ilvl="1" w:tentative="0">
      <w:start w:val="0"/>
      <w:numFmt w:val="bullet"/>
      <w:lvlText w:val="•"/>
      <w:lvlJc w:val="left"/>
      <w:pPr>
        <w:ind w:left="880" w:hanging="214"/>
      </w:pPr>
      <w:rPr>
        <w:rFonts w:hint="default"/>
        <w:lang w:val="en-US" w:eastAsia="zh-CN" w:bidi="ar-SA"/>
      </w:rPr>
    </w:lvl>
    <w:lvl w:ilvl="2" w:tentative="0">
      <w:start w:val="0"/>
      <w:numFmt w:val="bullet"/>
      <w:lvlText w:val="•"/>
      <w:lvlJc w:val="left"/>
      <w:pPr>
        <w:ind w:left="1660" w:hanging="214"/>
      </w:pPr>
      <w:rPr>
        <w:rFonts w:hint="default"/>
        <w:lang w:val="en-US" w:eastAsia="zh-CN" w:bidi="ar-SA"/>
      </w:rPr>
    </w:lvl>
    <w:lvl w:ilvl="3" w:tentative="0">
      <w:start w:val="0"/>
      <w:numFmt w:val="bullet"/>
      <w:lvlText w:val="•"/>
      <w:lvlJc w:val="left"/>
      <w:pPr>
        <w:ind w:left="2440" w:hanging="214"/>
      </w:pPr>
      <w:rPr>
        <w:rFonts w:hint="default"/>
        <w:lang w:val="en-US" w:eastAsia="zh-CN" w:bidi="ar-SA"/>
      </w:rPr>
    </w:lvl>
    <w:lvl w:ilvl="4" w:tentative="0">
      <w:start w:val="0"/>
      <w:numFmt w:val="bullet"/>
      <w:lvlText w:val="•"/>
      <w:lvlJc w:val="left"/>
      <w:pPr>
        <w:ind w:left="3220" w:hanging="214"/>
      </w:pPr>
      <w:rPr>
        <w:rFonts w:hint="default"/>
        <w:lang w:val="en-US" w:eastAsia="zh-CN" w:bidi="ar-SA"/>
      </w:rPr>
    </w:lvl>
    <w:lvl w:ilvl="5" w:tentative="0">
      <w:start w:val="0"/>
      <w:numFmt w:val="bullet"/>
      <w:lvlText w:val="•"/>
      <w:lvlJc w:val="left"/>
      <w:pPr>
        <w:ind w:left="4001" w:hanging="214"/>
      </w:pPr>
      <w:rPr>
        <w:rFonts w:hint="default"/>
        <w:lang w:val="en-US" w:eastAsia="zh-CN" w:bidi="ar-SA"/>
      </w:rPr>
    </w:lvl>
    <w:lvl w:ilvl="6" w:tentative="0">
      <w:start w:val="0"/>
      <w:numFmt w:val="bullet"/>
      <w:lvlText w:val="•"/>
      <w:lvlJc w:val="left"/>
      <w:pPr>
        <w:ind w:left="4781" w:hanging="214"/>
      </w:pPr>
      <w:rPr>
        <w:rFonts w:hint="default"/>
        <w:lang w:val="en-US" w:eastAsia="zh-CN" w:bidi="ar-SA"/>
      </w:rPr>
    </w:lvl>
    <w:lvl w:ilvl="7" w:tentative="0">
      <w:start w:val="0"/>
      <w:numFmt w:val="bullet"/>
      <w:lvlText w:val="•"/>
      <w:lvlJc w:val="left"/>
      <w:pPr>
        <w:ind w:left="5561" w:hanging="214"/>
      </w:pPr>
      <w:rPr>
        <w:rFonts w:hint="default"/>
        <w:lang w:val="en-US" w:eastAsia="zh-CN" w:bidi="ar-SA"/>
      </w:rPr>
    </w:lvl>
    <w:lvl w:ilvl="8" w:tentative="0">
      <w:start w:val="0"/>
      <w:numFmt w:val="bullet"/>
      <w:lvlText w:val="•"/>
      <w:lvlJc w:val="left"/>
      <w:pPr>
        <w:ind w:left="6341" w:hanging="214"/>
      </w:pPr>
      <w:rPr>
        <w:rFonts w:hint="default"/>
        <w:lang w:val="en-US" w:eastAsia="zh-CN" w:bidi="ar-SA"/>
      </w:rPr>
    </w:lvl>
  </w:abstractNum>
  <w:abstractNum w:abstractNumId="15">
    <w:nsid w:val="C43AB791"/>
    <w:multiLevelType w:val="multilevel"/>
    <w:tmpl w:val="C43AB791"/>
    <w:lvl w:ilvl="0" w:tentative="0">
      <w:start w:val="1"/>
      <w:numFmt w:val="decimal"/>
      <w:lvlText w:val="（%1）"/>
      <w:lvlJc w:val="left"/>
      <w:pPr>
        <w:ind w:left="1869" w:hanging="601"/>
        <w:jc w:val="left"/>
      </w:pPr>
      <w:rPr>
        <w:rFonts w:hint="default" w:ascii="宋体" w:hAnsi="宋体" w:eastAsia="宋体" w:cs="宋体"/>
        <w:b w:val="0"/>
        <w:bCs w:val="0"/>
        <w:i w:val="0"/>
        <w:iCs w:val="0"/>
        <w:spacing w:val="0"/>
        <w:w w:val="100"/>
        <w:sz w:val="22"/>
        <w:szCs w:val="22"/>
        <w:lang w:val="en-US" w:eastAsia="zh-CN" w:bidi="ar-SA"/>
      </w:rPr>
    </w:lvl>
    <w:lvl w:ilvl="1" w:tentative="0">
      <w:start w:val="0"/>
      <w:numFmt w:val="bullet"/>
      <w:lvlText w:val="•"/>
      <w:lvlJc w:val="left"/>
      <w:pPr>
        <w:ind w:left="2710" w:hanging="601"/>
      </w:pPr>
      <w:rPr>
        <w:rFonts w:hint="default"/>
        <w:lang w:val="en-US" w:eastAsia="zh-CN" w:bidi="ar-SA"/>
      </w:rPr>
    </w:lvl>
    <w:lvl w:ilvl="2" w:tentative="0">
      <w:start w:val="0"/>
      <w:numFmt w:val="bullet"/>
      <w:lvlText w:val="•"/>
      <w:lvlJc w:val="left"/>
      <w:pPr>
        <w:ind w:left="3561" w:hanging="601"/>
      </w:pPr>
      <w:rPr>
        <w:rFonts w:hint="default"/>
        <w:lang w:val="en-US" w:eastAsia="zh-CN" w:bidi="ar-SA"/>
      </w:rPr>
    </w:lvl>
    <w:lvl w:ilvl="3" w:tentative="0">
      <w:start w:val="0"/>
      <w:numFmt w:val="bullet"/>
      <w:lvlText w:val="•"/>
      <w:lvlJc w:val="left"/>
      <w:pPr>
        <w:ind w:left="4411" w:hanging="601"/>
      </w:pPr>
      <w:rPr>
        <w:rFonts w:hint="default"/>
        <w:lang w:val="en-US" w:eastAsia="zh-CN" w:bidi="ar-SA"/>
      </w:rPr>
    </w:lvl>
    <w:lvl w:ilvl="4" w:tentative="0">
      <w:start w:val="0"/>
      <w:numFmt w:val="bullet"/>
      <w:lvlText w:val="•"/>
      <w:lvlJc w:val="left"/>
      <w:pPr>
        <w:ind w:left="5262" w:hanging="601"/>
      </w:pPr>
      <w:rPr>
        <w:rFonts w:hint="default"/>
        <w:lang w:val="en-US" w:eastAsia="zh-CN" w:bidi="ar-SA"/>
      </w:rPr>
    </w:lvl>
    <w:lvl w:ilvl="5" w:tentative="0">
      <w:start w:val="0"/>
      <w:numFmt w:val="bullet"/>
      <w:lvlText w:val="•"/>
      <w:lvlJc w:val="left"/>
      <w:pPr>
        <w:ind w:left="6113" w:hanging="601"/>
      </w:pPr>
      <w:rPr>
        <w:rFonts w:hint="default"/>
        <w:lang w:val="en-US" w:eastAsia="zh-CN" w:bidi="ar-SA"/>
      </w:rPr>
    </w:lvl>
    <w:lvl w:ilvl="6" w:tentative="0">
      <w:start w:val="0"/>
      <w:numFmt w:val="bullet"/>
      <w:lvlText w:val="•"/>
      <w:lvlJc w:val="left"/>
      <w:pPr>
        <w:ind w:left="6963" w:hanging="601"/>
      </w:pPr>
      <w:rPr>
        <w:rFonts w:hint="default"/>
        <w:lang w:val="en-US" w:eastAsia="zh-CN" w:bidi="ar-SA"/>
      </w:rPr>
    </w:lvl>
    <w:lvl w:ilvl="7" w:tentative="0">
      <w:start w:val="0"/>
      <w:numFmt w:val="bullet"/>
      <w:lvlText w:val="•"/>
      <w:lvlJc w:val="left"/>
      <w:pPr>
        <w:ind w:left="7814" w:hanging="601"/>
      </w:pPr>
      <w:rPr>
        <w:rFonts w:hint="default"/>
        <w:lang w:val="en-US" w:eastAsia="zh-CN" w:bidi="ar-SA"/>
      </w:rPr>
    </w:lvl>
    <w:lvl w:ilvl="8" w:tentative="0">
      <w:start w:val="0"/>
      <w:numFmt w:val="bullet"/>
      <w:lvlText w:val="•"/>
      <w:lvlJc w:val="left"/>
      <w:pPr>
        <w:ind w:left="8664" w:hanging="601"/>
      </w:pPr>
      <w:rPr>
        <w:rFonts w:hint="default"/>
        <w:lang w:val="en-US" w:eastAsia="zh-CN" w:bidi="ar-SA"/>
      </w:rPr>
    </w:lvl>
  </w:abstractNum>
  <w:abstractNum w:abstractNumId="16">
    <w:nsid w:val="C84D8544"/>
    <w:multiLevelType w:val="multilevel"/>
    <w:tmpl w:val="C84D8544"/>
    <w:lvl w:ilvl="0" w:tentative="0">
      <w:start w:val="1"/>
      <w:numFmt w:val="decimal"/>
      <w:lvlText w:val="%1."/>
      <w:lvlJc w:val="left"/>
      <w:pPr>
        <w:ind w:left="106" w:hanging="221"/>
        <w:jc w:val="left"/>
      </w:pPr>
      <w:rPr>
        <w:rFonts w:hint="default" w:ascii="宋体" w:hAnsi="宋体" w:eastAsia="宋体" w:cs="宋体"/>
        <w:b w:val="0"/>
        <w:bCs w:val="0"/>
        <w:i w:val="0"/>
        <w:iCs w:val="0"/>
        <w:spacing w:val="1"/>
        <w:w w:val="98"/>
        <w:sz w:val="19"/>
        <w:szCs w:val="19"/>
        <w:lang w:val="en-US" w:eastAsia="zh-CN" w:bidi="ar-SA"/>
      </w:rPr>
    </w:lvl>
    <w:lvl w:ilvl="1" w:tentative="0">
      <w:start w:val="0"/>
      <w:numFmt w:val="bullet"/>
      <w:lvlText w:val="•"/>
      <w:lvlJc w:val="left"/>
      <w:pPr>
        <w:ind w:left="880" w:hanging="221"/>
      </w:pPr>
      <w:rPr>
        <w:rFonts w:hint="default"/>
        <w:lang w:val="en-US" w:eastAsia="zh-CN" w:bidi="ar-SA"/>
      </w:rPr>
    </w:lvl>
    <w:lvl w:ilvl="2" w:tentative="0">
      <w:start w:val="0"/>
      <w:numFmt w:val="bullet"/>
      <w:lvlText w:val="•"/>
      <w:lvlJc w:val="left"/>
      <w:pPr>
        <w:ind w:left="1660" w:hanging="221"/>
      </w:pPr>
      <w:rPr>
        <w:rFonts w:hint="default"/>
        <w:lang w:val="en-US" w:eastAsia="zh-CN" w:bidi="ar-SA"/>
      </w:rPr>
    </w:lvl>
    <w:lvl w:ilvl="3" w:tentative="0">
      <w:start w:val="0"/>
      <w:numFmt w:val="bullet"/>
      <w:lvlText w:val="•"/>
      <w:lvlJc w:val="left"/>
      <w:pPr>
        <w:ind w:left="2440" w:hanging="221"/>
      </w:pPr>
      <w:rPr>
        <w:rFonts w:hint="default"/>
        <w:lang w:val="en-US" w:eastAsia="zh-CN" w:bidi="ar-SA"/>
      </w:rPr>
    </w:lvl>
    <w:lvl w:ilvl="4" w:tentative="0">
      <w:start w:val="0"/>
      <w:numFmt w:val="bullet"/>
      <w:lvlText w:val="•"/>
      <w:lvlJc w:val="left"/>
      <w:pPr>
        <w:ind w:left="3220" w:hanging="221"/>
      </w:pPr>
      <w:rPr>
        <w:rFonts w:hint="default"/>
        <w:lang w:val="en-US" w:eastAsia="zh-CN" w:bidi="ar-SA"/>
      </w:rPr>
    </w:lvl>
    <w:lvl w:ilvl="5" w:tentative="0">
      <w:start w:val="0"/>
      <w:numFmt w:val="bullet"/>
      <w:lvlText w:val="•"/>
      <w:lvlJc w:val="left"/>
      <w:pPr>
        <w:ind w:left="4001" w:hanging="221"/>
      </w:pPr>
      <w:rPr>
        <w:rFonts w:hint="default"/>
        <w:lang w:val="en-US" w:eastAsia="zh-CN" w:bidi="ar-SA"/>
      </w:rPr>
    </w:lvl>
    <w:lvl w:ilvl="6" w:tentative="0">
      <w:start w:val="0"/>
      <w:numFmt w:val="bullet"/>
      <w:lvlText w:val="•"/>
      <w:lvlJc w:val="left"/>
      <w:pPr>
        <w:ind w:left="4781" w:hanging="221"/>
      </w:pPr>
      <w:rPr>
        <w:rFonts w:hint="default"/>
        <w:lang w:val="en-US" w:eastAsia="zh-CN" w:bidi="ar-SA"/>
      </w:rPr>
    </w:lvl>
    <w:lvl w:ilvl="7" w:tentative="0">
      <w:start w:val="0"/>
      <w:numFmt w:val="bullet"/>
      <w:lvlText w:val="•"/>
      <w:lvlJc w:val="left"/>
      <w:pPr>
        <w:ind w:left="5561" w:hanging="221"/>
      </w:pPr>
      <w:rPr>
        <w:rFonts w:hint="default"/>
        <w:lang w:val="en-US" w:eastAsia="zh-CN" w:bidi="ar-SA"/>
      </w:rPr>
    </w:lvl>
    <w:lvl w:ilvl="8" w:tentative="0">
      <w:start w:val="0"/>
      <w:numFmt w:val="bullet"/>
      <w:lvlText w:val="•"/>
      <w:lvlJc w:val="left"/>
      <w:pPr>
        <w:ind w:left="6341" w:hanging="221"/>
      </w:pPr>
      <w:rPr>
        <w:rFonts w:hint="default"/>
        <w:lang w:val="en-US" w:eastAsia="zh-CN" w:bidi="ar-SA"/>
      </w:rPr>
    </w:lvl>
  </w:abstractNum>
  <w:abstractNum w:abstractNumId="17">
    <w:nsid w:val="C997EE3A"/>
    <w:multiLevelType w:val="multilevel"/>
    <w:tmpl w:val="C997EE3A"/>
    <w:lvl w:ilvl="0" w:tentative="0">
      <w:start w:val="1"/>
      <w:numFmt w:val="decimal"/>
      <w:lvlText w:val="%1."/>
      <w:lvlJc w:val="left"/>
      <w:pPr>
        <w:ind w:left="788" w:hanging="264"/>
        <w:jc w:val="left"/>
      </w:pPr>
      <w:rPr>
        <w:rFonts w:hint="default" w:ascii="Times New Roman" w:hAnsi="Times New Roman" w:eastAsia="Times New Roman" w:cs="Times New Roman"/>
        <w:b w:val="0"/>
        <w:bCs w:val="0"/>
        <w:i w:val="0"/>
        <w:iCs w:val="0"/>
        <w:spacing w:val="0"/>
        <w:w w:val="99"/>
        <w:sz w:val="21"/>
        <w:szCs w:val="21"/>
        <w:lang w:val="en-US" w:eastAsia="zh-CN" w:bidi="ar-SA"/>
      </w:rPr>
    </w:lvl>
    <w:lvl w:ilvl="1" w:tentative="0">
      <w:start w:val="0"/>
      <w:numFmt w:val="bullet"/>
      <w:lvlText w:val="•"/>
      <w:lvlJc w:val="left"/>
      <w:pPr>
        <w:ind w:left="1738" w:hanging="264"/>
      </w:pPr>
      <w:rPr>
        <w:rFonts w:hint="default"/>
        <w:lang w:val="en-US" w:eastAsia="zh-CN" w:bidi="ar-SA"/>
      </w:rPr>
    </w:lvl>
    <w:lvl w:ilvl="2" w:tentative="0">
      <w:start w:val="0"/>
      <w:numFmt w:val="bullet"/>
      <w:lvlText w:val="•"/>
      <w:lvlJc w:val="left"/>
      <w:pPr>
        <w:ind w:left="2697" w:hanging="264"/>
      </w:pPr>
      <w:rPr>
        <w:rFonts w:hint="default"/>
        <w:lang w:val="en-US" w:eastAsia="zh-CN" w:bidi="ar-SA"/>
      </w:rPr>
    </w:lvl>
    <w:lvl w:ilvl="3" w:tentative="0">
      <w:start w:val="0"/>
      <w:numFmt w:val="bullet"/>
      <w:lvlText w:val="•"/>
      <w:lvlJc w:val="left"/>
      <w:pPr>
        <w:ind w:left="3655" w:hanging="264"/>
      </w:pPr>
      <w:rPr>
        <w:rFonts w:hint="default"/>
        <w:lang w:val="en-US" w:eastAsia="zh-CN" w:bidi="ar-SA"/>
      </w:rPr>
    </w:lvl>
    <w:lvl w:ilvl="4" w:tentative="0">
      <w:start w:val="0"/>
      <w:numFmt w:val="bullet"/>
      <w:lvlText w:val="•"/>
      <w:lvlJc w:val="left"/>
      <w:pPr>
        <w:ind w:left="4614" w:hanging="264"/>
      </w:pPr>
      <w:rPr>
        <w:rFonts w:hint="default"/>
        <w:lang w:val="en-US" w:eastAsia="zh-CN" w:bidi="ar-SA"/>
      </w:rPr>
    </w:lvl>
    <w:lvl w:ilvl="5" w:tentative="0">
      <w:start w:val="0"/>
      <w:numFmt w:val="bullet"/>
      <w:lvlText w:val="•"/>
      <w:lvlJc w:val="left"/>
      <w:pPr>
        <w:ind w:left="5573" w:hanging="264"/>
      </w:pPr>
      <w:rPr>
        <w:rFonts w:hint="default"/>
        <w:lang w:val="en-US" w:eastAsia="zh-CN" w:bidi="ar-SA"/>
      </w:rPr>
    </w:lvl>
    <w:lvl w:ilvl="6" w:tentative="0">
      <w:start w:val="0"/>
      <w:numFmt w:val="bullet"/>
      <w:lvlText w:val="•"/>
      <w:lvlJc w:val="left"/>
      <w:pPr>
        <w:ind w:left="6531" w:hanging="264"/>
      </w:pPr>
      <w:rPr>
        <w:rFonts w:hint="default"/>
        <w:lang w:val="en-US" w:eastAsia="zh-CN" w:bidi="ar-SA"/>
      </w:rPr>
    </w:lvl>
    <w:lvl w:ilvl="7" w:tentative="0">
      <w:start w:val="0"/>
      <w:numFmt w:val="bullet"/>
      <w:lvlText w:val="•"/>
      <w:lvlJc w:val="left"/>
      <w:pPr>
        <w:ind w:left="7490" w:hanging="264"/>
      </w:pPr>
      <w:rPr>
        <w:rFonts w:hint="default"/>
        <w:lang w:val="en-US" w:eastAsia="zh-CN" w:bidi="ar-SA"/>
      </w:rPr>
    </w:lvl>
    <w:lvl w:ilvl="8" w:tentative="0">
      <w:start w:val="0"/>
      <w:numFmt w:val="bullet"/>
      <w:lvlText w:val="•"/>
      <w:lvlJc w:val="left"/>
      <w:pPr>
        <w:ind w:left="8448" w:hanging="264"/>
      </w:pPr>
      <w:rPr>
        <w:rFonts w:hint="default"/>
        <w:lang w:val="en-US" w:eastAsia="zh-CN" w:bidi="ar-SA"/>
      </w:rPr>
    </w:lvl>
  </w:abstractNum>
  <w:abstractNum w:abstractNumId="18">
    <w:nsid w:val="D2E31237"/>
    <w:multiLevelType w:val="multilevel"/>
    <w:tmpl w:val="D2E31237"/>
    <w:lvl w:ilvl="0" w:tentative="0">
      <w:start w:val="7"/>
      <w:numFmt w:val="decimal"/>
      <w:lvlText w:val="（%1）"/>
      <w:lvlJc w:val="left"/>
      <w:pPr>
        <w:ind w:left="635" w:hanging="528"/>
        <w:jc w:val="left"/>
      </w:pPr>
      <w:rPr>
        <w:rFonts w:hint="default" w:ascii="宋体" w:hAnsi="宋体" w:eastAsia="宋体" w:cs="宋体"/>
        <w:b/>
        <w:bCs/>
        <w:i w:val="0"/>
        <w:iCs w:val="0"/>
        <w:spacing w:val="1"/>
        <w:w w:val="99"/>
        <w:sz w:val="19"/>
        <w:szCs w:val="19"/>
        <w:lang w:val="en-US" w:eastAsia="zh-CN" w:bidi="ar-SA"/>
      </w:rPr>
    </w:lvl>
    <w:lvl w:ilvl="1" w:tentative="0">
      <w:start w:val="0"/>
      <w:numFmt w:val="bullet"/>
      <w:lvlText w:val="•"/>
      <w:lvlJc w:val="left"/>
      <w:pPr>
        <w:ind w:left="1203" w:hanging="528"/>
      </w:pPr>
      <w:rPr>
        <w:rFonts w:hint="default"/>
        <w:lang w:val="en-US" w:eastAsia="zh-CN" w:bidi="ar-SA"/>
      </w:rPr>
    </w:lvl>
    <w:lvl w:ilvl="2" w:tentative="0">
      <w:start w:val="0"/>
      <w:numFmt w:val="bullet"/>
      <w:lvlText w:val="•"/>
      <w:lvlJc w:val="left"/>
      <w:pPr>
        <w:ind w:left="1766" w:hanging="528"/>
      </w:pPr>
      <w:rPr>
        <w:rFonts w:hint="default"/>
        <w:lang w:val="en-US" w:eastAsia="zh-CN" w:bidi="ar-SA"/>
      </w:rPr>
    </w:lvl>
    <w:lvl w:ilvl="3" w:tentative="0">
      <w:start w:val="0"/>
      <w:numFmt w:val="bullet"/>
      <w:lvlText w:val="•"/>
      <w:lvlJc w:val="left"/>
      <w:pPr>
        <w:ind w:left="2330" w:hanging="528"/>
      </w:pPr>
      <w:rPr>
        <w:rFonts w:hint="default"/>
        <w:lang w:val="en-US" w:eastAsia="zh-CN" w:bidi="ar-SA"/>
      </w:rPr>
    </w:lvl>
    <w:lvl w:ilvl="4" w:tentative="0">
      <w:start w:val="0"/>
      <w:numFmt w:val="bullet"/>
      <w:lvlText w:val="•"/>
      <w:lvlJc w:val="left"/>
      <w:pPr>
        <w:ind w:left="2893" w:hanging="528"/>
      </w:pPr>
      <w:rPr>
        <w:rFonts w:hint="default"/>
        <w:lang w:val="en-US" w:eastAsia="zh-CN" w:bidi="ar-SA"/>
      </w:rPr>
    </w:lvl>
    <w:lvl w:ilvl="5" w:tentative="0">
      <w:start w:val="0"/>
      <w:numFmt w:val="bullet"/>
      <w:lvlText w:val="•"/>
      <w:lvlJc w:val="left"/>
      <w:pPr>
        <w:ind w:left="3457" w:hanging="528"/>
      </w:pPr>
      <w:rPr>
        <w:rFonts w:hint="default"/>
        <w:lang w:val="en-US" w:eastAsia="zh-CN" w:bidi="ar-SA"/>
      </w:rPr>
    </w:lvl>
    <w:lvl w:ilvl="6" w:tentative="0">
      <w:start w:val="0"/>
      <w:numFmt w:val="bullet"/>
      <w:lvlText w:val="•"/>
      <w:lvlJc w:val="left"/>
      <w:pPr>
        <w:ind w:left="4020" w:hanging="528"/>
      </w:pPr>
      <w:rPr>
        <w:rFonts w:hint="default"/>
        <w:lang w:val="en-US" w:eastAsia="zh-CN" w:bidi="ar-SA"/>
      </w:rPr>
    </w:lvl>
    <w:lvl w:ilvl="7" w:tentative="0">
      <w:start w:val="0"/>
      <w:numFmt w:val="bullet"/>
      <w:lvlText w:val="•"/>
      <w:lvlJc w:val="left"/>
      <w:pPr>
        <w:ind w:left="4583" w:hanging="528"/>
      </w:pPr>
      <w:rPr>
        <w:rFonts w:hint="default"/>
        <w:lang w:val="en-US" w:eastAsia="zh-CN" w:bidi="ar-SA"/>
      </w:rPr>
    </w:lvl>
    <w:lvl w:ilvl="8" w:tentative="0">
      <w:start w:val="0"/>
      <w:numFmt w:val="bullet"/>
      <w:lvlText w:val="•"/>
      <w:lvlJc w:val="left"/>
      <w:pPr>
        <w:ind w:left="5147" w:hanging="528"/>
      </w:pPr>
      <w:rPr>
        <w:rFonts w:hint="default"/>
        <w:lang w:val="en-US" w:eastAsia="zh-CN" w:bidi="ar-SA"/>
      </w:rPr>
    </w:lvl>
  </w:abstractNum>
  <w:abstractNum w:abstractNumId="19">
    <w:nsid w:val="D7A3E989"/>
    <w:multiLevelType w:val="multilevel"/>
    <w:tmpl w:val="D7A3E989"/>
    <w:lvl w:ilvl="0" w:tentative="0">
      <w:start w:val="1"/>
      <w:numFmt w:val="decimal"/>
      <w:lvlText w:val="（%1）"/>
      <w:lvlJc w:val="left"/>
      <w:pPr>
        <w:ind w:left="107" w:hanging="536"/>
        <w:jc w:val="left"/>
      </w:pPr>
      <w:rPr>
        <w:rFonts w:hint="default" w:ascii="宋体" w:hAnsi="宋体" w:eastAsia="宋体" w:cs="宋体"/>
        <w:b w:val="0"/>
        <w:bCs w:val="0"/>
        <w:i w:val="0"/>
        <w:iCs w:val="0"/>
        <w:spacing w:val="3"/>
        <w:w w:val="99"/>
        <w:sz w:val="19"/>
        <w:szCs w:val="19"/>
        <w:lang w:val="en-US" w:eastAsia="zh-CN" w:bidi="ar-SA"/>
      </w:rPr>
    </w:lvl>
    <w:lvl w:ilvl="1" w:tentative="0">
      <w:start w:val="0"/>
      <w:numFmt w:val="bullet"/>
      <w:lvlText w:val="•"/>
      <w:lvlJc w:val="left"/>
      <w:pPr>
        <w:ind w:left="717" w:hanging="536"/>
      </w:pPr>
      <w:rPr>
        <w:rFonts w:hint="default"/>
        <w:lang w:val="en-US" w:eastAsia="zh-CN" w:bidi="ar-SA"/>
      </w:rPr>
    </w:lvl>
    <w:lvl w:ilvl="2" w:tentative="0">
      <w:start w:val="0"/>
      <w:numFmt w:val="bullet"/>
      <w:lvlText w:val="•"/>
      <w:lvlJc w:val="left"/>
      <w:pPr>
        <w:ind w:left="1334" w:hanging="536"/>
      </w:pPr>
      <w:rPr>
        <w:rFonts w:hint="default"/>
        <w:lang w:val="en-US" w:eastAsia="zh-CN" w:bidi="ar-SA"/>
      </w:rPr>
    </w:lvl>
    <w:lvl w:ilvl="3" w:tentative="0">
      <w:start w:val="0"/>
      <w:numFmt w:val="bullet"/>
      <w:lvlText w:val="•"/>
      <w:lvlJc w:val="left"/>
      <w:pPr>
        <w:ind w:left="1952" w:hanging="536"/>
      </w:pPr>
      <w:rPr>
        <w:rFonts w:hint="default"/>
        <w:lang w:val="en-US" w:eastAsia="zh-CN" w:bidi="ar-SA"/>
      </w:rPr>
    </w:lvl>
    <w:lvl w:ilvl="4" w:tentative="0">
      <w:start w:val="0"/>
      <w:numFmt w:val="bullet"/>
      <w:lvlText w:val="•"/>
      <w:lvlJc w:val="left"/>
      <w:pPr>
        <w:ind w:left="2569" w:hanging="536"/>
      </w:pPr>
      <w:rPr>
        <w:rFonts w:hint="default"/>
        <w:lang w:val="en-US" w:eastAsia="zh-CN" w:bidi="ar-SA"/>
      </w:rPr>
    </w:lvl>
    <w:lvl w:ilvl="5" w:tentative="0">
      <w:start w:val="0"/>
      <w:numFmt w:val="bullet"/>
      <w:lvlText w:val="•"/>
      <w:lvlJc w:val="left"/>
      <w:pPr>
        <w:ind w:left="3187" w:hanging="536"/>
      </w:pPr>
      <w:rPr>
        <w:rFonts w:hint="default"/>
        <w:lang w:val="en-US" w:eastAsia="zh-CN" w:bidi="ar-SA"/>
      </w:rPr>
    </w:lvl>
    <w:lvl w:ilvl="6" w:tentative="0">
      <w:start w:val="0"/>
      <w:numFmt w:val="bullet"/>
      <w:lvlText w:val="•"/>
      <w:lvlJc w:val="left"/>
      <w:pPr>
        <w:ind w:left="3804" w:hanging="536"/>
      </w:pPr>
      <w:rPr>
        <w:rFonts w:hint="default"/>
        <w:lang w:val="en-US" w:eastAsia="zh-CN" w:bidi="ar-SA"/>
      </w:rPr>
    </w:lvl>
    <w:lvl w:ilvl="7" w:tentative="0">
      <w:start w:val="0"/>
      <w:numFmt w:val="bullet"/>
      <w:lvlText w:val="•"/>
      <w:lvlJc w:val="left"/>
      <w:pPr>
        <w:ind w:left="4421" w:hanging="536"/>
      </w:pPr>
      <w:rPr>
        <w:rFonts w:hint="default"/>
        <w:lang w:val="en-US" w:eastAsia="zh-CN" w:bidi="ar-SA"/>
      </w:rPr>
    </w:lvl>
    <w:lvl w:ilvl="8" w:tentative="0">
      <w:start w:val="0"/>
      <w:numFmt w:val="bullet"/>
      <w:lvlText w:val="•"/>
      <w:lvlJc w:val="left"/>
      <w:pPr>
        <w:ind w:left="5039" w:hanging="536"/>
      </w:pPr>
      <w:rPr>
        <w:rFonts w:hint="default"/>
        <w:lang w:val="en-US" w:eastAsia="zh-CN" w:bidi="ar-SA"/>
      </w:rPr>
    </w:lvl>
  </w:abstractNum>
  <w:abstractNum w:abstractNumId="20">
    <w:nsid w:val="D8155D39"/>
    <w:multiLevelType w:val="multilevel"/>
    <w:tmpl w:val="D8155D39"/>
    <w:lvl w:ilvl="0" w:tentative="0">
      <w:start w:val="5"/>
      <w:numFmt w:val="decimal"/>
      <w:lvlText w:val="%1."/>
      <w:lvlJc w:val="left"/>
      <w:pPr>
        <w:ind w:left="106" w:hanging="212"/>
        <w:jc w:val="left"/>
      </w:pPr>
      <w:rPr>
        <w:rFonts w:hint="default" w:ascii="宋体" w:hAnsi="宋体" w:eastAsia="宋体" w:cs="宋体"/>
        <w:b w:val="0"/>
        <w:bCs w:val="0"/>
        <w:i w:val="0"/>
        <w:iCs w:val="0"/>
        <w:spacing w:val="1"/>
        <w:w w:val="98"/>
        <w:sz w:val="19"/>
        <w:szCs w:val="19"/>
        <w:lang w:val="en-US" w:eastAsia="zh-CN" w:bidi="ar-SA"/>
      </w:rPr>
    </w:lvl>
    <w:lvl w:ilvl="1" w:tentative="0">
      <w:start w:val="1"/>
      <w:numFmt w:val="decimal"/>
      <w:lvlText w:val="%2."/>
      <w:lvlJc w:val="left"/>
      <w:pPr>
        <w:ind w:left="106" w:hanging="214"/>
        <w:jc w:val="left"/>
      </w:pPr>
      <w:rPr>
        <w:rFonts w:hint="default" w:ascii="宋体" w:hAnsi="宋体" w:eastAsia="宋体" w:cs="宋体"/>
        <w:b/>
        <w:bCs/>
        <w:i w:val="0"/>
        <w:iCs w:val="0"/>
        <w:spacing w:val="-2"/>
        <w:w w:val="99"/>
        <w:sz w:val="19"/>
        <w:szCs w:val="19"/>
        <w:lang w:val="en-US" w:eastAsia="zh-CN" w:bidi="ar-SA"/>
      </w:rPr>
    </w:lvl>
    <w:lvl w:ilvl="2" w:tentative="0">
      <w:start w:val="0"/>
      <w:numFmt w:val="bullet"/>
      <w:lvlText w:val="•"/>
      <w:lvlJc w:val="left"/>
      <w:pPr>
        <w:ind w:left="1660" w:hanging="214"/>
      </w:pPr>
      <w:rPr>
        <w:rFonts w:hint="default"/>
        <w:lang w:val="en-US" w:eastAsia="zh-CN" w:bidi="ar-SA"/>
      </w:rPr>
    </w:lvl>
    <w:lvl w:ilvl="3" w:tentative="0">
      <w:start w:val="0"/>
      <w:numFmt w:val="bullet"/>
      <w:lvlText w:val="•"/>
      <w:lvlJc w:val="left"/>
      <w:pPr>
        <w:ind w:left="2440" w:hanging="214"/>
      </w:pPr>
      <w:rPr>
        <w:rFonts w:hint="default"/>
        <w:lang w:val="en-US" w:eastAsia="zh-CN" w:bidi="ar-SA"/>
      </w:rPr>
    </w:lvl>
    <w:lvl w:ilvl="4" w:tentative="0">
      <w:start w:val="0"/>
      <w:numFmt w:val="bullet"/>
      <w:lvlText w:val="•"/>
      <w:lvlJc w:val="left"/>
      <w:pPr>
        <w:ind w:left="3220" w:hanging="214"/>
      </w:pPr>
      <w:rPr>
        <w:rFonts w:hint="default"/>
        <w:lang w:val="en-US" w:eastAsia="zh-CN" w:bidi="ar-SA"/>
      </w:rPr>
    </w:lvl>
    <w:lvl w:ilvl="5" w:tentative="0">
      <w:start w:val="0"/>
      <w:numFmt w:val="bullet"/>
      <w:lvlText w:val="•"/>
      <w:lvlJc w:val="left"/>
      <w:pPr>
        <w:ind w:left="4001" w:hanging="214"/>
      </w:pPr>
      <w:rPr>
        <w:rFonts w:hint="default"/>
        <w:lang w:val="en-US" w:eastAsia="zh-CN" w:bidi="ar-SA"/>
      </w:rPr>
    </w:lvl>
    <w:lvl w:ilvl="6" w:tentative="0">
      <w:start w:val="0"/>
      <w:numFmt w:val="bullet"/>
      <w:lvlText w:val="•"/>
      <w:lvlJc w:val="left"/>
      <w:pPr>
        <w:ind w:left="4781" w:hanging="214"/>
      </w:pPr>
      <w:rPr>
        <w:rFonts w:hint="default"/>
        <w:lang w:val="en-US" w:eastAsia="zh-CN" w:bidi="ar-SA"/>
      </w:rPr>
    </w:lvl>
    <w:lvl w:ilvl="7" w:tentative="0">
      <w:start w:val="0"/>
      <w:numFmt w:val="bullet"/>
      <w:lvlText w:val="•"/>
      <w:lvlJc w:val="left"/>
      <w:pPr>
        <w:ind w:left="5561" w:hanging="214"/>
      </w:pPr>
      <w:rPr>
        <w:rFonts w:hint="default"/>
        <w:lang w:val="en-US" w:eastAsia="zh-CN" w:bidi="ar-SA"/>
      </w:rPr>
    </w:lvl>
    <w:lvl w:ilvl="8" w:tentative="0">
      <w:start w:val="0"/>
      <w:numFmt w:val="bullet"/>
      <w:lvlText w:val="•"/>
      <w:lvlJc w:val="left"/>
      <w:pPr>
        <w:ind w:left="6341" w:hanging="214"/>
      </w:pPr>
      <w:rPr>
        <w:rFonts w:hint="default"/>
        <w:lang w:val="en-US" w:eastAsia="zh-CN" w:bidi="ar-SA"/>
      </w:rPr>
    </w:lvl>
  </w:abstractNum>
  <w:abstractNum w:abstractNumId="21">
    <w:nsid w:val="E16BCD08"/>
    <w:multiLevelType w:val="multilevel"/>
    <w:tmpl w:val="E16BCD08"/>
    <w:lvl w:ilvl="0" w:tentative="0">
      <w:start w:val="1"/>
      <w:numFmt w:val="decimal"/>
      <w:lvlText w:val="%1."/>
      <w:lvlJc w:val="left"/>
      <w:pPr>
        <w:ind w:left="1419" w:hanging="212"/>
        <w:jc w:val="left"/>
      </w:pPr>
      <w:rPr>
        <w:rFonts w:hint="default" w:ascii="宋体" w:hAnsi="宋体" w:eastAsia="宋体" w:cs="宋体"/>
        <w:b w:val="0"/>
        <w:bCs w:val="0"/>
        <w:i w:val="0"/>
        <w:iCs w:val="0"/>
        <w:spacing w:val="-2"/>
        <w:w w:val="99"/>
        <w:sz w:val="19"/>
        <w:szCs w:val="19"/>
        <w:lang w:val="en-US" w:eastAsia="zh-CN" w:bidi="ar-SA"/>
      </w:rPr>
    </w:lvl>
    <w:lvl w:ilvl="1" w:tentative="0">
      <w:start w:val="0"/>
      <w:numFmt w:val="bullet"/>
      <w:lvlText w:val="•"/>
      <w:lvlJc w:val="left"/>
      <w:pPr>
        <w:ind w:left="2314" w:hanging="212"/>
      </w:pPr>
      <w:rPr>
        <w:rFonts w:hint="default"/>
        <w:lang w:val="en-US" w:eastAsia="zh-CN" w:bidi="ar-SA"/>
      </w:rPr>
    </w:lvl>
    <w:lvl w:ilvl="2" w:tentative="0">
      <w:start w:val="0"/>
      <w:numFmt w:val="bullet"/>
      <w:lvlText w:val="•"/>
      <w:lvlJc w:val="left"/>
      <w:pPr>
        <w:ind w:left="3209" w:hanging="212"/>
      </w:pPr>
      <w:rPr>
        <w:rFonts w:hint="default"/>
        <w:lang w:val="en-US" w:eastAsia="zh-CN" w:bidi="ar-SA"/>
      </w:rPr>
    </w:lvl>
    <w:lvl w:ilvl="3" w:tentative="0">
      <w:start w:val="0"/>
      <w:numFmt w:val="bullet"/>
      <w:lvlText w:val="•"/>
      <w:lvlJc w:val="left"/>
      <w:pPr>
        <w:ind w:left="4103" w:hanging="212"/>
      </w:pPr>
      <w:rPr>
        <w:rFonts w:hint="default"/>
        <w:lang w:val="en-US" w:eastAsia="zh-CN" w:bidi="ar-SA"/>
      </w:rPr>
    </w:lvl>
    <w:lvl w:ilvl="4" w:tentative="0">
      <w:start w:val="0"/>
      <w:numFmt w:val="bullet"/>
      <w:lvlText w:val="•"/>
      <w:lvlJc w:val="left"/>
      <w:pPr>
        <w:ind w:left="4998" w:hanging="212"/>
      </w:pPr>
      <w:rPr>
        <w:rFonts w:hint="default"/>
        <w:lang w:val="en-US" w:eastAsia="zh-CN" w:bidi="ar-SA"/>
      </w:rPr>
    </w:lvl>
    <w:lvl w:ilvl="5" w:tentative="0">
      <w:start w:val="0"/>
      <w:numFmt w:val="bullet"/>
      <w:lvlText w:val="•"/>
      <w:lvlJc w:val="left"/>
      <w:pPr>
        <w:ind w:left="5893" w:hanging="212"/>
      </w:pPr>
      <w:rPr>
        <w:rFonts w:hint="default"/>
        <w:lang w:val="en-US" w:eastAsia="zh-CN" w:bidi="ar-SA"/>
      </w:rPr>
    </w:lvl>
    <w:lvl w:ilvl="6" w:tentative="0">
      <w:start w:val="0"/>
      <w:numFmt w:val="bullet"/>
      <w:lvlText w:val="•"/>
      <w:lvlJc w:val="left"/>
      <w:pPr>
        <w:ind w:left="6787" w:hanging="212"/>
      </w:pPr>
      <w:rPr>
        <w:rFonts w:hint="default"/>
        <w:lang w:val="en-US" w:eastAsia="zh-CN" w:bidi="ar-SA"/>
      </w:rPr>
    </w:lvl>
    <w:lvl w:ilvl="7" w:tentative="0">
      <w:start w:val="0"/>
      <w:numFmt w:val="bullet"/>
      <w:lvlText w:val="•"/>
      <w:lvlJc w:val="left"/>
      <w:pPr>
        <w:ind w:left="7682" w:hanging="212"/>
      </w:pPr>
      <w:rPr>
        <w:rFonts w:hint="default"/>
        <w:lang w:val="en-US" w:eastAsia="zh-CN" w:bidi="ar-SA"/>
      </w:rPr>
    </w:lvl>
    <w:lvl w:ilvl="8" w:tentative="0">
      <w:start w:val="0"/>
      <w:numFmt w:val="bullet"/>
      <w:lvlText w:val="•"/>
      <w:lvlJc w:val="left"/>
      <w:pPr>
        <w:ind w:left="8576" w:hanging="212"/>
      </w:pPr>
      <w:rPr>
        <w:rFonts w:hint="default"/>
        <w:lang w:val="en-US" w:eastAsia="zh-CN" w:bidi="ar-SA"/>
      </w:rPr>
    </w:lvl>
  </w:abstractNum>
  <w:abstractNum w:abstractNumId="22">
    <w:nsid w:val="E92B2757"/>
    <w:multiLevelType w:val="multilevel"/>
    <w:tmpl w:val="E92B2757"/>
    <w:lvl w:ilvl="0" w:tentative="0">
      <w:start w:val="1"/>
      <w:numFmt w:val="decimal"/>
      <w:lvlText w:val="（%1）"/>
      <w:lvlJc w:val="left"/>
      <w:pPr>
        <w:ind w:left="788" w:hanging="528"/>
        <w:jc w:val="left"/>
      </w:pPr>
      <w:rPr>
        <w:rFonts w:hint="default" w:ascii="宋体" w:hAnsi="宋体" w:eastAsia="宋体" w:cs="宋体"/>
        <w:b w:val="0"/>
        <w:bCs w:val="0"/>
        <w:i w:val="0"/>
        <w:iCs w:val="0"/>
        <w:spacing w:val="1"/>
        <w:w w:val="99"/>
        <w:sz w:val="19"/>
        <w:szCs w:val="19"/>
        <w:lang w:val="en-US" w:eastAsia="zh-CN" w:bidi="ar-SA"/>
      </w:rPr>
    </w:lvl>
    <w:lvl w:ilvl="1" w:tentative="0">
      <w:start w:val="0"/>
      <w:numFmt w:val="bullet"/>
      <w:lvlText w:val="•"/>
      <w:lvlJc w:val="left"/>
      <w:pPr>
        <w:ind w:left="1738" w:hanging="528"/>
      </w:pPr>
      <w:rPr>
        <w:rFonts w:hint="default"/>
        <w:lang w:val="en-US" w:eastAsia="zh-CN" w:bidi="ar-SA"/>
      </w:rPr>
    </w:lvl>
    <w:lvl w:ilvl="2" w:tentative="0">
      <w:start w:val="0"/>
      <w:numFmt w:val="bullet"/>
      <w:lvlText w:val="•"/>
      <w:lvlJc w:val="left"/>
      <w:pPr>
        <w:ind w:left="2697" w:hanging="528"/>
      </w:pPr>
      <w:rPr>
        <w:rFonts w:hint="default"/>
        <w:lang w:val="en-US" w:eastAsia="zh-CN" w:bidi="ar-SA"/>
      </w:rPr>
    </w:lvl>
    <w:lvl w:ilvl="3" w:tentative="0">
      <w:start w:val="0"/>
      <w:numFmt w:val="bullet"/>
      <w:lvlText w:val="•"/>
      <w:lvlJc w:val="left"/>
      <w:pPr>
        <w:ind w:left="3655" w:hanging="528"/>
      </w:pPr>
      <w:rPr>
        <w:rFonts w:hint="default"/>
        <w:lang w:val="en-US" w:eastAsia="zh-CN" w:bidi="ar-SA"/>
      </w:rPr>
    </w:lvl>
    <w:lvl w:ilvl="4" w:tentative="0">
      <w:start w:val="0"/>
      <w:numFmt w:val="bullet"/>
      <w:lvlText w:val="•"/>
      <w:lvlJc w:val="left"/>
      <w:pPr>
        <w:ind w:left="4614" w:hanging="528"/>
      </w:pPr>
      <w:rPr>
        <w:rFonts w:hint="default"/>
        <w:lang w:val="en-US" w:eastAsia="zh-CN" w:bidi="ar-SA"/>
      </w:rPr>
    </w:lvl>
    <w:lvl w:ilvl="5" w:tentative="0">
      <w:start w:val="0"/>
      <w:numFmt w:val="bullet"/>
      <w:lvlText w:val="•"/>
      <w:lvlJc w:val="left"/>
      <w:pPr>
        <w:ind w:left="5573" w:hanging="528"/>
      </w:pPr>
      <w:rPr>
        <w:rFonts w:hint="default"/>
        <w:lang w:val="en-US" w:eastAsia="zh-CN" w:bidi="ar-SA"/>
      </w:rPr>
    </w:lvl>
    <w:lvl w:ilvl="6" w:tentative="0">
      <w:start w:val="0"/>
      <w:numFmt w:val="bullet"/>
      <w:lvlText w:val="•"/>
      <w:lvlJc w:val="left"/>
      <w:pPr>
        <w:ind w:left="6531" w:hanging="528"/>
      </w:pPr>
      <w:rPr>
        <w:rFonts w:hint="default"/>
        <w:lang w:val="en-US" w:eastAsia="zh-CN" w:bidi="ar-SA"/>
      </w:rPr>
    </w:lvl>
    <w:lvl w:ilvl="7" w:tentative="0">
      <w:start w:val="0"/>
      <w:numFmt w:val="bullet"/>
      <w:lvlText w:val="•"/>
      <w:lvlJc w:val="left"/>
      <w:pPr>
        <w:ind w:left="7490" w:hanging="528"/>
      </w:pPr>
      <w:rPr>
        <w:rFonts w:hint="default"/>
        <w:lang w:val="en-US" w:eastAsia="zh-CN" w:bidi="ar-SA"/>
      </w:rPr>
    </w:lvl>
    <w:lvl w:ilvl="8" w:tentative="0">
      <w:start w:val="0"/>
      <w:numFmt w:val="bullet"/>
      <w:lvlText w:val="•"/>
      <w:lvlJc w:val="left"/>
      <w:pPr>
        <w:ind w:left="8448" w:hanging="528"/>
      </w:pPr>
      <w:rPr>
        <w:rFonts w:hint="default"/>
        <w:lang w:val="en-US" w:eastAsia="zh-CN" w:bidi="ar-SA"/>
      </w:rPr>
    </w:lvl>
  </w:abstractNum>
  <w:abstractNum w:abstractNumId="23">
    <w:nsid w:val="EE00E044"/>
    <w:multiLevelType w:val="multilevel"/>
    <w:tmpl w:val="EE00E044"/>
    <w:lvl w:ilvl="0" w:tentative="0">
      <w:start w:val="1"/>
      <w:numFmt w:val="decimal"/>
      <w:lvlText w:val="%1."/>
      <w:lvlJc w:val="left"/>
      <w:pPr>
        <w:ind w:left="788" w:hanging="241"/>
        <w:jc w:val="left"/>
      </w:pPr>
      <w:rPr>
        <w:rFonts w:hint="default" w:ascii="宋体" w:hAnsi="宋体" w:eastAsia="宋体" w:cs="宋体"/>
        <w:b w:val="0"/>
        <w:bCs w:val="0"/>
        <w:i w:val="0"/>
        <w:iCs w:val="0"/>
        <w:spacing w:val="0"/>
        <w:w w:val="99"/>
        <w:sz w:val="22"/>
        <w:szCs w:val="22"/>
        <w:lang w:val="en-US" w:eastAsia="zh-CN" w:bidi="ar-SA"/>
      </w:rPr>
    </w:lvl>
    <w:lvl w:ilvl="1" w:tentative="0">
      <w:start w:val="0"/>
      <w:numFmt w:val="bullet"/>
      <w:lvlText w:val="•"/>
      <w:lvlJc w:val="left"/>
      <w:pPr>
        <w:ind w:left="1738" w:hanging="241"/>
      </w:pPr>
      <w:rPr>
        <w:rFonts w:hint="default"/>
        <w:lang w:val="en-US" w:eastAsia="zh-CN" w:bidi="ar-SA"/>
      </w:rPr>
    </w:lvl>
    <w:lvl w:ilvl="2" w:tentative="0">
      <w:start w:val="0"/>
      <w:numFmt w:val="bullet"/>
      <w:lvlText w:val="•"/>
      <w:lvlJc w:val="left"/>
      <w:pPr>
        <w:ind w:left="2697" w:hanging="241"/>
      </w:pPr>
      <w:rPr>
        <w:rFonts w:hint="default"/>
        <w:lang w:val="en-US" w:eastAsia="zh-CN" w:bidi="ar-SA"/>
      </w:rPr>
    </w:lvl>
    <w:lvl w:ilvl="3" w:tentative="0">
      <w:start w:val="0"/>
      <w:numFmt w:val="bullet"/>
      <w:lvlText w:val="•"/>
      <w:lvlJc w:val="left"/>
      <w:pPr>
        <w:ind w:left="3655" w:hanging="241"/>
      </w:pPr>
      <w:rPr>
        <w:rFonts w:hint="default"/>
        <w:lang w:val="en-US" w:eastAsia="zh-CN" w:bidi="ar-SA"/>
      </w:rPr>
    </w:lvl>
    <w:lvl w:ilvl="4" w:tentative="0">
      <w:start w:val="0"/>
      <w:numFmt w:val="bullet"/>
      <w:lvlText w:val="•"/>
      <w:lvlJc w:val="left"/>
      <w:pPr>
        <w:ind w:left="4614" w:hanging="241"/>
      </w:pPr>
      <w:rPr>
        <w:rFonts w:hint="default"/>
        <w:lang w:val="en-US" w:eastAsia="zh-CN" w:bidi="ar-SA"/>
      </w:rPr>
    </w:lvl>
    <w:lvl w:ilvl="5" w:tentative="0">
      <w:start w:val="0"/>
      <w:numFmt w:val="bullet"/>
      <w:lvlText w:val="•"/>
      <w:lvlJc w:val="left"/>
      <w:pPr>
        <w:ind w:left="5573" w:hanging="241"/>
      </w:pPr>
      <w:rPr>
        <w:rFonts w:hint="default"/>
        <w:lang w:val="en-US" w:eastAsia="zh-CN" w:bidi="ar-SA"/>
      </w:rPr>
    </w:lvl>
    <w:lvl w:ilvl="6" w:tentative="0">
      <w:start w:val="0"/>
      <w:numFmt w:val="bullet"/>
      <w:lvlText w:val="•"/>
      <w:lvlJc w:val="left"/>
      <w:pPr>
        <w:ind w:left="6531" w:hanging="241"/>
      </w:pPr>
      <w:rPr>
        <w:rFonts w:hint="default"/>
        <w:lang w:val="en-US" w:eastAsia="zh-CN" w:bidi="ar-SA"/>
      </w:rPr>
    </w:lvl>
    <w:lvl w:ilvl="7" w:tentative="0">
      <w:start w:val="0"/>
      <w:numFmt w:val="bullet"/>
      <w:lvlText w:val="•"/>
      <w:lvlJc w:val="left"/>
      <w:pPr>
        <w:ind w:left="7490" w:hanging="241"/>
      </w:pPr>
      <w:rPr>
        <w:rFonts w:hint="default"/>
        <w:lang w:val="en-US" w:eastAsia="zh-CN" w:bidi="ar-SA"/>
      </w:rPr>
    </w:lvl>
    <w:lvl w:ilvl="8" w:tentative="0">
      <w:start w:val="0"/>
      <w:numFmt w:val="bullet"/>
      <w:lvlText w:val="•"/>
      <w:lvlJc w:val="left"/>
      <w:pPr>
        <w:ind w:left="8448" w:hanging="241"/>
      </w:pPr>
      <w:rPr>
        <w:rFonts w:hint="default"/>
        <w:lang w:val="en-US" w:eastAsia="zh-CN" w:bidi="ar-SA"/>
      </w:rPr>
    </w:lvl>
  </w:abstractNum>
  <w:abstractNum w:abstractNumId="24">
    <w:nsid w:val="EF864EF9"/>
    <w:multiLevelType w:val="multilevel"/>
    <w:tmpl w:val="EF864EF9"/>
    <w:lvl w:ilvl="0" w:tentative="0">
      <w:start w:val="1"/>
      <w:numFmt w:val="decimal"/>
      <w:lvlText w:val="%1."/>
      <w:lvlJc w:val="left"/>
      <w:pPr>
        <w:ind w:left="1511" w:hanging="243"/>
        <w:jc w:val="left"/>
      </w:pPr>
      <w:rPr>
        <w:rFonts w:hint="default"/>
        <w:spacing w:val="0"/>
        <w:w w:val="91"/>
        <w:lang w:val="en-US" w:eastAsia="zh-CN" w:bidi="ar-SA"/>
      </w:rPr>
    </w:lvl>
    <w:lvl w:ilvl="1" w:tentative="0">
      <w:start w:val="1"/>
      <w:numFmt w:val="decimal"/>
      <w:lvlText w:val="%1.%2"/>
      <w:lvlJc w:val="left"/>
      <w:pPr>
        <w:ind w:left="1208" w:hanging="368"/>
        <w:jc w:val="left"/>
      </w:pPr>
      <w:rPr>
        <w:rFonts w:hint="default" w:ascii="宋体" w:hAnsi="宋体" w:eastAsia="宋体" w:cs="宋体"/>
        <w:b w:val="0"/>
        <w:bCs w:val="0"/>
        <w:i w:val="0"/>
        <w:iCs w:val="0"/>
        <w:spacing w:val="-2"/>
        <w:w w:val="99"/>
        <w:sz w:val="21"/>
        <w:szCs w:val="21"/>
        <w:lang w:val="en-US" w:eastAsia="zh-CN" w:bidi="ar-SA"/>
      </w:rPr>
    </w:lvl>
    <w:lvl w:ilvl="2" w:tentative="0">
      <w:start w:val="0"/>
      <w:numFmt w:val="bullet"/>
      <w:lvlText w:val="•"/>
      <w:lvlJc w:val="left"/>
      <w:pPr>
        <w:ind w:left="1520" w:hanging="368"/>
      </w:pPr>
      <w:rPr>
        <w:rFonts w:hint="default"/>
        <w:lang w:val="en-US" w:eastAsia="zh-CN" w:bidi="ar-SA"/>
      </w:rPr>
    </w:lvl>
    <w:lvl w:ilvl="3" w:tentative="0">
      <w:start w:val="0"/>
      <w:numFmt w:val="bullet"/>
      <w:lvlText w:val="•"/>
      <w:lvlJc w:val="left"/>
      <w:pPr>
        <w:ind w:left="1580" w:hanging="368"/>
      </w:pPr>
      <w:rPr>
        <w:rFonts w:hint="default"/>
        <w:lang w:val="en-US" w:eastAsia="zh-CN" w:bidi="ar-SA"/>
      </w:rPr>
    </w:lvl>
    <w:lvl w:ilvl="4" w:tentative="0">
      <w:start w:val="0"/>
      <w:numFmt w:val="bullet"/>
      <w:lvlText w:val="•"/>
      <w:lvlJc w:val="left"/>
      <w:pPr>
        <w:ind w:left="2835" w:hanging="368"/>
      </w:pPr>
      <w:rPr>
        <w:rFonts w:hint="default"/>
        <w:lang w:val="en-US" w:eastAsia="zh-CN" w:bidi="ar-SA"/>
      </w:rPr>
    </w:lvl>
    <w:lvl w:ilvl="5" w:tentative="0">
      <w:start w:val="0"/>
      <w:numFmt w:val="bullet"/>
      <w:lvlText w:val="•"/>
      <w:lvlJc w:val="left"/>
      <w:pPr>
        <w:ind w:left="4090" w:hanging="368"/>
      </w:pPr>
      <w:rPr>
        <w:rFonts w:hint="default"/>
        <w:lang w:val="en-US" w:eastAsia="zh-CN" w:bidi="ar-SA"/>
      </w:rPr>
    </w:lvl>
    <w:lvl w:ilvl="6" w:tentative="0">
      <w:start w:val="0"/>
      <w:numFmt w:val="bullet"/>
      <w:lvlText w:val="•"/>
      <w:lvlJc w:val="left"/>
      <w:pPr>
        <w:ind w:left="5345" w:hanging="368"/>
      </w:pPr>
      <w:rPr>
        <w:rFonts w:hint="default"/>
        <w:lang w:val="en-US" w:eastAsia="zh-CN" w:bidi="ar-SA"/>
      </w:rPr>
    </w:lvl>
    <w:lvl w:ilvl="7" w:tentative="0">
      <w:start w:val="0"/>
      <w:numFmt w:val="bullet"/>
      <w:lvlText w:val="•"/>
      <w:lvlJc w:val="left"/>
      <w:pPr>
        <w:ind w:left="6600" w:hanging="368"/>
      </w:pPr>
      <w:rPr>
        <w:rFonts w:hint="default"/>
        <w:lang w:val="en-US" w:eastAsia="zh-CN" w:bidi="ar-SA"/>
      </w:rPr>
    </w:lvl>
    <w:lvl w:ilvl="8" w:tentative="0">
      <w:start w:val="0"/>
      <w:numFmt w:val="bullet"/>
      <w:lvlText w:val="•"/>
      <w:lvlJc w:val="left"/>
      <w:pPr>
        <w:ind w:left="7855" w:hanging="368"/>
      </w:pPr>
      <w:rPr>
        <w:rFonts w:hint="default"/>
        <w:lang w:val="en-US" w:eastAsia="zh-CN" w:bidi="ar-SA"/>
      </w:rPr>
    </w:lvl>
  </w:abstractNum>
  <w:abstractNum w:abstractNumId="25">
    <w:nsid w:val="F1F873F2"/>
    <w:multiLevelType w:val="multilevel"/>
    <w:tmpl w:val="F1F873F2"/>
    <w:lvl w:ilvl="0" w:tentative="0">
      <w:start w:val="1"/>
      <w:numFmt w:val="decimal"/>
      <w:lvlText w:val="（%1）"/>
      <w:lvlJc w:val="left"/>
      <w:pPr>
        <w:ind w:left="1869" w:hanging="601"/>
        <w:jc w:val="left"/>
      </w:pPr>
      <w:rPr>
        <w:rFonts w:hint="default" w:ascii="宋体" w:hAnsi="宋体" w:eastAsia="宋体" w:cs="宋体"/>
        <w:b w:val="0"/>
        <w:bCs w:val="0"/>
        <w:i w:val="0"/>
        <w:iCs w:val="0"/>
        <w:spacing w:val="0"/>
        <w:w w:val="100"/>
        <w:sz w:val="22"/>
        <w:szCs w:val="22"/>
        <w:lang w:val="en-US" w:eastAsia="zh-CN" w:bidi="ar-SA"/>
      </w:rPr>
    </w:lvl>
    <w:lvl w:ilvl="1" w:tentative="0">
      <w:start w:val="0"/>
      <w:numFmt w:val="bullet"/>
      <w:lvlText w:val="•"/>
      <w:lvlJc w:val="left"/>
      <w:pPr>
        <w:ind w:left="2710" w:hanging="601"/>
      </w:pPr>
      <w:rPr>
        <w:rFonts w:hint="default"/>
        <w:lang w:val="en-US" w:eastAsia="zh-CN" w:bidi="ar-SA"/>
      </w:rPr>
    </w:lvl>
    <w:lvl w:ilvl="2" w:tentative="0">
      <w:start w:val="0"/>
      <w:numFmt w:val="bullet"/>
      <w:lvlText w:val="•"/>
      <w:lvlJc w:val="left"/>
      <w:pPr>
        <w:ind w:left="3561" w:hanging="601"/>
      </w:pPr>
      <w:rPr>
        <w:rFonts w:hint="default"/>
        <w:lang w:val="en-US" w:eastAsia="zh-CN" w:bidi="ar-SA"/>
      </w:rPr>
    </w:lvl>
    <w:lvl w:ilvl="3" w:tentative="0">
      <w:start w:val="0"/>
      <w:numFmt w:val="bullet"/>
      <w:lvlText w:val="•"/>
      <w:lvlJc w:val="left"/>
      <w:pPr>
        <w:ind w:left="4411" w:hanging="601"/>
      </w:pPr>
      <w:rPr>
        <w:rFonts w:hint="default"/>
        <w:lang w:val="en-US" w:eastAsia="zh-CN" w:bidi="ar-SA"/>
      </w:rPr>
    </w:lvl>
    <w:lvl w:ilvl="4" w:tentative="0">
      <w:start w:val="0"/>
      <w:numFmt w:val="bullet"/>
      <w:lvlText w:val="•"/>
      <w:lvlJc w:val="left"/>
      <w:pPr>
        <w:ind w:left="5262" w:hanging="601"/>
      </w:pPr>
      <w:rPr>
        <w:rFonts w:hint="default"/>
        <w:lang w:val="en-US" w:eastAsia="zh-CN" w:bidi="ar-SA"/>
      </w:rPr>
    </w:lvl>
    <w:lvl w:ilvl="5" w:tentative="0">
      <w:start w:val="0"/>
      <w:numFmt w:val="bullet"/>
      <w:lvlText w:val="•"/>
      <w:lvlJc w:val="left"/>
      <w:pPr>
        <w:ind w:left="6113" w:hanging="601"/>
      </w:pPr>
      <w:rPr>
        <w:rFonts w:hint="default"/>
        <w:lang w:val="en-US" w:eastAsia="zh-CN" w:bidi="ar-SA"/>
      </w:rPr>
    </w:lvl>
    <w:lvl w:ilvl="6" w:tentative="0">
      <w:start w:val="0"/>
      <w:numFmt w:val="bullet"/>
      <w:lvlText w:val="•"/>
      <w:lvlJc w:val="left"/>
      <w:pPr>
        <w:ind w:left="6963" w:hanging="601"/>
      </w:pPr>
      <w:rPr>
        <w:rFonts w:hint="default"/>
        <w:lang w:val="en-US" w:eastAsia="zh-CN" w:bidi="ar-SA"/>
      </w:rPr>
    </w:lvl>
    <w:lvl w:ilvl="7" w:tentative="0">
      <w:start w:val="0"/>
      <w:numFmt w:val="bullet"/>
      <w:lvlText w:val="•"/>
      <w:lvlJc w:val="left"/>
      <w:pPr>
        <w:ind w:left="7814" w:hanging="601"/>
      </w:pPr>
      <w:rPr>
        <w:rFonts w:hint="default"/>
        <w:lang w:val="en-US" w:eastAsia="zh-CN" w:bidi="ar-SA"/>
      </w:rPr>
    </w:lvl>
    <w:lvl w:ilvl="8" w:tentative="0">
      <w:start w:val="0"/>
      <w:numFmt w:val="bullet"/>
      <w:lvlText w:val="•"/>
      <w:lvlJc w:val="left"/>
      <w:pPr>
        <w:ind w:left="8664" w:hanging="601"/>
      </w:pPr>
      <w:rPr>
        <w:rFonts w:hint="default"/>
        <w:lang w:val="en-US" w:eastAsia="zh-CN" w:bidi="ar-SA"/>
      </w:rPr>
    </w:lvl>
  </w:abstractNum>
  <w:abstractNum w:abstractNumId="26">
    <w:nsid w:val="F34C4A94"/>
    <w:multiLevelType w:val="multilevel"/>
    <w:tmpl w:val="F34C4A94"/>
    <w:lvl w:ilvl="0" w:tentative="0">
      <w:start w:val="1"/>
      <w:numFmt w:val="decimal"/>
      <w:lvlText w:val="%1."/>
      <w:lvlJc w:val="left"/>
      <w:pPr>
        <w:ind w:left="317" w:hanging="212"/>
        <w:jc w:val="left"/>
      </w:pPr>
      <w:rPr>
        <w:rFonts w:hint="default" w:ascii="宋体" w:hAnsi="宋体" w:eastAsia="宋体" w:cs="宋体"/>
        <w:b w:val="0"/>
        <w:bCs w:val="0"/>
        <w:i w:val="0"/>
        <w:iCs w:val="0"/>
        <w:spacing w:val="1"/>
        <w:w w:val="98"/>
        <w:sz w:val="19"/>
        <w:szCs w:val="19"/>
        <w:lang w:val="en-US" w:eastAsia="zh-CN" w:bidi="ar-SA"/>
      </w:rPr>
    </w:lvl>
    <w:lvl w:ilvl="1" w:tentative="0">
      <w:start w:val="1"/>
      <w:numFmt w:val="decimal"/>
      <w:lvlText w:val="%1.%2"/>
      <w:lvlJc w:val="left"/>
      <w:pPr>
        <w:ind w:left="106" w:hanging="368"/>
        <w:jc w:val="left"/>
      </w:pPr>
      <w:rPr>
        <w:rFonts w:hint="default" w:ascii="宋体" w:hAnsi="宋体" w:eastAsia="宋体" w:cs="宋体"/>
        <w:b w:val="0"/>
        <w:bCs w:val="0"/>
        <w:i w:val="0"/>
        <w:iCs w:val="0"/>
        <w:spacing w:val="0"/>
        <w:w w:val="99"/>
        <w:sz w:val="21"/>
        <w:szCs w:val="21"/>
        <w:lang w:val="en-US" w:eastAsia="zh-CN" w:bidi="ar-SA"/>
      </w:rPr>
    </w:lvl>
    <w:lvl w:ilvl="2" w:tentative="0">
      <w:start w:val="0"/>
      <w:numFmt w:val="bullet"/>
      <w:lvlText w:val="•"/>
      <w:lvlJc w:val="left"/>
      <w:pPr>
        <w:ind w:left="1162" w:hanging="368"/>
      </w:pPr>
      <w:rPr>
        <w:rFonts w:hint="default"/>
        <w:lang w:val="en-US" w:eastAsia="zh-CN" w:bidi="ar-SA"/>
      </w:rPr>
    </w:lvl>
    <w:lvl w:ilvl="3" w:tentative="0">
      <w:start w:val="0"/>
      <w:numFmt w:val="bullet"/>
      <w:lvlText w:val="•"/>
      <w:lvlJc w:val="left"/>
      <w:pPr>
        <w:ind w:left="2004" w:hanging="368"/>
      </w:pPr>
      <w:rPr>
        <w:rFonts w:hint="default"/>
        <w:lang w:val="en-US" w:eastAsia="zh-CN" w:bidi="ar-SA"/>
      </w:rPr>
    </w:lvl>
    <w:lvl w:ilvl="4" w:tentative="0">
      <w:start w:val="0"/>
      <w:numFmt w:val="bullet"/>
      <w:lvlText w:val="•"/>
      <w:lvlJc w:val="left"/>
      <w:pPr>
        <w:ind w:left="2847" w:hanging="368"/>
      </w:pPr>
      <w:rPr>
        <w:rFonts w:hint="default"/>
        <w:lang w:val="en-US" w:eastAsia="zh-CN" w:bidi="ar-SA"/>
      </w:rPr>
    </w:lvl>
    <w:lvl w:ilvl="5" w:tentative="0">
      <w:start w:val="0"/>
      <w:numFmt w:val="bullet"/>
      <w:lvlText w:val="•"/>
      <w:lvlJc w:val="left"/>
      <w:pPr>
        <w:ind w:left="3689" w:hanging="368"/>
      </w:pPr>
      <w:rPr>
        <w:rFonts w:hint="default"/>
        <w:lang w:val="en-US" w:eastAsia="zh-CN" w:bidi="ar-SA"/>
      </w:rPr>
    </w:lvl>
    <w:lvl w:ilvl="6" w:tentative="0">
      <w:start w:val="0"/>
      <w:numFmt w:val="bullet"/>
      <w:lvlText w:val="•"/>
      <w:lvlJc w:val="left"/>
      <w:pPr>
        <w:ind w:left="4532" w:hanging="368"/>
      </w:pPr>
      <w:rPr>
        <w:rFonts w:hint="default"/>
        <w:lang w:val="en-US" w:eastAsia="zh-CN" w:bidi="ar-SA"/>
      </w:rPr>
    </w:lvl>
    <w:lvl w:ilvl="7" w:tentative="0">
      <w:start w:val="0"/>
      <w:numFmt w:val="bullet"/>
      <w:lvlText w:val="•"/>
      <w:lvlJc w:val="left"/>
      <w:pPr>
        <w:ind w:left="5374" w:hanging="368"/>
      </w:pPr>
      <w:rPr>
        <w:rFonts w:hint="default"/>
        <w:lang w:val="en-US" w:eastAsia="zh-CN" w:bidi="ar-SA"/>
      </w:rPr>
    </w:lvl>
    <w:lvl w:ilvl="8" w:tentative="0">
      <w:start w:val="0"/>
      <w:numFmt w:val="bullet"/>
      <w:lvlText w:val="•"/>
      <w:lvlJc w:val="left"/>
      <w:pPr>
        <w:ind w:left="6217" w:hanging="368"/>
      </w:pPr>
      <w:rPr>
        <w:rFonts w:hint="default"/>
        <w:lang w:val="en-US" w:eastAsia="zh-CN" w:bidi="ar-SA"/>
      </w:rPr>
    </w:lvl>
  </w:abstractNum>
  <w:abstractNum w:abstractNumId="27">
    <w:nsid w:val="F5A5065A"/>
    <w:multiLevelType w:val="multilevel"/>
    <w:tmpl w:val="F5A5065A"/>
    <w:lvl w:ilvl="0" w:tentative="0">
      <w:start w:val="1"/>
      <w:numFmt w:val="decimal"/>
      <w:lvlText w:val="%1."/>
      <w:lvlJc w:val="left"/>
      <w:pPr>
        <w:ind w:left="1509" w:hanging="241"/>
        <w:jc w:val="left"/>
      </w:pPr>
      <w:rPr>
        <w:rFonts w:hint="default" w:ascii="宋体" w:hAnsi="宋体" w:eastAsia="宋体" w:cs="宋体"/>
        <w:b w:val="0"/>
        <w:bCs w:val="0"/>
        <w:i w:val="0"/>
        <w:iCs w:val="0"/>
        <w:spacing w:val="-1"/>
        <w:w w:val="100"/>
        <w:sz w:val="22"/>
        <w:szCs w:val="22"/>
        <w:lang w:val="en-US" w:eastAsia="zh-CN" w:bidi="ar-SA"/>
      </w:rPr>
    </w:lvl>
    <w:lvl w:ilvl="1" w:tentative="0">
      <w:start w:val="0"/>
      <w:numFmt w:val="bullet"/>
      <w:lvlText w:val="•"/>
      <w:lvlJc w:val="left"/>
      <w:pPr>
        <w:ind w:left="2386" w:hanging="241"/>
      </w:pPr>
      <w:rPr>
        <w:rFonts w:hint="default"/>
        <w:lang w:val="en-US" w:eastAsia="zh-CN" w:bidi="ar-SA"/>
      </w:rPr>
    </w:lvl>
    <w:lvl w:ilvl="2" w:tentative="0">
      <w:start w:val="0"/>
      <w:numFmt w:val="bullet"/>
      <w:lvlText w:val="•"/>
      <w:lvlJc w:val="left"/>
      <w:pPr>
        <w:ind w:left="3273" w:hanging="241"/>
      </w:pPr>
      <w:rPr>
        <w:rFonts w:hint="default"/>
        <w:lang w:val="en-US" w:eastAsia="zh-CN" w:bidi="ar-SA"/>
      </w:rPr>
    </w:lvl>
    <w:lvl w:ilvl="3" w:tentative="0">
      <w:start w:val="0"/>
      <w:numFmt w:val="bullet"/>
      <w:lvlText w:val="•"/>
      <w:lvlJc w:val="left"/>
      <w:pPr>
        <w:ind w:left="4159" w:hanging="241"/>
      </w:pPr>
      <w:rPr>
        <w:rFonts w:hint="default"/>
        <w:lang w:val="en-US" w:eastAsia="zh-CN" w:bidi="ar-SA"/>
      </w:rPr>
    </w:lvl>
    <w:lvl w:ilvl="4" w:tentative="0">
      <w:start w:val="0"/>
      <w:numFmt w:val="bullet"/>
      <w:lvlText w:val="•"/>
      <w:lvlJc w:val="left"/>
      <w:pPr>
        <w:ind w:left="5046" w:hanging="241"/>
      </w:pPr>
      <w:rPr>
        <w:rFonts w:hint="default"/>
        <w:lang w:val="en-US" w:eastAsia="zh-CN" w:bidi="ar-SA"/>
      </w:rPr>
    </w:lvl>
    <w:lvl w:ilvl="5" w:tentative="0">
      <w:start w:val="0"/>
      <w:numFmt w:val="bullet"/>
      <w:lvlText w:val="•"/>
      <w:lvlJc w:val="left"/>
      <w:pPr>
        <w:ind w:left="5933" w:hanging="241"/>
      </w:pPr>
      <w:rPr>
        <w:rFonts w:hint="default"/>
        <w:lang w:val="en-US" w:eastAsia="zh-CN" w:bidi="ar-SA"/>
      </w:rPr>
    </w:lvl>
    <w:lvl w:ilvl="6" w:tentative="0">
      <w:start w:val="0"/>
      <w:numFmt w:val="bullet"/>
      <w:lvlText w:val="•"/>
      <w:lvlJc w:val="left"/>
      <w:pPr>
        <w:ind w:left="6819" w:hanging="241"/>
      </w:pPr>
      <w:rPr>
        <w:rFonts w:hint="default"/>
        <w:lang w:val="en-US" w:eastAsia="zh-CN" w:bidi="ar-SA"/>
      </w:rPr>
    </w:lvl>
    <w:lvl w:ilvl="7" w:tentative="0">
      <w:start w:val="0"/>
      <w:numFmt w:val="bullet"/>
      <w:lvlText w:val="•"/>
      <w:lvlJc w:val="left"/>
      <w:pPr>
        <w:ind w:left="7706" w:hanging="241"/>
      </w:pPr>
      <w:rPr>
        <w:rFonts w:hint="default"/>
        <w:lang w:val="en-US" w:eastAsia="zh-CN" w:bidi="ar-SA"/>
      </w:rPr>
    </w:lvl>
    <w:lvl w:ilvl="8" w:tentative="0">
      <w:start w:val="0"/>
      <w:numFmt w:val="bullet"/>
      <w:lvlText w:val="•"/>
      <w:lvlJc w:val="left"/>
      <w:pPr>
        <w:ind w:left="8592" w:hanging="241"/>
      </w:pPr>
      <w:rPr>
        <w:rFonts w:hint="default"/>
        <w:lang w:val="en-US" w:eastAsia="zh-CN" w:bidi="ar-SA"/>
      </w:rPr>
    </w:lvl>
  </w:abstractNum>
  <w:abstractNum w:abstractNumId="28">
    <w:nsid w:val="FD2C7A24"/>
    <w:multiLevelType w:val="multilevel"/>
    <w:tmpl w:val="FD2C7A24"/>
    <w:lvl w:ilvl="0" w:tentative="0">
      <w:start w:val="1"/>
      <w:numFmt w:val="decimal"/>
      <w:lvlText w:val="%1."/>
      <w:lvlJc w:val="left"/>
      <w:pPr>
        <w:ind w:left="788" w:hanging="360"/>
        <w:jc w:val="left"/>
      </w:pPr>
      <w:rPr>
        <w:rFonts w:hint="default" w:ascii="宋体" w:hAnsi="宋体" w:eastAsia="宋体" w:cs="宋体"/>
        <w:b w:val="0"/>
        <w:bCs w:val="0"/>
        <w:i w:val="0"/>
        <w:iCs w:val="0"/>
        <w:spacing w:val="0"/>
        <w:w w:val="91"/>
        <w:sz w:val="24"/>
        <w:szCs w:val="24"/>
        <w:lang w:val="en-US" w:eastAsia="zh-CN" w:bidi="ar-SA"/>
      </w:rPr>
    </w:lvl>
    <w:lvl w:ilvl="1" w:tentative="0">
      <w:start w:val="0"/>
      <w:numFmt w:val="bullet"/>
      <w:lvlText w:val="•"/>
      <w:lvlJc w:val="left"/>
      <w:pPr>
        <w:ind w:left="1738" w:hanging="360"/>
      </w:pPr>
      <w:rPr>
        <w:rFonts w:hint="default"/>
        <w:lang w:val="en-US" w:eastAsia="zh-CN" w:bidi="ar-SA"/>
      </w:rPr>
    </w:lvl>
    <w:lvl w:ilvl="2" w:tentative="0">
      <w:start w:val="0"/>
      <w:numFmt w:val="bullet"/>
      <w:lvlText w:val="•"/>
      <w:lvlJc w:val="left"/>
      <w:pPr>
        <w:ind w:left="2697" w:hanging="360"/>
      </w:pPr>
      <w:rPr>
        <w:rFonts w:hint="default"/>
        <w:lang w:val="en-US" w:eastAsia="zh-CN" w:bidi="ar-SA"/>
      </w:rPr>
    </w:lvl>
    <w:lvl w:ilvl="3" w:tentative="0">
      <w:start w:val="0"/>
      <w:numFmt w:val="bullet"/>
      <w:lvlText w:val="•"/>
      <w:lvlJc w:val="left"/>
      <w:pPr>
        <w:ind w:left="3655" w:hanging="360"/>
      </w:pPr>
      <w:rPr>
        <w:rFonts w:hint="default"/>
        <w:lang w:val="en-US" w:eastAsia="zh-CN" w:bidi="ar-SA"/>
      </w:rPr>
    </w:lvl>
    <w:lvl w:ilvl="4" w:tentative="0">
      <w:start w:val="0"/>
      <w:numFmt w:val="bullet"/>
      <w:lvlText w:val="•"/>
      <w:lvlJc w:val="left"/>
      <w:pPr>
        <w:ind w:left="4614" w:hanging="360"/>
      </w:pPr>
      <w:rPr>
        <w:rFonts w:hint="default"/>
        <w:lang w:val="en-US" w:eastAsia="zh-CN" w:bidi="ar-SA"/>
      </w:rPr>
    </w:lvl>
    <w:lvl w:ilvl="5" w:tentative="0">
      <w:start w:val="0"/>
      <w:numFmt w:val="bullet"/>
      <w:lvlText w:val="•"/>
      <w:lvlJc w:val="left"/>
      <w:pPr>
        <w:ind w:left="5573" w:hanging="360"/>
      </w:pPr>
      <w:rPr>
        <w:rFonts w:hint="default"/>
        <w:lang w:val="en-US" w:eastAsia="zh-CN" w:bidi="ar-SA"/>
      </w:rPr>
    </w:lvl>
    <w:lvl w:ilvl="6" w:tentative="0">
      <w:start w:val="0"/>
      <w:numFmt w:val="bullet"/>
      <w:lvlText w:val="•"/>
      <w:lvlJc w:val="left"/>
      <w:pPr>
        <w:ind w:left="6531" w:hanging="360"/>
      </w:pPr>
      <w:rPr>
        <w:rFonts w:hint="default"/>
        <w:lang w:val="en-US" w:eastAsia="zh-CN" w:bidi="ar-SA"/>
      </w:rPr>
    </w:lvl>
    <w:lvl w:ilvl="7" w:tentative="0">
      <w:start w:val="0"/>
      <w:numFmt w:val="bullet"/>
      <w:lvlText w:val="•"/>
      <w:lvlJc w:val="left"/>
      <w:pPr>
        <w:ind w:left="7490" w:hanging="360"/>
      </w:pPr>
      <w:rPr>
        <w:rFonts w:hint="default"/>
        <w:lang w:val="en-US" w:eastAsia="zh-CN" w:bidi="ar-SA"/>
      </w:rPr>
    </w:lvl>
    <w:lvl w:ilvl="8" w:tentative="0">
      <w:start w:val="0"/>
      <w:numFmt w:val="bullet"/>
      <w:lvlText w:val="•"/>
      <w:lvlJc w:val="left"/>
      <w:pPr>
        <w:ind w:left="8448" w:hanging="360"/>
      </w:pPr>
      <w:rPr>
        <w:rFonts w:hint="default"/>
        <w:lang w:val="en-US" w:eastAsia="zh-CN" w:bidi="ar-SA"/>
      </w:rPr>
    </w:lvl>
  </w:abstractNum>
  <w:abstractNum w:abstractNumId="29">
    <w:nsid w:val="FFBAA596"/>
    <w:multiLevelType w:val="multilevel"/>
    <w:tmpl w:val="FFBAA596"/>
    <w:lvl w:ilvl="0" w:tentative="0">
      <w:start w:val="1"/>
      <w:numFmt w:val="decimal"/>
      <w:lvlText w:val="%1."/>
      <w:lvlJc w:val="left"/>
      <w:pPr>
        <w:ind w:left="1417" w:hanging="209"/>
        <w:jc w:val="left"/>
      </w:pPr>
      <w:rPr>
        <w:rFonts w:hint="default" w:ascii="宋体" w:hAnsi="宋体" w:eastAsia="宋体" w:cs="宋体"/>
        <w:b w:val="0"/>
        <w:bCs w:val="0"/>
        <w:i w:val="0"/>
        <w:iCs w:val="0"/>
        <w:spacing w:val="-2"/>
        <w:w w:val="99"/>
        <w:sz w:val="19"/>
        <w:szCs w:val="19"/>
        <w:lang w:val="en-US" w:eastAsia="zh-CN" w:bidi="ar-SA"/>
      </w:rPr>
    </w:lvl>
    <w:lvl w:ilvl="1" w:tentative="0">
      <w:start w:val="0"/>
      <w:numFmt w:val="bullet"/>
      <w:lvlText w:val="•"/>
      <w:lvlJc w:val="left"/>
      <w:pPr>
        <w:ind w:left="2314" w:hanging="209"/>
      </w:pPr>
      <w:rPr>
        <w:rFonts w:hint="default"/>
        <w:lang w:val="en-US" w:eastAsia="zh-CN" w:bidi="ar-SA"/>
      </w:rPr>
    </w:lvl>
    <w:lvl w:ilvl="2" w:tentative="0">
      <w:start w:val="0"/>
      <w:numFmt w:val="bullet"/>
      <w:lvlText w:val="•"/>
      <w:lvlJc w:val="left"/>
      <w:pPr>
        <w:ind w:left="3209" w:hanging="209"/>
      </w:pPr>
      <w:rPr>
        <w:rFonts w:hint="default"/>
        <w:lang w:val="en-US" w:eastAsia="zh-CN" w:bidi="ar-SA"/>
      </w:rPr>
    </w:lvl>
    <w:lvl w:ilvl="3" w:tentative="0">
      <w:start w:val="0"/>
      <w:numFmt w:val="bullet"/>
      <w:lvlText w:val="•"/>
      <w:lvlJc w:val="left"/>
      <w:pPr>
        <w:ind w:left="4103" w:hanging="209"/>
      </w:pPr>
      <w:rPr>
        <w:rFonts w:hint="default"/>
        <w:lang w:val="en-US" w:eastAsia="zh-CN" w:bidi="ar-SA"/>
      </w:rPr>
    </w:lvl>
    <w:lvl w:ilvl="4" w:tentative="0">
      <w:start w:val="0"/>
      <w:numFmt w:val="bullet"/>
      <w:lvlText w:val="•"/>
      <w:lvlJc w:val="left"/>
      <w:pPr>
        <w:ind w:left="4998" w:hanging="209"/>
      </w:pPr>
      <w:rPr>
        <w:rFonts w:hint="default"/>
        <w:lang w:val="en-US" w:eastAsia="zh-CN" w:bidi="ar-SA"/>
      </w:rPr>
    </w:lvl>
    <w:lvl w:ilvl="5" w:tentative="0">
      <w:start w:val="0"/>
      <w:numFmt w:val="bullet"/>
      <w:lvlText w:val="•"/>
      <w:lvlJc w:val="left"/>
      <w:pPr>
        <w:ind w:left="5893" w:hanging="209"/>
      </w:pPr>
      <w:rPr>
        <w:rFonts w:hint="default"/>
        <w:lang w:val="en-US" w:eastAsia="zh-CN" w:bidi="ar-SA"/>
      </w:rPr>
    </w:lvl>
    <w:lvl w:ilvl="6" w:tentative="0">
      <w:start w:val="0"/>
      <w:numFmt w:val="bullet"/>
      <w:lvlText w:val="•"/>
      <w:lvlJc w:val="left"/>
      <w:pPr>
        <w:ind w:left="6787" w:hanging="209"/>
      </w:pPr>
      <w:rPr>
        <w:rFonts w:hint="default"/>
        <w:lang w:val="en-US" w:eastAsia="zh-CN" w:bidi="ar-SA"/>
      </w:rPr>
    </w:lvl>
    <w:lvl w:ilvl="7" w:tentative="0">
      <w:start w:val="0"/>
      <w:numFmt w:val="bullet"/>
      <w:lvlText w:val="•"/>
      <w:lvlJc w:val="left"/>
      <w:pPr>
        <w:ind w:left="7682" w:hanging="209"/>
      </w:pPr>
      <w:rPr>
        <w:rFonts w:hint="default"/>
        <w:lang w:val="en-US" w:eastAsia="zh-CN" w:bidi="ar-SA"/>
      </w:rPr>
    </w:lvl>
    <w:lvl w:ilvl="8" w:tentative="0">
      <w:start w:val="0"/>
      <w:numFmt w:val="bullet"/>
      <w:lvlText w:val="•"/>
      <w:lvlJc w:val="left"/>
      <w:pPr>
        <w:ind w:left="8576" w:hanging="209"/>
      </w:pPr>
      <w:rPr>
        <w:rFonts w:hint="default"/>
        <w:lang w:val="en-US" w:eastAsia="zh-CN" w:bidi="ar-SA"/>
      </w:rPr>
    </w:lvl>
  </w:abstractNum>
  <w:abstractNum w:abstractNumId="30">
    <w:nsid w:val="01683A27"/>
    <w:multiLevelType w:val="multilevel"/>
    <w:tmpl w:val="01683A27"/>
    <w:lvl w:ilvl="0" w:tentative="0">
      <w:start w:val="1"/>
      <w:numFmt w:val="decimal"/>
      <w:lvlText w:val="（%1）"/>
      <w:lvlJc w:val="left"/>
      <w:pPr>
        <w:ind w:left="1733" w:hanging="525"/>
        <w:jc w:val="left"/>
      </w:pPr>
      <w:rPr>
        <w:rFonts w:hint="default" w:ascii="宋体" w:hAnsi="宋体" w:eastAsia="宋体" w:cs="宋体"/>
        <w:b w:val="0"/>
        <w:bCs w:val="0"/>
        <w:i w:val="0"/>
        <w:iCs w:val="0"/>
        <w:spacing w:val="-1"/>
        <w:w w:val="99"/>
        <w:sz w:val="19"/>
        <w:szCs w:val="19"/>
        <w:lang w:val="en-US" w:eastAsia="zh-CN" w:bidi="ar-SA"/>
      </w:rPr>
    </w:lvl>
    <w:lvl w:ilvl="1" w:tentative="0">
      <w:start w:val="0"/>
      <w:numFmt w:val="bullet"/>
      <w:lvlText w:val="•"/>
      <w:lvlJc w:val="left"/>
      <w:pPr>
        <w:ind w:left="2602" w:hanging="525"/>
      </w:pPr>
      <w:rPr>
        <w:rFonts w:hint="default"/>
        <w:lang w:val="en-US" w:eastAsia="zh-CN" w:bidi="ar-SA"/>
      </w:rPr>
    </w:lvl>
    <w:lvl w:ilvl="2" w:tentative="0">
      <w:start w:val="0"/>
      <w:numFmt w:val="bullet"/>
      <w:lvlText w:val="•"/>
      <w:lvlJc w:val="left"/>
      <w:pPr>
        <w:ind w:left="3465" w:hanging="525"/>
      </w:pPr>
      <w:rPr>
        <w:rFonts w:hint="default"/>
        <w:lang w:val="en-US" w:eastAsia="zh-CN" w:bidi="ar-SA"/>
      </w:rPr>
    </w:lvl>
    <w:lvl w:ilvl="3" w:tentative="0">
      <w:start w:val="0"/>
      <w:numFmt w:val="bullet"/>
      <w:lvlText w:val="•"/>
      <w:lvlJc w:val="left"/>
      <w:pPr>
        <w:ind w:left="4327" w:hanging="525"/>
      </w:pPr>
      <w:rPr>
        <w:rFonts w:hint="default"/>
        <w:lang w:val="en-US" w:eastAsia="zh-CN" w:bidi="ar-SA"/>
      </w:rPr>
    </w:lvl>
    <w:lvl w:ilvl="4" w:tentative="0">
      <w:start w:val="0"/>
      <w:numFmt w:val="bullet"/>
      <w:lvlText w:val="•"/>
      <w:lvlJc w:val="left"/>
      <w:pPr>
        <w:ind w:left="5190" w:hanging="525"/>
      </w:pPr>
      <w:rPr>
        <w:rFonts w:hint="default"/>
        <w:lang w:val="en-US" w:eastAsia="zh-CN" w:bidi="ar-SA"/>
      </w:rPr>
    </w:lvl>
    <w:lvl w:ilvl="5" w:tentative="0">
      <w:start w:val="0"/>
      <w:numFmt w:val="bullet"/>
      <w:lvlText w:val="•"/>
      <w:lvlJc w:val="left"/>
      <w:pPr>
        <w:ind w:left="6053" w:hanging="525"/>
      </w:pPr>
      <w:rPr>
        <w:rFonts w:hint="default"/>
        <w:lang w:val="en-US" w:eastAsia="zh-CN" w:bidi="ar-SA"/>
      </w:rPr>
    </w:lvl>
    <w:lvl w:ilvl="6" w:tentative="0">
      <w:start w:val="0"/>
      <w:numFmt w:val="bullet"/>
      <w:lvlText w:val="•"/>
      <w:lvlJc w:val="left"/>
      <w:pPr>
        <w:ind w:left="6915" w:hanging="525"/>
      </w:pPr>
      <w:rPr>
        <w:rFonts w:hint="default"/>
        <w:lang w:val="en-US" w:eastAsia="zh-CN" w:bidi="ar-SA"/>
      </w:rPr>
    </w:lvl>
    <w:lvl w:ilvl="7" w:tentative="0">
      <w:start w:val="0"/>
      <w:numFmt w:val="bullet"/>
      <w:lvlText w:val="•"/>
      <w:lvlJc w:val="left"/>
      <w:pPr>
        <w:ind w:left="7778" w:hanging="525"/>
      </w:pPr>
      <w:rPr>
        <w:rFonts w:hint="default"/>
        <w:lang w:val="en-US" w:eastAsia="zh-CN" w:bidi="ar-SA"/>
      </w:rPr>
    </w:lvl>
    <w:lvl w:ilvl="8" w:tentative="0">
      <w:start w:val="0"/>
      <w:numFmt w:val="bullet"/>
      <w:lvlText w:val="•"/>
      <w:lvlJc w:val="left"/>
      <w:pPr>
        <w:ind w:left="8640" w:hanging="525"/>
      </w:pPr>
      <w:rPr>
        <w:rFonts w:hint="default"/>
        <w:lang w:val="en-US" w:eastAsia="zh-CN" w:bidi="ar-SA"/>
      </w:rPr>
    </w:lvl>
  </w:abstractNum>
  <w:abstractNum w:abstractNumId="31">
    <w:nsid w:val="03B4225D"/>
    <w:multiLevelType w:val="multilevel"/>
    <w:tmpl w:val="03B4225D"/>
    <w:lvl w:ilvl="0" w:tentative="0">
      <w:start w:val="1"/>
      <w:numFmt w:val="decimal"/>
      <w:lvlText w:val="（%1）"/>
      <w:lvlJc w:val="left"/>
      <w:pPr>
        <w:ind w:left="1733" w:hanging="525"/>
        <w:jc w:val="left"/>
      </w:pPr>
      <w:rPr>
        <w:rFonts w:hint="default" w:ascii="宋体" w:hAnsi="宋体" w:eastAsia="宋体" w:cs="宋体"/>
        <w:b w:val="0"/>
        <w:bCs w:val="0"/>
        <w:i w:val="0"/>
        <w:iCs w:val="0"/>
        <w:spacing w:val="-1"/>
        <w:w w:val="99"/>
        <w:sz w:val="19"/>
        <w:szCs w:val="19"/>
        <w:lang w:val="en-US" w:eastAsia="zh-CN" w:bidi="ar-SA"/>
      </w:rPr>
    </w:lvl>
    <w:lvl w:ilvl="1" w:tentative="0">
      <w:start w:val="0"/>
      <w:numFmt w:val="bullet"/>
      <w:lvlText w:val="•"/>
      <w:lvlJc w:val="left"/>
      <w:pPr>
        <w:ind w:left="2602" w:hanging="525"/>
      </w:pPr>
      <w:rPr>
        <w:rFonts w:hint="default"/>
        <w:lang w:val="en-US" w:eastAsia="zh-CN" w:bidi="ar-SA"/>
      </w:rPr>
    </w:lvl>
    <w:lvl w:ilvl="2" w:tentative="0">
      <w:start w:val="0"/>
      <w:numFmt w:val="bullet"/>
      <w:lvlText w:val="•"/>
      <w:lvlJc w:val="left"/>
      <w:pPr>
        <w:ind w:left="3465" w:hanging="525"/>
      </w:pPr>
      <w:rPr>
        <w:rFonts w:hint="default"/>
        <w:lang w:val="en-US" w:eastAsia="zh-CN" w:bidi="ar-SA"/>
      </w:rPr>
    </w:lvl>
    <w:lvl w:ilvl="3" w:tentative="0">
      <w:start w:val="0"/>
      <w:numFmt w:val="bullet"/>
      <w:lvlText w:val="•"/>
      <w:lvlJc w:val="left"/>
      <w:pPr>
        <w:ind w:left="4327" w:hanging="525"/>
      </w:pPr>
      <w:rPr>
        <w:rFonts w:hint="default"/>
        <w:lang w:val="en-US" w:eastAsia="zh-CN" w:bidi="ar-SA"/>
      </w:rPr>
    </w:lvl>
    <w:lvl w:ilvl="4" w:tentative="0">
      <w:start w:val="0"/>
      <w:numFmt w:val="bullet"/>
      <w:lvlText w:val="•"/>
      <w:lvlJc w:val="left"/>
      <w:pPr>
        <w:ind w:left="5190" w:hanging="525"/>
      </w:pPr>
      <w:rPr>
        <w:rFonts w:hint="default"/>
        <w:lang w:val="en-US" w:eastAsia="zh-CN" w:bidi="ar-SA"/>
      </w:rPr>
    </w:lvl>
    <w:lvl w:ilvl="5" w:tentative="0">
      <w:start w:val="0"/>
      <w:numFmt w:val="bullet"/>
      <w:lvlText w:val="•"/>
      <w:lvlJc w:val="left"/>
      <w:pPr>
        <w:ind w:left="6053" w:hanging="525"/>
      </w:pPr>
      <w:rPr>
        <w:rFonts w:hint="default"/>
        <w:lang w:val="en-US" w:eastAsia="zh-CN" w:bidi="ar-SA"/>
      </w:rPr>
    </w:lvl>
    <w:lvl w:ilvl="6" w:tentative="0">
      <w:start w:val="0"/>
      <w:numFmt w:val="bullet"/>
      <w:lvlText w:val="•"/>
      <w:lvlJc w:val="left"/>
      <w:pPr>
        <w:ind w:left="6915" w:hanging="525"/>
      </w:pPr>
      <w:rPr>
        <w:rFonts w:hint="default"/>
        <w:lang w:val="en-US" w:eastAsia="zh-CN" w:bidi="ar-SA"/>
      </w:rPr>
    </w:lvl>
    <w:lvl w:ilvl="7" w:tentative="0">
      <w:start w:val="0"/>
      <w:numFmt w:val="bullet"/>
      <w:lvlText w:val="•"/>
      <w:lvlJc w:val="left"/>
      <w:pPr>
        <w:ind w:left="7778" w:hanging="525"/>
      </w:pPr>
      <w:rPr>
        <w:rFonts w:hint="default"/>
        <w:lang w:val="en-US" w:eastAsia="zh-CN" w:bidi="ar-SA"/>
      </w:rPr>
    </w:lvl>
    <w:lvl w:ilvl="8" w:tentative="0">
      <w:start w:val="0"/>
      <w:numFmt w:val="bullet"/>
      <w:lvlText w:val="•"/>
      <w:lvlJc w:val="left"/>
      <w:pPr>
        <w:ind w:left="8640" w:hanging="525"/>
      </w:pPr>
      <w:rPr>
        <w:rFonts w:hint="default"/>
        <w:lang w:val="en-US" w:eastAsia="zh-CN" w:bidi="ar-SA"/>
      </w:rPr>
    </w:lvl>
  </w:abstractNum>
  <w:abstractNum w:abstractNumId="32">
    <w:nsid w:val="06B6B1B7"/>
    <w:multiLevelType w:val="multilevel"/>
    <w:tmpl w:val="06B6B1B7"/>
    <w:lvl w:ilvl="0" w:tentative="0">
      <w:start w:val="1"/>
      <w:numFmt w:val="decimal"/>
      <w:lvlText w:val="%1."/>
      <w:lvlJc w:val="left"/>
      <w:pPr>
        <w:ind w:left="318" w:hanging="212"/>
        <w:jc w:val="left"/>
      </w:pPr>
      <w:rPr>
        <w:rFonts w:hint="default" w:ascii="宋体" w:hAnsi="宋体" w:eastAsia="宋体" w:cs="宋体"/>
        <w:b w:val="0"/>
        <w:bCs w:val="0"/>
        <w:i w:val="0"/>
        <w:iCs w:val="0"/>
        <w:spacing w:val="1"/>
        <w:w w:val="98"/>
        <w:sz w:val="19"/>
        <w:szCs w:val="19"/>
        <w:lang w:val="en-US" w:eastAsia="zh-CN" w:bidi="ar-SA"/>
      </w:rPr>
    </w:lvl>
    <w:lvl w:ilvl="1" w:tentative="0">
      <w:start w:val="0"/>
      <w:numFmt w:val="bullet"/>
      <w:lvlText w:val="•"/>
      <w:lvlJc w:val="left"/>
      <w:pPr>
        <w:ind w:left="1066" w:hanging="212"/>
      </w:pPr>
      <w:rPr>
        <w:rFonts w:hint="default"/>
        <w:lang w:val="en-US" w:eastAsia="zh-CN" w:bidi="ar-SA"/>
      </w:rPr>
    </w:lvl>
    <w:lvl w:ilvl="2" w:tentative="0">
      <w:start w:val="0"/>
      <w:numFmt w:val="bullet"/>
      <w:lvlText w:val="•"/>
      <w:lvlJc w:val="left"/>
      <w:pPr>
        <w:ind w:left="1813" w:hanging="212"/>
      </w:pPr>
      <w:rPr>
        <w:rFonts w:hint="default"/>
        <w:lang w:val="en-US" w:eastAsia="zh-CN" w:bidi="ar-SA"/>
      </w:rPr>
    </w:lvl>
    <w:lvl w:ilvl="3" w:tentative="0">
      <w:start w:val="0"/>
      <w:numFmt w:val="bullet"/>
      <w:lvlText w:val="•"/>
      <w:lvlJc w:val="left"/>
      <w:pPr>
        <w:ind w:left="2560" w:hanging="212"/>
      </w:pPr>
      <w:rPr>
        <w:rFonts w:hint="default"/>
        <w:lang w:val="en-US" w:eastAsia="zh-CN" w:bidi="ar-SA"/>
      </w:rPr>
    </w:lvl>
    <w:lvl w:ilvl="4" w:tentative="0">
      <w:start w:val="0"/>
      <w:numFmt w:val="bullet"/>
      <w:lvlText w:val="•"/>
      <w:lvlJc w:val="left"/>
      <w:pPr>
        <w:ind w:left="3306" w:hanging="212"/>
      </w:pPr>
      <w:rPr>
        <w:rFonts w:hint="default"/>
        <w:lang w:val="en-US" w:eastAsia="zh-CN" w:bidi="ar-SA"/>
      </w:rPr>
    </w:lvl>
    <w:lvl w:ilvl="5" w:tentative="0">
      <w:start w:val="0"/>
      <w:numFmt w:val="bullet"/>
      <w:lvlText w:val="•"/>
      <w:lvlJc w:val="left"/>
      <w:pPr>
        <w:ind w:left="4053" w:hanging="212"/>
      </w:pPr>
      <w:rPr>
        <w:rFonts w:hint="default"/>
        <w:lang w:val="en-US" w:eastAsia="zh-CN" w:bidi="ar-SA"/>
      </w:rPr>
    </w:lvl>
    <w:lvl w:ilvl="6" w:tentative="0">
      <w:start w:val="0"/>
      <w:numFmt w:val="bullet"/>
      <w:lvlText w:val="•"/>
      <w:lvlJc w:val="left"/>
      <w:pPr>
        <w:ind w:left="4800" w:hanging="212"/>
      </w:pPr>
      <w:rPr>
        <w:rFonts w:hint="default"/>
        <w:lang w:val="en-US" w:eastAsia="zh-CN" w:bidi="ar-SA"/>
      </w:rPr>
    </w:lvl>
    <w:lvl w:ilvl="7" w:tentative="0">
      <w:start w:val="0"/>
      <w:numFmt w:val="bullet"/>
      <w:lvlText w:val="•"/>
      <w:lvlJc w:val="left"/>
      <w:pPr>
        <w:ind w:left="5546" w:hanging="212"/>
      </w:pPr>
      <w:rPr>
        <w:rFonts w:hint="default"/>
        <w:lang w:val="en-US" w:eastAsia="zh-CN" w:bidi="ar-SA"/>
      </w:rPr>
    </w:lvl>
    <w:lvl w:ilvl="8" w:tentative="0">
      <w:start w:val="0"/>
      <w:numFmt w:val="bullet"/>
      <w:lvlText w:val="•"/>
      <w:lvlJc w:val="left"/>
      <w:pPr>
        <w:ind w:left="6293" w:hanging="212"/>
      </w:pPr>
      <w:rPr>
        <w:rFonts w:hint="default"/>
        <w:lang w:val="en-US" w:eastAsia="zh-CN" w:bidi="ar-SA"/>
      </w:rPr>
    </w:lvl>
  </w:abstractNum>
  <w:abstractNum w:abstractNumId="33">
    <w:nsid w:val="0838894D"/>
    <w:multiLevelType w:val="multilevel"/>
    <w:tmpl w:val="0838894D"/>
    <w:lvl w:ilvl="0" w:tentative="0">
      <w:start w:val="1"/>
      <w:numFmt w:val="decimal"/>
      <w:lvlText w:val="%1."/>
      <w:lvlJc w:val="left"/>
      <w:pPr>
        <w:ind w:left="788" w:hanging="243"/>
        <w:jc w:val="left"/>
      </w:pPr>
      <w:rPr>
        <w:rFonts w:hint="default" w:ascii="宋体" w:hAnsi="宋体" w:eastAsia="宋体" w:cs="宋体"/>
        <w:b w:val="0"/>
        <w:bCs w:val="0"/>
        <w:i w:val="0"/>
        <w:iCs w:val="0"/>
        <w:spacing w:val="0"/>
        <w:w w:val="99"/>
        <w:sz w:val="22"/>
        <w:szCs w:val="22"/>
        <w:lang w:val="en-US" w:eastAsia="zh-CN" w:bidi="ar-SA"/>
      </w:rPr>
    </w:lvl>
    <w:lvl w:ilvl="1" w:tentative="0">
      <w:start w:val="0"/>
      <w:numFmt w:val="bullet"/>
      <w:lvlText w:val="•"/>
      <w:lvlJc w:val="left"/>
      <w:pPr>
        <w:ind w:left="1738" w:hanging="243"/>
      </w:pPr>
      <w:rPr>
        <w:rFonts w:hint="default"/>
        <w:lang w:val="en-US" w:eastAsia="zh-CN" w:bidi="ar-SA"/>
      </w:rPr>
    </w:lvl>
    <w:lvl w:ilvl="2" w:tentative="0">
      <w:start w:val="0"/>
      <w:numFmt w:val="bullet"/>
      <w:lvlText w:val="•"/>
      <w:lvlJc w:val="left"/>
      <w:pPr>
        <w:ind w:left="2697" w:hanging="243"/>
      </w:pPr>
      <w:rPr>
        <w:rFonts w:hint="default"/>
        <w:lang w:val="en-US" w:eastAsia="zh-CN" w:bidi="ar-SA"/>
      </w:rPr>
    </w:lvl>
    <w:lvl w:ilvl="3" w:tentative="0">
      <w:start w:val="0"/>
      <w:numFmt w:val="bullet"/>
      <w:lvlText w:val="•"/>
      <w:lvlJc w:val="left"/>
      <w:pPr>
        <w:ind w:left="3655" w:hanging="243"/>
      </w:pPr>
      <w:rPr>
        <w:rFonts w:hint="default"/>
        <w:lang w:val="en-US" w:eastAsia="zh-CN" w:bidi="ar-SA"/>
      </w:rPr>
    </w:lvl>
    <w:lvl w:ilvl="4" w:tentative="0">
      <w:start w:val="0"/>
      <w:numFmt w:val="bullet"/>
      <w:lvlText w:val="•"/>
      <w:lvlJc w:val="left"/>
      <w:pPr>
        <w:ind w:left="4614" w:hanging="243"/>
      </w:pPr>
      <w:rPr>
        <w:rFonts w:hint="default"/>
        <w:lang w:val="en-US" w:eastAsia="zh-CN" w:bidi="ar-SA"/>
      </w:rPr>
    </w:lvl>
    <w:lvl w:ilvl="5" w:tentative="0">
      <w:start w:val="0"/>
      <w:numFmt w:val="bullet"/>
      <w:lvlText w:val="•"/>
      <w:lvlJc w:val="left"/>
      <w:pPr>
        <w:ind w:left="5573" w:hanging="243"/>
      </w:pPr>
      <w:rPr>
        <w:rFonts w:hint="default"/>
        <w:lang w:val="en-US" w:eastAsia="zh-CN" w:bidi="ar-SA"/>
      </w:rPr>
    </w:lvl>
    <w:lvl w:ilvl="6" w:tentative="0">
      <w:start w:val="0"/>
      <w:numFmt w:val="bullet"/>
      <w:lvlText w:val="•"/>
      <w:lvlJc w:val="left"/>
      <w:pPr>
        <w:ind w:left="6531" w:hanging="243"/>
      </w:pPr>
      <w:rPr>
        <w:rFonts w:hint="default"/>
        <w:lang w:val="en-US" w:eastAsia="zh-CN" w:bidi="ar-SA"/>
      </w:rPr>
    </w:lvl>
    <w:lvl w:ilvl="7" w:tentative="0">
      <w:start w:val="0"/>
      <w:numFmt w:val="bullet"/>
      <w:lvlText w:val="•"/>
      <w:lvlJc w:val="left"/>
      <w:pPr>
        <w:ind w:left="7490" w:hanging="243"/>
      </w:pPr>
      <w:rPr>
        <w:rFonts w:hint="default"/>
        <w:lang w:val="en-US" w:eastAsia="zh-CN" w:bidi="ar-SA"/>
      </w:rPr>
    </w:lvl>
    <w:lvl w:ilvl="8" w:tentative="0">
      <w:start w:val="0"/>
      <w:numFmt w:val="bullet"/>
      <w:lvlText w:val="•"/>
      <w:lvlJc w:val="left"/>
      <w:pPr>
        <w:ind w:left="8448" w:hanging="243"/>
      </w:pPr>
      <w:rPr>
        <w:rFonts w:hint="default"/>
        <w:lang w:val="en-US" w:eastAsia="zh-CN" w:bidi="ar-SA"/>
      </w:rPr>
    </w:lvl>
  </w:abstractNum>
  <w:abstractNum w:abstractNumId="34">
    <w:nsid w:val="0B52B845"/>
    <w:multiLevelType w:val="multilevel"/>
    <w:tmpl w:val="0B52B845"/>
    <w:lvl w:ilvl="0" w:tentative="0">
      <w:start w:val="1"/>
      <w:numFmt w:val="decimal"/>
      <w:lvlText w:val="%1."/>
      <w:lvlJc w:val="left"/>
      <w:pPr>
        <w:ind w:left="812" w:hanging="248"/>
        <w:jc w:val="left"/>
      </w:pPr>
      <w:rPr>
        <w:rFonts w:hint="default" w:ascii="宋体" w:hAnsi="宋体" w:eastAsia="宋体" w:cs="宋体"/>
        <w:b/>
        <w:bCs/>
        <w:i w:val="0"/>
        <w:iCs w:val="0"/>
        <w:spacing w:val="0"/>
        <w:w w:val="100"/>
        <w:sz w:val="22"/>
        <w:szCs w:val="22"/>
        <w:lang w:val="en-US" w:eastAsia="zh-CN" w:bidi="ar-SA"/>
      </w:rPr>
    </w:lvl>
    <w:lvl w:ilvl="1" w:tentative="0">
      <w:start w:val="0"/>
      <w:numFmt w:val="bullet"/>
      <w:lvlText w:val="•"/>
      <w:lvlJc w:val="left"/>
      <w:pPr>
        <w:ind w:left="1774" w:hanging="248"/>
      </w:pPr>
      <w:rPr>
        <w:rFonts w:hint="default"/>
        <w:lang w:val="en-US" w:eastAsia="zh-CN" w:bidi="ar-SA"/>
      </w:rPr>
    </w:lvl>
    <w:lvl w:ilvl="2" w:tentative="0">
      <w:start w:val="0"/>
      <w:numFmt w:val="bullet"/>
      <w:lvlText w:val="•"/>
      <w:lvlJc w:val="left"/>
      <w:pPr>
        <w:ind w:left="2729" w:hanging="248"/>
      </w:pPr>
      <w:rPr>
        <w:rFonts w:hint="default"/>
        <w:lang w:val="en-US" w:eastAsia="zh-CN" w:bidi="ar-SA"/>
      </w:rPr>
    </w:lvl>
    <w:lvl w:ilvl="3" w:tentative="0">
      <w:start w:val="0"/>
      <w:numFmt w:val="bullet"/>
      <w:lvlText w:val="•"/>
      <w:lvlJc w:val="left"/>
      <w:pPr>
        <w:ind w:left="3683" w:hanging="248"/>
      </w:pPr>
      <w:rPr>
        <w:rFonts w:hint="default"/>
        <w:lang w:val="en-US" w:eastAsia="zh-CN" w:bidi="ar-SA"/>
      </w:rPr>
    </w:lvl>
    <w:lvl w:ilvl="4" w:tentative="0">
      <w:start w:val="0"/>
      <w:numFmt w:val="bullet"/>
      <w:lvlText w:val="•"/>
      <w:lvlJc w:val="left"/>
      <w:pPr>
        <w:ind w:left="4638" w:hanging="248"/>
      </w:pPr>
      <w:rPr>
        <w:rFonts w:hint="default"/>
        <w:lang w:val="en-US" w:eastAsia="zh-CN" w:bidi="ar-SA"/>
      </w:rPr>
    </w:lvl>
    <w:lvl w:ilvl="5" w:tentative="0">
      <w:start w:val="0"/>
      <w:numFmt w:val="bullet"/>
      <w:lvlText w:val="•"/>
      <w:lvlJc w:val="left"/>
      <w:pPr>
        <w:ind w:left="5593" w:hanging="248"/>
      </w:pPr>
      <w:rPr>
        <w:rFonts w:hint="default"/>
        <w:lang w:val="en-US" w:eastAsia="zh-CN" w:bidi="ar-SA"/>
      </w:rPr>
    </w:lvl>
    <w:lvl w:ilvl="6" w:tentative="0">
      <w:start w:val="0"/>
      <w:numFmt w:val="bullet"/>
      <w:lvlText w:val="•"/>
      <w:lvlJc w:val="left"/>
      <w:pPr>
        <w:ind w:left="6547" w:hanging="248"/>
      </w:pPr>
      <w:rPr>
        <w:rFonts w:hint="default"/>
        <w:lang w:val="en-US" w:eastAsia="zh-CN" w:bidi="ar-SA"/>
      </w:rPr>
    </w:lvl>
    <w:lvl w:ilvl="7" w:tentative="0">
      <w:start w:val="0"/>
      <w:numFmt w:val="bullet"/>
      <w:lvlText w:val="•"/>
      <w:lvlJc w:val="left"/>
      <w:pPr>
        <w:ind w:left="7502" w:hanging="248"/>
      </w:pPr>
      <w:rPr>
        <w:rFonts w:hint="default"/>
        <w:lang w:val="en-US" w:eastAsia="zh-CN" w:bidi="ar-SA"/>
      </w:rPr>
    </w:lvl>
    <w:lvl w:ilvl="8" w:tentative="0">
      <w:start w:val="0"/>
      <w:numFmt w:val="bullet"/>
      <w:lvlText w:val="•"/>
      <w:lvlJc w:val="left"/>
      <w:pPr>
        <w:ind w:left="8456" w:hanging="248"/>
      </w:pPr>
      <w:rPr>
        <w:rFonts w:hint="default"/>
        <w:lang w:val="en-US" w:eastAsia="zh-CN" w:bidi="ar-SA"/>
      </w:rPr>
    </w:lvl>
  </w:abstractNum>
  <w:abstractNum w:abstractNumId="35">
    <w:nsid w:val="0CFC58E1"/>
    <w:multiLevelType w:val="multilevel"/>
    <w:tmpl w:val="0CFC58E1"/>
    <w:lvl w:ilvl="0" w:tentative="0">
      <w:start w:val="1"/>
      <w:numFmt w:val="decimal"/>
      <w:lvlText w:val="（%1）"/>
      <w:lvlJc w:val="left"/>
      <w:pPr>
        <w:ind w:left="1733" w:hanging="525"/>
        <w:jc w:val="left"/>
      </w:pPr>
      <w:rPr>
        <w:rFonts w:hint="default" w:ascii="宋体" w:hAnsi="宋体" w:eastAsia="宋体" w:cs="宋体"/>
        <w:b w:val="0"/>
        <w:bCs w:val="0"/>
        <w:i w:val="0"/>
        <w:iCs w:val="0"/>
        <w:spacing w:val="-1"/>
        <w:w w:val="99"/>
        <w:sz w:val="19"/>
        <w:szCs w:val="19"/>
        <w:lang w:val="en-US" w:eastAsia="zh-CN" w:bidi="ar-SA"/>
      </w:rPr>
    </w:lvl>
    <w:lvl w:ilvl="1" w:tentative="0">
      <w:start w:val="0"/>
      <w:numFmt w:val="bullet"/>
      <w:lvlText w:val="•"/>
      <w:lvlJc w:val="left"/>
      <w:pPr>
        <w:ind w:left="2602" w:hanging="525"/>
      </w:pPr>
      <w:rPr>
        <w:rFonts w:hint="default"/>
        <w:lang w:val="en-US" w:eastAsia="zh-CN" w:bidi="ar-SA"/>
      </w:rPr>
    </w:lvl>
    <w:lvl w:ilvl="2" w:tentative="0">
      <w:start w:val="0"/>
      <w:numFmt w:val="bullet"/>
      <w:lvlText w:val="•"/>
      <w:lvlJc w:val="left"/>
      <w:pPr>
        <w:ind w:left="3465" w:hanging="525"/>
      </w:pPr>
      <w:rPr>
        <w:rFonts w:hint="default"/>
        <w:lang w:val="en-US" w:eastAsia="zh-CN" w:bidi="ar-SA"/>
      </w:rPr>
    </w:lvl>
    <w:lvl w:ilvl="3" w:tentative="0">
      <w:start w:val="0"/>
      <w:numFmt w:val="bullet"/>
      <w:lvlText w:val="•"/>
      <w:lvlJc w:val="left"/>
      <w:pPr>
        <w:ind w:left="4327" w:hanging="525"/>
      </w:pPr>
      <w:rPr>
        <w:rFonts w:hint="default"/>
        <w:lang w:val="en-US" w:eastAsia="zh-CN" w:bidi="ar-SA"/>
      </w:rPr>
    </w:lvl>
    <w:lvl w:ilvl="4" w:tentative="0">
      <w:start w:val="0"/>
      <w:numFmt w:val="bullet"/>
      <w:lvlText w:val="•"/>
      <w:lvlJc w:val="left"/>
      <w:pPr>
        <w:ind w:left="5190" w:hanging="525"/>
      </w:pPr>
      <w:rPr>
        <w:rFonts w:hint="default"/>
        <w:lang w:val="en-US" w:eastAsia="zh-CN" w:bidi="ar-SA"/>
      </w:rPr>
    </w:lvl>
    <w:lvl w:ilvl="5" w:tentative="0">
      <w:start w:val="0"/>
      <w:numFmt w:val="bullet"/>
      <w:lvlText w:val="•"/>
      <w:lvlJc w:val="left"/>
      <w:pPr>
        <w:ind w:left="6053" w:hanging="525"/>
      </w:pPr>
      <w:rPr>
        <w:rFonts w:hint="default"/>
        <w:lang w:val="en-US" w:eastAsia="zh-CN" w:bidi="ar-SA"/>
      </w:rPr>
    </w:lvl>
    <w:lvl w:ilvl="6" w:tentative="0">
      <w:start w:val="0"/>
      <w:numFmt w:val="bullet"/>
      <w:lvlText w:val="•"/>
      <w:lvlJc w:val="left"/>
      <w:pPr>
        <w:ind w:left="6915" w:hanging="525"/>
      </w:pPr>
      <w:rPr>
        <w:rFonts w:hint="default"/>
        <w:lang w:val="en-US" w:eastAsia="zh-CN" w:bidi="ar-SA"/>
      </w:rPr>
    </w:lvl>
    <w:lvl w:ilvl="7" w:tentative="0">
      <w:start w:val="0"/>
      <w:numFmt w:val="bullet"/>
      <w:lvlText w:val="•"/>
      <w:lvlJc w:val="left"/>
      <w:pPr>
        <w:ind w:left="7778" w:hanging="525"/>
      </w:pPr>
      <w:rPr>
        <w:rFonts w:hint="default"/>
        <w:lang w:val="en-US" w:eastAsia="zh-CN" w:bidi="ar-SA"/>
      </w:rPr>
    </w:lvl>
    <w:lvl w:ilvl="8" w:tentative="0">
      <w:start w:val="0"/>
      <w:numFmt w:val="bullet"/>
      <w:lvlText w:val="•"/>
      <w:lvlJc w:val="left"/>
      <w:pPr>
        <w:ind w:left="8640" w:hanging="525"/>
      </w:pPr>
      <w:rPr>
        <w:rFonts w:hint="default"/>
        <w:lang w:val="en-US" w:eastAsia="zh-CN" w:bidi="ar-SA"/>
      </w:rPr>
    </w:lvl>
  </w:abstractNum>
  <w:abstractNum w:abstractNumId="36">
    <w:nsid w:val="0D024827"/>
    <w:multiLevelType w:val="multilevel"/>
    <w:tmpl w:val="0D024827"/>
    <w:lvl w:ilvl="0" w:tentative="0">
      <w:start w:val="1"/>
      <w:numFmt w:val="decimal"/>
      <w:lvlText w:val="%1."/>
      <w:lvlJc w:val="left"/>
      <w:pPr>
        <w:ind w:left="1409" w:hanging="241"/>
        <w:jc w:val="left"/>
      </w:pPr>
      <w:rPr>
        <w:rFonts w:hint="default" w:ascii="宋体" w:hAnsi="宋体" w:eastAsia="宋体" w:cs="宋体"/>
        <w:b/>
        <w:bCs/>
        <w:i w:val="0"/>
        <w:iCs w:val="0"/>
        <w:spacing w:val="0"/>
        <w:w w:val="100"/>
        <w:sz w:val="22"/>
        <w:szCs w:val="22"/>
        <w:lang w:val="en-US" w:eastAsia="zh-CN" w:bidi="ar-SA"/>
      </w:rPr>
    </w:lvl>
    <w:lvl w:ilvl="1" w:tentative="0">
      <w:start w:val="0"/>
      <w:numFmt w:val="bullet"/>
      <w:lvlText w:val="•"/>
      <w:lvlJc w:val="left"/>
      <w:pPr>
        <w:ind w:left="2296" w:hanging="241"/>
      </w:pPr>
      <w:rPr>
        <w:rFonts w:hint="default"/>
        <w:lang w:val="en-US" w:eastAsia="zh-CN" w:bidi="ar-SA"/>
      </w:rPr>
    </w:lvl>
    <w:lvl w:ilvl="2" w:tentative="0">
      <w:start w:val="0"/>
      <w:numFmt w:val="bullet"/>
      <w:lvlText w:val="•"/>
      <w:lvlJc w:val="left"/>
      <w:pPr>
        <w:ind w:left="3193" w:hanging="241"/>
      </w:pPr>
      <w:rPr>
        <w:rFonts w:hint="default"/>
        <w:lang w:val="en-US" w:eastAsia="zh-CN" w:bidi="ar-SA"/>
      </w:rPr>
    </w:lvl>
    <w:lvl w:ilvl="3" w:tentative="0">
      <w:start w:val="0"/>
      <w:numFmt w:val="bullet"/>
      <w:lvlText w:val="•"/>
      <w:lvlJc w:val="left"/>
      <w:pPr>
        <w:ind w:left="4089" w:hanging="241"/>
      </w:pPr>
      <w:rPr>
        <w:rFonts w:hint="default"/>
        <w:lang w:val="en-US" w:eastAsia="zh-CN" w:bidi="ar-SA"/>
      </w:rPr>
    </w:lvl>
    <w:lvl w:ilvl="4" w:tentative="0">
      <w:start w:val="0"/>
      <w:numFmt w:val="bullet"/>
      <w:lvlText w:val="•"/>
      <w:lvlJc w:val="left"/>
      <w:pPr>
        <w:ind w:left="4986" w:hanging="241"/>
      </w:pPr>
      <w:rPr>
        <w:rFonts w:hint="default"/>
        <w:lang w:val="en-US" w:eastAsia="zh-CN" w:bidi="ar-SA"/>
      </w:rPr>
    </w:lvl>
    <w:lvl w:ilvl="5" w:tentative="0">
      <w:start w:val="0"/>
      <w:numFmt w:val="bullet"/>
      <w:lvlText w:val="•"/>
      <w:lvlJc w:val="left"/>
      <w:pPr>
        <w:ind w:left="5883" w:hanging="241"/>
      </w:pPr>
      <w:rPr>
        <w:rFonts w:hint="default"/>
        <w:lang w:val="en-US" w:eastAsia="zh-CN" w:bidi="ar-SA"/>
      </w:rPr>
    </w:lvl>
    <w:lvl w:ilvl="6" w:tentative="0">
      <w:start w:val="0"/>
      <w:numFmt w:val="bullet"/>
      <w:lvlText w:val="•"/>
      <w:lvlJc w:val="left"/>
      <w:pPr>
        <w:ind w:left="6779" w:hanging="241"/>
      </w:pPr>
      <w:rPr>
        <w:rFonts w:hint="default"/>
        <w:lang w:val="en-US" w:eastAsia="zh-CN" w:bidi="ar-SA"/>
      </w:rPr>
    </w:lvl>
    <w:lvl w:ilvl="7" w:tentative="0">
      <w:start w:val="0"/>
      <w:numFmt w:val="bullet"/>
      <w:lvlText w:val="•"/>
      <w:lvlJc w:val="left"/>
      <w:pPr>
        <w:ind w:left="7676" w:hanging="241"/>
      </w:pPr>
      <w:rPr>
        <w:rFonts w:hint="default"/>
        <w:lang w:val="en-US" w:eastAsia="zh-CN" w:bidi="ar-SA"/>
      </w:rPr>
    </w:lvl>
    <w:lvl w:ilvl="8" w:tentative="0">
      <w:start w:val="0"/>
      <w:numFmt w:val="bullet"/>
      <w:lvlText w:val="•"/>
      <w:lvlJc w:val="left"/>
      <w:pPr>
        <w:ind w:left="8572" w:hanging="241"/>
      </w:pPr>
      <w:rPr>
        <w:rFonts w:hint="default"/>
        <w:lang w:val="en-US" w:eastAsia="zh-CN" w:bidi="ar-SA"/>
      </w:rPr>
    </w:lvl>
  </w:abstractNum>
  <w:abstractNum w:abstractNumId="37">
    <w:nsid w:val="0EC80D97"/>
    <w:multiLevelType w:val="multilevel"/>
    <w:tmpl w:val="0EC80D97"/>
    <w:lvl w:ilvl="0" w:tentative="0">
      <w:start w:val="1"/>
      <w:numFmt w:val="decimal"/>
      <w:lvlText w:val="（%1）"/>
      <w:lvlJc w:val="left"/>
      <w:pPr>
        <w:ind w:left="788" w:hanging="525"/>
        <w:jc w:val="left"/>
      </w:pPr>
      <w:rPr>
        <w:rFonts w:hint="default" w:ascii="宋体" w:hAnsi="宋体" w:eastAsia="宋体" w:cs="宋体"/>
        <w:b w:val="0"/>
        <w:bCs w:val="0"/>
        <w:i w:val="0"/>
        <w:iCs w:val="0"/>
        <w:spacing w:val="-1"/>
        <w:w w:val="99"/>
        <w:sz w:val="19"/>
        <w:szCs w:val="19"/>
        <w:lang w:val="en-US" w:eastAsia="zh-CN" w:bidi="ar-SA"/>
      </w:rPr>
    </w:lvl>
    <w:lvl w:ilvl="1" w:tentative="0">
      <w:start w:val="0"/>
      <w:numFmt w:val="bullet"/>
      <w:lvlText w:val="•"/>
      <w:lvlJc w:val="left"/>
      <w:pPr>
        <w:ind w:left="1738" w:hanging="525"/>
      </w:pPr>
      <w:rPr>
        <w:rFonts w:hint="default"/>
        <w:lang w:val="en-US" w:eastAsia="zh-CN" w:bidi="ar-SA"/>
      </w:rPr>
    </w:lvl>
    <w:lvl w:ilvl="2" w:tentative="0">
      <w:start w:val="0"/>
      <w:numFmt w:val="bullet"/>
      <w:lvlText w:val="•"/>
      <w:lvlJc w:val="left"/>
      <w:pPr>
        <w:ind w:left="2697" w:hanging="525"/>
      </w:pPr>
      <w:rPr>
        <w:rFonts w:hint="default"/>
        <w:lang w:val="en-US" w:eastAsia="zh-CN" w:bidi="ar-SA"/>
      </w:rPr>
    </w:lvl>
    <w:lvl w:ilvl="3" w:tentative="0">
      <w:start w:val="0"/>
      <w:numFmt w:val="bullet"/>
      <w:lvlText w:val="•"/>
      <w:lvlJc w:val="left"/>
      <w:pPr>
        <w:ind w:left="3655" w:hanging="525"/>
      </w:pPr>
      <w:rPr>
        <w:rFonts w:hint="default"/>
        <w:lang w:val="en-US" w:eastAsia="zh-CN" w:bidi="ar-SA"/>
      </w:rPr>
    </w:lvl>
    <w:lvl w:ilvl="4" w:tentative="0">
      <w:start w:val="0"/>
      <w:numFmt w:val="bullet"/>
      <w:lvlText w:val="•"/>
      <w:lvlJc w:val="left"/>
      <w:pPr>
        <w:ind w:left="4614" w:hanging="525"/>
      </w:pPr>
      <w:rPr>
        <w:rFonts w:hint="default"/>
        <w:lang w:val="en-US" w:eastAsia="zh-CN" w:bidi="ar-SA"/>
      </w:rPr>
    </w:lvl>
    <w:lvl w:ilvl="5" w:tentative="0">
      <w:start w:val="0"/>
      <w:numFmt w:val="bullet"/>
      <w:lvlText w:val="•"/>
      <w:lvlJc w:val="left"/>
      <w:pPr>
        <w:ind w:left="5573" w:hanging="525"/>
      </w:pPr>
      <w:rPr>
        <w:rFonts w:hint="default"/>
        <w:lang w:val="en-US" w:eastAsia="zh-CN" w:bidi="ar-SA"/>
      </w:rPr>
    </w:lvl>
    <w:lvl w:ilvl="6" w:tentative="0">
      <w:start w:val="0"/>
      <w:numFmt w:val="bullet"/>
      <w:lvlText w:val="•"/>
      <w:lvlJc w:val="left"/>
      <w:pPr>
        <w:ind w:left="6531" w:hanging="525"/>
      </w:pPr>
      <w:rPr>
        <w:rFonts w:hint="default"/>
        <w:lang w:val="en-US" w:eastAsia="zh-CN" w:bidi="ar-SA"/>
      </w:rPr>
    </w:lvl>
    <w:lvl w:ilvl="7" w:tentative="0">
      <w:start w:val="0"/>
      <w:numFmt w:val="bullet"/>
      <w:lvlText w:val="•"/>
      <w:lvlJc w:val="left"/>
      <w:pPr>
        <w:ind w:left="7490" w:hanging="525"/>
      </w:pPr>
      <w:rPr>
        <w:rFonts w:hint="default"/>
        <w:lang w:val="en-US" w:eastAsia="zh-CN" w:bidi="ar-SA"/>
      </w:rPr>
    </w:lvl>
    <w:lvl w:ilvl="8" w:tentative="0">
      <w:start w:val="0"/>
      <w:numFmt w:val="bullet"/>
      <w:lvlText w:val="•"/>
      <w:lvlJc w:val="left"/>
      <w:pPr>
        <w:ind w:left="8448" w:hanging="525"/>
      </w:pPr>
      <w:rPr>
        <w:rFonts w:hint="default"/>
        <w:lang w:val="en-US" w:eastAsia="zh-CN" w:bidi="ar-SA"/>
      </w:rPr>
    </w:lvl>
  </w:abstractNum>
  <w:abstractNum w:abstractNumId="38">
    <w:nsid w:val="0F765062"/>
    <w:multiLevelType w:val="multilevel"/>
    <w:tmpl w:val="0F765062"/>
    <w:lvl w:ilvl="0" w:tentative="0">
      <w:start w:val="1"/>
      <w:numFmt w:val="decimal"/>
      <w:lvlText w:val="（%1）"/>
      <w:lvlJc w:val="left"/>
      <w:pPr>
        <w:ind w:left="788" w:hanging="525"/>
        <w:jc w:val="left"/>
      </w:pPr>
      <w:rPr>
        <w:rFonts w:hint="default" w:ascii="宋体" w:hAnsi="宋体" w:eastAsia="宋体" w:cs="宋体"/>
        <w:b w:val="0"/>
        <w:bCs w:val="0"/>
        <w:i w:val="0"/>
        <w:iCs w:val="0"/>
        <w:spacing w:val="-1"/>
        <w:w w:val="99"/>
        <w:sz w:val="19"/>
        <w:szCs w:val="19"/>
        <w:lang w:val="en-US" w:eastAsia="zh-CN" w:bidi="ar-SA"/>
      </w:rPr>
    </w:lvl>
    <w:lvl w:ilvl="1" w:tentative="0">
      <w:start w:val="0"/>
      <w:numFmt w:val="bullet"/>
      <w:lvlText w:val="•"/>
      <w:lvlJc w:val="left"/>
      <w:pPr>
        <w:ind w:left="1738" w:hanging="525"/>
      </w:pPr>
      <w:rPr>
        <w:rFonts w:hint="default"/>
        <w:lang w:val="en-US" w:eastAsia="zh-CN" w:bidi="ar-SA"/>
      </w:rPr>
    </w:lvl>
    <w:lvl w:ilvl="2" w:tentative="0">
      <w:start w:val="0"/>
      <w:numFmt w:val="bullet"/>
      <w:lvlText w:val="•"/>
      <w:lvlJc w:val="left"/>
      <w:pPr>
        <w:ind w:left="2697" w:hanging="525"/>
      </w:pPr>
      <w:rPr>
        <w:rFonts w:hint="default"/>
        <w:lang w:val="en-US" w:eastAsia="zh-CN" w:bidi="ar-SA"/>
      </w:rPr>
    </w:lvl>
    <w:lvl w:ilvl="3" w:tentative="0">
      <w:start w:val="0"/>
      <w:numFmt w:val="bullet"/>
      <w:lvlText w:val="•"/>
      <w:lvlJc w:val="left"/>
      <w:pPr>
        <w:ind w:left="3655" w:hanging="525"/>
      </w:pPr>
      <w:rPr>
        <w:rFonts w:hint="default"/>
        <w:lang w:val="en-US" w:eastAsia="zh-CN" w:bidi="ar-SA"/>
      </w:rPr>
    </w:lvl>
    <w:lvl w:ilvl="4" w:tentative="0">
      <w:start w:val="0"/>
      <w:numFmt w:val="bullet"/>
      <w:lvlText w:val="•"/>
      <w:lvlJc w:val="left"/>
      <w:pPr>
        <w:ind w:left="4614" w:hanging="525"/>
      </w:pPr>
      <w:rPr>
        <w:rFonts w:hint="default"/>
        <w:lang w:val="en-US" w:eastAsia="zh-CN" w:bidi="ar-SA"/>
      </w:rPr>
    </w:lvl>
    <w:lvl w:ilvl="5" w:tentative="0">
      <w:start w:val="0"/>
      <w:numFmt w:val="bullet"/>
      <w:lvlText w:val="•"/>
      <w:lvlJc w:val="left"/>
      <w:pPr>
        <w:ind w:left="5573" w:hanging="525"/>
      </w:pPr>
      <w:rPr>
        <w:rFonts w:hint="default"/>
        <w:lang w:val="en-US" w:eastAsia="zh-CN" w:bidi="ar-SA"/>
      </w:rPr>
    </w:lvl>
    <w:lvl w:ilvl="6" w:tentative="0">
      <w:start w:val="0"/>
      <w:numFmt w:val="bullet"/>
      <w:lvlText w:val="•"/>
      <w:lvlJc w:val="left"/>
      <w:pPr>
        <w:ind w:left="6531" w:hanging="525"/>
      </w:pPr>
      <w:rPr>
        <w:rFonts w:hint="default"/>
        <w:lang w:val="en-US" w:eastAsia="zh-CN" w:bidi="ar-SA"/>
      </w:rPr>
    </w:lvl>
    <w:lvl w:ilvl="7" w:tentative="0">
      <w:start w:val="0"/>
      <w:numFmt w:val="bullet"/>
      <w:lvlText w:val="•"/>
      <w:lvlJc w:val="left"/>
      <w:pPr>
        <w:ind w:left="7490" w:hanging="525"/>
      </w:pPr>
      <w:rPr>
        <w:rFonts w:hint="default"/>
        <w:lang w:val="en-US" w:eastAsia="zh-CN" w:bidi="ar-SA"/>
      </w:rPr>
    </w:lvl>
    <w:lvl w:ilvl="8" w:tentative="0">
      <w:start w:val="0"/>
      <w:numFmt w:val="bullet"/>
      <w:lvlText w:val="•"/>
      <w:lvlJc w:val="left"/>
      <w:pPr>
        <w:ind w:left="8448" w:hanging="525"/>
      </w:pPr>
      <w:rPr>
        <w:rFonts w:hint="default"/>
        <w:lang w:val="en-US" w:eastAsia="zh-CN" w:bidi="ar-SA"/>
      </w:rPr>
    </w:lvl>
  </w:abstractNum>
  <w:abstractNum w:abstractNumId="39">
    <w:nsid w:val="1083E34D"/>
    <w:multiLevelType w:val="multilevel"/>
    <w:tmpl w:val="1083E34D"/>
    <w:lvl w:ilvl="0" w:tentative="0">
      <w:start w:val="5"/>
      <w:numFmt w:val="decimal"/>
      <w:lvlText w:val="%1."/>
      <w:lvlJc w:val="left"/>
      <w:pPr>
        <w:ind w:left="317" w:hanging="212"/>
        <w:jc w:val="left"/>
      </w:pPr>
      <w:rPr>
        <w:rFonts w:hint="default" w:ascii="宋体" w:hAnsi="宋体" w:eastAsia="宋体" w:cs="宋体"/>
        <w:b w:val="0"/>
        <w:bCs w:val="0"/>
        <w:i w:val="0"/>
        <w:iCs w:val="0"/>
        <w:spacing w:val="1"/>
        <w:w w:val="98"/>
        <w:sz w:val="19"/>
        <w:szCs w:val="19"/>
        <w:lang w:val="en-US" w:eastAsia="zh-CN" w:bidi="ar-SA"/>
      </w:rPr>
    </w:lvl>
    <w:lvl w:ilvl="1" w:tentative="0">
      <w:start w:val="0"/>
      <w:numFmt w:val="bullet"/>
      <w:lvlText w:val="•"/>
      <w:lvlJc w:val="left"/>
      <w:pPr>
        <w:ind w:left="1078" w:hanging="212"/>
      </w:pPr>
      <w:rPr>
        <w:rFonts w:hint="default"/>
        <w:lang w:val="en-US" w:eastAsia="zh-CN" w:bidi="ar-SA"/>
      </w:rPr>
    </w:lvl>
    <w:lvl w:ilvl="2" w:tentative="0">
      <w:start w:val="0"/>
      <w:numFmt w:val="bullet"/>
      <w:lvlText w:val="•"/>
      <w:lvlJc w:val="left"/>
      <w:pPr>
        <w:ind w:left="1836" w:hanging="212"/>
      </w:pPr>
      <w:rPr>
        <w:rFonts w:hint="default"/>
        <w:lang w:val="en-US" w:eastAsia="zh-CN" w:bidi="ar-SA"/>
      </w:rPr>
    </w:lvl>
    <w:lvl w:ilvl="3" w:tentative="0">
      <w:start w:val="0"/>
      <w:numFmt w:val="bullet"/>
      <w:lvlText w:val="•"/>
      <w:lvlJc w:val="left"/>
      <w:pPr>
        <w:ind w:left="2594" w:hanging="212"/>
      </w:pPr>
      <w:rPr>
        <w:rFonts w:hint="default"/>
        <w:lang w:val="en-US" w:eastAsia="zh-CN" w:bidi="ar-SA"/>
      </w:rPr>
    </w:lvl>
    <w:lvl w:ilvl="4" w:tentative="0">
      <w:start w:val="0"/>
      <w:numFmt w:val="bullet"/>
      <w:lvlText w:val="•"/>
      <w:lvlJc w:val="left"/>
      <w:pPr>
        <w:ind w:left="3352" w:hanging="212"/>
      </w:pPr>
      <w:rPr>
        <w:rFonts w:hint="default"/>
        <w:lang w:val="en-US" w:eastAsia="zh-CN" w:bidi="ar-SA"/>
      </w:rPr>
    </w:lvl>
    <w:lvl w:ilvl="5" w:tentative="0">
      <w:start w:val="0"/>
      <w:numFmt w:val="bullet"/>
      <w:lvlText w:val="•"/>
      <w:lvlJc w:val="left"/>
      <w:pPr>
        <w:ind w:left="4111" w:hanging="212"/>
      </w:pPr>
      <w:rPr>
        <w:rFonts w:hint="default"/>
        <w:lang w:val="en-US" w:eastAsia="zh-CN" w:bidi="ar-SA"/>
      </w:rPr>
    </w:lvl>
    <w:lvl w:ilvl="6" w:tentative="0">
      <w:start w:val="0"/>
      <w:numFmt w:val="bullet"/>
      <w:lvlText w:val="•"/>
      <w:lvlJc w:val="left"/>
      <w:pPr>
        <w:ind w:left="4869" w:hanging="212"/>
      </w:pPr>
      <w:rPr>
        <w:rFonts w:hint="default"/>
        <w:lang w:val="en-US" w:eastAsia="zh-CN" w:bidi="ar-SA"/>
      </w:rPr>
    </w:lvl>
    <w:lvl w:ilvl="7" w:tentative="0">
      <w:start w:val="0"/>
      <w:numFmt w:val="bullet"/>
      <w:lvlText w:val="•"/>
      <w:lvlJc w:val="left"/>
      <w:pPr>
        <w:ind w:left="5627" w:hanging="212"/>
      </w:pPr>
      <w:rPr>
        <w:rFonts w:hint="default"/>
        <w:lang w:val="en-US" w:eastAsia="zh-CN" w:bidi="ar-SA"/>
      </w:rPr>
    </w:lvl>
    <w:lvl w:ilvl="8" w:tentative="0">
      <w:start w:val="0"/>
      <w:numFmt w:val="bullet"/>
      <w:lvlText w:val="•"/>
      <w:lvlJc w:val="left"/>
      <w:pPr>
        <w:ind w:left="6385" w:hanging="212"/>
      </w:pPr>
      <w:rPr>
        <w:rFonts w:hint="default"/>
        <w:lang w:val="en-US" w:eastAsia="zh-CN" w:bidi="ar-SA"/>
      </w:rPr>
    </w:lvl>
  </w:abstractNum>
  <w:abstractNum w:abstractNumId="40">
    <w:nsid w:val="13D20259"/>
    <w:multiLevelType w:val="multilevel"/>
    <w:tmpl w:val="13D20259"/>
    <w:lvl w:ilvl="0" w:tentative="0">
      <w:start w:val="1"/>
      <w:numFmt w:val="decimal"/>
      <w:lvlText w:val="%1."/>
      <w:lvlJc w:val="left"/>
      <w:pPr>
        <w:ind w:left="1512" w:hanging="244"/>
        <w:jc w:val="left"/>
      </w:pPr>
      <w:rPr>
        <w:rFonts w:hint="default" w:ascii="黑体" w:hAnsi="黑体" w:eastAsia="黑体" w:cs="黑体"/>
        <w:b/>
        <w:bCs/>
        <w:i w:val="0"/>
        <w:iCs w:val="0"/>
        <w:spacing w:val="-1"/>
        <w:w w:val="100"/>
        <w:sz w:val="22"/>
        <w:szCs w:val="22"/>
        <w:lang w:val="en-US" w:eastAsia="zh-CN" w:bidi="ar-SA"/>
      </w:rPr>
    </w:lvl>
    <w:lvl w:ilvl="1" w:tentative="0">
      <w:start w:val="1"/>
      <w:numFmt w:val="decimal"/>
      <w:lvlText w:val="%1.%2"/>
      <w:lvlJc w:val="left"/>
      <w:pPr>
        <w:ind w:left="1679" w:hanging="471"/>
        <w:jc w:val="left"/>
      </w:pPr>
      <w:rPr>
        <w:rFonts w:hint="default"/>
        <w:spacing w:val="-2"/>
        <w:w w:val="99"/>
        <w:lang w:val="en-US" w:eastAsia="zh-CN" w:bidi="ar-SA"/>
      </w:rPr>
    </w:lvl>
    <w:lvl w:ilvl="2" w:tentative="0">
      <w:start w:val="1"/>
      <w:numFmt w:val="decimal"/>
      <w:lvlText w:val="%1.%2.%3"/>
      <w:lvlJc w:val="left"/>
      <w:pPr>
        <w:ind w:left="1890" w:hanging="471"/>
        <w:jc w:val="left"/>
      </w:pPr>
      <w:rPr>
        <w:rFonts w:hint="default" w:ascii="宋体" w:hAnsi="宋体" w:eastAsia="宋体" w:cs="宋体"/>
        <w:b w:val="0"/>
        <w:bCs w:val="0"/>
        <w:i w:val="0"/>
        <w:iCs w:val="0"/>
        <w:spacing w:val="-2"/>
        <w:w w:val="99"/>
        <w:sz w:val="21"/>
        <w:szCs w:val="21"/>
        <w:lang w:val="en-US" w:eastAsia="zh-CN" w:bidi="ar-SA"/>
      </w:rPr>
    </w:lvl>
    <w:lvl w:ilvl="3" w:tentative="0">
      <w:start w:val="0"/>
      <w:numFmt w:val="bullet"/>
      <w:lvlText w:val="•"/>
      <w:lvlJc w:val="left"/>
      <w:pPr>
        <w:ind w:left="1680" w:hanging="471"/>
      </w:pPr>
      <w:rPr>
        <w:rFonts w:hint="default"/>
        <w:lang w:val="en-US" w:eastAsia="zh-CN" w:bidi="ar-SA"/>
      </w:rPr>
    </w:lvl>
    <w:lvl w:ilvl="4" w:tentative="0">
      <w:start w:val="0"/>
      <w:numFmt w:val="bullet"/>
      <w:lvlText w:val="•"/>
      <w:lvlJc w:val="left"/>
      <w:pPr>
        <w:ind w:left="1740" w:hanging="471"/>
      </w:pPr>
      <w:rPr>
        <w:rFonts w:hint="default"/>
        <w:lang w:val="en-US" w:eastAsia="zh-CN" w:bidi="ar-SA"/>
      </w:rPr>
    </w:lvl>
    <w:lvl w:ilvl="5" w:tentative="0">
      <w:start w:val="0"/>
      <w:numFmt w:val="bullet"/>
      <w:lvlText w:val="•"/>
      <w:lvlJc w:val="left"/>
      <w:pPr>
        <w:ind w:left="1900" w:hanging="471"/>
      </w:pPr>
      <w:rPr>
        <w:rFonts w:hint="default"/>
        <w:lang w:val="en-US" w:eastAsia="zh-CN" w:bidi="ar-SA"/>
      </w:rPr>
    </w:lvl>
    <w:lvl w:ilvl="6" w:tentative="0">
      <w:start w:val="0"/>
      <w:numFmt w:val="bullet"/>
      <w:lvlText w:val="•"/>
      <w:lvlJc w:val="left"/>
      <w:pPr>
        <w:ind w:left="3593" w:hanging="471"/>
      </w:pPr>
      <w:rPr>
        <w:rFonts w:hint="default"/>
        <w:lang w:val="en-US" w:eastAsia="zh-CN" w:bidi="ar-SA"/>
      </w:rPr>
    </w:lvl>
    <w:lvl w:ilvl="7" w:tentative="0">
      <w:start w:val="0"/>
      <w:numFmt w:val="bullet"/>
      <w:lvlText w:val="•"/>
      <w:lvlJc w:val="left"/>
      <w:pPr>
        <w:ind w:left="5286" w:hanging="471"/>
      </w:pPr>
      <w:rPr>
        <w:rFonts w:hint="default"/>
        <w:lang w:val="en-US" w:eastAsia="zh-CN" w:bidi="ar-SA"/>
      </w:rPr>
    </w:lvl>
    <w:lvl w:ilvl="8" w:tentative="0">
      <w:start w:val="0"/>
      <w:numFmt w:val="bullet"/>
      <w:lvlText w:val="•"/>
      <w:lvlJc w:val="left"/>
      <w:pPr>
        <w:ind w:left="6979" w:hanging="471"/>
      </w:pPr>
      <w:rPr>
        <w:rFonts w:hint="default"/>
        <w:lang w:val="en-US" w:eastAsia="zh-CN" w:bidi="ar-SA"/>
      </w:rPr>
    </w:lvl>
  </w:abstractNum>
  <w:abstractNum w:abstractNumId="41">
    <w:nsid w:val="146056E4"/>
    <w:multiLevelType w:val="multilevel"/>
    <w:tmpl w:val="146056E4"/>
    <w:lvl w:ilvl="0" w:tentative="0">
      <w:start w:val="1"/>
      <w:numFmt w:val="decimal"/>
      <w:lvlText w:val="%1）"/>
      <w:lvlJc w:val="left"/>
      <w:pPr>
        <w:ind w:left="1631" w:hanging="423"/>
        <w:jc w:val="left"/>
      </w:pPr>
      <w:rPr>
        <w:rFonts w:hint="default" w:ascii="宋体" w:hAnsi="宋体" w:eastAsia="宋体" w:cs="宋体"/>
        <w:b/>
        <w:bCs/>
        <w:i w:val="0"/>
        <w:iCs w:val="0"/>
        <w:spacing w:val="0"/>
        <w:w w:val="93"/>
        <w:sz w:val="21"/>
        <w:szCs w:val="21"/>
        <w:lang w:val="en-US" w:eastAsia="zh-CN" w:bidi="ar-SA"/>
      </w:rPr>
    </w:lvl>
    <w:lvl w:ilvl="1" w:tentative="0">
      <w:start w:val="0"/>
      <w:numFmt w:val="bullet"/>
      <w:lvlText w:val="•"/>
      <w:lvlJc w:val="left"/>
      <w:pPr>
        <w:ind w:left="2512" w:hanging="423"/>
      </w:pPr>
      <w:rPr>
        <w:rFonts w:hint="default"/>
        <w:lang w:val="en-US" w:eastAsia="zh-CN" w:bidi="ar-SA"/>
      </w:rPr>
    </w:lvl>
    <w:lvl w:ilvl="2" w:tentative="0">
      <w:start w:val="0"/>
      <w:numFmt w:val="bullet"/>
      <w:lvlText w:val="•"/>
      <w:lvlJc w:val="left"/>
      <w:pPr>
        <w:ind w:left="3385" w:hanging="423"/>
      </w:pPr>
      <w:rPr>
        <w:rFonts w:hint="default"/>
        <w:lang w:val="en-US" w:eastAsia="zh-CN" w:bidi="ar-SA"/>
      </w:rPr>
    </w:lvl>
    <w:lvl w:ilvl="3" w:tentative="0">
      <w:start w:val="0"/>
      <w:numFmt w:val="bullet"/>
      <w:lvlText w:val="•"/>
      <w:lvlJc w:val="left"/>
      <w:pPr>
        <w:ind w:left="4257" w:hanging="423"/>
      </w:pPr>
      <w:rPr>
        <w:rFonts w:hint="default"/>
        <w:lang w:val="en-US" w:eastAsia="zh-CN" w:bidi="ar-SA"/>
      </w:rPr>
    </w:lvl>
    <w:lvl w:ilvl="4" w:tentative="0">
      <w:start w:val="0"/>
      <w:numFmt w:val="bullet"/>
      <w:lvlText w:val="•"/>
      <w:lvlJc w:val="left"/>
      <w:pPr>
        <w:ind w:left="5130" w:hanging="423"/>
      </w:pPr>
      <w:rPr>
        <w:rFonts w:hint="default"/>
        <w:lang w:val="en-US" w:eastAsia="zh-CN" w:bidi="ar-SA"/>
      </w:rPr>
    </w:lvl>
    <w:lvl w:ilvl="5" w:tentative="0">
      <w:start w:val="0"/>
      <w:numFmt w:val="bullet"/>
      <w:lvlText w:val="•"/>
      <w:lvlJc w:val="left"/>
      <w:pPr>
        <w:ind w:left="6003" w:hanging="423"/>
      </w:pPr>
      <w:rPr>
        <w:rFonts w:hint="default"/>
        <w:lang w:val="en-US" w:eastAsia="zh-CN" w:bidi="ar-SA"/>
      </w:rPr>
    </w:lvl>
    <w:lvl w:ilvl="6" w:tentative="0">
      <w:start w:val="0"/>
      <w:numFmt w:val="bullet"/>
      <w:lvlText w:val="•"/>
      <w:lvlJc w:val="left"/>
      <w:pPr>
        <w:ind w:left="6875" w:hanging="423"/>
      </w:pPr>
      <w:rPr>
        <w:rFonts w:hint="default"/>
        <w:lang w:val="en-US" w:eastAsia="zh-CN" w:bidi="ar-SA"/>
      </w:rPr>
    </w:lvl>
    <w:lvl w:ilvl="7" w:tentative="0">
      <w:start w:val="0"/>
      <w:numFmt w:val="bullet"/>
      <w:lvlText w:val="•"/>
      <w:lvlJc w:val="left"/>
      <w:pPr>
        <w:ind w:left="7748" w:hanging="423"/>
      </w:pPr>
      <w:rPr>
        <w:rFonts w:hint="default"/>
        <w:lang w:val="en-US" w:eastAsia="zh-CN" w:bidi="ar-SA"/>
      </w:rPr>
    </w:lvl>
    <w:lvl w:ilvl="8" w:tentative="0">
      <w:start w:val="0"/>
      <w:numFmt w:val="bullet"/>
      <w:lvlText w:val="•"/>
      <w:lvlJc w:val="left"/>
      <w:pPr>
        <w:ind w:left="8620" w:hanging="423"/>
      </w:pPr>
      <w:rPr>
        <w:rFonts w:hint="default"/>
        <w:lang w:val="en-US" w:eastAsia="zh-CN" w:bidi="ar-SA"/>
      </w:rPr>
    </w:lvl>
  </w:abstractNum>
  <w:abstractNum w:abstractNumId="42">
    <w:nsid w:val="2EED8ECD"/>
    <w:multiLevelType w:val="multilevel"/>
    <w:tmpl w:val="2EED8ECD"/>
    <w:lvl w:ilvl="0" w:tentative="0">
      <w:start w:val="1"/>
      <w:numFmt w:val="decimal"/>
      <w:lvlText w:val="（%1）"/>
      <w:lvlJc w:val="left"/>
      <w:pPr>
        <w:ind w:left="1733" w:hanging="525"/>
        <w:jc w:val="left"/>
      </w:pPr>
      <w:rPr>
        <w:rFonts w:hint="default" w:ascii="宋体" w:hAnsi="宋体" w:eastAsia="宋体" w:cs="宋体"/>
        <w:b w:val="0"/>
        <w:bCs w:val="0"/>
        <w:i w:val="0"/>
        <w:iCs w:val="0"/>
        <w:spacing w:val="-1"/>
        <w:w w:val="99"/>
        <w:sz w:val="19"/>
        <w:szCs w:val="19"/>
        <w:lang w:val="en-US" w:eastAsia="zh-CN" w:bidi="ar-SA"/>
      </w:rPr>
    </w:lvl>
    <w:lvl w:ilvl="1" w:tentative="0">
      <w:start w:val="0"/>
      <w:numFmt w:val="bullet"/>
      <w:lvlText w:val="•"/>
      <w:lvlJc w:val="left"/>
      <w:pPr>
        <w:ind w:left="2602" w:hanging="525"/>
      </w:pPr>
      <w:rPr>
        <w:rFonts w:hint="default"/>
        <w:lang w:val="en-US" w:eastAsia="zh-CN" w:bidi="ar-SA"/>
      </w:rPr>
    </w:lvl>
    <w:lvl w:ilvl="2" w:tentative="0">
      <w:start w:val="0"/>
      <w:numFmt w:val="bullet"/>
      <w:lvlText w:val="•"/>
      <w:lvlJc w:val="left"/>
      <w:pPr>
        <w:ind w:left="3465" w:hanging="525"/>
      </w:pPr>
      <w:rPr>
        <w:rFonts w:hint="default"/>
        <w:lang w:val="en-US" w:eastAsia="zh-CN" w:bidi="ar-SA"/>
      </w:rPr>
    </w:lvl>
    <w:lvl w:ilvl="3" w:tentative="0">
      <w:start w:val="0"/>
      <w:numFmt w:val="bullet"/>
      <w:lvlText w:val="•"/>
      <w:lvlJc w:val="left"/>
      <w:pPr>
        <w:ind w:left="4327" w:hanging="525"/>
      </w:pPr>
      <w:rPr>
        <w:rFonts w:hint="default"/>
        <w:lang w:val="en-US" w:eastAsia="zh-CN" w:bidi="ar-SA"/>
      </w:rPr>
    </w:lvl>
    <w:lvl w:ilvl="4" w:tentative="0">
      <w:start w:val="0"/>
      <w:numFmt w:val="bullet"/>
      <w:lvlText w:val="•"/>
      <w:lvlJc w:val="left"/>
      <w:pPr>
        <w:ind w:left="5190" w:hanging="525"/>
      </w:pPr>
      <w:rPr>
        <w:rFonts w:hint="default"/>
        <w:lang w:val="en-US" w:eastAsia="zh-CN" w:bidi="ar-SA"/>
      </w:rPr>
    </w:lvl>
    <w:lvl w:ilvl="5" w:tentative="0">
      <w:start w:val="0"/>
      <w:numFmt w:val="bullet"/>
      <w:lvlText w:val="•"/>
      <w:lvlJc w:val="left"/>
      <w:pPr>
        <w:ind w:left="6053" w:hanging="525"/>
      </w:pPr>
      <w:rPr>
        <w:rFonts w:hint="default"/>
        <w:lang w:val="en-US" w:eastAsia="zh-CN" w:bidi="ar-SA"/>
      </w:rPr>
    </w:lvl>
    <w:lvl w:ilvl="6" w:tentative="0">
      <w:start w:val="0"/>
      <w:numFmt w:val="bullet"/>
      <w:lvlText w:val="•"/>
      <w:lvlJc w:val="left"/>
      <w:pPr>
        <w:ind w:left="6915" w:hanging="525"/>
      </w:pPr>
      <w:rPr>
        <w:rFonts w:hint="default"/>
        <w:lang w:val="en-US" w:eastAsia="zh-CN" w:bidi="ar-SA"/>
      </w:rPr>
    </w:lvl>
    <w:lvl w:ilvl="7" w:tentative="0">
      <w:start w:val="0"/>
      <w:numFmt w:val="bullet"/>
      <w:lvlText w:val="•"/>
      <w:lvlJc w:val="left"/>
      <w:pPr>
        <w:ind w:left="7778" w:hanging="525"/>
      </w:pPr>
      <w:rPr>
        <w:rFonts w:hint="default"/>
        <w:lang w:val="en-US" w:eastAsia="zh-CN" w:bidi="ar-SA"/>
      </w:rPr>
    </w:lvl>
    <w:lvl w:ilvl="8" w:tentative="0">
      <w:start w:val="0"/>
      <w:numFmt w:val="bullet"/>
      <w:lvlText w:val="•"/>
      <w:lvlJc w:val="left"/>
      <w:pPr>
        <w:ind w:left="8640" w:hanging="525"/>
      </w:pPr>
      <w:rPr>
        <w:rFonts w:hint="default"/>
        <w:lang w:val="en-US" w:eastAsia="zh-CN" w:bidi="ar-SA"/>
      </w:rPr>
    </w:lvl>
  </w:abstractNum>
  <w:abstractNum w:abstractNumId="43">
    <w:nsid w:val="2FD75FC2"/>
    <w:multiLevelType w:val="multilevel"/>
    <w:tmpl w:val="2FD75FC2"/>
    <w:lvl w:ilvl="0" w:tentative="0">
      <w:start w:val="1"/>
      <w:numFmt w:val="decimal"/>
      <w:lvlText w:val="（%1）"/>
      <w:lvlJc w:val="left"/>
      <w:pPr>
        <w:ind w:left="1733" w:hanging="525"/>
        <w:jc w:val="left"/>
      </w:pPr>
      <w:rPr>
        <w:rFonts w:hint="default" w:ascii="宋体" w:hAnsi="宋体" w:eastAsia="宋体" w:cs="宋体"/>
        <w:b w:val="0"/>
        <w:bCs w:val="0"/>
        <w:i w:val="0"/>
        <w:iCs w:val="0"/>
        <w:spacing w:val="-1"/>
        <w:w w:val="99"/>
        <w:sz w:val="19"/>
        <w:szCs w:val="19"/>
        <w:lang w:val="en-US" w:eastAsia="zh-CN" w:bidi="ar-SA"/>
      </w:rPr>
    </w:lvl>
    <w:lvl w:ilvl="1" w:tentative="0">
      <w:start w:val="0"/>
      <w:numFmt w:val="bullet"/>
      <w:lvlText w:val="•"/>
      <w:lvlJc w:val="left"/>
      <w:pPr>
        <w:ind w:left="2602" w:hanging="525"/>
      </w:pPr>
      <w:rPr>
        <w:rFonts w:hint="default"/>
        <w:lang w:val="en-US" w:eastAsia="zh-CN" w:bidi="ar-SA"/>
      </w:rPr>
    </w:lvl>
    <w:lvl w:ilvl="2" w:tentative="0">
      <w:start w:val="0"/>
      <w:numFmt w:val="bullet"/>
      <w:lvlText w:val="•"/>
      <w:lvlJc w:val="left"/>
      <w:pPr>
        <w:ind w:left="3465" w:hanging="525"/>
      </w:pPr>
      <w:rPr>
        <w:rFonts w:hint="default"/>
        <w:lang w:val="en-US" w:eastAsia="zh-CN" w:bidi="ar-SA"/>
      </w:rPr>
    </w:lvl>
    <w:lvl w:ilvl="3" w:tentative="0">
      <w:start w:val="0"/>
      <w:numFmt w:val="bullet"/>
      <w:lvlText w:val="•"/>
      <w:lvlJc w:val="left"/>
      <w:pPr>
        <w:ind w:left="4327" w:hanging="525"/>
      </w:pPr>
      <w:rPr>
        <w:rFonts w:hint="default"/>
        <w:lang w:val="en-US" w:eastAsia="zh-CN" w:bidi="ar-SA"/>
      </w:rPr>
    </w:lvl>
    <w:lvl w:ilvl="4" w:tentative="0">
      <w:start w:val="0"/>
      <w:numFmt w:val="bullet"/>
      <w:lvlText w:val="•"/>
      <w:lvlJc w:val="left"/>
      <w:pPr>
        <w:ind w:left="5190" w:hanging="525"/>
      </w:pPr>
      <w:rPr>
        <w:rFonts w:hint="default"/>
        <w:lang w:val="en-US" w:eastAsia="zh-CN" w:bidi="ar-SA"/>
      </w:rPr>
    </w:lvl>
    <w:lvl w:ilvl="5" w:tentative="0">
      <w:start w:val="0"/>
      <w:numFmt w:val="bullet"/>
      <w:lvlText w:val="•"/>
      <w:lvlJc w:val="left"/>
      <w:pPr>
        <w:ind w:left="6053" w:hanging="525"/>
      </w:pPr>
      <w:rPr>
        <w:rFonts w:hint="default"/>
        <w:lang w:val="en-US" w:eastAsia="zh-CN" w:bidi="ar-SA"/>
      </w:rPr>
    </w:lvl>
    <w:lvl w:ilvl="6" w:tentative="0">
      <w:start w:val="0"/>
      <w:numFmt w:val="bullet"/>
      <w:lvlText w:val="•"/>
      <w:lvlJc w:val="left"/>
      <w:pPr>
        <w:ind w:left="6915" w:hanging="525"/>
      </w:pPr>
      <w:rPr>
        <w:rFonts w:hint="default"/>
        <w:lang w:val="en-US" w:eastAsia="zh-CN" w:bidi="ar-SA"/>
      </w:rPr>
    </w:lvl>
    <w:lvl w:ilvl="7" w:tentative="0">
      <w:start w:val="0"/>
      <w:numFmt w:val="bullet"/>
      <w:lvlText w:val="•"/>
      <w:lvlJc w:val="left"/>
      <w:pPr>
        <w:ind w:left="7778" w:hanging="525"/>
      </w:pPr>
      <w:rPr>
        <w:rFonts w:hint="default"/>
        <w:lang w:val="en-US" w:eastAsia="zh-CN" w:bidi="ar-SA"/>
      </w:rPr>
    </w:lvl>
    <w:lvl w:ilvl="8" w:tentative="0">
      <w:start w:val="0"/>
      <w:numFmt w:val="bullet"/>
      <w:lvlText w:val="•"/>
      <w:lvlJc w:val="left"/>
      <w:pPr>
        <w:ind w:left="8640" w:hanging="525"/>
      </w:pPr>
      <w:rPr>
        <w:rFonts w:hint="default"/>
        <w:lang w:val="en-US" w:eastAsia="zh-CN" w:bidi="ar-SA"/>
      </w:rPr>
    </w:lvl>
  </w:abstractNum>
  <w:abstractNum w:abstractNumId="44">
    <w:nsid w:val="31DC2D34"/>
    <w:multiLevelType w:val="multilevel"/>
    <w:tmpl w:val="31DC2D34"/>
    <w:lvl w:ilvl="0" w:tentative="0">
      <w:start w:val="1"/>
      <w:numFmt w:val="decimal"/>
      <w:lvlText w:val="%1."/>
      <w:lvlJc w:val="left"/>
      <w:pPr>
        <w:ind w:left="1419" w:hanging="212"/>
        <w:jc w:val="left"/>
      </w:pPr>
      <w:rPr>
        <w:rFonts w:hint="default" w:ascii="宋体" w:hAnsi="宋体" w:eastAsia="宋体" w:cs="宋体"/>
        <w:b w:val="0"/>
        <w:bCs w:val="0"/>
        <w:i w:val="0"/>
        <w:iCs w:val="0"/>
        <w:spacing w:val="-2"/>
        <w:w w:val="99"/>
        <w:sz w:val="19"/>
        <w:szCs w:val="19"/>
        <w:lang w:val="en-US" w:eastAsia="zh-CN" w:bidi="ar-SA"/>
      </w:rPr>
    </w:lvl>
    <w:lvl w:ilvl="1" w:tentative="0">
      <w:start w:val="0"/>
      <w:numFmt w:val="bullet"/>
      <w:lvlText w:val="•"/>
      <w:lvlJc w:val="left"/>
      <w:pPr>
        <w:ind w:left="2314" w:hanging="212"/>
      </w:pPr>
      <w:rPr>
        <w:rFonts w:hint="default"/>
        <w:lang w:val="en-US" w:eastAsia="zh-CN" w:bidi="ar-SA"/>
      </w:rPr>
    </w:lvl>
    <w:lvl w:ilvl="2" w:tentative="0">
      <w:start w:val="0"/>
      <w:numFmt w:val="bullet"/>
      <w:lvlText w:val="•"/>
      <w:lvlJc w:val="left"/>
      <w:pPr>
        <w:ind w:left="3209" w:hanging="212"/>
      </w:pPr>
      <w:rPr>
        <w:rFonts w:hint="default"/>
        <w:lang w:val="en-US" w:eastAsia="zh-CN" w:bidi="ar-SA"/>
      </w:rPr>
    </w:lvl>
    <w:lvl w:ilvl="3" w:tentative="0">
      <w:start w:val="0"/>
      <w:numFmt w:val="bullet"/>
      <w:lvlText w:val="•"/>
      <w:lvlJc w:val="left"/>
      <w:pPr>
        <w:ind w:left="4103" w:hanging="212"/>
      </w:pPr>
      <w:rPr>
        <w:rFonts w:hint="default"/>
        <w:lang w:val="en-US" w:eastAsia="zh-CN" w:bidi="ar-SA"/>
      </w:rPr>
    </w:lvl>
    <w:lvl w:ilvl="4" w:tentative="0">
      <w:start w:val="0"/>
      <w:numFmt w:val="bullet"/>
      <w:lvlText w:val="•"/>
      <w:lvlJc w:val="left"/>
      <w:pPr>
        <w:ind w:left="4998" w:hanging="212"/>
      </w:pPr>
      <w:rPr>
        <w:rFonts w:hint="default"/>
        <w:lang w:val="en-US" w:eastAsia="zh-CN" w:bidi="ar-SA"/>
      </w:rPr>
    </w:lvl>
    <w:lvl w:ilvl="5" w:tentative="0">
      <w:start w:val="0"/>
      <w:numFmt w:val="bullet"/>
      <w:lvlText w:val="•"/>
      <w:lvlJc w:val="left"/>
      <w:pPr>
        <w:ind w:left="5893" w:hanging="212"/>
      </w:pPr>
      <w:rPr>
        <w:rFonts w:hint="default"/>
        <w:lang w:val="en-US" w:eastAsia="zh-CN" w:bidi="ar-SA"/>
      </w:rPr>
    </w:lvl>
    <w:lvl w:ilvl="6" w:tentative="0">
      <w:start w:val="0"/>
      <w:numFmt w:val="bullet"/>
      <w:lvlText w:val="•"/>
      <w:lvlJc w:val="left"/>
      <w:pPr>
        <w:ind w:left="6787" w:hanging="212"/>
      </w:pPr>
      <w:rPr>
        <w:rFonts w:hint="default"/>
        <w:lang w:val="en-US" w:eastAsia="zh-CN" w:bidi="ar-SA"/>
      </w:rPr>
    </w:lvl>
    <w:lvl w:ilvl="7" w:tentative="0">
      <w:start w:val="0"/>
      <w:numFmt w:val="bullet"/>
      <w:lvlText w:val="•"/>
      <w:lvlJc w:val="left"/>
      <w:pPr>
        <w:ind w:left="7682" w:hanging="212"/>
      </w:pPr>
      <w:rPr>
        <w:rFonts w:hint="default"/>
        <w:lang w:val="en-US" w:eastAsia="zh-CN" w:bidi="ar-SA"/>
      </w:rPr>
    </w:lvl>
    <w:lvl w:ilvl="8" w:tentative="0">
      <w:start w:val="0"/>
      <w:numFmt w:val="bullet"/>
      <w:lvlText w:val="•"/>
      <w:lvlJc w:val="left"/>
      <w:pPr>
        <w:ind w:left="8576" w:hanging="212"/>
      </w:pPr>
      <w:rPr>
        <w:rFonts w:hint="default"/>
        <w:lang w:val="en-US" w:eastAsia="zh-CN" w:bidi="ar-SA"/>
      </w:rPr>
    </w:lvl>
  </w:abstractNum>
  <w:abstractNum w:abstractNumId="45">
    <w:nsid w:val="362B7EAC"/>
    <w:multiLevelType w:val="multilevel"/>
    <w:tmpl w:val="362B7EAC"/>
    <w:lvl w:ilvl="0" w:tentative="0">
      <w:start w:val="1"/>
      <w:numFmt w:val="decimal"/>
      <w:lvlText w:val="（%1）"/>
      <w:lvlJc w:val="left"/>
      <w:pPr>
        <w:ind w:left="788" w:hanging="533"/>
        <w:jc w:val="left"/>
      </w:pPr>
      <w:rPr>
        <w:rFonts w:hint="default" w:ascii="宋体" w:hAnsi="宋体" w:eastAsia="宋体" w:cs="宋体"/>
        <w:b w:val="0"/>
        <w:bCs w:val="0"/>
        <w:i w:val="0"/>
        <w:iCs w:val="0"/>
        <w:spacing w:val="2"/>
        <w:w w:val="99"/>
        <w:sz w:val="19"/>
        <w:szCs w:val="19"/>
        <w:lang w:val="en-US" w:eastAsia="zh-CN" w:bidi="ar-SA"/>
      </w:rPr>
    </w:lvl>
    <w:lvl w:ilvl="1" w:tentative="0">
      <w:start w:val="0"/>
      <w:numFmt w:val="bullet"/>
      <w:lvlText w:val="•"/>
      <w:lvlJc w:val="left"/>
      <w:pPr>
        <w:ind w:left="1738" w:hanging="533"/>
      </w:pPr>
      <w:rPr>
        <w:rFonts w:hint="default"/>
        <w:lang w:val="en-US" w:eastAsia="zh-CN" w:bidi="ar-SA"/>
      </w:rPr>
    </w:lvl>
    <w:lvl w:ilvl="2" w:tentative="0">
      <w:start w:val="0"/>
      <w:numFmt w:val="bullet"/>
      <w:lvlText w:val="•"/>
      <w:lvlJc w:val="left"/>
      <w:pPr>
        <w:ind w:left="2697" w:hanging="533"/>
      </w:pPr>
      <w:rPr>
        <w:rFonts w:hint="default"/>
        <w:lang w:val="en-US" w:eastAsia="zh-CN" w:bidi="ar-SA"/>
      </w:rPr>
    </w:lvl>
    <w:lvl w:ilvl="3" w:tentative="0">
      <w:start w:val="0"/>
      <w:numFmt w:val="bullet"/>
      <w:lvlText w:val="•"/>
      <w:lvlJc w:val="left"/>
      <w:pPr>
        <w:ind w:left="3655" w:hanging="533"/>
      </w:pPr>
      <w:rPr>
        <w:rFonts w:hint="default"/>
        <w:lang w:val="en-US" w:eastAsia="zh-CN" w:bidi="ar-SA"/>
      </w:rPr>
    </w:lvl>
    <w:lvl w:ilvl="4" w:tentative="0">
      <w:start w:val="0"/>
      <w:numFmt w:val="bullet"/>
      <w:lvlText w:val="•"/>
      <w:lvlJc w:val="left"/>
      <w:pPr>
        <w:ind w:left="4614" w:hanging="533"/>
      </w:pPr>
      <w:rPr>
        <w:rFonts w:hint="default"/>
        <w:lang w:val="en-US" w:eastAsia="zh-CN" w:bidi="ar-SA"/>
      </w:rPr>
    </w:lvl>
    <w:lvl w:ilvl="5" w:tentative="0">
      <w:start w:val="0"/>
      <w:numFmt w:val="bullet"/>
      <w:lvlText w:val="•"/>
      <w:lvlJc w:val="left"/>
      <w:pPr>
        <w:ind w:left="5573" w:hanging="533"/>
      </w:pPr>
      <w:rPr>
        <w:rFonts w:hint="default"/>
        <w:lang w:val="en-US" w:eastAsia="zh-CN" w:bidi="ar-SA"/>
      </w:rPr>
    </w:lvl>
    <w:lvl w:ilvl="6" w:tentative="0">
      <w:start w:val="0"/>
      <w:numFmt w:val="bullet"/>
      <w:lvlText w:val="•"/>
      <w:lvlJc w:val="left"/>
      <w:pPr>
        <w:ind w:left="6531" w:hanging="533"/>
      </w:pPr>
      <w:rPr>
        <w:rFonts w:hint="default"/>
        <w:lang w:val="en-US" w:eastAsia="zh-CN" w:bidi="ar-SA"/>
      </w:rPr>
    </w:lvl>
    <w:lvl w:ilvl="7" w:tentative="0">
      <w:start w:val="0"/>
      <w:numFmt w:val="bullet"/>
      <w:lvlText w:val="•"/>
      <w:lvlJc w:val="left"/>
      <w:pPr>
        <w:ind w:left="7490" w:hanging="533"/>
      </w:pPr>
      <w:rPr>
        <w:rFonts w:hint="default"/>
        <w:lang w:val="en-US" w:eastAsia="zh-CN" w:bidi="ar-SA"/>
      </w:rPr>
    </w:lvl>
    <w:lvl w:ilvl="8" w:tentative="0">
      <w:start w:val="0"/>
      <w:numFmt w:val="bullet"/>
      <w:lvlText w:val="•"/>
      <w:lvlJc w:val="left"/>
      <w:pPr>
        <w:ind w:left="8448" w:hanging="533"/>
      </w:pPr>
      <w:rPr>
        <w:rFonts w:hint="default"/>
        <w:lang w:val="en-US" w:eastAsia="zh-CN" w:bidi="ar-SA"/>
      </w:rPr>
    </w:lvl>
  </w:abstractNum>
  <w:abstractNum w:abstractNumId="46">
    <w:nsid w:val="38E3BEFC"/>
    <w:multiLevelType w:val="multilevel"/>
    <w:tmpl w:val="38E3BEFC"/>
    <w:lvl w:ilvl="0" w:tentative="0">
      <w:start w:val="1"/>
      <w:numFmt w:val="decimal"/>
      <w:lvlText w:val="（%1）"/>
      <w:lvlJc w:val="left"/>
      <w:pPr>
        <w:ind w:left="1733" w:hanging="525"/>
        <w:jc w:val="left"/>
      </w:pPr>
      <w:rPr>
        <w:rFonts w:hint="default" w:ascii="宋体" w:hAnsi="宋体" w:eastAsia="宋体" w:cs="宋体"/>
        <w:b w:val="0"/>
        <w:bCs w:val="0"/>
        <w:i w:val="0"/>
        <w:iCs w:val="0"/>
        <w:spacing w:val="-1"/>
        <w:w w:val="99"/>
        <w:sz w:val="19"/>
        <w:szCs w:val="19"/>
        <w:lang w:val="en-US" w:eastAsia="zh-CN" w:bidi="ar-SA"/>
      </w:rPr>
    </w:lvl>
    <w:lvl w:ilvl="1" w:tentative="0">
      <w:start w:val="0"/>
      <w:numFmt w:val="bullet"/>
      <w:lvlText w:val="•"/>
      <w:lvlJc w:val="left"/>
      <w:pPr>
        <w:ind w:left="2602" w:hanging="525"/>
      </w:pPr>
      <w:rPr>
        <w:rFonts w:hint="default"/>
        <w:lang w:val="en-US" w:eastAsia="zh-CN" w:bidi="ar-SA"/>
      </w:rPr>
    </w:lvl>
    <w:lvl w:ilvl="2" w:tentative="0">
      <w:start w:val="0"/>
      <w:numFmt w:val="bullet"/>
      <w:lvlText w:val="•"/>
      <w:lvlJc w:val="left"/>
      <w:pPr>
        <w:ind w:left="3465" w:hanging="525"/>
      </w:pPr>
      <w:rPr>
        <w:rFonts w:hint="default"/>
        <w:lang w:val="en-US" w:eastAsia="zh-CN" w:bidi="ar-SA"/>
      </w:rPr>
    </w:lvl>
    <w:lvl w:ilvl="3" w:tentative="0">
      <w:start w:val="0"/>
      <w:numFmt w:val="bullet"/>
      <w:lvlText w:val="•"/>
      <w:lvlJc w:val="left"/>
      <w:pPr>
        <w:ind w:left="4327" w:hanging="525"/>
      </w:pPr>
      <w:rPr>
        <w:rFonts w:hint="default"/>
        <w:lang w:val="en-US" w:eastAsia="zh-CN" w:bidi="ar-SA"/>
      </w:rPr>
    </w:lvl>
    <w:lvl w:ilvl="4" w:tentative="0">
      <w:start w:val="0"/>
      <w:numFmt w:val="bullet"/>
      <w:lvlText w:val="•"/>
      <w:lvlJc w:val="left"/>
      <w:pPr>
        <w:ind w:left="5190" w:hanging="525"/>
      </w:pPr>
      <w:rPr>
        <w:rFonts w:hint="default"/>
        <w:lang w:val="en-US" w:eastAsia="zh-CN" w:bidi="ar-SA"/>
      </w:rPr>
    </w:lvl>
    <w:lvl w:ilvl="5" w:tentative="0">
      <w:start w:val="0"/>
      <w:numFmt w:val="bullet"/>
      <w:lvlText w:val="•"/>
      <w:lvlJc w:val="left"/>
      <w:pPr>
        <w:ind w:left="6053" w:hanging="525"/>
      </w:pPr>
      <w:rPr>
        <w:rFonts w:hint="default"/>
        <w:lang w:val="en-US" w:eastAsia="zh-CN" w:bidi="ar-SA"/>
      </w:rPr>
    </w:lvl>
    <w:lvl w:ilvl="6" w:tentative="0">
      <w:start w:val="0"/>
      <w:numFmt w:val="bullet"/>
      <w:lvlText w:val="•"/>
      <w:lvlJc w:val="left"/>
      <w:pPr>
        <w:ind w:left="6915" w:hanging="525"/>
      </w:pPr>
      <w:rPr>
        <w:rFonts w:hint="default"/>
        <w:lang w:val="en-US" w:eastAsia="zh-CN" w:bidi="ar-SA"/>
      </w:rPr>
    </w:lvl>
    <w:lvl w:ilvl="7" w:tentative="0">
      <w:start w:val="0"/>
      <w:numFmt w:val="bullet"/>
      <w:lvlText w:val="•"/>
      <w:lvlJc w:val="left"/>
      <w:pPr>
        <w:ind w:left="7778" w:hanging="525"/>
      </w:pPr>
      <w:rPr>
        <w:rFonts w:hint="default"/>
        <w:lang w:val="en-US" w:eastAsia="zh-CN" w:bidi="ar-SA"/>
      </w:rPr>
    </w:lvl>
    <w:lvl w:ilvl="8" w:tentative="0">
      <w:start w:val="0"/>
      <w:numFmt w:val="bullet"/>
      <w:lvlText w:val="•"/>
      <w:lvlJc w:val="left"/>
      <w:pPr>
        <w:ind w:left="8640" w:hanging="525"/>
      </w:pPr>
      <w:rPr>
        <w:rFonts w:hint="default"/>
        <w:lang w:val="en-US" w:eastAsia="zh-CN" w:bidi="ar-SA"/>
      </w:rPr>
    </w:lvl>
  </w:abstractNum>
  <w:abstractNum w:abstractNumId="47">
    <w:nsid w:val="39FEEEA7"/>
    <w:multiLevelType w:val="multilevel"/>
    <w:tmpl w:val="39FEEEA7"/>
    <w:lvl w:ilvl="0" w:tentative="0">
      <w:start w:val="1"/>
      <w:numFmt w:val="decimal"/>
      <w:lvlText w:val="%1"/>
      <w:lvlJc w:val="left"/>
      <w:pPr>
        <w:ind w:left="1784" w:hanging="368"/>
        <w:jc w:val="left"/>
      </w:pPr>
      <w:rPr>
        <w:rFonts w:hint="default"/>
        <w:lang w:val="en-US" w:eastAsia="zh-CN" w:bidi="ar-SA"/>
      </w:rPr>
    </w:lvl>
    <w:lvl w:ilvl="1" w:tentative="0">
      <w:start w:val="1"/>
      <w:numFmt w:val="decimal"/>
      <w:lvlText w:val="%1.%2"/>
      <w:lvlJc w:val="left"/>
      <w:pPr>
        <w:ind w:left="1784" w:hanging="368"/>
        <w:jc w:val="left"/>
      </w:pPr>
      <w:rPr>
        <w:rFonts w:hint="default" w:ascii="Times New Roman" w:hAnsi="Times New Roman" w:eastAsia="Times New Roman" w:cs="Times New Roman"/>
        <w:b w:val="0"/>
        <w:bCs w:val="0"/>
        <w:i w:val="0"/>
        <w:iCs w:val="0"/>
        <w:spacing w:val="0"/>
        <w:w w:val="99"/>
        <w:sz w:val="21"/>
        <w:szCs w:val="21"/>
        <w:lang w:val="en-US" w:eastAsia="zh-CN" w:bidi="ar-SA"/>
      </w:rPr>
    </w:lvl>
    <w:lvl w:ilvl="2" w:tentative="0">
      <w:start w:val="0"/>
      <w:numFmt w:val="bullet"/>
      <w:lvlText w:val="•"/>
      <w:lvlJc w:val="left"/>
      <w:pPr>
        <w:ind w:left="3497" w:hanging="368"/>
      </w:pPr>
      <w:rPr>
        <w:rFonts w:hint="default"/>
        <w:lang w:val="en-US" w:eastAsia="zh-CN" w:bidi="ar-SA"/>
      </w:rPr>
    </w:lvl>
    <w:lvl w:ilvl="3" w:tentative="0">
      <w:start w:val="0"/>
      <w:numFmt w:val="bullet"/>
      <w:lvlText w:val="•"/>
      <w:lvlJc w:val="left"/>
      <w:pPr>
        <w:ind w:left="4355" w:hanging="368"/>
      </w:pPr>
      <w:rPr>
        <w:rFonts w:hint="default"/>
        <w:lang w:val="en-US" w:eastAsia="zh-CN" w:bidi="ar-SA"/>
      </w:rPr>
    </w:lvl>
    <w:lvl w:ilvl="4" w:tentative="0">
      <w:start w:val="0"/>
      <w:numFmt w:val="bullet"/>
      <w:lvlText w:val="•"/>
      <w:lvlJc w:val="left"/>
      <w:pPr>
        <w:ind w:left="5214" w:hanging="368"/>
      </w:pPr>
      <w:rPr>
        <w:rFonts w:hint="default"/>
        <w:lang w:val="en-US" w:eastAsia="zh-CN" w:bidi="ar-SA"/>
      </w:rPr>
    </w:lvl>
    <w:lvl w:ilvl="5" w:tentative="0">
      <w:start w:val="0"/>
      <w:numFmt w:val="bullet"/>
      <w:lvlText w:val="•"/>
      <w:lvlJc w:val="left"/>
      <w:pPr>
        <w:ind w:left="6073" w:hanging="368"/>
      </w:pPr>
      <w:rPr>
        <w:rFonts w:hint="default"/>
        <w:lang w:val="en-US" w:eastAsia="zh-CN" w:bidi="ar-SA"/>
      </w:rPr>
    </w:lvl>
    <w:lvl w:ilvl="6" w:tentative="0">
      <w:start w:val="0"/>
      <w:numFmt w:val="bullet"/>
      <w:lvlText w:val="•"/>
      <w:lvlJc w:val="left"/>
      <w:pPr>
        <w:ind w:left="6931" w:hanging="368"/>
      </w:pPr>
      <w:rPr>
        <w:rFonts w:hint="default"/>
        <w:lang w:val="en-US" w:eastAsia="zh-CN" w:bidi="ar-SA"/>
      </w:rPr>
    </w:lvl>
    <w:lvl w:ilvl="7" w:tentative="0">
      <w:start w:val="0"/>
      <w:numFmt w:val="bullet"/>
      <w:lvlText w:val="•"/>
      <w:lvlJc w:val="left"/>
      <w:pPr>
        <w:ind w:left="7790" w:hanging="368"/>
      </w:pPr>
      <w:rPr>
        <w:rFonts w:hint="default"/>
        <w:lang w:val="en-US" w:eastAsia="zh-CN" w:bidi="ar-SA"/>
      </w:rPr>
    </w:lvl>
    <w:lvl w:ilvl="8" w:tentative="0">
      <w:start w:val="0"/>
      <w:numFmt w:val="bullet"/>
      <w:lvlText w:val="•"/>
      <w:lvlJc w:val="left"/>
      <w:pPr>
        <w:ind w:left="8648" w:hanging="368"/>
      </w:pPr>
      <w:rPr>
        <w:rFonts w:hint="default"/>
        <w:lang w:val="en-US" w:eastAsia="zh-CN" w:bidi="ar-SA"/>
      </w:rPr>
    </w:lvl>
  </w:abstractNum>
  <w:abstractNum w:abstractNumId="48">
    <w:nsid w:val="3BD963A5"/>
    <w:multiLevelType w:val="multilevel"/>
    <w:tmpl w:val="3BD963A5"/>
    <w:lvl w:ilvl="0" w:tentative="0">
      <w:start w:val="1"/>
      <w:numFmt w:val="decimal"/>
      <w:lvlText w:val="%1."/>
      <w:lvlJc w:val="left"/>
      <w:pPr>
        <w:ind w:left="106" w:hanging="214"/>
        <w:jc w:val="left"/>
      </w:pPr>
      <w:rPr>
        <w:rFonts w:hint="default" w:ascii="宋体" w:hAnsi="宋体" w:eastAsia="宋体" w:cs="宋体"/>
        <w:b w:val="0"/>
        <w:bCs w:val="0"/>
        <w:i w:val="0"/>
        <w:iCs w:val="0"/>
        <w:spacing w:val="1"/>
        <w:w w:val="99"/>
        <w:sz w:val="19"/>
        <w:szCs w:val="19"/>
        <w:lang w:val="en-US" w:eastAsia="zh-CN" w:bidi="ar-SA"/>
      </w:rPr>
    </w:lvl>
    <w:lvl w:ilvl="1" w:tentative="0">
      <w:start w:val="0"/>
      <w:numFmt w:val="bullet"/>
      <w:lvlText w:val="•"/>
      <w:lvlJc w:val="left"/>
      <w:pPr>
        <w:ind w:left="880" w:hanging="214"/>
      </w:pPr>
      <w:rPr>
        <w:rFonts w:hint="default"/>
        <w:lang w:val="en-US" w:eastAsia="zh-CN" w:bidi="ar-SA"/>
      </w:rPr>
    </w:lvl>
    <w:lvl w:ilvl="2" w:tentative="0">
      <w:start w:val="0"/>
      <w:numFmt w:val="bullet"/>
      <w:lvlText w:val="•"/>
      <w:lvlJc w:val="left"/>
      <w:pPr>
        <w:ind w:left="1660" w:hanging="214"/>
      </w:pPr>
      <w:rPr>
        <w:rFonts w:hint="default"/>
        <w:lang w:val="en-US" w:eastAsia="zh-CN" w:bidi="ar-SA"/>
      </w:rPr>
    </w:lvl>
    <w:lvl w:ilvl="3" w:tentative="0">
      <w:start w:val="0"/>
      <w:numFmt w:val="bullet"/>
      <w:lvlText w:val="•"/>
      <w:lvlJc w:val="left"/>
      <w:pPr>
        <w:ind w:left="2440" w:hanging="214"/>
      </w:pPr>
      <w:rPr>
        <w:rFonts w:hint="default"/>
        <w:lang w:val="en-US" w:eastAsia="zh-CN" w:bidi="ar-SA"/>
      </w:rPr>
    </w:lvl>
    <w:lvl w:ilvl="4" w:tentative="0">
      <w:start w:val="0"/>
      <w:numFmt w:val="bullet"/>
      <w:lvlText w:val="•"/>
      <w:lvlJc w:val="left"/>
      <w:pPr>
        <w:ind w:left="3220" w:hanging="214"/>
      </w:pPr>
      <w:rPr>
        <w:rFonts w:hint="default"/>
        <w:lang w:val="en-US" w:eastAsia="zh-CN" w:bidi="ar-SA"/>
      </w:rPr>
    </w:lvl>
    <w:lvl w:ilvl="5" w:tentative="0">
      <w:start w:val="0"/>
      <w:numFmt w:val="bullet"/>
      <w:lvlText w:val="•"/>
      <w:lvlJc w:val="left"/>
      <w:pPr>
        <w:ind w:left="4001" w:hanging="214"/>
      </w:pPr>
      <w:rPr>
        <w:rFonts w:hint="default"/>
        <w:lang w:val="en-US" w:eastAsia="zh-CN" w:bidi="ar-SA"/>
      </w:rPr>
    </w:lvl>
    <w:lvl w:ilvl="6" w:tentative="0">
      <w:start w:val="0"/>
      <w:numFmt w:val="bullet"/>
      <w:lvlText w:val="•"/>
      <w:lvlJc w:val="left"/>
      <w:pPr>
        <w:ind w:left="4781" w:hanging="214"/>
      </w:pPr>
      <w:rPr>
        <w:rFonts w:hint="default"/>
        <w:lang w:val="en-US" w:eastAsia="zh-CN" w:bidi="ar-SA"/>
      </w:rPr>
    </w:lvl>
    <w:lvl w:ilvl="7" w:tentative="0">
      <w:start w:val="0"/>
      <w:numFmt w:val="bullet"/>
      <w:lvlText w:val="•"/>
      <w:lvlJc w:val="left"/>
      <w:pPr>
        <w:ind w:left="5561" w:hanging="214"/>
      </w:pPr>
      <w:rPr>
        <w:rFonts w:hint="default"/>
        <w:lang w:val="en-US" w:eastAsia="zh-CN" w:bidi="ar-SA"/>
      </w:rPr>
    </w:lvl>
    <w:lvl w:ilvl="8" w:tentative="0">
      <w:start w:val="0"/>
      <w:numFmt w:val="bullet"/>
      <w:lvlText w:val="•"/>
      <w:lvlJc w:val="left"/>
      <w:pPr>
        <w:ind w:left="6341" w:hanging="214"/>
      </w:pPr>
      <w:rPr>
        <w:rFonts w:hint="default"/>
        <w:lang w:val="en-US" w:eastAsia="zh-CN" w:bidi="ar-SA"/>
      </w:rPr>
    </w:lvl>
  </w:abstractNum>
  <w:abstractNum w:abstractNumId="49">
    <w:nsid w:val="437C9D23"/>
    <w:multiLevelType w:val="multilevel"/>
    <w:tmpl w:val="437C9D23"/>
    <w:lvl w:ilvl="0" w:tentative="0">
      <w:start w:val="1"/>
      <w:numFmt w:val="decimal"/>
      <w:lvlText w:val="%1."/>
      <w:lvlJc w:val="left"/>
      <w:pPr>
        <w:ind w:left="788" w:hanging="262"/>
        <w:jc w:val="left"/>
      </w:pPr>
      <w:rPr>
        <w:rFonts w:hint="default" w:ascii="Times New Roman" w:hAnsi="Times New Roman" w:eastAsia="Times New Roman" w:cs="Times New Roman"/>
        <w:b w:val="0"/>
        <w:bCs w:val="0"/>
        <w:i w:val="0"/>
        <w:iCs w:val="0"/>
        <w:spacing w:val="0"/>
        <w:w w:val="99"/>
        <w:sz w:val="21"/>
        <w:szCs w:val="21"/>
        <w:lang w:val="en-US" w:eastAsia="zh-CN" w:bidi="ar-SA"/>
      </w:rPr>
    </w:lvl>
    <w:lvl w:ilvl="1" w:tentative="0">
      <w:start w:val="0"/>
      <w:numFmt w:val="bullet"/>
      <w:lvlText w:val="•"/>
      <w:lvlJc w:val="left"/>
      <w:pPr>
        <w:ind w:left="1738" w:hanging="262"/>
      </w:pPr>
      <w:rPr>
        <w:rFonts w:hint="default"/>
        <w:lang w:val="en-US" w:eastAsia="zh-CN" w:bidi="ar-SA"/>
      </w:rPr>
    </w:lvl>
    <w:lvl w:ilvl="2" w:tentative="0">
      <w:start w:val="0"/>
      <w:numFmt w:val="bullet"/>
      <w:lvlText w:val="•"/>
      <w:lvlJc w:val="left"/>
      <w:pPr>
        <w:ind w:left="2697" w:hanging="262"/>
      </w:pPr>
      <w:rPr>
        <w:rFonts w:hint="default"/>
        <w:lang w:val="en-US" w:eastAsia="zh-CN" w:bidi="ar-SA"/>
      </w:rPr>
    </w:lvl>
    <w:lvl w:ilvl="3" w:tentative="0">
      <w:start w:val="0"/>
      <w:numFmt w:val="bullet"/>
      <w:lvlText w:val="•"/>
      <w:lvlJc w:val="left"/>
      <w:pPr>
        <w:ind w:left="3655" w:hanging="262"/>
      </w:pPr>
      <w:rPr>
        <w:rFonts w:hint="default"/>
        <w:lang w:val="en-US" w:eastAsia="zh-CN" w:bidi="ar-SA"/>
      </w:rPr>
    </w:lvl>
    <w:lvl w:ilvl="4" w:tentative="0">
      <w:start w:val="0"/>
      <w:numFmt w:val="bullet"/>
      <w:lvlText w:val="•"/>
      <w:lvlJc w:val="left"/>
      <w:pPr>
        <w:ind w:left="4614" w:hanging="262"/>
      </w:pPr>
      <w:rPr>
        <w:rFonts w:hint="default"/>
        <w:lang w:val="en-US" w:eastAsia="zh-CN" w:bidi="ar-SA"/>
      </w:rPr>
    </w:lvl>
    <w:lvl w:ilvl="5" w:tentative="0">
      <w:start w:val="0"/>
      <w:numFmt w:val="bullet"/>
      <w:lvlText w:val="•"/>
      <w:lvlJc w:val="left"/>
      <w:pPr>
        <w:ind w:left="5573" w:hanging="262"/>
      </w:pPr>
      <w:rPr>
        <w:rFonts w:hint="default"/>
        <w:lang w:val="en-US" w:eastAsia="zh-CN" w:bidi="ar-SA"/>
      </w:rPr>
    </w:lvl>
    <w:lvl w:ilvl="6" w:tentative="0">
      <w:start w:val="0"/>
      <w:numFmt w:val="bullet"/>
      <w:lvlText w:val="•"/>
      <w:lvlJc w:val="left"/>
      <w:pPr>
        <w:ind w:left="6531" w:hanging="262"/>
      </w:pPr>
      <w:rPr>
        <w:rFonts w:hint="default"/>
        <w:lang w:val="en-US" w:eastAsia="zh-CN" w:bidi="ar-SA"/>
      </w:rPr>
    </w:lvl>
    <w:lvl w:ilvl="7" w:tentative="0">
      <w:start w:val="0"/>
      <w:numFmt w:val="bullet"/>
      <w:lvlText w:val="•"/>
      <w:lvlJc w:val="left"/>
      <w:pPr>
        <w:ind w:left="7490" w:hanging="262"/>
      </w:pPr>
      <w:rPr>
        <w:rFonts w:hint="default"/>
        <w:lang w:val="en-US" w:eastAsia="zh-CN" w:bidi="ar-SA"/>
      </w:rPr>
    </w:lvl>
    <w:lvl w:ilvl="8" w:tentative="0">
      <w:start w:val="0"/>
      <w:numFmt w:val="bullet"/>
      <w:lvlText w:val="•"/>
      <w:lvlJc w:val="left"/>
      <w:pPr>
        <w:ind w:left="8448" w:hanging="262"/>
      </w:pPr>
      <w:rPr>
        <w:rFonts w:hint="default"/>
        <w:lang w:val="en-US" w:eastAsia="zh-CN" w:bidi="ar-SA"/>
      </w:rPr>
    </w:lvl>
  </w:abstractNum>
  <w:abstractNum w:abstractNumId="50">
    <w:nsid w:val="44D55049"/>
    <w:multiLevelType w:val="multilevel"/>
    <w:tmpl w:val="44D55049"/>
    <w:lvl w:ilvl="0" w:tentative="0">
      <w:start w:val="1"/>
      <w:numFmt w:val="decimal"/>
      <w:lvlText w:val="（%1）"/>
      <w:lvlJc w:val="left"/>
      <w:pPr>
        <w:ind w:left="1733" w:hanging="525"/>
        <w:jc w:val="left"/>
      </w:pPr>
      <w:rPr>
        <w:rFonts w:hint="default" w:ascii="宋体" w:hAnsi="宋体" w:eastAsia="宋体" w:cs="宋体"/>
        <w:b w:val="0"/>
        <w:bCs w:val="0"/>
        <w:i w:val="0"/>
        <w:iCs w:val="0"/>
        <w:spacing w:val="-1"/>
        <w:w w:val="99"/>
        <w:sz w:val="19"/>
        <w:szCs w:val="19"/>
        <w:lang w:val="en-US" w:eastAsia="zh-CN" w:bidi="ar-SA"/>
      </w:rPr>
    </w:lvl>
    <w:lvl w:ilvl="1" w:tentative="0">
      <w:start w:val="0"/>
      <w:numFmt w:val="bullet"/>
      <w:lvlText w:val="•"/>
      <w:lvlJc w:val="left"/>
      <w:pPr>
        <w:ind w:left="2602" w:hanging="525"/>
      </w:pPr>
      <w:rPr>
        <w:rFonts w:hint="default"/>
        <w:lang w:val="en-US" w:eastAsia="zh-CN" w:bidi="ar-SA"/>
      </w:rPr>
    </w:lvl>
    <w:lvl w:ilvl="2" w:tentative="0">
      <w:start w:val="0"/>
      <w:numFmt w:val="bullet"/>
      <w:lvlText w:val="•"/>
      <w:lvlJc w:val="left"/>
      <w:pPr>
        <w:ind w:left="3465" w:hanging="525"/>
      </w:pPr>
      <w:rPr>
        <w:rFonts w:hint="default"/>
        <w:lang w:val="en-US" w:eastAsia="zh-CN" w:bidi="ar-SA"/>
      </w:rPr>
    </w:lvl>
    <w:lvl w:ilvl="3" w:tentative="0">
      <w:start w:val="0"/>
      <w:numFmt w:val="bullet"/>
      <w:lvlText w:val="•"/>
      <w:lvlJc w:val="left"/>
      <w:pPr>
        <w:ind w:left="4327" w:hanging="525"/>
      </w:pPr>
      <w:rPr>
        <w:rFonts w:hint="default"/>
        <w:lang w:val="en-US" w:eastAsia="zh-CN" w:bidi="ar-SA"/>
      </w:rPr>
    </w:lvl>
    <w:lvl w:ilvl="4" w:tentative="0">
      <w:start w:val="0"/>
      <w:numFmt w:val="bullet"/>
      <w:lvlText w:val="•"/>
      <w:lvlJc w:val="left"/>
      <w:pPr>
        <w:ind w:left="5190" w:hanging="525"/>
      </w:pPr>
      <w:rPr>
        <w:rFonts w:hint="default"/>
        <w:lang w:val="en-US" w:eastAsia="zh-CN" w:bidi="ar-SA"/>
      </w:rPr>
    </w:lvl>
    <w:lvl w:ilvl="5" w:tentative="0">
      <w:start w:val="0"/>
      <w:numFmt w:val="bullet"/>
      <w:lvlText w:val="•"/>
      <w:lvlJc w:val="left"/>
      <w:pPr>
        <w:ind w:left="6053" w:hanging="525"/>
      </w:pPr>
      <w:rPr>
        <w:rFonts w:hint="default"/>
        <w:lang w:val="en-US" w:eastAsia="zh-CN" w:bidi="ar-SA"/>
      </w:rPr>
    </w:lvl>
    <w:lvl w:ilvl="6" w:tentative="0">
      <w:start w:val="0"/>
      <w:numFmt w:val="bullet"/>
      <w:lvlText w:val="•"/>
      <w:lvlJc w:val="left"/>
      <w:pPr>
        <w:ind w:left="6915" w:hanging="525"/>
      </w:pPr>
      <w:rPr>
        <w:rFonts w:hint="default"/>
        <w:lang w:val="en-US" w:eastAsia="zh-CN" w:bidi="ar-SA"/>
      </w:rPr>
    </w:lvl>
    <w:lvl w:ilvl="7" w:tentative="0">
      <w:start w:val="0"/>
      <w:numFmt w:val="bullet"/>
      <w:lvlText w:val="•"/>
      <w:lvlJc w:val="left"/>
      <w:pPr>
        <w:ind w:left="7778" w:hanging="525"/>
      </w:pPr>
      <w:rPr>
        <w:rFonts w:hint="default"/>
        <w:lang w:val="en-US" w:eastAsia="zh-CN" w:bidi="ar-SA"/>
      </w:rPr>
    </w:lvl>
    <w:lvl w:ilvl="8" w:tentative="0">
      <w:start w:val="0"/>
      <w:numFmt w:val="bullet"/>
      <w:lvlText w:val="•"/>
      <w:lvlJc w:val="left"/>
      <w:pPr>
        <w:ind w:left="8640" w:hanging="525"/>
      </w:pPr>
      <w:rPr>
        <w:rFonts w:hint="default"/>
        <w:lang w:val="en-US" w:eastAsia="zh-CN" w:bidi="ar-SA"/>
      </w:rPr>
    </w:lvl>
  </w:abstractNum>
  <w:abstractNum w:abstractNumId="51">
    <w:nsid w:val="46A9E371"/>
    <w:multiLevelType w:val="multilevel"/>
    <w:tmpl w:val="46A9E371"/>
    <w:lvl w:ilvl="0" w:tentative="0">
      <w:start w:val="1"/>
      <w:numFmt w:val="decimal"/>
      <w:lvlText w:val="%1."/>
      <w:lvlJc w:val="left"/>
      <w:pPr>
        <w:ind w:left="788" w:hanging="241"/>
        <w:jc w:val="left"/>
      </w:pPr>
      <w:rPr>
        <w:rFonts w:hint="default" w:ascii="宋体" w:hAnsi="宋体" w:eastAsia="宋体" w:cs="宋体"/>
        <w:b w:val="0"/>
        <w:bCs w:val="0"/>
        <w:i w:val="0"/>
        <w:iCs w:val="0"/>
        <w:spacing w:val="0"/>
        <w:w w:val="99"/>
        <w:sz w:val="22"/>
        <w:szCs w:val="22"/>
        <w:lang w:val="en-US" w:eastAsia="zh-CN" w:bidi="ar-SA"/>
      </w:rPr>
    </w:lvl>
    <w:lvl w:ilvl="1" w:tentative="0">
      <w:start w:val="0"/>
      <w:numFmt w:val="bullet"/>
      <w:lvlText w:val="•"/>
      <w:lvlJc w:val="left"/>
      <w:pPr>
        <w:ind w:left="1738" w:hanging="241"/>
      </w:pPr>
      <w:rPr>
        <w:rFonts w:hint="default"/>
        <w:lang w:val="en-US" w:eastAsia="zh-CN" w:bidi="ar-SA"/>
      </w:rPr>
    </w:lvl>
    <w:lvl w:ilvl="2" w:tentative="0">
      <w:start w:val="0"/>
      <w:numFmt w:val="bullet"/>
      <w:lvlText w:val="•"/>
      <w:lvlJc w:val="left"/>
      <w:pPr>
        <w:ind w:left="2697" w:hanging="241"/>
      </w:pPr>
      <w:rPr>
        <w:rFonts w:hint="default"/>
        <w:lang w:val="en-US" w:eastAsia="zh-CN" w:bidi="ar-SA"/>
      </w:rPr>
    </w:lvl>
    <w:lvl w:ilvl="3" w:tentative="0">
      <w:start w:val="0"/>
      <w:numFmt w:val="bullet"/>
      <w:lvlText w:val="•"/>
      <w:lvlJc w:val="left"/>
      <w:pPr>
        <w:ind w:left="3655" w:hanging="241"/>
      </w:pPr>
      <w:rPr>
        <w:rFonts w:hint="default"/>
        <w:lang w:val="en-US" w:eastAsia="zh-CN" w:bidi="ar-SA"/>
      </w:rPr>
    </w:lvl>
    <w:lvl w:ilvl="4" w:tentative="0">
      <w:start w:val="0"/>
      <w:numFmt w:val="bullet"/>
      <w:lvlText w:val="•"/>
      <w:lvlJc w:val="left"/>
      <w:pPr>
        <w:ind w:left="4614" w:hanging="241"/>
      </w:pPr>
      <w:rPr>
        <w:rFonts w:hint="default"/>
        <w:lang w:val="en-US" w:eastAsia="zh-CN" w:bidi="ar-SA"/>
      </w:rPr>
    </w:lvl>
    <w:lvl w:ilvl="5" w:tentative="0">
      <w:start w:val="0"/>
      <w:numFmt w:val="bullet"/>
      <w:lvlText w:val="•"/>
      <w:lvlJc w:val="left"/>
      <w:pPr>
        <w:ind w:left="5573" w:hanging="241"/>
      </w:pPr>
      <w:rPr>
        <w:rFonts w:hint="default"/>
        <w:lang w:val="en-US" w:eastAsia="zh-CN" w:bidi="ar-SA"/>
      </w:rPr>
    </w:lvl>
    <w:lvl w:ilvl="6" w:tentative="0">
      <w:start w:val="0"/>
      <w:numFmt w:val="bullet"/>
      <w:lvlText w:val="•"/>
      <w:lvlJc w:val="left"/>
      <w:pPr>
        <w:ind w:left="6531" w:hanging="241"/>
      </w:pPr>
      <w:rPr>
        <w:rFonts w:hint="default"/>
        <w:lang w:val="en-US" w:eastAsia="zh-CN" w:bidi="ar-SA"/>
      </w:rPr>
    </w:lvl>
    <w:lvl w:ilvl="7" w:tentative="0">
      <w:start w:val="0"/>
      <w:numFmt w:val="bullet"/>
      <w:lvlText w:val="•"/>
      <w:lvlJc w:val="left"/>
      <w:pPr>
        <w:ind w:left="7490" w:hanging="241"/>
      </w:pPr>
      <w:rPr>
        <w:rFonts w:hint="default"/>
        <w:lang w:val="en-US" w:eastAsia="zh-CN" w:bidi="ar-SA"/>
      </w:rPr>
    </w:lvl>
    <w:lvl w:ilvl="8" w:tentative="0">
      <w:start w:val="0"/>
      <w:numFmt w:val="bullet"/>
      <w:lvlText w:val="•"/>
      <w:lvlJc w:val="left"/>
      <w:pPr>
        <w:ind w:left="8448" w:hanging="241"/>
      </w:pPr>
      <w:rPr>
        <w:rFonts w:hint="default"/>
        <w:lang w:val="en-US" w:eastAsia="zh-CN" w:bidi="ar-SA"/>
      </w:rPr>
    </w:lvl>
  </w:abstractNum>
  <w:abstractNum w:abstractNumId="52">
    <w:nsid w:val="48CB6D4D"/>
    <w:multiLevelType w:val="multilevel"/>
    <w:tmpl w:val="48CB6D4D"/>
    <w:lvl w:ilvl="0" w:tentative="0">
      <w:start w:val="2"/>
      <w:numFmt w:val="decimal"/>
      <w:lvlText w:val="%1."/>
      <w:lvlJc w:val="left"/>
      <w:pPr>
        <w:ind w:left="1350" w:hanging="322"/>
        <w:jc w:val="left"/>
      </w:pPr>
      <w:rPr>
        <w:rFonts w:hint="default" w:ascii="宋体" w:hAnsi="宋体" w:eastAsia="宋体" w:cs="宋体"/>
        <w:b/>
        <w:bCs/>
        <w:i w:val="0"/>
        <w:iCs w:val="0"/>
        <w:spacing w:val="1"/>
        <w:w w:val="99"/>
        <w:sz w:val="30"/>
        <w:szCs w:val="30"/>
        <w:lang w:val="en-US" w:eastAsia="zh-CN" w:bidi="ar-SA"/>
      </w:rPr>
    </w:lvl>
    <w:lvl w:ilvl="1" w:tentative="0">
      <w:start w:val="1"/>
      <w:numFmt w:val="decimal"/>
      <w:lvlText w:val="%2."/>
      <w:lvlJc w:val="left"/>
      <w:pPr>
        <w:ind w:left="1509" w:hanging="241"/>
        <w:jc w:val="left"/>
      </w:pPr>
      <w:rPr>
        <w:rFonts w:hint="default" w:ascii="宋体" w:hAnsi="宋体" w:eastAsia="宋体" w:cs="宋体"/>
        <w:b w:val="0"/>
        <w:bCs w:val="0"/>
        <w:i w:val="0"/>
        <w:iCs w:val="0"/>
        <w:spacing w:val="0"/>
        <w:w w:val="99"/>
        <w:sz w:val="22"/>
        <w:szCs w:val="22"/>
        <w:lang w:val="en-US" w:eastAsia="zh-CN" w:bidi="ar-SA"/>
      </w:rPr>
    </w:lvl>
    <w:lvl w:ilvl="2" w:tentative="0">
      <w:start w:val="0"/>
      <w:numFmt w:val="bullet"/>
      <w:lvlText w:val="•"/>
      <w:lvlJc w:val="left"/>
      <w:pPr>
        <w:ind w:left="2485" w:hanging="241"/>
      </w:pPr>
      <w:rPr>
        <w:rFonts w:hint="default"/>
        <w:lang w:val="en-US" w:eastAsia="zh-CN" w:bidi="ar-SA"/>
      </w:rPr>
    </w:lvl>
    <w:lvl w:ilvl="3" w:tentative="0">
      <w:start w:val="0"/>
      <w:numFmt w:val="bullet"/>
      <w:lvlText w:val="•"/>
      <w:lvlJc w:val="left"/>
      <w:pPr>
        <w:ind w:left="3470" w:hanging="241"/>
      </w:pPr>
      <w:rPr>
        <w:rFonts w:hint="default"/>
        <w:lang w:val="en-US" w:eastAsia="zh-CN" w:bidi="ar-SA"/>
      </w:rPr>
    </w:lvl>
    <w:lvl w:ilvl="4" w:tentative="0">
      <w:start w:val="0"/>
      <w:numFmt w:val="bullet"/>
      <w:lvlText w:val="•"/>
      <w:lvlJc w:val="left"/>
      <w:pPr>
        <w:ind w:left="4455" w:hanging="241"/>
      </w:pPr>
      <w:rPr>
        <w:rFonts w:hint="default"/>
        <w:lang w:val="en-US" w:eastAsia="zh-CN" w:bidi="ar-SA"/>
      </w:rPr>
    </w:lvl>
    <w:lvl w:ilvl="5" w:tentative="0">
      <w:start w:val="0"/>
      <w:numFmt w:val="bullet"/>
      <w:lvlText w:val="•"/>
      <w:lvlJc w:val="left"/>
      <w:pPr>
        <w:ind w:left="5440" w:hanging="241"/>
      </w:pPr>
      <w:rPr>
        <w:rFonts w:hint="default"/>
        <w:lang w:val="en-US" w:eastAsia="zh-CN" w:bidi="ar-SA"/>
      </w:rPr>
    </w:lvl>
    <w:lvl w:ilvl="6" w:tentative="0">
      <w:start w:val="0"/>
      <w:numFmt w:val="bullet"/>
      <w:lvlText w:val="•"/>
      <w:lvlJc w:val="left"/>
      <w:pPr>
        <w:ind w:left="6425" w:hanging="241"/>
      </w:pPr>
      <w:rPr>
        <w:rFonts w:hint="default"/>
        <w:lang w:val="en-US" w:eastAsia="zh-CN" w:bidi="ar-SA"/>
      </w:rPr>
    </w:lvl>
    <w:lvl w:ilvl="7" w:tentative="0">
      <w:start w:val="0"/>
      <w:numFmt w:val="bullet"/>
      <w:lvlText w:val="•"/>
      <w:lvlJc w:val="left"/>
      <w:pPr>
        <w:ind w:left="7410" w:hanging="241"/>
      </w:pPr>
      <w:rPr>
        <w:rFonts w:hint="default"/>
        <w:lang w:val="en-US" w:eastAsia="zh-CN" w:bidi="ar-SA"/>
      </w:rPr>
    </w:lvl>
    <w:lvl w:ilvl="8" w:tentative="0">
      <w:start w:val="0"/>
      <w:numFmt w:val="bullet"/>
      <w:lvlText w:val="•"/>
      <w:lvlJc w:val="left"/>
      <w:pPr>
        <w:ind w:left="8395" w:hanging="241"/>
      </w:pPr>
      <w:rPr>
        <w:rFonts w:hint="default"/>
        <w:lang w:val="en-US" w:eastAsia="zh-CN" w:bidi="ar-SA"/>
      </w:rPr>
    </w:lvl>
  </w:abstractNum>
  <w:abstractNum w:abstractNumId="53">
    <w:nsid w:val="535A0F65"/>
    <w:multiLevelType w:val="multilevel"/>
    <w:tmpl w:val="535A0F65"/>
    <w:lvl w:ilvl="0" w:tentative="0">
      <w:start w:val="1"/>
      <w:numFmt w:val="decimal"/>
      <w:lvlText w:val="（%1）"/>
      <w:lvlJc w:val="left"/>
      <w:pPr>
        <w:ind w:left="1869" w:hanging="601"/>
        <w:jc w:val="left"/>
      </w:pPr>
      <w:rPr>
        <w:rFonts w:hint="default" w:ascii="宋体" w:hAnsi="宋体" w:eastAsia="宋体" w:cs="宋体"/>
        <w:b w:val="0"/>
        <w:bCs w:val="0"/>
        <w:i w:val="0"/>
        <w:iCs w:val="0"/>
        <w:spacing w:val="0"/>
        <w:w w:val="100"/>
        <w:sz w:val="22"/>
        <w:szCs w:val="22"/>
        <w:lang w:val="en-US" w:eastAsia="zh-CN" w:bidi="ar-SA"/>
      </w:rPr>
    </w:lvl>
    <w:lvl w:ilvl="1" w:tentative="0">
      <w:start w:val="0"/>
      <w:numFmt w:val="bullet"/>
      <w:lvlText w:val="•"/>
      <w:lvlJc w:val="left"/>
      <w:pPr>
        <w:ind w:left="2710" w:hanging="601"/>
      </w:pPr>
      <w:rPr>
        <w:rFonts w:hint="default"/>
        <w:lang w:val="en-US" w:eastAsia="zh-CN" w:bidi="ar-SA"/>
      </w:rPr>
    </w:lvl>
    <w:lvl w:ilvl="2" w:tentative="0">
      <w:start w:val="0"/>
      <w:numFmt w:val="bullet"/>
      <w:lvlText w:val="•"/>
      <w:lvlJc w:val="left"/>
      <w:pPr>
        <w:ind w:left="3561" w:hanging="601"/>
      </w:pPr>
      <w:rPr>
        <w:rFonts w:hint="default"/>
        <w:lang w:val="en-US" w:eastAsia="zh-CN" w:bidi="ar-SA"/>
      </w:rPr>
    </w:lvl>
    <w:lvl w:ilvl="3" w:tentative="0">
      <w:start w:val="0"/>
      <w:numFmt w:val="bullet"/>
      <w:lvlText w:val="•"/>
      <w:lvlJc w:val="left"/>
      <w:pPr>
        <w:ind w:left="4411" w:hanging="601"/>
      </w:pPr>
      <w:rPr>
        <w:rFonts w:hint="default"/>
        <w:lang w:val="en-US" w:eastAsia="zh-CN" w:bidi="ar-SA"/>
      </w:rPr>
    </w:lvl>
    <w:lvl w:ilvl="4" w:tentative="0">
      <w:start w:val="0"/>
      <w:numFmt w:val="bullet"/>
      <w:lvlText w:val="•"/>
      <w:lvlJc w:val="left"/>
      <w:pPr>
        <w:ind w:left="5262" w:hanging="601"/>
      </w:pPr>
      <w:rPr>
        <w:rFonts w:hint="default"/>
        <w:lang w:val="en-US" w:eastAsia="zh-CN" w:bidi="ar-SA"/>
      </w:rPr>
    </w:lvl>
    <w:lvl w:ilvl="5" w:tentative="0">
      <w:start w:val="0"/>
      <w:numFmt w:val="bullet"/>
      <w:lvlText w:val="•"/>
      <w:lvlJc w:val="left"/>
      <w:pPr>
        <w:ind w:left="6113" w:hanging="601"/>
      </w:pPr>
      <w:rPr>
        <w:rFonts w:hint="default"/>
        <w:lang w:val="en-US" w:eastAsia="zh-CN" w:bidi="ar-SA"/>
      </w:rPr>
    </w:lvl>
    <w:lvl w:ilvl="6" w:tentative="0">
      <w:start w:val="0"/>
      <w:numFmt w:val="bullet"/>
      <w:lvlText w:val="•"/>
      <w:lvlJc w:val="left"/>
      <w:pPr>
        <w:ind w:left="6963" w:hanging="601"/>
      </w:pPr>
      <w:rPr>
        <w:rFonts w:hint="default"/>
        <w:lang w:val="en-US" w:eastAsia="zh-CN" w:bidi="ar-SA"/>
      </w:rPr>
    </w:lvl>
    <w:lvl w:ilvl="7" w:tentative="0">
      <w:start w:val="0"/>
      <w:numFmt w:val="bullet"/>
      <w:lvlText w:val="•"/>
      <w:lvlJc w:val="left"/>
      <w:pPr>
        <w:ind w:left="7814" w:hanging="601"/>
      </w:pPr>
      <w:rPr>
        <w:rFonts w:hint="default"/>
        <w:lang w:val="en-US" w:eastAsia="zh-CN" w:bidi="ar-SA"/>
      </w:rPr>
    </w:lvl>
    <w:lvl w:ilvl="8" w:tentative="0">
      <w:start w:val="0"/>
      <w:numFmt w:val="bullet"/>
      <w:lvlText w:val="•"/>
      <w:lvlJc w:val="left"/>
      <w:pPr>
        <w:ind w:left="8664" w:hanging="601"/>
      </w:pPr>
      <w:rPr>
        <w:rFonts w:hint="default"/>
        <w:lang w:val="en-US" w:eastAsia="zh-CN" w:bidi="ar-SA"/>
      </w:rPr>
    </w:lvl>
  </w:abstractNum>
  <w:abstractNum w:abstractNumId="54">
    <w:nsid w:val="55CEB837"/>
    <w:multiLevelType w:val="multilevel"/>
    <w:tmpl w:val="55CEB837"/>
    <w:lvl w:ilvl="0" w:tentative="0">
      <w:start w:val="5"/>
      <w:numFmt w:val="decimal"/>
      <w:lvlText w:val="（%1）"/>
      <w:lvlJc w:val="left"/>
      <w:pPr>
        <w:ind w:left="635" w:hanging="528"/>
        <w:jc w:val="left"/>
      </w:pPr>
      <w:rPr>
        <w:rFonts w:hint="default" w:ascii="宋体" w:hAnsi="宋体" w:eastAsia="宋体" w:cs="宋体"/>
        <w:b/>
        <w:bCs/>
        <w:i w:val="0"/>
        <w:iCs w:val="0"/>
        <w:spacing w:val="1"/>
        <w:w w:val="99"/>
        <w:sz w:val="19"/>
        <w:szCs w:val="19"/>
        <w:lang w:val="en-US" w:eastAsia="zh-CN" w:bidi="ar-SA"/>
      </w:rPr>
    </w:lvl>
    <w:lvl w:ilvl="1" w:tentative="0">
      <w:start w:val="0"/>
      <w:numFmt w:val="bullet"/>
      <w:lvlText w:val="•"/>
      <w:lvlJc w:val="left"/>
      <w:pPr>
        <w:ind w:left="1203" w:hanging="528"/>
      </w:pPr>
      <w:rPr>
        <w:rFonts w:hint="default"/>
        <w:lang w:val="en-US" w:eastAsia="zh-CN" w:bidi="ar-SA"/>
      </w:rPr>
    </w:lvl>
    <w:lvl w:ilvl="2" w:tentative="0">
      <w:start w:val="0"/>
      <w:numFmt w:val="bullet"/>
      <w:lvlText w:val="•"/>
      <w:lvlJc w:val="left"/>
      <w:pPr>
        <w:ind w:left="1766" w:hanging="528"/>
      </w:pPr>
      <w:rPr>
        <w:rFonts w:hint="default"/>
        <w:lang w:val="en-US" w:eastAsia="zh-CN" w:bidi="ar-SA"/>
      </w:rPr>
    </w:lvl>
    <w:lvl w:ilvl="3" w:tentative="0">
      <w:start w:val="0"/>
      <w:numFmt w:val="bullet"/>
      <w:lvlText w:val="•"/>
      <w:lvlJc w:val="left"/>
      <w:pPr>
        <w:ind w:left="2330" w:hanging="528"/>
      </w:pPr>
      <w:rPr>
        <w:rFonts w:hint="default"/>
        <w:lang w:val="en-US" w:eastAsia="zh-CN" w:bidi="ar-SA"/>
      </w:rPr>
    </w:lvl>
    <w:lvl w:ilvl="4" w:tentative="0">
      <w:start w:val="0"/>
      <w:numFmt w:val="bullet"/>
      <w:lvlText w:val="•"/>
      <w:lvlJc w:val="left"/>
      <w:pPr>
        <w:ind w:left="2893" w:hanging="528"/>
      </w:pPr>
      <w:rPr>
        <w:rFonts w:hint="default"/>
        <w:lang w:val="en-US" w:eastAsia="zh-CN" w:bidi="ar-SA"/>
      </w:rPr>
    </w:lvl>
    <w:lvl w:ilvl="5" w:tentative="0">
      <w:start w:val="0"/>
      <w:numFmt w:val="bullet"/>
      <w:lvlText w:val="•"/>
      <w:lvlJc w:val="left"/>
      <w:pPr>
        <w:ind w:left="3457" w:hanging="528"/>
      </w:pPr>
      <w:rPr>
        <w:rFonts w:hint="default"/>
        <w:lang w:val="en-US" w:eastAsia="zh-CN" w:bidi="ar-SA"/>
      </w:rPr>
    </w:lvl>
    <w:lvl w:ilvl="6" w:tentative="0">
      <w:start w:val="0"/>
      <w:numFmt w:val="bullet"/>
      <w:lvlText w:val="•"/>
      <w:lvlJc w:val="left"/>
      <w:pPr>
        <w:ind w:left="4020" w:hanging="528"/>
      </w:pPr>
      <w:rPr>
        <w:rFonts w:hint="default"/>
        <w:lang w:val="en-US" w:eastAsia="zh-CN" w:bidi="ar-SA"/>
      </w:rPr>
    </w:lvl>
    <w:lvl w:ilvl="7" w:tentative="0">
      <w:start w:val="0"/>
      <w:numFmt w:val="bullet"/>
      <w:lvlText w:val="•"/>
      <w:lvlJc w:val="left"/>
      <w:pPr>
        <w:ind w:left="4583" w:hanging="528"/>
      </w:pPr>
      <w:rPr>
        <w:rFonts w:hint="default"/>
        <w:lang w:val="en-US" w:eastAsia="zh-CN" w:bidi="ar-SA"/>
      </w:rPr>
    </w:lvl>
    <w:lvl w:ilvl="8" w:tentative="0">
      <w:start w:val="0"/>
      <w:numFmt w:val="bullet"/>
      <w:lvlText w:val="•"/>
      <w:lvlJc w:val="left"/>
      <w:pPr>
        <w:ind w:left="5147" w:hanging="528"/>
      </w:pPr>
      <w:rPr>
        <w:rFonts w:hint="default"/>
        <w:lang w:val="en-US" w:eastAsia="zh-CN" w:bidi="ar-SA"/>
      </w:rPr>
    </w:lvl>
  </w:abstractNum>
  <w:abstractNum w:abstractNumId="55">
    <w:nsid w:val="5E4059EB"/>
    <w:multiLevelType w:val="multilevel"/>
    <w:tmpl w:val="5E4059EB"/>
    <w:lvl w:ilvl="0" w:tentative="0">
      <w:start w:val="1"/>
      <w:numFmt w:val="decimal"/>
      <w:lvlText w:val="（%1）"/>
      <w:lvlJc w:val="left"/>
      <w:pPr>
        <w:ind w:left="788" w:hanging="528"/>
        <w:jc w:val="left"/>
      </w:pPr>
      <w:rPr>
        <w:rFonts w:hint="default" w:ascii="宋体" w:hAnsi="宋体" w:eastAsia="宋体" w:cs="宋体"/>
        <w:b w:val="0"/>
        <w:bCs w:val="0"/>
        <w:i w:val="0"/>
        <w:iCs w:val="0"/>
        <w:spacing w:val="1"/>
        <w:w w:val="99"/>
        <w:sz w:val="19"/>
        <w:szCs w:val="19"/>
        <w:lang w:val="en-US" w:eastAsia="zh-CN" w:bidi="ar-SA"/>
      </w:rPr>
    </w:lvl>
    <w:lvl w:ilvl="1" w:tentative="0">
      <w:start w:val="0"/>
      <w:numFmt w:val="bullet"/>
      <w:lvlText w:val="•"/>
      <w:lvlJc w:val="left"/>
      <w:pPr>
        <w:ind w:left="1738" w:hanging="528"/>
      </w:pPr>
      <w:rPr>
        <w:rFonts w:hint="default"/>
        <w:lang w:val="en-US" w:eastAsia="zh-CN" w:bidi="ar-SA"/>
      </w:rPr>
    </w:lvl>
    <w:lvl w:ilvl="2" w:tentative="0">
      <w:start w:val="0"/>
      <w:numFmt w:val="bullet"/>
      <w:lvlText w:val="•"/>
      <w:lvlJc w:val="left"/>
      <w:pPr>
        <w:ind w:left="2697" w:hanging="528"/>
      </w:pPr>
      <w:rPr>
        <w:rFonts w:hint="default"/>
        <w:lang w:val="en-US" w:eastAsia="zh-CN" w:bidi="ar-SA"/>
      </w:rPr>
    </w:lvl>
    <w:lvl w:ilvl="3" w:tentative="0">
      <w:start w:val="0"/>
      <w:numFmt w:val="bullet"/>
      <w:lvlText w:val="•"/>
      <w:lvlJc w:val="left"/>
      <w:pPr>
        <w:ind w:left="3655" w:hanging="528"/>
      </w:pPr>
      <w:rPr>
        <w:rFonts w:hint="default"/>
        <w:lang w:val="en-US" w:eastAsia="zh-CN" w:bidi="ar-SA"/>
      </w:rPr>
    </w:lvl>
    <w:lvl w:ilvl="4" w:tentative="0">
      <w:start w:val="0"/>
      <w:numFmt w:val="bullet"/>
      <w:lvlText w:val="•"/>
      <w:lvlJc w:val="left"/>
      <w:pPr>
        <w:ind w:left="4614" w:hanging="528"/>
      </w:pPr>
      <w:rPr>
        <w:rFonts w:hint="default"/>
        <w:lang w:val="en-US" w:eastAsia="zh-CN" w:bidi="ar-SA"/>
      </w:rPr>
    </w:lvl>
    <w:lvl w:ilvl="5" w:tentative="0">
      <w:start w:val="0"/>
      <w:numFmt w:val="bullet"/>
      <w:lvlText w:val="•"/>
      <w:lvlJc w:val="left"/>
      <w:pPr>
        <w:ind w:left="5573" w:hanging="528"/>
      </w:pPr>
      <w:rPr>
        <w:rFonts w:hint="default"/>
        <w:lang w:val="en-US" w:eastAsia="zh-CN" w:bidi="ar-SA"/>
      </w:rPr>
    </w:lvl>
    <w:lvl w:ilvl="6" w:tentative="0">
      <w:start w:val="0"/>
      <w:numFmt w:val="bullet"/>
      <w:lvlText w:val="•"/>
      <w:lvlJc w:val="left"/>
      <w:pPr>
        <w:ind w:left="6531" w:hanging="528"/>
      </w:pPr>
      <w:rPr>
        <w:rFonts w:hint="default"/>
        <w:lang w:val="en-US" w:eastAsia="zh-CN" w:bidi="ar-SA"/>
      </w:rPr>
    </w:lvl>
    <w:lvl w:ilvl="7" w:tentative="0">
      <w:start w:val="0"/>
      <w:numFmt w:val="bullet"/>
      <w:lvlText w:val="•"/>
      <w:lvlJc w:val="left"/>
      <w:pPr>
        <w:ind w:left="7490" w:hanging="528"/>
      </w:pPr>
      <w:rPr>
        <w:rFonts w:hint="default"/>
        <w:lang w:val="en-US" w:eastAsia="zh-CN" w:bidi="ar-SA"/>
      </w:rPr>
    </w:lvl>
    <w:lvl w:ilvl="8" w:tentative="0">
      <w:start w:val="0"/>
      <w:numFmt w:val="bullet"/>
      <w:lvlText w:val="•"/>
      <w:lvlJc w:val="left"/>
      <w:pPr>
        <w:ind w:left="8448" w:hanging="528"/>
      </w:pPr>
      <w:rPr>
        <w:rFonts w:hint="default"/>
        <w:lang w:val="en-US" w:eastAsia="zh-CN" w:bidi="ar-SA"/>
      </w:rPr>
    </w:lvl>
  </w:abstractNum>
  <w:abstractNum w:abstractNumId="56">
    <w:nsid w:val="63564A57"/>
    <w:multiLevelType w:val="multilevel"/>
    <w:tmpl w:val="63564A57"/>
    <w:lvl w:ilvl="0" w:tentative="0">
      <w:start w:val="1"/>
      <w:numFmt w:val="decimal"/>
      <w:lvlText w:val="（%1）"/>
      <w:lvlJc w:val="left"/>
      <w:pPr>
        <w:ind w:left="1733" w:hanging="525"/>
        <w:jc w:val="left"/>
      </w:pPr>
      <w:rPr>
        <w:rFonts w:hint="default" w:ascii="宋体" w:hAnsi="宋体" w:eastAsia="宋体" w:cs="宋体"/>
        <w:b w:val="0"/>
        <w:bCs w:val="0"/>
        <w:i w:val="0"/>
        <w:iCs w:val="0"/>
        <w:spacing w:val="-1"/>
        <w:w w:val="99"/>
        <w:sz w:val="19"/>
        <w:szCs w:val="19"/>
        <w:lang w:val="en-US" w:eastAsia="zh-CN" w:bidi="ar-SA"/>
      </w:rPr>
    </w:lvl>
    <w:lvl w:ilvl="1" w:tentative="0">
      <w:start w:val="0"/>
      <w:numFmt w:val="bullet"/>
      <w:lvlText w:val="•"/>
      <w:lvlJc w:val="left"/>
      <w:pPr>
        <w:ind w:left="2602" w:hanging="525"/>
      </w:pPr>
      <w:rPr>
        <w:rFonts w:hint="default"/>
        <w:lang w:val="en-US" w:eastAsia="zh-CN" w:bidi="ar-SA"/>
      </w:rPr>
    </w:lvl>
    <w:lvl w:ilvl="2" w:tentative="0">
      <w:start w:val="0"/>
      <w:numFmt w:val="bullet"/>
      <w:lvlText w:val="•"/>
      <w:lvlJc w:val="left"/>
      <w:pPr>
        <w:ind w:left="3465" w:hanging="525"/>
      </w:pPr>
      <w:rPr>
        <w:rFonts w:hint="default"/>
        <w:lang w:val="en-US" w:eastAsia="zh-CN" w:bidi="ar-SA"/>
      </w:rPr>
    </w:lvl>
    <w:lvl w:ilvl="3" w:tentative="0">
      <w:start w:val="0"/>
      <w:numFmt w:val="bullet"/>
      <w:lvlText w:val="•"/>
      <w:lvlJc w:val="left"/>
      <w:pPr>
        <w:ind w:left="4327" w:hanging="525"/>
      </w:pPr>
      <w:rPr>
        <w:rFonts w:hint="default"/>
        <w:lang w:val="en-US" w:eastAsia="zh-CN" w:bidi="ar-SA"/>
      </w:rPr>
    </w:lvl>
    <w:lvl w:ilvl="4" w:tentative="0">
      <w:start w:val="0"/>
      <w:numFmt w:val="bullet"/>
      <w:lvlText w:val="•"/>
      <w:lvlJc w:val="left"/>
      <w:pPr>
        <w:ind w:left="5190" w:hanging="525"/>
      </w:pPr>
      <w:rPr>
        <w:rFonts w:hint="default"/>
        <w:lang w:val="en-US" w:eastAsia="zh-CN" w:bidi="ar-SA"/>
      </w:rPr>
    </w:lvl>
    <w:lvl w:ilvl="5" w:tentative="0">
      <w:start w:val="0"/>
      <w:numFmt w:val="bullet"/>
      <w:lvlText w:val="•"/>
      <w:lvlJc w:val="left"/>
      <w:pPr>
        <w:ind w:left="6053" w:hanging="525"/>
      </w:pPr>
      <w:rPr>
        <w:rFonts w:hint="default"/>
        <w:lang w:val="en-US" w:eastAsia="zh-CN" w:bidi="ar-SA"/>
      </w:rPr>
    </w:lvl>
    <w:lvl w:ilvl="6" w:tentative="0">
      <w:start w:val="0"/>
      <w:numFmt w:val="bullet"/>
      <w:lvlText w:val="•"/>
      <w:lvlJc w:val="left"/>
      <w:pPr>
        <w:ind w:left="6915" w:hanging="525"/>
      </w:pPr>
      <w:rPr>
        <w:rFonts w:hint="default"/>
        <w:lang w:val="en-US" w:eastAsia="zh-CN" w:bidi="ar-SA"/>
      </w:rPr>
    </w:lvl>
    <w:lvl w:ilvl="7" w:tentative="0">
      <w:start w:val="0"/>
      <w:numFmt w:val="bullet"/>
      <w:lvlText w:val="•"/>
      <w:lvlJc w:val="left"/>
      <w:pPr>
        <w:ind w:left="7778" w:hanging="525"/>
      </w:pPr>
      <w:rPr>
        <w:rFonts w:hint="default"/>
        <w:lang w:val="en-US" w:eastAsia="zh-CN" w:bidi="ar-SA"/>
      </w:rPr>
    </w:lvl>
    <w:lvl w:ilvl="8" w:tentative="0">
      <w:start w:val="0"/>
      <w:numFmt w:val="bullet"/>
      <w:lvlText w:val="•"/>
      <w:lvlJc w:val="left"/>
      <w:pPr>
        <w:ind w:left="8640" w:hanging="525"/>
      </w:pPr>
      <w:rPr>
        <w:rFonts w:hint="default"/>
        <w:lang w:val="en-US" w:eastAsia="zh-CN" w:bidi="ar-SA"/>
      </w:rPr>
    </w:lvl>
  </w:abstractNum>
  <w:abstractNum w:abstractNumId="57">
    <w:nsid w:val="68B4ACD0"/>
    <w:multiLevelType w:val="multilevel"/>
    <w:tmpl w:val="68B4ACD0"/>
    <w:lvl w:ilvl="0" w:tentative="0">
      <w:start w:val="1"/>
      <w:numFmt w:val="decimal"/>
      <w:lvlText w:val="%1."/>
      <w:lvlJc w:val="left"/>
      <w:pPr>
        <w:ind w:left="1417" w:hanging="209"/>
        <w:jc w:val="left"/>
      </w:pPr>
      <w:rPr>
        <w:rFonts w:hint="default" w:ascii="宋体" w:hAnsi="宋体" w:eastAsia="宋体" w:cs="宋体"/>
        <w:b w:val="0"/>
        <w:bCs w:val="0"/>
        <w:i w:val="0"/>
        <w:iCs w:val="0"/>
        <w:spacing w:val="-2"/>
        <w:w w:val="99"/>
        <w:sz w:val="19"/>
        <w:szCs w:val="19"/>
        <w:lang w:val="en-US" w:eastAsia="zh-CN" w:bidi="ar-SA"/>
      </w:rPr>
    </w:lvl>
    <w:lvl w:ilvl="1" w:tentative="0">
      <w:start w:val="0"/>
      <w:numFmt w:val="bullet"/>
      <w:lvlText w:val="•"/>
      <w:lvlJc w:val="left"/>
      <w:pPr>
        <w:ind w:left="2314" w:hanging="209"/>
      </w:pPr>
      <w:rPr>
        <w:rFonts w:hint="default"/>
        <w:lang w:val="en-US" w:eastAsia="zh-CN" w:bidi="ar-SA"/>
      </w:rPr>
    </w:lvl>
    <w:lvl w:ilvl="2" w:tentative="0">
      <w:start w:val="0"/>
      <w:numFmt w:val="bullet"/>
      <w:lvlText w:val="•"/>
      <w:lvlJc w:val="left"/>
      <w:pPr>
        <w:ind w:left="3209" w:hanging="209"/>
      </w:pPr>
      <w:rPr>
        <w:rFonts w:hint="default"/>
        <w:lang w:val="en-US" w:eastAsia="zh-CN" w:bidi="ar-SA"/>
      </w:rPr>
    </w:lvl>
    <w:lvl w:ilvl="3" w:tentative="0">
      <w:start w:val="0"/>
      <w:numFmt w:val="bullet"/>
      <w:lvlText w:val="•"/>
      <w:lvlJc w:val="left"/>
      <w:pPr>
        <w:ind w:left="4103" w:hanging="209"/>
      </w:pPr>
      <w:rPr>
        <w:rFonts w:hint="default"/>
        <w:lang w:val="en-US" w:eastAsia="zh-CN" w:bidi="ar-SA"/>
      </w:rPr>
    </w:lvl>
    <w:lvl w:ilvl="4" w:tentative="0">
      <w:start w:val="0"/>
      <w:numFmt w:val="bullet"/>
      <w:lvlText w:val="•"/>
      <w:lvlJc w:val="left"/>
      <w:pPr>
        <w:ind w:left="4998" w:hanging="209"/>
      </w:pPr>
      <w:rPr>
        <w:rFonts w:hint="default"/>
        <w:lang w:val="en-US" w:eastAsia="zh-CN" w:bidi="ar-SA"/>
      </w:rPr>
    </w:lvl>
    <w:lvl w:ilvl="5" w:tentative="0">
      <w:start w:val="0"/>
      <w:numFmt w:val="bullet"/>
      <w:lvlText w:val="•"/>
      <w:lvlJc w:val="left"/>
      <w:pPr>
        <w:ind w:left="5893" w:hanging="209"/>
      </w:pPr>
      <w:rPr>
        <w:rFonts w:hint="default"/>
        <w:lang w:val="en-US" w:eastAsia="zh-CN" w:bidi="ar-SA"/>
      </w:rPr>
    </w:lvl>
    <w:lvl w:ilvl="6" w:tentative="0">
      <w:start w:val="0"/>
      <w:numFmt w:val="bullet"/>
      <w:lvlText w:val="•"/>
      <w:lvlJc w:val="left"/>
      <w:pPr>
        <w:ind w:left="6787" w:hanging="209"/>
      </w:pPr>
      <w:rPr>
        <w:rFonts w:hint="default"/>
        <w:lang w:val="en-US" w:eastAsia="zh-CN" w:bidi="ar-SA"/>
      </w:rPr>
    </w:lvl>
    <w:lvl w:ilvl="7" w:tentative="0">
      <w:start w:val="0"/>
      <w:numFmt w:val="bullet"/>
      <w:lvlText w:val="•"/>
      <w:lvlJc w:val="left"/>
      <w:pPr>
        <w:ind w:left="7682" w:hanging="209"/>
      </w:pPr>
      <w:rPr>
        <w:rFonts w:hint="default"/>
        <w:lang w:val="en-US" w:eastAsia="zh-CN" w:bidi="ar-SA"/>
      </w:rPr>
    </w:lvl>
    <w:lvl w:ilvl="8" w:tentative="0">
      <w:start w:val="0"/>
      <w:numFmt w:val="bullet"/>
      <w:lvlText w:val="•"/>
      <w:lvlJc w:val="left"/>
      <w:pPr>
        <w:ind w:left="8576" w:hanging="209"/>
      </w:pPr>
      <w:rPr>
        <w:rFonts w:hint="default"/>
        <w:lang w:val="en-US" w:eastAsia="zh-CN" w:bidi="ar-SA"/>
      </w:rPr>
    </w:lvl>
  </w:abstractNum>
  <w:abstractNum w:abstractNumId="58">
    <w:nsid w:val="68F7C636"/>
    <w:multiLevelType w:val="multilevel"/>
    <w:tmpl w:val="68F7C636"/>
    <w:lvl w:ilvl="0" w:tentative="0">
      <w:start w:val="1"/>
      <w:numFmt w:val="decimal"/>
      <w:lvlText w:val="%1."/>
      <w:lvlJc w:val="left"/>
      <w:pPr>
        <w:ind w:left="1110" w:hanging="322"/>
        <w:jc w:val="right"/>
      </w:pPr>
      <w:rPr>
        <w:rFonts w:hint="default" w:ascii="宋体" w:hAnsi="宋体" w:eastAsia="宋体" w:cs="宋体"/>
        <w:b/>
        <w:bCs/>
        <w:i w:val="0"/>
        <w:iCs w:val="0"/>
        <w:spacing w:val="1"/>
        <w:w w:val="98"/>
        <w:sz w:val="30"/>
        <w:szCs w:val="30"/>
        <w:lang w:val="en-US" w:eastAsia="zh-CN" w:bidi="ar-SA"/>
      </w:rPr>
    </w:lvl>
    <w:lvl w:ilvl="1" w:tentative="0">
      <w:start w:val="1"/>
      <w:numFmt w:val="decimal"/>
      <w:lvlText w:val="%2."/>
      <w:lvlJc w:val="left"/>
      <w:pPr>
        <w:ind w:left="788" w:hanging="241"/>
        <w:jc w:val="left"/>
      </w:pPr>
      <w:rPr>
        <w:rFonts w:hint="default" w:ascii="宋体" w:hAnsi="宋体" w:eastAsia="宋体" w:cs="宋体"/>
        <w:b w:val="0"/>
        <w:bCs w:val="0"/>
        <w:i w:val="0"/>
        <w:iCs w:val="0"/>
        <w:spacing w:val="0"/>
        <w:w w:val="99"/>
        <w:sz w:val="22"/>
        <w:szCs w:val="22"/>
        <w:lang w:val="en-US" w:eastAsia="zh-CN" w:bidi="ar-SA"/>
      </w:rPr>
    </w:lvl>
    <w:lvl w:ilvl="2" w:tentative="0">
      <w:start w:val="0"/>
      <w:numFmt w:val="bullet"/>
      <w:lvlText w:val="•"/>
      <w:lvlJc w:val="left"/>
      <w:pPr>
        <w:ind w:left="2147" w:hanging="241"/>
      </w:pPr>
      <w:rPr>
        <w:rFonts w:hint="default"/>
        <w:lang w:val="en-US" w:eastAsia="zh-CN" w:bidi="ar-SA"/>
      </w:rPr>
    </w:lvl>
    <w:lvl w:ilvl="3" w:tentative="0">
      <w:start w:val="0"/>
      <w:numFmt w:val="bullet"/>
      <w:lvlText w:val="•"/>
      <w:lvlJc w:val="left"/>
      <w:pPr>
        <w:ind w:left="3174" w:hanging="241"/>
      </w:pPr>
      <w:rPr>
        <w:rFonts w:hint="default"/>
        <w:lang w:val="en-US" w:eastAsia="zh-CN" w:bidi="ar-SA"/>
      </w:rPr>
    </w:lvl>
    <w:lvl w:ilvl="4" w:tentative="0">
      <w:start w:val="0"/>
      <w:numFmt w:val="bullet"/>
      <w:lvlText w:val="•"/>
      <w:lvlJc w:val="left"/>
      <w:pPr>
        <w:ind w:left="4202" w:hanging="241"/>
      </w:pPr>
      <w:rPr>
        <w:rFonts w:hint="default"/>
        <w:lang w:val="en-US" w:eastAsia="zh-CN" w:bidi="ar-SA"/>
      </w:rPr>
    </w:lvl>
    <w:lvl w:ilvl="5" w:tentative="0">
      <w:start w:val="0"/>
      <w:numFmt w:val="bullet"/>
      <w:lvlText w:val="•"/>
      <w:lvlJc w:val="left"/>
      <w:pPr>
        <w:ind w:left="5229" w:hanging="241"/>
      </w:pPr>
      <w:rPr>
        <w:rFonts w:hint="default"/>
        <w:lang w:val="en-US" w:eastAsia="zh-CN" w:bidi="ar-SA"/>
      </w:rPr>
    </w:lvl>
    <w:lvl w:ilvl="6" w:tentative="0">
      <w:start w:val="0"/>
      <w:numFmt w:val="bullet"/>
      <w:lvlText w:val="•"/>
      <w:lvlJc w:val="left"/>
      <w:pPr>
        <w:ind w:left="6256" w:hanging="241"/>
      </w:pPr>
      <w:rPr>
        <w:rFonts w:hint="default"/>
        <w:lang w:val="en-US" w:eastAsia="zh-CN" w:bidi="ar-SA"/>
      </w:rPr>
    </w:lvl>
    <w:lvl w:ilvl="7" w:tentative="0">
      <w:start w:val="0"/>
      <w:numFmt w:val="bullet"/>
      <w:lvlText w:val="•"/>
      <w:lvlJc w:val="left"/>
      <w:pPr>
        <w:ind w:left="7284" w:hanging="241"/>
      </w:pPr>
      <w:rPr>
        <w:rFonts w:hint="default"/>
        <w:lang w:val="en-US" w:eastAsia="zh-CN" w:bidi="ar-SA"/>
      </w:rPr>
    </w:lvl>
    <w:lvl w:ilvl="8" w:tentative="0">
      <w:start w:val="0"/>
      <w:numFmt w:val="bullet"/>
      <w:lvlText w:val="•"/>
      <w:lvlJc w:val="left"/>
      <w:pPr>
        <w:ind w:left="8311" w:hanging="241"/>
      </w:pPr>
      <w:rPr>
        <w:rFonts w:hint="default"/>
        <w:lang w:val="en-US" w:eastAsia="zh-CN" w:bidi="ar-SA"/>
      </w:rPr>
    </w:lvl>
  </w:abstractNum>
  <w:abstractNum w:abstractNumId="59">
    <w:nsid w:val="732651C7"/>
    <w:multiLevelType w:val="multilevel"/>
    <w:tmpl w:val="732651C7"/>
    <w:lvl w:ilvl="0" w:tentative="0">
      <w:start w:val="1"/>
      <w:numFmt w:val="decimal"/>
      <w:lvlText w:val="%1."/>
      <w:lvlJc w:val="left"/>
      <w:pPr>
        <w:ind w:left="1509" w:hanging="241"/>
        <w:jc w:val="left"/>
      </w:pPr>
      <w:rPr>
        <w:rFonts w:hint="default" w:ascii="宋体" w:hAnsi="宋体" w:eastAsia="宋体" w:cs="宋体"/>
        <w:b w:val="0"/>
        <w:bCs w:val="0"/>
        <w:i w:val="0"/>
        <w:iCs w:val="0"/>
        <w:spacing w:val="0"/>
        <w:w w:val="99"/>
        <w:sz w:val="22"/>
        <w:szCs w:val="22"/>
        <w:lang w:val="en-US" w:eastAsia="zh-CN" w:bidi="ar-SA"/>
      </w:rPr>
    </w:lvl>
    <w:lvl w:ilvl="1" w:tentative="0">
      <w:start w:val="0"/>
      <w:numFmt w:val="bullet"/>
      <w:lvlText w:val="•"/>
      <w:lvlJc w:val="left"/>
      <w:pPr>
        <w:ind w:left="2386" w:hanging="241"/>
      </w:pPr>
      <w:rPr>
        <w:rFonts w:hint="default"/>
        <w:lang w:val="en-US" w:eastAsia="zh-CN" w:bidi="ar-SA"/>
      </w:rPr>
    </w:lvl>
    <w:lvl w:ilvl="2" w:tentative="0">
      <w:start w:val="0"/>
      <w:numFmt w:val="bullet"/>
      <w:lvlText w:val="•"/>
      <w:lvlJc w:val="left"/>
      <w:pPr>
        <w:ind w:left="3273" w:hanging="241"/>
      </w:pPr>
      <w:rPr>
        <w:rFonts w:hint="default"/>
        <w:lang w:val="en-US" w:eastAsia="zh-CN" w:bidi="ar-SA"/>
      </w:rPr>
    </w:lvl>
    <w:lvl w:ilvl="3" w:tentative="0">
      <w:start w:val="0"/>
      <w:numFmt w:val="bullet"/>
      <w:lvlText w:val="•"/>
      <w:lvlJc w:val="left"/>
      <w:pPr>
        <w:ind w:left="4159" w:hanging="241"/>
      </w:pPr>
      <w:rPr>
        <w:rFonts w:hint="default"/>
        <w:lang w:val="en-US" w:eastAsia="zh-CN" w:bidi="ar-SA"/>
      </w:rPr>
    </w:lvl>
    <w:lvl w:ilvl="4" w:tentative="0">
      <w:start w:val="0"/>
      <w:numFmt w:val="bullet"/>
      <w:lvlText w:val="•"/>
      <w:lvlJc w:val="left"/>
      <w:pPr>
        <w:ind w:left="5046" w:hanging="241"/>
      </w:pPr>
      <w:rPr>
        <w:rFonts w:hint="default"/>
        <w:lang w:val="en-US" w:eastAsia="zh-CN" w:bidi="ar-SA"/>
      </w:rPr>
    </w:lvl>
    <w:lvl w:ilvl="5" w:tentative="0">
      <w:start w:val="0"/>
      <w:numFmt w:val="bullet"/>
      <w:lvlText w:val="•"/>
      <w:lvlJc w:val="left"/>
      <w:pPr>
        <w:ind w:left="5933" w:hanging="241"/>
      </w:pPr>
      <w:rPr>
        <w:rFonts w:hint="default"/>
        <w:lang w:val="en-US" w:eastAsia="zh-CN" w:bidi="ar-SA"/>
      </w:rPr>
    </w:lvl>
    <w:lvl w:ilvl="6" w:tentative="0">
      <w:start w:val="0"/>
      <w:numFmt w:val="bullet"/>
      <w:lvlText w:val="•"/>
      <w:lvlJc w:val="left"/>
      <w:pPr>
        <w:ind w:left="6819" w:hanging="241"/>
      </w:pPr>
      <w:rPr>
        <w:rFonts w:hint="default"/>
        <w:lang w:val="en-US" w:eastAsia="zh-CN" w:bidi="ar-SA"/>
      </w:rPr>
    </w:lvl>
    <w:lvl w:ilvl="7" w:tentative="0">
      <w:start w:val="0"/>
      <w:numFmt w:val="bullet"/>
      <w:lvlText w:val="•"/>
      <w:lvlJc w:val="left"/>
      <w:pPr>
        <w:ind w:left="7706" w:hanging="241"/>
      </w:pPr>
      <w:rPr>
        <w:rFonts w:hint="default"/>
        <w:lang w:val="en-US" w:eastAsia="zh-CN" w:bidi="ar-SA"/>
      </w:rPr>
    </w:lvl>
    <w:lvl w:ilvl="8" w:tentative="0">
      <w:start w:val="0"/>
      <w:numFmt w:val="bullet"/>
      <w:lvlText w:val="•"/>
      <w:lvlJc w:val="left"/>
      <w:pPr>
        <w:ind w:left="8592" w:hanging="241"/>
      </w:pPr>
      <w:rPr>
        <w:rFonts w:hint="default"/>
        <w:lang w:val="en-US" w:eastAsia="zh-CN" w:bidi="ar-SA"/>
      </w:rPr>
    </w:lvl>
  </w:abstractNum>
  <w:abstractNum w:abstractNumId="60">
    <w:nsid w:val="7A72D877"/>
    <w:multiLevelType w:val="multilevel"/>
    <w:tmpl w:val="7A72D877"/>
    <w:lvl w:ilvl="0" w:tentative="0">
      <w:start w:val="2"/>
      <w:numFmt w:val="decimal"/>
      <w:lvlText w:val="%1."/>
      <w:lvlJc w:val="left"/>
      <w:pPr>
        <w:ind w:left="1254" w:hanging="324"/>
        <w:jc w:val="left"/>
      </w:pPr>
      <w:rPr>
        <w:rFonts w:hint="default" w:ascii="宋体" w:hAnsi="宋体" w:eastAsia="宋体" w:cs="宋体"/>
        <w:b/>
        <w:bCs/>
        <w:i w:val="0"/>
        <w:iCs w:val="0"/>
        <w:spacing w:val="-2"/>
        <w:w w:val="99"/>
        <w:sz w:val="30"/>
        <w:szCs w:val="30"/>
        <w:lang w:val="en-US" w:eastAsia="zh-CN" w:bidi="ar-SA"/>
      </w:rPr>
    </w:lvl>
    <w:lvl w:ilvl="1" w:tentative="0">
      <w:start w:val="1"/>
      <w:numFmt w:val="decimal"/>
      <w:lvlText w:val="%2."/>
      <w:lvlJc w:val="left"/>
      <w:pPr>
        <w:ind w:left="788" w:hanging="322"/>
        <w:jc w:val="left"/>
      </w:pPr>
      <w:rPr>
        <w:rFonts w:hint="default"/>
        <w:spacing w:val="0"/>
        <w:w w:val="85"/>
        <w:lang w:val="en-US" w:eastAsia="zh-CN" w:bidi="ar-SA"/>
      </w:rPr>
    </w:lvl>
    <w:lvl w:ilvl="2" w:tentative="0">
      <w:start w:val="0"/>
      <w:numFmt w:val="bullet"/>
      <w:lvlText w:val="•"/>
      <w:lvlJc w:val="left"/>
      <w:pPr>
        <w:ind w:left="2271" w:hanging="322"/>
      </w:pPr>
      <w:rPr>
        <w:rFonts w:hint="default"/>
        <w:lang w:val="en-US" w:eastAsia="zh-CN" w:bidi="ar-SA"/>
      </w:rPr>
    </w:lvl>
    <w:lvl w:ilvl="3" w:tentative="0">
      <w:start w:val="0"/>
      <w:numFmt w:val="bullet"/>
      <w:lvlText w:val="•"/>
      <w:lvlJc w:val="left"/>
      <w:pPr>
        <w:ind w:left="3283" w:hanging="322"/>
      </w:pPr>
      <w:rPr>
        <w:rFonts w:hint="default"/>
        <w:lang w:val="en-US" w:eastAsia="zh-CN" w:bidi="ar-SA"/>
      </w:rPr>
    </w:lvl>
    <w:lvl w:ilvl="4" w:tentative="0">
      <w:start w:val="0"/>
      <w:numFmt w:val="bullet"/>
      <w:lvlText w:val="•"/>
      <w:lvlJc w:val="left"/>
      <w:pPr>
        <w:ind w:left="4295" w:hanging="322"/>
      </w:pPr>
      <w:rPr>
        <w:rFonts w:hint="default"/>
        <w:lang w:val="en-US" w:eastAsia="zh-CN" w:bidi="ar-SA"/>
      </w:rPr>
    </w:lvl>
    <w:lvl w:ilvl="5" w:tentative="0">
      <w:start w:val="0"/>
      <w:numFmt w:val="bullet"/>
      <w:lvlText w:val="•"/>
      <w:lvlJc w:val="left"/>
      <w:pPr>
        <w:ind w:left="5307" w:hanging="322"/>
      </w:pPr>
      <w:rPr>
        <w:rFonts w:hint="default"/>
        <w:lang w:val="en-US" w:eastAsia="zh-CN" w:bidi="ar-SA"/>
      </w:rPr>
    </w:lvl>
    <w:lvl w:ilvl="6" w:tentative="0">
      <w:start w:val="0"/>
      <w:numFmt w:val="bullet"/>
      <w:lvlText w:val="•"/>
      <w:lvlJc w:val="left"/>
      <w:pPr>
        <w:ind w:left="6318" w:hanging="322"/>
      </w:pPr>
      <w:rPr>
        <w:rFonts w:hint="default"/>
        <w:lang w:val="en-US" w:eastAsia="zh-CN" w:bidi="ar-SA"/>
      </w:rPr>
    </w:lvl>
    <w:lvl w:ilvl="7" w:tentative="0">
      <w:start w:val="0"/>
      <w:numFmt w:val="bullet"/>
      <w:lvlText w:val="•"/>
      <w:lvlJc w:val="left"/>
      <w:pPr>
        <w:ind w:left="7330" w:hanging="322"/>
      </w:pPr>
      <w:rPr>
        <w:rFonts w:hint="default"/>
        <w:lang w:val="en-US" w:eastAsia="zh-CN" w:bidi="ar-SA"/>
      </w:rPr>
    </w:lvl>
    <w:lvl w:ilvl="8" w:tentative="0">
      <w:start w:val="0"/>
      <w:numFmt w:val="bullet"/>
      <w:lvlText w:val="•"/>
      <w:lvlJc w:val="left"/>
      <w:pPr>
        <w:ind w:left="8342" w:hanging="322"/>
      </w:pPr>
      <w:rPr>
        <w:rFonts w:hint="default"/>
        <w:lang w:val="en-US" w:eastAsia="zh-CN" w:bidi="ar-SA"/>
      </w:rPr>
    </w:lvl>
  </w:abstractNum>
  <w:abstractNum w:abstractNumId="61">
    <w:nsid w:val="7AB377ED"/>
    <w:multiLevelType w:val="multilevel"/>
    <w:tmpl w:val="7AB377ED"/>
    <w:lvl w:ilvl="0" w:tentative="0">
      <w:start w:val="3"/>
      <w:numFmt w:val="decimal"/>
      <w:lvlText w:val="（%1）"/>
      <w:lvlJc w:val="left"/>
      <w:pPr>
        <w:ind w:left="635" w:hanging="528"/>
        <w:jc w:val="left"/>
      </w:pPr>
      <w:rPr>
        <w:rFonts w:hint="default" w:ascii="宋体" w:hAnsi="宋体" w:eastAsia="宋体" w:cs="宋体"/>
        <w:b/>
        <w:bCs/>
        <w:i w:val="0"/>
        <w:iCs w:val="0"/>
        <w:spacing w:val="1"/>
        <w:w w:val="99"/>
        <w:sz w:val="19"/>
        <w:szCs w:val="19"/>
        <w:lang w:val="en-US" w:eastAsia="zh-CN" w:bidi="ar-SA"/>
      </w:rPr>
    </w:lvl>
    <w:lvl w:ilvl="1" w:tentative="0">
      <w:start w:val="0"/>
      <w:numFmt w:val="bullet"/>
      <w:lvlText w:val="•"/>
      <w:lvlJc w:val="left"/>
      <w:pPr>
        <w:ind w:left="1203" w:hanging="528"/>
      </w:pPr>
      <w:rPr>
        <w:rFonts w:hint="default"/>
        <w:lang w:val="en-US" w:eastAsia="zh-CN" w:bidi="ar-SA"/>
      </w:rPr>
    </w:lvl>
    <w:lvl w:ilvl="2" w:tentative="0">
      <w:start w:val="0"/>
      <w:numFmt w:val="bullet"/>
      <w:lvlText w:val="•"/>
      <w:lvlJc w:val="left"/>
      <w:pPr>
        <w:ind w:left="1766" w:hanging="528"/>
      </w:pPr>
      <w:rPr>
        <w:rFonts w:hint="default"/>
        <w:lang w:val="en-US" w:eastAsia="zh-CN" w:bidi="ar-SA"/>
      </w:rPr>
    </w:lvl>
    <w:lvl w:ilvl="3" w:tentative="0">
      <w:start w:val="0"/>
      <w:numFmt w:val="bullet"/>
      <w:lvlText w:val="•"/>
      <w:lvlJc w:val="left"/>
      <w:pPr>
        <w:ind w:left="2330" w:hanging="528"/>
      </w:pPr>
      <w:rPr>
        <w:rFonts w:hint="default"/>
        <w:lang w:val="en-US" w:eastAsia="zh-CN" w:bidi="ar-SA"/>
      </w:rPr>
    </w:lvl>
    <w:lvl w:ilvl="4" w:tentative="0">
      <w:start w:val="0"/>
      <w:numFmt w:val="bullet"/>
      <w:lvlText w:val="•"/>
      <w:lvlJc w:val="left"/>
      <w:pPr>
        <w:ind w:left="2893" w:hanging="528"/>
      </w:pPr>
      <w:rPr>
        <w:rFonts w:hint="default"/>
        <w:lang w:val="en-US" w:eastAsia="zh-CN" w:bidi="ar-SA"/>
      </w:rPr>
    </w:lvl>
    <w:lvl w:ilvl="5" w:tentative="0">
      <w:start w:val="0"/>
      <w:numFmt w:val="bullet"/>
      <w:lvlText w:val="•"/>
      <w:lvlJc w:val="left"/>
      <w:pPr>
        <w:ind w:left="3457" w:hanging="528"/>
      </w:pPr>
      <w:rPr>
        <w:rFonts w:hint="default"/>
        <w:lang w:val="en-US" w:eastAsia="zh-CN" w:bidi="ar-SA"/>
      </w:rPr>
    </w:lvl>
    <w:lvl w:ilvl="6" w:tentative="0">
      <w:start w:val="0"/>
      <w:numFmt w:val="bullet"/>
      <w:lvlText w:val="•"/>
      <w:lvlJc w:val="left"/>
      <w:pPr>
        <w:ind w:left="4020" w:hanging="528"/>
      </w:pPr>
      <w:rPr>
        <w:rFonts w:hint="default"/>
        <w:lang w:val="en-US" w:eastAsia="zh-CN" w:bidi="ar-SA"/>
      </w:rPr>
    </w:lvl>
    <w:lvl w:ilvl="7" w:tentative="0">
      <w:start w:val="0"/>
      <w:numFmt w:val="bullet"/>
      <w:lvlText w:val="•"/>
      <w:lvlJc w:val="left"/>
      <w:pPr>
        <w:ind w:left="4583" w:hanging="528"/>
      </w:pPr>
      <w:rPr>
        <w:rFonts w:hint="default"/>
        <w:lang w:val="en-US" w:eastAsia="zh-CN" w:bidi="ar-SA"/>
      </w:rPr>
    </w:lvl>
    <w:lvl w:ilvl="8" w:tentative="0">
      <w:start w:val="0"/>
      <w:numFmt w:val="bullet"/>
      <w:lvlText w:val="•"/>
      <w:lvlJc w:val="left"/>
      <w:pPr>
        <w:ind w:left="5147" w:hanging="528"/>
      </w:pPr>
      <w:rPr>
        <w:rFonts w:hint="default"/>
        <w:lang w:val="en-US" w:eastAsia="zh-CN" w:bidi="ar-SA"/>
      </w:rPr>
    </w:lvl>
  </w:abstractNum>
  <w:abstractNum w:abstractNumId="62">
    <w:nsid w:val="7C6887ED"/>
    <w:multiLevelType w:val="multilevel"/>
    <w:tmpl w:val="7C6887ED"/>
    <w:lvl w:ilvl="0" w:tentative="0">
      <w:start w:val="1"/>
      <w:numFmt w:val="decimal"/>
      <w:lvlText w:val="%1."/>
      <w:lvlJc w:val="left"/>
      <w:pPr>
        <w:ind w:left="781" w:hanging="267"/>
        <w:jc w:val="left"/>
      </w:pPr>
      <w:rPr>
        <w:rFonts w:hint="default" w:ascii="Times New Roman" w:hAnsi="Times New Roman" w:eastAsia="Times New Roman" w:cs="Times New Roman"/>
        <w:b w:val="0"/>
        <w:bCs w:val="0"/>
        <w:i w:val="0"/>
        <w:iCs w:val="0"/>
        <w:spacing w:val="0"/>
        <w:w w:val="99"/>
        <w:sz w:val="21"/>
        <w:szCs w:val="21"/>
        <w:lang w:val="en-US" w:eastAsia="zh-CN" w:bidi="ar-SA"/>
      </w:rPr>
    </w:lvl>
    <w:lvl w:ilvl="1" w:tentative="0">
      <w:start w:val="0"/>
      <w:numFmt w:val="bullet"/>
      <w:lvlText w:val="•"/>
      <w:lvlJc w:val="left"/>
      <w:pPr>
        <w:ind w:left="1738" w:hanging="267"/>
      </w:pPr>
      <w:rPr>
        <w:rFonts w:hint="default"/>
        <w:lang w:val="en-US" w:eastAsia="zh-CN" w:bidi="ar-SA"/>
      </w:rPr>
    </w:lvl>
    <w:lvl w:ilvl="2" w:tentative="0">
      <w:start w:val="0"/>
      <w:numFmt w:val="bullet"/>
      <w:lvlText w:val="•"/>
      <w:lvlJc w:val="left"/>
      <w:pPr>
        <w:ind w:left="2697" w:hanging="267"/>
      </w:pPr>
      <w:rPr>
        <w:rFonts w:hint="default"/>
        <w:lang w:val="en-US" w:eastAsia="zh-CN" w:bidi="ar-SA"/>
      </w:rPr>
    </w:lvl>
    <w:lvl w:ilvl="3" w:tentative="0">
      <w:start w:val="0"/>
      <w:numFmt w:val="bullet"/>
      <w:lvlText w:val="•"/>
      <w:lvlJc w:val="left"/>
      <w:pPr>
        <w:ind w:left="3655" w:hanging="267"/>
      </w:pPr>
      <w:rPr>
        <w:rFonts w:hint="default"/>
        <w:lang w:val="en-US" w:eastAsia="zh-CN" w:bidi="ar-SA"/>
      </w:rPr>
    </w:lvl>
    <w:lvl w:ilvl="4" w:tentative="0">
      <w:start w:val="0"/>
      <w:numFmt w:val="bullet"/>
      <w:lvlText w:val="•"/>
      <w:lvlJc w:val="left"/>
      <w:pPr>
        <w:ind w:left="4614" w:hanging="267"/>
      </w:pPr>
      <w:rPr>
        <w:rFonts w:hint="default"/>
        <w:lang w:val="en-US" w:eastAsia="zh-CN" w:bidi="ar-SA"/>
      </w:rPr>
    </w:lvl>
    <w:lvl w:ilvl="5" w:tentative="0">
      <w:start w:val="0"/>
      <w:numFmt w:val="bullet"/>
      <w:lvlText w:val="•"/>
      <w:lvlJc w:val="left"/>
      <w:pPr>
        <w:ind w:left="5573" w:hanging="267"/>
      </w:pPr>
      <w:rPr>
        <w:rFonts w:hint="default"/>
        <w:lang w:val="en-US" w:eastAsia="zh-CN" w:bidi="ar-SA"/>
      </w:rPr>
    </w:lvl>
    <w:lvl w:ilvl="6" w:tentative="0">
      <w:start w:val="0"/>
      <w:numFmt w:val="bullet"/>
      <w:lvlText w:val="•"/>
      <w:lvlJc w:val="left"/>
      <w:pPr>
        <w:ind w:left="6531" w:hanging="267"/>
      </w:pPr>
      <w:rPr>
        <w:rFonts w:hint="default"/>
        <w:lang w:val="en-US" w:eastAsia="zh-CN" w:bidi="ar-SA"/>
      </w:rPr>
    </w:lvl>
    <w:lvl w:ilvl="7" w:tentative="0">
      <w:start w:val="0"/>
      <w:numFmt w:val="bullet"/>
      <w:lvlText w:val="•"/>
      <w:lvlJc w:val="left"/>
      <w:pPr>
        <w:ind w:left="7490" w:hanging="267"/>
      </w:pPr>
      <w:rPr>
        <w:rFonts w:hint="default"/>
        <w:lang w:val="en-US" w:eastAsia="zh-CN" w:bidi="ar-SA"/>
      </w:rPr>
    </w:lvl>
    <w:lvl w:ilvl="8" w:tentative="0">
      <w:start w:val="0"/>
      <w:numFmt w:val="bullet"/>
      <w:lvlText w:val="•"/>
      <w:lvlJc w:val="left"/>
      <w:pPr>
        <w:ind w:left="8448" w:hanging="267"/>
      </w:pPr>
      <w:rPr>
        <w:rFonts w:hint="default"/>
        <w:lang w:val="en-US" w:eastAsia="zh-CN" w:bidi="ar-SA"/>
      </w:rPr>
    </w:lvl>
  </w:abstractNum>
  <w:num w:numId="1">
    <w:abstractNumId w:val="10"/>
  </w:num>
  <w:num w:numId="2">
    <w:abstractNumId w:val="29"/>
  </w:num>
  <w:num w:numId="3">
    <w:abstractNumId w:val="21"/>
  </w:num>
  <w:num w:numId="4">
    <w:abstractNumId w:val="26"/>
  </w:num>
  <w:num w:numId="5">
    <w:abstractNumId w:val="20"/>
  </w:num>
  <w:num w:numId="6">
    <w:abstractNumId w:val="4"/>
  </w:num>
  <w:num w:numId="7">
    <w:abstractNumId w:val="16"/>
  </w:num>
  <w:num w:numId="8">
    <w:abstractNumId w:val="39"/>
  </w:num>
  <w:num w:numId="9">
    <w:abstractNumId w:val="48"/>
  </w:num>
  <w:num w:numId="10">
    <w:abstractNumId w:val="14"/>
  </w:num>
  <w:num w:numId="11">
    <w:abstractNumId w:val="40"/>
  </w:num>
  <w:num w:numId="12">
    <w:abstractNumId w:val="9"/>
  </w:num>
  <w:num w:numId="13">
    <w:abstractNumId w:val="42"/>
  </w:num>
  <w:num w:numId="14">
    <w:abstractNumId w:val="43"/>
  </w:num>
  <w:num w:numId="15">
    <w:abstractNumId w:val="11"/>
  </w:num>
  <w:num w:numId="16">
    <w:abstractNumId w:val="38"/>
  </w:num>
  <w:num w:numId="17">
    <w:abstractNumId w:val="50"/>
  </w:num>
  <w:num w:numId="18">
    <w:abstractNumId w:val="30"/>
  </w:num>
  <w:num w:numId="19">
    <w:abstractNumId w:val="35"/>
  </w:num>
  <w:num w:numId="20">
    <w:abstractNumId w:val="55"/>
  </w:num>
  <w:num w:numId="21">
    <w:abstractNumId w:val="46"/>
  </w:num>
  <w:num w:numId="22">
    <w:abstractNumId w:val="22"/>
  </w:num>
  <w:num w:numId="23">
    <w:abstractNumId w:val="6"/>
  </w:num>
  <w:num w:numId="24">
    <w:abstractNumId w:val="32"/>
  </w:num>
  <w:num w:numId="25">
    <w:abstractNumId w:val="24"/>
  </w:num>
  <w:num w:numId="26">
    <w:abstractNumId w:val="45"/>
  </w:num>
  <w:num w:numId="27">
    <w:abstractNumId w:val="1"/>
  </w:num>
  <w:num w:numId="28">
    <w:abstractNumId w:val="31"/>
  </w:num>
  <w:num w:numId="29">
    <w:abstractNumId w:val="0"/>
  </w:num>
  <w:num w:numId="30">
    <w:abstractNumId w:val="13"/>
  </w:num>
  <w:num w:numId="31">
    <w:abstractNumId w:val="41"/>
  </w:num>
  <w:num w:numId="32">
    <w:abstractNumId w:val="5"/>
  </w:num>
  <w:num w:numId="33">
    <w:abstractNumId w:val="12"/>
  </w:num>
  <w:num w:numId="34">
    <w:abstractNumId w:val="37"/>
  </w:num>
  <w:num w:numId="35">
    <w:abstractNumId w:val="19"/>
  </w:num>
  <w:num w:numId="36">
    <w:abstractNumId w:val="7"/>
  </w:num>
  <w:num w:numId="37">
    <w:abstractNumId w:val="61"/>
  </w:num>
  <w:num w:numId="38">
    <w:abstractNumId w:val="54"/>
  </w:num>
  <w:num w:numId="39">
    <w:abstractNumId w:val="18"/>
  </w:num>
  <w:num w:numId="40">
    <w:abstractNumId w:val="58"/>
  </w:num>
  <w:num w:numId="41">
    <w:abstractNumId w:val="23"/>
  </w:num>
  <w:num w:numId="42">
    <w:abstractNumId w:val="59"/>
  </w:num>
  <w:num w:numId="43">
    <w:abstractNumId w:val="15"/>
  </w:num>
  <w:num w:numId="44">
    <w:abstractNumId w:val="8"/>
  </w:num>
  <w:num w:numId="45">
    <w:abstractNumId w:val="27"/>
  </w:num>
  <w:num w:numId="46">
    <w:abstractNumId w:val="60"/>
  </w:num>
  <w:num w:numId="47">
    <w:abstractNumId w:val="56"/>
  </w:num>
  <w:num w:numId="48">
    <w:abstractNumId w:val="28"/>
  </w:num>
  <w:num w:numId="49">
    <w:abstractNumId w:val="49"/>
  </w:num>
  <w:num w:numId="50">
    <w:abstractNumId w:val="47"/>
  </w:num>
  <w:num w:numId="51">
    <w:abstractNumId w:val="52"/>
  </w:num>
  <w:num w:numId="52">
    <w:abstractNumId w:val="33"/>
  </w:num>
  <w:num w:numId="53">
    <w:abstractNumId w:val="53"/>
  </w:num>
  <w:num w:numId="54">
    <w:abstractNumId w:val="25"/>
  </w:num>
  <w:num w:numId="55">
    <w:abstractNumId w:val="17"/>
  </w:num>
  <w:num w:numId="56">
    <w:abstractNumId w:val="2"/>
  </w:num>
  <w:num w:numId="57">
    <w:abstractNumId w:val="62"/>
  </w:num>
  <w:num w:numId="58">
    <w:abstractNumId w:val="51"/>
  </w:num>
  <w:num w:numId="59">
    <w:abstractNumId w:val="3"/>
  </w:num>
  <w:num w:numId="60">
    <w:abstractNumId w:val="57"/>
  </w:num>
  <w:num w:numId="61">
    <w:abstractNumId w:val="44"/>
  </w:num>
  <w:num w:numId="62">
    <w:abstractNumId w:val="36"/>
  </w:num>
  <w:num w:numId="6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4"/>
  </w:compat>
  <w:rsids>
    <w:rsidRoot w:val="00000000"/>
    <w:rsid w:val="03456F74"/>
    <w:rsid w:val="034750FF"/>
    <w:rsid w:val="055B056A"/>
    <w:rsid w:val="06CB2930"/>
    <w:rsid w:val="115E51B7"/>
    <w:rsid w:val="129819E6"/>
    <w:rsid w:val="13A76777"/>
    <w:rsid w:val="155A6A12"/>
    <w:rsid w:val="15AD72E8"/>
    <w:rsid w:val="16A76F78"/>
    <w:rsid w:val="1E3F4749"/>
    <w:rsid w:val="229C6CF1"/>
    <w:rsid w:val="2355768F"/>
    <w:rsid w:val="24B0094B"/>
    <w:rsid w:val="26794648"/>
    <w:rsid w:val="2F726A0C"/>
    <w:rsid w:val="33966E5D"/>
    <w:rsid w:val="373E6E0C"/>
    <w:rsid w:val="37C71BBB"/>
    <w:rsid w:val="38880231"/>
    <w:rsid w:val="39F72B1E"/>
    <w:rsid w:val="40360849"/>
    <w:rsid w:val="42DA3F4F"/>
    <w:rsid w:val="48AE1C7A"/>
    <w:rsid w:val="4C6709EA"/>
    <w:rsid w:val="4CDB006C"/>
    <w:rsid w:val="4D987FF1"/>
    <w:rsid w:val="51A351BC"/>
    <w:rsid w:val="51C238FA"/>
    <w:rsid w:val="59133457"/>
    <w:rsid w:val="59BD58D9"/>
    <w:rsid w:val="60834B10"/>
    <w:rsid w:val="61782D12"/>
    <w:rsid w:val="61D74167"/>
    <w:rsid w:val="62057831"/>
    <w:rsid w:val="65255DA1"/>
    <w:rsid w:val="6F8D7395"/>
    <w:rsid w:val="758077ED"/>
    <w:rsid w:val="7D4F152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3">
    <w:name w:val="heading 1"/>
    <w:basedOn w:val="1"/>
    <w:next w:val="1"/>
    <w:qFormat/>
    <w:uiPriority w:val="1"/>
    <w:pPr>
      <w:spacing w:before="16"/>
      <w:ind w:left="835" w:right="840"/>
      <w:jc w:val="center"/>
      <w:outlineLvl w:val="1"/>
    </w:pPr>
    <w:rPr>
      <w:rFonts w:ascii="宋体" w:hAnsi="宋体" w:eastAsia="宋体" w:cs="宋体"/>
      <w:b/>
      <w:bCs/>
      <w:sz w:val="44"/>
      <w:szCs w:val="44"/>
      <w:lang w:val="en-US" w:eastAsia="zh-CN" w:bidi="ar-SA"/>
    </w:rPr>
  </w:style>
  <w:style w:type="paragraph" w:styleId="4">
    <w:name w:val="heading 2"/>
    <w:basedOn w:val="1"/>
    <w:next w:val="1"/>
    <w:qFormat/>
    <w:uiPriority w:val="1"/>
    <w:pPr>
      <w:ind w:left="835" w:right="837"/>
      <w:jc w:val="center"/>
      <w:outlineLvl w:val="2"/>
    </w:pPr>
    <w:rPr>
      <w:rFonts w:ascii="宋体" w:hAnsi="宋体" w:eastAsia="宋体" w:cs="宋体"/>
      <w:sz w:val="44"/>
      <w:szCs w:val="44"/>
      <w:lang w:val="en-US" w:eastAsia="zh-CN" w:bidi="ar-SA"/>
    </w:rPr>
  </w:style>
  <w:style w:type="paragraph" w:styleId="5">
    <w:name w:val="heading 3"/>
    <w:basedOn w:val="1"/>
    <w:qFormat/>
    <w:uiPriority w:val="1"/>
    <w:pPr>
      <w:spacing w:before="18"/>
      <w:ind w:left="835" w:right="837"/>
      <w:jc w:val="center"/>
      <w:outlineLvl w:val="3"/>
    </w:pPr>
    <w:rPr>
      <w:rFonts w:ascii="宋体" w:hAnsi="宋体" w:eastAsia="宋体" w:cs="宋体"/>
      <w:b/>
      <w:bCs/>
      <w:sz w:val="32"/>
      <w:szCs w:val="32"/>
      <w:lang w:val="en-US" w:eastAsia="zh-CN" w:bidi="ar-SA"/>
    </w:rPr>
  </w:style>
  <w:style w:type="paragraph" w:styleId="6">
    <w:name w:val="heading 4"/>
    <w:basedOn w:val="1"/>
    <w:qFormat/>
    <w:uiPriority w:val="1"/>
    <w:pPr>
      <w:ind w:left="835" w:right="6"/>
      <w:outlineLvl w:val="4"/>
    </w:pPr>
    <w:rPr>
      <w:rFonts w:ascii="宋体" w:hAnsi="宋体" w:eastAsia="宋体" w:cs="宋体"/>
      <w:sz w:val="32"/>
      <w:szCs w:val="32"/>
      <w:lang w:val="en-US" w:eastAsia="zh-CN" w:bidi="ar-SA"/>
    </w:rPr>
  </w:style>
  <w:style w:type="paragraph" w:styleId="7">
    <w:name w:val="heading 5"/>
    <w:basedOn w:val="1"/>
    <w:qFormat/>
    <w:uiPriority w:val="1"/>
    <w:pPr>
      <w:ind w:left="225"/>
      <w:jc w:val="center"/>
      <w:outlineLvl w:val="5"/>
    </w:pPr>
    <w:rPr>
      <w:rFonts w:ascii="宋体" w:hAnsi="宋体" w:eastAsia="宋体" w:cs="宋体"/>
      <w:sz w:val="30"/>
      <w:szCs w:val="30"/>
      <w:lang w:val="en-US" w:eastAsia="zh-CN" w:bidi="ar-SA"/>
    </w:rPr>
  </w:style>
  <w:style w:type="paragraph" w:styleId="8">
    <w:name w:val="heading 6"/>
    <w:basedOn w:val="1"/>
    <w:qFormat/>
    <w:uiPriority w:val="1"/>
    <w:pPr>
      <w:spacing w:before="1"/>
      <w:ind w:left="920" w:right="678"/>
      <w:jc w:val="center"/>
      <w:outlineLvl w:val="6"/>
    </w:pPr>
    <w:rPr>
      <w:rFonts w:ascii="宋体" w:hAnsi="宋体" w:eastAsia="宋体" w:cs="宋体"/>
      <w:sz w:val="29"/>
      <w:szCs w:val="29"/>
      <w:lang w:val="en-US" w:eastAsia="zh-CN" w:bidi="ar-SA"/>
    </w:rPr>
  </w:style>
  <w:style w:type="paragraph" w:styleId="9">
    <w:name w:val="heading 7"/>
    <w:basedOn w:val="1"/>
    <w:qFormat/>
    <w:uiPriority w:val="1"/>
    <w:pPr>
      <w:spacing w:before="38"/>
      <w:ind w:left="835"/>
      <w:jc w:val="center"/>
      <w:outlineLvl w:val="7"/>
    </w:pPr>
    <w:rPr>
      <w:rFonts w:ascii="宋体" w:hAnsi="宋体" w:eastAsia="宋体" w:cs="宋体"/>
      <w:b/>
      <w:bCs/>
      <w:sz w:val="28"/>
      <w:szCs w:val="28"/>
      <w:lang w:val="en-US" w:eastAsia="zh-CN" w:bidi="ar-SA"/>
    </w:rPr>
  </w:style>
  <w:style w:type="paragraph" w:styleId="10">
    <w:name w:val="heading 8"/>
    <w:basedOn w:val="1"/>
    <w:qFormat/>
    <w:uiPriority w:val="1"/>
    <w:pPr>
      <w:ind w:left="1631" w:hanging="363"/>
      <w:outlineLvl w:val="8"/>
    </w:pPr>
    <w:rPr>
      <w:rFonts w:ascii="宋体" w:hAnsi="宋体" w:eastAsia="宋体" w:cs="宋体"/>
      <w:b/>
      <w:bCs/>
      <w:sz w:val="24"/>
      <w:szCs w:val="24"/>
      <w:lang w:val="en-US" w:eastAsia="zh-CN" w:bidi="ar-SA"/>
    </w:rPr>
  </w:style>
  <w:style w:type="paragraph" w:styleId="11">
    <w:name w:val="heading 9"/>
    <w:basedOn w:val="1"/>
    <w:qFormat/>
    <w:uiPriority w:val="1"/>
    <w:pPr>
      <w:ind w:left="788"/>
      <w:outlineLvl w:val="9"/>
    </w:pPr>
    <w:rPr>
      <w:rFonts w:ascii="宋体" w:hAnsi="宋体" w:eastAsia="宋体" w:cs="宋体"/>
      <w:sz w:val="24"/>
      <w:szCs w:val="24"/>
      <w:lang w:val="en-US" w:eastAsia="zh-CN" w:bidi="ar-SA"/>
    </w:rPr>
  </w:style>
  <w:style w:type="character" w:default="1" w:styleId="18">
    <w:name w:val="Default Paragraph Font"/>
    <w:semiHidden/>
    <w:unhideWhenUsed/>
    <w:qFormat/>
    <w:uiPriority w:val="1"/>
  </w:style>
  <w:style w:type="table" w:default="1" w:styleId="16">
    <w:name w:val="Normal Table"/>
    <w:semiHidden/>
    <w:qFormat/>
    <w:uiPriority w:val="0"/>
    <w:tblPr>
      <w:tblCellMar>
        <w:top w:w="0" w:type="dxa"/>
        <w:left w:w="108" w:type="dxa"/>
        <w:bottom w:w="0" w:type="dxa"/>
        <w:right w:w="108" w:type="dxa"/>
      </w:tblCellMar>
    </w:tblPr>
  </w:style>
  <w:style w:type="paragraph" w:styleId="2">
    <w:name w:val="Title"/>
    <w:basedOn w:val="1"/>
    <w:qFormat/>
    <w:uiPriority w:val="1"/>
    <w:pPr>
      <w:ind w:left="225" w:right="49"/>
      <w:jc w:val="center"/>
    </w:pPr>
    <w:rPr>
      <w:rFonts w:ascii="宋体" w:hAnsi="宋体" w:eastAsia="宋体" w:cs="宋体"/>
      <w:sz w:val="102"/>
      <w:szCs w:val="102"/>
      <w:lang w:val="en-US" w:eastAsia="zh-CN" w:bidi="ar-SA"/>
    </w:rPr>
  </w:style>
  <w:style w:type="paragraph" w:styleId="12">
    <w:name w:val="Body Text"/>
    <w:basedOn w:val="1"/>
    <w:qFormat/>
    <w:uiPriority w:val="1"/>
    <w:pPr>
      <w:spacing w:before="135"/>
      <w:ind w:left="788"/>
    </w:pPr>
    <w:rPr>
      <w:rFonts w:ascii="宋体" w:hAnsi="宋体" w:eastAsia="宋体" w:cs="宋体"/>
      <w:sz w:val="21"/>
      <w:szCs w:val="21"/>
      <w:lang w:val="en-US" w:eastAsia="zh-CN" w:bidi="ar-SA"/>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qFormat/>
    <w:uiPriority w:val="1"/>
    <w:pPr>
      <w:spacing w:before="283"/>
      <w:ind w:left="786"/>
    </w:pPr>
    <w:rPr>
      <w:rFonts w:ascii="宋体" w:hAnsi="宋体" w:eastAsia="宋体" w:cs="宋体"/>
      <w:sz w:val="32"/>
      <w:szCs w:val="32"/>
      <w:lang w:val="en-US" w:eastAsia="zh-CN" w:bidi="ar-SA"/>
    </w:rPr>
  </w:style>
  <w:style w:type="table" w:styleId="17">
    <w:name w:val="Table Grid"/>
    <w:basedOn w:val="1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9">
    <w:name w:val="Hyperlink"/>
    <w:basedOn w:val="18"/>
    <w:qFormat/>
    <w:uiPriority w:val="0"/>
    <w:rPr>
      <w:color w:val="0000FF"/>
      <w:u w:val="single"/>
    </w:rPr>
  </w:style>
  <w:style w:type="table" w:customStyle="1" w:styleId="20">
    <w:name w:val="Table Normal"/>
    <w:semiHidden/>
    <w:unhideWhenUsed/>
    <w:qFormat/>
    <w:uiPriority w:val="2"/>
    <w:tblPr>
      <w:tblCellMar>
        <w:top w:w="0" w:type="dxa"/>
        <w:left w:w="0" w:type="dxa"/>
        <w:bottom w:w="0" w:type="dxa"/>
        <w:right w:w="0" w:type="dxa"/>
      </w:tblCellMar>
    </w:tblPr>
  </w:style>
  <w:style w:type="paragraph" w:styleId="21">
    <w:name w:val="List Paragraph"/>
    <w:basedOn w:val="1"/>
    <w:qFormat/>
    <w:uiPriority w:val="1"/>
    <w:pPr>
      <w:spacing w:before="135"/>
      <w:ind w:left="788" w:firstLine="420"/>
    </w:pPr>
    <w:rPr>
      <w:rFonts w:ascii="宋体" w:hAnsi="宋体" w:eastAsia="宋体" w:cs="宋体"/>
      <w:lang w:val="en-US" w:eastAsia="zh-CN" w:bidi="ar-SA"/>
    </w:rPr>
  </w:style>
  <w:style w:type="paragraph" w:customStyle="1" w:styleId="22">
    <w:name w:val="Table Paragraph"/>
    <w:basedOn w:val="1"/>
    <w:qFormat/>
    <w:uiPriority w:val="1"/>
    <w:rPr>
      <w:rFonts w:ascii="宋体" w:hAnsi="宋体" w:eastAsia="宋体" w:cs="宋体"/>
      <w:lang w:val="en-US" w:eastAsia="zh-CN" w:bidi="ar-SA"/>
    </w:rPr>
  </w:style>
  <w:style w:type="paragraph" w:customStyle="1" w:styleId="23">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正文_2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112</Pages>
  <Words>16419</Words>
  <Characters>17253</Characters>
  <TotalTime>68</TotalTime>
  <ScaleCrop>false</ScaleCrop>
  <LinksUpToDate>false</LinksUpToDate>
  <CharactersWithSpaces>17507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2026-07-29T01:11:00Z</dcterms:created>
  <dc:creator>唐</dc:creator>
  <cp:lastModifiedBy>Administrator</cp:lastModifiedBy>
  <dcterms:modified xsi:type="dcterms:W3CDTF">2026-08-18T03:28:37Z</dcterms:modified>
  <dc:title>竞争性谈判</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2026-05-21T00:00:00Z</vt:filetime>
  </property>
  <property fmtid="{D5CDD505-2E9C-101B-9397-08002B2CF9AE}" pid="3" name="Creator">
    <vt:lpwstr>WPS 文字</vt:lpwstr>
  </property>
  <property fmtid="{D5CDD505-2E9C-101B-9397-08002B2CF9AE}" pid="4" name="LastSaved">
    <vt:filetime>2026-07-29T00:00:00Z</vt:filetime>
  </property>
  <property fmtid="{D5CDD505-2E9C-101B-9397-08002B2CF9AE}" pid="5" name="SourceModified">
    <vt:lpwstr>D:20260521124232+08'00'</vt:lpwstr>
  </property>
  <property fmtid="{D5CDD505-2E9C-101B-9397-08002B2CF9AE}" pid="6" name="KSOTemplateDocerSaveRecord">
    <vt:lpwstr>eyJoZGlkIjoiZjcwNjBmNmMzZjk5ODZmYWI5OTZmZWEwZGY2Zjk1NTgifQ==</vt:lpwstr>
  </property>
  <property fmtid="{D5CDD505-2E9C-101B-9397-08002B2CF9AE}" pid="7" name="KSOProductBuildVer">
    <vt:lpwstr>2052-12.1.0.28043</vt:lpwstr>
  </property>
  <property fmtid="{D5CDD505-2E9C-101B-9397-08002B2CF9AE}" pid="8" name="ICV">
    <vt:lpwstr>A23E91267C2C444FA5ACA833EAB625B9_12</vt:lpwstr>
  </property>
</Properties>
</file>